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C419F" w14:textId="77777777" w:rsidR="00FE7584" w:rsidRPr="00DA0569" w:rsidRDefault="007C7DF7">
      <w:pPr>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seis (06) de marzo de dos mil veinticinco.</w:t>
      </w:r>
    </w:p>
    <w:p w14:paraId="39BE5EAF" w14:textId="77777777" w:rsidR="00FE7584" w:rsidRPr="00DA0569" w:rsidRDefault="00FE7584">
      <w:pPr>
        <w:spacing w:line="360" w:lineRule="auto"/>
        <w:jc w:val="both"/>
        <w:rPr>
          <w:rFonts w:ascii="Palatino Linotype" w:eastAsia="Palatino Linotype" w:hAnsi="Palatino Linotype" w:cs="Palatino Linotype"/>
        </w:rPr>
      </w:pPr>
    </w:p>
    <w:p w14:paraId="574324F5" w14:textId="77777777" w:rsidR="00FE7584" w:rsidRPr="00DA0569" w:rsidRDefault="007C7DF7">
      <w:pPr>
        <w:spacing w:line="360" w:lineRule="auto"/>
        <w:ind w:right="-28"/>
        <w:jc w:val="both"/>
        <w:rPr>
          <w:rFonts w:ascii="Palatino Linotype" w:eastAsia="Palatino Linotype" w:hAnsi="Palatino Linotype" w:cs="Palatino Linotype"/>
        </w:rPr>
      </w:pPr>
      <w:r w:rsidRPr="00DA0569">
        <w:rPr>
          <w:rFonts w:ascii="Palatino Linotype" w:eastAsia="Palatino Linotype" w:hAnsi="Palatino Linotype" w:cs="Palatino Linotype"/>
          <w:b/>
        </w:rPr>
        <w:t>VISTO</w:t>
      </w:r>
      <w:r w:rsidRPr="00DA0569">
        <w:rPr>
          <w:rFonts w:ascii="Palatino Linotype" w:eastAsia="Palatino Linotype" w:hAnsi="Palatino Linotype" w:cs="Palatino Linotype"/>
        </w:rPr>
        <w:t xml:space="preserve"> el expediente electrónico formado con motivo del recurso de revisión </w:t>
      </w:r>
      <w:r w:rsidRPr="00DA0569">
        <w:rPr>
          <w:rFonts w:ascii="Palatino Linotype" w:eastAsia="Palatino Linotype" w:hAnsi="Palatino Linotype" w:cs="Palatino Linotype"/>
          <w:b/>
        </w:rPr>
        <w:t>02658/INFOEM/IP/RR/2024</w:t>
      </w:r>
      <w:r w:rsidRPr="00DA0569">
        <w:rPr>
          <w:rFonts w:ascii="Palatino Linotype" w:eastAsia="Palatino Linotype" w:hAnsi="Palatino Linotype" w:cs="Palatino Linotype"/>
        </w:rPr>
        <w:t>,</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 xml:space="preserve">promovido por </w:t>
      </w:r>
      <w:r w:rsidRPr="00DA0569">
        <w:rPr>
          <w:rFonts w:ascii="Palatino Linotype" w:eastAsia="Palatino Linotype" w:hAnsi="Palatino Linotype" w:cs="Palatino Linotype"/>
          <w:b/>
        </w:rPr>
        <w:t>un usuario que no registró nombre alguno,</w:t>
      </w:r>
      <w:r w:rsidRPr="00DA0569">
        <w:rPr>
          <w:rFonts w:ascii="Palatino Linotype" w:eastAsia="Palatino Linotype" w:hAnsi="Palatino Linotype" w:cs="Palatino Linotype"/>
        </w:rPr>
        <w:t xml:space="preserve"> a quien en lo sucesivo se identificará como </w:t>
      </w:r>
      <w:r w:rsidRPr="00DA0569">
        <w:rPr>
          <w:rFonts w:ascii="Palatino Linotype" w:eastAsia="Palatino Linotype" w:hAnsi="Palatino Linotype" w:cs="Palatino Linotype"/>
          <w:b/>
        </w:rPr>
        <w:t xml:space="preserve">RECURRENTE </w:t>
      </w:r>
      <w:r w:rsidRPr="00DA0569">
        <w:rPr>
          <w:rFonts w:ascii="Palatino Linotype" w:eastAsia="Palatino Linotype" w:hAnsi="Palatino Linotype" w:cs="Palatino Linotype"/>
        </w:rPr>
        <w:t>y/o Particular, a través del</w:t>
      </w:r>
      <w:r w:rsidRPr="00DA0569">
        <w:rPr>
          <w:rFonts w:ascii="Palatino Linotype" w:eastAsia="Palatino Linotype" w:hAnsi="Palatino Linotype" w:cs="Palatino Linotype"/>
          <w:b/>
        </w:rPr>
        <w:t xml:space="preserve"> Sistema de Acceso a la Información Mexiquense (SAIMEX),</w:t>
      </w:r>
      <w:r w:rsidRPr="00DA0569">
        <w:rPr>
          <w:rFonts w:ascii="Palatino Linotype" w:eastAsia="Palatino Linotype" w:hAnsi="Palatino Linotype" w:cs="Palatino Linotype"/>
        </w:rPr>
        <w:t xml:space="preserve"> en contra de la respuesta de la </w:t>
      </w:r>
      <w:r w:rsidRPr="00DA0569">
        <w:rPr>
          <w:rFonts w:ascii="Palatino Linotype" w:eastAsia="Palatino Linotype" w:hAnsi="Palatino Linotype" w:cs="Palatino Linotype"/>
          <w:b/>
        </w:rPr>
        <w:t xml:space="preserve">Secretaría de Movilidad, </w:t>
      </w:r>
      <w:r w:rsidRPr="00DA0569">
        <w:rPr>
          <w:rFonts w:ascii="Palatino Linotype" w:eastAsia="Palatino Linotype" w:hAnsi="Palatino Linotype" w:cs="Palatino Linotype"/>
        </w:rPr>
        <w:t>en adelante el</w:t>
      </w:r>
      <w:r w:rsidRPr="00DA0569">
        <w:rPr>
          <w:rFonts w:ascii="Palatino Linotype" w:eastAsia="Palatino Linotype" w:hAnsi="Palatino Linotype" w:cs="Palatino Linotype"/>
          <w:b/>
        </w:rPr>
        <w:t xml:space="preserve"> SUJETO OBLIGADO</w:t>
      </w:r>
      <w:r w:rsidRPr="00DA0569">
        <w:rPr>
          <w:rFonts w:ascii="Palatino Linotype" w:eastAsia="Palatino Linotype" w:hAnsi="Palatino Linotype" w:cs="Palatino Linotype"/>
        </w:rPr>
        <w:t>, por lo que se procede a dictar la presente resolución, con base en los siguientes:</w:t>
      </w:r>
    </w:p>
    <w:p w14:paraId="45EDAC7C" w14:textId="77777777" w:rsidR="00FE7584" w:rsidRPr="00DA0569" w:rsidRDefault="00FE7584">
      <w:pPr>
        <w:keepNext/>
        <w:keepLines/>
        <w:spacing w:line="360" w:lineRule="auto"/>
        <w:jc w:val="center"/>
        <w:rPr>
          <w:rFonts w:ascii="Palatino Linotype" w:eastAsia="Palatino Linotype" w:hAnsi="Palatino Linotype" w:cs="Palatino Linotype"/>
          <w:b/>
        </w:rPr>
      </w:pPr>
    </w:p>
    <w:p w14:paraId="49FEF6F3" w14:textId="77777777" w:rsidR="00FE7584" w:rsidRPr="00DA0569" w:rsidRDefault="007C7DF7">
      <w:pPr>
        <w:keepNext/>
        <w:keepLines/>
        <w:spacing w:line="360" w:lineRule="auto"/>
        <w:jc w:val="center"/>
        <w:rPr>
          <w:rFonts w:ascii="Palatino Linotype" w:eastAsia="Palatino Linotype" w:hAnsi="Palatino Linotype" w:cs="Palatino Linotype"/>
          <w:b/>
        </w:rPr>
      </w:pPr>
      <w:r w:rsidRPr="00DA0569">
        <w:rPr>
          <w:rFonts w:ascii="Palatino Linotype" w:eastAsia="Palatino Linotype" w:hAnsi="Palatino Linotype" w:cs="Palatino Linotype"/>
          <w:b/>
        </w:rPr>
        <w:t>A N T E C E D E N T E S</w:t>
      </w:r>
    </w:p>
    <w:p w14:paraId="5554A350" w14:textId="77777777" w:rsidR="00FE7584" w:rsidRPr="00DA0569" w:rsidRDefault="00FE758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B0A2881"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 xml:space="preserve">El </w:t>
      </w:r>
      <w:r w:rsidRPr="00DA0569">
        <w:rPr>
          <w:rFonts w:ascii="Palatino Linotype" w:eastAsia="Palatino Linotype" w:hAnsi="Palatino Linotype" w:cs="Palatino Linotype"/>
          <w:b/>
        </w:rPr>
        <w:t>uno de abril de dos mil veinticuatro</w:t>
      </w:r>
      <w:r w:rsidRPr="00DA0569">
        <w:rPr>
          <w:rFonts w:ascii="Palatino Linotype" w:eastAsia="Palatino Linotype" w:hAnsi="Palatino Linotype" w:cs="Palatino Linotype"/>
        </w:rPr>
        <w:t xml:space="preserve">, </w:t>
      </w:r>
      <w:r w:rsidRPr="00DA0569">
        <w:rPr>
          <w:rFonts w:ascii="Palatino Linotype" w:eastAsia="Palatino Linotype" w:hAnsi="Palatino Linotype" w:cs="Palatino Linotype"/>
          <w:b/>
        </w:rPr>
        <w:t>EL RECURRENTE,</w:t>
      </w:r>
      <w:r w:rsidRPr="00DA0569">
        <w:rPr>
          <w:rFonts w:ascii="Palatino Linotype" w:eastAsia="Palatino Linotype" w:hAnsi="Palatino Linotype" w:cs="Palatino Linotype"/>
        </w:rPr>
        <w:t xml:space="preserve"> ante el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vía Sistema de Acceso a la Información Mexiquense (</w:t>
      </w:r>
      <w:r w:rsidRPr="00DA0569">
        <w:rPr>
          <w:rFonts w:ascii="Palatino Linotype" w:eastAsia="Palatino Linotype" w:hAnsi="Palatino Linotype" w:cs="Palatino Linotype"/>
          <w:b/>
        </w:rPr>
        <w:t>SAIMEX)</w:t>
      </w:r>
      <w:r w:rsidRPr="00DA0569">
        <w:rPr>
          <w:rFonts w:ascii="Palatino Linotype" w:eastAsia="Palatino Linotype" w:hAnsi="Palatino Linotype" w:cs="Palatino Linotype"/>
        </w:rPr>
        <w:t xml:space="preserve">, presentó la solicitud de información registrada con el número </w:t>
      </w:r>
      <w:r w:rsidRPr="00DA0569">
        <w:rPr>
          <w:rFonts w:ascii="Palatino Linotype" w:eastAsia="Palatino Linotype" w:hAnsi="Palatino Linotype" w:cs="Palatino Linotype"/>
          <w:b/>
        </w:rPr>
        <w:t>00223/SMOV/IP/2024</w:t>
      </w:r>
      <w:r w:rsidRPr="00DA0569">
        <w:rPr>
          <w:rFonts w:ascii="Palatino Linotype" w:eastAsia="Palatino Linotype" w:hAnsi="Palatino Linotype" w:cs="Palatino Linotype"/>
        </w:rPr>
        <w:t>,</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en la que se solicitó lo siguiente:</w:t>
      </w:r>
    </w:p>
    <w:p w14:paraId="3FC09AAE" w14:textId="77777777" w:rsidR="00FE7584" w:rsidRPr="00DA0569" w:rsidRDefault="00FE7584">
      <w:pPr>
        <w:spacing w:line="360" w:lineRule="auto"/>
        <w:jc w:val="both"/>
        <w:rPr>
          <w:rFonts w:ascii="Palatino Linotype" w:eastAsia="Palatino Linotype" w:hAnsi="Palatino Linotype" w:cs="Palatino Linotype"/>
        </w:rPr>
      </w:pPr>
    </w:p>
    <w:p w14:paraId="5AFAD96E" w14:textId="77777777" w:rsidR="00FE7584" w:rsidRPr="00DA0569" w:rsidRDefault="007C7DF7">
      <w:pPr>
        <w:spacing w:line="360" w:lineRule="auto"/>
        <w:ind w:left="851" w:right="822"/>
        <w:jc w:val="both"/>
        <w:rPr>
          <w:rFonts w:ascii="Palatino Linotype" w:eastAsia="Palatino Linotype" w:hAnsi="Palatino Linotype" w:cs="Palatino Linotype"/>
          <w:i/>
          <w:color w:val="000000"/>
        </w:rPr>
      </w:pPr>
      <w:r w:rsidRPr="00DA0569">
        <w:rPr>
          <w:rFonts w:ascii="Palatino Linotype" w:eastAsia="Palatino Linotype" w:hAnsi="Palatino Linotype" w:cs="Palatino Linotype"/>
          <w:i/>
          <w:color w:val="000000"/>
        </w:rPr>
        <w:t xml:space="preserve">“De los foros en los que su Secretaría a participado en esta administración se solicita la invitación, el nombre de quien asistió por la Secretaría, las ponencias o temas presentados las relatoría y los logros obtenidos con la evidencia fotográfica de que asistieron.” </w:t>
      </w:r>
      <w:r w:rsidRPr="00DA0569">
        <w:rPr>
          <w:rFonts w:ascii="Palatino Linotype" w:eastAsia="Palatino Linotype" w:hAnsi="Palatino Linotype" w:cs="Palatino Linotype"/>
          <w:color w:val="000000"/>
        </w:rPr>
        <w:t>(Sic)</w:t>
      </w:r>
      <w:r w:rsidRPr="00DA0569">
        <w:rPr>
          <w:rFonts w:ascii="Palatino Linotype" w:eastAsia="Palatino Linotype" w:hAnsi="Palatino Linotype" w:cs="Palatino Linotype"/>
          <w:i/>
          <w:color w:val="000000"/>
        </w:rPr>
        <w:t xml:space="preserve"> </w:t>
      </w:r>
    </w:p>
    <w:p w14:paraId="64743118" w14:textId="77777777" w:rsidR="00FE7584" w:rsidRPr="00DA0569" w:rsidRDefault="00FE7584">
      <w:pPr>
        <w:spacing w:line="360" w:lineRule="auto"/>
        <w:ind w:left="851" w:right="680"/>
        <w:jc w:val="both"/>
        <w:rPr>
          <w:rFonts w:ascii="Palatino Linotype" w:eastAsia="Palatino Linotype" w:hAnsi="Palatino Linotype" w:cs="Palatino Linotype"/>
          <w:i/>
          <w:color w:val="000000"/>
        </w:rPr>
      </w:pPr>
    </w:p>
    <w:p w14:paraId="588C4148" w14:textId="77777777" w:rsidR="00FE7584" w:rsidRPr="00DA0569" w:rsidRDefault="007C7DF7">
      <w:pPr>
        <w:numPr>
          <w:ilvl w:val="0"/>
          <w:numId w:val="9"/>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r w:rsidRPr="00DA0569">
        <w:rPr>
          <w:rFonts w:ascii="Palatino Linotype" w:eastAsia="Palatino Linotype" w:hAnsi="Palatino Linotype" w:cs="Palatino Linotype"/>
          <w:color w:val="000000"/>
        </w:rPr>
        <w:t>Se eligió como modalidad de entrega a través de la plataforma digital Sistema de Acceso a la Información Mexiquense (SAIMEX).</w:t>
      </w:r>
    </w:p>
    <w:p w14:paraId="17B13FA6" w14:textId="77777777" w:rsidR="00FE7584" w:rsidRPr="00DA0569" w:rsidRDefault="00FE7584">
      <w:pPr>
        <w:pBdr>
          <w:top w:val="nil"/>
          <w:left w:val="nil"/>
          <w:bottom w:val="nil"/>
          <w:right w:val="nil"/>
          <w:between w:val="nil"/>
        </w:pBdr>
        <w:spacing w:line="360" w:lineRule="auto"/>
        <w:rPr>
          <w:rFonts w:ascii="Palatino Linotype" w:eastAsia="Palatino Linotype" w:hAnsi="Palatino Linotype" w:cs="Palatino Linotype"/>
          <w:color w:val="000000"/>
        </w:rPr>
      </w:pPr>
    </w:p>
    <w:p w14:paraId="05E38AA4"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En fecha </w:t>
      </w:r>
      <w:r w:rsidRPr="00DA0569">
        <w:rPr>
          <w:rFonts w:ascii="Palatino Linotype" w:eastAsia="Palatino Linotype" w:hAnsi="Palatino Linotype" w:cs="Palatino Linotype"/>
          <w:b/>
          <w:color w:val="000000"/>
        </w:rPr>
        <w:t>veintidós de abril de dos mil veinticuatro</w:t>
      </w:r>
      <w:r w:rsidRPr="00DA0569">
        <w:rPr>
          <w:rFonts w:ascii="Palatino Linotype" w:eastAsia="Palatino Linotype" w:hAnsi="Palatino Linotype" w:cs="Palatino Linotype"/>
          <w:color w:val="000000"/>
        </w:rPr>
        <w:t xml:space="preserve">, el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b/>
          <w:i/>
          <w:color w:val="000000"/>
        </w:rPr>
        <w:t xml:space="preserve"> </w:t>
      </w:r>
      <w:r w:rsidRPr="00DA0569">
        <w:rPr>
          <w:rFonts w:ascii="Palatino Linotype" w:eastAsia="Palatino Linotype" w:hAnsi="Palatino Linotype" w:cs="Palatino Linotype"/>
          <w:color w:val="000000"/>
        </w:rPr>
        <w:t xml:space="preserve">dio respuesta a la solicitud de información adjuntando un archivo electrónico </w:t>
      </w:r>
      <w:r w:rsidRPr="00DA0569">
        <w:rPr>
          <w:rFonts w:ascii="Palatino Linotype" w:eastAsia="Palatino Linotype" w:hAnsi="Palatino Linotype" w:cs="Palatino Linotype"/>
          <w:b/>
          <w:i/>
          <w:color w:val="000000"/>
        </w:rPr>
        <w:t>Contestación SAIMEX 00223 MOVIP2024 (3).</w:t>
      </w:r>
      <w:proofErr w:type="spellStart"/>
      <w:r w:rsidRPr="00DA0569">
        <w:rPr>
          <w:rFonts w:ascii="Palatino Linotype" w:eastAsia="Palatino Linotype" w:hAnsi="Palatino Linotype" w:cs="Palatino Linotype"/>
          <w:b/>
          <w:i/>
          <w:color w:val="000000"/>
        </w:rPr>
        <w:t>pdf</w:t>
      </w:r>
      <w:proofErr w:type="spellEnd"/>
      <w:r w:rsidRPr="00DA0569">
        <w:rPr>
          <w:rFonts w:ascii="Palatino Linotype" w:eastAsia="Palatino Linotype" w:hAnsi="Palatino Linotype" w:cs="Palatino Linotype"/>
          <w:b/>
          <w:i/>
          <w:color w:val="000000"/>
        </w:rPr>
        <w:t xml:space="preserve">., </w:t>
      </w:r>
      <w:r w:rsidRPr="00DA0569">
        <w:rPr>
          <w:rFonts w:ascii="Palatino Linotype" w:eastAsia="Palatino Linotype" w:hAnsi="Palatino Linotype" w:cs="Palatino Linotype"/>
          <w:color w:val="000000"/>
        </w:rPr>
        <w:t>el cual contiene una tarjeta informativa de la cual entre otras cosas se observa:</w:t>
      </w:r>
    </w:p>
    <w:p w14:paraId="054A6610"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3A14EF" w14:textId="77777777" w:rsidR="00FE7584" w:rsidRPr="00DA0569" w:rsidRDefault="007C7DF7">
      <w:pPr>
        <w:numPr>
          <w:ilvl w:val="0"/>
          <w:numId w:val="1"/>
        </w:numPr>
        <w:pBdr>
          <w:top w:val="nil"/>
          <w:left w:val="nil"/>
          <w:bottom w:val="nil"/>
          <w:right w:val="nil"/>
          <w:between w:val="nil"/>
        </w:pBdr>
        <w:spacing w:line="360" w:lineRule="auto"/>
        <w:ind w:right="544"/>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i/>
          <w:color w:val="000000"/>
          <w:sz w:val="22"/>
          <w:szCs w:val="22"/>
        </w:rPr>
        <w:t>“…Al respecto, y a fin de dar cumplimiento a lo solicitado, me permito informarle que después de una búsqueda exhaustiva en los archivos que resguarda esta Unidad Administrativa, no se cuenta con la información solicitada.</w:t>
      </w:r>
    </w:p>
    <w:p w14:paraId="5941D33D" w14:textId="77777777" w:rsidR="00FE7584" w:rsidRPr="00DA0569" w:rsidRDefault="007C7DF7">
      <w:pPr>
        <w:pBdr>
          <w:top w:val="nil"/>
          <w:left w:val="nil"/>
          <w:bottom w:val="nil"/>
          <w:right w:val="nil"/>
          <w:between w:val="nil"/>
        </w:pBdr>
        <w:spacing w:line="360" w:lineRule="auto"/>
        <w:ind w:left="720" w:right="544"/>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i/>
          <w:color w:val="000000"/>
          <w:sz w:val="22"/>
          <w:szCs w:val="22"/>
        </w:rPr>
        <w:t>Ahora bien, se debe precisar que la Secretaría de Movilidad no tuvo como responsabilidad la organización de los foros, razón por la cual no se cuenta con la información solicitada</w:t>
      </w:r>
      <w:r w:rsidRPr="00DA0569">
        <w:rPr>
          <w:rFonts w:ascii="Palatino Linotype" w:eastAsia="Palatino Linotype" w:hAnsi="Palatino Linotype" w:cs="Palatino Linotype"/>
          <w:color w:val="000000"/>
          <w:sz w:val="22"/>
          <w:szCs w:val="22"/>
        </w:rPr>
        <w:t>…” (Sic)</w:t>
      </w:r>
    </w:p>
    <w:p w14:paraId="4D51B0C3" w14:textId="77777777" w:rsidR="00FE7584" w:rsidRPr="00DA0569" w:rsidRDefault="00FE758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51F70E5E" w14:textId="77777777" w:rsidR="00FE7584" w:rsidRPr="00DA0569" w:rsidRDefault="007C7DF7">
      <w:pPr>
        <w:numPr>
          <w:ilvl w:val="0"/>
          <w:numId w:val="5"/>
        </w:numPr>
        <w:pBdr>
          <w:top w:val="nil"/>
          <w:left w:val="nil"/>
          <w:bottom w:val="nil"/>
          <w:right w:val="nil"/>
          <w:between w:val="nil"/>
        </w:pBdr>
        <w:spacing w:line="360" w:lineRule="auto"/>
        <w:ind w:left="0" w:right="49" w:firstLine="0"/>
        <w:jc w:val="both"/>
        <w:rPr>
          <w:color w:val="000000"/>
        </w:rPr>
      </w:pPr>
      <w:r w:rsidRPr="00DA0569">
        <w:rPr>
          <w:rFonts w:ascii="Palatino Linotype" w:eastAsia="Palatino Linotype" w:hAnsi="Palatino Linotype" w:cs="Palatino Linotype"/>
          <w:color w:val="000000"/>
        </w:rPr>
        <w:t>En fecha</w:t>
      </w:r>
      <w:r w:rsidRPr="00DA0569">
        <w:rPr>
          <w:rFonts w:ascii="Palatino Linotype" w:eastAsia="Palatino Linotype" w:hAnsi="Palatino Linotype" w:cs="Palatino Linotype"/>
          <w:b/>
          <w:color w:val="000000"/>
        </w:rPr>
        <w:t xml:space="preserve"> ocho de mayo de dos mil veinticuatro,</w:t>
      </w:r>
      <w:r w:rsidRPr="00DA0569">
        <w:rPr>
          <w:rFonts w:ascii="Palatino Linotype" w:eastAsia="Palatino Linotype" w:hAnsi="Palatino Linotype" w:cs="Palatino Linotype"/>
          <w:color w:val="000000"/>
        </w:rPr>
        <w:t xml:space="preserve"> el particular interpuso el recurso de revisión en contra de la respuesta, manifestando las siguientes razones o motivos de inconformidad:</w:t>
      </w:r>
    </w:p>
    <w:p w14:paraId="0DEF0AB6" w14:textId="77777777" w:rsidR="00FE7584" w:rsidRPr="00DA0569" w:rsidRDefault="007C7DF7">
      <w:pPr>
        <w:numPr>
          <w:ilvl w:val="0"/>
          <w:numId w:val="1"/>
        </w:numPr>
        <w:pBdr>
          <w:top w:val="nil"/>
          <w:left w:val="nil"/>
          <w:bottom w:val="nil"/>
          <w:right w:val="nil"/>
          <w:between w:val="nil"/>
        </w:pBdr>
        <w:spacing w:line="360" w:lineRule="auto"/>
        <w:ind w:right="544"/>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b/>
          <w:color w:val="000000"/>
          <w:sz w:val="22"/>
          <w:szCs w:val="22"/>
        </w:rPr>
        <w:t>Acto impugnado</w:t>
      </w:r>
      <w:r w:rsidRPr="00DA0569">
        <w:rPr>
          <w:rFonts w:ascii="Palatino Linotype" w:eastAsia="Palatino Linotype" w:hAnsi="Palatino Linotype" w:cs="Palatino Linotype"/>
          <w:color w:val="000000"/>
          <w:sz w:val="22"/>
          <w:szCs w:val="22"/>
        </w:rPr>
        <w:t xml:space="preserve">: </w:t>
      </w:r>
      <w:r w:rsidRPr="00DA0569">
        <w:rPr>
          <w:rFonts w:ascii="Palatino Linotype" w:eastAsia="Palatino Linotype" w:hAnsi="Palatino Linotype" w:cs="Palatino Linotype"/>
          <w:i/>
          <w:color w:val="000000"/>
          <w:sz w:val="22"/>
          <w:szCs w:val="22"/>
        </w:rPr>
        <w:t>“Como niegan la información i hay evidencia que son parte de los foros” (S</w:t>
      </w:r>
      <w:r w:rsidRPr="00DA0569">
        <w:rPr>
          <w:rFonts w:ascii="Palatino Linotype" w:eastAsia="Palatino Linotype" w:hAnsi="Palatino Linotype" w:cs="Palatino Linotype"/>
          <w:color w:val="000000"/>
          <w:sz w:val="22"/>
          <w:szCs w:val="22"/>
        </w:rPr>
        <w:t>ic)</w:t>
      </w:r>
    </w:p>
    <w:p w14:paraId="267AA470" w14:textId="77777777" w:rsidR="00FE7584" w:rsidRPr="00DA0569" w:rsidRDefault="007C7DF7">
      <w:pPr>
        <w:numPr>
          <w:ilvl w:val="0"/>
          <w:numId w:val="2"/>
        </w:numPr>
        <w:pBdr>
          <w:top w:val="nil"/>
          <w:left w:val="nil"/>
          <w:bottom w:val="nil"/>
          <w:right w:val="nil"/>
          <w:between w:val="nil"/>
        </w:pBdr>
        <w:spacing w:line="360" w:lineRule="auto"/>
        <w:ind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b/>
          <w:color w:val="000000"/>
          <w:sz w:val="22"/>
          <w:szCs w:val="22"/>
        </w:rPr>
        <w:t xml:space="preserve">Razones o Motivos de inconformidad: </w:t>
      </w:r>
      <w:r w:rsidRPr="00DA0569">
        <w:rPr>
          <w:rFonts w:ascii="Palatino Linotype" w:eastAsia="Palatino Linotype" w:hAnsi="Palatino Linotype" w:cs="Palatino Linotype"/>
          <w:i/>
          <w:color w:val="000000"/>
          <w:sz w:val="22"/>
          <w:szCs w:val="22"/>
        </w:rPr>
        <w:t xml:space="preserve">“No entrega la </w:t>
      </w:r>
      <w:proofErr w:type="spellStart"/>
      <w:r w:rsidRPr="00DA0569">
        <w:rPr>
          <w:rFonts w:ascii="Palatino Linotype" w:eastAsia="Palatino Linotype" w:hAnsi="Palatino Linotype" w:cs="Palatino Linotype"/>
          <w:i/>
          <w:color w:val="000000"/>
          <w:sz w:val="22"/>
          <w:szCs w:val="22"/>
        </w:rPr>
        <w:t>informaicón</w:t>
      </w:r>
      <w:proofErr w:type="spellEnd"/>
      <w:r w:rsidRPr="00DA0569">
        <w:rPr>
          <w:rFonts w:ascii="Palatino Linotype" w:eastAsia="Palatino Linotype" w:hAnsi="Palatino Linotype" w:cs="Palatino Linotype"/>
          <w:i/>
          <w:color w:val="000000"/>
          <w:sz w:val="22"/>
          <w:szCs w:val="22"/>
        </w:rPr>
        <w:t xml:space="preserve"> que por obligación deben entregar de los foros”</w:t>
      </w:r>
      <w:r w:rsidRPr="00DA0569">
        <w:rPr>
          <w:rFonts w:ascii="Palatino Linotype" w:eastAsia="Palatino Linotype" w:hAnsi="Palatino Linotype" w:cs="Palatino Linotype"/>
          <w:color w:val="000000"/>
          <w:sz w:val="22"/>
          <w:szCs w:val="22"/>
        </w:rPr>
        <w:t xml:space="preserve"> (Sic)</w:t>
      </w:r>
    </w:p>
    <w:p w14:paraId="4A0318A1" w14:textId="77777777" w:rsidR="00FE7584" w:rsidRPr="00DA0569" w:rsidRDefault="00FE7584">
      <w:pPr>
        <w:pBdr>
          <w:top w:val="nil"/>
          <w:left w:val="nil"/>
          <w:bottom w:val="nil"/>
          <w:right w:val="nil"/>
          <w:between w:val="nil"/>
        </w:pBdr>
        <w:spacing w:line="360" w:lineRule="auto"/>
        <w:ind w:right="538"/>
        <w:jc w:val="both"/>
        <w:rPr>
          <w:rFonts w:ascii="Palatino Linotype" w:eastAsia="Palatino Linotype" w:hAnsi="Palatino Linotype" w:cs="Palatino Linotype"/>
          <w:b/>
          <w:i/>
          <w:color w:val="000000"/>
          <w:u w:val="single"/>
        </w:rPr>
      </w:pPr>
    </w:p>
    <w:p w14:paraId="73D4BE50" w14:textId="77777777" w:rsidR="00FE7584" w:rsidRPr="00DA0569" w:rsidRDefault="007C7DF7">
      <w:pPr>
        <w:numPr>
          <w:ilvl w:val="0"/>
          <w:numId w:val="5"/>
        </w:numPr>
        <w:pBdr>
          <w:top w:val="nil"/>
          <w:left w:val="nil"/>
          <w:bottom w:val="nil"/>
          <w:right w:val="nil"/>
          <w:between w:val="nil"/>
        </w:pBdr>
        <w:spacing w:line="360" w:lineRule="auto"/>
        <w:ind w:left="0" w:right="1" w:firstLine="0"/>
        <w:jc w:val="both"/>
        <w:rPr>
          <w:color w:val="000000"/>
        </w:rPr>
      </w:pPr>
      <w:r w:rsidRPr="00DA0569">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DA0569">
        <w:rPr>
          <w:rFonts w:ascii="Palatino Linotype" w:eastAsia="Palatino Linotype" w:hAnsi="Palatino Linotype" w:cs="Palatino Linotype"/>
          <w:b/>
          <w:color w:val="000000"/>
        </w:rPr>
        <w:t xml:space="preserve">Ley de </w:t>
      </w:r>
      <w:r w:rsidRPr="00DA0569">
        <w:rPr>
          <w:rFonts w:ascii="Palatino Linotype" w:eastAsia="Palatino Linotype" w:hAnsi="Palatino Linotype" w:cs="Palatino Linotype"/>
          <w:b/>
          <w:color w:val="000000"/>
        </w:rPr>
        <w:lastRenderedPageBreak/>
        <w:t>Transparencia y Acceso a la Información Pública del Estado de México y Municipios</w:t>
      </w:r>
      <w:r w:rsidRPr="00DA0569">
        <w:rPr>
          <w:rFonts w:ascii="Palatino Linotype" w:eastAsia="Palatino Linotype" w:hAnsi="Palatino Linotype" w:cs="Palatino Linotype"/>
          <w:color w:val="000000"/>
        </w:rPr>
        <w:t>,</w:t>
      </w:r>
      <w:r w:rsidRPr="00DA0569">
        <w:rPr>
          <w:rFonts w:ascii="Palatino Linotype" w:eastAsia="Palatino Linotype" w:hAnsi="Palatino Linotype" w:cs="Palatino Linotype"/>
          <w:b/>
          <w:color w:val="000000"/>
        </w:rPr>
        <w:t xml:space="preserve"> </w:t>
      </w:r>
      <w:r w:rsidRPr="00DA0569">
        <w:rPr>
          <w:rFonts w:ascii="Palatino Linotype" w:eastAsia="Palatino Linotype" w:hAnsi="Palatino Linotype" w:cs="Palatino Linotype"/>
          <w:color w:val="000000"/>
        </w:rPr>
        <w:t xml:space="preserve">se </w:t>
      </w:r>
      <w:r w:rsidRPr="00DA0569">
        <w:rPr>
          <w:rFonts w:ascii="Palatino Linotype" w:eastAsia="Palatino Linotype" w:hAnsi="Palatino Linotype" w:cs="Palatino Linotype"/>
        </w:rPr>
        <w:t>turna</w:t>
      </w:r>
      <w:r w:rsidRPr="00DA0569">
        <w:rPr>
          <w:rFonts w:ascii="Palatino Linotype" w:eastAsia="Palatino Linotype" w:hAnsi="Palatino Linotype" w:cs="Palatino Linotype"/>
          <w:color w:val="000000"/>
        </w:rPr>
        <w:t xml:space="preserve"> a la </w:t>
      </w:r>
      <w:r w:rsidRPr="00DA0569">
        <w:rPr>
          <w:rFonts w:ascii="Palatino Linotype" w:eastAsia="Palatino Linotype" w:hAnsi="Palatino Linotype" w:cs="Palatino Linotype"/>
          <w:b/>
          <w:color w:val="000000"/>
        </w:rPr>
        <w:t xml:space="preserve">Comisionada María del Rosario Mejía Ayala, </w:t>
      </w:r>
      <w:r w:rsidRPr="00DA0569">
        <w:rPr>
          <w:rFonts w:ascii="Palatino Linotype" w:eastAsia="Palatino Linotype" w:hAnsi="Palatino Linotype" w:cs="Palatino Linotype"/>
        </w:rPr>
        <w:t>para</w:t>
      </w:r>
      <w:r w:rsidRPr="00DA0569">
        <w:rPr>
          <w:rFonts w:ascii="Palatino Linotype" w:eastAsia="Palatino Linotype" w:hAnsi="Palatino Linotype" w:cs="Palatino Linotype"/>
          <w:color w:val="000000"/>
        </w:rPr>
        <w:t xml:space="preserve"> su análisis. </w:t>
      </w:r>
    </w:p>
    <w:p w14:paraId="4395FD7F" w14:textId="77777777" w:rsidR="00FE7584" w:rsidRPr="00DA0569" w:rsidRDefault="00FE7584">
      <w:pPr>
        <w:spacing w:line="360" w:lineRule="auto"/>
        <w:ind w:right="1"/>
        <w:jc w:val="both"/>
        <w:rPr>
          <w:rFonts w:ascii="Palatino Linotype" w:eastAsia="Palatino Linotype" w:hAnsi="Palatino Linotype" w:cs="Palatino Linotype"/>
          <w:color w:val="000000"/>
        </w:rPr>
      </w:pPr>
    </w:p>
    <w:p w14:paraId="6C2AC37B" w14:textId="77777777" w:rsidR="00FE7584" w:rsidRPr="00DA0569" w:rsidRDefault="007C7DF7">
      <w:pPr>
        <w:numPr>
          <w:ilvl w:val="0"/>
          <w:numId w:val="5"/>
        </w:numPr>
        <w:pBdr>
          <w:top w:val="nil"/>
          <w:left w:val="nil"/>
          <w:bottom w:val="nil"/>
          <w:right w:val="nil"/>
          <w:between w:val="nil"/>
        </w:pBdr>
        <w:spacing w:line="360" w:lineRule="auto"/>
        <w:ind w:left="0" w:right="1" w:firstLine="0"/>
        <w:jc w:val="both"/>
        <w:rPr>
          <w:color w:val="000000"/>
        </w:rPr>
      </w:pPr>
      <w:r w:rsidRPr="00DA0569">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del </w:t>
      </w:r>
      <w:r w:rsidRPr="00DA0569">
        <w:rPr>
          <w:rFonts w:ascii="Palatino Linotype" w:eastAsia="Palatino Linotype" w:hAnsi="Palatino Linotype" w:cs="Palatino Linotype"/>
          <w:b/>
          <w:color w:val="000000"/>
        </w:rPr>
        <w:t>trece de mayo de dos mil veinticuatro</w:t>
      </w:r>
      <w:r w:rsidRPr="00DA0569">
        <w:rPr>
          <w:rFonts w:ascii="Palatino Linotype" w:eastAsia="Palatino Linotype" w:hAnsi="Palatino Linotype" w:cs="Palatino Linotype"/>
          <w:color w:val="000000"/>
        </w:rPr>
        <w:t xml:space="preserve">, puso a disposición de las partes el expediente electrónico vía Sistema de Acceso a la Información Mexiquense </w:t>
      </w:r>
      <w:r w:rsidRPr="00DA0569">
        <w:rPr>
          <w:rFonts w:ascii="Palatino Linotype" w:eastAsia="Palatino Linotype" w:hAnsi="Palatino Linotype" w:cs="Palatino Linotype"/>
          <w:b/>
          <w:color w:val="000000"/>
        </w:rPr>
        <w:t xml:space="preserve">SAIMEX </w:t>
      </w:r>
      <w:r w:rsidRPr="00DA0569">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 xml:space="preserve"> </w:t>
      </w:r>
      <w:r w:rsidRPr="00DA0569">
        <w:rPr>
          <w:rFonts w:ascii="Palatino Linotype" w:eastAsia="Palatino Linotype" w:hAnsi="Palatino Linotype" w:cs="Palatino Linotype"/>
        </w:rPr>
        <w:t>presentará</w:t>
      </w:r>
      <w:r w:rsidRPr="00DA0569">
        <w:rPr>
          <w:rFonts w:ascii="Palatino Linotype" w:eastAsia="Palatino Linotype" w:hAnsi="Palatino Linotype" w:cs="Palatino Linotype"/>
          <w:color w:val="000000"/>
        </w:rPr>
        <w:t xml:space="preserve"> el Informe Justificado procedente.</w:t>
      </w:r>
    </w:p>
    <w:p w14:paraId="3F9A376D" w14:textId="77777777" w:rsidR="00FE7584" w:rsidRPr="00DA0569" w:rsidRDefault="00FE758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u w:val="single"/>
        </w:rPr>
      </w:pPr>
    </w:p>
    <w:p w14:paraId="1A4D2040"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El particular fue omiso en realizar manifestaciones que a su derecho conviniera y asistiera. Por su parte el </w:t>
      </w:r>
      <w:r w:rsidRPr="00DA0569">
        <w:rPr>
          <w:rFonts w:ascii="Palatino Linotype" w:eastAsia="Palatino Linotype" w:hAnsi="Palatino Linotype" w:cs="Palatino Linotype"/>
          <w:b/>
          <w:color w:val="000000"/>
        </w:rPr>
        <w:t xml:space="preserve">SUJETO </w:t>
      </w:r>
      <w:r w:rsidRPr="00DA0569">
        <w:rPr>
          <w:rFonts w:ascii="Palatino Linotype" w:eastAsia="Palatino Linotype" w:hAnsi="Palatino Linotype" w:cs="Palatino Linotype"/>
          <w:b/>
        </w:rPr>
        <w:t>PÚBLICO</w:t>
      </w:r>
      <w:r w:rsidRPr="00DA0569">
        <w:rPr>
          <w:rFonts w:ascii="Palatino Linotype" w:eastAsia="Palatino Linotype" w:hAnsi="Palatino Linotype" w:cs="Palatino Linotype"/>
          <w:color w:val="000000"/>
        </w:rPr>
        <w:t xml:space="preserve"> en fecha </w:t>
      </w:r>
      <w:r w:rsidRPr="00DA0569">
        <w:rPr>
          <w:rFonts w:ascii="Palatino Linotype" w:eastAsia="Palatino Linotype" w:hAnsi="Palatino Linotype" w:cs="Palatino Linotype"/>
          <w:b/>
          <w:color w:val="000000"/>
        </w:rPr>
        <w:t>veintidós de mayo de dos mil veinticuatro</w:t>
      </w:r>
      <w:r w:rsidRPr="00DA0569">
        <w:rPr>
          <w:rFonts w:ascii="Palatino Linotype" w:eastAsia="Palatino Linotype" w:hAnsi="Palatino Linotype" w:cs="Palatino Linotype"/>
          <w:color w:val="000000"/>
        </w:rPr>
        <w:t xml:space="preserve">, rindió informe justificado </w:t>
      </w:r>
      <w:r w:rsidRPr="00DA0569">
        <w:rPr>
          <w:rFonts w:ascii="Palatino Linotype" w:eastAsia="Palatino Linotype" w:hAnsi="Palatino Linotype" w:cs="Palatino Linotype"/>
          <w:i/>
          <w:color w:val="000000"/>
        </w:rPr>
        <w:t>grosso modo</w:t>
      </w:r>
      <w:r w:rsidRPr="00DA0569">
        <w:rPr>
          <w:rFonts w:ascii="Palatino Linotype" w:eastAsia="Palatino Linotype" w:hAnsi="Palatino Linotype" w:cs="Palatino Linotype"/>
          <w:color w:val="000000"/>
        </w:rPr>
        <w:t xml:space="preserve"> ratificando su respuesta primigenia.</w:t>
      </w:r>
    </w:p>
    <w:p w14:paraId="1BDAEDF3" w14:textId="77777777" w:rsidR="00FE7584" w:rsidRPr="00DA0569" w:rsidRDefault="00FE7584">
      <w:pPr>
        <w:spacing w:line="360" w:lineRule="auto"/>
        <w:ind w:right="1"/>
        <w:jc w:val="both"/>
        <w:rPr>
          <w:rFonts w:ascii="Palatino Linotype" w:eastAsia="Palatino Linotype" w:hAnsi="Palatino Linotype" w:cs="Palatino Linotype"/>
          <w:color w:val="000000"/>
        </w:rPr>
      </w:pPr>
    </w:p>
    <w:p w14:paraId="38E74DAF"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C9BF437" w14:textId="77777777" w:rsidR="00FE7584" w:rsidRPr="00DA0569" w:rsidRDefault="00FE7584">
      <w:pPr>
        <w:pBdr>
          <w:top w:val="nil"/>
          <w:left w:val="nil"/>
          <w:bottom w:val="nil"/>
          <w:right w:val="nil"/>
          <w:between w:val="nil"/>
        </w:pBdr>
        <w:spacing w:line="360" w:lineRule="auto"/>
        <w:ind w:right="-450"/>
        <w:jc w:val="both"/>
        <w:rPr>
          <w:rFonts w:ascii="Palatino Linotype" w:eastAsia="Palatino Linotype" w:hAnsi="Palatino Linotype" w:cs="Palatino Linotype"/>
          <w:color w:val="000000"/>
        </w:rPr>
      </w:pPr>
    </w:p>
    <w:p w14:paraId="25F499F4"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w:t>
      </w:r>
      <w:r w:rsidRPr="00DA0569">
        <w:rPr>
          <w:rFonts w:ascii="Palatino Linotype" w:eastAsia="Palatino Linotype" w:hAnsi="Palatino Linotype" w:cs="Palatino Linotype"/>
          <w:color w:val="000000"/>
        </w:rPr>
        <w:lastRenderedPageBreak/>
        <w:t>por diversos órganos jurisdiccionales federales, aplicables también en procedimientos análogos, como el que nos ocupa.</w:t>
      </w:r>
    </w:p>
    <w:p w14:paraId="33C2F36B" w14:textId="77777777" w:rsidR="00FE7584" w:rsidRPr="00DA0569" w:rsidRDefault="00FE7584">
      <w:pPr>
        <w:pBdr>
          <w:top w:val="nil"/>
          <w:left w:val="nil"/>
          <w:bottom w:val="nil"/>
          <w:right w:val="nil"/>
          <w:between w:val="nil"/>
        </w:pBdr>
        <w:spacing w:line="360" w:lineRule="auto"/>
        <w:ind w:left="720" w:right="-450"/>
        <w:rPr>
          <w:rFonts w:ascii="Palatino Linotype" w:eastAsia="Palatino Linotype" w:hAnsi="Palatino Linotype" w:cs="Palatino Linotype"/>
          <w:b/>
          <w:color w:val="000000"/>
        </w:rPr>
      </w:pPr>
    </w:p>
    <w:p w14:paraId="5901182D"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095B0E" w14:textId="77777777" w:rsidR="00FE7584" w:rsidRPr="00DA0569" w:rsidRDefault="00FE7584">
      <w:pPr>
        <w:pBdr>
          <w:top w:val="nil"/>
          <w:left w:val="nil"/>
          <w:bottom w:val="nil"/>
          <w:right w:val="nil"/>
          <w:between w:val="nil"/>
        </w:pBdr>
        <w:spacing w:line="360" w:lineRule="auto"/>
        <w:ind w:right="-450"/>
        <w:jc w:val="both"/>
        <w:rPr>
          <w:rFonts w:ascii="Palatino Linotype" w:eastAsia="Palatino Linotype" w:hAnsi="Palatino Linotype" w:cs="Palatino Linotype"/>
          <w:b/>
          <w:color w:val="000000"/>
        </w:rPr>
      </w:pPr>
    </w:p>
    <w:p w14:paraId="73F6E05B"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09ECB5" w14:textId="77777777" w:rsidR="00FE7584" w:rsidRPr="00DA0569" w:rsidRDefault="00FE7584">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14:paraId="54CABA16"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0051D223" w14:textId="77777777" w:rsidR="00FE7584" w:rsidRPr="00DA0569" w:rsidRDefault="007C7DF7">
      <w:pPr>
        <w:numPr>
          <w:ilvl w:val="0"/>
          <w:numId w:val="3"/>
        </w:numPr>
        <w:pBdr>
          <w:top w:val="nil"/>
          <w:left w:val="nil"/>
          <w:bottom w:val="nil"/>
          <w:right w:val="nil"/>
          <w:between w:val="nil"/>
        </w:pBdr>
        <w:spacing w:line="360" w:lineRule="auto"/>
        <w:ind w:left="992" w:right="542"/>
        <w:jc w:val="both"/>
        <w:rPr>
          <w:rFonts w:ascii="Palatino Linotype" w:eastAsia="Palatino Linotype" w:hAnsi="Palatino Linotype" w:cs="Palatino Linotype"/>
        </w:rPr>
      </w:pPr>
      <w:r w:rsidRPr="00DA0569">
        <w:rPr>
          <w:rFonts w:ascii="Palatino Linotype" w:eastAsia="Palatino Linotype" w:hAnsi="Palatino Linotype" w:cs="Palatino Linotype"/>
          <w:color w:val="000000"/>
        </w:rPr>
        <w:t>C</w:t>
      </w:r>
      <w:r w:rsidRPr="00DA0569">
        <w:rPr>
          <w:rFonts w:ascii="Palatino Linotype" w:eastAsia="Palatino Linotype" w:hAnsi="Palatino Linotype" w:cs="Palatino Linotype"/>
          <w:color w:val="000000"/>
          <w:sz w:val="22"/>
          <w:szCs w:val="22"/>
        </w:rPr>
        <w:t xml:space="preserve">omplejidad del </w:t>
      </w:r>
      <w:r w:rsidRPr="00DA0569">
        <w:rPr>
          <w:rFonts w:ascii="Palatino Linotype" w:eastAsia="Palatino Linotype" w:hAnsi="Palatino Linotype" w:cs="Palatino Linotype"/>
          <w:sz w:val="22"/>
          <w:szCs w:val="22"/>
        </w:rPr>
        <w:t>asunto</w:t>
      </w:r>
      <w:r w:rsidRPr="00DA0569">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5DF72AA8" w14:textId="77777777" w:rsidR="00FE7584" w:rsidRPr="00DA0569" w:rsidRDefault="007C7DF7">
      <w:pPr>
        <w:numPr>
          <w:ilvl w:val="0"/>
          <w:numId w:val="3"/>
        </w:numPr>
        <w:pBdr>
          <w:top w:val="nil"/>
          <w:left w:val="nil"/>
          <w:bottom w:val="nil"/>
          <w:right w:val="nil"/>
          <w:between w:val="nil"/>
        </w:pBdr>
        <w:spacing w:line="360" w:lineRule="auto"/>
        <w:ind w:left="992" w:right="54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Actividad Procesal del interesado. Acciones u omisiones del interesado.</w:t>
      </w:r>
    </w:p>
    <w:p w14:paraId="6E2C53BC" w14:textId="77777777" w:rsidR="00FE7584" w:rsidRPr="00DA0569" w:rsidRDefault="007C7DF7">
      <w:pPr>
        <w:numPr>
          <w:ilvl w:val="0"/>
          <w:numId w:val="3"/>
        </w:numPr>
        <w:pBdr>
          <w:top w:val="nil"/>
          <w:left w:val="nil"/>
          <w:bottom w:val="nil"/>
          <w:right w:val="nil"/>
          <w:between w:val="nil"/>
        </w:pBdr>
        <w:spacing w:line="360" w:lineRule="auto"/>
        <w:ind w:left="992" w:right="54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35954052" w14:textId="77777777" w:rsidR="00FE7584" w:rsidRPr="00DA0569" w:rsidRDefault="007C7DF7">
      <w:pPr>
        <w:numPr>
          <w:ilvl w:val="0"/>
          <w:numId w:val="3"/>
        </w:numPr>
        <w:pBdr>
          <w:top w:val="nil"/>
          <w:left w:val="nil"/>
          <w:bottom w:val="nil"/>
          <w:right w:val="nil"/>
          <w:between w:val="nil"/>
        </w:pBdr>
        <w:spacing w:line="360" w:lineRule="auto"/>
        <w:ind w:left="992" w:right="542"/>
        <w:jc w:val="both"/>
        <w:rPr>
          <w:rFonts w:ascii="Palatino Linotype" w:eastAsia="Palatino Linotype" w:hAnsi="Palatino Linotype" w:cs="Palatino Linotype"/>
          <w:color w:val="000000"/>
        </w:rPr>
      </w:pPr>
      <w:r w:rsidRPr="00DA0569">
        <w:rPr>
          <w:rFonts w:ascii="Palatino Linotype" w:eastAsia="Palatino Linotype" w:hAnsi="Palatino Linotype" w:cs="Palatino Linotype"/>
          <w:color w:val="000000"/>
          <w:sz w:val="22"/>
          <w:szCs w:val="22"/>
        </w:rPr>
        <w:t>La afectación generada en la situación jurídica de la persona</w:t>
      </w:r>
      <w:r w:rsidRPr="00DA0569">
        <w:rPr>
          <w:rFonts w:ascii="Palatino Linotype" w:eastAsia="Palatino Linotype" w:hAnsi="Palatino Linotype" w:cs="Palatino Linotype"/>
          <w:color w:val="000000"/>
        </w:rPr>
        <w:t xml:space="preserve"> </w:t>
      </w:r>
      <w:r w:rsidRPr="00DA0569">
        <w:rPr>
          <w:rFonts w:ascii="Palatino Linotype" w:eastAsia="Palatino Linotype" w:hAnsi="Palatino Linotype" w:cs="Palatino Linotype"/>
          <w:color w:val="000000"/>
          <w:sz w:val="22"/>
          <w:szCs w:val="22"/>
        </w:rPr>
        <w:t>involucrada en el proceso: Violación a sus derechos humanos.</w:t>
      </w:r>
    </w:p>
    <w:p w14:paraId="39D1485B" w14:textId="77777777" w:rsidR="00FE7584" w:rsidRPr="00DA0569" w:rsidRDefault="00FE7584">
      <w:pPr>
        <w:pBdr>
          <w:top w:val="nil"/>
          <w:left w:val="nil"/>
          <w:bottom w:val="nil"/>
          <w:right w:val="nil"/>
          <w:between w:val="nil"/>
        </w:pBdr>
        <w:spacing w:line="360" w:lineRule="auto"/>
        <w:ind w:left="992" w:right="-450"/>
        <w:jc w:val="both"/>
        <w:rPr>
          <w:rFonts w:ascii="Palatino Linotype" w:eastAsia="Palatino Linotype" w:hAnsi="Palatino Linotype" w:cs="Palatino Linotype"/>
          <w:color w:val="000000"/>
        </w:rPr>
      </w:pPr>
    </w:p>
    <w:p w14:paraId="2CD1983C"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CA1314" w14:textId="77777777" w:rsidR="00FE7584" w:rsidRPr="00DA0569" w:rsidRDefault="00FE7584">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14:paraId="064AEBF1" w14:textId="77777777" w:rsidR="00FE7584" w:rsidRPr="00DA0569" w:rsidRDefault="007C7DF7">
      <w:pPr>
        <w:numPr>
          <w:ilvl w:val="0"/>
          <w:numId w:val="5"/>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color w:val="000000"/>
        </w:rPr>
        <w:t>Argumento que encuentra sustento en la jurisprudencia P</w:t>
      </w:r>
      <w:proofErr w:type="gramStart"/>
      <w:r w:rsidRPr="00DA0569">
        <w:rPr>
          <w:rFonts w:ascii="Palatino Linotype" w:eastAsia="Palatino Linotype" w:hAnsi="Palatino Linotype" w:cs="Palatino Linotype"/>
          <w:color w:val="000000"/>
        </w:rPr>
        <w:t>./</w:t>
      </w:r>
      <w:proofErr w:type="gramEnd"/>
      <w:r w:rsidRPr="00DA0569">
        <w:rPr>
          <w:rFonts w:ascii="Palatino Linotype" w:eastAsia="Palatino Linotype" w:hAnsi="Palatino Linotype" w:cs="Palatino Linotype"/>
          <w:color w:val="000000"/>
        </w:rPr>
        <w:t xml:space="preserve">J. 32/92 emitida por el Pleno de la Suprema Corte de Justicia de la Nación </w:t>
      </w:r>
      <w:r w:rsidRPr="00DA0569">
        <w:rPr>
          <w:rFonts w:ascii="Palatino Linotype" w:eastAsia="Palatino Linotype" w:hAnsi="Palatino Linotype" w:cs="Palatino Linotype"/>
        </w:rPr>
        <w:t>del rubro</w:t>
      </w:r>
      <w:r w:rsidRPr="00DA0569">
        <w:rPr>
          <w:rFonts w:ascii="Palatino Linotype" w:eastAsia="Palatino Linotype" w:hAnsi="Palatino Linotype" w:cs="Palatino Linotype"/>
          <w:color w:val="000000"/>
        </w:rPr>
        <w:t xml:space="preserve"> </w:t>
      </w:r>
      <w:r w:rsidRPr="00DA0569">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DA0569">
        <w:rPr>
          <w:rFonts w:ascii="Palatino Linotype" w:eastAsia="Palatino Linotype" w:hAnsi="Palatino Linotype" w:cs="Palatino Linotype"/>
          <w:color w:val="000000"/>
        </w:rPr>
        <w:t xml:space="preserve">, visible en la Gaceta del </w:t>
      </w:r>
      <w:r w:rsidRPr="00DA0569">
        <w:rPr>
          <w:rFonts w:ascii="Palatino Linotype" w:eastAsia="Palatino Linotype" w:hAnsi="Palatino Linotype" w:cs="Palatino Linotype"/>
        </w:rPr>
        <w:t>Semanario</w:t>
      </w:r>
      <w:r w:rsidRPr="00DA0569">
        <w:rPr>
          <w:rFonts w:ascii="Palatino Linotype" w:eastAsia="Palatino Linotype" w:hAnsi="Palatino Linotype" w:cs="Palatino Linotype"/>
          <w:color w:val="000000"/>
        </w:rPr>
        <w:t xml:space="preserve"> Judicial de la Federación con el registro digital 205635.</w:t>
      </w:r>
    </w:p>
    <w:p w14:paraId="034A31D4" w14:textId="77777777" w:rsidR="00FE7584" w:rsidRPr="00DA0569" w:rsidRDefault="00FE7584">
      <w:pPr>
        <w:pBdr>
          <w:top w:val="nil"/>
          <w:left w:val="nil"/>
          <w:bottom w:val="nil"/>
          <w:right w:val="nil"/>
          <w:between w:val="nil"/>
        </w:pBdr>
        <w:spacing w:line="360" w:lineRule="auto"/>
        <w:ind w:left="644" w:right="-450"/>
        <w:jc w:val="both"/>
        <w:rPr>
          <w:rFonts w:ascii="Palatino Linotype" w:eastAsia="Palatino Linotype" w:hAnsi="Palatino Linotype" w:cs="Palatino Linotype"/>
        </w:rPr>
      </w:pPr>
    </w:p>
    <w:p w14:paraId="50664B1C" w14:textId="77777777" w:rsidR="00FE7584" w:rsidRPr="00DA0569" w:rsidRDefault="007C7DF7">
      <w:pPr>
        <w:numPr>
          <w:ilvl w:val="0"/>
          <w:numId w:val="5"/>
        </w:numPr>
        <w:spacing w:line="360" w:lineRule="auto"/>
        <w:ind w:left="0" w:right="-28" w:firstLine="0"/>
        <w:jc w:val="both"/>
      </w:pPr>
      <w:r w:rsidRPr="00DA0569">
        <w:rPr>
          <w:rFonts w:ascii="Palatino Linotype" w:eastAsia="Palatino Linotype" w:hAnsi="Palatino Linotype" w:cs="Palatino Linotype"/>
        </w:rPr>
        <w:t xml:space="preserve">Seguidamente el </w:t>
      </w:r>
      <w:r w:rsidRPr="00DA0569">
        <w:rPr>
          <w:rFonts w:ascii="Palatino Linotype" w:eastAsia="Palatino Linotype" w:hAnsi="Palatino Linotype" w:cs="Palatino Linotype"/>
          <w:b/>
        </w:rPr>
        <w:t>veinticuatro de febrero de dos mil veinticinco</w:t>
      </w:r>
      <w:r w:rsidRPr="00DA0569">
        <w:rPr>
          <w:rFonts w:ascii="Palatino Linotype" w:eastAsia="Palatino Linotype" w:hAnsi="Palatino Linotype" w:cs="Palatino Linotype"/>
        </w:rPr>
        <w:t xml:space="preserve">, se notificó el acuerdo mediante el cual se aprobó la ampliación de plazo para emitir resolución. </w:t>
      </w:r>
    </w:p>
    <w:p w14:paraId="7F5C5ABF" w14:textId="77777777" w:rsidR="00FE7584" w:rsidRPr="00DA0569" w:rsidRDefault="00FE7584">
      <w:pPr>
        <w:spacing w:line="360" w:lineRule="auto"/>
        <w:ind w:right="1"/>
        <w:jc w:val="both"/>
        <w:rPr>
          <w:rFonts w:ascii="Palatino Linotype" w:eastAsia="Palatino Linotype" w:hAnsi="Palatino Linotype" w:cs="Palatino Linotype"/>
        </w:rPr>
      </w:pPr>
    </w:p>
    <w:p w14:paraId="15123F9C" w14:textId="77777777" w:rsidR="00FE7584" w:rsidRPr="00DA0569" w:rsidRDefault="007C7DF7">
      <w:pPr>
        <w:numPr>
          <w:ilvl w:val="0"/>
          <w:numId w:val="5"/>
        </w:numPr>
        <w:spacing w:line="360" w:lineRule="auto"/>
        <w:ind w:left="0" w:right="1" w:firstLine="0"/>
        <w:jc w:val="both"/>
        <w:rPr>
          <w:rFonts w:ascii="Palatino Linotype" w:eastAsia="Palatino Linotype" w:hAnsi="Palatino Linotype" w:cs="Palatino Linotype"/>
          <w:b/>
        </w:rPr>
      </w:pPr>
      <w:bookmarkStart w:id="0" w:name="_heading=h.1fob9te" w:colFirst="0" w:colLast="0"/>
      <w:bookmarkEnd w:id="0"/>
      <w:r w:rsidRPr="00DA0569">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DA0569">
        <w:rPr>
          <w:rFonts w:ascii="Palatino Linotype" w:eastAsia="Palatino Linotype" w:hAnsi="Palatino Linotype" w:cs="Palatino Linotype"/>
          <w:b/>
        </w:rPr>
        <w:t>veintisiete de febrero de dos mil veinticinco</w:t>
      </w:r>
      <w:r w:rsidRPr="00DA0569">
        <w:rPr>
          <w:rFonts w:ascii="Palatino Linotype" w:eastAsia="Palatino Linotype" w:hAnsi="Palatino Linotype" w:cs="Palatino Linotype"/>
        </w:rPr>
        <w:t xml:space="preserve">, la </w:t>
      </w:r>
      <w:r w:rsidRPr="00DA0569">
        <w:rPr>
          <w:rFonts w:ascii="Palatino Linotype" w:eastAsia="Palatino Linotype" w:hAnsi="Palatino Linotype" w:cs="Palatino Linotype"/>
          <w:b/>
        </w:rPr>
        <w:t xml:space="preserve">Comisionada </w:t>
      </w:r>
      <w:r w:rsidRPr="00DA0569">
        <w:rPr>
          <w:rFonts w:ascii="Palatino Linotype" w:eastAsia="Palatino Linotype" w:hAnsi="Palatino Linotype" w:cs="Palatino Linotype"/>
        </w:rPr>
        <w:t>Ponente determinó el cierre de instrucción en términos de la fracción VI del artículo 185 de la Ley de Transparencia y Acceso a la Información Pública del Estado de México y Municipios y, ordenó la resolución que conforme a Derecho proceda, de acuerdo a las siguientes:</w:t>
      </w:r>
    </w:p>
    <w:p w14:paraId="781EFEA3" w14:textId="77777777" w:rsidR="00FE7584" w:rsidRPr="00DA0569" w:rsidRDefault="00FE7584">
      <w:pPr>
        <w:pBdr>
          <w:top w:val="nil"/>
          <w:left w:val="nil"/>
          <w:bottom w:val="nil"/>
          <w:right w:val="nil"/>
          <w:between w:val="nil"/>
        </w:pBdr>
        <w:spacing w:line="360" w:lineRule="auto"/>
        <w:ind w:left="720"/>
        <w:rPr>
          <w:rFonts w:ascii="Palatino Linotype" w:eastAsia="Palatino Linotype" w:hAnsi="Palatino Linotype" w:cs="Palatino Linotype"/>
          <w:b/>
        </w:rPr>
      </w:pPr>
    </w:p>
    <w:p w14:paraId="581BB18B" w14:textId="77777777" w:rsidR="00FE7584" w:rsidRPr="00DA0569" w:rsidRDefault="00FE7584">
      <w:pPr>
        <w:pBdr>
          <w:top w:val="nil"/>
          <w:left w:val="nil"/>
          <w:bottom w:val="nil"/>
          <w:right w:val="nil"/>
          <w:between w:val="nil"/>
        </w:pBdr>
        <w:spacing w:line="360" w:lineRule="auto"/>
        <w:ind w:left="720"/>
        <w:rPr>
          <w:rFonts w:ascii="Palatino Linotype" w:eastAsia="Palatino Linotype" w:hAnsi="Palatino Linotype" w:cs="Palatino Linotype"/>
          <w:b/>
        </w:rPr>
      </w:pPr>
    </w:p>
    <w:p w14:paraId="397704ED" w14:textId="77777777" w:rsidR="00FE7584" w:rsidRPr="00DA0569" w:rsidRDefault="007C7DF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A0569">
        <w:rPr>
          <w:rFonts w:ascii="Palatino Linotype" w:eastAsia="Palatino Linotype" w:hAnsi="Palatino Linotype" w:cs="Palatino Linotype"/>
          <w:b/>
          <w:color w:val="000000"/>
        </w:rPr>
        <w:lastRenderedPageBreak/>
        <w:t>C O N S I D E R A C I O N E S</w:t>
      </w:r>
    </w:p>
    <w:p w14:paraId="2604D35D" w14:textId="77777777" w:rsidR="00FE7584" w:rsidRPr="00DA0569" w:rsidRDefault="00FE7584">
      <w:pPr>
        <w:spacing w:line="360" w:lineRule="auto"/>
        <w:jc w:val="both"/>
        <w:rPr>
          <w:rFonts w:ascii="Palatino Linotype" w:eastAsia="Palatino Linotype" w:hAnsi="Palatino Linotype" w:cs="Palatino Linotype"/>
          <w:b/>
        </w:rPr>
      </w:pPr>
    </w:p>
    <w:p w14:paraId="222D5367" w14:textId="77777777" w:rsidR="00FE7584" w:rsidRPr="00DA0569" w:rsidRDefault="007C7DF7">
      <w:pPr>
        <w:pStyle w:val="Ttulo2"/>
        <w:spacing w:before="0" w:line="360" w:lineRule="auto"/>
        <w:rPr>
          <w:rFonts w:ascii="Palatino Linotype" w:eastAsia="Palatino Linotype" w:hAnsi="Palatino Linotype" w:cs="Palatino Linotype"/>
          <w:b/>
          <w:color w:val="000000"/>
          <w:sz w:val="24"/>
          <w:szCs w:val="24"/>
        </w:rPr>
      </w:pPr>
      <w:bookmarkStart w:id="1" w:name="_heading=h.3znysh7" w:colFirst="0" w:colLast="0"/>
      <w:bookmarkEnd w:id="1"/>
      <w:r w:rsidRPr="00DA0569">
        <w:rPr>
          <w:rFonts w:ascii="Palatino Linotype" w:eastAsia="Palatino Linotype" w:hAnsi="Palatino Linotype" w:cs="Palatino Linotype"/>
          <w:b/>
          <w:color w:val="000000"/>
          <w:sz w:val="24"/>
          <w:szCs w:val="24"/>
        </w:rPr>
        <w:t>PRIMERA. Competencia</w:t>
      </w:r>
    </w:p>
    <w:p w14:paraId="3FE56E3C"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FC2C923"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AB3FA5" w14:textId="77777777" w:rsidR="00FE7584" w:rsidRPr="00DA0569" w:rsidRDefault="007C7DF7">
      <w:pPr>
        <w:pStyle w:val="Ttulo2"/>
        <w:spacing w:before="0" w:line="360" w:lineRule="auto"/>
        <w:rPr>
          <w:rFonts w:ascii="Palatino Linotype" w:eastAsia="Palatino Linotype" w:hAnsi="Palatino Linotype" w:cs="Palatino Linotype"/>
          <w:b/>
          <w:color w:val="000000"/>
          <w:sz w:val="24"/>
          <w:szCs w:val="24"/>
        </w:rPr>
      </w:pPr>
      <w:bookmarkStart w:id="2" w:name="_heading=h.2et92p0" w:colFirst="0" w:colLast="0"/>
      <w:bookmarkEnd w:id="2"/>
      <w:r w:rsidRPr="00DA0569">
        <w:rPr>
          <w:rFonts w:ascii="Palatino Linotype" w:eastAsia="Palatino Linotype" w:hAnsi="Palatino Linotype" w:cs="Palatino Linotype"/>
          <w:b/>
          <w:color w:val="000000"/>
          <w:sz w:val="24"/>
          <w:szCs w:val="24"/>
        </w:rPr>
        <w:t>SEGUNDA. Procedencia.</w:t>
      </w:r>
    </w:p>
    <w:p w14:paraId="1AB5876B"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 xml:space="preserve">Este Órgano Garante considera que el medio de impugnación reúne los requisitos de procedencia </w:t>
      </w:r>
      <w:r w:rsidRPr="00DA0569">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4118CB9E" w14:textId="77777777" w:rsidR="00FE7584" w:rsidRPr="00DA0569" w:rsidRDefault="00FE7584">
      <w:pPr>
        <w:spacing w:line="360" w:lineRule="auto"/>
        <w:jc w:val="both"/>
        <w:rPr>
          <w:rFonts w:ascii="Palatino Linotype" w:eastAsia="Palatino Linotype" w:hAnsi="Palatino Linotype" w:cs="Palatino Linotype"/>
        </w:rPr>
      </w:pPr>
    </w:p>
    <w:p w14:paraId="6F484BA1" w14:textId="77777777" w:rsidR="00FE7584" w:rsidRPr="00DA0569" w:rsidRDefault="007C7DF7">
      <w:pPr>
        <w:numPr>
          <w:ilvl w:val="0"/>
          <w:numId w:val="5"/>
        </w:numPr>
        <w:spacing w:line="360" w:lineRule="auto"/>
        <w:ind w:left="0" w:right="-28" w:firstLine="0"/>
        <w:jc w:val="both"/>
      </w:pPr>
      <w:r w:rsidRPr="00DA0569">
        <w:rPr>
          <w:rFonts w:ascii="Palatino Linotype" w:eastAsia="Palatino Linotype" w:hAnsi="Palatino Linotype" w:cs="Palatino Linotype"/>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8A5A85" w14:textId="77777777" w:rsidR="00FE7584" w:rsidRPr="00DA0569" w:rsidRDefault="007C7DF7">
      <w:pPr>
        <w:spacing w:line="276" w:lineRule="auto"/>
        <w:ind w:left="709" w:right="616"/>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w:t>
      </w:r>
      <w:r w:rsidRPr="00DA0569">
        <w:rPr>
          <w:rFonts w:ascii="Palatino Linotype" w:eastAsia="Palatino Linotype" w:hAnsi="Palatino Linotype" w:cs="Palatino Linotype"/>
          <w:b/>
          <w:i/>
          <w:sz w:val="22"/>
          <w:szCs w:val="22"/>
        </w:rPr>
        <w:t>Las solicitudes anónimas</w:t>
      </w:r>
      <w:r w:rsidRPr="00DA0569">
        <w:rPr>
          <w:rFonts w:ascii="Palatino Linotype" w:eastAsia="Palatino Linotype" w:hAnsi="Palatino Linotype" w:cs="Palatino Linotype"/>
          <w:i/>
          <w:sz w:val="22"/>
          <w:szCs w:val="22"/>
        </w:rPr>
        <w:t xml:space="preserve">, con nombre incompleto o seudónimo </w:t>
      </w:r>
      <w:r w:rsidRPr="00DA0569">
        <w:rPr>
          <w:rFonts w:ascii="Palatino Linotype" w:eastAsia="Palatino Linotype" w:hAnsi="Palatino Linotype" w:cs="Palatino Linotype"/>
          <w:b/>
          <w:i/>
          <w:sz w:val="22"/>
          <w:szCs w:val="22"/>
        </w:rPr>
        <w:t>serán procedentes para su trámite por parte del sujeto obligado ante quien se presente</w:t>
      </w:r>
      <w:r w:rsidRPr="00DA0569">
        <w:rPr>
          <w:rFonts w:ascii="Palatino Linotype" w:eastAsia="Palatino Linotype" w:hAnsi="Palatino Linotype" w:cs="Palatino Linotype"/>
          <w:i/>
          <w:sz w:val="22"/>
          <w:szCs w:val="22"/>
        </w:rPr>
        <w:t>. No podrá requerirse información adicional con motivo del nombre proporcionado por el solicitante."</w:t>
      </w:r>
    </w:p>
    <w:p w14:paraId="2DBF840C" w14:textId="77777777" w:rsidR="00FE7584" w:rsidRPr="00DA0569" w:rsidRDefault="00FE7584">
      <w:pPr>
        <w:spacing w:line="360" w:lineRule="auto"/>
        <w:ind w:right="616"/>
        <w:jc w:val="both"/>
        <w:rPr>
          <w:rFonts w:ascii="Palatino Linotype" w:eastAsia="Palatino Linotype" w:hAnsi="Palatino Linotype" w:cs="Palatino Linotype"/>
          <w:i/>
        </w:rPr>
      </w:pPr>
    </w:p>
    <w:p w14:paraId="27399122" w14:textId="77777777" w:rsidR="00FE7584" w:rsidRPr="00DA0569" w:rsidRDefault="007C7DF7">
      <w:pPr>
        <w:numPr>
          <w:ilvl w:val="0"/>
          <w:numId w:val="5"/>
        </w:numPr>
        <w:spacing w:line="360" w:lineRule="auto"/>
        <w:ind w:left="0" w:right="-28" w:firstLine="0"/>
        <w:jc w:val="both"/>
      </w:pPr>
      <w:r w:rsidRPr="00DA0569">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14:paraId="668197D8" w14:textId="77777777" w:rsidR="00FE7584" w:rsidRPr="00DA0569" w:rsidRDefault="007C7DF7">
      <w:pPr>
        <w:pBdr>
          <w:top w:val="nil"/>
          <w:left w:val="nil"/>
          <w:bottom w:val="nil"/>
          <w:right w:val="nil"/>
          <w:between w:val="nil"/>
        </w:pBdr>
        <w:tabs>
          <w:tab w:val="left" w:pos="8457"/>
        </w:tabs>
        <w:spacing w:line="276" w:lineRule="auto"/>
        <w:ind w:left="425"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w:t>
      </w:r>
      <w:r w:rsidRPr="00DA0569">
        <w:rPr>
          <w:rFonts w:ascii="Palatino Linotype" w:eastAsia="Palatino Linotype" w:hAnsi="Palatino Linotype" w:cs="Palatino Linotype"/>
          <w:b/>
          <w:i/>
          <w:color w:val="000000"/>
          <w:sz w:val="22"/>
          <w:szCs w:val="22"/>
        </w:rPr>
        <w:t>Artículo 6.-</w:t>
      </w:r>
      <w:r w:rsidRPr="00DA0569">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4AB3926" w14:textId="77777777" w:rsidR="00FE7584" w:rsidRPr="00DA0569" w:rsidRDefault="007C7DF7">
      <w:pPr>
        <w:pBdr>
          <w:top w:val="nil"/>
          <w:left w:val="nil"/>
          <w:bottom w:val="nil"/>
          <w:right w:val="nil"/>
          <w:between w:val="nil"/>
        </w:pBdr>
        <w:tabs>
          <w:tab w:val="left" w:pos="8457"/>
        </w:tabs>
        <w:spacing w:line="276" w:lineRule="auto"/>
        <w:ind w:left="425"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Para efectos de lo dispuesto en el presente artículo se observará lo siguiente:</w:t>
      </w:r>
    </w:p>
    <w:p w14:paraId="07BC2E11" w14:textId="77777777" w:rsidR="00FE7584" w:rsidRPr="00DA0569" w:rsidRDefault="007C7DF7">
      <w:pPr>
        <w:pBdr>
          <w:top w:val="nil"/>
          <w:left w:val="nil"/>
          <w:bottom w:val="nil"/>
          <w:right w:val="nil"/>
          <w:between w:val="nil"/>
        </w:pBdr>
        <w:tabs>
          <w:tab w:val="left" w:pos="8457"/>
        </w:tabs>
        <w:spacing w:line="276" w:lineRule="auto"/>
        <w:ind w:left="425"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593FEBAF" w14:textId="77777777" w:rsidR="00FE7584" w:rsidRPr="00DA0569" w:rsidRDefault="007C7DF7">
      <w:pPr>
        <w:pBdr>
          <w:top w:val="nil"/>
          <w:left w:val="nil"/>
          <w:bottom w:val="nil"/>
          <w:right w:val="nil"/>
          <w:between w:val="nil"/>
        </w:pBdr>
        <w:tabs>
          <w:tab w:val="left" w:pos="8457"/>
        </w:tabs>
        <w:spacing w:line="276" w:lineRule="auto"/>
        <w:ind w:left="425"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 xml:space="preserve">III. Toda persona, sin necesidad de acreditar interés alguno o justificar su utilización, tendrá acceso gratuito a la información pública, a sus datos personales o a la rectificación de éstos.” </w:t>
      </w:r>
    </w:p>
    <w:p w14:paraId="04418A8B" w14:textId="77777777" w:rsidR="00FE7584" w:rsidRPr="00DA0569" w:rsidRDefault="00FE7584">
      <w:pPr>
        <w:spacing w:line="360" w:lineRule="auto"/>
        <w:ind w:left="567" w:right="544"/>
        <w:jc w:val="both"/>
        <w:rPr>
          <w:rFonts w:ascii="Palatino Linotype" w:eastAsia="Palatino Linotype" w:hAnsi="Palatino Linotype" w:cs="Palatino Linotype"/>
          <w:i/>
          <w:sz w:val="22"/>
          <w:szCs w:val="22"/>
        </w:rPr>
      </w:pPr>
    </w:p>
    <w:p w14:paraId="616CB489" w14:textId="77777777" w:rsidR="00FE7584" w:rsidRPr="00DA0569" w:rsidRDefault="007C7DF7">
      <w:pPr>
        <w:numPr>
          <w:ilvl w:val="0"/>
          <w:numId w:val="5"/>
        </w:numPr>
        <w:spacing w:line="360" w:lineRule="auto"/>
        <w:ind w:left="0" w:right="-28" w:firstLine="0"/>
        <w:jc w:val="both"/>
      </w:pPr>
      <w:r w:rsidRPr="00DA0569">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2256D4E5" w14:textId="77777777" w:rsidR="00FE7584" w:rsidRPr="00DA0569" w:rsidRDefault="00FE7584">
      <w:pPr>
        <w:spacing w:line="276" w:lineRule="auto"/>
        <w:jc w:val="both"/>
        <w:rPr>
          <w:rFonts w:ascii="Palatino Linotype" w:eastAsia="Palatino Linotype" w:hAnsi="Palatino Linotype" w:cs="Palatino Linotype"/>
        </w:rPr>
      </w:pPr>
    </w:p>
    <w:p w14:paraId="783228F5"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w:t>
      </w:r>
      <w:r w:rsidRPr="00DA0569">
        <w:rPr>
          <w:rFonts w:ascii="Palatino Linotype" w:eastAsia="Palatino Linotype" w:hAnsi="Palatino Linotype" w:cs="Palatino Linotype"/>
          <w:b/>
          <w:i/>
          <w:color w:val="000000"/>
          <w:sz w:val="22"/>
          <w:szCs w:val="22"/>
        </w:rPr>
        <w:t>Artículo 5.-</w:t>
      </w:r>
      <w:r w:rsidRPr="00DA0569">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w:t>
      </w:r>
      <w:r w:rsidRPr="00DA0569">
        <w:rPr>
          <w:rFonts w:ascii="Palatino Linotype" w:eastAsia="Palatino Linotype" w:hAnsi="Palatino Linotype" w:cs="Palatino Linotype"/>
          <w:i/>
          <w:color w:val="000000"/>
          <w:sz w:val="22"/>
          <w:szCs w:val="22"/>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75A420E" w14:textId="77777777" w:rsidR="00FE7584" w:rsidRPr="00DA0569" w:rsidRDefault="007C7DF7">
      <w:pPr>
        <w:spacing w:line="276" w:lineRule="auto"/>
        <w:ind w:left="113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w:t>
      </w:r>
    </w:p>
    <w:p w14:paraId="1CA4E117"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7C5BE633" w14:textId="77777777" w:rsidR="00FE7584" w:rsidRPr="00DA0569" w:rsidRDefault="007C7DF7">
      <w:pPr>
        <w:spacing w:line="276" w:lineRule="auto"/>
        <w:ind w:left="113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w:t>
      </w:r>
    </w:p>
    <w:p w14:paraId="6C9B313B"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18BC8445"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32B0AD5"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754B56F5" w14:textId="77777777" w:rsidR="00FE7584" w:rsidRPr="00DA0569" w:rsidRDefault="007C7DF7">
      <w:pPr>
        <w:spacing w:line="276" w:lineRule="auto"/>
        <w:ind w:left="113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w:t>
      </w:r>
    </w:p>
    <w:p w14:paraId="6653DD14"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p>
    <w:p w14:paraId="3A552DA5" w14:textId="77777777" w:rsidR="00FE7584" w:rsidRPr="00DA0569" w:rsidRDefault="00FE7584">
      <w:pPr>
        <w:spacing w:line="360" w:lineRule="auto"/>
        <w:ind w:left="426"/>
        <w:jc w:val="both"/>
        <w:rPr>
          <w:rFonts w:ascii="Palatino Linotype" w:eastAsia="Palatino Linotype" w:hAnsi="Palatino Linotype" w:cs="Palatino Linotype"/>
          <w:i/>
        </w:rPr>
      </w:pPr>
    </w:p>
    <w:p w14:paraId="70C4E390"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Por otra parte, del contenido del artículo 1 de la Constitución Política de los Estados Unidos mexicanos, se destaca lo siguiente:</w:t>
      </w:r>
    </w:p>
    <w:p w14:paraId="4C5AF63C"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w:t>
      </w:r>
      <w:r w:rsidRPr="00DA0569">
        <w:rPr>
          <w:rFonts w:ascii="Palatino Linotype" w:eastAsia="Palatino Linotype" w:hAnsi="Palatino Linotype" w:cs="Palatino Linotype"/>
          <w:b/>
          <w:i/>
          <w:color w:val="000000"/>
          <w:sz w:val="22"/>
          <w:szCs w:val="22"/>
        </w:rPr>
        <w:t>Artículo 1</w:t>
      </w:r>
      <w:r w:rsidRPr="00DA0569">
        <w:rPr>
          <w:rFonts w:ascii="Palatino Linotype" w:eastAsia="Palatino Linotype" w:hAnsi="Palatino Linotype" w:cs="Palatino Linotype"/>
          <w:i/>
          <w:color w:val="000000"/>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8A53D6D"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56327270" w14:textId="77777777" w:rsidR="00FE7584" w:rsidRPr="00DA0569" w:rsidRDefault="007C7DF7">
      <w:pPr>
        <w:pBdr>
          <w:top w:val="nil"/>
          <w:left w:val="nil"/>
          <w:bottom w:val="nil"/>
          <w:right w:val="nil"/>
          <w:between w:val="nil"/>
        </w:pBdr>
        <w:spacing w:line="276" w:lineRule="auto"/>
        <w:ind w:left="425" w:right="47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85D057B" w14:textId="77777777" w:rsidR="00FE7584" w:rsidRPr="00DA0569" w:rsidRDefault="00FE7584">
      <w:pPr>
        <w:spacing w:line="360" w:lineRule="auto"/>
        <w:ind w:right="474"/>
        <w:jc w:val="both"/>
        <w:rPr>
          <w:rFonts w:ascii="Palatino Linotype" w:eastAsia="Palatino Linotype" w:hAnsi="Palatino Linotype" w:cs="Palatino Linotype"/>
        </w:rPr>
      </w:pPr>
    </w:p>
    <w:p w14:paraId="53A834DF"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DA0569">
        <w:rPr>
          <w:rFonts w:ascii="Palatino Linotype" w:eastAsia="Palatino Linotype" w:hAnsi="Palatino Linotype" w:cs="Palatino Linotype"/>
          <w:i/>
        </w:rPr>
        <w:t>derecho fundamental exime a quien lo ejerce</w:t>
      </w:r>
      <w:r w:rsidRPr="00DA0569">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7012C25" w14:textId="77777777" w:rsidR="00FE7584" w:rsidRPr="00DA0569" w:rsidRDefault="00FE7584">
      <w:pPr>
        <w:spacing w:line="360" w:lineRule="auto"/>
        <w:jc w:val="both"/>
        <w:rPr>
          <w:rFonts w:ascii="Palatino Linotype" w:eastAsia="Palatino Linotype" w:hAnsi="Palatino Linotype" w:cs="Palatino Linotype"/>
        </w:rPr>
      </w:pPr>
    </w:p>
    <w:p w14:paraId="03077F2E"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 xml:space="preserve">En consecuencia, dado lo expuesto y fundado con anterioridad, se estima que el requisito relativo al nombre del </w:t>
      </w:r>
      <w:r w:rsidRPr="00DA0569">
        <w:rPr>
          <w:rFonts w:ascii="Palatino Linotype" w:eastAsia="Palatino Linotype" w:hAnsi="Palatino Linotype" w:cs="Palatino Linotype"/>
          <w:b/>
        </w:rPr>
        <w:t>RECURRENTE</w:t>
      </w:r>
      <w:r w:rsidRPr="00DA0569">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w:t>
      </w:r>
      <w:r w:rsidRPr="00DA0569">
        <w:rPr>
          <w:rFonts w:ascii="Palatino Linotype" w:eastAsia="Palatino Linotype" w:hAnsi="Palatino Linotype" w:cs="Palatino Linotype"/>
        </w:rPr>
        <w:lastRenderedPageBreak/>
        <w:t>acredita en las constancias electrónicas de los expedientes en revisión, de las que se desprende que la parte recurrente, es la misma que realizó la solicitud de acceso a la información pública que ahora se impugna.</w:t>
      </w:r>
    </w:p>
    <w:p w14:paraId="51A6C560" w14:textId="77777777" w:rsidR="00FE7584" w:rsidRPr="00DA0569" w:rsidRDefault="00FE758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5EEE087" w14:textId="77777777" w:rsidR="00FE7584" w:rsidRPr="00DA0569" w:rsidRDefault="007C7DF7">
      <w:pPr>
        <w:numPr>
          <w:ilvl w:val="0"/>
          <w:numId w:val="5"/>
        </w:numPr>
        <w:spacing w:line="360" w:lineRule="auto"/>
        <w:ind w:left="0" w:firstLine="0"/>
        <w:jc w:val="both"/>
        <w:rPr>
          <w:color w:val="000000"/>
        </w:rPr>
      </w:pPr>
      <w:r w:rsidRPr="00DA0569">
        <w:rPr>
          <w:rFonts w:ascii="Palatino Linotype" w:eastAsia="Palatino Linotype" w:hAnsi="Palatino Linotype" w:cs="Palatino Linotype"/>
          <w:color w:val="000000"/>
        </w:rPr>
        <w:t xml:space="preserve">Consecuencia de lo anterior, este Órgano Garante advierte que el escrito contiene las </w:t>
      </w:r>
      <w:r w:rsidRPr="00DA0569">
        <w:rPr>
          <w:rFonts w:ascii="Palatino Linotype" w:eastAsia="Palatino Linotype" w:hAnsi="Palatino Linotype" w:cs="Palatino Linotype"/>
        </w:rPr>
        <w:t>formalidades</w:t>
      </w:r>
      <w:r w:rsidRPr="00DA0569">
        <w:rPr>
          <w:rFonts w:ascii="Palatino Linotype" w:eastAsia="Palatino Linotype" w:hAnsi="Palatino Linotype" w:cs="Palatino Linotype"/>
          <w:color w:val="000000"/>
        </w:rPr>
        <w:t xml:space="preserve"> previstas por el artículo 180 último párrafo de la Ley de Transparencia y Acceso a la </w:t>
      </w:r>
      <w:r w:rsidRPr="00DA0569">
        <w:rPr>
          <w:rFonts w:ascii="Palatino Linotype" w:eastAsia="Palatino Linotype" w:hAnsi="Palatino Linotype" w:cs="Palatino Linotype"/>
        </w:rPr>
        <w:t>Información</w:t>
      </w:r>
      <w:r w:rsidRPr="00DA0569">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38284DB2" w14:textId="77777777" w:rsidR="00FE7584" w:rsidRPr="00DA0569" w:rsidRDefault="00FE7584">
      <w:pPr>
        <w:spacing w:line="360" w:lineRule="auto"/>
        <w:ind w:left="4754"/>
        <w:jc w:val="both"/>
        <w:rPr>
          <w:rFonts w:ascii="Palatino Linotype" w:eastAsia="Palatino Linotype" w:hAnsi="Palatino Linotype" w:cs="Palatino Linotype"/>
        </w:rPr>
      </w:pPr>
    </w:p>
    <w:p w14:paraId="7D397768" w14:textId="77777777" w:rsidR="00FE7584" w:rsidRPr="00DA0569" w:rsidRDefault="007C7DF7">
      <w:pPr>
        <w:pStyle w:val="Ttulo1"/>
        <w:spacing w:before="0" w:line="360" w:lineRule="auto"/>
        <w:rPr>
          <w:rFonts w:ascii="Palatino Linotype" w:eastAsia="Palatino Linotype" w:hAnsi="Palatino Linotype" w:cs="Palatino Linotype"/>
          <w:b w:val="0"/>
          <w:color w:val="000000"/>
          <w:sz w:val="24"/>
          <w:szCs w:val="24"/>
        </w:rPr>
      </w:pPr>
      <w:bookmarkStart w:id="3" w:name="_heading=h.tyjcwt" w:colFirst="0" w:colLast="0"/>
      <w:bookmarkEnd w:id="3"/>
      <w:r w:rsidRPr="00DA0569">
        <w:rPr>
          <w:rFonts w:ascii="Palatino Linotype" w:eastAsia="Palatino Linotype" w:hAnsi="Palatino Linotype" w:cs="Palatino Linotype"/>
          <w:color w:val="000000"/>
          <w:sz w:val="24"/>
          <w:szCs w:val="24"/>
        </w:rPr>
        <w:t xml:space="preserve">TERCERA. Del planteamiento de la </w:t>
      </w:r>
      <w:r w:rsidRPr="00DA0569">
        <w:rPr>
          <w:rFonts w:ascii="Palatino Linotype" w:eastAsia="Palatino Linotype" w:hAnsi="Palatino Linotype" w:cs="Palatino Linotype"/>
          <w:i/>
          <w:color w:val="000000"/>
          <w:sz w:val="24"/>
          <w:szCs w:val="24"/>
        </w:rPr>
        <w:t>Litis</w:t>
      </w:r>
    </w:p>
    <w:p w14:paraId="20A6D781"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Se solicitó, de manera general la información siguiente:</w:t>
      </w:r>
    </w:p>
    <w:p w14:paraId="3BA63A1E" w14:textId="77777777" w:rsidR="00FE7584" w:rsidRPr="00DA0569" w:rsidRDefault="007C7DF7">
      <w:pPr>
        <w:pBdr>
          <w:top w:val="nil"/>
          <w:left w:val="nil"/>
          <w:bottom w:val="nil"/>
          <w:right w:val="nil"/>
          <w:between w:val="nil"/>
        </w:pBdr>
        <w:spacing w:line="360" w:lineRule="auto"/>
        <w:ind w:left="567" w:right="544"/>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“De los foros en los que su Secretaría a participado en esta administración se solicita la invitación, el nombre de quien asistió por la Secretaría, las ponencias o temas presentados las relatoría y los logros obtenidos con la evidencia fotográfica de que asistieron” (Sic)</w:t>
      </w:r>
    </w:p>
    <w:p w14:paraId="73106AF6" w14:textId="77777777" w:rsidR="00FE7584" w:rsidRPr="00DA0569" w:rsidRDefault="00FE7584">
      <w:pPr>
        <w:pBdr>
          <w:top w:val="nil"/>
          <w:left w:val="nil"/>
          <w:bottom w:val="nil"/>
          <w:right w:val="nil"/>
          <w:between w:val="nil"/>
        </w:pBdr>
        <w:spacing w:line="360" w:lineRule="auto"/>
        <w:ind w:left="1068" w:right="476"/>
        <w:jc w:val="both"/>
        <w:rPr>
          <w:rFonts w:ascii="Palatino Linotype" w:eastAsia="Palatino Linotype" w:hAnsi="Palatino Linotype" w:cs="Palatino Linotype"/>
          <w:i/>
          <w:color w:val="000000"/>
        </w:rPr>
      </w:pPr>
    </w:p>
    <w:p w14:paraId="57E445F1" w14:textId="77777777" w:rsidR="00FE7584" w:rsidRPr="00DA0569" w:rsidRDefault="007C7DF7">
      <w:pPr>
        <w:numPr>
          <w:ilvl w:val="0"/>
          <w:numId w:val="5"/>
        </w:numPr>
        <w:spacing w:line="360" w:lineRule="auto"/>
        <w:ind w:left="0" w:firstLine="0"/>
        <w:jc w:val="both"/>
        <w:rPr>
          <w:color w:val="000000"/>
        </w:rPr>
      </w:pPr>
      <w:r w:rsidRPr="00DA0569">
        <w:rPr>
          <w:rFonts w:ascii="Palatino Linotype" w:eastAsia="Palatino Linotype" w:hAnsi="Palatino Linotype" w:cs="Palatino Linotype"/>
        </w:rPr>
        <w:t>En respuesta, el Sujeto Obligado</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remitió el escrito ya señalado en el anterior numeral 2. Inconforme con la respuesta, se interpuso recurso de revisión alegando de manera general la negativa a la información solicitada.</w:t>
      </w:r>
    </w:p>
    <w:p w14:paraId="6B5C2203" w14:textId="77777777" w:rsidR="00FE7584" w:rsidRPr="00DA0569" w:rsidRDefault="00FE7584">
      <w:pPr>
        <w:spacing w:line="360" w:lineRule="auto"/>
        <w:jc w:val="both"/>
        <w:rPr>
          <w:rFonts w:ascii="Palatino Linotype" w:eastAsia="Palatino Linotype" w:hAnsi="Palatino Linotype" w:cs="Palatino Linotype"/>
          <w:color w:val="000000"/>
        </w:rPr>
      </w:pPr>
    </w:p>
    <w:p w14:paraId="4891C9C5"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I</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de la Ley de Transparencia y Acceso a la Información Pública del Estado de</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lastRenderedPageBreak/>
        <w:t>México</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y</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 xml:space="preserve">Municipios; </w:t>
      </w:r>
      <w:r w:rsidRPr="00DA0569">
        <w:rPr>
          <w:rFonts w:ascii="Palatino Linotype" w:eastAsia="Palatino Linotype" w:hAnsi="Palatino Linotype" w:cs="Palatino Linotype"/>
          <w:color w:val="000000"/>
        </w:rPr>
        <w:t>fracción que determina la hipótesis relativa a la negativa a la información solicitada</w:t>
      </w:r>
      <w:r w:rsidRPr="00DA0569">
        <w:rPr>
          <w:rFonts w:ascii="Palatino Linotype" w:eastAsia="Palatino Linotype" w:hAnsi="Palatino Linotype" w:cs="Palatino Linotype"/>
        </w:rPr>
        <w:t>.</w:t>
      </w:r>
      <w:r w:rsidRPr="00DA0569">
        <w:rPr>
          <w:rFonts w:ascii="Palatino Linotype" w:eastAsia="Palatino Linotype" w:hAnsi="Palatino Linotype" w:cs="Palatino Linotype"/>
          <w:color w:val="000000"/>
        </w:rPr>
        <w:t xml:space="preserve"> De modo tal que el presente recurso de revisión se abocará en determinar si el Sujeto Obligado con su respuesta ciertamente actualiza la causal de procedencia</w:t>
      </w:r>
      <w:r w:rsidRPr="00DA0569">
        <w:rPr>
          <w:rFonts w:ascii="Palatino Linotype" w:eastAsia="Palatino Linotype" w:hAnsi="Palatino Linotype" w:cs="Palatino Linotype"/>
          <w:b/>
          <w:color w:val="000000"/>
        </w:rPr>
        <w:t xml:space="preserve"> </w:t>
      </w:r>
      <w:r w:rsidRPr="00DA0569">
        <w:rPr>
          <w:rFonts w:ascii="Palatino Linotype" w:eastAsia="Palatino Linotype" w:hAnsi="Palatino Linotype" w:cs="Palatino Linotype"/>
          <w:color w:val="000000"/>
        </w:rPr>
        <w:t xml:space="preserve">señalada. </w:t>
      </w:r>
    </w:p>
    <w:p w14:paraId="1BF66E00" w14:textId="77777777" w:rsidR="00FE7584" w:rsidRPr="00DA0569" w:rsidRDefault="00FE7584">
      <w:pPr>
        <w:spacing w:line="360" w:lineRule="auto"/>
        <w:jc w:val="both"/>
        <w:rPr>
          <w:rFonts w:ascii="Palatino Linotype" w:eastAsia="Palatino Linotype" w:hAnsi="Palatino Linotype" w:cs="Palatino Linotype"/>
        </w:rPr>
      </w:pPr>
    </w:p>
    <w:p w14:paraId="57E6AAE6" w14:textId="77777777" w:rsidR="00FE7584" w:rsidRPr="00DA0569" w:rsidRDefault="007C7DF7">
      <w:pPr>
        <w:pStyle w:val="Ttulo2"/>
        <w:tabs>
          <w:tab w:val="left" w:pos="0"/>
        </w:tabs>
        <w:spacing w:before="0" w:line="360" w:lineRule="auto"/>
        <w:jc w:val="both"/>
        <w:rPr>
          <w:rFonts w:ascii="Palatino Linotype" w:eastAsia="Palatino Linotype" w:hAnsi="Palatino Linotype" w:cs="Palatino Linotype"/>
          <w:b/>
          <w:color w:val="000000"/>
          <w:sz w:val="24"/>
          <w:szCs w:val="24"/>
        </w:rPr>
      </w:pPr>
      <w:r w:rsidRPr="00DA0569">
        <w:rPr>
          <w:rFonts w:ascii="Palatino Linotype" w:eastAsia="Palatino Linotype" w:hAnsi="Palatino Linotype" w:cs="Palatino Linotype"/>
          <w:b/>
          <w:color w:val="000000"/>
          <w:sz w:val="24"/>
          <w:szCs w:val="24"/>
        </w:rPr>
        <w:t>CUARTA. Estudio de la controversia.</w:t>
      </w:r>
    </w:p>
    <w:p w14:paraId="47371C89"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284E8B96" w14:textId="77777777" w:rsidR="00FE7584" w:rsidRPr="00DA0569" w:rsidRDefault="00FE7584">
      <w:pPr>
        <w:spacing w:line="360" w:lineRule="auto"/>
        <w:jc w:val="both"/>
        <w:rPr>
          <w:rFonts w:ascii="Palatino Linotype" w:eastAsia="Palatino Linotype" w:hAnsi="Palatino Linotype" w:cs="Palatino Linotype"/>
        </w:rPr>
      </w:pPr>
    </w:p>
    <w:p w14:paraId="684DCED5"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C04BD50" w14:textId="77777777" w:rsidR="00FE7584" w:rsidRPr="00DA0569" w:rsidRDefault="00FE758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CDF6A2C" w14:textId="77777777" w:rsidR="00FE7584" w:rsidRPr="00DA0569" w:rsidRDefault="007C7DF7">
      <w:pPr>
        <w:numPr>
          <w:ilvl w:val="0"/>
          <w:numId w:val="5"/>
        </w:numPr>
        <w:spacing w:line="360" w:lineRule="auto"/>
        <w:ind w:left="0" w:firstLine="0"/>
        <w:jc w:val="both"/>
      </w:pPr>
      <w:r w:rsidRPr="00DA0569">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w:t>
      </w:r>
      <w:r w:rsidRPr="00DA0569">
        <w:rPr>
          <w:rFonts w:ascii="Palatino Linotype" w:eastAsia="Palatino Linotype" w:hAnsi="Palatino Linotype" w:cs="Palatino Linotype"/>
        </w:rPr>
        <w:lastRenderedPageBreak/>
        <w:t>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11F8F819" w14:textId="77777777" w:rsidR="00FE7584" w:rsidRPr="00DA0569" w:rsidRDefault="00FE7584">
      <w:pPr>
        <w:spacing w:line="360" w:lineRule="auto"/>
        <w:jc w:val="both"/>
        <w:rPr>
          <w:rFonts w:ascii="Palatino Linotype" w:eastAsia="Palatino Linotype" w:hAnsi="Palatino Linotype" w:cs="Palatino Linotype"/>
        </w:rPr>
      </w:pPr>
    </w:p>
    <w:p w14:paraId="17528FF5"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Ahora bien, respecto de los rubros combatidos, es dable primeramente traer a contexto la respuesta que consistió en un hecho negativo al manifestar que luego de una búsqueda exhaustiva en sus archivos no se cuenta con la información solicitada.</w:t>
      </w:r>
    </w:p>
    <w:p w14:paraId="5569584F" w14:textId="77777777" w:rsidR="00FE7584" w:rsidRPr="00DA0569" w:rsidRDefault="00FE7584">
      <w:pPr>
        <w:pBdr>
          <w:top w:val="nil"/>
          <w:left w:val="nil"/>
          <w:bottom w:val="nil"/>
          <w:right w:val="nil"/>
          <w:between w:val="nil"/>
        </w:pBdr>
        <w:ind w:left="720"/>
        <w:rPr>
          <w:rFonts w:ascii="Palatino Linotype" w:eastAsia="Palatino Linotype" w:hAnsi="Palatino Linotype" w:cs="Palatino Linotype"/>
          <w:color w:val="000000"/>
        </w:rPr>
      </w:pPr>
    </w:p>
    <w:p w14:paraId="456DB247"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Al respecto, es de explorado derecho que este Instituto no está facultado para dudar de su veracidad de lo que allí se relata, situación que se aleja de las atribuciones de este Instituto </w:t>
      </w:r>
      <w:r w:rsidRPr="00DA0569">
        <w:rPr>
          <w:rFonts w:ascii="Palatino Linotype" w:eastAsia="Palatino Linotype" w:hAnsi="Palatino Linotype" w:cs="Palatino Linotype"/>
          <w:i/>
          <w:color w:val="000000"/>
        </w:rPr>
        <w:t>máxime</w:t>
      </w:r>
      <w:r w:rsidRPr="00DA0569">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1C5D36FF"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138903"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Así como lo dispuesto por la </w:t>
      </w:r>
      <w:r w:rsidRPr="00DA0569">
        <w:rPr>
          <w:rFonts w:ascii="Palatino Linotype" w:eastAsia="Palatino Linotype" w:hAnsi="Palatino Linotype" w:cs="Palatino Linotype"/>
          <w:b/>
          <w:color w:val="000000"/>
        </w:rPr>
        <w:t xml:space="preserve">Ley de Transparencia y Acceso a la Información Pública del </w:t>
      </w:r>
      <w:r w:rsidRPr="00DA0569">
        <w:rPr>
          <w:rFonts w:ascii="Palatino Linotype" w:eastAsia="Palatino Linotype" w:hAnsi="Palatino Linotype" w:cs="Palatino Linotype"/>
          <w:color w:val="000000"/>
        </w:rPr>
        <w:t>Estado</w:t>
      </w:r>
      <w:r w:rsidRPr="00DA0569">
        <w:rPr>
          <w:rFonts w:ascii="Palatino Linotype" w:eastAsia="Palatino Linotype" w:hAnsi="Palatino Linotype" w:cs="Palatino Linotype"/>
          <w:b/>
          <w:color w:val="000000"/>
        </w:rPr>
        <w:t xml:space="preserve"> de México y Municipios</w:t>
      </w:r>
      <w:r w:rsidRPr="00DA0569">
        <w:rPr>
          <w:rFonts w:ascii="Palatino Linotype" w:eastAsia="Palatino Linotype" w:hAnsi="Palatino Linotype" w:cs="Palatino Linotype"/>
          <w:color w:val="000000"/>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w:t>
      </w:r>
      <w:r w:rsidRPr="00DA0569">
        <w:rPr>
          <w:rFonts w:ascii="Palatino Linotype" w:eastAsia="Palatino Linotype" w:hAnsi="Palatino Linotype" w:cs="Palatino Linotype"/>
          <w:color w:val="000000"/>
        </w:rPr>
        <w:lastRenderedPageBreak/>
        <w:t>apegarse en todo momento a los criterios de publicidad, veracidad, oportunidad entre otros, numeral en comento que a la letra señala:</w:t>
      </w:r>
    </w:p>
    <w:p w14:paraId="6B7C10A7" w14:textId="77777777" w:rsidR="00CC5F24" w:rsidRPr="00DA0569" w:rsidRDefault="00CC5F24" w:rsidP="00CC5F24">
      <w:pPr>
        <w:pBdr>
          <w:top w:val="nil"/>
          <w:left w:val="nil"/>
          <w:bottom w:val="nil"/>
          <w:right w:val="nil"/>
          <w:between w:val="nil"/>
        </w:pBdr>
        <w:tabs>
          <w:tab w:val="left" w:pos="0"/>
          <w:tab w:val="left" w:pos="142"/>
        </w:tabs>
        <w:spacing w:line="360" w:lineRule="auto"/>
        <w:jc w:val="both"/>
        <w:rPr>
          <w:color w:val="000000"/>
        </w:rPr>
      </w:pPr>
    </w:p>
    <w:p w14:paraId="1197CB56" w14:textId="77777777" w:rsidR="00FE7584" w:rsidRPr="00DA0569" w:rsidRDefault="007C7DF7">
      <w:pPr>
        <w:pBdr>
          <w:top w:val="nil"/>
          <w:left w:val="nil"/>
          <w:bottom w:val="nil"/>
          <w:right w:val="nil"/>
          <w:between w:val="nil"/>
        </w:pBdr>
        <w:spacing w:line="360" w:lineRule="auto"/>
        <w:ind w:left="567" w:right="680"/>
        <w:jc w:val="both"/>
        <w:rPr>
          <w:rFonts w:ascii="Palatino Linotype" w:eastAsia="Palatino Linotype" w:hAnsi="Palatino Linotype" w:cs="Palatino Linotype"/>
          <w:b/>
          <w:i/>
          <w:color w:val="000000"/>
          <w:sz w:val="22"/>
          <w:szCs w:val="22"/>
        </w:rPr>
      </w:pPr>
      <w:r w:rsidRPr="00DA0569">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A0569">
        <w:rPr>
          <w:rFonts w:ascii="Palatino Linotype" w:eastAsia="Palatino Linotype" w:hAnsi="Palatino Linotype" w:cs="Palatino Linotype"/>
          <w:b/>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07604EAE" w14:textId="77777777" w:rsidR="00FE7584" w:rsidRPr="00DA0569" w:rsidRDefault="00FE7584">
      <w:pPr>
        <w:spacing w:line="360" w:lineRule="auto"/>
        <w:ind w:right="902"/>
        <w:jc w:val="both"/>
        <w:rPr>
          <w:rFonts w:ascii="Palatino Linotype" w:eastAsia="Palatino Linotype" w:hAnsi="Palatino Linotype" w:cs="Palatino Linotype"/>
          <w:b/>
        </w:rPr>
      </w:pPr>
    </w:p>
    <w:p w14:paraId="14B711AD"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Numerales que compelen al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 xml:space="preserve"> a apegarse en todo momento a los criterios ya expuestos, impidiendo a este Órgano Colegiado cuestionar la veracidad de la información. Por tanto se tiene por colmado el rubro en comento.</w:t>
      </w:r>
    </w:p>
    <w:p w14:paraId="4E2DD09F"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4EA93522"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No obstante lo anterior, en relación a lo aducido por el solicitante en el presente recurso de revisión y, contrario a lo manifestado por el </w:t>
      </w:r>
      <w:r w:rsidRPr="00DA0569">
        <w:rPr>
          <w:rFonts w:ascii="Palatino Linotype" w:eastAsia="Palatino Linotype" w:hAnsi="Palatino Linotype" w:cs="Palatino Linotype"/>
          <w:b/>
          <w:color w:val="000000"/>
        </w:rPr>
        <w:t xml:space="preserve">SUJETO OBLIGADO, </w:t>
      </w:r>
      <w:r w:rsidRPr="00DA0569">
        <w:rPr>
          <w:rFonts w:ascii="Palatino Linotype" w:eastAsia="Palatino Linotype" w:hAnsi="Palatino Linotype" w:cs="Palatino Linotype"/>
          <w:color w:val="000000"/>
        </w:rPr>
        <w:t>relativo a que refiere no contar con la información solicitada, cuando hay evidencia de ello en los foros, debe señalarse que éste Órgano Garante, a fin de constatar las manifestaciones, llevó a cabo una revisión de la página oficial de la Secretaría de Movilidad del Estado de México (cuenta que es identificada como verificada), en la red social denominada Facebook, donde además de diverso contenido, se encontraron publicaciones relevantes para el caso que se atiende, de fechas 15 y 24 de febrero de 2024, así como 17 y 04 de diciembre de 2023,  lo que se acredita con las siguientes capturas de pantalla:</w:t>
      </w:r>
    </w:p>
    <w:p w14:paraId="4C683D3B" w14:textId="77777777" w:rsidR="00FE7584" w:rsidRPr="00DA0569" w:rsidRDefault="00FE7584">
      <w:pPr>
        <w:pBdr>
          <w:top w:val="nil"/>
          <w:left w:val="nil"/>
          <w:bottom w:val="nil"/>
          <w:right w:val="nil"/>
          <w:between w:val="nil"/>
        </w:pBdr>
        <w:ind w:left="720"/>
        <w:rPr>
          <w:rFonts w:ascii="Palatino Linotype" w:eastAsia="Palatino Linotype" w:hAnsi="Palatino Linotype" w:cs="Palatino Linotype"/>
          <w:color w:val="000000"/>
        </w:rPr>
      </w:pPr>
    </w:p>
    <w:p w14:paraId="5601DF24" w14:textId="77777777" w:rsidR="00FE7584" w:rsidRPr="00DA0569" w:rsidRDefault="007C7DF7">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sidRPr="00DA0569">
        <w:rPr>
          <w:rFonts w:ascii="Century Gothic" w:eastAsia="Century Gothic" w:hAnsi="Century Gothic" w:cs="Century Gothic"/>
          <w:noProof/>
          <w:color w:val="000000"/>
        </w:rPr>
        <w:lastRenderedPageBreak/>
        <w:drawing>
          <wp:inline distT="0" distB="0" distL="0" distR="0" wp14:anchorId="3B445C0C" wp14:editId="488C1D4A">
            <wp:extent cx="4046535" cy="3098639"/>
            <wp:effectExtent l="0" t="0" r="0" b="0"/>
            <wp:docPr id="19696408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46535" cy="3098639"/>
                    </a:xfrm>
                    <a:prstGeom prst="rect">
                      <a:avLst/>
                    </a:prstGeom>
                    <a:ln/>
                  </pic:spPr>
                </pic:pic>
              </a:graphicData>
            </a:graphic>
          </wp:inline>
        </w:drawing>
      </w:r>
      <w:r w:rsidRPr="00DA0569">
        <w:rPr>
          <w:noProof/>
        </w:rPr>
        <mc:AlternateContent>
          <mc:Choice Requires="wps">
            <w:drawing>
              <wp:anchor distT="0" distB="0" distL="114300" distR="114300" simplePos="0" relativeHeight="251658240" behindDoc="0" locked="0" layoutInCell="1" hidden="0" allowOverlap="1" wp14:anchorId="424C6D0F" wp14:editId="0900B5BD">
                <wp:simplePos x="0" y="0"/>
                <wp:positionH relativeFrom="column">
                  <wp:posOffset>1193800</wp:posOffset>
                </wp:positionH>
                <wp:positionV relativeFrom="paragraph">
                  <wp:posOffset>419100</wp:posOffset>
                </wp:positionV>
                <wp:extent cx="1676069" cy="475422"/>
                <wp:effectExtent l="0" t="0" r="0" b="0"/>
                <wp:wrapNone/>
                <wp:docPr id="1969640877" name="Rectángulo redondeado 1969640877"/>
                <wp:cNvGraphicFramePr/>
                <a:graphic xmlns:a="http://schemas.openxmlformats.org/drawingml/2006/main">
                  <a:graphicData uri="http://schemas.microsoft.com/office/word/2010/wordprocessingShape">
                    <wps:wsp>
                      <wps:cNvSpPr/>
                      <wps:spPr>
                        <a:xfrm>
                          <a:off x="4527016" y="3561339"/>
                          <a:ext cx="1637969" cy="437322"/>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107FF291"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7" o:spid="_x0000_s1026" style="position:absolute;left:0;text-align:left;margin-left:94pt;margin-top:33pt;width:131.95pt;height:37.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WlXwIAAJsEAAAOAAAAZHJzL2Uyb0RvYy54bWysVNuOEzEMfUfiH6K8szPTdqcXdbpCW4qQ&#10;VlCx8AFukukE5UaS3j6Hb+HHcDLDboEHJEQfUrtxjo+P7S7vzlqRo/BBWtPQ6qakRBhmuTT7hn7+&#10;tHk1oyREMByUNaKhFxHo3erli+XJLcTIdlZx4QmCmLA4uYZ2MbpFUQTWCQ3hxjph8LK1XkNE1+8L&#10;7uGE6FoVo7Ksi5P13HnLRAj467q/pKuM37aCxQ9tG0QkqqHILebT53OXzmK1hMXeg+skG2jAP7DQ&#10;IA0mfYJaQwRy8PIPKC2Zt8G28YZZXdi2lUzkGrCaqvytmscOnMi1oDjBPckU/h8se3/ceiI59m5e&#10;z+tJOZtOKTGgsVcfUb3v38z+oCzxglvDBXBLrgJRvZMLCwR5dFs/eAHNJMW59Tp9Y5Hk3NDJ7Wha&#10;VjUll4aOb+tqPJ736otzJAwDqno8RQ6UMIyYjKfj0SgFFM9Izof4VlhNktFQbw+GJ5JZeTg+hJhb&#10;wAf+wL9Q0mqFDT2CIlVd19MBcQhG7J+Y6aWxG6lUHgllyAl5zqoSp4YBTmarIKKpHWoVzD7nDFZJ&#10;nt6k18Hvd/fKE8zV0M2mxM+Q7ZewlHANoevj8lWvg5YRV0FJ3dBZejwMZ4eivzGcxIvDnhjcIpqo&#10;BU2JErhzaGTGEaT6exxWrAyKmtrWNypZ8bw7D93bWX7BiQiObSQyfYAQt+BRwgrT4p5gwq8H8EhC&#10;vTM4iPNqMrrFxbp2/LWzu3bAsM7i+rHoKemd+5jXsdf/9SHaVsbU9sSrJzM4uAF5GoZtTSt27eeo&#10;5/+U1Q8AAAD//wMAUEsDBBQABgAIAAAAIQCanH8R3QAAAAoBAAAPAAAAZHJzL2Rvd25yZXYueG1s&#10;TI/BTsMwEETvSPyDtUjcqF0oIQlxKlTEsUgNfIAbb+O0sR3ZThv+nuVET6vRjGbfVOvZDuyMIfbe&#10;SVguBDB0rde96yR8f3085MBiUk6rwTuU8IMR1vXtTaVK7S9uh+cmdYxKXCyVBJPSWHIeW4NWxYUf&#10;0ZF38MGqRDJ0XAd1oXI78EchMm5V7+iDUSNuDLanZrIScDaH6akvXj6LZnMUwerd+3Yr5f3d/PYK&#10;LOGc/sPwh0/oUBPT3k9ORzaQznPakiRkGV0KrJ6XBbA9OStRAK8rfj2h/gUAAP//AwBQSwECLQAU&#10;AAYACAAAACEAtoM4kv4AAADhAQAAEwAAAAAAAAAAAAAAAAAAAAAAW0NvbnRlbnRfVHlwZXNdLnht&#10;bFBLAQItABQABgAIAAAAIQA4/SH/1gAAAJQBAAALAAAAAAAAAAAAAAAAAC8BAABfcmVscy8ucmVs&#10;c1BLAQItABQABgAIAAAAIQBRVvWlXwIAAJsEAAAOAAAAAAAAAAAAAAAAAC4CAABkcnMvZTJvRG9j&#10;LnhtbFBLAQItABQABgAIAAAAIQCanH8R3QAAAAoBAAAPAAAAAAAAAAAAAAAAALkEAABkcnMvZG93&#10;bnJldi54bWxQSwUGAAAAAAQABADzAAAAwwUAAAAA&#10;" filled="f" strokecolor="red" strokeweight="3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20DA58B3" w14:textId="77777777" w:rsidR="00FE7584" w:rsidRPr="00DA0569" w:rsidRDefault="007C7DF7">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r w:rsidRPr="00DA0569">
        <w:rPr>
          <w:rFonts w:ascii="Century Gothic" w:eastAsia="Century Gothic" w:hAnsi="Century Gothic" w:cs="Century Gothic"/>
          <w:noProof/>
          <w:color w:val="000000"/>
        </w:rPr>
        <w:lastRenderedPageBreak/>
        <w:drawing>
          <wp:inline distT="0" distB="0" distL="0" distR="0" wp14:anchorId="7B48CC9A" wp14:editId="32DE31F2">
            <wp:extent cx="6203970" cy="5140705"/>
            <wp:effectExtent l="0" t="0" r="0" b="0"/>
            <wp:docPr id="19696408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203970" cy="5140705"/>
                    </a:xfrm>
                    <a:prstGeom prst="rect">
                      <a:avLst/>
                    </a:prstGeom>
                    <a:ln/>
                  </pic:spPr>
                </pic:pic>
              </a:graphicData>
            </a:graphic>
          </wp:inline>
        </w:drawing>
      </w:r>
      <w:r w:rsidRPr="00DA0569">
        <w:rPr>
          <w:rFonts w:ascii="Century Gothic" w:eastAsia="Century Gothic" w:hAnsi="Century Gothic" w:cs="Century Gothic"/>
          <w:noProof/>
          <w:color w:val="000000"/>
        </w:rPr>
        <w:drawing>
          <wp:inline distT="0" distB="0" distL="0" distR="0" wp14:anchorId="112EF073" wp14:editId="50CB35F5">
            <wp:extent cx="6156378" cy="1935992"/>
            <wp:effectExtent l="0" t="0" r="0" b="0"/>
            <wp:docPr id="19696408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61067"/>
                    <a:stretch>
                      <a:fillRect/>
                    </a:stretch>
                  </pic:blipFill>
                  <pic:spPr>
                    <a:xfrm>
                      <a:off x="0" y="0"/>
                      <a:ext cx="6156378" cy="1935992"/>
                    </a:xfrm>
                    <a:prstGeom prst="rect">
                      <a:avLst/>
                    </a:prstGeom>
                    <a:ln/>
                  </pic:spPr>
                </pic:pic>
              </a:graphicData>
            </a:graphic>
          </wp:inline>
        </w:drawing>
      </w:r>
      <w:r w:rsidRPr="00DA0569">
        <w:rPr>
          <w:noProof/>
        </w:rPr>
        <mc:AlternateContent>
          <mc:Choice Requires="wps">
            <w:drawing>
              <wp:anchor distT="0" distB="0" distL="114300" distR="114300" simplePos="0" relativeHeight="251659264" behindDoc="0" locked="0" layoutInCell="1" hidden="0" allowOverlap="1" wp14:anchorId="1EE1CB1A" wp14:editId="573968C7">
                <wp:simplePos x="0" y="0"/>
                <wp:positionH relativeFrom="column">
                  <wp:posOffset>444500</wp:posOffset>
                </wp:positionH>
                <wp:positionV relativeFrom="paragraph">
                  <wp:posOffset>685800</wp:posOffset>
                </wp:positionV>
                <wp:extent cx="5508597" cy="841182"/>
                <wp:effectExtent l="0" t="0" r="0" b="0"/>
                <wp:wrapNone/>
                <wp:docPr id="1969640875" name="Rectángulo redondeado 1969640875"/>
                <wp:cNvGraphicFramePr/>
                <a:graphic xmlns:a="http://schemas.openxmlformats.org/drawingml/2006/main">
                  <a:graphicData uri="http://schemas.microsoft.com/office/word/2010/wordprocessingShape">
                    <wps:wsp>
                      <wps:cNvSpPr/>
                      <wps:spPr>
                        <a:xfrm>
                          <a:off x="2610752" y="3378459"/>
                          <a:ext cx="5470497" cy="803082"/>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0DE780BC"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5" o:spid="_x0000_s1027" style="position:absolute;left:0;text-align:left;margin-left:35pt;margin-top:54pt;width:433.75pt;height:66.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9epYQIAAKIEAAAOAAAAZHJzL2Uyb0RvYy54bWysVNtu1DAQfUfiHyy/0yR7yV602Qq1LEKq&#10;oKLwAbO2szHyDdt7+xy+hR/r2EnbBR6QEHlwPPH4zJkzM1ldn7QiB+GDtKah1VVJiTDMcml2Df36&#10;ZfNmTkmIYDgoa0RDzyLQ6/XrV6ujW4qR7aziwhMEMWF5dA3tYnTLogisExrClXXC4GFrvYaIpt8V&#10;3MMR0bUqRmVZF0frufOWiRDw621/SNcZv20Fi5/aNohIVEORW8yrz+s2rcV6BcudB9dJNtCAf2Ch&#10;QRoM+gx1CxHI3ss/oLRk3gbbxitmdWHbVjKRc8BsqvK3bB46cCLnguIE9yxT+H+w7OPh3hPJsXaL&#10;elFPyvlsSokBjbX6jOr9/GF2e2WJF9waLoBbcuGI6h1dWCLIg7v3gxVwm6Q4tV6nNyZJTg0d1VU5&#10;m44oOTd0PJ7NJ9NFr744RcLQYTqZlZPFjBKGHvNyXM5HyaF4QXI+xPfCapI2DfV2b3gimZWHw12I&#10;uQR84A/8GyWtVljQAyhS1XU9GxAHZ8R+wkw3jd1IpXJLKEOOyHNeldg1DLAzWwURt9qhVsHscsxg&#10;leTpTrod/G57ozzBWA3dbEp8hmi/uKWAtxC63i8f9TpoGXEUlNQp+6fbsOxQ9HeGk3h2WBODU0QT&#10;taApUQJnDjeZcQSp/u6HGSuDoqay9YVKu3janvomSFjpy9byMzZGcGwjkfAdhHgPHpWsMDqOC8b9&#10;vgePXNQHg/24qCYjbJx4afhLY3tpgGGdxSlk0VPSGzcxT2Vfhrf7aFsZU/VfyAwGDkJuimFo06Rd&#10;2tnr5deyfgQAAP//AwBQSwMEFAAGAAgAAAAhAPa5SBDeAAAACgEAAA8AAABkcnMvZG93bnJldi54&#10;bWxMj8FOwzAQRO9I/IO1SNyoTUtJE+JUqIhjkRr4ADfexoF4HcVOG/6e5QS33Z3R7JtyO/tenHGM&#10;XSAN9wsFAqkJtqNWw8f7690GREyGrOkDoYZvjLCtrq9KU9hwoQOe69QKDqFYGA0upaGQMjYOvYmL&#10;MCCxdgqjN4nXsZV2NBcO971cKvUovemIPzgz4M5h81VPXgPO7jStujx7y+vdpxq9Pbzs91rf3szP&#10;TyASzunPDL/4jA4VMx3DRDaKXkOmuEriu9rwwIZ8la1BHDUsH9QaZFXK/xWqHwAAAP//AwBQSwEC&#10;LQAUAAYACAAAACEAtoM4kv4AAADhAQAAEwAAAAAAAAAAAAAAAAAAAAAAW0NvbnRlbnRfVHlwZXNd&#10;LnhtbFBLAQItABQABgAIAAAAIQA4/SH/1gAAAJQBAAALAAAAAAAAAAAAAAAAAC8BAABfcmVscy8u&#10;cmVsc1BLAQItABQABgAIAAAAIQBu29epYQIAAKIEAAAOAAAAAAAAAAAAAAAAAC4CAABkcnMvZTJv&#10;RG9jLnhtbFBLAQItABQABgAIAAAAIQD2uUgQ3gAAAAoBAAAPAAAAAAAAAAAAAAAAALsEAABkcnMv&#10;ZG93bnJldi54bWxQSwUGAAAAAAQABADzAAAAxgUAAAAA&#10;" filled="f" strokecolor="red" strokeweight="3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73897EBA" w14:textId="77777777" w:rsidR="00FE7584" w:rsidRPr="00DA0569" w:rsidRDefault="007C7DF7">
      <w:pPr>
        <w:pBdr>
          <w:top w:val="nil"/>
          <w:left w:val="nil"/>
          <w:bottom w:val="nil"/>
          <w:right w:val="nil"/>
          <w:between w:val="nil"/>
        </w:pBdr>
        <w:tabs>
          <w:tab w:val="left" w:pos="0"/>
          <w:tab w:val="left" w:pos="142"/>
        </w:tabs>
        <w:spacing w:line="360" w:lineRule="auto"/>
        <w:jc w:val="center"/>
        <w:rPr>
          <w:rFonts w:ascii="Palatino Linotype" w:eastAsia="Palatino Linotype" w:hAnsi="Palatino Linotype" w:cs="Palatino Linotype"/>
          <w:color w:val="000000"/>
        </w:rPr>
      </w:pPr>
      <w:r w:rsidRPr="00DA0569">
        <w:rPr>
          <w:rFonts w:ascii="Century Gothic" w:eastAsia="Century Gothic" w:hAnsi="Century Gothic" w:cs="Century Gothic"/>
          <w:noProof/>
          <w:color w:val="000000"/>
        </w:rPr>
        <w:lastRenderedPageBreak/>
        <w:drawing>
          <wp:inline distT="0" distB="0" distL="0" distR="0" wp14:anchorId="50758D4F" wp14:editId="48BAE292">
            <wp:extent cx="5746795" cy="4196442"/>
            <wp:effectExtent l="0" t="0" r="0" b="0"/>
            <wp:docPr id="19696408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46795" cy="4196442"/>
                    </a:xfrm>
                    <a:prstGeom prst="rect">
                      <a:avLst/>
                    </a:prstGeom>
                    <a:ln/>
                  </pic:spPr>
                </pic:pic>
              </a:graphicData>
            </a:graphic>
          </wp:inline>
        </w:drawing>
      </w:r>
      <w:r w:rsidRPr="00DA0569">
        <w:rPr>
          <w:noProof/>
        </w:rPr>
        <mc:AlternateContent>
          <mc:Choice Requires="wps">
            <w:drawing>
              <wp:anchor distT="0" distB="0" distL="114300" distR="114300" simplePos="0" relativeHeight="251660288" behindDoc="0" locked="0" layoutInCell="1" hidden="0" allowOverlap="1" wp14:anchorId="4492D0D5" wp14:editId="4F625465">
                <wp:simplePos x="0" y="0"/>
                <wp:positionH relativeFrom="column">
                  <wp:posOffset>2463800</wp:posOffset>
                </wp:positionH>
                <wp:positionV relativeFrom="paragraph">
                  <wp:posOffset>2032000</wp:posOffset>
                </wp:positionV>
                <wp:extent cx="1894576" cy="514350"/>
                <wp:effectExtent l="0" t="0" r="0" b="0"/>
                <wp:wrapNone/>
                <wp:docPr id="1969640874" name="Rectángulo redondeado 1969640874"/>
                <wp:cNvGraphicFramePr/>
                <a:graphic xmlns:a="http://schemas.openxmlformats.org/drawingml/2006/main">
                  <a:graphicData uri="http://schemas.microsoft.com/office/word/2010/wordprocessingShape">
                    <wps:wsp>
                      <wps:cNvSpPr/>
                      <wps:spPr>
                        <a:xfrm>
                          <a:off x="4427287" y="3551400"/>
                          <a:ext cx="1837426" cy="457200"/>
                        </a:xfrm>
                        <a:prstGeom prst="roundRect">
                          <a:avLst>
                            <a:gd name="adj" fmla="val 16667"/>
                          </a:avLst>
                        </a:prstGeom>
                        <a:noFill/>
                        <a:ln w="57150" cap="flat" cmpd="sng">
                          <a:solidFill>
                            <a:srgbClr val="FF0000"/>
                          </a:solidFill>
                          <a:prstDash val="solid"/>
                          <a:miter lim="800000"/>
                          <a:headEnd type="none" w="sm" len="sm"/>
                          <a:tailEnd type="none" w="sm" len="sm"/>
                        </a:ln>
                      </wps:spPr>
                      <wps:txbx>
                        <w:txbxContent>
                          <w:p w14:paraId="612FA045"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4" o:spid="_x0000_s1028" style="position:absolute;left:0;text-align:left;margin-left:194pt;margin-top:160pt;width:149.2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qdZAIAAKIEAAAOAAAAZHJzL2Uyb0RvYy54bWysVNtu1DAQfUfiHyy/01yaTbarZivUsgip&#10;gorCB8zazsbIN2zv7XP4Fn6MsTe0CzwgIfLgeOLxmTNnZnJ9c9CK7IQP0pqeVhclJcIwy6XZ9PTz&#10;p9WrOSUhguGgrBE9PYpAb5YvX1zv3ULUdrSKC08QxITF3vV0jNEtiiKwUWgIF9YJg4eD9Roimn5T&#10;cA97RNeqqMuyLfbWc+ctEyHg17vTIV1m/GEQLH4YhiAiUT1FbjGvPq/rtBbLa1hsPLhRsokG/AML&#10;DdJg0CeoO4hAtl7+AaUl8zbYIV4wqws7DJKJnANmU5W/ZfM4ghM5FxQnuCeZwv+DZe93D55IjrW7&#10;aq/appx3DSUGNNbqI6r3/ZvZbJUlXnBruABuyZkjqrd3YYEgj+7BT1bAbZLiMHid3pgkOfS0aequ&#10;nneUHHt6OZtVTTmpLw6RMHSo5pddU7eUMPRoZh2WN5WneEZyPsS3wmqSNj31dmt4IpmVh919iLkE&#10;fOIP/Aslg1ZY0B0oUrVt202IkzNi/8RMN41dSaVySyhD9j2dddUMu4YBduagIOJWO9QqmE2OGayS&#10;PN1Jt4PfrG+VJxirp6tVic8U7Re3FPAOwnjyy0fJDRZaRhwFJXVP5+nyJM+Ior8xnMSjw5oYnCKa&#10;qAVNiRI4c7jJ1yNI9Xc/zFgZFDWV7VSotIuH9SE3QZ2w0pe15UdsjODYSiLhewjxATwqWWF0HBeM&#10;+3ULHrmodwb78apq6hnO17nhz431uQGGjRankEVPycm4jXkqT2V4vY12kBG5ZKInMpOBg5CbYhra&#10;NGnndvZ6/rUsfwAAAP//AwBQSwMEFAAGAAgAAAAhAH+ff+nhAAAACwEAAA8AAABkcnMvZG93bnJl&#10;di54bWxMj81OwzAQhO9IvIO1SNyoHagiE+JUVYEKTlV/Dhzd2E2ixuvIdtuUp2c5wW1HO5r5ppyN&#10;rmdnG2LnUUE2EcAs1t502CjYbd8fJLCYNBrde7QKrjbCrLq9KXVh/AXX9rxJDaMQjIVW0KY0FJzH&#10;urVOx4kfLNLv4IPTiWRouAn6QuGu549C5NzpDqmh1YNdtLY+bk5OQefWc/m54q/Pu3B92358Lb8X&#10;2VKp+7tx/gIs2TH9meEXn9ChIqa9P6GJrFfwJCVtSXRQDzBy5DKfAtsrmIpMAK9K/n9D9QMAAP//&#10;AwBQSwECLQAUAAYACAAAACEAtoM4kv4AAADhAQAAEwAAAAAAAAAAAAAAAAAAAAAAW0NvbnRlbnRf&#10;VHlwZXNdLnhtbFBLAQItABQABgAIAAAAIQA4/SH/1gAAAJQBAAALAAAAAAAAAAAAAAAAAC8BAABf&#10;cmVscy8ucmVsc1BLAQItABQABgAIAAAAIQCvfRqdZAIAAKIEAAAOAAAAAAAAAAAAAAAAAC4CAABk&#10;cnMvZTJvRG9jLnhtbFBLAQItABQABgAIAAAAIQB/n3/p4QAAAAsBAAAPAAAAAAAAAAAAAAAAAL4E&#10;AABkcnMvZG93bnJldi54bWxQSwUGAAAAAAQABADzAAAAzAUAAAAA&#10;" filled="f" strokecolor="red" strokeweight="4.5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7CCF8C25"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41405AE8" w14:textId="77777777" w:rsidR="00FE7584" w:rsidRPr="00DA0569" w:rsidRDefault="007C7DF7">
      <w:pPr>
        <w:jc w:val="center"/>
      </w:pPr>
      <w:r w:rsidRPr="00DA0569">
        <w:rPr>
          <w:noProof/>
        </w:rPr>
        <w:drawing>
          <wp:inline distT="0" distB="0" distL="0" distR="0" wp14:anchorId="0A4C7871" wp14:editId="32B5410C">
            <wp:extent cx="5353611" cy="2709831"/>
            <wp:effectExtent l="0" t="0" r="0" b="0"/>
            <wp:docPr id="19696408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353611" cy="2709831"/>
                    </a:xfrm>
                    <a:prstGeom prst="rect">
                      <a:avLst/>
                    </a:prstGeom>
                    <a:ln/>
                  </pic:spPr>
                </pic:pic>
              </a:graphicData>
            </a:graphic>
          </wp:inline>
        </w:drawing>
      </w:r>
      <w:r w:rsidRPr="00DA0569">
        <w:rPr>
          <w:noProof/>
        </w:rPr>
        <mc:AlternateContent>
          <mc:Choice Requires="wps">
            <w:drawing>
              <wp:anchor distT="0" distB="0" distL="114300" distR="114300" simplePos="0" relativeHeight="251661312" behindDoc="0" locked="0" layoutInCell="1" hidden="0" allowOverlap="1" wp14:anchorId="6E8D3376" wp14:editId="39FC285C">
                <wp:simplePos x="0" y="0"/>
                <wp:positionH relativeFrom="column">
                  <wp:posOffset>2514600</wp:posOffset>
                </wp:positionH>
                <wp:positionV relativeFrom="paragraph">
                  <wp:posOffset>2286000</wp:posOffset>
                </wp:positionV>
                <wp:extent cx="2498425" cy="445339"/>
                <wp:effectExtent l="0" t="0" r="0" b="0"/>
                <wp:wrapNone/>
                <wp:docPr id="1969640876" name="Rectángulo redondeado 1969640876"/>
                <wp:cNvGraphicFramePr/>
                <a:graphic xmlns:a="http://schemas.openxmlformats.org/drawingml/2006/main">
                  <a:graphicData uri="http://schemas.microsoft.com/office/word/2010/wordprocessingShape">
                    <wps:wsp>
                      <wps:cNvSpPr/>
                      <wps:spPr>
                        <a:xfrm>
                          <a:off x="4125363" y="3585906"/>
                          <a:ext cx="2441275" cy="388189"/>
                        </a:xfrm>
                        <a:prstGeom prst="roundRect">
                          <a:avLst>
                            <a:gd name="adj" fmla="val 16667"/>
                          </a:avLst>
                        </a:prstGeom>
                        <a:noFill/>
                        <a:ln w="57150" cap="flat" cmpd="sng">
                          <a:solidFill>
                            <a:srgbClr val="FF0000"/>
                          </a:solidFill>
                          <a:prstDash val="solid"/>
                          <a:miter lim="800000"/>
                          <a:headEnd type="none" w="sm" len="sm"/>
                          <a:tailEnd type="none" w="sm" len="sm"/>
                        </a:ln>
                      </wps:spPr>
                      <wps:txbx>
                        <w:txbxContent>
                          <w:p w14:paraId="3C041D29"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6" o:spid="_x0000_s1029" style="position:absolute;left:0;text-align:left;margin-left:198pt;margin-top:180pt;width:196.75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LsYQIAAKIEAAAOAAAAZHJzL2Uyb0RvYy54bWysVNuO0zAQfUfiHyy/s0l6SdNq0xXapQhp&#10;BSsWPmBqO42Rb9ju7XP4Fn6MsRN2CzwgIfLgeOLxmZlzZnJ9c9KKHIQP0pqWVlclJcIwy6XZtfTz&#10;p82rhpIQwXBQ1oiWnkWgN+uXL66PbiUmtreKC08QxITV0bW0j9GtiiKwXmgIV9YJg4ed9Roimn5X&#10;cA9HRNeqmJRlXRyt585bJkLAr3fDIV1n/K4TLH7ouiAiUS3F3GJefV63aS3W17DaeXC9ZGMa8A9Z&#10;aJAGgz5B3UEEsvfyDygtmbfBdvGKWV3YrpNM5Bqwmqr8rZrHHpzItSA5wT3RFP4fLHt/ePBEctRu&#10;WS/rWdksakoMaNTqI7L3/ZvZ7ZUlXnBruABuyYUjsnd0YYUgj+7Bj1bAbaLi1Hmd3lgkObV0Vk3m&#10;03pKybml03kzX5b1wL44RcLQYTJDl8WcEpY8mqZqlsmheEZyPsS3wmqSNi31dm94SjIzD4f7ELME&#10;fMwf+BdKOq1Q0AMoUtV1vRgRR2fE/omZbhq7kUrlllCGHFs6X1Rz7BoG2Jmdgohb7ZCrYHY5ZrBK&#10;8nQn3Q5+t71VnmCslm42JT5jtF/cUsA7CP3gl48GHrSMOApK6pY26fLYnD2S/sZwEs8ONTE4RTSl&#10;FjQlSuDM4SZnHEGqv/thxcogqUm2Qai0i6ftKTfBNGGlL1vLz9gYwbGNxITvIcQH8MhkhdFxXDDu&#10;1z14zEW9M9iPy2o2QenipeEvje2lAYb1FqeQRU/JYNzGPJWDDK/30XYyJvWfkxkNHITcFOPQpkm7&#10;tLPX869l/QMAAP//AwBQSwMEFAAGAAgAAAAhAN3Rpf7iAAAACwEAAA8AAABkcnMvZG93bnJldi54&#10;bWxMj81OwzAQhO9IvIO1SNyoHQohSeNUVYEKTqg/hx7d2CQR8Tqy3Tbl6VlOcJvRjma/Keej7dnJ&#10;+NA5lJBMBDCDtdMdNhJ229e7DFiICrXqHRoJFxNgXl1flarQ7oxrc9rEhlEJhkJJaGMcCs5D3Rqr&#10;wsQNBun26bxVkaxvuPbqTOW25/dCpNyqDulDqwazbE39tTlaCZ1dL7L3D/6c7/zlZfu2X30vk5WU&#10;tzfjYgYsmjH+heEXn9ChIqaDO6IOrJcwzVPaEkmkggQlnrL8EdhBwsNUJMCrkv/fUP0AAAD//wMA&#10;UEsBAi0AFAAGAAgAAAAhALaDOJL+AAAA4QEAABMAAAAAAAAAAAAAAAAAAAAAAFtDb250ZW50X1R5&#10;cGVzXS54bWxQSwECLQAUAAYACAAAACEAOP0h/9YAAACUAQAACwAAAAAAAAAAAAAAAAAvAQAAX3Jl&#10;bHMvLnJlbHNQSwECLQAUAAYACAAAACEAl4LC7GECAACiBAAADgAAAAAAAAAAAAAAAAAuAgAAZHJz&#10;L2Uyb0RvYy54bWxQSwECLQAUAAYACAAAACEA3dGl/uIAAAALAQAADwAAAAAAAAAAAAAAAAC7BAAA&#10;ZHJzL2Rvd25yZXYueG1sUEsFBgAAAAAEAAQA8wAAAMoFAAAAAA==&#10;" filled="f" strokecolor="red" strokeweight="4.5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5CEC4CAC" w14:textId="77777777" w:rsidR="00FE7584" w:rsidRPr="00DA0569" w:rsidRDefault="00FE7584"/>
    <w:p w14:paraId="70464CE1" w14:textId="77777777" w:rsidR="00FE7584" w:rsidRPr="00DA0569" w:rsidRDefault="00FE7584"/>
    <w:p w14:paraId="5400513E" w14:textId="77777777" w:rsidR="00FE7584" w:rsidRPr="00DA0569" w:rsidRDefault="007C7DF7">
      <w:r w:rsidRPr="00DA0569">
        <w:rPr>
          <w:noProof/>
        </w:rPr>
        <w:drawing>
          <wp:inline distT="0" distB="0" distL="0" distR="0" wp14:anchorId="19A519E1" wp14:editId="6DDE9903">
            <wp:extent cx="5991395" cy="3244835"/>
            <wp:effectExtent l="0" t="0" r="0" b="0"/>
            <wp:docPr id="19696408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991395" cy="3244835"/>
                    </a:xfrm>
                    <a:prstGeom prst="rect">
                      <a:avLst/>
                    </a:prstGeom>
                    <a:ln/>
                  </pic:spPr>
                </pic:pic>
              </a:graphicData>
            </a:graphic>
          </wp:inline>
        </w:drawing>
      </w:r>
      <w:r w:rsidRPr="00DA0569">
        <w:rPr>
          <w:noProof/>
        </w:rPr>
        <mc:AlternateContent>
          <mc:Choice Requires="wps">
            <w:drawing>
              <wp:anchor distT="0" distB="0" distL="114300" distR="114300" simplePos="0" relativeHeight="251662336" behindDoc="0" locked="0" layoutInCell="1" hidden="0" allowOverlap="1" wp14:anchorId="0FA104D9" wp14:editId="2F43BCF1">
                <wp:simplePos x="0" y="0"/>
                <wp:positionH relativeFrom="column">
                  <wp:posOffset>203200</wp:posOffset>
                </wp:positionH>
                <wp:positionV relativeFrom="paragraph">
                  <wp:posOffset>647700</wp:posOffset>
                </wp:positionV>
                <wp:extent cx="2330038" cy="276075"/>
                <wp:effectExtent l="0" t="0" r="0" b="0"/>
                <wp:wrapNone/>
                <wp:docPr id="1969640881" name="Rectángulo redondeado 1969640881"/>
                <wp:cNvGraphicFramePr/>
                <a:graphic xmlns:a="http://schemas.openxmlformats.org/drawingml/2006/main">
                  <a:graphicData uri="http://schemas.microsoft.com/office/word/2010/wordprocessingShape">
                    <wps:wsp>
                      <wps:cNvSpPr/>
                      <wps:spPr>
                        <a:xfrm>
                          <a:off x="4200031" y="3661013"/>
                          <a:ext cx="2291938" cy="237975"/>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0C9B1DAA"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81" o:spid="_x0000_s1030" style="position:absolute;margin-left:16pt;margin-top:51pt;width:183.4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dnYwIAAKIEAAAOAAAAZHJzL2Uyb0RvYy54bWysVF2O0zAQfkfiDpbf2SRtN9tWTVdoSxHS&#10;ClYsHGBqO42R/7Ddpj0OZ+FijJ2wW+ABCfHizsTjb775Zqar25NW5Ch8kNY0tLoqKRGGWS7NvqGf&#10;P21fzSkJEQwHZY1o6FkEert++WLVu6WY2M4qLjxBEBOWvWtoF6NbFkVgndAQrqwTBi9b6zVEdP2+&#10;4B56RNeqmJRlXfTWc+ctEyHg181wSdcZv20Fix/aNohIVEORW8ynz+cuncV6Bcu9B9dJNtKAf2Ch&#10;QRpM+gS1gQjk4OUfUFoyb4Nt4xWzurBtK5nINWA1VflbNY8dOJFrQXGCe5Ip/D9Y9v744Ink2LtF&#10;vahn5XxeUWJAY68+onrfv5n9QVniBbeGC+CWXASier0LSwR5dA9+9AKaSYpT63X6xSLJqaEzbFc5&#10;RfBzQ6d1XZXVdFBfnCJhGDCZLKrFFOeFYcRkerO4uU4BxTOS8yG+FVaTZDTU24PhiWRWHo73IeYW&#10;8JE/8C+UtFphQ4+gSFXX9c2IOAYj9k/M9NLYrVQqj4QypEee86rEqWGAk9kqiGhqh1oFs885g1WS&#10;pzfpdfD73Z3yBHM1dLvFavN4YY5fwlLCDYRuiMtXgw5aRlwFJXVD5+nxOJwdiv7GcBLPDnticIto&#10;ohY0JUrgzqGRGUeQ6u9xyEYZFDW1bWhUsuJpd8pDMEtY6cvO8jMORnBsK5HwPYT4AB6VxAb2uC6Y&#10;9+sBPHJR7wzO46KaTa5xvy4df+nsLh0wrLO4hSx6SgbnLuatHNrw+hBtK2Pq/jOZ0cFFyEMxLm3a&#10;tEs/Rz3/tax/AAAA//8DAFBLAwQUAAYACAAAACEAuPkLLN0AAAAKAQAADwAAAGRycy9kb3ducmV2&#10;LnhtbEyPwU7DMBBE70j8g7VI3KhNQ6EJcSpUxLFIDXyAG2/jQLyOYqcNf8/2BLfd2dHsm3Iz+16c&#10;cIxdIA33CwUCqQm2o1bD58fb3RpETIas6QOhhh+MsKmur0pT2HCmPZ7q1AoOoVgYDS6loZAyNg69&#10;iYswIPHtGEZvEq9jK+1ozhzue7lU6lF60xF/cGbArcPmu568Bpzdccq6/Ok9r7dfavR2/7rbaX17&#10;M788g0g4pz8zXPAZHSpmOoSJbBS9hmzJVRLr6jKwIcvXOYgDKw+rFciqlP8rVL8AAAD//wMAUEsB&#10;Ai0AFAAGAAgAAAAhALaDOJL+AAAA4QEAABMAAAAAAAAAAAAAAAAAAAAAAFtDb250ZW50X1R5cGVz&#10;XS54bWxQSwECLQAUAAYACAAAACEAOP0h/9YAAACUAQAACwAAAAAAAAAAAAAAAAAvAQAAX3JlbHMv&#10;LnJlbHNQSwECLQAUAAYACAAAACEAaC8HZ2MCAACiBAAADgAAAAAAAAAAAAAAAAAuAgAAZHJzL2Uy&#10;b0RvYy54bWxQSwECLQAUAAYACAAAACEAuPkLLN0AAAAKAQAADwAAAAAAAAAAAAAAAAC9BAAAZHJz&#10;L2Rvd25yZXYueG1sUEsFBgAAAAAEAAQA8wAAAMcFAAAAAA==&#10;" filled="f" strokecolor="red" strokeweight="3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2B399AF4" w14:textId="77777777" w:rsidR="00FE7584" w:rsidRPr="00DA0569" w:rsidRDefault="00FE7584"/>
    <w:p w14:paraId="5BFA5DE7" w14:textId="77777777" w:rsidR="00FE7584" w:rsidRPr="00DA0569" w:rsidRDefault="00FE7584"/>
    <w:p w14:paraId="2EF149E6" w14:textId="77777777" w:rsidR="00FE7584" w:rsidRPr="00DA0569" w:rsidRDefault="007C7DF7">
      <w:r w:rsidRPr="00DA0569">
        <w:rPr>
          <w:noProof/>
        </w:rPr>
        <w:drawing>
          <wp:inline distT="0" distB="0" distL="0" distR="0" wp14:anchorId="54B447A9" wp14:editId="232DFDA1">
            <wp:extent cx="5612130" cy="3298190"/>
            <wp:effectExtent l="0" t="0" r="0" b="0"/>
            <wp:docPr id="19696408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3298190"/>
                    </a:xfrm>
                    <a:prstGeom prst="rect">
                      <a:avLst/>
                    </a:prstGeom>
                    <a:ln/>
                  </pic:spPr>
                </pic:pic>
              </a:graphicData>
            </a:graphic>
          </wp:inline>
        </w:drawing>
      </w:r>
    </w:p>
    <w:p w14:paraId="79ACD45E" w14:textId="77777777" w:rsidR="00FE7584" w:rsidRPr="00DA0569" w:rsidRDefault="00FE7584"/>
    <w:p w14:paraId="765C15DA" w14:textId="77777777" w:rsidR="00FE7584" w:rsidRPr="00DA0569" w:rsidRDefault="007C7DF7">
      <w:r w:rsidRPr="00DA0569">
        <w:rPr>
          <w:noProof/>
        </w:rPr>
        <w:lastRenderedPageBreak/>
        <w:drawing>
          <wp:inline distT="0" distB="0" distL="0" distR="0" wp14:anchorId="3667DE28" wp14:editId="49C2881C">
            <wp:extent cx="6138585" cy="2998127"/>
            <wp:effectExtent l="0" t="0" r="0" b="0"/>
            <wp:docPr id="19696408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138585" cy="2998127"/>
                    </a:xfrm>
                    <a:prstGeom prst="rect">
                      <a:avLst/>
                    </a:prstGeom>
                    <a:ln/>
                  </pic:spPr>
                </pic:pic>
              </a:graphicData>
            </a:graphic>
          </wp:inline>
        </w:drawing>
      </w:r>
    </w:p>
    <w:p w14:paraId="45BF4834" w14:textId="77777777" w:rsidR="00FE7584" w:rsidRPr="00DA0569" w:rsidRDefault="00FE7584"/>
    <w:p w14:paraId="5641BE0B" w14:textId="77777777" w:rsidR="00FE7584" w:rsidRPr="00DA0569" w:rsidRDefault="007C7DF7">
      <w:r w:rsidRPr="00DA0569">
        <w:rPr>
          <w:noProof/>
        </w:rPr>
        <w:drawing>
          <wp:inline distT="0" distB="0" distL="0" distR="0" wp14:anchorId="46EC835F" wp14:editId="7A78AE3F">
            <wp:extent cx="6256955" cy="3801326"/>
            <wp:effectExtent l="0" t="0" r="0" b="0"/>
            <wp:docPr id="19696408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256955" cy="3801326"/>
                    </a:xfrm>
                    <a:prstGeom prst="rect">
                      <a:avLst/>
                    </a:prstGeom>
                    <a:ln/>
                  </pic:spPr>
                </pic:pic>
              </a:graphicData>
            </a:graphic>
          </wp:inline>
        </w:drawing>
      </w:r>
      <w:r w:rsidRPr="00DA0569">
        <w:rPr>
          <w:noProof/>
        </w:rPr>
        <mc:AlternateContent>
          <mc:Choice Requires="wps">
            <w:drawing>
              <wp:anchor distT="0" distB="0" distL="114300" distR="114300" simplePos="0" relativeHeight="251663360" behindDoc="0" locked="0" layoutInCell="1" hidden="0" allowOverlap="1" wp14:anchorId="02C1A5D2" wp14:editId="5A031160">
                <wp:simplePos x="0" y="0"/>
                <wp:positionH relativeFrom="column">
                  <wp:posOffset>-25399</wp:posOffset>
                </wp:positionH>
                <wp:positionV relativeFrom="paragraph">
                  <wp:posOffset>38100</wp:posOffset>
                </wp:positionV>
                <wp:extent cx="4565540" cy="1003355"/>
                <wp:effectExtent l="0" t="0" r="0" b="0"/>
                <wp:wrapNone/>
                <wp:docPr id="1969640878" name="Rectángulo redondeado 1969640878"/>
                <wp:cNvGraphicFramePr/>
                <a:graphic xmlns:a="http://schemas.openxmlformats.org/drawingml/2006/main">
                  <a:graphicData uri="http://schemas.microsoft.com/office/word/2010/wordprocessingShape">
                    <wps:wsp>
                      <wps:cNvSpPr/>
                      <wps:spPr>
                        <a:xfrm>
                          <a:off x="3091805" y="3306898"/>
                          <a:ext cx="4508390" cy="946205"/>
                        </a:xfrm>
                        <a:prstGeom prst="roundRect">
                          <a:avLst>
                            <a:gd name="adj" fmla="val 16667"/>
                          </a:avLst>
                        </a:prstGeom>
                        <a:noFill/>
                        <a:ln w="57150" cap="flat" cmpd="sng">
                          <a:solidFill>
                            <a:srgbClr val="FF0000"/>
                          </a:solidFill>
                          <a:prstDash val="solid"/>
                          <a:miter lim="800000"/>
                          <a:headEnd type="none" w="sm" len="sm"/>
                          <a:tailEnd type="none" w="sm" len="sm"/>
                        </a:ln>
                      </wps:spPr>
                      <wps:txbx>
                        <w:txbxContent>
                          <w:p w14:paraId="30D7A1D5"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8" o:spid="_x0000_s1031" style="position:absolute;margin-left:-2pt;margin-top:3pt;width:359.5pt;height:7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A5YAIAAKIEAAAOAAAAZHJzL2Uyb0RvYy54bWysVNuO0zAQfUfiHyy/s0m6bTapNl2hXYqQ&#10;VrBi4QOmttMY+Ybt3j6Hb+HHGDtht8ADEqIP7kwyPjNzzkyub45akb3wQVrT0eqipEQYZrk0245+&#10;/rR+1VASIhgOyhrR0ZMI9Gb18sX1wS3FzA5WceEJgpiwPLiODjG6ZVEENggN4cI6YfBlb72GiK7f&#10;FtzDAdG1KmZlWRcH67nzlokQ8Ond+JKuMn7fCxY/9H0QkaiOYm0xnz6fm3QWq2tYbj24QbKpDPiH&#10;KjRIg0mfoO4gAtl5+QeUlszbYPt4wawubN9LJnIP2E1V/tbN4wBO5F6QnOCeaAr/D5a93z94Ijlq&#10;19ZtPS+bK1TMgEatPiJ737+Z7U5Z4gW3hgvglpwFInsHF5YI8uge/OQFNBMVx97r9I9NkmNHL8u2&#10;asoFJSe0L8u6aZuRfXGMhGHAfFE2ly2KxDCindczDEbI4hnJ+RDfCqtJMjrq7c7wVGRmHvb3IWYJ&#10;+FQ/8C+U9FqhoHtQpKrr+mpCnIIR+ydmumnsWiqVR0IZcujo4qpapIIAJ7NXENHUDrkKZptzBqsk&#10;T3fS7eC3m1vlCebq6Hpd4m/K9ktYSngHYRjj8quRBy0jroKSuqNNujwN54CkvzGcxJNDTQxuEU2l&#10;BU2JErhzaOSKI0j19zjsWBkkNck2CpWseNwc8xBkxtOTjeUnHIzg2FpiwfcQ4gN4ZLLC7LgumPfr&#10;DjzWot4ZnMe2ms9Q23ju+HNnc+6AYYPFLWTRUzI6tzFv5SjD6120vYxJ/ediJgcXIQ/FtLRp0879&#10;HPX8aVn9AAAA//8DAFBLAwQUAAYACAAAACEAIB5mxt8AAAAIAQAADwAAAGRycy9kb3ducmV2Lnht&#10;bEyPzU7DMBCE75V4B2uRuLVOEKQlxKmqAlU5Vf05cHTjJYmI15HttilPz3KC0+7qG83OFPPBduKM&#10;PrSOFKSTBARS5UxLtYLD/m08AxGiJqM7R6jgigHm5c2o0LlxF9rieRdrwSYUcq2gibHPpQxVg1aH&#10;ieuRmH06b3Xk09fSeH1hc9vJ+yTJpNUt8YdG97hssPranayC1m4Xs/eNfHk6+Ovrfv2x+l6mK6Xu&#10;bofFM4iIQ/wTw298jg4lZzq6E5kgOgXjB64SFWQ8GE/TR16OrMsYyLKQ/wuUPwAAAP//AwBQSwEC&#10;LQAUAAYACAAAACEAtoM4kv4AAADhAQAAEwAAAAAAAAAAAAAAAAAAAAAAW0NvbnRlbnRfVHlwZXNd&#10;LnhtbFBLAQItABQABgAIAAAAIQA4/SH/1gAAAJQBAAALAAAAAAAAAAAAAAAAAC8BAABfcmVscy8u&#10;cmVsc1BLAQItABQABgAIAAAAIQBMkDA5YAIAAKIEAAAOAAAAAAAAAAAAAAAAAC4CAABkcnMvZTJv&#10;RG9jLnhtbFBLAQItABQABgAIAAAAIQAgHmbG3wAAAAgBAAAPAAAAAAAAAAAAAAAAALoEAABkcnMv&#10;ZG93bnJldi54bWxQSwUGAAAAAAQABADzAAAAxgUAAAAA&#10;" filled="f" strokecolor="red" strokeweight="4.5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33248CF4" w14:textId="77777777" w:rsidR="00FE7584" w:rsidRPr="00DA0569" w:rsidRDefault="00FE7584"/>
    <w:p w14:paraId="1C404821" w14:textId="77777777" w:rsidR="00FE7584" w:rsidRPr="00DA0569" w:rsidRDefault="00FE7584"/>
    <w:p w14:paraId="691BEB82" w14:textId="77777777" w:rsidR="00FE7584" w:rsidRPr="00DA0569" w:rsidRDefault="007C7DF7">
      <w:pPr>
        <w:jc w:val="center"/>
      </w:pPr>
      <w:r w:rsidRPr="00DA0569">
        <w:rPr>
          <w:noProof/>
        </w:rPr>
        <w:lastRenderedPageBreak/>
        <w:drawing>
          <wp:inline distT="0" distB="0" distL="0" distR="0" wp14:anchorId="42BE7089" wp14:editId="1EF00E64">
            <wp:extent cx="4178841" cy="4818207"/>
            <wp:effectExtent l="0" t="0" r="0" b="0"/>
            <wp:docPr id="19696408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178841" cy="4818207"/>
                    </a:xfrm>
                    <a:prstGeom prst="rect">
                      <a:avLst/>
                    </a:prstGeom>
                    <a:ln/>
                  </pic:spPr>
                </pic:pic>
              </a:graphicData>
            </a:graphic>
          </wp:inline>
        </w:drawing>
      </w:r>
      <w:r w:rsidRPr="00DA0569">
        <w:rPr>
          <w:noProof/>
        </w:rPr>
        <mc:AlternateContent>
          <mc:Choice Requires="wps">
            <w:drawing>
              <wp:anchor distT="0" distB="0" distL="114300" distR="114300" simplePos="0" relativeHeight="251664384" behindDoc="0" locked="0" layoutInCell="1" hidden="0" allowOverlap="1" wp14:anchorId="7A64C4E7" wp14:editId="06E2C310">
                <wp:simplePos x="0" y="0"/>
                <wp:positionH relativeFrom="column">
                  <wp:posOffset>1282700</wp:posOffset>
                </wp:positionH>
                <wp:positionV relativeFrom="paragraph">
                  <wp:posOffset>812800</wp:posOffset>
                </wp:positionV>
                <wp:extent cx="3679797" cy="737815"/>
                <wp:effectExtent l="0" t="0" r="0" b="0"/>
                <wp:wrapNone/>
                <wp:docPr id="1969640879" name="Rectángulo redondeado 1969640879"/>
                <wp:cNvGraphicFramePr/>
                <a:graphic xmlns:a="http://schemas.openxmlformats.org/drawingml/2006/main">
                  <a:graphicData uri="http://schemas.microsoft.com/office/word/2010/wordprocessingShape">
                    <wps:wsp>
                      <wps:cNvSpPr/>
                      <wps:spPr>
                        <a:xfrm>
                          <a:off x="3525152" y="3430143"/>
                          <a:ext cx="3641697" cy="699715"/>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45D8DD05"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79" o:spid="_x0000_s1032" style="position:absolute;left:0;text-align:left;margin-left:101pt;margin-top:64pt;width:289.75pt;height:58.1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KxYQIAAKIEAAAOAAAAZHJzL2Uyb0RvYy54bWysVNuO0zAQfUfiHyy/s0m6bdpUm67QLkVI&#10;K6hY+ICp7TRGvmG7t8/hW/gxxk7YLfCAhOiDO5OMz5w5M5Ob25NW5CB8kNa0tLoqKRGGWS7NrqWf&#10;P61fLSgJEQwHZY1o6VkEert6+eLm6JZiYnuruPAEQUxYHl1L+xjdsigC64WGcGWdMPiys15DRNfv&#10;Cu7hiOhaFZOyrIuj9dx5y0QI+PR+eElXGb/rBIsfui6ISFRLkVvMp8/nNp3F6gaWOw+ul2ykAf/A&#10;QoM0mPQJ6h4ikL2Xf0BpybwNtotXzOrCdp1kIteA1VTlb9U89uBErgXFCe5JpvD/YNn7w8YTybF3&#10;Td3U03IxbygxoLFXH1G979/Mbq8s8YJbwwVwSy4CUb2jC0sEeXQbP3oBzSTFqfM6/WOR5NTS69lk&#10;Vs0mlJzRnl6X1fR6UF+cImEpoJ5WdTOnhGFE3TTzapYCimck50N8K6wmyWipt3vDE8msPBweQswt&#10;4CN/4F8o6bTChh5Akaqu6/mIOAYj9k/MdNPYtVQqj4Qy5IiUFlWJU8MAJ7NTENHUDrUKZpdzBqsk&#10;T3fS7eB32zvlCeZq6Xpd4m/M9ktYSngPoR/i8qtBBy0jroKSuqWLdHkczh5Ff2M4iWeHPTG4RTRR&#10;C5oSJXDn0MiMI0j19zisWBkUNbVtaFSy4ml7ykNQJ6z0ZGv5GQcjOLaWSPgBQtyARyUrzI7rgnm/&#10;7sEjF/XO4Dw21XQyw/26dPyls710wLDe4hay6CkZnLuYt3Jow+t9tJ2MqfvPZEYHFyEPxbi0adMu&#10;/Rz1/GlZ/QAAAP//AwBQSwMEFAAGAAgAAAAhAD7hX0reAAAACwEAAA8AAABkcnMvZG93bnJldi54&#10;bWxMj8FOwzAQRO9I/IO1SNyoXVNoGuJUqIhjkRr4ADfexoHYjmynDX/PcoLbjt5odqbazm5gZ4yp&#10;D17BciGAoW+D6X2n4OP99a4AlrL2Rg/Bo4JvTLCtr68qXZpw8Qc8N7ljFOJTqRXYnMeS89RadDot&#10;woie2ClEpzPJ2HET9YXC3cClEI/c6d7TB6tH3Flsv5rJKcDZnqb7frN+2zS7TxGdObzs90rd3szP&#10;T8AyzvnPDL/1qTrU1OkYJm8SGxRIIWlLJiALOsixLpYPwI6EVisJvK74/w31DwAAAP//AwBQSwEC&#10;LQAUAAYACAAAACEAtoM4kv4AAADhAQAAEwAAAAAAAAAAAAAAAAAAAAAAW0NvbnRlbnRfVHlwZXNd&#10;LnhtbFBLAQItABQABgAIAAAAIQA4/SH/1gAAAJQBAAALAAAAAAAAAAAAAAAAAC8BAABfcmVscy8u&#10;cmVsc1BLAQItABQABgAIAAAAIQBjPcKxYQIAAKIEAAAOAAAAAAAAAAAAAAAAAC4CAABkcnMvZTJv&#10;RG9jLnhtbFBLAQItABQABgAIAAAAIQA+4V9K3gAAAAsBAAAPAAAAAAAAAAAAAAAAALsEAABkcnMv&#10;ZG93bnJldi54bWxQSwUGAAAAAAQABADzAAAAxgUAAAAA&#10;" filled="f" strokecolor="red" strokeweight="3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6F26CC0A" w14:textId="77777777" w:rsidR="00FE7584" w:rsidRPr="00DA0569" w:rsidRDefault="007C7DF7">
      <w:pPr>
        <w:jc w:val="center"/>
      </w:pPr>
      <w:r w:rsidRPr="00DA0569">
        <w:rPr>
          <w:noProof/>
        </w:rPr>
        <w:drawing>
          <wp:inline distT="0" distB="0" distL="0" distR="0" wp14:anchorId="4461FB14" wp14:editId="7DEA05EE">
            <wp:extent cx="4140672" cy="2106088"/>
            <wp:effectExtent l="0" t="0" r="0" b="0"/>
            <wp:docPr id="19696408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b="56098"/>
                    <a:stretch>
                      <a:fillRect/>
                    </a:stretch>
                  </pic:blipFill>
                  <pic:spPr>
                    <a:xfrm>
                      <a:off x="0" y="0"/>
                      <a:ext cx="4140672" cy="2106088"/>
                    </a:xfrm>
                    <a:prstGeom prst="rect">
                      <a:avLst/>
                    </a:prstGeom>
                    <a:ln/>
                  </pic:spPr>
                </pic:pic>
              </a:graphicData>
            </a:graphic>
          </wp:inline>
        </w:drawing>
      </w:r>
    </w:p>
    <w:p w14:paraId="3E6E9877" w14:textId="77777777" w:rsidR="00FE7584" w:rsidRPr="00DA0569" w:rsidRDefault="00FE7584"/>
    <w:p w14:paraId="33DBD862" w14:textId="77777777" w:rsidR="00FE7584" w:rsidRPr="00DA0569" w:rsidRDefault="00FE7584"/>
    <w:p w14:paraId="14090890" w14:textId="77777777" w:rsidR="00FE7584" w:rsidRPr="00DA0569" w:rsidRDefault="00FE7584"/>
    <w:p w14:paraId="399A3170" w14:textId="77777777" w:rsidR="00FE7584" w:rsidRPr="00DA0569" w:rsidRDefault="007C7DF7">
      <w:pPr>
        <w:jc w:val="center"/>
      </w:pPr>
      <w:r w:rsidRPr="00DA0569">
        <w:rPr>
          <w:noProof/>
        </w:rPr>
        <w:lastRenderedPageBreak/>
        <w:drawing>
          <wp:inline distT="0" distB="0" distL="0" distR="0" wp14:anchorId="15F2693C" wp14:editId="0FBBDA52">
            <wp:extent cx="5980253" cy="3333061"/>
            <wp:effectExtent l="0" t="0" r="0" b="0"/>
            <wp:docPr id="19696408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80253" cy="3333061"/>
                    </a:xfrm>
                    <a:prstGeom prst="rect">
                      <a:avLst/>
                    </a:prstGeom>
                    <a:ln/>
                  </pic:spPr>
                </pic:pic>
              </a:graphicData>
            </a:graphic>
          </wp:inline>
        </w:drawing>
      </w:r>
      <w:r w:rsidRPr="00DA0569">
        <w:rPr>
          <w:noProof/>
        </w:rPr>
        <mc:AlternateContent>
          <mc:Choice Requires="wps">
            <w:drawing>
              <wp:anchor distT="0" distB="0" distL="114300" distR="114300" simplePos="0" relativeHeight="251665408" behindDoc="0" locked="0" layoutInCell="1" hidden="0" allowOverlap="1" wp14:anchorId="34B3461E" wp14:editId="5C95CDEE">
                <wp:simplePos x="0" y="0"/>
                <wp:positionH relativeFrom="column">
                  <wp:posOffset>152400</wp:posOffset>
                </wp:positionH>
                <wp:positionV relativeFrom="paragraph">
                  <wp:posOffset>-12699</wp:posOffset>
                </wp:positionV>
                <wp:extent cx="5797991" cy="804573"/>
                <wp:effectExtent l="0" t="0" r="0" b="0"/>
                <wp:wrapNone/>
                <wp:docPr id="1969640880" name="Rectángulo redondeado 1969640880"/>
                <wp:cNvGraphicFramePr/>
                <a:graphic xmlns:a="http://schemas.openxmlformats.org/drawingml/2006/main">
                  <a:graphicData uri="http://schemas.microsoft.com/office/word/2010/wordprocessingShape">
                    <wps:wsp>
                      <wps:cNvSpPr/>
                      <wps:spPr>
                        <a:xfrm>
                          <a:off x="2475580" y="3406289"/>
                          <a:ext cx="5740841" cy="747423"/>
                        </a:xfrm>
                        <a:prstGeom prst="roundRect">
                          <a:avLst>
                            <a:gd name="adj" fmla="val 16667"/>
                          </a:avLst>
                        </a:prstGeom>
                        <a:noFill/>
                        <a:ln w="57150" cap="flat" cmpd="sng">
                          <a:solidFill>
                            <a:srgbClr val="FF0000"/>
                          </a:solidFill>
                          <a:prstDash val="solid"/>
                          <a:miter lim="800000"/>
                          <a:headEnd type="none" w="sm" len="sm"/>
                          <a:tailEnd type="none" w="sm" len="sm"/>
                        </a:ln>
                      </wps:spPr>
                      <wps:txbx>
                        <w:txbxContent>
                          <w:p w14:paraId="4B5D4021" w14:textId="77777777" w:rsidR="007C7DF7" w:rsidRDefault="007C7DF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id="Rectángulo redondeado 1969640880" o:spid="_x0000_s1033" style="position:absolute;left:0;text-align:left;margin-left:12pt;margin-top:-1pt;width:456.55pt;height:63.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kqYAIAAKIEAAAOAAAAZHJzL2Uyb0RvYy54bWysVNuO0zAQfUfiHyy/s0m7aXrRpiu0SxHS&#10;CioWPmBqO42Rb9hu034O38KPMXbCboEHJEQeHE88PnPmzExubk9akaPwQVrT0MlVSYkwzHJp9g39&#10;/GnzakFJiGA4KGtEQ88i0Nv1yxc3vVuJqe2s4sITBDFh1buGdjG6VVEE1gkN4co6YfCwtV5DRNPv&#10;C+6hR3StimlZ1kVvPXfeMhECfr0fDuk647etYPFD2wYRiWoocot59XndpbVY38Bq78F1ko004B9Y&#10;aJAGgz5B3UMEcvDyDygtmbfBtvGKWV3YtpVM5Bwwm0n5WzaPHTiRc0FxgnuSKfw/WPb+uPVEcqzd&#10;sl7WVblYoEwGNNbqI6r3/ZvZH5QlXnBruABuyYUjqte7sEKQR7f1oxVwm6Q4tV6nNyZJTg2dVvPZ&#10;LIGfG3pdlfV0sRzUF6dIGDrM5hi9mlDC0GNezavpdXIonpGcD/GtsJqkTUO9PRieSGbl4fgQYi4B&#10;H/kD/0JJqxUW9AiKTOq6no+IozNi/8RMN43dSKVySyhD+kRpMkPGDLAzWwURt9qhVsHsc8xgleTp&#10;Trod/H53pzzBWA3dbEp8xmi/uKWA9xC6wS8fDTpoGXEUlNQNXaTLY3N2KPobw0k8O6yJwSmiiVrQ&#10;lCiBM4ebzDiCVH/3w4yVQVFT2YZCpV087U65CbI+6cvO8jM2RnBsI5HwA4S4BY9KYn16HBeM+/UA&#10;Hrmodwb7cTmppjOcr0vDXxq7SwMM6yxOIYueksG4i3kqhzK8PkTbypiq/0xmNHAQclOMQ5sm7dLO&#10;Xs+/lvUPAAAA//8DAFBLAwQUAAYACAAAACEArREB/+EAAAAJAQAADwAAAGRycy9kb3ducmV2Lnht&#10;bEyPzU7DMBCE70i8g7VI3FonoaJtiFNVBSp6Qv05cHTjJYmI15HttilPz3KC02o0o9lvisVgO3FG&#10;H1pHCtJxAgKpcqalWsFh/zqagQhRk9GdI1RwxQCL8vam0LlxF9rieRdrwSUUcq2gibHPpQxVg1aH&#10;seuR2Pt03urI0tfSeH3hctvJLEkepdUt8YdG97hqsPranayC1m6Xs827fJ4f/PVl//ax/l6la6Xu&#10;74blE4iIQ/wLwy8+o0PJTEd3IhNEpyCb8JSoYJTxZX/+ME1BHDmYTaYgy0L+X1D+AAAA//8DAFBL&#10;AQItABQABgAIAAAAIQC2gziS/gAAAOEBAAATAAAAAAAAAAAAAAAAAAAAAABbQ29udGVudF9UeXBl&#10;c10ueG1sUEsBAi0AFAAGAAgAAAAhADj9If/WAAAAlAEAAAsAAAAAAAAAAAAAAAAALwEAAF9yZWxz&#10;Ly5yZWxzUEsBAi0AFAAGAAgAAAAhACTQGSpgAgAAogQAAA4AAAAAAAAAAAAAAAAALgIAAGRycy9l&#10;Mm9Eb2MueG1sUEsBAi0AFAAGAAgAAAAhAK0RAf/hAAAACQEAAA8AAAAAAAAAAAAAAAAAugQAAGRy&#10;cy9kb3ducmV2LnhtbFBLBQYAAAAABAAEAPMAAADIBQAAAAA=&#10;" filled="f" strokecolor="red" strokeweight="4.5pt">
                <v:stroke startarrowwidth="narrow" startarrowlength="short" endarrowwidth="narrow" endarrowlength="short" joinstyle="miter"/>
                <v:textbox inset="2.53958mm,2.53958mm,2.53958mm,2.53958mm">
                  <w:txbxContent>
                    <w:p w:rsidR="007C7DF7" w:rsidRDefault="007C7DF7">
                      <w:pPr>
                        <w:textDirection w:val="btLr"/>
                      </w:pPr>
                    </w:p>
                  </w:txbxContent>
                </v:textbox>
              </v:roundrect>
            </w:pict>
          </mc:Fallback>
        </mc:AlternateContent>
      </w:r>
    </w:p>
    <w:p w14:paraId="6B676735" w14:textId="77777777" w:rsidR="00FE7584" w:rsidRPr="00DA0569" w:rsidRDefault="00FE7584">
      <w:pPr>
        <w:tabs>
          <w:tab w:val="left" w:pos="0"/>
          <w:tab w:val="left" w:pos="142"/>
        </w:tabs>
        <w:spacing w:line="360" w:lineRule="auto"/>
        <w:jc w:val="both"/>
        <w:rPr>
          <w:rFonts w:ascii="Palatino Linotype" w:eastAsia="Palatino Linotype" w:hAnsi="Palatino Linotype" w:cs="Palatino Linotype"/>
          <w:color w:val="000000"/>
        </w:rPr>
      </w:pPr>
    </w:p>
    <w:p w14:paraId="78EF4E11"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Con lo anterior, queda de manifiesto que la Secretaría de Movilidad del Estado de México, sí participó en eventos públicos denominados expresamente “foros”, ello con independencia de si fueron organizados de manera directa, en coordinación o como invitados (tomando en consideración lo manifestado por el sujeto obligado), pues del contenido de las publicaciones se advierte su participación, al menos de los siguientes foros: </w:t>
      </w:r>
    </w:p>
    <w:p w14:paraId="0F92DF16" w14:textId="77777777" w:rsidR="00FE7584" w:rsidRPr="00DA0569" w:rsidRDefault="007C7DF7">
      <w:pPr>
        <w:numPr>
          <w:ilvl w:val="0"/>
          <w:numId w:val="6"/>
        </w:numPr>
        <w:pBdr>
          <w:top w:val="nil"/>
          <w:left w:val="nil"/>
          <w:bottom w:val="nil"/>
          <w:right w:val="nil"/>
          <w:between w:val="nil"/>
        </w:pBdr>
        <w:tabs>
          <w:tab w:val="left" w:pos="0"/>
          <w:tab w:val="left" w:pos="142"/>
        </w:tabs>
        <w:spacing w:line="360" w:lineRule="auto"/>
        <w:ind w:left="425" w:right="40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Publicación de fecha 25 de febrero de 2024, donde se difundió el comunicado de prensa/0369, fechado el mismo día, por el que se señaló la celebración del segundo foro participativo “Colibrí sobre Ruedas”, en el museo </w:t>
      </w:r>
      <w:proofErr w:type="spellStart"/>
      <w:r w:rsidRPr="00DA0569">
        <w:rPr>
          <w:rFonts w:ascii="Palatino Linotype" w:eastAsia="Palatino Linotype" w:hAnsi="Palatino Linotype" w:cs="Palatino Linotype"/>
          <w:color w:val="000000"/>
          <w:sz w:val="22"/>
          <w:szCs w:val="22"/>
        </w:rPr>
        <w:t>Chimaltonalli</w:t>
      </w:r>
      <w:proofErr w:type="spellEnd"/>
      <w:r w:rsidRPr="00DA0569">
        <w:rPr>
          <w:rFonts w:ascii="Palatino Linotype" w:eastAsia="Palatino Linotype" w:hAnsi="Palatino Linotype" w:cs="Palatino Linotype"/>
          <w:color w:val="000000"/>
          <w:sz w:val="22"/>
          <w:szCs w:val="22"/>
        </w:rPr>
        <w:t>, en Chimalhuacán, a cargo de la Secretaría de Movilidad. En el mismo comunicado se señala la intervención de Melania Torres Campuzano, Directora de Gestión y, Pavel Flores, Coordinador de Concertación, ambos de la Secretaría aludida, indicando un resumen de su participación.</w:t>
      </w:r>
    </w:p>
    <w:p w14:paraId="1084FAAE" w14:textId="77777777" w:rsidR="00FE7584" w:rsidRPr="00DA0569" w:rsidRDefault="007C7DF7">
      <w:pPr>
        <w:numPr>
          <w:ilvl w:val="0"/>
          <w:numId w:val="6"/>
        </w:numPr>
        <w:pBdr>
          <w:top w:val="nil"/>
          <w:left w:val="nil"/>
          <w:bottom w:val="nil"/>
          <w:right w:val="nil"/>
          <w:between w:val="nil"/>
        </w:pBdr>
        <w:tabs>
          <w:tab w:val="left" w:pos="0"/>
          <w:tab w:val="left" w:pos="142"/>
        </w:tabs>
        <w:spacing w:line="360" w:lineRule="auto"/>
        <w:ind w:left="425" w:right="40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Publicación de fecha 24 de febrero de 2024, respecto de la celebración del segundo foro participativo “Colibrí sobre Ruedas”, en Chimalhuacán, a cargo de la Secretaría de </w:t>
      </w:r>
      <w:r w:rsidRPr="00DA0569">
        <w:rPr>
          <w:rFonts w:ascii="Palatino Linotype" w:eastAsia="Palatino Linotype" w:hAnsi="Palatino Linotype" w:cs="Palatino Linotype"/>
          <w:color w:val="000000"/>
          <w:sz w:val="22"/>
          <w:szCs w:val="22"/>
        </w:rPr>
        <w:lastRenderedPageBreak/>
        <w:t xml:space="preserve">Movilidad, </w:t>
      </w:r>
      <w:r w:rsidRPr="00DA0569">
        <w:rPr>
          <w:rFonts w:ascii="Palatino Linotype" w:eastAsia="Palatino Linotype" w:hAnsi="Palatino Linotype" w:cs="Palatino Linotype"/>
          <w:sz w:val="22"/>
          <w:szCs w:val="22"/>
        </w:rPr>
        <w:t>señalando</w:t>
      </w:r>
      <w:r w:rsidRPr="00DA0569">
        <w:rPr>
          <w:rFonts w:ascii="Palatino Linotype" w:eastAsia="Palatino Linotype" w:hAnsi="Palatino Linotype" w:cs="Palatino Linotype"/>
          <w:color w:val="000000"/>
          <w:sz w:val="22"/>
          <w:szCs w:val="22"/>
        </w:rPr>
        <w:t xml:space="preserve"> en la publicación: “</w:t>
      </w:r>
      <w:r w:rsidRPr="00DA0569">
        <w:rPr>
          <w:rFonts w:ascii="Palatino Linotype" w:eastAsia="Palatino Linotype" w:hAnsi="Palatino Linotype" w:cs="Palatino Linotype"/>
          <w:i/>
          <w:color w:val="000000"/>
          <w:sz w:val="22"/>
          <w:szCs w:val="22"/>
        </w:rPr>
        <w:t xml:space="preserve">Con el propósito de realizar un diagnóstico de las </w:t>
      </w:r>
      <w:proofErr w:type="spellStart"/>
      <w:r w:rsidRPr="00DA0569">
        <w:rPr>
          <w:rFonts w:ascii="Palatino Linotype" w:eastAsia="Palatino Linotype" w:hAnsi="Palatino Linotype" w:cs="Palatino Linotype"/>
          <w:i/>
          <w:color w:val="000000"/>
          <w:sz w:val="22"/>
          <w:szCs w:val="22"/>
        </w:rPr>
        <w:t>ciclovías</w:t>
      </w:r>
      <w:proofErr w:type="spellEnd"/>
      <w:r w:rsidRPr="00DA0569">
        <w:rPr>
          <w:rFonts w:ascii="Palatino Linotype" w:eastAsia="Palatino Linotype" w:hAnsi="Palatino Linotype" w:cs="Palatino Linotype"/>
          <w:i/>
          <w:color w:val="000000"/>
          <w:sz w:val="22"/>
          <w:szCs w:val="22"/>
        </w:rPr>
        <w:t xml:space="preserve"> y fomentar la movilidad de las y los mexiquenses, realizamos el Segundo Ejercicio de Diagnóstico de la Movilidad Ciclista “Colibrí sobre Ruedas” en la zona de #Chimalhuacán…”</w:t>
      </w:r>
      <w:r w:rsidRPr="00DA0569">
        <w:rPr>
          <w:rFonts w:ascii="Palatino Linotype" w:eastAsia="Palatino Linotype" w:hAnsi="Palatino Linotype" w:cs="Palatino Linotype"/>
          <w:color w:val="000000"/>
          <w:sz w:val="22"/>
          <w:szCs w:val="22"/>
        </w:rPr>
        <w:t>; con la publicación de evidencia fotográfica de dicho foro.</w:t>
      </w:r>
    </w:p>
    <w:p w14:paraId="589194B7" w14:textId="77777777" w:rsidR="00FE7584" w:rsidRPr="00DA0569" w:rsidRDefault="007C7DF7">
      <w:pPr>
        <w:numPr>
          <w:ilvl w:val="0"/>
          <w:numId w:val="6"/>
        </w:numPr>
        <w:pBdr>
          <w:top w:val="nil"/>
          <w:left w:val="nil"/>
          <w:bottom w:val="nil"/>
          <w:right w:val="nil"/>
          <w:between w:val="nil"/>
        </w:pBdr>
        <w:tabs>
          <w:tab w:val="left" w:pos="0"/>
          <w:tab w:val="left" w:pos="142"/>
        </w:tabs>
        <w:spacing w:line="360" w:lineRule="auto"/>
        <w:ind w:left="425" w:right="40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Publicación de fecha 15 de febrero de 2024, donde se señala la participación de la Secretaría de Movilidad, en coordinación con la LXI Legislatura, en el foro denominado: Foros para la construcción de la Nueva Ley de Movilidad del Estado de México, donde se señaló la participación de su titular Daniel Andrés </w:t>
      </w:r>
      <w:proofErr w:type="spellStart"/>
      <w:r w:rsidRPr="00DA0569">
        <w:rPr>
          <w:rFonts w:ascii="Palatino Linotype" w:eastAsia="Palatino Linotype" w:hAnsi="Palatino Linotype" w:cs="Palatino Linotype"/>
          <w:color w:val="000000"/>
          <w:sz w:val="22"/>
          <w:szCs w:val="22"/>
        </w:rPr>
        <w:t>Sibaja</w:t>
      </w:r>
      <w:proofErr w:type="spellEnd"/>
      <w:r w:rsidRPr="00DA0569">
        <w:rPr>
          <w:rFonts w:ascii="Palatino Linotype" w:eastAsia="Palatino Linotype" w:hAnsi="Palatino Linotype" w:cs="Palatino Linotype"/>
          <w:color w:val="000000"/>
          <w:sz w:val="22"/>
          <w:szCs w:val="22"/>
        </w:rPr>
        <w:t xml:space="preserve"> González, del cual incluso se emitió el comunicado de prensa /0296, a cargo de la misma Secretaría;</w:t>
      </w:r>
    </w:p>
    <w:p w14:paraId="64031076" w14:textId="77777777" w:rsidR="00FE7584" w:rsidRPr="00DA0569" w:rsidRDefault="007C7DF7">
      <w:pPr>
        <w:numPr>
          <w:ilvl w:val="0"/>
          <w:numId w:val="6"/>
        </w:numPr>
        <w:pBdr>
          <w:top w:val="nil"/>
          <w:left w:val="nil"/>
          <w:bottom w:val="nil"/>
          <w:right w:val="nil"/>
          <w:between w:val="nil"/>
        </w:pBdr>
        <w:tabs>
          <w:tab w:val="left" w:pos="0"/>
          <w:tab w:val="left" w:pos="142"/>
        </w:tabs>
        <w:spacing w:line="360" w:lineRule="auto"/>
        <w:ind w:left="425" w:right="40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Publicación de fecha 17 de diciembre de 2023, donde se señaló que la Secretaría de Movilidad organizó el foro participativo denominado “Colibrí sobre Ruedas”, donde se incluye evidencia fotográfica y el comunicado de prensa número / 0535, relacionado con el diagnóstico de las </w:t>
      </w:r>
      <w:proofErr w:type="spellStart"/>
      <w:r w:rsidRPr="00DA0569">
        <w:rPr>
          <w:rFonts w:ascii="Palatino Linotype" w:eastAsia="Palatino Linotype" w:hAnsi="Palatino Linotype" w:cs="Palatino Linotype"/>
          <w:color w:val="000000"/>
          <w:sz w:val="22"/>
          <w:szCs w:val="22"/>
        </w:rPr>
        <w:t>ciclovías</w:t>
      </w:r>
      <w:proofErr w:type="spellEnd"/>
      <w:r w:rsidRPr="00DA0569">
        <w:rPr>
          <w:rFonts w:ascii="Palatino Linotype" w:eastAsia="Palatino Linotype" w:hAnsi="Palatino Linotype" w:cs="Palatino Linotype"/>
          <w:color w:val="000000"/>
          <w:sz w:val="22"/>
          <w:szCs w:val="22"/>
        </w:rPr>
        <w:t xml:space="preserve"> en el Valle de Toluca y del Valle de México, señalando la intervención de Daniel Andrés </w:t>
      </w:r>
      <w:proofErr w:type="spellStart"/>
      <w:r w:rsidRPr="00DA0569">
        <w:rPr>
          <w:rFonts w:ascii="Palatino Linotype" w:eastAsia="Palatino Linotype" w:hAnsi="Palatino Linotype" w:cs="Palatino Linotype"/>
          <w:color w:val="000000"/>
          <w:sz w:val="22"/>
          <w:szCs w:val="22"/>
        </w:rPr>
        <w:t>Sibaja</w:t>
      </w:r>
      <w:proofErr w:type="spellEnd"/>
      <w:r w:rsidRPr="00DA0569">
        <w:rPr>
          <w:rFonts w:ascii="Palatino Linotype" w:eastAsia="Palatino Linotype" w:hAnsi="Palatino Linotype" w:cs="Palatino Linotype"/>
          <w:color w:val="000000"/>
          <w:sz w:val="22"/>
          <w:szCs w:val="22"/>
        </w:rPr>
        <w:t xml:space="preserve"> González, Titular de la Secretaría de Movilidad. Agregando textualmente en el comunicado referido, y para lo que interesa, lo siguiente: “</w:t>
      </w:r>
      <w:r w:rsidRPr="00DA0569">
        <w:rPr>
          <w:rFonts w:ascii="Palatino Linotype" w:eastAsia="Palatino Linotype" w:hAnsi="Palatino Linotype" w:cs="Palatino Linotype"/>
          <w:i/>
          <w:color w:val="000000"/>
          <w:sz w:val="22"/>
          <w:szCs w:val="22"/>
        </w:rPr>
        <w:t xml:space="preserve">En el Foro estuvo dividido en cuatro mesas temáticas: Estado de la </w:t>
      </w:r>
      <w:proofErr w:type="spellStart"/>
      <w:r w:rsidRPr="00DA0569">
        <w:rPr>
          <w:rFonts w:ascii="Palatino Linotype" w:eastAsia="Palatino Linotype" w:hAnsi="Palatino Linotype" w:cs="Palatino Linotype"/>
          <w:i/>
          <w:color w:val="000000"/>
          <w:sz w:val="22"/>
          <w:szCs w:val="22"/>
        </w:rPr>
        <w:t>ciclovía</w:t>
      </w:r>
      <w:proofErr w:type="spellEnd"/>
      <w:r w:rsidRPr="00DA0569">
        <w:rPr>
          <w:rFonts w:ascii="Palatino Linotype" w:eastAsia="Palatino Linotype" w:hAnsi="Palatino Linotype" w:cs="Palatino Linotype"/>
          <w:i/>
          <w:color w:val="000000"/>
          <w:sz w:val="22"/>
          <w:szCs w:val="22"/>
        </w:rPr>
        <w:t xml:space="preserve">, Seguridad de la </w:t>
      </w:r>
      <w:proofErr w:type="spellStart"/>
      <w:r w:rsidRPr="00DA0569">
        <w:rPr>
          <w:rFonts w:ascii="Palatino Linotype" w:eastAsia="Palatino Linotype" w:hAnsi="Palatino Linotype" w:cs="Palatino Linotype"/>
          <w:i/>
          <w:color w:val="000000"/>
          <w:sz w:val="22"/>
          <w:szCs w:val="22"/>
        </w:rPr>
        <w:t>ciclovía</w:t>
      </w:r>
      <w:proofErr w:type="spellEnd"/>
      <w:r w:rsidRPr="00DA0569">
        <w:rPr>
          <w:rFonts w:ascii="Palatino Linotype" w:eastAsia="Palatino Linotype" w:hAnsi="Palatino Linotype" w:cs="Palatino Linotype"/>
          <w:i/>
          <w:color w:val="000000"/>
          <w:sz w:val="22"/>
          <w:szCs w:val="22"/>
        </w:rPr>
        <w:t xml:space="preserve">, Equipamiento urbano de la </w:t>
      </w:r>
      <w:proofErr w:type="spellStart"/>
      <w:r w:rsidRPr="00DA0569">
        <w:rPr>
          <w:rFonts w:ascii="Palatino Linotype" w:eastAsia="Palatino Linotype" w:hAnsi="Palatino Linotype" w:cs="Palatino Linotype"/>
          <w:i/>
          <w:color w:val="000000"/>
          <w:sz w:val="22"/>
          <w:szCs w:val="22"/>
        </w:rPr>
        <w:t>ciclovía</w:t>
      </w:r>
      <w:proofErr w:type="spellEnd"/>
      <w:r w:rsidRPr="00DA0569">
        <w:rPr>
          <w:rFonts w:ascii="Palatino Linotype" w:eastAsia="Palatino Linotype" w:hAnsi="Palatino Linotype" w:cs="Palatino Linotype"/>
          <w:i/>
          <w:color w:val="000000"/>
          <w:sz w:val="22"/>
          <w:szCs w:val="22"/>
        </w:rPr>
        <w:t xml:space="preserve"> y Espacios públicos a lo largo de la </w:t>
      </w:r>
      <w:proofErr w:type="spellStart"/>
      <w:r w:rsidRPr="00DA0569">
        <w:rPr>
          <w:rFonts w:ascii="Palatino Linotype" w:eastAsia="Palatino Linotype" w:hAnsi="Palatino Linotype" w:cs="Palatino Linotype"/>
          <w:i/>
          <w:color w:val="000000"/>
          <w:sz w:val="22"/>
          <w:szCs w:val="22"/>
        </w:rPr>
        <w:t>ciclovía</w:t>
      </w:r>
      <w:proofErr w:type="spellEnd"/>
      <w:r w:rsidRPr="00DA0569">
        <w:rPr>
          <w:rFonts w:ascii="Palatino Linotype" w:eastAsia="Palatino Linotype" w:hAnsi="Palatino Linotype" w:cs="Palatino Linotype"/>
          <w:i/>
          <w:color w:val="000000"/>
          <w:sz w:val="22"/>
          <w:szCs w:val="22"/>
        </w:rPr>
        <w:t xml:space="preserve">, con el fin de identificar la problemática en cada mesa y generar soluciones, y contó con la participación de </w:t>
      </w:r>
      <w:r w:rsidRPr="00DA0569">
        <w:rPr>
          <w:rFonts w:ascii="Palatino Linotype" w:eastAsia="Palatino Linotype" w:hAnsi="Palatino Linotype" w:cs="Palatino Linotype"/>
          <w:b/>
          <w:i/>
          <w:color w:val="000000"/>
          <w:sz w:val="22"/>
          <w:szCs w:val="22"/>
        </w:rPr>
        <w:t>directores generales, coordinadores, directores de área</w:t>
      </w:r>
      <w:proofErr w:type="gramStart"/>
      <w:r w:rsidRPr="00DA0569">
        <w:rPr>
          <w:rFonts w:ascii="Palatino Linotype" w:eastAsia="Palatino Linotype" w:hAnsi="Palatino Linotype" w:cs="Palatino Linotype"/>
          <w:i/>
          <w:color w:val="000000"/>
          <w:sz w:val="22"/>
          <w:szCs w:val="22"/>
        </w:rPr>
        <w:t>…[</w:t>
      </w:r>
      <w:proofErr w:type="gramEnd"/>
      <w:r w:rsidRPr="00DA0569">
        <w:rPr>
          <w:rFonts w:ascii="Palatino Linotype" w:eastAsia="Palatino Linotype" w:hAnsi="Palatino Linotype" w:cs="Palatino Linotype"/>
          <w:i/>
          <w:color w:val="000000"/>
          <w:sz w:val="22"/>
          <w:szCs w:val="22"/>
        </w:rPr>
        <w:t>Énfasis añadido]”.</w:t>
      </w:r>
    </w:p>
    <w:p w14:paraId="649B72DB" w14:textId="77777777" w:rsidR="00FE7584" w:rsidRPr="00DA0569" w:rsidRDefault="007C7DF7">
      <w:pPr>
        <w:numPr>
          <w:ilvl w:val="0"/>
          <w:numId w:val="6"/>
        </w:numPr>
        <w:pBdr>
          <w:top w:val="nil"/>
          <w:left w:val="nil"/>
          <w:bottom w:val="nil"/>
          <w:right w:val="nil"/>
          <w:between w:val="nil"/>
        </w:pBdr>
        <w:tabs>
          <w:tab w:val="left" w:pos="0"/>
          <w:tab w:val="left" w:pos="142"/>
        </w:tabs>
        <w:spacing w:line="360" w:lineRule="auto"/>
        <w:ind w:left="425" w:right="402"/>
        <w:jc w:val="both"/>
        <w:rPr>
          <w:rFonts w:ascii="Palatino Linotype" w:eastAsia="Palatino Linotype" w:hAnsi="Palatino Linotype" w:cs="Palatino Linotype"/>
          <w:color w:val="000000"/>
        </w:rPr>
      </w:pPr>
      <w:r w:rsidRPr="00DA0569">
        <w:rPr>
          <w:rFonts w:ascii="Palatino Linotype" w:eastAsia="Palatino Linotype" w:hAnsi="Palatino Linotype" w:cs="Palatino Linotype"/>
          <w:color w:val="000000"/>
          <w:sz w:val="22"/>
          <w:szCs w:val="22"/>
        </w:rPr>
        <w:t xml:space="preserve">Publicación </w:t>
      </w:r>
      <w:r w:rsidRPr="00DA0569">
        <w:rPr>
          <w:rFonts w:ascii="Palatino Linotype" w:eastAsia="Palatino Linotype" w:hAnsi="Palatino Linotype" w:cs="Palatino Linotype"/>
          <w:sz w:val="22"/>
          <w:szCs w:val="22"/>
        </w:rPr>
        <w:t>de fecha</w:t>
      </w:r>
      <w:r w:rsidRPr="00DA0569">
        <w:rPr>
          <w:rFonts w:ascii="Palatino Linotype" w:eastAsia="Palatino Linotype" w:hAnsi="Palatino Linotype" w:cs="Palatino Linotype"/>
          <w:color w:val="000000"/>
          <w:sz w:val="22"/>
          <w:szCs w:val="22"/>
        </w:rPr>
        <w:t xml:space="preserve"> 04 de diciembre de 2023,  en la página de la Secretaría de Movilidad del Estado de México, donde se difundió el Foro de Consulta Popular para la elaboración del Plan de Desarrollo del Estado de México 2023-2029, Mesa 4. Movilidad para la transformación y el bienestar, donde se incluye evidencia fotográfica de la intervención del Titular de dicha Secretaría.</w:t>
      </w:r>
    </w:p>
    <w:p w14:paraId="3A921C4B" w14:textId="77777777" w:rsidR="00FE7584" w:rsidRPr="00DA0569" w:rsidRDefault="00FE7584">
      <w:pPr>
        <w:pBdr>
          <w:top w:val="nil"/>
          <w:left w:val="nil"/>
          <w:bottom w:val="nil"/>
          <w:right w:val="nil"/>
          <w:between w:val="nil"/>
        </w:pBdr>
        <w:tabs>
          <w:tab w:val="left" w:pos="0"/>
          <w:tab w:val="left" w:pos="142"/>
        </w:tabs>
        <w:spacing w:line="360" w:lineRule="auto"/>
        <w:ind w:left="720"/>
        <w:jc w:val="both"/>
        <w:rPr>
          <w:rFonts w:ascii="Palatino Linotype" w:eastAsia="Palatino Linotype" w:hAnsi="Palatino Linotype" w:cs="Palatino Linotype"/>
          <w:color w:val="000000"/>
        </w:rPr>
      </w:pPr>
    </w:p>
    <w:p w14:paraId="12542FD5"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lastRenderedPageBreak/>
        <w:t>De lo anterior, se advierten puntos que establecen que la página de Facebook de la Secretaría de Movilidad es de interés público</w:t>
      </w:r>
      <w:r w:rsidRPr="00DA0569">
        <w:rPr>
          <w:rFonts w:ascii="Palatino Linotype" w:eastAsia="Palatino Linotype" w:hAnsi="Palatino Linotype" w:cs="Palatino Linotype"/>
          <w:color w:val="000000"/>
          <w:vertAlign w:val="superscript"/>
        </w:rPr>
        <w:footnoteReference w:id="1"/>
      </w:r>
      <w:r w:rsidRPr="00DA0569">
        <w:rPr>
          <w:rFonts w:ascii="Palatino Linotype" w:eastAsia="Palatino Linotype" w:hAnsi="Palatino Linotype" w:cs="Palatino Linotype"/>
          <w:color w:val="000000"/>
        </w:rPr>
        <w:t>, mismas que se enlistan a continuación:</w:t>
      </w:r>
    </w:p>
    <w:p w14:paraId="42BBB5E7" w14:textId="77777777" w:rsidR="00FE7584" w:rsidRPr="00DA0569" w:rsidRDefault="007C7DF7">
      <w:pPr>
        <w:numPr>
          <w:ilvl w:val="0"/>
          <w:numId w:val="8"/>
        </w:numPr>
        <w:pBdr>
          <w:top w:val="nil"/>
          <w:left w:val="nil"/>
          <w:bottom w:val="nil"/>
          <w:right w:val="nil"/>
          <w:between w:val="nil"/>
        </w:pBdr>
        <w:tabs>
          <w:tab w:val="left" w:pos="0"/>
          <w:tab w:val="left" w:pos="142"/>
        </w:tabs>
        <w:spacing w:line="360" w:lineRule="auto"/>
        <w:ind w:right="544"/>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La página de Facebook pertenece al </w:t>
      </w:r>
      <w:r w:rsidRPr="00DA0569">
        <w:rPr>
          <w:rFonts w:ascii="Palatino Linotype" w:eastAsia="Palatino Linotype" w:hAnsi="Palatino Linotype" w:cs="Palatino Linotype"/>
          <w:b/>
          <w:color w:val="000000"/>
          <w:sz w:val="22"/>
          <w:szCs w:val="22"/>
        </w:rPr>
        <w:t xml:space="preserve">Sujeto Obligado, </w:t>
      </w:r>
      <w:r w:rsidRPr="00DA0569">
        <w:rPr>
          <w:rFonts w:ascii="Palatino Linotype" w:eastAsia="Palatino Linotype" w:hAnsi="Palatino Linotype" w:cs="Palatino Linotype"/>
          <w:color w:val="000000"/>
          <w:sz w:val="22"/>
          <w:szCs w:val="22"/>
        </w:rPr>
        <w:t xml:space="preserve">es decir, a la Secretaría de Movilidad </w:t>
      </w:r>
      <w:r w:rsidRPr="00DA0569">
        <w:rPr>
          <w:rFonts w:ascii="Palatino Linotype" w:eastAsia="Palatino Linotype" w:hAnsi="Palatino Linotype" w:cs="Palatino Linotype"/>
          <w:sz w:val="22"/>
          <w:szCs w:val="22"/>
        </w:rPr>
        <w:t>del Estado</w:t>
      </w:r>
      <w:r w:rsidRPr="00DA0569">
        <w:rPr>
          <w:rFonts w:ascii="Palatino Linotype" w:eastAsia="Palatino Linotype" w:hAnsi="Palatino Linotype" w:cs="Palatino Linotype"/>
          <w:color w:val="000000"/>
          <w:sz w:val="22"/>
          <w:szCs w:val="22"/>
        </w:rPr>
        <w:t xml:space="preserve"> de México.</w:t>
      </w:r>
    </w:p>
    <w:p w14:paraId="363E293F" w14:textId="77777777" w:rsidR="00FE7584" w:rsidRPr="00DA0569" w:rsidRDefault="007C7DF7">
      <w:pPr>
        <w:numPr>
          <w:ilvl w:val="0"/>
          <w:numId w:val="8"/>
        </w:numPr>
        <w:pBdr>
          <w:top w:val="nil"/>
          <w:left w:val="nil"/>
          <w:bottom w:val="nil"/>
          <w:right w:val="nil"/>
          <w:between w:val="nil"/>
        </w:pBdr>
        <w:tabs>
          <w:tab w:val="left" w:pos="0"/>
          <w:tab w:val="left" w:pos="142"/>
        </w:tabs>
        <w:spacing w:line="360" w:lineRule="auto"/>
        <w:ind w:right="544"/>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Las publicaciones en estudio en la red social se efectúan de acuerdo a las atribuciones del personal adscrito a la Secretaría de Movilidad.</w:t>
      </w:r>
    </w:p>
    <w:p w14:paraId="09C136EC" w14:textId="77777777" w:rsidR="00FE7584" w:rsidRPr="00DA0569" w:rsidRDefault="00FE7584">
      <w:pPr>
        <w:pBdr>
          <w:top w:val="nil"/>
          <w:left w:val="nil"/>
          <w:bottom w:val="nil"/>
          <w:right w:val="nil"/>
          <w:between w:val="nil"/>
        </w:pBdr>
        <w:tabs>
          <w:tab w:val="left" w:pos="0"/>
          <w:tab w:val="left" w:pos="142"/>
        </w:tabs>
        <w:spacing w:line="360" w:lineRule="auto"/>
        <w:ind w:left="720"/>
        <w:jc w:val="both"/>
        <w:rPr>
          <w:rFonts w:ascii="Palatino Linotype" w:eastAsia="Palatino Linotype" w:hAnsi="Palatino Linotype" w:cs="Palatino Linotype"/>
          <w:color w:val="000000"/>
        </w:rPr>
      </w:pPr>
    </w:p>
    <w:p w14:paraId="5464B7D3"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En este sentido, se desprende que redes sociales de la Secretaría de Movilidad están encaminados a la divulgación del quehacer gubernamental, en relación a eso, los servidores públicos cuando utilicen sus redes sociales para dar a conocer información relacionada con su labor o funciones en materia de transparencia o cualquier motivo con el fin de establecer comunicación con los ciudadanos, será de carácter público. </w:t>
      </w:r>
    </w:p>
    <w:p w14:paraId="36ED0D6B"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288DB3" w14:textId="77777777" w:rsidR="00FE7584" w:rsidRPr="00DA0569" w:rsidRDefault="007C7DF7">
      <w:pPr>
        <w:numPr>
          <w:ilvl w:val="0"/>
          <w:numId w:val="5"/>
        </w:numPr>
        <w:pBdr>
          <w:top w:val="nil"/>
          <w:left w:val="nil"/>
          <w:bottom w:val="nil"/>
          <w:right w:val="nil"/>
          <w:between w:val="nil"/>
        </w:pBdr>
        <w:spacing w:after="280" w:line="360" w:lineRule="auto"/>
        <w:ind w:left="0" w:firstLine="0"/>
        <w:jc w:val="both"/>
        <w:rPr>
          <w:color w:val="000000"/>
        </w:rPr>
      </w:pPr>
      <w:r w:rsidRPr="00DA0569">
        <w:rPr>
          <w:rFonts w:ascii="Palatino Linotype" w:eastAsia="Palatino Linotype" w:hAnsi="Palatino Linotype" w:cs="Palatino Linotype"/>
          <w:color w:val="000000"/>
        </w:rPr>
        <w:t xml:space="preserve">Robustece a lo anterior, el criterio jurisprudencial emitido por la Segunda Sala de la Suprema Corte de Justicia de la Nación, localizable en el Libro 67, junio de 2019, Tomo III, página 2331, de Semanario Judicial de la Federación y Gaceta, con registro digital 2020025, cuyo tenor literal es el siguiente: </w:t>
      </w:r>
    </w:p>
    <w:p w14:paraId="11D0DEFA" w14:textId="77777777" w:rsidR="00FE7584" w:rsidRPr="00DA0569" w:rsidRDefault="007C7DF7">
      <w:pPr>
        <w:spacing w:before="280" w:after="280" w:line="276" w:lineRule="auto"/>
        <w:ind w:left="850" w:right="402"/>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 xml:space="preserve">“REDES SOCIALES DE LOS SERVIDORES PÚBLICOS. LA PROTECCIÓN CONSTITUCIONAL DE SUS CUENTAS PERSONALES NO PUEDE OBEDECER A SU CONFIGURACIÓN DE PRIVACIDAD. Los servidores públicos ostentan un grado </w:t>
      </w:r>
      <w:r w:rsidRPr="00DA0569">
        <w:rPr>
          <w:rFonts w:ascii="Palatino Linotype" w:eastAsia="Palatino Linotype" w:hAnsi="Palatino Linotype" w:cs="Palatino Linotype"/>
          <w:b/>
          <w:i/>
          <w:sz w:val="22"/>
          <w:szCs w:val="22"/>
        </w:rPr>
        <w:lastRenderedPageBreak/>
        <w:t>mayor de notoriedad e importancia en la sociedad, pues sus actividades son de relevancia para la ciudadanía por el tipo de labores desempeñadas en el ejercicio de su gestión, así como por el uso de los recursos públicos manejados en beneficio de la comunidad</w:t>
      </w:r>
      <w:r w:rsidRPr="00DA0569">
        <w:rPr>
          <w:rFonts w:ascii="Palatino Linotype" w:eastAsia="Palatino Linotype" w:hAnsi="Palatino Linotype" w:cs="Palatino Linotype"/>
          <w:i/>
          <w:sz w:val="22"/>
          <w:szCs w:val="22"/>
        </w:rPr>
        <w:t xml:space="preserve">. Bajo estas premisas, se justifica que el espectro de protección de su derecho a la intimidad reconocido por los </w:t>
      </w:r>
      <w:r w:rsidRPr="00DA0569">
        <w:rPr>
          <w:rFonts w:ascii="Palatino Linotype" w:eastAsia="Palatino Linotype" w:hAnsi="Palatino Linotype" w:cs="Palatino Linotype"/>
          <w:i/>
          <w:color w:val="000000"/>
          <w:sz w:val="22"/>
          <w:szCs w:val="22"/>
        </w:rPr>
        <w:t>artículos </w:t>
      </w:r>
      <w:hyperlink r:id="rId20">
        <w:r w:rsidRPr="00DA0569">
          <w:rPr>
            <w:rFonts w:ascii="Palatino Linotype" w:eastAsia="Palatino Linotype" w:hAnsi="Palatino Linotype" w:cs="Palatino Linotype"/>
            <w:b/>
            <w:i/>
            <w:color w:val="000000"/>
            <w:sz w:val="22"/>
            <w:szCs w:val="22"/>
            <w:u w:val="single"/>
          </w:rPr>
          <w:t>6o., párrafo primero, 7o., párrafo segundo y 16, párrafo primero, de la Constitución Política de los Estados Unidos Mexicanos</w:t>
        </w:r>
      </w:hyperlink>
      <w:r w:rsidRPr="00DA0569">
        <w:rPr>
          <w:rFonts w:ascii="Palatino Linotype" w:eastAsia="Palatino Linotype" w:hAnsi="Palatino Linotype" w:cs="Palatino Linotype"/>
          <w:i/>
          <w:sz w:val="22"/>
          <w:szCs w:val="22"/>
        </w:rPr>
        <w:t xml:space="preserve"> se vea disminuido. </w:t>
      </w:r>
      <w:r w:rsidRPr="00DA0569">
        <w:rPr>
          <w:rFonts w:ascii="Palatino Linotype" w:eastAsia="Palatino Linotype" w:hAnsi="Palatino Linotype" w:cs="Palatino Linotype"/>
          <w:b/>
          <w:i/>
          <w:sz w:val="22"/>
          <w:szCs w:val="22"/>
        </w:rPr>
        <w:t>En el caso de sus cuentas personales de redes sociales, éstas adquieren la misma relevancia pública que sus titulares, particularmente si a través de ellas comparten información o manifestaciones relativas a su gestión gubernamental, cuestiones que siempre serán objeto del interés general protegidas por el artículo 6o. de la Constitución Federal.</w:t>
      </w:r>
      <w:r w:rsidRPr="00DA0569">
        <w:rPr>
          <w:rFonts w:ascii="Palatino Linotype" w:eastAsia="Palatino Linotype" w:hAnsi="Palatino Linotype" w:cs="Palatino Linotype"/>
          <w:i/>
          <w:sz w:val="22"/>
          <w:szCs w:val="22"/>
        </w:rPr>
        <w:t xml:space="preserve"> En consecuencia, la privacidad de sus cuentas personales de redes sociales no puede depender únicamente de la configuración abierta o cerrada que se elija, sino que debe obedecer al tipo de información publicada a través de éstas. Por tal motivo, en caso de controversia se deberán analizar los contenidos difundidos, así como su relevancia para el interés general y la discusión pública de los asuntos para poder determinar el nivel de protección constitucional que merecen.</w:t>
      </w:r>
    </w:p>
    <w:p w14:paraId="1506D339" w14:textId="77777777" w:rsidR="00FE7584" w:rsidRPr="00DA0569" w:rsidRDefault="007C7DF7">
      <w:pPr>
        <w:spacing w:line="276" w:lineRule="auto"/>
        <w:ind w:left="850" w:right="402"/>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 xml:space="preserve">Amparo en revisión 1005/2018. Miguel Ángel León Carmona. 20 de marzo de 2019. Cuatro votos de los Ministros Alberto Pérez </w:t>
      </w:r>
      <w:proofErr w:type="spellStart"/>
      <w:r w:rsidRPr="00DA0569">
        <w:rPr>
          <w:rFonts w:ascii="Palatino Linotype" w:eastAsia="Palatino Linotype" w:hAnsi="Palatino Linotype" w:cs="Palatino Linotype"/>
          <w:i/>
          <w:sz w:val="22"/>
          <w:szCs w:val="22"/>
        </w:rPr>
        <w:t>Dayán</w:t>
      </w:r>
      <w:proofErr w:type="spellEnd"/>
      <w:r w:rsidRPr="00DA0569">
        <w:rPr>
          <w:rFonts w:ascii="Palatino Linotype" w:eastAsia="Palatino Linotype" w:hAnsi="Palatino Linotype" w:cs="Palatino Linotype"/>
          <w:i/>
          <w:sz w:val="22"/>
          <w:szCs w:val="22"/>
        </w:rPr>
        <w:t xml:space="preserve">, Eduardo Medina Mora I., José Fernando Franco González Salas y Javier </w:t>
      </w:r>
      <w:proofErr w:type="spellStart"/>
      <w:r w:rsidRPr="00DA0569">
        <w:rPr>
          <w:rFonts w:ascii="Palatino Linotype" w:eastAsia="Palatino Linotype" w:hAnsi="Palatino Linotype" w:cs="Palatino Linotype"/>
          <w:i/>
          <w:sz w:val="22"/>
          <w:szCs w:val="22"/>
        </w:rPr>
        <w:t>Laynez</w:t>
      </w:r>
      <w:proofErr w:type="spellEnd"/>
      <w:r w:rsidRPr="00DA0569">
        <w:rPr>
          <w:rFonts w:ascii="Palatino Linotype" w:eastAsia="Palatino Linotype" w:hAnsi="Palatino Linotype" w:cs="Palatino Linotype"/>
          <w:i/>
          <w:sz w:val="22"/>
          <w:szCs w:val="22"/>
        </w:rPr>
        <w:t xml:space="preserve"> </w:t>
      </w:r>
      <w:proofErr w:type="spellStart"/>
      <w:r w:rsidRPr="00DA0569">
        <w:rPr>
          <w:rFonts w:ascii="Palatino Linotype" w:eastAsia="Palatino Linotype" w:hAnsi="Palatino Linotype" w:cs="Palatino Linotype"/>
          <w:i/>
          <w:sz w:val="22"/>
          <w:szCs w:val="22"/>
        </w:rPr>
        <w:t>Potisek</w:t>
      </w:r>
      <w:proofErr w:type="spellEnd"/>
      <w:r w:rsidRPr="00DA0569">
        <w:rPr>
          <w:rFonts w:ascii="Palatino Linotype" w:eastAsia="Palatino Linotype" w:hAnsi="Palatino Linotype" w:cs="Palatino Linotype"/>
          <w:i/>
          <w:sz w:val="22"/>
          <w:szCs w:val="22"/>
        </w:rPr>
        <w:t xml:space="preserve">; votó con reservas José Fernando Franco González Salas; Javier </w:t>
      </w:r>
      <w:proofErr w:type="spellStart"/>
      <w:r w:rsidRPr="00DA0569">
        <w:rPr>
          <w:rFonts w:ascii="Palatino Linotype" w:eastAsia="Palatino Linotype" w:hAnsi="Palatino Linotype" w:cs="Palatino Linotype"/>
          <w:i/>
          <w:sz w:val="22"/>
          <w:szCs w:val="22"/>
        </w:rPr>
        <w:t>Laynez</w:t>
      </w:r>
      <w:proofErr w:type="spellEnd"/>
      <w:r w:rsidRPr="00DA0569">
        <w:rPr>
          <w:rFonts w:ascii="Palatino Linotype" w:eastAsia="Palatino Linotype" w:hAnsi="Palatino Linotype" w:cs="Palatino Linotype"/>
          <w:i/>
          <w:sz w:val="22"/>
          <w:szCs w:val="22"/>
        </w:rPr>
        <w:t xml:space="preserve"> </w:t>
      </w:r>
      <w:proofErr w:type="spellStart"/>
      <w:r w:rsidRPr="00DA0569">
        <w:rPr>
          <w:rFonts w:ascii="Palatino Linotype" w:eastAsia="Palatino Linotype" w:hAnsi="Palatino Linotype" w:cs="Palatino Linotype"/>
          <w:i/>
          <w:sz w:val="22"/>
          <w:szCs w:val="22"/>
        </w:rPr>
        <w:t>Potisek</w:t>
      </w:r>
      <w:proofErr w:type="spellEnd"/>
      <w:r w:rsidRPr="00DA0569">
        <w:rPr>
          <w:rFonts w:ascii="Palatino Linotype" w:eastAsia="Palatino Linotype" w:hAnsi="Palatino Linotype" w:cs="Palatino Linotype"/>
          <w:i/>
          <w:sz w:val="22"/>
          <w:szCs w:val="22"/>
        </w:rPr>
        <w:t xml:space="preserve"> manifestó que formulará voto concurrente. Ponente: Eduardo Medina Mora I. Secretario: Juvenal Carbajal Díaz.</w:t>
      </w:r>
    </w:p>
    <w:p w14:paraId="41E1E03D" w14:textId="77777777" w:rsidR="00FE7584" w:rsidRPr="00DA0569" w:rsidRDefault="00FE7584">
      <w:pPr>
        <w:spacing w:line="360" w:lineRule="auto"/>
        <w:ind w:right="901"/>
        <w:jc w:val="both"/>
        <w:rPr>
          <w:rFonts w:ascii="Palatino Linotype" w:eastAsia="Palatino Linotype" w:hAnsi="Palatino Linotype" w:cs="Palatino Linotype"/>
          <w:i/>
        </w:rPr>
      </w:pPr>
    </w:p>
    <w:p w14:paraId="11645649"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Así las cosas, en análisis a la tesis antes citada, se tiene que las publicaciones que los servidores públicos realizan a través de las redes sociales, corresponden a información que debe ser valorada a partir de su naturaleza; de tal forma, que para el caso de que la información se vincule con su gestión gubernamental; es decir con las actividades que desempeña en función de su cargo; entonces, </w:t>
      </w:r>
      <w:r w:rsidRPr="00DA0569">
        <w:rPr>
          <w:rFonts w:ascii="Palatino Linotype" w:eastAsia="Palatino Linotype" w:hAnsi="Palatino Linotype" w:cs="Palatino Linotype"/>
          <w:b/>
          <w:color w:val="000000"/>
          <w:u w:val="single"/>
        </w:rPr>
        <w:t>dicha información adquiere una relevancia social</w:t>
      </w:r>
      <w:r w:rsidRPr="00DA0569">
        <w:rPr>
          <w:rFonts w:ascii="Palatino Linotype" w:eastAsia="Palatino Linotype" w:hAnsi="Palatino Linotype" w:cs="Palatino Linotype"/>
          <w:color w:val="000000"/>
        </w:rPr>
        <w:t>, pues puede tratarse del ejercicio de presupuesto o recursos públicos; o bien, tratarse de actos de autoridad, que de alguna forma modifiquen situaciones particulares.</w:t>
      </w:r>
    </w:p>
    <w:p w14:paraId="514EE4FE"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5AB3C022"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lastRenderedPageBreak/>
        <w:t>Aunado de que el derecho de privacidad de los servidores públicos respecto a las publicaciones en las que se comparte información de la gestión gubernamental; se ve rebasada por el derecho de acceso a la información; pues dichas publicaciones involucran un nuevo canal de comunicación entre el servidor público y la sociedad, con la que se comparten las actividades propias de su cargo; por tanto, se trata de información pública que debe ser transparentada.</w:t>
      </w:r>
    </w:p>
    <w:p w14:paraId="3CDECCB7"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4A6065B1"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Ante tal evidencia, </w:t>
      </w:r>
      <w:r w:rsidRPr="00DA0569">
        <w:rPr>
          <w:rFonts w:ascii="Palatino Linotype" w:eastAsia="Palatino Linotype" w:hAnsi="Palatino Linotype" w:cs="Palatino Linotype"/>
          <w:b/>
          <w:color w:val="000000"/>
        </w:rPr>
        <w:t>no es factible la respuesta otorgada por el Sujeto Obligado</w:t>
      </w:r>
      <w:r w:rsidRPr="00DA0569">
        <w:rPr>
          <w:rFonts w:ascii="Palatino Linotype" w:eastAsia="Palatino Linotype" w:hAnsi="Palatino Linotype" w:cs="Palatino Linotype"/>
          <w:color w:val="000000"/>
        </w:rPr>
        <w:t>, puesto que la participación de diversas personas servidores públicas de la Secretaría de Movilidad, por así haberlo señalado expresamente en sus publicaciones, la llevaron a cabo en ejercicio de sus atribuciones, amén de que temporalmente, las citadas intervenciones tuvieron verificativo en la actual administración estatal 2023-2029, como fue solicitado en la solicitud de información.</w:t>
      </w:r>
    </w:p>
    <w:p w14:paraId="6F2A0FA4" w14:textId="77777777" w:rsidR="00FE7584" w:rsidRPr="00DA0569" w:rsidRDefault="00FE7584">
      <w:pPr>
        <w:pBdr>
          <w:top w:val="nil"/>
          <w:left w:val="nil"/>
          <w:bottom w:val="nil"/>
          <w:right w:val="nil"/>
          <w:between w:val="nil"/>
        </w:pBdr>
        <w:tabs>
          <w:tab w:val="left" w:pos="0"/>
          <w:tab w:val="left" w:pos="142"/>
        </w:tabs>
        <w:spacing w:line="360" w:lineRule="auto"/>
        <w:ind w:left="4754"/>
        <w:jc w:val="both"/>
        <w:rPr>
          <w:rFonts w:ascii="Palatino Linotype" w:eastAsia="Palatino Linotype" w:hAnsi="Palatino Linotype" w:cs="Palatino Linotype"/>
        </w:rPr>
      </w:pPr>
    </w:p>
    <w:p w14:paraId="3BA6E656"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En ese sentido, la información publicada en su red social adquiere relevancia social y debe ser accesible para todos los gobernados, pues devienen de las labores que ejercen funcionarios públicos; dado que de manera voluntaria dicha información es publicada en la red social Facebook, como una herramienta para concretar el principio de rendición de cuentas, así como la transparencia en la gestión pública, es por ello que no resulta creíble la información proporcionada por el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 xml:space="preserve"> en su respuesta e  informe justificado.</w:t>
      </w:r>
    </w:p>
    <w:p w14:paraId="0CDF507B" w14:textId="77777777" w:rsidR="00DD46C5" w:rsidRPr="00DA0569" w:rsidRDefault="00DD46C5" w:rsidP="00DD46C5">
      <w:pPr>
        <w:pBdr>
          <w:top w:val="nil"/>
          <w:left w:val="nil"/>
          <w:bottom w:val="nil"/>
          <w:right w:val="nil"/>
          <w:between w:val="nil"/>
        </w:pBdr>
        <w:tabs>
          <w:tab w:val="left" w:pos="0"/>
          <w:tab w:val="left" w:pos="142"/>
        </w:tabs>
        <w:spacing w:line="360" w:lineRule="auto"/>
        <w:jc w:val="both"/>
        <w:rPr>
          <w:color w:val="000000"/>
        </w:rPr>
      </w:pPr>
    </w:p>
    <w:p w14:paraId="6E1F2CFD"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Aunado a ello, debe considerarse lo previsto en el Reglamento Interior de la Secretaría de Movilidad, que en lo que interesa y para el caso concreto, señala:</w:t>
      </w:r>
    </w:p>
    <w:p w14:paraId="3D0DC97E" w14:textId="77777777" w:rsidR="000B428A" w:rsidRPr="00DA0569" w:rsidRDefault="000B428A" w:rsidP="000B428A">
      <w:pPr>
        <w:jc w:val="both"/>
      </w:pPr>
    </w:p>
    <w:p w14:paraId="54F7A9AF"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b/>
          <w:i/>
          <w:sz w:val="22"/>
          <w:szCs w:val="22"/>
        </w:rPr>
        <w:t>Artículo 4.</w:t>
      </w:r>
      <w:r w:rsidRPr="00DA0569">
        <w:rPr>
          <w:rFonts w:ascii="Palatino Linotype" w:hAnsi="Palatino Linotype"/>
          <w:i/>
          <w:sz w:val="22"/>
          <w:szCs w:val="22"/>
        </w:rPr>
        <w:t xml:space="preserve"> Al frente de la Secretaría estará una persona titular quien, para el desahogo de los asuntos de su competencia, para el desahogo de los asuntos de su competencia, se auxiliará de las unidades administrativas siguientes: </w:t>
      </w:r>
    </w:p>
    <w:p w14:paraId="3C358048"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I. Subsecretaría de Movilidad: </w:t>
      </w:r>
    </w:p>
    <w:p w14:paraId="6B871E9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a. Dirección General de Movilidad Zona I; </w:t>
      </w:r>
    </w:p>
    <w:p w14:paraId="39ADC89F"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b. Dirección General de Movilidad Zona II; </w:t>
      </w:r>
    </w:p>
    <w:p w14:paraId="5AF64B1C"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c. Dirección General de Movilidad Zona III; </w:t>
      </w:r>
    </w:p>
    <w:p w14:paraId="35AC58B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d. Dirección General de Movilidad Zona IV; </w:t>
      </w:r>
    </w:p>
    <w:p w14:paraId="2FD48C1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e. Dirección del Registro Estatal de Transporte Público; </w:t>
      </w:r>
    </w:p>
    <w:p w14:paraId="080F5B3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II. Dirección General de Vialidad; </w:t>
      </w:r>
    </w:p>
    <w:p w14:paraId="502B5FC4"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III. Coordinación Jurídica, y de Igualdad de Género y Erradicación de la Violencia; </w:t>
      </w:r>
    </w:p>
    <w:p w14:paraId="2B05B5AD"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IV. Coordinación Administrativa;</w:t>
      </w:r>
    </w:p>
    <w:p w14:paraId="15176EAA" w14:textId="77777777" w:rsidR="00A763D2" w:rsidRPr="00DA0569" w:rsidRDefault="00A763D2" w:rsidP="000B428A">
      <w:pPr>
        <w:spacing w:line="276" w:lineRule="auto"/>
        <w:ind w:left="567" w:right="680"/>
        <w:jc w:val="center"/>
        <w:rPr>
          <w:rFonts w:ascii="Palatino Linotype" w:hAnsi="Palatino Linotype"/>
          <w:b/>
          <w:i/>
          <w:sz w:val="22"/>
          <w:szCs w:val="22"/>
        </w:rPr>
      </w:pPr>
    </w:p>
    <w:p w14:paraId="3EFD27CE"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TÍTULO SEGUNDO</w:t>
      </w:r>
    </w:p>
    <w:p w14:paraId="10ECDE95"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DE LAS FACULTADES DE LAS PERSONAS TITULARES DE LA SECRETARÍA Y DE LAS UNIDADES ADMINISTRATIVAS ADSCRITAS A LA SECRETARÍA</w:t>
      </w:r>
    </w:p>
    <w:p w14:paraId="6A23BE50"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Capítulo I</w:t>
      </w:r>
    </w:p>
    <w:p w14:paraId="7848E823"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De la Persona Titular de la Secretaría</w:t>
      </w:r>
    </w:p>
    <w:p w14:paraId="1FFE8831" w14:textId="77777777" w:rsidR="000B428A" w:rsidRPr="00DA0569" w:rsidRDefault="000B428A" w:rsidP="000B428A">
      <w:pPr>
        <w:spacing w:line="276" w:lineRule="auto"/>
        <w:ind w:left="567" w:right="680"/>
        <w:rPr>
          <w:rFonts w:ascii="Palatino Linotype" w:hAnsi="Palatino Linotype"/>
          <w:i/>
          <w:sz w:val="22"/>
          <w:szCs w:val="22"/>
        </w:rPr>
      </w:pPr>
      <w:r w:rsidRPr="00DA0569">
        <w:rPr>
          <w:rFonts w:ascii="Palatino Linotype" w:hAnsi="Palatino Linotype"/>
          <w:b/>
          <w:i/>
          <w:sz w:val="22"/>
          <w:szCs w:val="22"/>
        </w:rPr>
        <w:t xml:space="preserve">Artículo 7. </w:t>
      </w:r>
      <w:r w:rsidRPr="00DA0569">
        <w:rPr>
          <w:rFonts w:ascii="Palatino Linotype" w:hAnsi="Palatino Linotype"/>
          <w:i/>
          <w:sz w:val="22"/>
          <w:szCs w:val="22"/>
        </w:rPr>
        <w:t>Corresponden a la persona titular de la Secretaría las atribuciones siguientes:</w:t>
      </w:r>
    </w:p>
    <w:p w14:paraId="02BB94D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714A0286"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XVIII. Participar en los comités, consejos, comisiones o reuniones a las que fuere convocada y que le correspondan en el ámbito de su competencia, asimismo, participar en las sesiones en las que tenga intervención por la relevancia de los asuntos, en términos de las disposiciones jurídicas aplicables y, en su caso, designar a sus suplentes o representantes;</w:t>
      </w:r>
    </w:p>
    <w:p w14:paraId="3F4FC9A4"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72F765D4"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LVI. Promover, con la participación de las autoridades y sectores involucrados, la investigación, educación, capacitación, desarrollo tecnológico, innovación e información en materia de movilidad, transporte y seguridad vial, considerando sus implicaciones sociales, económicas, urbanas y ambientales, así como realizar los estudios necesarios sobre transporte y circulación multimodal, y determinar las medidas técnicas y operaciones de todos los medios de transporte urbano;</w:t>
      </w:r>
    </w:p>
    <w:p w14:paraId="180A5A46"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 xml:space="preserve">LVII. Participar en las Estrategias Nacionales y Metropolitanas, así como celebrar convenios de coordinación con la Federación, otras Entidades Federativas, los municipios y las demarcaciones </w:t>
      </w:r>
      <w:r w:rsidRPr="00DA0569">
        <w:rPr>
          <w:rFonts w:ascii="Palatino Linotype" w:hAnsi="Palatino Linotype"/>
          <w:i/>
          <w:sz w:val="22"/>
          <w:szCs w:val="22"/>
        </w:rPr>
        <w:lastRenderedPageBreak/>
        <w:t>territoriales de la Ciudad de México, para la implementación de acciones específicas, obras e inversiones en la materia;</w:t>
      </w:r>
    </w:p>
    <w:p w14:paraId="6035E467"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0E882D5F"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LXXVIII. Las demás que le confieren otras disposiciones jurídicas y las que le encomiende la persona titular del Poder Ejecutivo.</w:t>
      </w:r>
    </w:p>
    <w:p w14:paraId="194142D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77AE2E2F"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Capítulo III</w:t>
      </w:r>
    </w:p>
    <w:p w14:paraId="702EB97B" w14:textId="77777777" w:rsidR="000B428A" w:rsidRPr="00DA0569" w:rsidRDefault="000B428A" w:rsidP="000B428A">
      <w:pPr>
        <w:spacing w:line="276" w:lineRule="auto"/>
        <w:ind w:left="567" w:right="680"/>
        <w:jc w:val="center"/>
        <w:rPr>
          <w:rFonts w:ascii="Palatino Linotype" w:hAnsi="Palatino Linotype"/>
          <w:b/>
          <w:i/>
          <w:sz w:val="22"/>
          <w:szCs w:val="22"/>
        </w:rPr>
      </w:pPr>
      <w:r w:rsidRPr="00DA0569">
        <w:rPr>
          <w:rFonts w:ascii="Palatino Linotype" w:hAnsi="Palatino Linotype"/>
          <w:b/>
          <w:i/>
          <w:sz w:val="22"/>
          <w:szCs w:val="22"/>
        </w:rPr>
        <w:t xml:space="preserve">De las Atribuciones Específicas de las Personas Titulares de las Unidades Administrativas adscritas a la Secretaría </w:t>
      </w:r>
    </w:p>
    <w:p w14:paraId="4B8E9FFD" w14:textId="77777777" w:rsidR="000B428A" w:rsidRPr="00DA0569" w:rsidRDefault="000B428A" w:rsidP="000B428A">
      <w:pPr>
        <w:spacing w:line="276" w:lineRule="auto"/>
        <w:ind w:left="567" w:right="680"/>
        <w:rPr>
          <w:rFonts w:ascii="Palatino Linotype" w:hAnsi="Palatino Linotype"/>
          <w:i/>
          <w:sz w:val="22"/>
          <w:szCs w:val="22"/>
        </w:rPr>
      </w:pPr>
      <w:r w:rsidRPr="00DA0569">
        <w:rPr>
          <w:rFonts w:ascii="Palatino Linotype" w:hAnsi="Palatino Linotype"/>
          <w:b/>
          <w:i/>
          <w:sz w:val="22"/>
          <w:szCs w:val="22"/>
        </w:rPr>
        <w:t>Artículo 10.</w:t>
      </w:r>
      <w:r w:rsidRPr="00DA0569">
        <w:rPr>
          <w:rFonts w:ascii="Palatino Linotype" w:hAnsi="Palatino Linotype"/>
          <w:i/>
          <w:sz w:val="22"/>
          <w:szCs w:val="22"/>
        </w:rPr>
        <w:t xml:space="preserve"> Corresponden a la Subsecretaría las siguientes atribuciones:</w:t>
      </w:r>
    </w:p>
    <w:p w14:paraId="399C93F0"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46E42EA9"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XIV. Promover y coordinar la organización y evaluación, con la participación de las autoridades y sectores involucrados, de la investigación, educación, capacitación, desarrollo tecnológico, innovación e información en materia de movilidad, transporte y seguridad vial considerando sus implicaciones sociales, económicas, urbanas y ambientales, así como instruir la realización de los estudios necesarios sobre transporte y circulación multimodal, para determinar las medidas técnicas y operaciones de todos los medios de transporte urbano;</w:t>
      </w:r>
    </w:p>
    <w:p w14:paraId="3ADEE662"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1439010A"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b/>
          <w:i/>
          <w:sz w:val="22"/>
          <w:szCs w:val="22"/>
        </w:rPr>
        <w:t>Artículo 12.</w:t>
      </w:r>
      <w:r w:rsidRPr="00DA0569">
        <w:rPr>
          <w:rFonts w:ascii="Palatino Linotype" w:hAnsi="Palatino Linotype"/>
          <w:i/>
          <w:sz w:val="22"/>
          <w:szCs w:val="22"/>
        </w:rPr>
        <w:t xml:space="preserve"> Corresponden a las Direcciones Generales de Movilidad Zona I, II, III y IV, en su respectiva circunscripción territorial, las atribuciones siguientes:</w:t>
      </w:r>
    </w:p>
    <w:p w14:paraId="69E9A264"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4307B44A"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IV. Promover y organizar la capacitación, investigación y desarrollo tecnológico en materia de movilidad;</w:t>
      </w:r>
    </w:p>
    <w:p w14:paraId="199C4C2F"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1C235DA0"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XXV. Coordinar la supervisión de la implementación de las estrategias, programas y proyectos para la movilidad y la seguridad vial;</w:t>
      </w:r>
    </w:p>
    <w:p w14:paraId="13CB7F98"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w:t>
      </w:r>
    </w:p>
    <w:p w14:paraId="00EAB41A" w14:textId="77777777" w:rsidR="000B428A" w:rsidRPr="00DA0569" w:rsidRDefault="000B428A" w:rsidP="000B428A">
      <w:pPr>
        <w:spacing w:line="276" w:lineRule="auto"/>
        <w:ind w:left="567" w:right="680"/>
        <w:jc w:val="both"/>
        <w:rPr>
          <w:rFonts w:ascii="Palatino Linotype" w:hAnsi="Palatino Linotype"/>
          <w:i/>
          <w:sz w:val="22"/>
          <w:szCs w:val="22"/>
        </w:rPr>
      </w:pPr>
      <w:r w:rsidRPr="00DA0569">
        <w:rPr>
          <w:rFonts w:ascii="Palatino Linotype" w:hAnsi="Palatino Linotype"/>
          <w:i/>
          <w:sz w:val="22"/>
          <w:szCs w:val="22"/>
        </w:rPr>
        <w:t>XXXVIII. Las demás que le confieren otras disposiciones jurídicas y las que le encomienden las personas titulares de la Subsecretaría o de la Secretaría.</w:t>
      </w:r>
    </w:p>
    <w:p w14:paraId="470C00AB" w14:textId="77777777" w:rsidR="000B428A" w:rsidRPr="00DA0569" w:rsidRDefault="000B428A" w:rsidP="000B428A">
      <w:pPr>
        <w:pBdr>
          <w:top w:val="nil"/>
          <w:left w:val="nil"/>
          <w:bottom w:val="nil"/>
          <w:right w:val="nil"/>
          <w:between w:val="nil"/>
        </w:pBdr>
        <w:spacing w:line="276" w:lineRule="auto"/>
        <w:ind w:left="720"/>
        <w:rPr>
          <w:rFonts w:ascii="Palatino Linotype" w:eastAsia="Palatino Linotype" w:hAnsi="Palatino Linotype" w:cs="Palatino Linotype"/>
          <w:color w:val="000000"/>
          <w:sz w:val="22"/>
          <w:szCs w:val="22"/>
        </w:rPr>
      </w:pPr>
    </w:p>
    <w:p w14:paraId="328274F1" w14:textId="77777777" w:rsidR="000B428A" w:rsidRPr="00DA0569" w:rsidRDefault="000B428A" w:rsidP="000B428A">
      <w:pPr>
        <w:spacing w:line="276" w:lineRule="auto"/>
        <w:jc w:val="center"/>
        <w:rPr>
          <w:rFonts w:ascii="Palatino Linotype" w:hAnsi="Palatino Linotype"/>
          <w:b/>
          <w:i/>
          <w:sz w:val="22"/>
          <w:szCs w:val="22"/>
        </w:rPr>
      </w:pPr>
      <w:r w:rsidRPr="00DA0569">
        <w:rPr>
          <w:rFonts w:ascii="Palatino Linotype" w:hAnsi="Palatino Linotype"/>
          <w:b/>
          <w:i/>
          <w:sz w:val="22"/>
          <w:szCs w:val="22"/>
        </w:rPr>
        <w:t>MANUAL DE ORGANIZACIÓN DE LA SECRETARÍA DE MOVILIDAD</w:t>
      </w:r>
    </w:p>
    <w:p w14:paraId="51CD182B" w14:textId="77777777" w:rsidR="000B428A" w:rsidRPr="00DA0569" w:rsidRDefault="000B428A" w:rsidP="000B428A">
      <w:pPr>
        <w:spacing w:line="276" w:lineRule="auto"/>
        <w:jc w:val="both"/>
        <w:rPr>
          <w:rFonts w:ascii="Palatino Linotype" w:hAnsi="Palatino Linotype"/>
          <w:i/>
          <w:sz w:val="22"/>
          <w:szCs w:val="22"/>
        </w:rPr>
      </w:pPr>
    </w:p>
    <w:p w14:paraId="44250290" w14:textId="77777777" w:rsidR="000B428A" w:rsidRPr="00DA0569" w:rsidRDefault="000B428A" w:rsidP="000B428A">
      <w:pPr>
        <w:spacing w:line="276" w:lineRule="auto"/>
        <w:ind w:left="567"/>
        <w:jc w:val="both"/>
        <w:rPr>
          <w:rFonts w:ascii="Palatino Linotype" w:hAnsi="Palatino Linotype"/>
          <w:i/>
          <w:sz w:val="22"/>
          <w:szCs w:val="22"/>
        </w:rPr>
      </w:pPr>
      <w:r w:rsidRPr="00DA0569">
        <w:rPr>
          <w:rFonts w:ascii="Palatino Linotype" w:hAnsi="Palatino Linotype"/>
          <w:i/>
          <w:sz w:val="22"/>
          <w:szCs w:val="22"/>
        </w:rPr>
        <w:lastRenderedPageBreak/>
        <w:t>Organigrama</w:t>
      </w:r>
      <w:r w:rsidRPr="00DA0569">
        <w:rPr>
          <w:rStyle w:val="Refdenotaalpie"/>
          <w:rFonts w:ascii="Palatino Linotype" w:hAnsi="Palatino Linotype"/>
          <w:i/>
          <w:sz w:val="22"/>
          <w:szCs w:val="22"/>
        </w:rPr>
        <w:footnoteReference w:id="2"/>
      </w:r>
    </w:p>
    <w:p w14:paraId="5AE01917" w14:textId="77777777" w:rsidR="000B428A" w:rsidRPr="00DA0569" w:rsidRDefault="000B428A" w:rsidP="000B428A">
      <w:pPr>
        <w:spacing w:line="276" w:lineRule="auto"/>
        <w:jc w:val="both"/>
        <w:rPr>
          <w:rFonts w:ascii="Palatino Linotype" w:hAnsi="Palatino Linotype"/>
          <w:sz w:val="22"/>
          <w:szCs w:val="22"/>
        </w:rPr>
      </w:pPr>
    </w:p>
    <w:p w14:paraId="622F6BD5" w14:textId="77777777" w:rsidR="000B428A" w:rsidRPr="00DA0569" w:rsidRDefault="000B428A" w:rsidP="000B428A">
      <w:pPr>
        <w:spacing w:line="276" w:lineRule="auto"/>
        <w:jc w:val="both"/>
        <w:rPr>
          <w:rFonts w:ascii="Palatino Linotype" w:hAnsi="Palatino Linotype"/>
          <w:sz w:val="22"/>
          <w:szCs w:val="22"/>
        </w:rPr>
      </w:pPr>
    </w:p>
    <w:p w14:paraId="5048BA79" w14:textId="77777777" w:rsidR="000B428A" w:rsidRPr="00DA0569" w:rsidRDefault="000B428A" w:rsidP="000B428A">
      <w:pPr>
        <w:spacing w:line="276" w:lineRule="auto"/>
        <w:jc w:val="center"/>
        <w:rPr>
          <w:rFonts w:ascii="Palatino Linotype" w:hAnsi="Palatino Linotype"/>
          <w:sz w:val="22"/>
          <w:szCs w:val="22"/>
        </w:rPr>
      </w:pPr>
      <w:r w:rsidRPr="00DA0569">
        <w:rPr>
          <w:rFonts w:ascii="Palatino Linotype" w:hAnsi="Palatino Linotype"/>
          <w:noProof/>
          <w:sz w:val="22"/>
          <w:szCs w:val="22"/>
        </w:rPr>
        <w:drawing>
          <wp:inline distT="0" distB="0" distL="0" distR="0" wp14:anchorId="7A0A05EA" wp14:editId="6D91D5C5">
            <wp:extent cx="3956619" cy="3427012"/>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645" cy="3440893"/>
                    </a:xfrm>
                    <a:prstGeom prst="rect">
                      <a:avLst/>
                    </a:prstGeom>
                  </pic:spPr>
                </pic:pic>
              </a:graphicData>
            </a:graphic>
          </wp:inline>
        </w:drawing>
      </w:r>
    </w:p>
    <w:p w14:paraId="1126839C" w14:textId="77777777" w:rsidR="000B428A" w:rsidRPr="00DA0569" w:rsidRDefault="000B428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D93AE5F"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En esa tesitura es dable ordenar una nueva búsqueda exhaustiva y razonable en la Secretaría de Movilidad y en las Unidades que la integran, de manera enunciativa más no limitativa, pues se señaló la intervención del Titular, Directores Generales, Coordinadores, Directores de Área, así como en cualquier otra donde pudiera contenerse cualquier tipo de información relacionada con su participación en foros relacionados con el ejercicio de sus atribuciones, como se enfatizó en la solicitud de información primigenia donde se solicitó respecto de aquellos foros en los que la Secretaría ha participado en esta administración, la invitación, nombre de quien asistió, ponencia o temas presentados, las relatorías, logros </w:t>
      </w:r>
      <w:r w:rsidRPr="00DA0569">
        <w:rPr>
          <w:rFonts w:ascii="Palatino Linotype" w:eastAsia="Palatino Linotype" w:hAnsi="Palatino Linotype" w:cs="Palatino Linotype"/>
          <w:color w:val="000000"/>
        </w:rPr>
        <w:lastRenderedPageBreak/>
        <w:t>obtenidos y evidencia fotográfica de que asistieron; resultando innecesario y ocioso entrar al estudio de sus facultades o atribuciones, puesto que la citada información fue publicada de manera expresa por la Institución señalada como sujeto obligado en el presente recurso que se resuelve y por ende, implica la existencia de la misma, por tratarse de un hecho público y notorio.</w:t>
      </w:r>
    </w:p>
    <w:p w14:paraId="75953CEA"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94EC501"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Lo anterior, derivado de que existen indicios irrefutables de la participación de servidores públicos de la Secretaría en comento, actividades realizadas en ejercicio de sus funciones y atribuciones, en esa tesitura, </w:t>
      </w:r>
      <w:r w:rsidRPr="00DA0569">
        <w:rPr>
          <w:rFonts w:ascii="Palatino Linotype" w:eastAsia="Palatino Linotype" w:hAnsi="Palatino Linotype" w:cs="Palatino Linotype"/>
          <w:b/>
          <w:color w:val="000000"/>
        </w:rPr>
        <w:t>los sujetos obligados deberán documentar todo acto que se derive del ejercicio de sus facultades, competencias o funciones,</w:t>
      </w:r>
      <w:r w:rsidRPr="00DA0569">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5DE8BC0F" w14:textId="77777777" w:rsidR="00FE7584" w:rsidRPr="00DA0569" w:rsidRDefault="00FE7584">
      <w:pPr>
        <w:pBdr>
          <w:top w:val="nil"/>
          <w:left w:val="nil"/>
          <w:bottom w:val="nil"/>
          <w:right w:val="nil"/>
          <w:between w:val="nil"/>
        </w:pBdr>
        <w:ind w:left="720"/>
        <w:rPr>
          <w:rFonts w:ascii="Palatino Linotype" w:eastAsia="Palatino Linotype" w:hAnsi="Palatino Linotype" w:cs="Palatino Linotype"/>
          <w:color w:val="000000"/>
        </w:rPr>
      </w:pPr>
    </w:p>
    <w:p w14:paraId="44837FAA"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Ahora bien,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 </w:t>
      </w:r>
    </w:p>
    <w:p w14:paraId="03C56C09" w14:textId="77777777" w:rsidR="00FE7584" w:rsidRPr="00DA0569" w:rsidRDefault="007C7DF7">
      <w:pPr>
        <w:pBdr>
          <w:top w:val="nil"/>
          <w:left w:val="nil"/>
          <w:bottom w:val="nil"/>
          <w:right w:val="nil"/>
          <w:between w:val="nil"/>
        </w:pBdr>
        <w:spacing w:line="360" w:lineRule="auto"/>
        <w:ind w:left="709" w:right="544" w:firstLine="10"/>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 Proveer lo necesario para garantizar a toda persona el derecho de acceso a la información pública, a través de procedimientos sencillos, expeditos, oportunos y gratuitos; </w:t>
      </w:r>
    </w:p>
    <w:p w14:paraId="47CE4F7D" w14:textId="77777777" w:rsidR="00FE7584" w:rsidRPr="00DA0569" w:rsidRDefault="007C7DF7">
      <w:pPr>
        <w:pBdr>
          <w:top w:val="nil"/>
          <w:left w:val="nil"/>
          <w:bottom w:val="nil"/>
          <w:right w:val="nil"/>
          <w:between w:val="nil"/>
        </w:pBdr>
        <w:spacing w:line="360" w:lineRule="auto"/>
        <w:ind w:left="709" w:right="544" w:firstLine="10"/>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 Transparentar la gestión pública, mediante la difusión de la información generada por los Sujetos Obligados, y </w:t>
      </w:r>
    </w:p>
    <w:p w14:paraId="50CC4D6B" w14:textId="77777777" w:rsidR="00FE7584" w:rsidRPr="00DA0569" w:rsidRDefault="007C7DF7">
      <w:pPr>
        <w:pBdr>
          <w:top w:val="nil"/>
          <w:left w:val="nil"/>
          <w:bottom w:val="nil"/>
          <w:right w:val="nil"/>
          <w:between w:val="nil"/>
        </w:pBdr>
        <w:spacing w:line="360" w:lineRule="auto"/>
        <w:ind w:left="709" w:right="544" w:firstLine="10"/>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Promover, fomentar y difundir la cultura de la transparencia en el ejercicio de la función pública, el acceso a la información y la participación ciudadana, así como, la rendición de cuentas.</w:t>
      </w:r>
    </w:p>
    <w:p w14:paraId="48C2E800"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4B1194"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Conforme a lo anterior, se </w:t>
      </w:r>
      <w:r w:rsidRPr="00DA0569">
        <w:rPr>
          <w:rFonts w:ascii="Palatino Linotype" w:eastAsia="Palatino Linotype" w:hAnsi="Palatino Linotype" w:cs="Palatino Linotype"/>
        </w:rPr>
        <w:t>desprende</w:t>
      </w:r>
      <w:r w:rsidRPr="00DA0569">
        <w:rPr>
          <w:rFonts w:ascii="Palatino Linotype" w:eastAsia="Palatino Linotype" w:hAnsi="Palatino Linotype" w:cs="Palatino Linotype"/>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2EE42D7"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987177C"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E9CC0BF"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E9B2AEA"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1CA3072" w14:textId="77777777" w:rsidR="00FE7584" w:rsidRPr="00DA0569" w:rsidRDefault="007C7DF7">
      <w:pPr>
        <w:numPr>
          <w:ilvl w:val="0"/>
          <w:numId w:val="4"/>
        </w:numPr>
        <w:pBdr>
          <w:top w:val="nil"/>
          <w:left w:val="nil"/>
          <w:bottom w:val="nil"/>
          <w:right w:val="nil"/>
          <w:between w:val="nil"/>
        </w:pBdr>
        <w:tabs>
          <w:tab w:val="left" w:pos="8364"/>
        </w:tabs>
        <w:spacing w:line="360" w:lineRule="auto"/>
        <w:ind w:right="709"/>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4B14C4D" w14:textId="77777777" w:rsidR="00FE7584" w:rsidRPr="00DA0569" w:rsidRDefault="007C7DF7">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Los Sujetos Obligados podrán </w:t>
      </w:r>
      <w:r w:rsidRPr="00DA0569">
        <w:rPr>
          <w:rFonts w:ascii="Palatino Linotype" w:eastAsia="Palatino Linotype" w:hAnsi="Palatino Linotype" w:cs="Palatino Linotype"/>
          <w:sz w:val="22"/>
          <w:szCs w:val="22"/>
        </w:rPr>
        <w:t>requerir a</w:t>
      </w:r>
      <w:r w:rsidRPr="00DA0569">
        <w:rPr>
          <w:rFonts w:ascii="Palatino Linotype" w:eastAsia="Palatino Linotype" w:hAnsi="Palatino Linotype" w:cs="Palatino Linotype"/>
          <w:color w:val="000000"/>
          <w:sz w:val="22"/>
          <w:szCs w:val="22"/>
        </w:rPr>
        <w:t xml:space="preserve"> los Solicitantes, que complementen, corrijan o amplíen su solicitud de información, cuando resulten los datos proporcionados </w:t>
      </w:r>
      <w:r w:rsidRPr="00DA0569">
        <w:rPr>
          <w:rFonts w:ascii="Palatino Linotype" w:eastAsia="Palatino Linotype" w:hAnsi="Palatino Linotype" w:cs="Palatino Linotype"/>
          <w:color w:val="000000"/>
          <w:sz w:val="22"/>
          <w:szCs w:val="22"/>
        </w:rPr>
        <w:lastRenderedPageBreak/>
        <w:t>insuficientes, incorrectos, incompletos o erróneos; solicitar dicha aclaración, interrumpirá el plazo para dar respuesta y comenzará a computarse el día siguiente al desahogo de esta.</w:t>
      </w:r>
    </w:p>
    <w:p w14:paraId="70C8D300" w14:textId="77777777" w:rsidR="00FE7584" w:rsidRPr="00DA0569" w:rsidRDefault="007C7DF7">
      <w:pPr>
        <w:numPr>
          <w:ilvl w:val="0"/>
          <w:numId w:val="4"/>
        </w:numPr>
        <w:pBdr>
          <w:top w:val="nil"/>
          <w:left w:val="nil"/>
          <w:bottom w:val="nil"/>
          <w:right w:val="nil"/>
          <w:between w:val="nil"/>
        </w:pBdr>
        <w:tabs>
          <w:tab w:val="left" w:pos="8647"/>
        </w:tabs>
        <w:spacing w:line="360" w:lineRule="auto"/>
        <w:ind w:right="709"/>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353AD92" w14:textId="77777777" w:rsidR="00FE7584" w:rsidRPr="00DA0569" w:rsidRDefault="007C7DF7">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C369C93" w14:textId="77777777" w:rsidR="00FE7584" w:rsidRPr="00DA0569" w:rsidRDefault="007C7DF7">
      <w:pPr>
        <w:numPr>
          <w:ilvl w:val="0"/>
          <w:numId w:val="4"/>
        </w:numPr>
        <w:pBdr>
          <w:top w:val="nil"/>
          <w:left w:val="nil"/>
          <w:bottom w:val="nil"/>
          <w:right w:val="nil"/>
          <w:between w:val="nil"/>
        </w:pBdr>
        <w:spacing w:line="360" w:lineRule="auto"/>
        <w:ind w:right="425"/>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6216168" w14:textId="77777777" w:rsidR="00FE7584" w:rsidRPr="00DA0569" w:rsidRDefault="007C7DF7">
      <w:pPr>
        <w:numPr>
          <w:ilvl w:val="0"/>
          <w:numId w:val="4"/>
        </w:numPr>
        <w:pBdr>
          <w:top w:val="nil"/>
          <w:left w:val="nil"/>
          <w:bottom w:val="nil"/>
          <w:right w:val="nil"/>
          <w:between w:val="nil"/>
        </w:pBdr>
        <w:tabs>
          <w:tab w:val="left" w:pos="8364"/>
        </w:tabs>
        <w:spacing w:line="360" w:lineRule="auto"/>
        <w:ind w:right="567"/>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DA0569">
        <w:rPr>
          <w:rFonts w:ascii="Palatino Linotype" w:eastAsia="Palatino Linotype" w:hAnsi="Palatino Linotype" w:cs="Palatino Linotype"/>
          <w:sz w:val="22"/>
          <w:szCs w:val="22"/>
        </w:rPr>
        <w:t>transcurrida</w:t>
      </w:r>
      <w:r w:rsidRPr="00DA0569">
        <w:rPr>
          <w:rFonts w:ascii="Palatino Linotype" w:eastAsia="Palatino Linotype" w:hAnsi="Palatino Linotype" w:cs="Palatino Linotype"/>
          <w:color w:val="000000"/>
          <w:sz w:val="22"/>
          <w:szCs w:val="22"/>
        </w:rPr>
        <w:t xml:space="preserve"> dicha temporalidad, los Sujetos Obligados darán por concluida la solicitud y procederán de ser el caso, a la destrucción del material.</w:t>
      </w:r>
    </w:p>
    <w:p w14:paraId="79A2C0D9" w14:textId="77777777" w:rsidR="00FE7584" w:rsidRPr="00DA0569" w:rsidRDefault="00FE7584">
      <w:pPr>
        <w:pBdr>
          <w:top w:val="nil"/>
          <w:left w:val="nil"/>
          <w:bottom w:val="nil"/>
          <w:right w:val="nil"/>
          <w:between w:val="nil"/>
        </w:pBdr>
        <w:tabs>
          <w:tab w:val="left" w:pos="8364"/>
        </w:tabs>
        <w:spacing w:line="360" w:lineRule="auto"/>
        <w:ind w:left="720" w:right="567"/>
        <w:jc w:val="both"/>
        <w:rPr>
          <w:rFonts w:ascii="Palatino Linotype" w:eastAsia="Palatino Linotype" w:hAnsi="Palatino Linotype" w:cs="Palatino Linotype"/>
          <w:color w:val="000000"/>
        </w:rPr>
      </w:pPr>
    </w:p>
    <w:p w14:paraId="73CD3E96"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lastRenderedPageBreak/>
        <w:t>Además, debemos tomar en cuenta los artículos 4 y 12, de la Ley de Transparencia y Acceso a la Información Pública del Estado de México y Municipios, los cuales establecen lo siguiente:</w:t>
      </w:r>
    </w:p>
    <w:p w14:paraId="23E70724" w14:textId="77777777" w:rsidR="00FE7584" w:rsidRPr="00DA0569" w:rsidRDefault="007C7DF7">
      <w:pPr>
        <w:spacing w:line="360" w:lineRule="auto"/>
        <w:ind w:left="567" w:right="567"/>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 xml:space="preserve">Artículo 4. </w:t>
      </w:r>
      <w:r w:rsidRPr="00DA0569">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109B349" w14:textId="77777777" w:rsidR="00FE7584" w:rsidRPr="00DA0569" w:rsidRDefault="007C7DF7">
      <w:pPr>
        <w:spacing w:line="360" w:lineRule="auto"/>
        <w:ind w:left="567" w:right="567"/>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2FF51A" w14:textId="77777777" w:rsidR="00FE7584" w:rsidRPr="00DA0569" w:rsidRDefault="007C7DF7">
      <w:pPr>
        <w:spacing w:line="360" w:lineRule="auto"/>
        <w:ind w:left="567" w:right="567"/>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6DAAA67" w14:textId="77777777" w:rsidR="00FE7584" w:rsidRPr="00DA0569" w:rsidRDefault="00FE7584">
      <w:pPr>
        <w:spacing w:line="360" w:lineRule="auto"/>
        <w:ind w:left="567" w:right="567"/>
        <w:jc w:val="both"/>
        <w:rPr>
          <w:rFonts w:ascii="Palatino Linotype" w:eastAsia="Palatino Linotype" w:hAnsi="Palatino Linotype" w:cs="Palatino Linotype"/>
          <w:i/>
          <w:color w:val="000000"/>
          <w:sz w:val="22"/>
          <w:szCs w:val="22"/>
        </w:rPr>
      </w:pPr>
    </w:p>
    <w:p w14:paraId="3DC827F4" w14:textId="77777777" w:rsidR="00FE7584" w:rsidRPr="00DA0569" w:rsidRDefault="007C7DF7">
      <w:pPr>
        <w:spacing w:line="360" w:lineRule="auto"/>
        <w:ind w:left="567" w:right="567"/>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 xml:space="preserve">Artículo 12. </w:t>
      </w:r>
      <w:r w:rsidRPr="00DA0569">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14:paraId="42B1A344" w14:textId="77777777" w:rsidR="00FE7584" w:rsidRPr="00DA0569" w:rsidRDefault="007C7DF7">
      <w:pPr>
        <w:spacing w:line="360" w:lineRule="auto"/>
        <w:ind w:left="567" w:right="567"/>
        <w:jc w:val="both"/>
        <w:rPr>
          <w:rFonts w:ascii="Palatino Linotype" w:eastAsia="Palatino Linotype" w:hAnsi="Palatino Linotype" w:cs="Palatino Linotype"/>
          <w:b/>
          <w:i/>
          <w:sz w:val="22"/>
          <w:szCs w:val="22"/>
        </w:rPr>
      </w:pPr>
      <w:r w:rsidRPr="00DA0569">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r w:rsidRPr="00DA056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3D1498F" w14:textId="77777777" w:rsidR="00FE7584" w:rsidRPr="00DA0569" w:rsidRDefault="00FE7584">
      <w:pPr>
        <w:spacing w:line="360" w:lineRule="auto"/>
        <w:ind w:left="567" w:right="567"/>
        <w:jc w:val="both"/>
        <w:rPr>
          <w:rFonts w:ascii="Palatino Linotype" w:eastAsia="Palatino Linotype" w:hAnsi="Palatino Linotype" w:cs="Palatino Linotype"/>
          <w:i/>
        </w:rPr>
      </w:pPr>
    </w:p>
    <w:p w14:paraId="7EFFD554" w14:textId="77777777" w:rsidR="00FE7584" w:rsidRPr="00DA0569" w:rsidRDefault="007C7DF7">
      <w:pPr>
        <w:numPr>
          <w:ilvl w:val="0"/>
          <w:numId w:val="5"/>
        </w:numPr>
        <w:pBdr>
          <w:top w:val="nil"/>
          <w:left w:val="nil"/>
          <w:bottom w:val="nil"/>
          <w:right w:val="nil"/>
          <w:between w:val="nil"/>
        </w:pBdr>
        <w:tabs>
          <w:tab w:val="left" w:pos="851"/>
        </w:tabs>
        <w:spacing w:line="360" w:lineRule="auto"/>
        <w:ind w:left="0" w:right="49" w:firstLine="0"/>
        <w:jc w:val="both"/>
        <w:rPr>
          <w:color w:val="000000"/>
        </w:rPr>
      </w:pPr>
      <w:r w:rsidRPr="00DA0569">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A0569">
        <w:rPr>
          <w:rFonts w:ascii="Palatino Linotype" w:eastAsia="Palatino Linotype" w:hAnsi="Palatino Linotype" w:cs="Palatino Linotype"/>
          <w:color w:val="000000"/>
          <w:vertAlign w:val="superscript"/>
        </w:rPr>
        <w:footnoteReference w:id="3"/>
      </w:r>
      <w:r w:rsidRPr="00DA056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7A7E450" w14:textId="77777777" w:rsidR="00FE7584" w:rsidRPr="00DA0569" w:rsidRDefault="00FE758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EEEA103" w14:textId="77777777" w:rsidR="00FE7584" w:rsidRPr="00DA0569" w:rsidRDefault="007C7DF7">
      <w:pPr>
        <w:numPr>
          <w:ilvl w:val="0"/>
          <w:numId w:val="5"/>
        </w:numPr>
        <w:pBdr>
          <w:top w:val="nil"/>
          <w:left w:val="nil"/>
          <w:bottom w:val="nil"/>
          <w:right w:val="nil"/>
          <w:between w:val="nil"/>
        </w:pBdr>
        <w:tabs>
          <w:tab w:val="left" w:pos="851"/>
        </w:tabs>
        <w:spacing w:line="360" w:lineRule="auto"/>
        <w:ind w:left="0" w:right="49" w:firstLine="0"/>
        <w:jc w:val="both"/>
        <w:rPr>
          <w:color w:val="000000"/>
        </w:rPr>
      </w:pPr>
      <w:r w:rsidRPr="00DA0569">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3A3C2A9" w14:textId="77777777" w:rsidR="00FE7584" w:rsidRPr="00DA0569" w:rsidRDefault="007C7DF7">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DA056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w:t>
      </w:r>
      <w:r w:rsidRPr="00DA0569">
        <w:rPr>
          <w:rFonts w:ascii="Palatino Linotype" w:eastAsia="Palatino Linotype" w:hAnsi="Palatino Linotype" w:cs="Palatino Linotype"/>
          <w:i/>
          <w:color w:val="000000"/>
          <w:sz w:val="22"/>
          <w:szCs w:val="22"/>
        </w:rPr>
        <w:lastRenderedPageBreak/>
        <w:t xml:space="preserve">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C6FADAE" w14:textId="77777777" w:rsidR="00FE7584" w:rsidRPr="00DA0569" w:rsidRDefault="007C7DF7">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 xml:space="preserve">CUARTO TRIBUNAL COLEGIADO EN MATERIA ADMINISTRATIVA DEL PRIMER CIRCUITO. </w:t>
      </w:r>
    </w:p>
    <w:p w14:paraId="0366AF5A" w14:textId="77777777" w:rsidR="00FE7584" w:rsidRPr="00DA0569" w:rsidRDefault="007C7DF7">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 xml:space="preserve">Amparo en revisión 257/2012. Ruth Corona Muñoz. 6 de diciembre de 2012. Unanimidad de votos. Ponente: Jean Claude </w:t>
      </w:r>
      <w:proofErr w:type="spellStart"/>
      <w:r w:rsidRPr="00DA0569">
        <w:rPr>
          <w:rFonts w:ascii="Palatino Linotype" w:eastAsia="Palatino Linotype" w:hAnsi="Palatino Linotype" w:cs="Palatino Linotype"/>
          <w:i/>
          <w:color w:val="000000"/>
          <w:sz w:val="22"/>
          <w:szCs w:val="22"/>
        </w:rPr>
        <w:t>Tron</w:t>
      </w:r>
      <w:proofErr w:type="spellEnd"/>
      <w:r w:rsidRPr="00DA0569">
        <w:rPr>
          <w:rFonts w:ascii="Palatino Linotype" w:eastAsia="Palatino Linotype" w:hAnsi="Palatino Linotype" w:cs="Palatino Linotype"/>
          <w:i/>
          <w:color w:val="000000"/>
          <w:sz w:val="22"/>
          <w:szCs w:val="22"/>
        </w:rPr>
        <w:t xml:space="preserve"> </w:t>
      </w:r>
      <w:proofErr w:type="spellStart"/>
      <w:r w:rsidRPr="00DA0569">
        <w:rPr>
          <w:rFonts w:ascii="Palatino Linotype" w:eastAsia="Palatino Linotype" w:hAnsi="Palatino Linotype" w:cs="Palatino Linotype"/>
          <w:i/>
          <w:color w:val="000000"/>
          <w:sz w:val="22"/>
          <w:szCs w:val="22"/>
        </w:rPr>
        <w:t>Petit</w:t>
      </w:r>
      <w:proofErr w:type="spellEnd"/>
      <w:r w:rsidRPr="00DA0569">
        <w:rPr>
          <w:rFonts w:ascii="Palatino Linotype" w:eastAsia="Palatino Linotype" w:hAnsi="Palatino Linotype" w:cs="Palatino Linotype"/>
          <w:i/>
          <w:color w:val="000000"/>
          <w:sz w:val="22"/>
          <w:szCs w:val="22"/>
        </w:rPr>
        <w:t>. Secretaria: Mayra Susana Martínez López.</w:t>
      </w:r>
    </w:p>
    <w:p w14:paraId="1561B995" w14:textId="77777777" w:rsidR="00FE7584" w:rsidRPr="00DA0569" w:rsidRDefault="00FE7584">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p>
    <w:p w14:paraId="61195135" w14:textId="77777777" w:rsidR="00FE7584" w:rsidRPr="00DA0569" w:rsidRDefault="007C7DF7">
      <w:pPr>
        <w:numPr>
          <w:ilvl w:val="0"/>
          <w:numId w:val="5"/>
        </w:numPr>
        <w:pBdr>
          <w:top w:val="nil"/>
          <w:left w:val="nil"/>
          <w:bottom w:val="nil"/>
          <w:right w:val="nil"/>
          <w:between w:val="nil"/>
        </w:pBdr>
        <w:tabs>
          <w:tab w:val="left" w:pos="851"/>
        </w:tabs>
        <w:spacing w:line="360" w:lineRule="auto"/>
        <w:ind w:left="0" w:right="-28" w:firstLine="0"/>
        <w:jc w:val="both"/>
        <w:rPr>
          <w:color w:val="000000"/>
        </w:rPr>
      </w:pPr>
      <w:r w:rsidRPr="00DA0569">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234D546B" w14:textId="77777777" w:rsidR="00FE7584" w:rsidRPr="00DA0569" w:rsidRDefault="00FE7584">
      <w:pPr>
        <w:tabs>
          <w:tab w:val="left" w:pos="851"/>
        </w:tabs>
        <w:spacing w:line="360" w:lineRule="auto"/>
        <w:ind w:right="49"/>
        <w:jc w:val="both"/>
        <w:rPr>
          <w:rFonts w:ascii="Palatino Linotype" w:eastAsia="Palatino Linotype" w:hAnsi="Palatino Linotype" w:cs="Palatino Linotype"/>
        </w:rPr>
      </w:pPr>
    </w:p>
    <w:p w14:paraId="68AC5181" w14:textId="77777777" w:rsidR="00FE7584" w:rsidRPr="00DA0569" w:rsidRDefault="007C7DF7">
      <w:pPr>
        <w:numPr>
          <w:ilvl w:val="0"/>
          <w:numId w:val="5"/>
        </w:numPr>
        <w:pBdr>
          <w:top w:val="nil"/>
          <w:left w:val="nil"/>
          <w:bottom w:val="nil"/>
          <w:right w:val="nil"/>
          <w:between w:val="nil"/>
        </w:pBdr>
        <w:tabs>
          <w:tab w:val="left" w:pos="0"/>
        </w:tabs>
        <w:spacing w:line="360" w:lineRule="auto"/>
        <w:ind w:left="0" w:right="49" w:firstLine="0"/>
        <w:jc w:val="both"/>
        <w:rPr>
          <w:color w:val="000000"/>
        </w:rPr>
      </w:pPr>
      <w:r w:rsidRPr="00DA0569">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14:paraId="35BFAA64"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“Artículo 6o.</w:t>
      </w:r>
      <w:r w:rsidRPr="00DA0569">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0569">
        <w:rPr>
          <w:rFonts w:ascii="Palatino Linotype" w:eastAsia="Palatino Linotype" w:hAnsi="Palatino Linotype" w:cs="Palatino Linotype"/>
          <w:b/>
          <w:i/>
          <w:sz w:val="22"/>
          <w:szCs w:val="22"/>
        </w:rPr>
        <w:t>El derecho a la información será garantizado por el Estado.</w:t>
      </w:r>
      <w:r w:rsidRPr="00DA0569">
        <w:rPr>
          <w:rFonts w:ascii="Palatino Linotype" w:eastAsia="Palatino Linotype" w:hAnsi="Palatino Linotype" w:cs="Palatino Linotype"/>
          <w:i/>
          <w:sz w:val="22"/>
          <w:szCs w:val="22"/>
        </w:rPr>
        <w:t xml:space="preserve"> </w:t>
      </w:r>
    </w:p>
    <w:p w14:paraId="14F880B8"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1C6EC3C6"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Toda persona tiene derecho al libre acceso a información plural y oportuna, así como a buscar, recibir y difundir información e ideas de toda índole por cualquier medio de expresión.</w:t>
      </w:r>
    </w:p>
    <w:p w14:paraId="60594DDB"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5D0CBCF9"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Para efectos de lo dispuesto en el presente artículo se observará lo siguiente:</w:t>
      </w:r>
    </w:p>
    <w:p w14:paraId="4CBA844F"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2A729B19"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09B4E41A" w14:textId="77777777" w:rsidR="00FE7584" w:rsidRPr="00DA0569" w:rsidRDefault="00FE7584">
      <w:pPr>
        <w:spacing w:line="276" w:lineRule="auto"/>
        <w:ind w:left="567" w:right="544"/>
        <w:jc w:val="both"/>
        <w:rPr>
          <w:rFonts w:ascii="Palatino Linotype" w:eastAsia="Palatino Linotype" w:hAnsi="Palatino Linotype" w:cs="Palatino Linotype"/>
          <w:b/>
          <w:i/>
          <w:sz w:val="22"/>
          <w:szCs w:val="22"/>
        </w:rPr>
      </w:pPr>
    </w:p>
    <w:p w14:paraId="7B9F8100"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I. Toda la información en posesión de</w:t>
      </w:r>
      <w:r w:rsidRPr="00DA0569">
        <w:rPr>
          <w:rFonts w:ascii="Palatino Linotype" w:eastAsia="Palatino Linotype" w:hAnsi="Palatino Linotype" w:cs="Palatino Linotype"/>
          <w:i/>
          <w:sz w:val="22"/>
          <w:szCs w:val="22"/>
        </w:rPr>
        <w:t xml:space="preserve"> </w:t>
      </w:r>
      <w:r w:rsidRPr="00DA0569">
        <w:rPr>
          <w:rFonts w:ascii="Palatino Linotype" w:eastAsia="Palatino Linotype" w:hAnsi="Palatino Linotype" w:cs="Palatino Linotype"/>
          <w:b/>
          <w:i/>
          <w:sz w:val="22"/>
          <w:szCs w:val="22"/>
        </w:rPr>
        <w:t>cualquier autoridad</w:t>
      </w:r>
      <w:r w:rsidRPr="00DA0569">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A0569">
        <w:rPr>
          <w:rFonts w:ascii="Palatino Linotype" w:eastAsia="Palatino Linotype" w:hAnsi="Palatino Linotype" w:cs="Palatino Linotype"/>
          <w:b/>
          <w:i/>
          <w:sz w:val="22"/>
          <w:szCs w:val="22"/>
        </w:rPr>
        <w:t>es pública</w:t>
      </w:r>
      <w:r w:rsidRPr="00DA0569">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A0569">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DA0569">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124C8C0"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6B362904"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II. La información que se refiere a la vida privada y los datos personales será protegida en los términos y con las excepciones que fijen las leyes.</w:t>
      </w:r>
    </w:p>
    <w:p w14:paraId="17D0724C"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32BD7A31"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2A058690"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31081735"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1E6F1E61" w14:textId="77777777" w:rsidR="00FE7584" w:rsidRPr="00DA0569" w:rsidRDefault="00FE7584">
      <w:pPr>
        <w:spacing w:line="276" w:lineRule="auto"/>
        <w:ind w:left="567" w:right="544"/>
        <w:jc w:val="both"/>
        <w:rPr>
          <w:rFonts w:ascii="Palatino Linotype" w:eastAsia="Palatino Linotype" w:hAnsi="Palatino Linotype" w:cs="Palatino Linotype"/>
          <w:b/>
          <w:i/>
          <w:sz w:val="22"/>
          <w:szCs w:val="22"/>
        </w:rPr>
      </w:pPr>
    </w:p>
    <w:p w14:paraId="27ED25B7"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V. Los sujetos obligados deberán preservar sus documentos en archivos administrativos actualizados y publicarán, a través de los medios electrónicos disponibles</w:t>
      </w:r>
      <w:r w:rsidRPr="00DA0569">
        <w:rPr>
          <w:rFonts w:ascii="Palatino Linotype" w:eastAsia="Palatino Linotype" w:hAnsi="Palatino Linotype" w:cs="Palatino Linotype"/>
          <w:i/>
          <w:sz w:val="22"/>
          <w:szCs w:val="22"/>
        </w:rPr>
        <w:t>, la información completa y actualizada sobre el ejercicio de los recursos públicos y los indicadores que permitan rendir cuenta del cumplimiento de sus objetivos y de los resultados obtenidos.</w:t>
      </w:r>
    </w:p>
    <w:p w14:paraId="4FCC92FB"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762F752E"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VI. Las leyes determinarán la manera en que los sujetos obligados deberán hacer pública la información relativa a los recursos públicos que entreguen a personas físicas o morales.</w:t>
      </w:r>
    </w:p>
    <w:p w14:paraId="15AF694A"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0566EDDD"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VII. La inobservancia a las disposiciones en materia de acceso a la información pública será sancionada en los términos que dispongan las leyes.</w:t>
      </w:r>
    </w:p>
    <w:p w14:paraId="58BFF0AE"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5681224B"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30D8458"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w:t>
      </w:r>
    </w:p>
    <w:p w14:paraId="289AE96E"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La ley establecerá aquella información que se considere reservada o confidencial.”</w:t>
      </w:r>
    </w:p>
    <w:p w14:paraId="59F9E30C" w14:textId="77777777" w:rsidR="00FE7584" w:rsidRPr="00DA0569" w:rsidRDefault="00FE7584">
      <w:pPr>
        <w:spacing w:line="276" w:lineRule="auto"/>
        <w:ind w:left="567" w:right="544"/>
        <w:jc w:val="both"/>
        <w:rPr>
          <w:rFonts w:ascii="Palatino Linotype" w:eastAsia="Palatino Linotype" w:hAnsi="Palatino Linotype" w:cs="Palatino Linotype"/>
          <w:i/>
          <w:sz w:val="22"/>
          <w:szCs w:val="22"/>
        </w:rPr>
      </w:pPr>
    </w:p>
    <w:p w14:paraId="62882524" w14:textId="77777777" w:rsidR="00FE7584" w:rsidRPr="00DA0569" w:rsidRDefault="007C7DF7">
      <w:pPr>
        <w:spacing w:line="276" w:lineRule="auto"/>
        <w:ind w:left="567" w:right="544"/>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(Énfasis añadido)</w:t>
      </w:r>
    </w:p>
    <w:p w14:paraId="1C05B17E" w14:textId="77777777" w:rsidR="00FE7584" w:rsidRPr="00DA0569" w:rsidRDefault="00FE7584">
      <w:pPr>
        <w:spacing w:line="360" w:lineRule="auto"/>
        <w:ind w:left="709" w:right="757"/>
        <w:jc w:val="both"/>
        <w:rPr>
          <w:rFonts w:ascii="Palatino Linotype" w:eastAsia="Palatino Linotype" w:hAnsi="Palatino Linotype" w:cs="Palatino Linotype"/>
        </w:rPr>
      </w:pPr>
    </w:p>
    <w:p w14:paraId="2176F954"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6C47DB16" w14:textId="77777777" w:rsidR="00FE7584" w:rsidRPr="00DA0569" w:rsidRDefault="007C7DF7">
      <w:pPr>
        <w:spacing w:line="276" w:lineRule="auto"/>
        <w:ind w:left="567" w:right="260"/>
        <w:jc w:val="both"/>
        <w:rPr>
          <w:rFonts w:ascii="Palatino Linotype" w:eastAsia="Palatino Linotype" w:hAnsi="Palatino Linotype" w:cs="Palatino Linotype"/>
          <w:b/>
          <w:i/>
          <w:sz w:val="22"/>
          <w:szCs w:val="22"/>
        </w:rPr>
      </w:pPr>
      <w:r w:rsidRPr="00DA0569">
        <w:rPr>
          <w:rFonts w:ascii="Palatino Linotype" w:eastAsia="Palatino Linotype" w:hAnsi="Palatino Linotype" w:cs="Palatino Linotype"/>
          <w:b/>
          <w:i/>
          <w:sz w:val="22"/>
          <w:szCs w:val="22"/>
        </w:rPr>
        <w:t xml:space="preserve">“Artículo 5. … </w:t>
      </w:r>
    </w:p>
    <w:p w14:paraId="1BACD773"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El derecho a la información será garantizado por el Estado</w:t>
      </w:r>
      <w:r w:rsidRPr="00DA0569">
        <w:rPr>
          <w:rFonts w:ascii="Palatino Linotype" w:eastAsia="Palatino Linotype" w:hAnsi="Palatino Linotype" w:cs="Palatino Linotype"/>
          <w:i/>
          <w:sz w:val="22"/>
          <w:szCs w:val="22"/>
        </w:rPr>
        <w:t xml:space="preserve">. La ley establecerá las previsiones que permitan asegurar la protección, el respeto y la difusión de este derecho. </w:t>
      </w:r>
    </w:p>
    <w:p w14:paraId="50D22560"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8F0C279"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37615354"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Este derecho se regirá por los principios y bases siguientes:</w:t>
      </w:r>
    </w:p>
    <w:p w14:paraId="2BC6A046" w14:textId="77777777" w:rsidR="00FE7584" w:rsidRPr="00DA0569" w:rsidRDefault="00FE7584">
      <w:pPr>
        <w:spacing w:line="276" w:lineRule="auto"/>
        <w:ind w:left="567" w:right="260"/>
        <w:jc w:val="both"/>
        <w:rPr>
          <w:rFonts w:ascii="Palatino Linotype" w:eastAsia="Palatino Linotype" w:hAnsi="Palatino Linotype" w:cs="Palatino Linotype"/>
          <w:b/>
          <w:i/>
          <w:sz w:val="22"/>
          <w:szCs w:val="22"/>
        </w:rPr>
      </w:pPr>
    </w:p>
    <w:p w14:paraId="7DFF6056"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 xml:space="preserve">I. Toda la información en posesión </w:t>
      </w:r>
      <w:r w:rsidRPr="00DA0569">
        <w:rPr>
          <w:rFonts w:ascii="Palatino Linotype" w:eastAsia="Palatino Linotype" w:hAnsi="Palatino Linotype" w:cs="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DA0569">
        <w:rPr>
          <w:rFonts w:ascii="Palatino Linotype" w:eastAsia="Palatino Linotype" w:hAnsi="Palatino Linotype" w:cs="Palatino Linotype"/>
          <w:b/>
          <w:i/>
          <w:sz w:val="22"/>
          <w:szCs w:val="22"/>
        </w:rPr>
        <w:t>del gobierno y de la administración pública municipal y sus organismos descentralizados</w:t>
      </w:r>
      <w:r w:rsidRPr="00DA0569">
        <w:rPr>
          <w:rFonts w:ascii="Palatino Linotype" w:eastAsia="Palatino Linotype" w:hAnsi="Palatino Linotype" w:cs="Palatino Linotype"/>
          <w:i/>
          <w:sz w:val="22"/>
          <w:szCs w:val="22"/>
        </w:rPr>
        <w:t xml:space="preserve">, asimismo de cualquier persona física, jurídica </w:t>
      </w:r>
      <w:r w:rsidRPr="00DA0569">
        <w:rPr>
          <w:rFonts w:ascii="Palatino Linotype" w:eastAsia="Palatino Linotype" w:hAnsi="Palatino Linotype" w:cs="Palatino Linotype"/>
          <w:i/>
          <w:sz w:val="22"/>
          <w:szCs w:val="22"/>
        </w:rPr>
        <w:lastRenderedPageBreak/>
        <w:t xml:space="preserve">colectiva o sindicato que reciba y ejerza recursos públicos o realice actos de autoridad en el ámbito estatal y municipal, </w:t>
      </w:r>
      <w:r w:rsidRPr="00DA0569">
        <w:rPr>
          <w:rFonts w:ascii="Palatino Linotype" w:eastAsia="Palatino Linotype" w:hAnsi="Palatino Linotype" w:cs="Palatino Linotype"/>
          <w:b/>
          <w:i/>
          <w:sz w:val="22"/>
          <w:szCs w:val="22"/>
        </w:rPr>
        <w:t>es pública</w:t>
      </w:r>
      <w:r w:rsidRPr="00DA0569">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1FCB50"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63C79081"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9FF99E6"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5DC0021E"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2A1E1297"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5EBBEE97"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IV. Se establecerán mecanismos de acceso a la información y procedimientos de revisión expeditos que se sustanciarán ante el organismo autónomo especializado e imparcial que establece esta Constitución.</w:t>
      </w:r>
    </w:p>
    <w:p w14:paraId="6ABCF87C"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6E95A0E2"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D49F742" w14:textId="77777777" w:rsidR="00FE7584" w:rsidRPr="00DA0569" w:rsidRDefault="00FE7584">
      <w:pPr>
        <w:spacing w:line="276" w:lineRule="auto"/>
        <w:ind w:left="567" w:right="260"/>
        <w:jc w:val="both"/>
        <w:rPr>
          <w:rFonts w:ascii="Palatino Linotype" w:eastAsia="Palatino Linotype" w:hAnsi="Palatino Linotype" w:cs="Palatino Linotype"/>
          <w:b/>
          <w:i/>
          <w:sz w:val="22"/>
          <w:szCs w:val="22"/>
        </w:rPr>
      </w:pPr>
    </w:p>
    <w:p w14:paraId="199F943E"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A0569">
        <w:rPr>
          <w:rFonts w:ascii="Palatino Linotype" w:eastAsia="Palatino Linotype" w:hAnsi="Palatino Linotype" w:cs="Palatino Linotype"/>
          <w:i/>
          <w:sz w:val="22"/>
          <w:szCs w:val="22"/>
        </w:rPr>
        <w:t xml:space="preserve"> y los indicadores que permitan rendir cuenta del cumplimiento de sus objetivos y los resultados obtenidos.</w:t>
      </w:r>
    </w:p>
    <w:p w14:paraId="1A06CC58" w14:textId="77777777" w:rsidR="00FE7584" w:rsidRPr="00DA0569" w:rsidRDefault="00FE7584">
      <w:pPr>
        <w:spacing w:line="276" w:lineRule="auto"/>
        <w:ind w:left="567" w:right="260"/>
        <w:jc w:val="both"/>
        <w:rPr>
          <w:rFonts w:ascii="Palatino Linotype" w:eastAsia="Palatino Linotype" w:hAnsi="Palatino Linotype" w:cs="Palatino Linotype"/>
          <w:i/>
          <w:sz w:val="22"/>
          <w:szCs w:val="22"/>
        </w:rPr>
      </w:pPr>
    </w:p>
    <w:p w14:paraId="11D9F9D4" w14:textId="77777777" w:rsidR="00FE7584" w:rsidRPr="00DA0569" w:rsidRDefault="007C7DF7">
      <w:pPr>
        <w:spacing w:line="276" w:lineRule="auto"/>
        <w:ind w:left="567" w:right="260"/>
        <w:jc w:val="both"/>
        <w:rPr>
          <w:rFonts w:ascii="Palatino Linotype" w:eastAsia="Palatino Linotype" w:hAnsi="Palatino Linotype" w:cs="Palatino Linotype"/>
          <w:i/>
          <w:sz w:val="22"/>
          <w:szCs w:val="22"/>
        </w:rPr>
      </w:pPr>
      <w:r w:rsidRPr="00DA0569">
        <w:rPr>
          <w:rFonts w:ascii="Palatino Linotype" w:eastAsia="Palatino Linotype" w:hAnsi="Palatino Linotype" w:cs="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7251F3C8" w14:textId="77777777" w:rsidR="00FE7584" w:rsidRPr="00DA0569" w:rsidRDefault="00FE7584">
      <w:pPr>
        <w:spacing w:line="276" w:lineRule="auto"/>
        <w:ind w:left="567" w:right="260"/>
        <w:jc w:val="both"/>
        <w:rPr>
          <w:rFonts w:ascii="Palatino Linotype" w:eastAsia="Palatino Linotype" w:hAnsi="Palatino Linotype" w:cs="Palatino Linotype"/>
          <w:sz w:val="22"/>
          <w:szCs w:val="22"/>
        </w:rPr>
      </w:pPr>
    </w:p>
    <w:p w14:paraId="4D024195" w14:textId="77777777" w:rsidR="00FE7584" w:rsidRPr="00DA0569" w:rsidRDefault="007C7DF7">
      <w:pPr>
        <w:spacing w:line="276" w:lineRule="auto"/>
        <w:ind w:left="567" w:right="260"/>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lastRenderedPageBreak/>
        <w:t>(Énfasis añadido)</w:t>
      </w:r>
    </w:p>
    <w:p w14:paraId="6A9AC9C4" w14:textId="77777777" w:rsidR="00FE7584" w:rsidRPr="00DA0569" w:rsidRDefault="00FE7584">
      <w:pPr>
        <w:spacing w:line="360" w:lineRule="auto"/>
        <w:ind w:left="567" w:right="567"/>
        <w:jc w:val="both"/>
        <w:rPr>
          <w:rFonts w:ascii="Palatino Linotype" w:eastAsia="Palatino Linotype" w:hAnsi="Palatino Linotype" w:cs="Palatino Linotype"/>
        </w:rPr>
      </w:pPr>
    </w:p>
    <w:p w14:paraId="4F3B5FD6"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3D86358"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F67EF34"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Por lo anterior, es de referir que,</w:t>
      </w:r>
      <w:r w:rsidRPr="00DA0569">
        <w:rPr>
          <w:rFonts w:ascii="Palatino Linotype" w:eastAsia="Palatino Linotype" w:hAnsi="Palatino Linotype" w:cs="Palatino Linotype"/>
          <w:b/>
          <w:color w:val="000000"/>
        </w:rPr>
        <w:t xml:space="preserve"> la Secretaría de Movilidad</w:t>
      </w:r>
      <w:r w:rsidRPr="00DA0569">
        <w:rPr>
          <w:rFonts w:ascii="Palatino Linotype" w:eastAsia="Palatino Linotype" w:hAnsi="Palatino Linotype" w:cs="Palatino Linotype"/>
          <w:color w:val="000000"/>
        </w:rPr>
        <w:t xml:space="preserve">, al ser un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 xml:space="preserve"> comprendido por la Legislación Local en materia de Transparencia, se encuentra obligado a hacer pública toda aquella información que genere, administre o posea.</w:t>
      </w:r>
    </w:p>
    <w:p w14:paraId="21505544" w14:textId="77777777" w:rsidR="00FE7584" w:rsidRPr="00DA0569" w:rsidRDefault="00FE758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E3CE19"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Ahora bien, si luego de la nueva búsqueda </w:t>
      </w:r>
      <w:r w:rsidRPr="00DA0569">
        <w:rPr>
          <w:rFonts w:ascii="Palatino Linotype" w:eastAsia="Palatino Linotype" w:hAnsi="Palatino Linotype" w:cs="Palatino Linotype"/>
        </w:rPr>
        <w:t>prevalece</w:t>
      </w:r>
      <w:r w:rsidRPr="00DA0569">
        <w:rPr>
          <w:rFonts w:ascii="Palatino Linotype" w:eastAsia="Palatino Linotype" w:hAnsi="Palatino Linotype" w:cs="Palatino Linotype"/>
          <w:color w:val="000000"/>
        </w:rPr>
        <w:t xml:space="preserve"> la no localización del soporte documental de referencia, el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 xml:space="preserve"> deberá hacer del conocimiento del particular, de las razones, por las cuales no la generó, posee o administra.  En ese sentido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3B6657FE" w14:textId="77777777" w:rsidR="00FE7584" w:rsidRPr="00DA0569" w:rsidRDefault="007C7DF7">
      <w:pPr>
        <w:pBdr>
          <w:top w:val="nil"/>
          <w:left w:val="nil"/>
          <w:bottom w:val="nil"/>
          <w:right w:val="nil"/>
          <w:between w:val="nil"/>
        </w:pBdr>
        <w:spacing w:line="276" w:lineRule="auto"/>
        <w:ind w:left="567" w:right="402"/>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b/>
          <w:i/>
          <w:color w:val="000000"/>
          <w:sz w:val="22"/>
          <w:szCs w:val="22"/>
        </w:rPr>
        <w:t>“Artículo 19.</w:t>
      </w:r>
      <w:r w:rsidRPr="00DA0569">
        <w:rPr>
          <w:rFonts w:ascii="Palatino Linotype" w:eastAsia="Palatino Linotype" w:hAnsi="Palatino Linotype" w:cs="Palatino Linotype"/>
          <w:i/>
          <w:color w:val="000000"/>
          <w:sz w:val="22"/>
          <w:szCs w:val="22"/>
        </w:rPr>
        <w:t xml:space="preserve"> Se presume que la información debe existir si se refiere a las facultades, competencias y funciones que los ordenamientos jurídicos aplicables otorgan a los sujetos obligados.</w:t>
      </w:r>
    </w:p>
    <w:p w14:paraId="604A8CFA" w14:textId="77777777" w:rsidR="00FE7584" w:rsidRPr="00DA0569" w:rsidRDefault="007C7DF7">
      <w:pPr>
        <w:pBdr>
          <w:top w:val="nil"/>
          <w:left w:val="nil"/>
          <w:bottom w:val="nil"/>
          <w:right w:val="nil"/>
          <w:between w:val="nil"/>
        </w:pBdr>
        <w:spacing w:line="276" w:lineRule="auto"/>
        <w:ind w:left="567" w:right="402"/>
        <w:jc w:val="both"/>
        <w:rPr>
          <w:rFonts w:ascii="Palatino Linotype" w:eastAsia="Palatino Linotype" w:hAnsi="Palatino Linotype" w:cs="Palatino Linotype"/>
          <w:b/>
          <w:i/>
          <w:color w:val="000000"/>
          <w:sz w:val="22"/>
          <w:szCs w:val="22"/>
        </w:rPr>
      </w:pPr>
      <w:r w:rsidRPr="00DA0569">
        <w:rPr>
          <w:rFonts w:ascii="Palatino Linotype" w:eastAsia="Palatino Linotype" w:hAnsi="Palatino Linotype" w:cs="Palatino Linotype"/>
          <w:b/>
          <w:i/>
          <w:color w:val="000000"/>
          <w:sz w:val="22"/>
          <w:szCs w:val="22"/>
        </w:rPr>
        <w:t>En los casos en que ciertas facultades, competencias o funciones no se hayan ejercido, se debe motivar la respuesta en función de las causas que motiven tal circunstancia.</w:t>
      </w:r>
    </w:p>
    <w:p w14:paraId="270F4DA1" w14:textId="77777777" w:rsidR="00FE7584" w:rsidRPr="00DA0569" w:rsidRDefault="007C7DF7">
      <w:pPr>
        <w:pBdr>
          <w:top w:val="nil"/>
          <w:left w:val="nil"/>
          <w:bottom w:val="nil"/>
          <w:right w:val="nil"/>
          <w:between w:val="nil"/>
        </w:pBdr>
        <w:spacing w:line="276" w:lineRule="auto"/>
        <w:ind w:left="567" w:right="402"/>
        <w:jc w:val="both"/>
        <w:rPr>
          <w:rFonts w:ascii="Palatino Linotype" w:eastAsia="Palatino Linotype" w:hAnsi="Palatino Linotype" w:cs="Palatino Linotype"/>
          <w:i/>
          <w:color w:val="000000"/>
          <w:sz w:val="22"/>
          <w:szCs w:val="22"/>
        </w:rPr>
      </w:pPr>
      <w:r w:rsidRPr="00DA0569">
        <w:rPr>
          <w:rFonts w:ascii="Palatino Linotype" w:eastAsia="Palatino Linotype" w:hAnsi="Palatino Linotype" w:cs="Palatino Linotype"/>
          <w:i/>
          <w:color w:val="000000"/>
          <w:sz w:val="22"/>
          <w:szCs w:val="22"/>
        </w:rPr>
        <w:t xml:space="preserve">Si el sujeto obligado, en el ejercicio de sus atribuciones, </w:t>
      </w:r>
      <w:r w:rsidRPr="00DA0569">
        <w:rPr>
          <w:rFonts w:ascii="Palatino Linotype" w:eastAsia="Palatino Linotype" w:hAnsi="Palatino Linotype" w:cs="Palatino Linotype"/>
          <w:b/>
          <w:i/>
          <w:color w:val="000000"/>
          <w:sz w:val="22"/>
          <w:szCs w:val="22"/>
        </w:rPr>
        <w:t>debía generar, poseer o administrar la información, pero ésta no se encuentra</w:t>
      </w:r>
      <w:r w:rsidRPr="00DA0569">
        <w:rPr>
          <w:rFonts w:ascii="Palatino Linotype" w:eastAsia="Palatino Linotype" w:hAnsi="Palatino Linotype" w:cs="Palatino Linotype"/>
          <w:i/>
          <w:color w:val="000000"/>
          <w:sz w:val="22"/>
          <w:szCs w:val="22"/>
        </w:rPr>
        <w:t xml:space="preserve">, el Comité de transparencia deberá emitir un acuerdo de </w:t>
      </w:r>
      <w:r w:rsidRPr="00DA0569">
        <w:rPr>
          <w:rFonts w:ascii="Palatino Linotype" w:eastAsia="Palatino Linotype" w:hAnsi="Palatino Linotype" w:cs="Palatino Linotype"/>
          <w:i/>
          <w:color w:val="000000"/>
          <w:sz w:val="22"/>
          <w:szCs w:val="22"/>
        </w:rPr>
        <w:lastRenderedPageBreak/>
        <w:t xml:space="preserve">inexistencia, debidamente fundado y motivado, en el que detalle las razones del por qué no obra en sus archivos. </w:t>
      </w:r>
    </w:p>
    <w:p w14:paraId="1121E82B" w14:textId="77777777" w:rsidR="00FE7584" w:rsidRPr="00DA0569" w:rsidRDefault="007C7DF7">
      <w:pPr>
        <w:pBdr>
          <w:top w:val="nil"/>
          <w:left w:val="nil"/>
          <w:bottom w:val="nil"/>
          <w:right w:val="nil"/>
          <w:between w:val="nil"/>
        </w:pBdr>
        <w:spacing w:line="276" w:lineRule="auto"/>
        <w:ind w:left="567" w:right="402"/>
        <w:jc w:val="both"/>
        <w:rPr>
          <w:rFonts w:ascii="Palatino Linotype" w:eastAsia="Palatino Linotype" w:hAnsi="Palatino Linotype" w:cs="Palatino Linotype"/>
          <w:color w:val="000000"/>
          <w:sz w:val="22"/>
          <w:szCs w:val="22"/>
        </w:rPr>
      </w:pPr>
      <w:r w:rsidRPr="00DA0569">
        <w:rPr>
          <w:rFonts w:ascii="Palatino Linotype" w:eastAsia="Palatino Linotype" w:hAnsi="Palatino Linotype" w:cs="Palatino Linotype"/>
          <w:color w:val="000000"/>
          <w:sz w:val="22"/>
          <w:szCs w:val="22"/>
        </w:rPr>
        <w:t>(Énfasis añadido)</w:t>
      </w:r>
    </w:p>
    <w:p w14:paraId="5CD46275"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5AD1FC1E" w14:textId="77777777" w:rsidR="00FE7584" w:rsidRPr="00DA0569" w:rsidRDefault="007C7DF7">
      <w:pPr>
        <w:numPr>
          <w:ilvl w:val="0"/>
          <w:numId w:val="5"/>
        </w:numPr>
        <w:pBdr>
          <w:top w:val="nil"/>
          <w:left w:val="nil"/>
          <w:bottom w:val="nil"/>
          <w:right w:val="nil"/>
          <w:between w:val="nil"/>
        </w:pBdr>
        <w:tabs>
          <w:tab w:val="left" w:pos="0"/>
          <w:tab w:val="left" w:pos="142"/>
        </w:tabs>
        <w:spacing w:line="360" w:lineRule="auto"/>
        <w:ind w:left="0" w:firstLine="0"/>
        <w:jc w:val="both"/>
        <w:rPr>
          <w:color w:val="000000"/>
        </w:rPr>
      </w:pPr>
      <w:r w:rsidRPr="00DA0569">
        <w:rPr>
          <w:rFonts w:ascii="Palatino Linotype" w:eastAsia="Palatino Linotype" w:hAnsi="Palatino Linotype" w:cs="Palatino Linotype"/>
          <w:color w:val="000000"/>
        </w:rPr>
        <w:t xml:space="preserve"> Por lo que de ser el caso que dicha información no haya sido generada, el </w:t>
      </w:r>
      <w:r w:rsidRPr="00DA0569">
        <w:rPr>
          <w:rFonts w:ascii="Palatino Linotype" w:eastAsia="Palatino Linotype" w:hAnsi="Palatino Linotype" w:cs="Palatino Linotype"/>
          <w:b/>
          <w:color w:val="000000"/>
        </w:rPr>
        <w:t xml:space="preserve">SUJETO OBLIGADO </w:t>
      </w:r>
      <w:r w:rsidRPr="00DA0569">
        <w:rPr>
          <w:rFonts w:ascii="Palatino Linotype" w:eastAsia="Palatino Linotype" w:hAnsi="Palatino Linotype" w:cs="Palatino Linotype"/>
          <w:color w:val="000000"/>
        </w:rPr>
        <w:t>deberá de manifestar, de manera precisa y clara</w:t>
      </w:r>
      <w:r w:rsidRPr="00DA0569">
        <w:rPr>
          <w:rFonts w:ascii="Palatino Linotype" w:eastAsia="Palatino Linotype" w:hAnsi="Palatino Linotype" w:cs="Palatino Linotype"/>
          <w:b/>
          <w:color w:val="000000"/>
        </w:rPr>
        <w:t>, las razones que expliquen las causas por las que no se haya generado</w:t>
      </w:r>
      <w:r w:rsidRPr="00DA0569">
        <w:rPr>
          <w:rFonts w:ascii="Palatino Linotype" w:eastAsia="Palatino Linotype" w:hAnsi="Palatino Linotype" w:cs="Palatino Linotype"/>
          <w:color w:val="000000"/>
        </w:rPr>
        <w:t xml:space="preserve"> la información requerida, en observancia a la salvedad contenida en el </w:t>
      </w:r>
      <w:r w:rsidRPr="00DA0569">
        <w:rPr>
          <w:rFonts w:ascii="Palatino Linotype" w:eastAsia="Palatino Linotype" w:hAnsi="Palatino Linotype" w:cs="Palatino Linotype"/>
          <w:b/>
          <w:color w:val="000000"/>
        </w:rPr>
        <w:t>segundo párrafo</w:t>
      </w:r>
      <w:r w:rsidRPr="00DA0569">
        <w:rPr>
          <w:rFonts w:ascii="Palatino Linotype" w:eastAsia="Palatino Linotype" w:hAnsi="Palatino Linotype" w:cs="Palatino Linotype"/>
          <w:color w:val="000000"/>
        </w:rPr>
        <w:t xml:space="preserve"> del artículo 19 antes transcrito</w:t>
      </w:r>
      <w:r w:rsidRPr="00DA0569">
        <w:rPr>
          <w:rFonts w:ascii="Palatino Linotype" w:eastAsia="Palatino Linotype" w:hAnsi="Palatino Linotype" w:cs="Palatino Linotype"/>
          <w:b/>
          <w:color w:val="000000"/>
        </w:rPr>
        <w:t>.</w:t>
      </w:r>
    </w:p>
    <w:p w14:paraId="44C1EE07" w14:textId="77777777" w:rsidR="00FE7584" w:rsidRPr="00DA0569" w:rsidRDefault="00FE7584">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p>
    <w:p w14:paraId="5ED5684B" w14:textId="77777777" w:rsidR="00FE7584" w:rsidRPr="00DA0569" w:rsidRDefault="007C7DF7">
      <w:pPr>
        <w:numPr>
          <w:ilvl w:val="0"/>
          <w:numId w:val="5"/>
        </w:numPr>
        <w:pBdr>
          <w:top w:val="nil"/>
          <w:left w:val="nil"/>
          <w:bottom w:val="nil"/>
          <w:right w:val="nil"/>
          <w:between w:val="nil"/>
        </w:pBdr>
        <w:spacing w:line="360" w:lineRule="auto"/>
        <w:ind w:left="0" w:firstLine="0"/>
        <w:jc w:val="both"/>
        <w:rPr>
          <w:color w:val="000000"/>
        </w:rPr>
      </w:pPr>
      <w:r w:rsidRPr="00DA0569">
        <w:rPr>
          <w:rFonts w:ascii="Palatino Linotype" w:eastAsia="Palatino Linotype" w:hAnsi="Palatino Linotype" w:cs="Palatino Linotype"/>
          <w:color w:val="000000"/>
        </w:rPr>
        <w:t xml:space="preserve">En ese sentido, se establece que para el periodo de búsqueda del punto relativo a la participación de los servidores públicos adscritos a la Secretaría de Movilidad, así como lo relativo a la invitación, nombre de quién asistió, las ponencias o temas presentados, relatoría y logros obtenidos con evidencia fotográfica, referidos en la solicitud de información es del </w:t>
      </w:r>
      <w:r w:rsidRPr="00DA0569">
        <w:rPr>
          <w:rFonts w:ascii="Arial" w:eastAsia="Arial" w:hAnsi="Arial" w:cs="Arial"/>
          <w:color w:val="202122"/>
        </w:rPr>
        <w:t>16 de septiembre de 2023</w:t>
      </w:r>
      <w:r w:rsidRPr="00DA0569">
        <w:rPr>
          <w:rFonts w:ascii="Palatino Linotype" w:eastAsia="Palatino Linotype" w:hAnsi="Palatino Linotype" w:cs="Palatino Linotype"/>
          <w:color w:val="000000"/>
        </w:rPr>
        <w:t xml:space="preserve"> al uno de abril del año dos mil veinticuatro.</w:t>
      </w:r>
    </w:p>
    <w:p w14:paraId="3C0EF8B6" w14:textId="77777777" w:rsidR="00FE7584" w:rsidRPr="00DA0569" w:rsidRDefault="00FE7584">
      <w:pPr>
        <w:pBdr>
          <w:top w:val="nil"/>
          <w:left w:val="nil"/>
          <w:bottom w:val="nil"/>
          <w:right w:val="nil"/>
          <w:between w:val="nil"/>
        </w:pBdr>
        <w:spacing w:line="360" w:lineRule="auto"/>
        <w:ind w:left="4754"/>
        <w:jc w:val="both"/>
        <w:rPr>
          <w:rFonts w:ascii="Palatino Linotype" w:eastAsia="Palatino Linotype" w:hAnsi="Palatino Linotype" w:cs="Palatino Linotype"/>
        </w:rPr>
      </w:pPr>
    </w:p>
    <w:p w14:paraId="25683470" w14:textId="77777777" w:rsidR="00FE7584" w:rsidRPr="00DA0569" w:rsidRDefault="007C7DF7">
      <w:pPr>
        <w:pBdr>
          <w:top w:val="nil"/>
          <w:left w:val="nil"/>
          <w:bottom w:val="nil"/>
          <w:right w:val="nil"/>
          <w:between w:val="nil"/>
        </w:pBdr>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color w:val="000000"/>
        </w:rPr>
        <w:t xml:space="preserve"> </w:t>
      </w:r>
    </w:p>
    <w:p w14:paraId="29B069C1" w14:textId="77777777" w:rsidR="00FE7584" w:rsidRPr="00DA0569" w:rsidRDefault="007C7DF7">
      <w:pPr>
        <w:keepNext/>
        <w:keepLines/>
        <w:spacing w:line="360" w:lineRule="auto"/>
        <w:ind w:right="-592"/>
        <w:rPr>
          <w:rFonts w:ascii="Palatino Linotype" w:eastAsia="Palatino Linotype" w:hAnsi="Palatino Linotype" w:cs="Palatino Linotype"/>
          <w:b/>
        </w:rPr>
      </w:pPr>
      <w:r w:rsidRPr="00DA0569">
        <w:rPr>
          <w:rFonts w:ascii="Palatino Linotype" w:eastAsia="Palatino Linotype" w:hAnsi="Palatino Linotype" w:cs="Palatino Linotype"/>
          <w:b/>
        </w:rPr>
        <w:t>QUINTO. De la versión pública.</w:t>
      </w:r>
    </w:p>
    <w:p w14:paraId="6FD5EC60" w14:textId="77777777" w:rsidR="00FE7584" w:rsidRPr="00DA0569" w:rsidRDefault="007C7DF7">
      <w:pPr>
        <w:keepNext/>
        <w:keepLines/>
        <w:tabs>
          <w:tab w:val="left" w:pos="284"/>
        </w:tabs>
        <w:spacing w:line="360" w:lineRule="auto"/>
        <w:ind w:right="-592"/>
        <w:rPr>
          <w:rFonts w:ascii="Palatino Linotype" w:eastAsia="Palatino Linotype" w:hAnsi="Palatino Linotype" w:cs="Palatino Linotype"/>
          <w:b/>
        </w:rPr>
      </w:pPr>
      <w:r w:rsidRPr="00DA0569">
        <w:rPr>
          <w:rFonts w:ascii="Palatino Linotype" w:eastAsia="Palatino Linotype" w:hAnsi="Palatino Linotype" w:cs="Palatino Linotype"/>
          <w:b/>
        </w:rPr>
        <w:t xml:space="preserve">Nociones generales. </w:t>
      </w:r>
    </w:p>
    <w:p w14:paraId="7CDA01DA" w14:textId="77777777" w:rsidR="00FE7584" w:rsidRPr="00DA0569" w:rsidRDefault="00FE7584">
      <w:pPr>
        <w:spacing w:line="360" w:lineRule="auto"/>
        <w:ind w:left="644"/>
        <w:jc w:val="both"/>
        <w:rPr>
          <w:rFonts w:ascii="Palatino Linotype" w:eastAsia="Palatino Linotype" w:hAnsi="Palatino Linotype" w:cs="Palatino Linotype"/>
        </w:rPr>
      </w:pPr>
      <w:bookmarkStart w:id="4" w:name="_heading=h.rgd0xdk7vhcj" w:colFirst="0" w:colLast="0"/>
      <w:bookmarkEnd w:id="4"/>
    </w:p>
    <w:p w14:paraId="52860673" w14:textId="77777777" w:rsidR="00FE7584" w:rsidRPr="00DA0569" w:rsidRDefault="007C7DF7">
      <w:pPr>
        <w:spacing w:line="360" w:lineRule="auto"/>
        <w:jc w:val="both"/>
        <w:rPr>
          <w:rFonts w:ascii="Palatino Linotype" w:eastAsia="Palatino Linotype" w:hAnsi="Palatino Linotype" w:cs="Palatino Linotype"/>
        </w:rPr>
      </w:pPr>
      <w:bookmarkStart w:id="5" w:name="_heading=h.keb4twjq3h1z" w:colFirst="0" w:colLast="0"/>
      <w:bookmarkEnd w:id="5"/>
      <w:r w:rsidRPr="00DA0569">
        <w:rPr>
          <w:rFonts w:ascii="Palatino Linotype" w:eastAsia="Palatino Linotype" w:hAnsi="Palatino Linotype" w:cs="Palatino Linotype"/>
        </w:rPr>
        <w:t>63. Debe destacarse que, debido a la naturaleza de la información solicitada</w:t>
      </w:r>
      <w:r w:rsidRPr="00DA0569">
        <w:rPr>
          <w:rFonts w:ascii="Palatino Linotype" w:eastAsia="Palatino Linotype" w:hAnsi="Palatino Linotype" w:cs="Palatino Linotype"/>
          <w:b/>
        </w:rPr>
        <w:t xml:space="preserve">, </w:t>
      </w:r>
      <w:r w:rsidRPr="00DA0569">
        <w:rPr>
          <w:rFonts w:ascii="Palatino Linotype" w:eastAsia="Palatino Linotype" w:hAnsi="Palatino Linotype" w:cs="Palatino Linotype"/>
        </w:rPr>
        <w:t xml:space="preserve">eventualmente pudiera obrar datos personales susceptibles de protegerse, así como información susceptible de clasificarse como reservada, el </w:t>
      </w:r>
      <w:r w:rsidRPr="00DA0569">
        <w:rPr>
          <w:rFonts w:ascii="Palatino Linotype" w:eastAsia="Palatino Linotype" w:hAnsi="Palatino Linotype" w:cs="Palatino Linotype"/>
          <w:b/>
        </w:rPr>
        <w:t xml:space="preserve">Sujeto Obligado </w:t>
      </w:r>
      <w:r w:rsidRPr="00DA0569">
        <w:rPr>
          <w:rFonts w:ascii="Palatino Linotype" w:eastAsia="Palatino Linotype" w:hAnsi="Palatino Linotype" w:cs="Palatino Linotype"/>
        </w:rPr>
        <w:t xml:space="preserve">deberá de hacer la adecuada versión pública, protegiendo los datos que no son susceptibles de ser proporcionados. </w:t>
      </w:r>
    </w:p>
    <w:p w14:paraId="7AB24629" w14:textId="77777777" w:rsidR="00FE7584" w:rsidRPr="00DA0569" w:rsidRDefault="00FE7584">
      <w:pPr>
        <w:spacing w:line="360" w:lineRule="auto"/>
        <w:ind w:left="720" w:right="-592"/>
        <w:jc w:val="both"/>
        <w:rPr>
          <w:rFonts w:ascii="Palatino Linotype" w:eastAsia="Palatino Linotype" w:hAnsi="Palatino Linotype" w:cs="Palatino Linotype"/>
        </w:rPr>
      </w:pPr>
    </w:p>
    <w:p w14:paraId="243A91AD" w14:textId="77777777" w:rsidR="00FE7584" w:rsidRPr="00DA0569" w:rsidRDefault="007C7DF7">
      <w:pPr>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rPr>
        <w:lastRenderedPageBreak/>
        <w:t xml:space="preserve">64. Resultando dable primeramente señalar que por lo que hace a nombre de personas o </w:t>
      </w:r>
      <w:r w:rsidRPr="00DA0569">
        <w:rPr>
          <w:rFonts w:ascii="Palatino Linotype" w:eastAsia="Palatino Linotype" w:hAnsi="Palatino Linotype" w:cs="Palatino Linotype"/>
          <w:i/>
        </w:rPr>
        <w:t>personalidades</w:t>
      </w:r>
      <w:r w:rsidRPr="00DA0569">
        <w:rPr>
          <w:rFonts w:ascii="Palatino Linotype" w:eastAsia="Palatino Linotype" w:hAnsi="Palatino Linotype" w:cs="Palatino Linotype"/>
        </w:rPr>
        <w:t>, sólo es dable dar a conocer aquellas que al momento de que eventualmente haya entregado su aportación tuvieran el carácter de servidor público, caso contrario,</w:t>
      </w:r>
      <w:r w:rsidRPr="00DA0569">
        <w:rPr>
          <w:rFonts w:ascii="Palatino Linotype" w:eastAsia="Palatino Linotype" w:hAnsi="Palatino Linotype" w:cs="Palatino Linotype"/>
          <w:b/>
        </w:rPr>
        <w:t xml:space="preserve"> los nombres de los particulares</w:t>
      </w:r>
      <w:r w:rsidRPr="00DA0569">
        <w:rPr>
          <w:rFonts w:ascii="Palatino Linotype" w:eastAsia="Palatino Linotype" w:hAnsi="Palatino Linotype" w:cs="Palatino Linotype"/>
        </w:rPr>
        <w:t>, son datos personales que no pueden ser remitidos en respuesta, de ser el caso en el soporte documental donde consten u obren deberán ser clasificados como confidenciales.</w:t>
      </w:r>
    </w:p>
    <w:p w14:paraId="75F35A35" w14:textId="77777777" w:rsidR="00FE7584" w:rsidRPr="00DA0569" w:rsidRDefault="00FE7584">
      <w:pPr>
        <w:spacing w:line="360" w:lineRule="auto"/>
        <w:jc w:val="both"/>
        <w:rPr>
          <w:rFonts w:ascii="Palatino Linotype" w:eastAsia="Palatino Linotype" w:hAnsi="Palatino Linotype" w:cs="Palatino Linotype"/>
        </w:rPr>
      </w:pPr>
    </w:p>
    <w:p w14:paraId="13D8A495" w14:textId="77777777" w:rsidR="00FE7584" w:rsidRPr="00DA0569" w:rsidRDefault="007C7DF7">
      <w:pPr>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rPr>
        <w:t xml:space="preserve">65. No pasa desapercibido para este Órgano Garante que los </w:t>
      </w:r>
      <w:r w:rsidRPr="00DA0569">
        <w:rPr>
          <w:rFonts w:ascii="Palatino Linotype" w:eastAsia="Palatino Linotype" w:hAnsi="Palatino Linotype" w:cs="Palatino Linotype"/>
          <w:b/>
        </w:rPr>
        <w:t xml:space="preserve">Sujetos Obligados </w:t>
      </w:r>
      <w:r w:rsidRPr="00DA0569">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92EAF62" w14:textId="77777777" w:rsidR="00FE7584" w:rsidRPr="00DA0569" w:rsidRDefault="00FE7584">
      <w:pPr>
        <w:tabs>
          <w:tab w:val="left" w:pos="284"/>
        </w:tabs>
        <w:spacing w:line="360" w:lineRule="auto"/>
        <w:ind w:right="-592"/>
        <w:jc w:val="both"/>
        <w:rPr>
          <w:rFonts w:ascii="Palatino Linotype" w:eastAsia="Palatino Linotype" w:hAnsi="Palatino Linotype" w:cs="Palatino Linotype"/>
        </w:rPr>
      </w:pPr>
    </w:p>
    <w:tbl>
      <w:tblPr>
        <w:tblStyle w:val="a"/>
        <w:tblW w:w="9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7935"/>
      </w:tblGrid>
      <w:tr w:rsidR="00FE7584" w:rsidRPr="00DA0569" w14:paraId="35FD01E6" w14:textId="77777777">
        <w:tc>
          <w:tcPr>
            <w:tcW w:w="1725" w:type="dxa"/>
          </w:tcPr>
          <w:p w14:paraId="0F0B38D7" w14:textId="77777777" w:rsidR="00FE7584" w:rsidRPr="00DA0569" w:rsidRDefault="007C7DF7">
            <w:pPr>
              <w:tabs>
                <w:tab w:val="left" w:pos="284"/>
              </w:tabs>
              <w:spacing w:line="360" w:lineRule="auto"/>
              <w:ind w:right="-592"/>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a) Requisitos previos.</w:t>
            </w:r>
          </w:p>
        </w:tc>
        <w:tc>
          <w:tcPr>
            <w:tcW w:w="7935" w:type="dxa"/>
          </w:tcPr>
          <w:p w14:paraId="3C905BDC"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920D2E7"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4B47A270"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14:paraId="162F7736"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sidRPr="00DA0569">
              <w:rPr>
                <w:rFonts w:ascii="Palatino Linotype" w:eastAsia="Palatino Linotype" w:hAnsi="Palatino Linotype" w:cs="Palatino Linotype"/>
                <w:sz w:val="22"/>
                <w:szCs w:val="22"/>
                <w:u w:val="single"/>
              </w:rPr>
              <w:t xml:space="preserve">no se puede hacer un acuerdo para clasificar de manera general todos los documentos de un expediente o área, </w:t>
            </w:r>
            <w:r w:rsidRPr="00DA0569">
              <w:rPr>
                <w:rFonts w:ascii="Palatino Linotype" w:eastAsia="Palatino Linotype" w:hAnsi="Palatino Linotype" w:cs="Palatino Linotype"/>
                <w:sz w:val="22"/>
                <w:szCs w:val="22"/>
                <w:u w:val="single"/>
              </w:rPr>
              <w:lastRenderedPageBreak/>
              <w:t>sin</w:t>
            </w:r>
            <w:r w:rsidRPr="00DA0569">
              <w:rPr>
                <w:rFonts w:ascii="Palatino Linotype" w:eastAsia="Palatino Linotype" w:hAnsi="Palatino Linotype" w:cs="Palatino Linotype"/>
                <w:sz w:val="22"/>
                <w:szCs w:val="22"/>
              </w:rPr>
              <w:t xml:space="preserve"> individualizar su análisis y tampoco se puede hacer un acuerdo por cada dato que se vaya a clasificar dentro de un documento con diez datos, por ejemplo, susceptibles de ser clasificados.</w:t>
            </w:r>
          </w:p>
        </w:tc>
      </w:tr>
      <w:tr w:rsidR="00FE7584" w:rsidRPr="00DA0569" w14:paraId="0F05968A" w14:textId="77777777">
        <w:tc>
          <w:tcPr>
            <w:tcW w:w="1725" w:type="dxa"/>
          </w:tcPr>
          <w:p w14:paraId="463E9FA2" w14:textId="77777777" w:rsidR="00FE7584" w:rsidRPr="00DA0569" w:rsidRDefault="007C7DF7">
            <w:pPr>
              <w:tabs>
                <w:tab w:val="left" w:pos="284"/>
              </w:tabs>
              <w:spacing w:line="360" w:lineRule="auto"/>
              <w:ind w:right="-108"/>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lastRenderedPageBreak/>
              <w:t>b) Supuestos de clasificación.</w:t>
            </w:r>
          </w:p>
        </w:tc>
        <w:tc>
          <w:tcPr>
            <w:tcW w:w="7935" w:type="dxa"/>
          </w:tcPr>
          <w:p w14:paraId="6B7EE3D7"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7DF78EB6"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D2AD3A1"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E7584" w:rsidRPr="00DA0569" w14:paraId="299E5D3F" w14:textId="77777777">
        <w:tc>
          <w:tcPr>
            <w:tcW w:w="1725" w:type="dxa"/>
          </w:tcPr>
          <w:p w14:paraId="646CF7CF" w14:textId="77777777" w:rsidR="00FE7584" w:rsidRPr="00DA0569" w:rsidRDefault="007C7DF7">
            <w:pPr>
              <w:tabs>
                <w:tab w:val="left" w:pos="284"/>
              </w:tabs>
              <w:spacing w:line="360" w:lineRule="auto"/>
              <w:ind w:left="-113" w:right="-250"/>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c) Formalidades para emitir el acuerdo de clasificación.</w:t>
            </w:r>
          </w:p>
        </w:tc>
        <w:tc>
          <w:tcPr>
            <w:tcW w:w="7935" w:type="dxa"/>
          </w:tcPr>
          <w:p w14:paraId="436BAB92"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14A1E50C"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Es necesario que </w:t>
            </w:r>
            <w:r w:rsidRPr="00DA0569">
              <w:rPr>
                <w:rFonts w:ascii="Palatino Linotype" w:eastAsia="Palatino Linotype" w:hAnsi="Palatino Linotype" w:cs="Palatino Linotype"/>
                <w:sz w:val="22"/>
                <w:szCs w:val="22"/>
                <w:u w:val="single"/>
              </w:rPr>
              <w:t>el acto reúna con los requisitos elementales</w:t>
            </w:r>
            <w:r w:rsidRPr="00DA0569">
              <w:rPr>
                <w:rFonts w:ascii="Palatino Linotype" w:eastAsia="Palatino Linotype" w:hAnsi="Palatino Linotype" w:cs="Palatino Linotype"/>
                <w:sz w:val="22"/>
                <w:szCs w:val="22"/>
              </w:rPr>
              <w:t>, entre ellos, que la autoridad que va a emitir el acto de autoridad sea la legalmente facultada para ello.</w:t>
            </w:r>
          </w:p>
          <w:p w14:paraId="21DCAB25"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La decisión de aprobar, modificar o revocar la clasificación deberá de asentarse en un documento que registre la determinación a la que se llegue después de un </w:t>
            </w:r>
            <w:r w:rsidRPr="00DA0569">
              <w:rPr>
                <w:rFonts w:ascii="Palatino Linotype" w:eastAsia="Palatino Linotype" w:hAnsi="Palatino Linotype" w:cs="Palatino Linotype"/>
                <w:sz w:val="22"/>
                <w:szCs w:val="22"/>
              </w:rPr>
              <w:lastRenderedPageBreak/>
              <w:t>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E7584" w:rsidRPr="00DA0569" w14:paraId="17DC5261" w14:textId="77777777">
        <w:tc>
          <w:tcPr>
            <w:tcW w:w="1725" w:type="dxa"/>
          </w:tcPr>
          <w:p w14:paraId="3B6BF335" w14:textId="77777777" w:rsidR="00FE7584" w:rsidRPr="00DA0569" w:rsidRDefault="007C7DF7">
            <w:pPr>
              <w:tabs>
                <w:tab w:val="left" w:pos="284"/>
              </w:tabs>
              <w:spacing w:line="360" w:lineRule="auto"/>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lastRenderedPageBreak/>
              <w:t xml:space="preserve">d) Requisitos de fondo del acuerdo de clasificación. </w:t>
            </w:r>
          </w:p>
        </w:tc>
        <w:tc>
          <w:tcPr>
            <w:tcW w:w="7935" w:type="dxa"/>
          </w:tcPr>
          <w:p w14:paraId="375E105F"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Sujetos Obligados, por lo que deberán fundar y motivar debidamente la clasificación. </w:t>
            </w:r>
          </w:p>
          <w:p w14:paraId="2EA6D75E"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A0F63B"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7132168"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lastRenderedPageBreak/>
              <w:t>En ese mismo sentido, el numeral trigésimo tercero fracción V de los Lineamientos Generales, precisa que para motivar la clasificación se deben acreditar las circunstancias de tiempo, modo y lugar.</w:t>
            </w:r>
          </w:p>
          <w:p w14:paraId="23F562CF"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Ahora bien, </w:t>
            </w:r>
            <w:r w:rsidRPr="00DA0569">
              <w:rPr>
                <w:rFonts w:ascii="Palatino Linotype" w:eastAsia="Palatino Linotype" w:hAnsi="Palatino Linotype" w:cs="Palatino Linotype"/>
                <w:sz w:val="22"/>
                <w:szCs w:val="22"/>
                <w:u w:val="single"/>
              </w:rPr>
              <w:t>para cada caso además de fundar y motivar</w:t>
            </w:r>
            <w:r w:rsidRPr="00DA0569">
              <w:rPr>
                <w:rFonts w:ascii="Palatino Linotype" w:eastAsia="Palatino Linotype" w:hAnsi="Palatino Linotype" w:cs="Palatino Linotype"/>
                <w:sz w:val="22"/>
                <w:szCs w:val="22"/>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E7584" w:rsidRPr="00DA0569" w14:paraId="2C4EE96E" w14:textId="77777777">
        <w:tc>
          <w:tcPr>
            <w:tcW w:w="1725" w:type="dxa"/>
          </w:tcPr>
          <w:p w14:paraId="7A510909" w14:textId="77777777" w:rsidR="00FE7584" w:rsidRPr="00DA0569" w:rsidRDefault="007C7DF7">
            <w:pPr>
              <w:tabs>
                <w:tab w:val="left" w:pos="284"/>
              </w:tabs>
              <w:spacing w:line="360" w:lineRule="auto"/>
              <w:ind w:left="-113" w:right="-108"/>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7935" w:type="dxa"/>
          </w:tcPr>
          <w:p w14:paraId="11D48825"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14:paraId="2177C03F" w14:textId="77777777" w:rsidR="00FE7584" w:rsidRPr="00DA0569" w:rsidRDefault="007C7DF7">
            <w:pPr>
              <w:tabs>
                <w:tab w:val="left" w:pos="284"/>
              </w:tabs>
              <w:spacing w:line="360" w:lineRule="auto"/>
              <w:ind w:right="-64"/>
              <w:jc w:val="both"/>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16EB56" w14:textId="77777777" w:rsidR="00FE7584" w:rsidRPr="00DA0569" w:rsidRDefault="007C7DF7">
            <w:pPr>
              <w:tabs>
                <w:tab w:val="left" w:pos="284"/>
              </w:tabs>
              <w:spacing w:line="360" w:lineRule="auto"/>
              <w:ind w:right="-64"/>
              <w:rPr>
                <w:rFonts w:ascii="Palatino Linotype" w:eastAsia="Palatino Linotype" w:hAnsi="Palatino Linotype" w:cs="Palatino Linotype"/>
                <w:sz w:val="22"/>
                <w:szCs w:val="22"/>
              </w:rPr>
            </w:pPr>
            <w:r w:rsidRPr="00DA0569">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A5DFAB9" w14:textId="77777777" w:rsidR="00FE7584" w:rsidRPr="00DA0569" w:rsidRDefault="00FE7584">
      <w:pPr>
        <w:spacing w:line="360" w:lineRule="auto"/>
        <w:ind w:right="-141"/>
        <w:jc w:val="both"/>
        <w:rPr>
          <w:rFonts w:ascii="Palatino Linotype" w:eastAsia="Palatino Linotype" w:hAnsi="Palatino Linotype" w:cs="Palatino Linotype"/>
        </w:rPr>
      </w:pPr>
    </w:p>
    <w:p w14:paraId="32687C46" w14:textId="77777777" w:rsidR="00FE7584" w:rsidRPr="00DA0569" w:rsidRDefault="007C7DF7">
      <w:pPr>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rPr>
        <w:t xml:space="preserve">66. Derivado de lo establecido en párrafos anteriores, si el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6D7466F0" w14:textId="77777777" w:rsidR="00FE7584" w:rsidRPr="00DA0569" w:rsidRDefault="00FE7584">
      <w:pPr>
        <w:spacing w:line="360" w:lineRule="auto"/>
        <w:ind w:right="49"/>
        <w:jc w:val="both"/>
        <w:rPr>
          <w:rFonts w:ascii="Palatino Linotype" w:eastAsia="Palatino Linotype" w:hAnsi="Palatino Linotype" w:cs="Palatino Linotype"/>
          <w:color w:val="000000"/>
        </w:rPr>
      </w:pPr>
    </w:p>
    <w:p w14:paraId="259DF967" w14:textId="77777777" w:rsidR="00FE7584" w:rsidRPr="00DA0569" w:rsidRDefault="007C7DF7">
      <w:pPr>
        <w:pBdr>
          <w:top w:val="nil"/>
          <w:left w:val="nil"/>
          <w:bottom w:val="nil"/>
          <w:right w:val="nil"/>
          <w:between w:val="nil"/>
        </w:pBdr>
        <w:tabs>
          <w:tab w:val="left" w:pos="0"/>
          <w:tab w:val="left" w:pos="142"/>
        </w:tabs>
        <w:spacing w:line="360" w:lineRule="auto"/>
        <w:jc w:val="both"/>
        <w:rPr>
          <w:rFonts w:ascii="Palatino Linotype" w:eastAsia="Palatino Linotype" w:hAnsi="Palatino Linotype" w:cs="Palatino Linotype"/>
          <w:color w:val="000000"/>
        </w:rPr>
      </w:pPr>
      <w:r w:rsidRPr="00DA0569">
        <w:rPr>
          <w:rFonts w:ascii="Palatino Linotype" w:eastAsia="Palatino Linotype" w:hAnsi="Palatino Linotype" w:cs="Palatino Linotype"/>
        </w:rPr>
        <w:t xml:space="preserve">67. </w:t>
      </w:r>
      <w:r w:rsidRPr="00DA0569">
        <w:rPr>
          <w:rFonts w:ascii="Palatino Linotype" w:eastAsia="Palatino Linotype" w:hAnsi="Palatino Linotype" w:cs="Palatino Linotype"/>
          <w:color w:val="000000"/>
        </w:rPr>
        <w:t>Por lo anteriormente expuesto y fundado, este ÓRGANO GARANTE emite los siguientes:</w:t>
      </w:r>
    </w:p>
    <w:p w14:paraId="3875B3C5" w14:textId="77777777" w:rsidR="00FE7584" w:rsidRPr="00DA0569" w:rsidRDefault="007C7DF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A0569">
        <w:rPr>
          <w:rFonts w:ascii="Palatino Linotype" w:eastAsia="Palatino Linotype" w:hAnsi="Palatino Linotype" w:cs="Palatino Linotype"/>
          <w:b/>
          <w:color w:val="000000"/>
        </w:rPr>
        <w:t>R E S O L U T I V O S</w:t>
      </w:r>
    </w:p>
    <w:p w14:paraId="167E4DC2" w14:textId="77777777" w:rsidR="00FE7584" w:rsidRPr="00DA0569" w:rsidRDefault="00FE7584">
      <w:pPr>
        <w:pBdr>
          <w:top w:val="nil"/>
          <w:left w:val="nil"/>
          <w:bottom w:val="nil"/>
          <w:right w:val="nil"/>
          <w:between w:val="nil"/>
        </w:pBdr>
        <w:spacing w:line="360" w:lineRule="auto"/>
        <w:rPr>
          <w:rFonts w:ascii="Palatino Linotype" w:eastAsia="Palatino Linotype" w:hAnsi="Palatino Linotype" w:cs="Palatino Linotype"/>
          <w:color w:val="000000"/>
        </w:rPr>
      </w:pPr>
    </w:p>
    <w:p w14:paraId="0679C001" w14:textId="77777777" w:rsidR="00FE7584" w:rsidRPr="00DA0569" w:rsidRDefault="007C7DF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0569">
        <w:rPr>
          <w:rFonts w:ascii="Palatino Linotype" w:eastAsia="Palatino Linotype" w:hAnsi="Palatino Linotype" w:cs="Palatino Linotype"/>
          <w:b/>
          <w:color w:val="000000"/>
        </w:rPr>
        <w:t>PRIMERO</w:t>
      </w:r>
      <w:r w:rsidRPr="00DA0569">
        <w:rPr>
          <w:rFonts w:ascii="Palatino Linotype" w:eastAsia="Palatino Linotype" w:hAnsi="Palatino Linotype" w:cs="Palatino Linotype"/>
          <w:color w:val="000000"/>
        </w:rPr>
        <w:t xml:space="preserve">. Resultan fundadas las razones o motivos de inconformidad hechos valer en el Recurso de Revisión </w:t>
      </w:r>
      <w:r w:rsidRPr="00DA0569">
        <w:rPr>
          <w:rFonts w:ascii="Palatino Linotype" w:eastAsia="Palatino Linotype" w:hAnsi="Palatino Linotype" w:cs="Palatino Linotype"/>
          <w:b/>
          <w:color w:val="000000"/>
        </w:rPr>
        <w:t>02658/INFOEM/IP/RR/2024</w:t>
      </w:r>
      <w:r w:rsidRPr="00DA0569">
        <w:rPr>
          <w:rFonts w:ascii="Palatino Linotype" w:eastAsia="Palatino Linotype" w:hAnsi="Palatino Linotype" w:cs="Palatino Linotype"/>
          <w:color w:val="000000"/>
        </w:rPr>
        <w:t xml:space="preserve">, por lo que en términos del Considerando CUARTO de la presente resolución se </w:t>
      </w:r>
      <w:r w:rsidRPr="00DA0569">
        <w:rPr>
          <w:rFonts w:ascii="Palatino Linotype" w:eastAsia="Palatino Linotype" w:hAnsi="Palatino Linotype" w:cs="Palatino Linotype"/>
          <w:b/>
          <w:color w:val="000000"/>
        </w:rPr>
        <w:t xml:space="preserve">REVOCA </w:t>
      </w:r>
      <w:r w:rsidRPr="00DA0569">
        <w:rPr>
          <w:rFonts w:ascii="Palatino Linotype" w:eastAsia="Palatino Linotype" w:hAnsi="Palatino Linotype" w:cs="Palatino Linotype"/>
          <w:color w:val="000000"/>
        </w:rPr>
        <w:t xml:space="preserve">la respuesta emitida por el </w:t>
      </w:r>
      <w:r w:rsidRPr="00DA0569">
        <w:rPr>
          <w:rFonts w:ascii="Palatino Linotype" w:eastAsia="Palatino Linotype" w:hAnsi="Palatino Linotype" w:cs="Palatino Linotype"/>
          <w:b/>
          <w:color w:val="000000"/>
        </w:rPr>
        <w:t>Sujeto Obligado</w:t>
      </w:r>
      <w:r w:rsidRPr="00DA0569">
        <w:rPr>
          <w:rFonts w:ascii="Palatino Linotype" w:eastAsia="Palatino Linotype" w:hAnsi="Palatino Linotype" w:cs="Palatino Linotype"/>
          <w:color w:val="000000"/>
        </w:rPr>
        <w:t>.</w:t>
      </w:r>
    </w:p>
    <w:p w14:paraId="07C7A681" w14:textId="77777777" w:rsidR="00FE7584" w:rsidRPr="00DA0569" w:rsidRDefault="00FE7584">
      <w:pPr>
        <w:pBdr>
          <w:top w:val="nil"/>
          <w:left w:val="nil"/>
          <w:bottom w:val="nil"/>
          <w:right w:val="nil"/>
          <w:between w:val="nil"/>
        </w:pBdr>
        <w:spacing w:line="360" w:lineRule="auto"/>
        <w:rPr>
          <w:rFonts w:ascii="Palatino Linotype" w:eastAsia="Palatino Linotype" w:hAnsi="Palatino Linotype" w:cs="Palatino Linotype"/>
          <w:color w:val="000000"/>
        </w:rPr>
      </w:pPr>
    </w:p>
    <w:p w14:paraId="114B68ED" w14:textId="426F745F" w:rsidR="00FE7584" w:rsidRPr="00DA0569" w:rsidRDefault="007C7DF7">
      <w:pPr>
        <w:spacing w:line="360" w:lineRule="auto"/>
        <w:ind w:right="49"/>
        <w:jc w:val="both"/>
        <w:rPr>
          <w:rFonts w:ascii="Palatino Linotype" w:eastAsia="Palatino Linotype" w:hAnsi="Palatino Linotype" w:cs="Palatino Linotype"/>
        </w:rPr>
      </w:pPr>
      <w:r w:rsidRPr="00DA0569">
        <w:rPr>
          <w:rFonts w:ascii="Palatino Linotype" w:eastAsia="Palatino Linotype" w:hAnsi="Palatino Linotype" w:cs="Palatino Linotype"/>
          <w:b/>
        </w:rPr>
        <w:t xml:space="preserve">SEGUNDO. </w:t>
      </w:r>
      <w:r w:rsidRPr="00DA0569">
        <w:rPr>
          <w:rFonts w:ascii="Palatino Linotype" w:eastAsia="Palatino Linotype" w:hAnsi="Palatino Linotype" w:cs="Palatino Linotype"/>
        </w:rPr>
        <w:t xml:space="preserve">Se </w:t>
      </w:r>
      <w:r w:rsidRPr="00DA0569">
        <w:rPr>
          <w:rFonts w:ascii="Palatino Linotype" w:eastAsia="Palatino Linotype" w:hAnsi="Palatino Linotype" w:cs="Palatino Linotype"/>
          <w:b/>
        </w:rPr>
        <w:t xml:space="preserve">ORDENA </w:t>
      </w:r>
      <w:r w:rsidRPr="00DA0569">
        <w:rPr>
          <w:rFonts w:ascii="Palatino Linotype" w:eastAsia="Palatino Linotype" w:hAnsi="Palatino Linotype" w:cs="Palatino Linotype"/>
        </w:rPr>
        <w:t xml:space="preserve">al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xml:space="preserve"> que, en términos del </w:t>
      </w:r>
      <w:r w:rsidRPr="00DA0569">
        <w:rPr>
          <w:rFonts w:ascii="Palatino Linotype" w:eastAsia="Palatino Linotype" w:hAnsi="Palatino Linotype" w:cs="Palatino Linotype"/>
          <w:b/>
        </w:rPr>
        <w:t>Considerando CUARTO</w:t>
      </w:r>
      <w:r w:rsidRPr="00DA0569">
        <w:rPr>
          <w:rFonts w:ascii="Palatino Linotype" w:eastAsia="Palatino Linotype" w:hAnsi="Palatino Linotype" w:cs="Palatino Linotype"/>
        </w:rPr>
        <w:t xml:space="preserve">, entregar vía Sistema de Acceso a la Información Mexiquense, de ser procedente en versión pública, previa búsqueda exhaustiva y razonable, del </w:t>
      </w:r>
      <w:r w:rsidRPr="00DA0569">
        <w:rPr>
          <w:rFonts w:ascii="Palatino Linotype" w:eastAsia="Palatino Linotype" w:hAnsi="Palatino Linotype" w:cs="Palatino Linotype"/>
          <w:b/>
        </w:rPr>
        <w:t xml:space="preserve">periodo comprendido del </w:t>
      </w:r>
      <w:r w:rsidRPr="00DA0569">
        <w:rPr>
          <w:rFonts w:ascii="Palatino Linotype" w:eastAsia="Arial" w:hAnsi="Palatino Linotype" w:cs="Arial"/>
          <w:b/>
          <w:color w:val="202122"/>
        </w:rPr>
        <w:t>16 de septiembre de 2023</w:t>
      </w:r>
      <w:r w:rsidRPr="00DA0569">
        <w:rPr>
          <w:rFonts w:ascii="Palatino Linotype" w:eastAsia="Palatino Linotype" w:hAnsi="Palatino Linotype" w:cs="Palatino Linotype"/>
          <w:b/>
        </w:rPr>
        <w:t xml:space="preserve"> al 01 de abril de 2024, los documentos en donde conste </w:t>
      </w:r>
      <w:r w:rsidRPr="00DA0569">
        <w:rPr>
          <w:rFonts w:ascii="Palatino Linotype" w:eastAsia="Palatino Linotype" w:hAnsi="Palatino Linotype" w:cs="Palatino Linotype"/>
        </w:rPr>
        <w:t xml:space="preserve">la siguiente información: </w:t>
      </w:r>
    </w:p>
    <w:p w14:paraId="1504F935" w14:textId="77777777" w:rsidR="00FE7584" w:rsidRPr="00DA0569" w:rsidRDefault="00FE7584">
      <w:pPr>
        <w:spacing w:line="360" w:lineRule="auto"/>
        <w:ind w:right="49"/>
        <w:jc w:val="both"/>
        <w:rPr>
          <w:rFonts w:ascii="Palatino Linotype" w:eastAsia="Palatino Linotype" w:hAnsi="Palatino Linotype" w:cs="Palatino Linotype"/>
        </w:rPr>
      </w:pPr>
    </w:p>
    <w:p w14:paraId="77BC9595" w14:textId="06EE2EE6" w:rsidR="00FE7584" w:rsidRPr="00DA0569" w:rsidRDefault="00F12E9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b/>
          <w:color w:val="000000"/>
        </w:rPr>
        <w:t>I</w:t>
      </w:r>
      <w:r w:rsidR="00E72B01" w:rsidRPr="00DA0569">
        <w:rPr>
          <w:rFonts w:ascii="Palatino Linotype" w:eastAsia="Palatino Linotype" w:hAnsi="Palatino Linotype" w:cs="Palatino Linotype"/>
          <w:b/>
          <w:color w:val="000000"/>
        </w:rPr>
        <w:t>nvitaciones</w:t>
      </w:r>
      <w:r w:rsidR="007C7DF7" w:rsidRPr="00DA0569">
        <w:rPr>
          <w:rFonts w:ascii="Palatino Linotype" w:eastAsia="Palatino Linotype" w:hAnsi="Palatino Linotype" w:cs="Palatino Linotype"/>
          <w:b/>
          <w:color w:val="000000"/>
        </w:rPr>
        <w:t xml:space="preserve"> a Foros;</w:t>
      </w:r>
    </w:p>
    <w:p w14:paraId="18C3703D" w14:textId="7A89ECCA" w:rsidR="007C7DF7" w:rsidRPr="00DA0569" w:rsidRDefault="007C7DF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b/>
          <w:color w:val="000000"/>
        </w:rPr>
        <w:t xml:space="preserve">Nombre (s) del o de los servidores públicos que asistieron a Foros; </w:t>
      </w:r>
    </w:p>
    <w:p w14:paraId="1CB5986C" w14:textId="6C0988E7" w:rsidR="007C7DF7" w:rsidRPr="00DA0569" w:rsidRDefault="00F12E97" w:rsidP="00F12E97">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DA0569">
        <w:rPr>
          <w:rFonts w:ascii="Palatino Linotype" w:eastAsia="Palatino Linotype" w:hAnsi="Palatino Linotype" w:cs="Palatino Linotype"/>
          <w:b/>
          <w:color w:val="000000"/>
        </w:rPr>
        <w:t>Ponencias, temas presentados, relatorías y logros obtenidos, así como evidencia fotográfica d</w:t>
      </w:r>
      <w:r w:rsidR="007C7DF7" w:rsidRPr="00DA0569">
        <w:rPr>
          <w:rFonts w:ascii="Palatino Linotype" w:eastAsia="Palatino Linotype" w:hAnsi="Palatino Linotype" w:cs="Palatino Linotype"/>
          <w:b/>
          <w:color w:val="000000"/>
        </w:rPr>
        <w:t>e dichos foros.</w:t>
      </w:r>
    </w:p>
    <w:p w14:paraId="44B90A5D" w14:textId="77777777" w:rsidR="00FE7584" w:rsidRPr="00DA0569" w:rsidRDefault="00FE7584">
      <w:pPr>
        <w:pBdr>
          <w:top w:val="nil"/>
          <w:left w:val="nil"/>
          <w:bottom w:val="nil"/>
          <w:right w:val="nil"/>
          <w:between w:val="nil"/>
        </w:pBdr>
        <w:spacing w:line="360" w:lineRule="auto"/>
        <w:ind w:left="1080" w:right="49"/>
        <w:jc w:val="both"/>
        <w:rPr>
          <w:rFonts w:ascii="Palatino Linotype" w:eastAsia="Palatino Linotype" w:hAnsi="Palatino Linotype" w:cs="Palatino Linotype"/>
          <w:b/>
        </w:rPr>
      </w:pPr>
    </w:p>
    <w:p w14:paraId="09CF6748" w14:textId="77777777" w:rsidR="00FE7584" w:rsidRPr="00DA0569" w:rsidRDefault="007C7DF7">
      <w:pPr>
        <w:tabs>
          <w:tab w:val="left" w:pos="993"/>
        </w:tabs>
        <w:spacing w:line="360" w:lineRule="auto"/>
        <w:jc w:val="both"/>
        <w:rPr>
          <w:rFonts w:ascii="Palatino Linotype" w:eastAsia="Palatino Linotype" w:hAnsi="Palatino Linotype" w:cs="Palatino Linotype"/>
        </w:rPr>
      </w:pPr>
      <w:r w:rsidRPr="00DA0569">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DA0569">
        <w:rPr>
          <w:rFonts w:ascii="Palatino Linotype" w:eastAsia="Palatino Linotype" w:hAnsi="Palatino Linotype" w:cs="Palatino Linotype"/>
        </w:rPr>
        <w:lastRenderedPageBreak/>
        <w:t xml:space="preserve">motive las razones sobre los datos que se supriman o eliminen dentro del soporte documental respectivo objeto de las versiones públicas que se formulen y se ponga a disposición del </w:t>
      </w:r>
      <w:r w:rsidRPr="00DA0569">
        <w:rPr>
          <w:rFonts w:ascii="Palatino Linotype" w:eastAsia="Palatino Linotype" w:hAnsi="Palatino Linotype" w:cs="Palatino Linotype"/>
          <w:b/>
        </w:rPr>
        <w:t>RECURRENTE</w:t>
      </w:r>
      <w:r w:rsidRPr="00DA0569">
        <w:rPr>
          <w:rFonts w:ascii="Palatino Linotype" w:eastAsia="Palatino Linotype" w:hAnsi="Palatino Linotype" w:cs="Palatino Linotype"/>
        </w:rPr>
        <w:t>.</w:t>
      </w:r>
    </w:p>
    <w:p w14:paraId="74B9F24B" w14:textId="77777777" w:rsidR="00FE7584" w:rsidRPr="00DA0569" w:rsidRDefault="00FE7584">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4D60E550" w14:textId="4A643BE5" w:rsidR="00F12E97" w:rsidRPr="00DA0569" w:rsidRDefault="00F12E97" w:rsidP="00F12E97">
      <w:pPr>
        <w:spacing w:line="360" w:lineRule="auto"/>
        <w:jc w:val="both"/>
        <w:rPr>
          <w:rFonts w:ascii="Calibri" w:eastAsia="Calibri" w:hAnsi="Calibri" w:cs="Calibri"/>
        </w:rPr>
      </w:pPr>
      <w:bookmarkStart w:id="6" w:name="_heading=h.3dy6vkm" w:colFirst="0" w:colLast="0"/>
      <w:bookmarkEnd w:id="6"/>
      <w:r w:rsidRPr="00DA0569">
        <w:rPr>
          <w:rFonts w:ascii="Palatino Linotype" w:eastAsia="Palatino Linotype" w:hAnsi="Palatino Linotype" w:cs="Palatino Linotype"/>
        </w:rPr>
        <w:t xml:space="preserve">Para  el caso de que no cuente con alguna información ordenada en el inciso c); bastará que el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xml:space="preserve"> lo haga del conocimiento, en términos del artículo 19 de la Ley de Transparencia y Acceso a la Información Pública del Estado de México y Municipios.</w:t>
      </w:r>
    </w:p>
    <w:p w14:paraId="08E52A0B" w14:textId="77777777" w:rsidR="00FE7584" w:rsidRPr="00DA0569" w:rsidRDefault="00FE7584">
      <w:pPr>
        <w:pBdr>
          <w:top w:val="nil"/>
          <w:left w:val="nil"/>
          <w:bottom w:val="nil"/>
          <w:right w:val="nil"/>
          <w:between w:val="nil"/>
        </w:pBdr>
        <w:spacing w:line="360" w:lineRule="auto"/>
        <w:ind w:left="1080" w:right="49"/>
        <w:jc w:val="both"/>
        <w:rPr>
          <w:rFonts w:ascii="Palatino Linotype" w:eastAsia="Palatino Linotype" w:hAnsi="Palatino Linotype" w:cs="Palatino Linotype"/>
        </w:rPr>
      </w:pPr>
    </w:p>
    <w:p w14:paraId="5A8AA0CA" w14:textId="13A8AEA4" w:rsidR="00FE7584" w:rsidRPr="00DA0569" w:rsidRDefault="007C7DF7">
      <w:pPr>
        <w:spacing w:line="360" w:lineRule="auto"/>
        <w:ind w:right="49"/>
        <w:jc w:val="both"/>
        <w:rPr>
          <w:rFonts w:ascii="Palatino Linotype" w:eastAsia="Palatino Linotype" w:hAnsi="Palatino Linotype" w:cs="Palatino Linotype"/>
          <w:b/>
        </w:rPr>
      </w:pPr>
      <w:r w:rsidRPr="00DA0569">
        <w:rPr>
          <w:rFonts w:ascii="Palatino Linotype" w:eastAsia="Palatino Linotype" w:hAnsi="Palatino Linotype" w:cs="Palatino Linotype"/>
          <w:b/>
        </w:rPr>
        <w:t>TERCERO.</w:t>
      </w:r>
      <w:r w:rsidRPr="00DA0569">
        <w:rPr>
          <w:rFonts w:ascii="Palatino Linotype" w:eastAsia="Palatino Linotype" w:hAnsi="Palatino Linotype" w:cs="Palatino Linotype"/>
        </w:rPr>
        <w:t xml:space="preserve"> </w:t>
      </w:r>
      <w:r w:rsidRPr="00DA0569">
        <w:rPr>
          <w:rFonts w:ascii="Palatino Linotype" w:eastAsia="Palatino Linotype" w:hAnsi="Palatino Linotype" w:cs="Palatino Linotype"/>
          <w:b/>
        </w:rPr>
        <w:t xml:space="preserve">Notifíquese </w:t>
      </w:r>
      <w:r w:rsidRPr="00DA0569">
        <w:rPr>
          <w:rFonts w:ascii="Palatino Linotype" w:eastAsia="Palatino Linotype" w:hAnsi="Palatino Linotype" w:cs="Palatino Linotype"/>
        </w:rPr>
        <w:t>la presente resolución al T</w:t>
      </w:r>
      <w:r w:rsidRPr="00DA0569">
        <w:rPr>
          <w:rFonts w:ascii="Palatino Linotype" w:eastAsia="Palatino Linotype" w:hAnsi="Palatino Linotype" w:cs="Palatino Linotype"/>
          <w:b/>
        </w:rPr>
        <w:t xml:space="preserve">itular de la Unidad de Transparencia </w:t>
      </w:r>
      <w:r w:rsidRPr="00DA0569">
        <w:rPr>
          <w:rFonts w:ascii="Palatino Linotype" w:eastAsia="Palatino Linotype" w:hAnsi="Palatino Linotype" w:cs="Palatino Linotype"/>
        </w:rPr>
        <w:t xml:space="preserve">del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xml:space="preserve">, </w:t>
      </w:r>
      <w:r w:rsidR="00031671" w:rsidRPr="00DA0569">
        <w:rPr>
          <w:rFonts w:ascii="Palatino Linotype" w:eastAsia="Palatino Linotype" w:hAnsi="Palatino Linotype" w:cs="Palatino Linotype"/>
        </w:rPr>
        <w:t xml:space="preserve">vía SAIMEX, </w:t>
      </w:r>
      <w:r w:rsidRPr="00DA0569">
        <w:rPr>
          <w:rFonts w:ascii="Palatino Linotype" w:eastAsia="Palatino Linotype" w:hAnsi="Palatino Linotype" w:cs="Palatino Linotype"/>
        </w:rPr>
        <w:t xml:space="preserve">para que conforme al artículo 186 último párrafo, 189 segundo párrafo y 194 de la Ley de Transparencia y Acceso a la Información Pública del Estado de México y Municipios; </w:t>
      </w:r>
      <w:r w:rsidRPr="00DA0569">
        <w:rPr>
          <w:rFonts w:ascii="Palatino Linotype" w:eastAsia="Palatino Linotype" w:hAnsi="Palatino Linotype" w:cs="Palatino Linotype"/>
          <w:b/>
        </w:rPr>
        <w:t xml:space="preserve">dé cumplimiento a lo ordenado dentro del plazo de diez días hábiles, </w:t>
      </w:r>
      <w:r w:rsidRPr="00DA0569">
        <w:rPr>
          <w:rFonts w:ascii="Palatino Linotype" w:eastAsia="Palatino Linotype" w:hAnsi="Palatino Linotype" w:cs="Palatino Linotype"/>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475973" w14:textId="77777777" w:rsidR="00FE7584" w:rsidRPr="00DA0569" w:rsidRDefault="00FE7584">
      <w:pPr>
        <w:spacing w:line="360" w:lineRule="auto"/>
        <w:ind w:right="49"/>
        <w:jc w:val="both"/>
        <w:rPr>
          <w:rFonts w:ascii="Palatino Linotype" w:eastAsia="Palatino Linotype" w:hAnsi="Palatino Linotype" w:cs="Palatino Linotype"/>
        </w:rPr>
      </w:pPr>
    </w:p>
    <w:p w14:paraId="333F521E" w14:textId="77777777" w:rsidR="00FE7584" w:rsidRPr="00DA0569" w:rsidRDefault="007C7DF7">
      <w:pPr>
        <w:spacing w:line="360" w:lineRule="auto"/>
        <w:ind w:right="49"/>
        <w:jc w:val="both"/>
        <w:rPr>
          <w:rFonts w:ascii="Palatino Linotype" w:eastAsia="Palatino Linotype" w:hAnsi="Palatino Linotype" w:cs="Palatino Linotype"/>
        </w:rPr>
      </w:pPr>
      <w:r w:rsidRPr="00DA0569">
        <w:rPr>
          <w:rFonts w:ascii="Palatino Linotype" w:eastAsia="Palatino Linotype" w:hAnsi="Palatino Linotype" w:cs="Palatino Linotype"/>
          <w:b/>
        </w:rPr>
        <w:t>CUARTO.</w:t>
      </w:r>
      <w:r w:rsidRPr="00DA0569">
        <w:rPr>
          <w:rFonts w:ascii="Palatino Linotype" w:eastAsia="Palatino Linotype" w:hAnsi="Palatino Linotype" w:cs="Palatino Linotype"/>
        </w:rPr>
        <w:t xml:space="preserve"> </w:t>
      </w:r>
      <w:r w:rsidRPr="00DA0569">
        <w:rPr>
          <w:rFonts w:ascii="Palatino Linotype" w:eastAsia="Palatino Linotype" w:hAnsi="Palatino Linotype" w:cs="Palatino Linotype"/>
          <w:b/>
        </w:rPr>
        <w:t xml:space="preserve">Notifíquese vía SAIMEX </w:t>
      </w:r>
      <w:r w:rsidRPr="00DA0569">
        <w:rPr>
          <w:rFonts w:ascii="Palatino Linotype" w:eastAsia="Palatino Linotype" w:hAnsi="Palatino Linotype" w:cs="Palatino Linotype"/>
        </w:rPr>
        <w:t xml:space="preserve">a la parte </w:t>
      </w:r>
      <w:r w:rsidRPr="00DA0569">
        <w:rPr>
          <w:rFonts w:ascii="Palatino Linotype" w:eastAsia="Palatino Linotype" w:hAnsi="Palatino Linotype" w:cs="Palatino Linotype"/>
          <w:b/>
        </w:rPr>
        <w:t xml:space="preserve">Recurrente </w:t>
      </w:r>
      <w:r w:rsidRPr="00DA0569">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1F3E0B5D" w14:textId="77777777" w:rsidR="00FE7584" w:rsidRPr="00DA0569" w:rsidRDefault="00FE7584">
      <w:pPr>
        <w:spacing w:line="360" w:lineRule="auto"/>
        <w:ind w:right="49"/>
        <w:jc w:val="both"/>
        <w:rPr>
          <w:rFonts w:ascii="Palatino Linotype" w:eastAsia="Palatino Linotype" w:hAnsi="Palatino Linotype" w:cs="Palatino Linotype"/>
        </w:rPr>
      </w:pPr>
    </w:p>
    <w:p w14:paraId="2A46A6AF" w14:textId="77777777" w:rsidR="00FE7584" w:rsidRPr="00DA0569" w:rsidRDefault="007C7DF7">
      <w:pPr>
        <w:spacing w:line="360" w:lineRule="auto"/>
        <w:ind w:right="49"/>
        <w:jc w:val="both"/>
        <w:rPr>
          <w:rFonts w:ascii="Palatino Linotype" w:eastAsia="Palatino Linotype" w:hAnsi="Palatino Linotype" w:cs="Palatino Linotype"/>
        </w:rPr>
      </w:pPr>
      <w:r w:rsidRPr="00DA0569">
        <w:rPr>
          <w:rFonts w:ascii="Palatino Linotype" w:eastAsia="Palatino Linotype" w:hAnsi="Palatino Linotype" w:cs="Palatino Linotype"/>
          <w:b/>
        </w:rPr>
        <w:lastRenderedPageBreak/>
        <w:t>QUINTO.</w:t>
      </w:r>
      <w:r w:rsidRPr="00DA056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A0569">
        <w:rPr>
          <w:rFonts w:ascii="Palatino Linotype" w:eastAsia="Palatino Linotype" w:hAnsi="Palatino Linotype" w:cs="Palatino Linotype"/>
          <w:b/>
        </w:rPr>
        <w:t>Sujeto Obligado</w:t>
      </w:r>
      <w:r w:rsidRPr="00DA0569">
        <w:rPr>
          <w:rFonts w:ascii="Palatino Linotype" w:eastAsia="Palatino Linotype" w:hAnsi="Palatino Linotype" w:cs="Palatino Linotype"/>
        </w:rPr>
        <w:t xml:space="preserve"> de manera fundada y motivada, podrá solicitar una ampliación de plazo para el cumplimiento de la presente resolución.</w:t>
      </w:r>
    </w:p>
    <w:p w14:paraId="73754E61" w14:textId="77777777" w:rsidR="00FE7584" w:rsidRPr="00DA0569" w:rsidRDefault="00FE7584">
      <w:pPr>
        <w:pBdr>
          <w:top w:val="nil"/>
          <w:left w:val="nil"/>
          <w:bottom w:val="nil"/>
          <w:right w:val="nil"/>
          <w:between w:val="nil"/>
        </w:pBdr>
        <w:spacing w:line="360" w:lineRule="auto"/>
        <w:rPr>
          <w:rFonts w:ascii="Palatino Linotype" w:eastAsia="Palatino Linotype" w:hAnsi="Palatino Linotype" w:cs="Palatino Linotype"/>
          <w:color w:val="000000"/>
        </w:rPr>
      </w:pPr>
    </w:p>
    <w:p w14:paraId="2B4CD1BC" w14:textId="13C6B6FC" w:rsidR="0040793B" w:rsidRPr="008B02EE" w:rsidRDefault="0040793B" w:rsidP="0040793B">
      <w:pPr>
        <w:spacing w:line="360" w:lineRule="auto"/>
        <w:ind w:left="-142" w:right="113" w:firstLine="1"/>
        <w:jc w:val="both"/>
        <w:rPr>
          <w:rFonts w:ascii="Palatino Linotype" w:hAnsi="Palatino Linotype"/>
        </w:rPr>
      </w:pPr>
      <w:bookmarkStart w:id="7" w:name="_heading=h.hbdzs3g8l6mn" w:colFirst="0" w:colLast="0"/>
      <w:bookmarkStart w:id="8" w:name="_Hlk192106016"/>
      <w:bookmarkEnd w:id="7"/>
      <w:r w:rsidRPr="00DA056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w:t>
      </w:r>
      <w:bookmarkStart w:id="9" w:name="_GoBack"/>
      <w:bookmarkEnd w:id="9"/>
      <w:r w:rsidRPr="00DA0569">
        <w:rPr>
          <w:rFonts w:ascii="Palatino Linotype" w:hAnsi="Palatino Linotype"/>
        </w:rPr>
        <w:t>NADOS JOSÉ MARTÍNEZ VILCHIS; MARÍA DEL ROSARIO MEJÍA AYALA; SHARON CRISTINA MORALES MARTÍNEZ; LUIS GUSTAVO PARRA NORIEGA Y GUADALUPE RAMÍREZ PEÑA</w:t>
      </w:r>
      <w:r w:rsidR="00A8768A" w:rsidRPr="00DA0569">
        <w:rPr>
          <w:rFonts w:ascii="Palatino Linotype" w:hAnsi="Palatino Linotype"/>
        </w:rPr>
        <w:t xml:space="preserve"> </w:t>
      </w:r>
      <w:r w:rsidR="00A8768A" w:rsidRPr="00DA0569">
        <w:rPr>
          <w:rFonts w:ascii="Palatino Linotype" w:hAnsi="Palatino Linotype" w:cs="Calibri"/>
        </w:rPr>
        <w:t>EMITIENDO VOTO PARTICULAR</w:t>
      </w:r>
      <w:r w:rsidRPr="00DA0569">
        <w:rPr>
          <w:rFonts w:ascii="Palatino Linotype" w:hAnsi="Palatino Linotype"/>
        </w:rPr>
        <w:t>; EN LA OCTAVA SESIÓN ORDINARIA CELEBRADA EL SEIS (06) DE MARZO DE DOS MIL VEINTICINCO, ANTE EL SECRETARIO TÉCNICO DEL PLENO ALEXIS TAPIA RAMÍREZ.</w:t>
      </w:r>
      <w:r w:rsidRPr="008B02EE">
        <w:rPr>
          <w:rFonts w:ascii="Palatino Linotype" w:hAnsi="Palatino Linotype"/>
        </w:rPr>
        <w:t xml:space="preserve"> </w:t>
      </w:r>
    </w:p>
    <w:bookmarkEnd w:id="8"/>
    <w:p w14:paraId="5C07AC75" w14:textId="77777777" w:rsidR="00FE7584" w:rsidRDefault="00FE7584" w:rsidP="0040793B">
      <w:pPr>
        <w:pBdr>
          <w:top w:val="nil"/>
          <w:left w:val="nil"/>
          <w:bottom w:val="nil"/>
          <w:right w:val="nil"/>
          <w:between w:val="nil"/>
        </w:pBdr>
        <w:spacing w:line="360" w:lineRule="auto"/>
        <w:ind w:right="113"/>
        <w:jc w:val="both"/>
        <w:rPr>
          <w:rFonts w:ascii="Palatino Linotype" w:eastAsia="Palatino Linotype" w:hAnsi="Palatino Linotype" w:cs="Palatino Linotype"/>
        </w:rPr>
      </w:pPr>
    </w:p>
    <w:p w14:paraId="2D6FE3AA" w14:textId="77777777" w:rsidR="00FE7584" w:rsidRDefault="00FE7584" w:rsidP="0040793B">
      <w:pPr>
        <w:pBdr>
          <w:top w:val="nil"/>
          <w:left w:val="nil"/>
          <w:bottom w:val="nil"/>
          <w:right w:val="nil"/>
          <w:between w:val="nil"/>
        </w:pBdr>
        <w:spacing w:line="360" w:lineRule="auto"/>
        <w:ind w:right="113"/>
        <w:jc w:val="both"/>
        <w:rPr>
          <w:rFonts w:ascii="Palatino Linotype" w:eastAsia="Palatino Linotype" w:hAnsi="Palatino Linotype" w:cs="Palatino Linotype"/>
        </w:rPr>
      </w:pPr>
      <w:bookmarkStart w:id="10" w:name="_heading=h.sgj51p9lwv0i" w:colFirst="0" w:colLast="0"/>
      <w:bookmarkEnd w:id="10"/>
    </w:p>
    <w:p w14:paraId="387DBE76"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1" w:name="_heading=h.q1sud6xycrzn" w:colFirst="0" w:colLast="0"/>
      <w:bookmarkEnd w:id="11"/>
    </w:p>
    <w:p w14:paraId="4B007634"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2" w:name="_heading=h.px95ksl84xna" w:colFirst="0" w:colLast="0"/>
      <w:bookmarkEnd w:id="12"/>
    </w:p>
    <w:p w14:paraId="6BC391B7"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3" w:name="_heading=h.v06ohgysn72" w:colFirst="0" w:colLast="0"/>
      <w:bookmarkEnd w:id="13"/>
    </w:p>
    <w:p w14:paraId="48B9F7BD"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4" w:name="_heading=h.hshyhcf64gru" w:colFirst="0" w:colLast="0"/>
      <w:bookmarkEnd w:id="14"/>
    </w:p>
    <w:p w14:paraId="2161FAFC"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5" w:name="_heading=h.tyk59v844d67" w:colFirst="0" w:colLast="0"/>
      <w:bookmarkEnd w:id="15"/>
    </w:p>
    <w:p w14:paraId="46E6498C"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6" w:name="_heading=h.jx2oyz97h0in" w:colFirst="0" w:colLast="0"/>
      <w:bookmarkEnd w:id="16"/>
    </w:p>
    <w:p w14:paraId="0BA05BF3"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7" w:name="_heading=h.7rrvr0if61ji" w:colFirst="0" w:colLast="0"/>
      <w:bookmarkEnd w:id="17"/>
    </w:p>
    <w:p w14:paraId="21F435D2"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8" w:name="_heading=h.hzwf5gm1m97f" w:colFirst="0" w:colLast="0"/>
      <w:bookmarkEnd w:id="18"/>
    </w:p>
    <w:p w14:paraId="30C18A23"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19" w:name="_heading=h.rlyp8xh632i2" w:colFirst="0" w:colLast="0"/>
      <w:bookmarkEnd w:id="19"/>
    </w:p>
    <w:p w14:paraId="0BDD3A2F"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0" w:name="_heading=h.y3u6kg1m9t3p" w:colFirst="0" w:colLast="0"/>
      <w:bookmarkEnd w:id="20"/>
    </w:p>
    <w:p w14:paraId="410DCBE8"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1" w:name="_heading=h.tob7he4x1p85" w:colFirst="0" w:colLast="0"/>
      <w:bookmarkEnd w:id="21"/>
    </w:p>
    <w:p w14:paraId="49544AEA"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2" w:name="_heading=h.9qb9rt71e20n" w:colFirst="0" w:colLast="0"/>
      <w:bookmarkEnd w:id="22"/>
    </w:p>
    <w:p w14:paraId="41CABF5C"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3" w:name="_heading=h.g6zde1ufa0kc" w:colFirst="0" w:colLast="0"/>
      <w:bookmarkEnd w:id="23"/>
    </w:p>
    <w:p w14:paraId="1A1C09C9"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4" w:name="_heading=h.1y13ogkjpzny" w:colFirst="0" w:colLast="0"/>
      <w:bookmarkEnd w:id="24"/>
    </w:p>
    <w:p w14:paraId="40B023EF"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5" w:name="_heading=h.2brnczm1krlh" w:colFirst="0" w:colLast="0"/>
      <w:bookmarkEnd w:id="25"/>
    </w:p>
    <w:p w14:paraId="405F5F57"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6" w:name="_heading=h.c8e4pruh77v6" w:colFirst="0" w:colLast="0"/>
      <w:bookmarkEnd w:id="26"/>
    </w:p>
    <w:p w14:paraId="25D96C71"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7" w:name="_heading=h.lln5ttucv1yu" w:colFirst="0" w:colLast="0"/>
      <w:bookmarkEnd w:id="27"/>
    </w:p>
    <w:p w14:paraId="2121EABE"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8" w:name="_heading=h.c9qp3knj0izo" w:colFirst="0" w:colLast="0"/>
      <w:bookmarkEnd w:id="28"/>
    </w:p>
    <w:p w14:paraId="2D373DA3" w14:textId="77777777" w:rsidR="00FE7584" w:rsidRDefault="00FE7584">
      <w:pPr>
        <w:pBdr>
          <w:top w:val="nil"/>
          <w:left w:val="nil"/>
          <w:bottom w:val="nil"/>
          <w:right w:val="nil"/>
          <w:between w:val="nil"/>
        </w:pBdr>
        <w:spacing w:line="360" w:lineRule="auto"/>
        <w:jc w:val="both"/>
        <w:rPr>
          <w:rFonts w:ascii="Palatino Linotype" w:eastAsia="Palatino Linotype" w:hAnsi="Palatino Linotype" w:cs="Palatino Linotype"/>
        </w:rPr>
      </w:pPr>
      <w:bookmarkStart w:id="29" w:name="_heading=h.gjdgxs" w:colFirst="0" w:colLast="0"/>
      <w:bookmarkEnd w:id="29"/>
    </w:p>
    <w:sectPr w:rsidR="00FE7584">
      <w:headerReference w:type="even" r:id="rId22"/>
      <w:headerReference w:type="default" r:id="rId23"/>
      <w:footerReference w:type="default" r:id="rId24"/>
      <w:headerReference w:type="first" r:id="rId25"/>
      <w:footerReference w:type="first" r:id="rId26"/>
      <w:pgSz w:w="12240" w:h="15840"/>
      <w:pgMar w:top="173" w:right="1041" w:bottom="1418" w:left="1588" w:header="227"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F72B0" w14:textId="77777777" w:rsidR="00296151" w:rsidRDefault="00296151">
      <w:r>
        <w:separator/>
      </w:r>
    </w:p>
  </w:endnote>
  <w:endnote w:type="continuationSeparator" w:id="0">
    <w:p w14:paraId="6841D9EE" w14:textId="77777777" w:rsidR="00296151" w:rsidRDefault="0029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7A481" w14:textId="77777777" w:rsidR="007C7DF7" w:rsidRDefault="007C7DF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0569">
      <w:rPr>
        <w:b/>
        <w:noProof/>
        <w:color w:val="000000"/>
      </w:rPr>
      <w:t>44</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0569">
      <w:rPr>
        <w:b/>
        <w:noProof/>
        <w:color w:val="000000"/>
      </w:rPr>
      <w:t>46</w:t>
    </w:r>
    <w:r>
      <w:rPr>
        <w:b/>
        <w:color w:val="000000"/>
      </w:rPr>
      <w:fldChar w:fldCharType="end"/>
    </w:r>
  </w:p>
  <w:p w14:paraId="0CDED909" w14:textId="77777777" w:rsidR="007C7DF7" w:rsidRDefault="007C7DF7">
    <w:pPr>
      <w:pBdr>
        <w:top w:val="nil"/>
        <w:left w:val="nil"/>
        <w:bottom w:val="nil"/>
        <w:right w:val="nil"/>
        <w:between w:val="nil"/>
      </w:pBdr>
      <w:tabs>
        <w:tab w:val="center" w:pos="4419"/>
        <w:tab w:val="right" w:pos="8838"/>
      </w:tabs>
      <w:rPr>
        <w:color w:val="000000"/>
      </w:rPr>
    </w:pPr>
  </w:p>
  <w:p w14:paraId="5C38F586" w14:textId="77777777" w:rsidR="007C7DF7" w:rsidRDefault="007C7D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66F7" w14:textId="77777777" w:rsidR="007C7DF7" w:rsidRDefault="007C7DF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056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0569">
      <w:rPr>
        <w:b/>
        <w:noProof/>
        <w:color w:val="000000"/>
      </w:rPr>
      <w:t>46</w:t>
    </w:r>
    <w:r>
      <w:rPr>
        <w:b/>
        <w:color w:val="000000"/>
      </w:rPr>
      <w:fldChar w:fldCharType="end"/>
    </w:r>
  </w:p>
  <w:p w14:paraId="0AD2DA0A" w14:textId="77777777" w:rsidR="007C7DF7" w:rsidRDefault="007C7DF7">
    <w:pPr>
      <w:pBdr>
        <w:top w:val="nil"/>
        <w:left w:val="nil"/>
        <w:bottom w:val="nil"/>
        <w:right w:val="nil"/>
        <w:between w:val="nil"/>
      </w:pBdr>
      <w:tabs>
        <w:tab w:val="center" w:pos="4419"/>
        <w:tab w:val="right" w:pos="8838"/>
      </w:tabs>
      <w:rPr>
        <w:color w:val="000000"/>
      </w:rPr>
    </w:pPr>
  </w:p>
  <w:p w14:paraId="56036FF9" w14:textId="77777777" w:rsidR="007C7DF7" w:rsidRDefault="007C7D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A2312" w14:textId="77777777" w:rsidR="00296151" w:rsidRDefault="00296151">
      <w:r>
        <w:separator/>
      </w:r>
    </w:p>
  </w:footnote>
  <w:footnote w:type="continuationSeparator" w:id="0">
    <w:p w14:paraId="2C357199" w14:textId="77777777" w:rsidR="00296151" w:rsidRDefault="00296151">
      <w:r>
        <w:continuationSeparator/>
      </w:r>
    </w:p>
  </w:footnote>
  <w:footnote w:id="1">
    <w:p w14:paraId="629B7E60" w14:textId="77777777" w:rsidR="007C7DF7" w:rsidRDefault="007C7DF7">
      <w:pPr>
        <w:pBdr>
          <w:top w:val="nil"/>
          <w:left w:val="nil"/>
          <w:bottom w:val="nil"/>
          <w:right w:val="nil"/>
          <w:between w:val="nil"/>
        </w:pBdr>
        <w:rPr>
          <w:rFonts w:ascii="Palatino Linotype" w:eastAsia="Palatino Linotype" w:hAnsi="Palatino Linotype" w:cs="Palatino Linotype"/>
          <w:b/>
          <w:i/>
          <w:color w:val="000000"/>
          <w:sz w:val="20"/>
          <w:szCs w:val="20"/>
        </w:rPr>
      </w:pPr>
      <w:r>
        <w:rPr>
          <w:vertAlign w:val="superscript"/>
        </w:rPr>
        <w:footnoteRef/>
      </w:r>
      <w:r>
        <w:rPr>
          <w:rFonts w:ascii="Palatino Linotype" w:eastAsia="Palatino Linotype" w:hAnsi="Palatino Linotype" w:cs="Palatino Linotype"/>
          <w:b/>
          <w:i/>
          <w:color w:val="000000"/>
          <w:sz w:val="20"/>
          <w:szCs w:val="20"/>
        </w:rPr>
        <w:t xml:space="preserve">Ley de Transparencia y Acceso a la Información Pública del Estado de México y Municipios. </w:t>
      </w:r>
    </w:p>
    <w:p w14:paraId="024C0E8F" w14:textId="77777777" w:rsidR="007C7DF7" w:rsidRDefault="007C7DF7">
      <w:pPr>
        <w:pBdr>
          <w:top w:val="nil"/>
          <w:left w:val="nil"/>
          <w:bottom w:val="nil"/>
          <w:right w:val="nil"/>
          <w:between w:val="nil"/>
        </w:pBdr>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Artículo 3.</w:t>
      </w:r>
      <w:r>
        <w:rPr>
          <w:rFonts w:ascii="Palatino Linotype" w:eastAsia="Palatino Linotype" w:hAnsi="Palatino Linotype" w:cs="Palatino Linotype"/>
          <w:i/>
          <w:color w:val="000000"/>
          <w:sz w:val="20"/>
          <w:szCs w:val="20"/>
        </w:rPr>
        <w:t xml:space="preserve"> Para los efectos de la presente Ley se entenderá por:</w:t>
      </w:r>
    </w:p>
    <w:p w14:paraId="3AD723B8" w14:textId="77777777" w:rsidR="007C7DF7" w:rsidRDefault="007C7DF7">
      <w:pPr>
        <w:pBdr>
          <w:top w:val="nil"/>
          <w:left w:val="nil"/>
          <w:bottom w:val="nil"/>
          <w:right w:val="nil"/>
          <w:between w:val="nil"/>
        </w:pBdr>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6A822448" w14:textId="77777777" w:rsidR="007C7DF7" w:rsidRDefault="007C7DF7">
      <w:pPr>
        <w:pBdr>
          <w:top w:val="nil"/>
          <w:left w:val="nil"/>
          <w:bottom w:val="nil"/>
          <w:right w:val="nil"/>
          <w:between w:val="nil"/>
        </w:pBd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1DB6D838" w14:textId="77777777" w:rsidR="007C7DF7" w:rsidRDefault="007C7DF7">
      <w:pPr>
        <w:pBdr>
          <w:top w:val="nil"/>
          <w:left w:val="nil"/>
          <w:bottom w:val="nil"/>
          <w:right w:val="nil"/>
          <w:between w:val="nil"/>
        </w:pBdr>
        <w:rPr>
          <w:rFonts w:ascii="Calibri" w:eastAsia="Calibri" w:hAnsi="Calibri" w:cs="Calibri"/>
          <w:color w:val="000000"/>
          <w:sz w:val="20"/>
          <w:szCs w:val="20"/>
        </w:rPr>
      </w:pPr>
      <w:r>
        <w:rPr>
          <w:rFonts w:ascii="Palatino Linotype" w:eastAsia="Palatino Linotype" w:hAnsi="Palatino Linotype" w:cs="Palatino Linotype"/>
          <w:i/>
          <w:color w:val="000000"/>
          <w:sz w:val="20"/>
          <w:szCs w:val="20"/>
        </w:rPr>
        <w:t>(…)</w:t>
      </w:r>
    </w:p>
  </w:footnote>
  <w:footnote w:id="2">
    <w:p w14:paraId="0A918BB4" w14:textId="77777777" w:rsidR="000B428A" w:rsidRPr="002E4C3B" w:rsidRDefault="000B428A" w:rsidP="000B428A">
      <w:pPr>
        <w:jc w:val="both"/>
      </w:pPr>
      <w:r>
        <w:rPr>
          <w:rStyle w:val="Refdenotaalpie"/>
        </w:rPr>
        <w:footnoteRef/>
      </w:r>
      <w:r>
        <w:t xml:space="preserve"> </w:t>
      </w:r>
      <w:r>
        <w:rPr>
          <w:lang w:val="es-ES"/>
        </w:rPr>
        <w:t xml:space="preserve">Visible en: </w:t>
      </w:r>
      <w:hyperlink r:id="rId1" w:history="1">
        <w:r w:rsidRPr="001A36CE">
          <w:rPr>
            <w:rStyle w:val="Hipervnculo"/>
          </w:rPr>
          <w:t>https://smovilidad.edomex.gob.mx/organigrama</w:t>
        </w:r>
      </w:hyperlink>
    </w:p>
  </w:footnote>
  <w:footnote w:id="3">
    <w:p w14:paraId="0CA92414" w14:textId="77777777" w:rsidR="007C7DF7" w:rsidRDefault="007C7DF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4FD9C2C5" w14:textId="77777777" w:rsidR="007C7DF7" w:rsidRDefault="007C7DF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7011DF8C" w14:textId="77777777" w:rsidR="007C7DF7" w:rsidRDefault="007C7DF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20A54" w14:textId="77777777" w:rsidR="007C7DF7" w:rsidRDefault="00296151">
    <w:pPr>
      <w:pBdr>
        <w:top w:val="nil"/>
        <w:left w:val="nil"/>
        <w:bottom w:val="nil"/>
        <w:right w:val="nil"/>
        <w:between w:val="nil"/>
      </w:pBdr>
      <w:tabs>
        <w:tab w:val="center" w:pos="4419"/>
        <w:tab w:val="right" w:pos="8838"/>
      </w:tabs>
      <w:rPr>
        <w:color w:val="000000"/>
      </w:rPr>
    </w:pPr>
    <w:r>
      <w:rPr>
        <w:color w:val="000000"/>
      </w:rPr>
      <w:pict w14:anchorId="2F898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5"/>
          <w10:wrap anchorx="margin" anchory="margin"/>
        </v:shape>
      </w:pict>
    </w:r>
  </w:p>
  <w:p w14:paraId="7613398A" w14:textId="77777777" w:rsidR="007C7DF7" w:rsidRDefault="007C7D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39F4" w14:textId="77777777" w:rsidR="007C7DF7" w:rsidRDefault="00296151">
    <w:pPr>
      <w:widowControl w:val="0"/>
      <w:pBdr>
        <w:top w:val="nil"/>
        <w:left w:val="nil"/>
        <w:bottom w:val="nil"/>
        <w:right w:val="nil"/>
        <w:between w:val="nil"/>
      </w:pBdr>
      <w:spacing w:line="276" w:lineRule="auto"/>
      <w:rPr>
        <w:color w:val="000000"/>
      </w:rPr>
    </w:pPr>
    <w:r>
      <w:rPr>
        <w:color w:val="000000"/>
      </w:rPr>
      <w:pict w14:anchorId="49621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7pt;margin-top:-121.8pt;width:589.8pt;height:768pt;z-index:-251659776;mso-position-horizontal:absolute;mso-position-horizontal-relative:margin;mso-position-vertical:absolute;mso-position-vertical-relative:margin">
          <v:imagedata r:id="rId1" o:title="image5"/>
          <w10:wrap anchorx="margin" anchory="margin"/>
        </v:shape>
      </w:pict>
    </w:r>
  </w:p>
  <w:p w14:paraId="095C3D14" w14:textId="77777777" w:rsidR="007C7DF7" w:rsidRDefault="007C7DF7">
    <w:pPr>
      <w:widowControl w:val="0"/>
      <w:pBdr>
        <w:top w:val="nil"/>
        <w:left w:val="nil"/>
        <w:bottom w:val="nil"/>
        <w:right w:val="nil"/>
        <w:between w:val="nil"/>
      </w:pBdr>
      <w:spacing w:line="276" w:lineRule="auto"/>
      <w:rPr>
        <w:color w:val="000000"/>
      </w:rPr>
    </w:pPr>
  </w:p>
  <w:tbl>
    <w:tblPr>
      <w:tblStyle w:val="a0"/>
      <w:tblW w:w="6395" w:type="dxa"/>
      <w:tblInd w:w="3452" w:type="dxa"/>
      <w:tblLayout w:type="fixed"/>
      <w:tblLook w:val="0400" w:firstRow="0" w:lastRow="0" w:firstColumn="0" w:lastColumn="0" w:noHBand="0" w:noVBand="1"/>
    </w:tblPr>
    <w:tblGrid>
      <w:gridCol w:w="2689"/>
      <w:gridCol w:w="3706"/>
    </w:tblGrid>
    <w:tr w:rsidR="007C7DF7" w14:paraId="4AB2B118" w14:textId="77777777">
      <w:trPr>
        <w:trHeight w:val="73"/>
      </w:trPr>
      <w:tc>
        <w:tcPr>
          <w:tcW w:w="2689" w:type="dxa"/>
          <w:tcBorders>
            <w:top w:val="nil"/>
            <w:left w:val="nil"/>
            <w:bottom w:val="nil"/>
            <w:right w:val="nil"/>
          </w:tcBorders>
        </w:tcPr>
        <w:p w14:paraId="329FF046" w14:textId="77777777" w:rsidR="007C7DF7" w:rsidRDefault="007C7DF7">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07" w:type="dxa"/>
          <w:tcBorders>
            <w:top w:val="nil"/>
            <w:left w:val="nil"/>
            <w:bottom w:val="nil"/>
            <w:right w:val="nil"/>
          </w:tcBorders>
        </w:tcPr>
        <w:p w14:paraId="3CD17643" w14:textId="77777777" w:rsidR="007C7DF7" w:rsidRDefault="007C7DF7">
          <w:pPr>
            <w:tabs>
              <w:tab w:val="right" w:pos="8838"/>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02658/INFOEM/IP/RR/2024</w:t>
          </w:r>
        </w:p>
      </w:tc>
    </w:tr>
    <w:tr w:rsidR="007C7DF7" w14:paraId="37518845" w14:textId="77777777">
      <w:trPr>
        <w:trHeight w:val="144"/>
      </w:trPr>
      <w:tc>
        <w:tcPr>
          <w:tcW w:w="2689" w:type="dxa"/>
          <w:tcBorders>
            <w:top w:val="nil"/>
            <w:left w:val="nil"/>
            <w:bottom w:val="nil"/>
            <w:right w:val="nil"/>
          </w:tcBorders>
        </w:tcPr>
        <w:p w14:paraId="4440CDDE" w14:textId="77777777" w:rsidR="007C7DF7" w:rsidRDefault="007C7DF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07" w:type="dxa"/>
          <w:tcBorders>
            <w:top w:val="nil"/>
            <w:left w:val="nil"/>
            <w:bottom w:val="nil"/>
            <w:right w:val="nil"/>
          </w:tcBorders>
        </w:tcPr>
        <w:p w14:paraId="0526A9EC" w14:textId="77777777" w:rsidR="007C7DF7" w:rsidRDefault="007C7DF7">
          <w:pPr>
            <w:tabs>
              <w:tab w:val="left" w:pos="2834"/>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Secretaría de Movilidad</w:t>
          </w:r>
        </w:p>
      </w:tc>
    </w:tr>
    <w:tr w:rsidR="007C7DF7" w14:paraId="3F904AC9" w14:textId="77777777">
      <w:trPr>
        <w:trHeight w:val="144"/>
      </w:trPr>
      <w:tc>
        <w:tcPr>
          <w:tcW w:w="2689" w:type="dxa"/>
          <w:tcBorders>
            <w:top w:val="nil"/>
            <w:left w:val="nil"/>
            <w:bottom w:val="nil"/>
            <w:right w:val="nil"/>
          </w:tcBorders>
        </w:tcPr>
        <w:p w14:paraId="4DE5881F" w14:textId="77777777" w:rsidR="007C7DF7" w:rsidRDefault="007C7DF7">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07" w:type="dxa"/>
          <w:tcBorders>
            <w:top w:val="nil"/>
            <w:left w:val="nil"/>
            <w:bottom w:val="nil"/>
            <w:right w:val="nil"/>
          </w:tcBorders>
        </w:tcPr>
        <w:p w14:paraId="79A3EAEB" w14:textId="77777777" w:rsidR="007C7DF7" w:rsidRDefault="007C7DF7">
          <w:pPr>
            <w:tabs>
              <w:tab w:val="right" w:pos="8838"/>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20783B86" w14:textId="77777777" w:rsidR="007C7DF7" w:rsidRDefault="007C7DF7">
          <w:pPr>
            <w:tabs>
              <w:tab w:val="right" w:pos="8838"/>
            </w:tabs>
            <w:ind w:left="-74" w:right="-1415"/>
            <w:rPr>
              <w:rFonts w:ascii="Palatino Linotype" w:eastAsia="Palatino Linotype" w:hAnsi="Palatino Linotype" w:cs="Palatino Linotype"/>
              <w:b/>
              <w:sz w:val="22"/>
              <w:szCs w:val="22"/>
            </w:rPr>
          </w:pPr>
        </w:p>
      </w:tc>
    </w:tr>
  </w:tbl>
  <w:p w14:paraId="1D91E952" w14:textId="77777777" w:rsidR="007C7DF7" w:rsidRDefault="007C7D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601FA" w14:textId="77777777" w:rsidR="007C7DF7" w:rsidRDefault="00296151">
    <w:pPr>
      <w:widowControl w:val="0"/>
      <w:pBdr>
        <w:top w:val="nil"/>
        <w:left w:val="nil"/>
        <w:bottom w:val="nil"/>
        <w:right w:val="nil"/>
        <w:between w:val="nil"/>
      </w:pBdr>
      <w:spacing w:line="276" w:lineRule="auto"/>
      <w:rPr>
        <w:color w:val="000000"/>
        <w:sz w:val="14"/>
        <w:szCs w:val="14"/>
      </w:rPr>
    </w:pPr>
    <w:r>
      <w:rPr>
        <w:color w:val="000000"/>
      </w:rPr>
      <w:pict w14:anchorId="53B50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56.1pt;width:589.8pt;height:768pt;z-index:-251658752;mso-position-horizontal:absolute;mso-position-horizontal-relative:margin;mso-position-vertical:absolute;mso-position-vertical-relative:margin">
          <v:imagedata r:id="rId1" o:title="image5"/>
          <w10:wrap anchorx="margin" anchory="margin"/>
        </v:shape>
      </w:pict>
    </w:r>
  </w:p>
  <w:tbl>
    <w:tblPr>
      <w:tblStyle w:val="a1"/>
      <w:tblW w:w="9915" w:type="dxa"/>
      <w:tblInd w:w="0" w:type="dxa"/>
      <w:tblLayout w:type="fixed"/>
      <w:tblLook w:val="0400" w:firstRow="0" w:lastRow="0" w:firstColumn="0" w:lastColumn="0" w:noHBand="0" w:noVBand="1"/>
    </w:tblPr>
    <w:tblGrid>
      <w:gridCol w:w="2265"/>
      <w:gridCol w:w="7650"/>
    </w:tblGrid>
    <w:tr w:rsidR="007C7DF7" w14:paraId="3A8957BF" w14:textId="77777777">
      <w:trPr>
        <w:trHeight w:val="2514"/>
      </w:trPr>
      <w:tc>
        <w:tcPr>
          <w:tcW w:w="2265" w:type="dxa"/>
        </w:tcPr>
        <w:p w14:paraId="7EC691DC" w14:textId="77777777" w:rsidR="007C7DF7" w:rsidRDefault="007C7DF7">
          <w:pPr>
            <w:tabs>
              <w:tab w:val="right" w:pos="4273"/>
            </w:tabs>
            <w:rPr>
              <w:rFonts w:ascii="Garamond" w:eastAsia="Garamond" w:hAnsi="Garamond" w:cs="Garamond"/>
            </w:rPr>
          </w:pPr>
        </w:p>
      </w:tc>
      <w:tc>
        <w:tcPr>
          <w:tcW w:w="7650" w:type="dxa"/>
        </w:tcPr>
        <w:p w14:paraId="22D68E0C" w14:textId="77777777" w:rsidR="007C7DF7" w:rsidRDefault="007C7DF7">
          <w:pPr>
            <w:widowControl w:val="0"/>
            <w:pBdr>
              <w:top w:val="nil"/>
              <w:left w:val="nil"/>
              <w:bottom w:val="nil"/>
              <w:right w:val="nil"/>
              <w:between w:val="nil"/>
            </w:pBdr>
            <w:spacing w:line="276" w:lineRule="auto"/>
            <w:rPr>
              <w:rFonts w:ascii="Garamond" w:eastAsia="Garamond" w:hAnsi="Garamond" w:cs="Garamond"/>
            </w:rPr>
          </w:pPr>
        </w:p>
        <w:tbl>
          <w:tblPr>
            <w:tblStyle w:val="a2"/>
            <w:tblW w:w="6690" w:type="dxa"/>
            <w:tblInd w:w="700" w:type="dxa"/>
            <w:tblLayout w:type="fixed"/>
            <w:tblLook w:val="0400" w:firstRow="0" w:lastRow="0" w:firstColumn="0" w:lastColumn="0" w:noHBand="0" w:noVBand="1"/>
          </w:tblPr>
          <w:tblGrid>
            <w:gridCol w:w="2807"/>
            <w:gridCol w:w="3883"/>
          </w:tblGrid>
          <w:tr w:rsidR="007C7DF7" w14:paraId="453560AA" w14:textId="77777777">
            <w:trPr>
              <w:trHeight w:val="144"/>
            </w:trPr>
            <w:tc>
              <w:tcPr>
                <w:tcW w:w="2807" w:type="dxa"/>
                <w:tcBorders>
                  <w:top w:val="nil"/>
                  <w:left w:val="nil"/>
                  <w:bottom w:val="nil"/>
                  <w:right w:val="nil"/>
                </w:tcBorders>
              </w:tcPr>
              <w:p w14:paraId="1C143635" w14:textId="77777777" w:rsidR="007C7DF7" w:rsidRDefault="007C7DF7">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83" w:type="dxa"/>
                <w:tcBorders>
                  <w:top w:val="nil"/>
                  <w:left w:val="nil"/>
                  <w:bottom w:val="nil"/>
                  <w:right w:val="nil"/>
                </w:tcBorders>
              </w:tcPr>
              <w:p w14:paraId="4E704C8B" w14:textId="77777777" w:rsidR="007C7DF7" w:rsidRDefault="007C7DF7">
                <w:pPr>
                  <w:ind w:right="-494"/>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02658/INFOEM/IP/RR/2024</w:t>
                </w:r>
              </w:p>
            </w:tc>
          </w:tr>
          <w:tr w:rsidR="007C7DF7" w14:paraId="76023BB4" w14:textId="77777777">
            <w:trPr>
              <w:trHeight w:val="144"/>
            </w:trPr>
            <w:tc>
              <w:tcPr>
                <w:tcW w:w="2807" w:type="dxa"/>
                <w:tcBorders>
                  <w:top w:val="nil"/>
                  <w:left w:val="nil"/>
                  <w:bottom w:val="nil"/>
                  <w:right w:val="nil"/>
                </w:tcBorders>
              </w:tcPr>
              <w:p w14:paraId="2BCA3060" w14:textId="77777777" w:rsidR="007C7DF7" w:rsidRDefault="007C7DF7">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83" w:type="dxa"/>
                <w:tcBorders>
                  <w:top w:val="nil"/>
                  <w:left w:val="nil"/>
                  <w:bottom w:val="nil"/>
                  <w:right w:val="nil"/>
                </w:tcBorders>
              </w:tcPr>
              <w:p w14:paraId="06AEABD2" w14:textId="77777777" w:rsidR="007C7DF7" w:rsidRDefault="007C7DF7">
                <w:pPr>
                  <w:tabs>
                    <w:tab w:val="left" w:pos="3827"/>
                  </w:tabs>
                  <w:ind w:right="-494"/>
                  <w:rPr>
                    <w:rFonts w:ascii="Palatino Linotype" w:eastAsia="Palatino Linotype" w:hAnsi="Palatino Linotype" w:cs="Palatino Linotype"/>
                    <w:sz w:val="22"/>
                    <w:szCs w:val="22"/>
                  </w:rPr>
                </w:pPr>
              </w:p>
            </w:tc>
          </w:tr>
          <w:tr w:rsidR="007C7DF7" w14:paraId="2745B88B" w14:textId="77777777">
            <w:trPr>
              <w:trHeight w:val="283"/>
            </w:trPr>
            <w:tc>
              <w:tcPr>
                <w:tcW w:w="2807" w:type="dxa"/>
                <w:tcBorders>
                  <w:top w:val="nil"/>
                  <w:left w:val="nil"/>
                  <w:bottom w:val="nil"/>
                  <w:right w:val="nil"/>
                </w:tcBorders>
              </w:tcPr>
              <w:p w14:paraId="4EB94CDE" w14:textId="77777777" w:rsidR="007C7DF7" w:rsidRDefault="007C7DF7">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83" w:type="dxa"/>
                <w:tcBorders>
                  <w:top w:val="nil"/>
                  <w:left w:val="nil"/>
                  <w:bottom w:val="nil"/>
                  <w:right w:val="nil"/>
                </w:tcBorders>
              </w:tcPr>
              <w:p w14:paraId="35C6D0D1" w14:textId="77777777" w:rsidR="007C7DF7" w:rsidRDefault="007C7DF7">
                <w:pPr>
                  <w:tabs>
                    <w:tab w:val="left" w:pos="2834"/>
                  </w:tabs>
                  <w:ind w:right="-494"/>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Secretaría de Movilidad</w:t>
                </w:r>
              </w:p>
            </w:tc>
          </w:tr>
          <w:tr w:rsidR="007C7DF7" w14:paraId="5C4A48D8" w14:textId="77777777">
            <w:trPr>
              <w:trHeight w:val="283"/>
            </w:trPr>
            <w:tc>
              <w:tcPr>
                <w:tcW w:w="2807" w:type="dxa"/>
                <w:tcBorders>
                  <w:top w:val="nil"/>
                  <w:left w:val="nil"/>
                  <w:bottom w:val="nil"/>
                  <w:right w:val="nil"/>
                </w:tcBorders>
              </w:tcPr>
              <w:p w14:paraId="38C58570" w14:textId="77777777" w:rsidR="007C7DF7" w:rsidRDefault="007C7DF7">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83" w:type="dxa"/>
                <w:tcBorders>
                  <w:top w:val="nil"/>
                  <w:left w:val="nil"/>
                  <w:bottom w:val="nil"/>
                  <w:right w:val="nil"/>
                </w:tcBorders>
              </w:tcPr>
              <w:p w14:paraId="0C9CE478" w14:textId="77777777" w:rsidR="007C7DF7" w:rsidRDefault="007C7DF7">
                <w:pPr>
                  <w:ind w:right="-494"/>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79F58DB5" w14:textId="77777777" w:rsidR="007C7DF7" w:rsidRDefault="007C7DF7">
                <w:pPr>
                  <w:ind w:right="-494"/>
                  <w:rPr>
                    <w:rFonts w:ascii="Palatino Linotype" w:eastAsia="Palatino Linotype" w:hAnsi="Palatino Linotype" w:cs="Palatino Linotype"/>
                    <w:b/>
                    <w:sz w:val="22"/>
                    <w:szCs w:val="22"/>
                  </w:rPr>
                </w:pPr>
              </w:p>
            </w:tc>
          </w:tr>
        </w:tbl>
        <w:p w14:paraId="28D97C7C" w14:textId="77777777" w:rsidR="007C7DF7" w:rsidRDefault="007C7DF7">
          <w:pPr>
            <w:tabs>
              <w:tab w:val="right" w:pos="8838"/>
            </w:tabs>
            <w:ind w:left="-28"/>
            <w:jc w:val="both"/>
            <w:rPr>
              <w:rFonts w:ascii="Arial" w:eastAsia="Arial" w:hAnsi="Arial" w:cs="Arial"/>
              <w:b/>
            </w:rPr>
          </w:pPr>
        </w:p>
      </w:tc>
    </w:tr>
  </w:tbl>
  <w:p w14:paraId="41F804CA" w14:textId="77777777" w:rsidR="007C7DF7" w:rsidRDefault="007C7DF7">
    <w:pPr>
      <w:pBdr>
        <w:top w:val="nil"/>
        <w:left w:val="nil"/>
        <w:bottom w:val="nil"/>
        <w:right w:val="nil"/>
        <w:between w:val="nil"/>
      </w:pBdr>
      <w:tabs>
        <w:tab w:val="center" w:pos="4419"/>
        <w:tab w:val="right" w:pos="8838"/>
      </w:tabs>
      <w:rPr>
        <w:color w:val="000000"/>
        <w:sz w:val="2"/>
        <w:szCs w:val="2"/>
      </w:rPr>
    </w:pPr>
  </w:p>
  <w:p w14:paraId="62DCA162" w14:textId="77777777" w:rsidR="007C7DF7" w:rsidRDefault="007C7D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9687C"/>
    <w:multiLevelType w:val="multilevel"/>
    <w:tmpl w:val="59F0C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691C48"/>
    <w:multiLevelType w:val="multilevel"/>
    <w:tmpl w:val="5E8EC2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15A45CAE"/>
    <w:multiLevelType w:val="multilevel"/>
    <w:tmpl w:val="86C0F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BE2F06"/>
    <w:multiLevelType w:val="multilevel"/>
    <w:tmpl w:val="68FC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A253482"/>
    <w:multiLevelType w:val="multilevel"/>
    <w:tmpl w:val="3A702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FA34E9C"/>
    <w:multiLevelType w:val="multilevel"/>
    <w:tmpl w:val="F00CC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9B65451"/>
    <w:multiLevelType w:val="multilevel"/>
    <w:tmpl w:val="F2565D20"/>
    <w:lvl w:ilvl="0">
      <w:start w:val="1"/>
      <w:numFmt w:val="decimal"/>
      <w:lvlText w:val="%1."/>
      <w:lvlJc w:val="left"/>
      <w:pPr>
        <w:ind w:left="475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1997"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8B64DB0"/>
    <w:multiLevelType w:val="multilevel"/>
    <w:tmpl w:val="42343AF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7A086AA9"/>
    <w:multiLevelType w:val="multilevel"/>
    <w:tmpl w:val="5734C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2"/>
  </w:num>
  <w:num w:numId="5">
    <w:abstractNumId w:val="6"/>
  </w:num>
  <w:num w:numId="6">
    <w:abstractNumId w:val="0"/>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584"/>
    <w:rsid w:val="00031671"/>
    <w:rsid w:val="00052652"/>
    <w:rsid w:val="000B428A"/>
    <w:rsid w:val="000E2C25"/>
    <w:rsid w:val="002045B5"/>
    <w:rsid w:val="00296151"/>
    <w:rsid w:val="0040793B"/>
    <w:rsid w:val="004A3F23"/>
    <w:rsid w:val="004D274E"/>
    <w:rsid w:val="00546C82"/>
    <w:rsid w:val="005A43E3"/>
    <w:rsid w:val="0074652B"/>
    <w:rsid w:val="007C7DF7"/>
    <w:rsid w:val="00A763D2"/>
    <w:rsid w:val="00A8768A"/>
    <w:rsid w:val="00CA3370"/>
    <w:rsid w:val="00CC5F24"/>
    <w:rsid w:val="00DA0569"/>
    <w:rsid w:val="00DD46C5"/>
    <w:rsid w:val="00E72B01"/>
    <w:rsid w:val="00F12E97"/>
    <w:rsid w:val="00FE7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9DD2C3"/>
  <w15:docId w15:val="{67C5F4BC-BA45-451E-804C-B3ADCD92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838"/>
  </w:style>
  <w:style w:type="paragraph" w:styleId="Ttulo1">
    <w:name w:val="heading 1"/>
    <w:basedOn w:val="Normal"/>
    <w:next w:val="Normal"/>
    <w:link w:val="Ttulo1Car"/>
    <w:rsid w:val="00085838"/>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085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22DC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rsid w:val="00085838"/>
    <w:rPr>
      <w:rFonts w:ascii="Times New Roman" w:eastAsia="Times New Roman" w:hAnsi="Times New Roman" w:cs="Times New Roman"/>
      <w:b/>
      <w:kern w:val="0"/>
      <w:sz w:val="48"/>
      <w:szCs w:val="48"/>
      <w:lang w:eastAsia="es-MX"/>
    </w:rPr>
  </w:style>
  <w:style w:type="character" w:customStyle="1" w:styleId="Ttulo2Car">
    <w:name w:val="Título 2 Car"/>
    <w:basedOn w:val="Fuentedeprrafopredeter"/>
    <w:link w:val="Ttulo2"/>
    <w:uiPriority w:val="9"/>
    <w:rsid w:val="00085838"/>
    <w:rPr>
      <w:rFonts w:asciiTheme="majorHAnsi" w:eastAsiaTheme="majorEastAsia" w:hAnsiTheme="majorHAnsi" w:cstheme="majorBidi"/>
      <w:color w:val="2F5496" w:themeColor="accent1" w:themeShade="BF"/>
      <w:kern w:val="0"/>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5838"/>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5838"/>
    <w:rPr>
      <w:rFonts w:ascii="Century Gothic" w:eastAsia="Times New Roman" w:hAnsi="Century Gothic" w:cs="Times New Roman"/>
      <w:kern w:val="0"/>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085838"/>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583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5838"/>
    <w:rPr>
      <w:kern w:val="0"/>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85838"/>
    <w:rPr>
      <w:vertAlign w:val="superscript"/>
    </w:rPr>
  </w:style>
  <w:style w:type="paragraph" w:styleId="Piedepgina">
    <w:name w:val="footer"/>
    <w:basedOn w:val="Normal"/>
    <w:link w:val="PiedepginaCar"/>
    <w:uiPriority w:val="99"/>
    <w:unhideWhenUsed/>
    <w:rsid w:val="00085838"/>
    <w:pPr>
      <w:tabs>
        <w:tab w:val="center" w:pos="4419"/>
        <w:tab w:val="right" w:pos="8838"/>
      </w:tabs>
    </w:pPr>
  </w:style>
  <w:style w:type="character" w:customStyle="1" w:styleId="PiedepginaCar">
    <w:name w:val="Pie de página Car"/>
    <w:basedOn w:val="Fuentedeprrafopredeter"/>
    <w:link w:val="Piedepgina"/>
    <w:uiPriority w:val="99"/>
    <w:rsid w:val="00085838"/>
    <w:rPr>
      <w:rFonts w:ascii="Times New Roman" w:eastAsia="Times New Roman" w:hAnsi="Times New Roman" w:cs="Times New Roman"/>
      <w:kern w:val="0"/>
      <w:sz w:val="24"/>
      <w:szCs w:val="24"/>
      <w:lang w:eastAsia="es-MX"/>
    </w:rPr>
  </w:style>
  <w:style w:type="table" w:styleId="Tablaconcuadrcula">
    <w:name w:val="Table Grid"/>
    <w:basedOn w:val="Tablanormal"/>
    <w:uiPriority w:val="39"/>
    <w:qFormat/>
    <w:rsid w:val="00883E2A"/>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39569B"/>
    <w:pPr>
      <w:spacing w:after="120"/>
    </w:pPr>
  </w:style>
  <w:style w:type="character" w:customStyle="1" w:styleId="TextoindependienteCar">
    <w:name w:val="Texto independiente Car"/>
    <w:basedOn w:val="Fuentedeprrafopredeter"/>
    <w:link w:val="Textoindependiente"/>
    <w:uiPriority w:val="99"/>
    <w:semiHidden/>
    <w:rsid w:val="0039569B"/>
    <w:rPr>
      <w:rFonts w:ascii="Times New Roman" w:eastAsia="Times New Roman" w:hAnsi="Times New Roman" w:cs="Times New Roman"/>
      <w:kern w:val="0"/>
      <w:sz w:val="24"/>
      <w:szCs w:val="24"/>
      <w:lang w:eastAsia="es-MX"/>
    </w:rPr>
  </w:style>
  <w:style w:type="table" w:customStyle="1" w:styleId="Tablanormal12">
    <w:name w:val="Tabla normal 12"/>
    <w:basedOn w:val="Tablanormal"/>
    <w:next w:val="Tablanormal1"/>
    <w:uiPriority w:val="41"/>
    <w:rsid w:val="00CF2AE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F2AE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semiHidden/>
    <w:rsid w:val="00A22DCA"/>
    <w:rPr>
      <w:rFonts w:asciiTheme="majorHAnsi" w:eastAsiaTheme="majorEastAsia" w:hAnsiTheme="majorHAnsi" w:cstheme="majorBidi"/>
      <w:color w:val="1F3763" w:themeColor="accent1" w:themeShade="7F"/>
      <w:kern w:val="0"/>
      <w:sz w:val="24"/>
      <w:szCs w:val="24"/>
      <w:lang w:eastAsia="es-MX"/>
    </w:rPr>
  </w:style>
  <w:style w:type="paragraph" w:customStyle="1" w:styleId="Default">
    <w:name w:val="Default"/>
    <w:rsid w:val="00AE5A60"/>
    <w:pPr>
      <w:autoSpaceDE w:val="0"/>
      <w:autoSpaceDN w:val="0"/>
      <w:adjustRightInd w:val="0"/>
    </w:pPr>
    <w:rPr>
      <w:rFonts w:ascii="Arial" w:hAnsi="Arial" w:cs="Arial"/>
      <w:color w:val="000000"/>
    </w:rPr>
  </w:style>
  <w:style w:type="paragraph" w:styleId="Encabezado">
    <w:name w:val="header"/>
    <w:basedOn w:val="Normal"/>
    <w:link w:val="EncabezadoCar"/>
    <w:uiPriority w:val="99"/>
    <w:unhideWhenUsed/>
    <w:rsid w:val="00DF630D"/>
    <w:pPr>
      <w:tabs>
        <w:tab w:val="center" w:pos="4419"/>
        <w:tab w:val="right" w:pos="8838"/>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DF630D"/>
    <w:rPr>
      <w:rFonts w:eastAsiaTheme="minorEastAsia"/>
      <w:kern w:val="0"/>
      <w:sz w:val="24"/>
      <w:szCs w:val="24"/>
      <w:lang w:val="es-ES_tradnl" w:eastAsia="es-ES"/>
    </w:rPr>
  </w:style>
  <w:style w:type="character" w:customStyle="1" w:styleId="eop">
    <w:name w:val="eop"/>
    <w:basedOn w:val="Fuentedeprrafopredeter"/>
    <w:rsid w:val="00A84431"/>
  </w:style>
  <w:style w:type="paragraph" w:customStyle="1" w:styleId="paragraph">
    <w:name w:val="paragraph"/>
    <w:basedOn w:val="Normal"/>
    <w:rsid w:val="00A84431"/>
    <w:pPr>
      <w:spacing w:before="100" w:beforeAutospacing="1" w:after="100" w:afterAutospacing="1"/>
    </w:pPr>
  </w:style>
  <w:style w:type="paragraph" w:styleId="Sinespaciado">
    <w:name w:val="No Spacing"/>
    <w:aliases w:val="Francesa,INAI"/>
    <w:link w:val="SinespaciadoCar"/>
    <w:uiPriority w:val="1"/>
    <w:qFormat/>
    <w:rsid w:val="00500EB1"/>
    <w:rPr>
      <w:lang w:eastAsia="es-ES"/>
    </w:rPr>
  </w:style>
  <w:style w:type="character" w:customStyle="1" w:styleId="SinespaciadoCar">
    <w:name w:val="Sin espaciado Car"/>
    <w:aliases w:val="Francesa Car,INAI Car"/>
    <w:link w:val="Sinespaciado"/>
    <w:uiPriority w:val="1"/>
    <w:locked/>
    <w:rsid w:val="00500EB1"/>
    <w:rPr>
      <w:rFonts w:ascii="Times New Roman" w:eastAsia="Times New Roman" w:hAnsi="Times New Roman" w:cs="Times New Roman"/>
      <w:kern w:val="0"/>
      <w:sz w:val="24"/>
      <w:szCs w:val="24"/>
      <w:lang w:eastAsia="es-ES"/>
    </w:rPr>
  </w:style>
  <w:style w:type="paragraph" w:customStyle="1" w:styleId="INFOEM">
    <w:name w:val="INFOEM"/>
    <w:basedOn w:val="Normal"/>
    <w:qFormat/>
    <w:rsid w:val="00500EB1"/>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500EB1"/>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movilidad.edomex.gob.mx/organigra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sJ/SLx6vDs19JeCGV2rUedG+A==">CgMxLjAyCGguZ2pkZ3hzMgloLjFmb2I5dGUyCWguM3pueXNoNzIJaC4yZXQ5MnAwMghoLnR5amN3dDIOaC5yZ2QweGRrN3ZoY2oyDmgua2ViNHR3anEzaDF6MgloLjNkeTZ2a20yCGguZ2pkZ3hzMg5oLm9sdWd2ZGl2M2lyczIOaC4yNWpub3dsOWR2M2MyDmguaGJkenMzZzhsNm1uMg5oLnNnajUxcDlsd3YwaTIOaC5xMXN1ZDZ4eWNyem4yDmgucHg5NWtzbDg0eG5hMg1oLnYwNm9oZ3lzbjcyMg5oLmhzaHloY2Y2NGdydTIOaC50eWs1OXY4NDRkNjcyDmguangyb3l6OTdoMGluMg5oLjdycnZyMGlmNjFqaTIOaC5oendmNWdtMW05N2YyDmgucmx5cDh4aDYzMmkyMg5oLnkzdTZrZzFtOXQzcDIOaC50b2I3aGU0eDFwODUyDmguOXFiOXJ0NzFlMjBuMg5oLmc2emRlMXVmYTBrYzIOaC4xeTEzb2dranB6bnkyDmguMmJybmN6bTFrcmxoMg5oLmM4ZTRwcnVoNzd2NjIOaC5sbG41dHR1Y3YxeXUyDmguYzlxcDNrbmowaXpvMghoLmdqZGd4czgAciExZVp6MXFLcW03YWZhV3pSMWdrc2hJMjB5ZEZWSFYxe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10131</Words>
  <Characters>55725</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 gaona valle</dc:creator>
  <cp:lastModifiedBy>INFOEM416</cp:lastModifiedBy>
  <cp:revision>15</cp:revision>
  <cp:lastPrinted>2025-03-07T18:35:00Z</cp:lastPrinted>
  <dcterms:created xsi:type="dcterms:W3CDTF">2025-02-26T01:50:00Z</dcterms:created>
  <dcterms:modified xsi:type="dcterms:W3CDTF">2025-03-07T18:35:00Z</dcterms:modified>
</cp:coreProperties>
</file>