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18D" w:rsidRPr="002F2DB1" w:rsidRDefault="0019018D" w:rsidP="002F2DB1">
      <w:pPr>
        <w:widowControl w:val="0"/>
        <w:pBdr>
          <w:top w:val="nil"/>
          <w:left w:val="nil"/>
          <w:bottom w:val="nil"/>
          <w:right w:val="nil"/>
          <w:between w:val="nil"/>
        </w:pBdr>
        <w:spacing w:line="276" w:lineRule="auto"/>
        <w:rPr>
          <w:rFonts w:ascii="Palatino Linotype" w:hAnsi="Palatino Linotype"/>
        </w:rPr>
      </w:pPr>
    </w:p>
    <w:p w:rsidR="0019018D" w:rsidRPr="00124739" w:rsidRDefault="008011FF" w:rsidP="002F2DB1">
      <w:pPr>
        <w:tabs>
          <w:tab w:val="left" w:pos="0"/>
        </w:tabs>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rPr>
        <w:t>Resolución del Pleno del Instituto de Transparencia, Acceso a la Información Pública y Protección de Datos Personales</w:t>
      </w:r>
      <w:bookmarkStart w:id="0" w:name="_GoBack"/>
      <w:bookmarkEnd w:id="0"/>
      <w:r w:rsidRPr="00124739">
        <w:rPr>
          <w:rFonts w:ascii="Palatino Linotype" w:eastAsia="Palatino Linotype" w:hAnsi="Palatino Linotype" w:cs="Palatino Linotype"/>
        </w:rPr>
        <w:t xml:space="preserve"> del Estado de México y Municipios, con domicilio en Metepec, Estado de México; del </w:t>
      </w:r>
      <w:r w:rsidRPr="00124739">
        <w:rPr>
          <w:rFonts w:ascii="Palatino Linotype" w:eastAsia="Palatino Linotype" w:hAnsi="Palatino Linotype" w:cs="Palatino Linotype"/>
          <w:b/>
        </w:rPr>
        <w:t>catorce de mayo de dos mil veinticinco.</w:t>
      </w:r>
      <w:r w:rsidRPr="00124739">
        <w:rPr>
          <w:rFonts w:ascii="Palatino Linotype" w:eastAsia="Palatino Linotype" w:hAnsi="Palatino Linotype" w:cs="Palatino Linotype"/>
        </w:rPr>
        <w:t xml:space="preserve"> </w:t>
      </w:r>
    </w:p>
    <w:p w:rsidR="0019018D" w:rsidRPr="00124739" w:rsidRDefault="0019018D" w:rsidP="002F2DB1">
      <w:pPr>
        <w:tabs>
          <w:tab w:val="left" w:pos="0"/>
        </w:tabs>
        <w:spacing w:line="360" w:lineRule="auto"/>
        <w:jc w:val="both"/>
        <w:rPr>
          <w:rFonts w:ascii="Palatino Linotype" w:eastAsia="Palatino Linotype" w:hAnsi="Palatino Linotype" w:cs="Palatino Linotype"/>
        </w:rPr>
      </w:pP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b/>
          <w:color w:val="000000"/>
        </w:rPr>
        <w:t>VISTO</w:t>
      </w:r>
      <w:r w:rsidRPr="00124739">
        <w:rPr>
          <w:rFonts w:ascii="Palatino Linotype" w:eastAsia="Palatino Linotype" w:hAnsi="Palatino Linotype" w:cs="Palatino Linotype"/>
          <w:color w:val="000000"/>
        </w:rPr>
        <w:t xml:space="preserve"> el expediente electrónico formado con motivo del recurso de revisión </w:t>
      </w:r>
      <w:r w:rsidRPr="00124739">
        <w:rPr>
          <w:rFonts w:ascii="Palatino Linotype" w:eastAsia="Palatino Linotype" w:hAnsi="Palatino Linotype" w:cs="Palatino Linotype"/>
          <w:b/>
          <w:color w:val="000000"/>
        </w:rPr>
        <w:t xml:space="preserve">04178/INFOEM/IP/RR/2025, </w:t>
      </w:r>
      <w:r w:rsidRPr="00124739">
        <w:rPr>
          <w:rFonts w:ascii="Palatino Linotype" w:eastAsia="Palatino Linotype" w:hAnsi="Palatino Linotype" w:cs="Palatino Linotype"/>
          <w:color w:val="000000"/>
        </w:rPr>
        <w:t xml:space="preserve">promovido por </w:t>
      </w:r>
      <w:r w:rsidR="003A4637">
        <w:rPr>
          <w:rFonts w:ascii="Palatino Linotype" w:eastAsia="Palatino Linotype" w:hAnsi="Palatino Linotype" w:cs="Palatino Linotype"/>
          <w:b/>
          <w:color w:val="000000"/>
        </w:rPr>
        <w:t>XXXX</w:t>
      </w:r>
      <w:r w:rsidRPr="00124739">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Pr="00124739">
        <w:rPr>
          <w:rFonts w:ascii="Palatino Linotype" w:eastAsia="Palatino Linotype" w:hAnsi="Palatino Linotype" w:cs="Palatino Linotype"/>
          <w:b/>
          <w:color w:val="000000"/>
        </w:rPr>
        <w:t>EL RECURRENTE</w:t>
      </w:r>
      <w:r w:rsidRPr="00124739">
        <w:rPr>
          <w:rFonts w:ascii="Palatino Linotype" w:eastAsia="Palatino Linotype" w:hAnsi="Palatino Linotype" w:cs="Palatino Linotype"/>
          <w:color w:val="000000"/>
        </w:rPr>
        <w:t>, en contra de las respuestas del</w:t>
      </w:r>
      <w:r w:rsidRPr="00124739">
        <w:rPr>
          <w:rFonts w:ascii="Palatino Linotype" w:eastAsia="Palatino Linotype" w:hAnsi="Palatino Linotype" w:cs="Palatino Linotype"/>
          <w:b/>
          <w:color w:val="000000"/>
        </w:rPr>
        <w:t xml:space="preserve"> Organismo</w:t>
      </w:r>
      <w:r w:rsidRPr="00124739">
        <w:rPr>
          <w:rFonts w:ascii="Palatino Linotype" w:eastAsia="Palatino Linotype" w:hAnsi="Palatino Linotype" w:cs="Palatino Linotype"/>
          <w:color w:val="000000"/>
        </w:rPr>
        <w:t xml:space="preserve"> </w:t>
      </w:r>
      <w:r w:rsidRPr="00124739">
        <w:rPr>
          <w:rFonts w:ascii="Palatino Linotype" w:eastAsia="Palatino Linotype" w:hAnsi="Palatino Linotype" w:cs="Palatino Linotype"/>
          <w:b/>
          <w:color w:val="000000"/>
        </w:rPr>
        <w:t>Agua y Saneamiento de Toluca</w:t>
      </w:r>
      <w:r w:rsidRPr="00124739">
        <w:rPr>
          <w:rFonts w:ascii="Palatino Linotype" w:eastAsia="Palatino Linotype" w:hAnsi="Palatino Linotype" w:cs="Palatino Linotype"/>
          <w:color w:val="000000"/>
        </w:rPr>
        <w:t xml:space="preserve">, en lo sucesivo </w:t>
      </w:r>
      <w:r w:rsidRPr="00124739">
        <w:rPr>
          <w:rFonts w:ascii="Palatino Linotype" w:eastAsia="Palatino Linotype" w:hAnsi="Palatino Linotype" w:cs="Palatino Linotype"/>
          <w:b/>
          <w:color w:val="000000"/>
        </w:rPr>
        <w:t>EL SUJETO OBLIGADO</w:t>
      </w:r>
      <w:r w:rsidRPr="00124739">
        <w:rPr>
          <w:rFonts w:ascii="Palatino Linotype" w:eastAsia="Palatino Linotype" w:hAnsi="Palatino Linotype" w:cs="Palatino Linotype"/>
          <w:color w:val="000000"/>
        </w:rPr>
        <w:t>, se procede a dictar la presente resolución, con base en los siguientes:</w:t>
      </w:r>
    </w:p>
    <w:p w:rsidR="0019018D" w:rsidRPr="00124739" w:rsidRDefault="0019018D" w:rsidP="002F2DB1">
      <w:pPr>
        <w:spacing w:line="360" w:lineRule="auto"/>
        <w:jc w:val="both"/>
        <w:rPr>
          <w:rFonts w:ascii="Palatino Linotype" w:eastAsia="Palatino Linotype" w:hAnsi="Palatino Linotype" w:cs="Palatino Linotype"/>
        </w:rPr>
      </w:pPr>
    </w:p>
    <w:p w:rsidR="0019018D" w:rsidRPr="00124739" w:rsidRDefault="008011FF" w:rsidP="002F2DB1">
      <w:pPr>
        <w:keepNext/>
        <w:keepLines/>
        <w:tabs>
          <w:tab w:val="left" w:pos="0"/>
        </w:tabs>
        <w:spacing w:line="360" w:lineRule="auto"/>
        <w:jc w:val="center"/>
        <w:rPr>
          <w:rFonts w:ascii="Palatino Linotype" w:eastAsia="Palatino Linotype" w:hAnsi="Palatino Linotype" w:cs="Palatino Linotype"/>
          <w:b/>
        </w:rPr>
      </w:pPr>
      <w:bookmarkStart w:id="1" w:name="_heading=h.bk0fs8yzk7tm" w:colFirst="0" w:colLast="0"/>
      <w:bookmarkEnd w:id="1"/>
      <w:r w:rsidRPr="00124739">
        <w:rPr>
          <w:rFonts w:ascii="Palatino Linotype" w:eastAsia="Palatino Linotype" w:hAnsi="Palatino Linotype" w:cs="Palatino Linotype"/>
          <w:b/>
        </w:rPr>
        <w:t>ANTECEDENTES</w:t>
      </w:r>
    </w:p>
    <w:p w:rsidR="0019018D" w:rsidRPr="00124739" w:rsidRDefault="0019018D" w:rsidP="002F2DB1">
      <w:pPr>
        <w:keepNext/>
        <w:keepLines/>
        <w:tabs>
          <w:tab w:val="left" w:pos="0"/>
        </w:tabs>
        <w:spacing w:line="360" w:lineRule="auto"/>
        <w:jc w:val="center"/>
        <w:rPr>
          <w:rFonts w:ascii="Palatino Linotype" w:eastAsia="Palatino Linotype" w:hAnsi="Palatino Linotype" w:cs="Palatino Linotype"/>
          <w:b/>
        </w:rPr>
      </w:pPr>
    </w:p>
    <w:p w:rsidR="0019018D" w:rsidRPr="00124739" w:rsidRDefault="008011FF" w:rsidP="002F2DB1">
      <w:pPr>
        <w:numPr>
          <w:ilvl w:val="0"/>
          <w:numId w:val="1"/>
        </w:numPr>
        <w:tabs>
          <w:tab w:val="left" w:pos="0"/>
        </w:tabs>
        <w:spacing w:line="360" w:lineRule="auto"/>
        <w:ind w:left="0" w:firstLine="0"/>
        <w:jc w:val="both"/>
        <w:rPr>
          <w:rFonts w:ascii="Palatino Linotype" w:eastAsia="Palatino Linotype" w:hAnsi="Palatino Linotype" w:cs="Palatino Linotype"/>
        </w:rPr>
      </w:pPr>
      <w:r w:rsidRPr="00124739">
        <w:rPr>
          <w:rFonts w:ascii="Palatino Linotype" w:eastAsia="Palatino Linotype" w:hAnsi="Palatino Linotype" w:cs="Palatino Linotype"/>
        </w:rPr>
        <w:t xml:space="preserve">El </w:t>
      </w:r>
      <w:r w:rsidRPr="00124739">
        <w:rPr>
          <w:rFonts w:ascii="Palatino Linotype" w:eastAsia="Palatino Linotype" w:hAnsi="Palatino Linotype" w:cs="Palatino Linotype"/>
          <w:b/>
        </w:rPr>
        <w:t>veinticinco de febrero de dos mil veinticinco</w:t>
      </w:r>
      <w:r w:rsidRPr="00124739">
        <w:rPr>
          <w:rFonts w:ascii="Palatino Linotype" w:eastAsia="Palatino Linotype" w:hAnsi="Palatino Linotype" w:cs="Palatino Linotype"/>
        </w:rPr>
        <w:t>, el</w:t>
      </w:r>
      <w:r w:rsidRPr="00124739">
        <w:rPr>
          <w:rFonts w:ascii="Palatino Linotype" w:eastAsia="Palatino Linotype" w:hAnsi="Palatino Linotype" w:cs="Palatino Linotype"/>
          <w:b/>
        </w:rPr>
        <w:t xml:space="preserve"> </w:t>
      </w:r>
      <w:r w:rsidRPr="00124739">
        <w:rPr>
          <w:rFonts w:ascii="Palatino Linotype" w:eastAsia="Palatino Linotype" w:hAnsi="Palatino Linotype" w:cs="Palatino Linotype"/>
        </w:rPr>
        <w:t>solicitante</w:t>
      </w:r>
      <w:r w:rsidRPr="00124739">
        <w:rPr>
          <w:rFonts w:ascii="Palatino Linotype" w:eastAsia="Palatino Linotype" w:hAnsi="Palatino Linotype" w:cs="Palatino Linotype"/>
          <w:b/>
        </w:rPr>
        <w:t xml:space="preserve"> </w:t>
      </w:r>
      <w:r w:rsidRPr="00124739">
        <w:rPr>
          <w:rFonts w:ascii="Palatino Linotype" w:eastAsia="Palatino Linotype" w:hAnsi="Palatino Linotype" w:cs="Palatino Linotype"/>
        </w:rPr>
        <w:t>presentó</w:t>
      </w:r>
      <w:r w:rsidRPr="00124739">
        <w:rPr>
          <w:rFonts w:ascii="Palatino Linotype" w:eastAsia="Palatino Linotype" w:hAnsi="Palatino Linotype" w:cs="Palatino Linotype"/>
          <w:b/>
        </w:rPr>
        <w:t xml:space="preserve"> </w:t>
      </w:r>
      <w:r w:rsidRPr="00124739">
        <w:rPr>
          <w:rFonts w:ascii="Palatino Linotype" w:eastAsia="Palatino Linotype" w:hAnsi="Palatino Linotype" w:cs="Palatino Linotype"/>
        </w:rPr>
        <w:t xml:space="preserve">ante el </w:t>
      </w:r>
      <w:r w:rsidRPr="00124739">
        <w:rPr>
          <w:rFonts w:ascii="Palatino Linotype" w:eastAsia="Palatino Linotype" w:hAnsi="Palatino Linotype" w:cs="Palatino Linotype"/>
          <w:b/>
        </w:rPr>
        <w:t>SUJETO OBLIGADO,</w:t>
      </w:r>
      <w:r w:rsidRPr="00124739">
        <w:rPr>
          <w:rFonts w:ascii="Palatino Linotype" w:eastAsia="Palatino Linotype" w:hAnsi="Palatino Linotype" w:cs="Palatino Linotype"/>
        </w:rPr>
        <w:t xml:space="preserve"> a través del Sistema de Acceso a la Información Mexiquense (SAIMEX), la solicitud de información pública registrada con el número </w:t>
      </w:r>
      <w:r w:rsidRPr="00124739">
        <w:rPr>
          <w:rFonts w:ascii="Palatino Linotype" w:eastAsia="Palatino Linotype" w:hAnsi="Palatino Linotype" w:cs="Palatino Linotype"/>
          <w:b/>
        </w:rPr>
        <w:t>00026/OASTOL/IP/2025</w:t>
      </w:r>
      <w:r w:rsidRPr="00124739">
        <w:rPr>
          <w:rFonts w:ascii="Palatino Linotype" w:eastAsia="Palatino Linotype" w:hAnsi="Palatino Linotype" w:cs="Palatino Linotype"/>
        </w:rPr>
        <w:t>, mediante la cual se solicitó:</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b/>
          <w:i/>
          <w:color w:val="000000"/>
        </w:rPr>
      </w:pPr>
      <w:r w:rsidRPr="00124739">
        <w:rPr>
          <w:rFonts w:ascii="Palatino Linotype" w:eastAsia="Palatino Linotype" w:hAnsi="Palatino Linotype" w:cs="Palatino Linotype"/>
          <w:b/>
          <w:i/>
          <w:color w:val="000000"/>
        </w:rPr>
        <w:t>Solicitud</w:t>
      </w:r>
    </w:p>
    <w:p w:rsidR="0019018D" w:rsidRPr="00124739" w:rsidRDefault="0019018D" w:rsidP="002F2DB1">
      <w:pPr>
        <w:pBdr>
          <w:top w:val="nil"/>
          <w:left w:val="nil"/>
          <w:bottom w:val="nil"/>
          <w:right w:val="nil"/>
          <w:between w:val="nil"/>
        </w:pBdr>
        <w:tabs>
          <w:tab w:val="left" w:pos="1005"/>
        </w:tabs>
        <w:jc w:val="both"/>
        <w:rPr>
          <w:rFonts w:ascii="Palatino Linotype" w:eastAsia="Palatino Linotype" w:hAnsi="Palatino Linotype" w:cs="Palatino Linotype"/>
          <w:b/>
          <w:i/>
          <w:color w:val="000000"/>
        </w:rPr>
      </w:pP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“La plantilla del todos el Personal que labora en el Ayuntamiento de todas las dependencias, organismos de agua Dirección, seguridad actualmente con cargo sueldo y fecha de alta”. (Sic.)</w:t>
      </w:r>
    </w:p>
    <w:p w:rsidR="0019018D" w:rsidRPr="00124739" w:rsidRDefault="0019018D" w:rsidP="002F2DB1">
      <w:pPr>
        <w:tabs>
          <w:tab w:val="left" w:pos="0"/>
        </w:tabs>
        <w:spacing w:line="360" w:lineRule="auto"/>
        <w:jc w:val="both"/>
        <w:rPr>
          <w:rFonts w:ascii="Palatino Linotype" w:eastAsia="Palatino Linotype" w:hAnsi="Palatino Linotype" w:cs="Palatino Linotype"/>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color w:val="000000"/>
        </w:rPr>
        <w:t>Se hace constar que se señaló como modalidad de entrega de la información a través de SAIMEX.</w:t>
      </w:r>
    </w:p>
    <w:p w:rsidR="0019018D" w:rsidRPr="00124739" w:rsidRDefault="0019018D" w:rsidP="002F2DB1">
      <w:pPr>
        <w:rPr>
          <w:rFonts w:ascii="Palatino Linotype" w:eastAsia="Palatino Linotype" w:hAnsi="Palatino Linotype" w:cs="Palatino Linotype"/>
        </w:rPr>
      </w:pPr>
    </w:p>
    <w:p w:rsidR="0019018D" w:rsidRPr="00124739" w:rsidRDefault="0019018D" w:rsidP="00175986">
      <w:pPr>
        <w:tabs>
          <w:tab w:val="left" w:pos="0"/>
        </w:tabs>
        <w:spacing w:line="360" w:lineRule="auto"/>
        <w:jc w:val="both"/>
        <w:rPr>
          <w:rFonts w:ascii="Palatino Linotype" w:eastAsia="Palatino Linotype" w:hAnsi="Palatino Linotype" w:cs="Palatino Linotype"/>
        </w:rPr>
      </w:pPr>
    </w:p>
    <w:p w:rsidR="0019018D" w:rsidRPr="00124739" w:rsidRDefault="008011FF" w:rsidP="002F2DB1">
      <w:pPr>
        <w:numPr>
          <w:ilvl w:val="0"/>
          <w:numId w:val="1"/>
        </w:numPr>
        <w:tabs>
          <w:tab w:val="left" w:pos="0"/>
        </w:tabs>
        <w:spacing w:line="360" w:lineRule="auto"/>
        <w:ind w:left="0" w:firstLine="0"/>
        <w:jc w:val="both"/>
        <w:rPr>
          <w:rFonts w:ascii="Palatino Linotype" w:eastAsia="Palatino Linotype" w:hAnsi="Palatino Linotype" w:cs="Palatino Linotype"/>
        </w:rPr>
      </w:pPr>
      <w:r w:rsidRPr="00124739">
        <w:rPr>
          <w:rFonts w:ascii="Palatino Linotype" w:eastAsia="Palatino Linotype" w:hAnsi="Palatino Linotype" w:cs="Palatino Linotype"/>
        </w:rPr>
        <w:t xml:space="preserve">El </w:t>
      </w:r>
      <w:r w:rsidRPr="00124739">
        <w:rPr>
          <w:rFonts w:ascii="Palatino Linotype" w:eastAsia="Palatino Linotype" w:hAnsi="Palatino Linotype" w:cs="Palatino Linotype"/>
          <w:b/>
        </w:rPr>
        <w:t xml:space="preserve">cinco de marzo de dos mil veinticinco; </w:t>
      </w:r>
      <w:r w:rsidRPr="00124739">
        <w:rPr>
          <w:rFonts w:ascii="Palatino Linotype" w:eastAsia="Palatino Linotype" w:hAnsi="Palatino Linotype" w:cs="Palatino Linotype"/>
        </w:rPr>
        <w:t>el Sujeto Obligado, requirió al particular aclarar su solicitud de información, en los términos siguientes:</w:t>
      </w:r>
    </w:p>
    <w:p w:rsidR="0019018D" w:rsidRPr="00124739" w:rsidRDefault="0019018D" w:rsidP="002F2DB1">
      <w:pPr>
        <w:tabs>
          <w:tab w:val="left" w:pos="0"/>
        </w:tabs>
        <w:spacing w:line="360" w:lineRule="auto"/>
        <w:jc w:val="both"/>
        <w:rPr>
          <w:rFonts w:ascii="Palatino Linotype" w:eastAsia="Palatino Linotype" w:hAnsi="Palatino Linotype" w:cs="Palatino Linotype"/>
        </w:rPr>
      </w:pPr>
    </w:p>
    <w:p w:rsidR="0019018D" w:rsidRPr="00124739" w:rsidRDefault="008011FF" w:rsidP="002F2DB1">
      <w:pPr>
        <w:tabs>
          <w:tab w:val="left" w:pos="567"/>
        </w:tabs>
        <w:jc w:val="both"/>
        <w:rPr>
          <w:rFonts w:ascii="Palatino Linotype" w:eastAsia="Palatino Linotype" w:hAnsi="Palatino Linotype" w:cs="Palatino Linotype"/>
          <w:i/>
        </w:rPr>
      </w:pPr>
      <w:r w:rsidRPr="00124739">
        <w:rPr>
          <w:rFonts w:ascii="Palatino Linotype" w:eastAsia="Palatino Linotype" w:hAnsi="Palatino Linotype" w:cs="Palatino Linotype"/>
          <w:i/>
        </w:rPr>
        <w:t xml:space="preserve">“Con fundamento en el </w:t>
      </w:r>
      <w:proofErr w:type="spellStart"/>
      <w:r w:rsidRPr="00124739">
        <w:rPr>
          <w:rFonts w:ascii="Palatino Linotype" w:eastAsia="Palatino Linotype" w:hAnsi="Palatino Linotype" w:cs="Palatino Linotype"/>
          <w:i/>
        </w:rPr>
        <w:t>articulo</w:t>
      </w:r>
      <w:proofErr w:type="spellEnd"/>
      <w:r w:rsidRPr="00124739">
        <w:rPr>
          <w:rFonts w:ascii="Palatino Linotype" w:eastAsia="Palatino Linotype" w:hAnsi="Palatino Linotype" w:cs="Palatino Linotype"/>
          <w:i/>
        </w:rPr>
        <w:t xml:space="preserve"> 159 de la Ley de Transparencia y Acceso a la Información Pública del Estado de México y Municipios, se le requiere para que dentro del plazo de diez días hábiles realice lo siguiente: Con fundamento en el </w:t>
      </w:r>
      <w:proofErr w:type="spellStart"/>
      <w:r w:rsidRPr="00124739">
        <w:rPr>
          <w:rFonts w:ascii="Palatino Linotype" w:eastAsia="Palatino Linotype" w:hAnsi="Palatino Linotype" w:cs="Palatino Linotype"/>
          <w:i/>
        </w:rPr>
        <w:t>articulo</w:t>
      </w:r>
      <w:proofErr w:type="spellEnd"/>
      <w:r w:rsidRPr="00124739">
        <w:rPr>
          <w:rFonts w:ascii="Palatino Linotype" w:eastAsia="Palatino Linotype" w:hAnsi="Palatino Linotype" w:cs="Palatino Linotype"/>
          <w:i/>
        </w:rPr>
        <w:t xml:space="preserve"> 159 de la Ley de Transparencia y Acceso a la Información Pública del Estado de México y Municipios, se le requiere para que dentro del plazo de diez días hábiles realice lo siguiente: DE CONFORMIDAD CON EL ART 159 DE LA ITAIPEM, SE SOLICITA AL IMPETRANTE LA SIGUENTE ACLARACIÓN; A FIN DE PODER EMITIR LO SOLICITADO: ACLARAR LAS DEPENDENCIAS DE LAS CUALES REQUIERE LA INFORMACIÓN, YA QUE ESTE SUJETO OBLIGADO SOLAMENTE ESTA FACULTADO PARA RESPONDER LAS SOLICITUDES DE INFORMACIÓN DEL ORGANISMO DE AGUA Y SANEAMIENTO, NO ES DE SU COMPETENCIA RESPONDER SOLICITUDES REFERENTES AL AYUNTAMIENTO. En caso de que no se desahogue el requerimiento señalado dentro del plazo citado se tendrá por no presentada la solicitud de información, quedando a salvo sus derechos para volver a presentar la solicitud, lo anterior con fundamento en el artículo 159 de la Ley invocada. ATENTAMENTE Areli Aurora Roldan Correa Unidad de Transparencia Organismo Agua y Saneamiento de Toluca En caso de que no se desahogue el requerimiento señalado dentro del plazo citado se tendrá por no presentada la solicitud de información, quedando a salvo sus derechos para volver a presentar la solicitud, lo anterior con fundamento en el artículo 159 de la Ley invocada. ATENTAMENTE Areli Aurora Roldan Correa Unidad de Transparencia Organismo Agua y Saneamiento de Toluca.” (Sic.)</w:t>
      </w:r>
    </w:p>
    <w:p w:rsidR="0019018D" w:rsidRPr="00124739" w:rsidRDefault="0019018D" w:rsidP="002F2DB1">
      <w:pPr>
        <w:tabs>
          <w:tab w:val="left" w:pos="0"/>
        </w:tabs>
        <w:spacing w:line="360" w:lineRule="auto"/>
        <w:jc w:val="both"/>
        <w:rPr>
          <w:rFonts w:ascii="Palatino Linotype" w:eastAsia="Palatino Linotype" w:hAnsi="Palatino Linotype" w:cs="Palatino Linotype"/>
        </w:rPr>
      </w:pPr>
    </w:p>
    <w:p w:rsidR="0019018D" w:rsidRPr="00124739" w:rsidRDefault="008011FF" w:rsidP="002F2DB1">
      <w:pPr>
        <w:numPr>
          <w:ilvl w:val="0"/>
          <w:numId w:val="1"/>
        </w:numPr>
        <w:tabs>
          <w:tab w:val="left" w:pos="0"/>
        </w:tabs>
        <w:spacing w:line="360" w:lineRule="auto"/>
        <w:ind w:left="0" w:firstLine="0"/>
        <w:jc w:val="both"/>
        <w:rPr>
          <w:rFonts w:ascii="Palatino Linotype" w:eastAsia="Palatino Linotype" w:hAnsi="Palatino Linotype" w:cs="Palatino Linotype"/>
        </w:rPr>
      </w:pPr>
      <w:r w:rsidRPr="00124739">
        <w:rPr>
          <w:rFonts w:ascii="Palatino Linotype" w:eastAsia="Palatino Linotype" w:hAnsi="Palatino Linotype" w:cs="Palatino Linotype"/>
        </w:rPr>
        <w:t xml:space="preserve">Por lo anterior, en fecha </w:t>
      </w:r>
      <w:r w:rsidRPr="00124739">
        <w:rPr>
          <w:rFonts w:ascii="Palatino Linotype" w:eastAsia="Palatino Linotype" w:hAnsi="Palatino Linotype" w:cs="Palatino Linotype"/>
          <w:b/>
        </w:rPr>
        <w:t xml:space="preserve">cinco de marzo de dos mil veinticinco, </w:t>
      </w:r>
      <w:r w:rsidRPr="00124739">
        <w:rPr>
          <w:rFonts w:ascii="Palatino Linotype" w:eastAsia="Palatino Linotype" w:hAnsi="Palatino Linotype" w:cs="Palatino Linotype"/>
        </w:rPr>
        <w:t xml:space="preserve">el particular brindó contestación a la aclaración solicitada por el </w:t>
      </w:r>
      <w:r w:rsidRPr="00124739">
        <w:rPr>
          <w:rFonts w:ascii="Palatino Linotype" w:eastAsia="Palatino Linotype" w:hAnsi="Palatino Linotype" w:cs="Palatino Linotype"/>
          <w:b/>
        </w:rPr>
        <w:t xml:space="preserve">SUJETO OBLIGADO, </w:t>
      </w:r>
      <w:r w:rsidRPr="00124739">
        <w:rPr>
          <w:rFonts w:ascii="Palatino Linotype" w:eastAsia="Palatino Linotype" w:hAnsi="Palatino Linotype" w:cs="Palatino Linotype"/>
        </w:rPr>
        <w:t>refiriendo como:</w:t>
      </w:r>
    </w:p>
    <w:p w:rsidR="0019018D" w:rsidRPr="00124739" w:rsidRDefault="008011FF" w:rsidP="002F2DB1">
      <w:pPr>
        <w:tabs>
          <w:tab w:val="left" w:pos="0"/>
        </w:tabs>
        <w:spacing w:line="360" w:lineRule="auto"/>
        <w:jc w:val="both"/>
        <w:rPr>
          <w:rFonts w:ascii="Palatino Linotype" w:eastAsia="Palatino Linotype" w:hAnsi="Palatino Linotype" w:cs="Palatino Linotype"/>
          <w:b/>
        </w:rPr>
      </w:pPr>
      <w:r w:rsidRPr="00124739">
        <w:rPr>
          <w:rFonts w:ascii="Palatino Linotype" w:eastAsia="Palatino Linotype" w:hAnsi="Palatino Linotype" w:cs="Palatino Linotype"/>
          <w:b/>
        </w:rPr>
        <w:tab/>
        <w:t>Datos a completar, corregir, ampliar o aclarar</w:t>
      </w:r>
    </w:p>
    <w:p w:rsidR="0019018D" w:rsidRPr="00124739" w:rsidRDefault="008011FF" w:rsidP="002F2DB1">
      <w:pPr>
        <w:tabs>
          <w:tab w:val="left" w:pos="851"/>
        </w:tabs>
        <w:spacing w:line="360" w:lineRule="auto"/>
        <w:jc w:val="both"/>
        <w:rPr>
          <w:rFonts w:ascii="Palatino Linotype" w:eastAsia="Palatino Linotype" w:hAnsi="Palatino Linotype" w:cs="Palatino Linotype"/>
          <w:i/>
        </w:rPr>
      </w:pPr>
      <w:r w:rsidRPr="00124739">
        <w:rPr>
          <w:rFonts w:ascii="Palatino Linotype" w:eastAsia="Palatino Linotype" w:hAnsi="Palatino Linotype" w:cs="Palatino Linotype"/>
          <w:i/>
        </w:rPr>
        <w:t xml:space="preserve">“La solicitud que se describe, </w:t>
      </w:r>
      <w:proofErr w:type="spellStart"/>
      <w:r w:rsidRPr="00124739">
        <w:rPr>
          <w:rFonts w:ascii="Palatino Linotype" w:eastAsia="Palatino Linotype" w:hAnsi="Palatino Linotype" w:cs="Palatino Linotype"/>
          <w:i/>
        </w:rPr>
        <w:t>por que</w:t>
      </w:r>
      <w:proofErr w:type="spellEnd"/>
      <w:r w:rsidRPr="00124739">
        <w:rPr>
          <w:rFonts w:ascii="Palatino Linotype" w:eastAsia="Palatino Linotype" w:hAnsi="Palatino Linotype" w:cs="Palatino Linotype"/>
          <w:i/>
        </w:rPr>
        <w:t xml:space="preserve"> es clara</w:t>
      </w:r>
      <w:proofErr w:type="gramStart"/>
      <w:r w:rsidRPr="00124739">
        <w:rPr>
          <w:rFonts w:ascii="Palatino Linotype" w:eastAsia="Palatino Linotype" w:hAnsi="Palatino Linotype" w:cs="Palatino Linotype"/>
          <w:i/>
        </w:rPr>
        <w:t>”(</w:t>
      </w:r>
      <w:proofErr w:type="gramEnd"/>
      <w:r w:rsidRPr="00124739">
        <w:rPr>
          <w:rFonts w:ascii="Palatino Linotype" w:eastAsia="Palatino Linotype" w:hAnsi="Palatino Linotype" w:cs="Palatino Linotype"/>
          <w:i/>
        </w:rPr>
        <w:t>Sic.)</w:t>
      </w:r>
    </w:p>
    <w:p w:rsidR="0019018D" w:rsidRPr="00124739" w:rsidRDefault="0019018D" w:rsidP="002F2DB1">
      <w:pPr>
        <w:tabs>
          <w:tab w:val="left" w:pos="0"/>
        </w:tabs>
        <w:spacing w:line="360" w:lineRule="auto"/>
        <w:jc w:val="both"/>
        <w:rPr>
          <w:rFonts w:ascii="Palatino Linotype" w:eastAsia="Palatino Linotype" w:hAnsi="Palatino Linotype" w:cs="Palatino Linotype"/>
        </w:rPr>
      </w:pPr>
    </w:p>
    <w:p w:rsidR="0019018D" w:rsidRPr="00124739" w:rsidRDefault="0019018D" w:rsidP="002F2DB1">
      <w:pPr>
        <w:tabs>
          <w:tab w:val="left" w:pos="0"/>
        </w:tabs>
        <w:spacing w:line="360" w:lineRule="auto"/>
        <w:jc w:val="both"/>
        <w:rPr>
          <w:rFonts w:ascii="Palatino Linotype" w:eastAsia="Palatino Linotype" w:hAnsi="Palatino Linotype" w:cs="Palatino Linotype"/>
        </w:rPr>
      </w:pPr>
    </w:p>
    <w:p w:rsidR="0019018D" w:rsidRPr="00124739" w:rsidRDefault="008011FF" w:rsidP="002F2DB1">
      <w:pPr>
        <w:numPr>
          <w:ilvl w:val="0"/>
          <w:numId w:val="1"/>
        </w:numPr>
        <w:tabs>
          <w:tab w:val="left" w:pos="0"/>
        </w:tabs>
        <w:spacing w:line="360" w:lineRule="auto"/>
        <w:ind w:left="0" w:firstLine="0"/>
        <w:jc w:val="both"/>
        <w:rPr>
          <w:rFonts w:ascii="Palatino Linotype" w:eastAsia="Palatino Linotype" w:hAnsi="Palatino Linotype" w:cs="Palatino Linotype"/>
        </w:rPr>
      </w:pPr>
      <w:r w:rsidRPr="00124739">
        <w:rPr>
          <w:rFonts w:ascii="Palatino Linotype" w:eastAsia="Palatino Linotype" w:hAnsi="Palatino Linotype" w:cs="Palatino Linotype"/>
        </w:rPr>
        <w:t xml:space="preserve">El </w:t>
      </w:r>
      <w:r w:rsidRPr="00124739">
        <w:rPr>
          <w:rFonts w:ascii="Palatino Linotype" w:eastAsia="Palatino Linotype" w:hAnsi="Palatino Linotype" w:cs="Palatino Linotype"/>
          <w:b/>
        </w:rPr>
        <w:t>veinticinco de marzo de dos mil veinticinco</w:t>
      </w:r>
      <w:r w:rsidRPr="00124739">
        <w:rPr>
          <w:rFonts w:ascii="Palatino Linotype" w:eastAsia="Palatino Linotype" w:hAnsi="Palatino Linotype" w:cs="Palatino Linotype"/>
        </w:rPr>
        <w:t>, el Sujeto Obligado dio respuesta a la solicitud de información en el siguiente sentido:</w:t>
      </w:r>
    </w:p>
    <w:p w:rsidR="0019018D" w:rsidRPr="00124739" w:rsidRDefault="0019018D" w:rsidP="002F2DB1">
      <w:pPr>
        <w:tabs>
          <w:tab w:val="left" w:pos="0"/>
        </w:tabs>
        <w:jc w:val="both"/>
        <w:rPr>
          <w:rFonts w:ascii="Palatino Linotype" w:eastAsia="Palatino Linotype" w:hAnsi="Palatino Linotype" w:cs="Palatino Linotype"/>
        </w:rPr>
      </w:pP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i/>
        </w:rPr>
        <w:t>“Con fundamento en el artículo 163 de la Ley de Transparencia y Acceso a la Información Pública del Estado de México y Municipios, le contestamos que:</w:t>
      </w:r>
    </w:p>
    <w:p w:rsidR="0019018D" w:rsidRPr="00124739" w:rsidRDefault="0019018D" w:rsidP="002F2DB1">
      <w:pPr>
        <w:jc w:val="both"/>
        <w:rPr>
          <w:rFonts w:ascii="Palatino Linotype" w:eastAsia="Palatino Linotype" w:hAnsi="Palatino Linotype" w:cs="Palatino Linotype"/>
          <w:i/>
        </w:rPr>
      </w:pP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i/>
        </w:rPr>
        <w:t>SE ENTREGA EL OFICIO EN RESPUESTA A LA SOLICITUD 00026/OASTOL/IP/2025 REITERANDO NUESTRA INSTITUCIONALIDAD.” (Sic)</w:t>
      </w:r>
    </w:p>
    <w:p w:rsidR="0019018D" w:rsidRPr="00124739" w:rsidRDefault="0019018D" w:rsidP="002F2DB1">
      <w:pPr>
        <w:tabs>
          <w:tab w:val="left" w:pos="0"/>
        </w:tabs>
        <w:spacing w:line="360" w:lineRule="auto"/>
        <w:jc w:val="both"/>
        <w:rPr>
          <w:rFonts w:ascii="Palatino Linotype" w:eastAsia="Palatino Linotype" w:hAnsi="Palatino Linotype" w:cs="Palatino Linotype"/>
        </w:rPr>
      </w:pPr>
      <w:bookmarkStart w:id="2" w:name="_heading=h.99ffmmvyov1h" w:colFirst="0" w:colLast="0"/>
      <w:bookmarkEnd w:id="2"/>
    </w:p>
    <w:p w:rsidR="0019018D" w:rsidRPr="00124739" w:rsidRDefault="008011FF" w:rsidP="002F2DB1">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124739">
        <w:rPr>
          <w:rFonts w:ascii="Palatino Linotype" w:eastAsia="Palatino Linotype" w:hAnsi="Palatino Linotype" w:cs="Palatino Linotype"/>
          <w:color w:val="000000"/>
        </w:rPr>
        <w:t xml:space="preserve">Se adjuntó el archivo electrónico denominado </w:t>
      </w:r>
      <w:r w:rsidRPr="00124739">
        <w:rPr>
          <w:rFonts w:ascii="Palatino Linotype" w:eastAsia="Palatino Linotype" w:hAnsi="Palatino Linotype" w:cs="Palatino Linotype"/>
          <w:b/>
          <w:color w:val="000000"/>
        </w:rPr>
        <w:t>OFICIO 51 SOL00026.pdf</w:t>
      </w:r>
      <w:r w:rsidRPr="00124739">
        <w:rPr>
          <w:rFonts w:ascii="Palatino Linotype" w:eastAsia="Palatino Linotype" w:hAnsi="Palatino Linotype" w:cs="Palatino Linotype"/>
          <w:color w:val="000000"/>
        </w:rPr>
        <w:t xml:space="preserve">, mismo que contiene el oficio </w:t>
      </w:r>
      <w:r w:rsidRPr="00124739">
        <w:rPr>
          <w:rFonts w:ascii="Palatino Linotype" w:eastAsia="Palatino Linotype" w:hAnsi="Palatino Linotype" w:cs="Palatino Linotype"/>
          <w:b/>
          <w:color w:val="000000"/>
        </w:rPr>
        <w:t>200C16201/051/2025</w:t>
      </w:r>
      <w:r w:rsidRPr="00124739">
        <w:rPr>
          <w:rFonts w:ascii="Palatino Linotype" w:eastAsia="Palatino Linotype" w:hAnsi="Palatino Linotype" w:cs="Palatino Linotype"/>
          <w:color w:val="000000"/>
        </w:rPr>
        <w:t>, constante de una foja, signado por la Jefa del Departamento de Transparencia, Oficialía de Partes y Atención Ciudadana, cuyo contenido es el siguiente: :</w:t>
      </w:r>
    </w:p>
    <w:p w:rsidR="0019018D" w:rsidRPr="00124739" w:rsidRDefault="0019018D" w:rsidP="002F2DB1">
      <w:pPr>
        <w:pBdr>
          <w:top w:val="nil"/>
          <w:left w:val="nil"/>
          <w:bottom w:val="nil"/>
          <w:right w:val="nil"/>
          <w:between w:val="nil"/>
        </w:pBdr>
        <w:jc w:val="both"/>
        <w:rPr>
          <w:rFonts w:ascii="Palatino Linotype" w:eastAsia="Palatino Linotype" w:hAnsi="Palatino Linotype" w:cs="Palatino Linotype"/>
          <w:b/>
          <w:color w:val="000000"/>
        </w:rPr>
      </w:pPr>
    </w:p>
    <w:p w:rsidR="0019018D" w:rsidRPr="00124739" w:rsidRDefault="008011FF" w:rsidP="002F2DB1">
      <w:pPr>
        <w:pBdr>
          <w:top w:val="nil"/>
          <w:left w:val="nil"/>
          <w:bottom w:val="nil"/>
          <w:right w:val="nil"/>
          <w:between w:val="nil"/>
        </w:pBdr>
        <w:tabs>
          <w:tab w:val="left" w:pos="8222"/>
        </w:tabs>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 por ser la unidad administrativa competente para emitir la respuesta a la solicitud de acceso a información pública registrada con el número de folio </w:t>
      </w:r>
      <w:r w:rsidRPr="00124739">
        <w:rPr>
          <w:rFonts w:ascii="Palatino Linotype" w:eastAsia="Palatino Linotype" w:hAnsi="Palatino Linotype" w:cs="Palatino Linotype"/>
          <w:b/>
          <w:i/>
          <w:color w:val="000000"/>
        </w:rPr>
        <w:t xml:space="preserve">00026/OASTOL/IP/2025, </w:t>
      </w:r>
      <w:r w:rsidRPr="00124739">
        <w:rPr>
          <w:rFonts w:ascii="Palatino Linotype" w:eastAsia="Palatino Linotype" w:hAnsi="Palatino Linotype" w:cs="Palatino Linotype"/>
          <w:i/>
          <w:color w:val="000000"/>
        </w:rPr>
        <w:t>presentada a través del Sistema de Acceso a la Información Mexiquense (</w:t>
      </w:r>
      <w:proofErr w:type="spellStart"/>
      <w:r w:rsidRPr="00124739">
        <w:rPr>
          <w:rFonts w:ascii="Palatino Linotype" w:eastAsia="Palatino Linotype" w:hAnsi="Palatino Linotype" w:cs="Palatino Linotype"/>
          <w:i/>
          <w:color w:val="000000"/>
        </w:rPr>
        <w:t>Saimex</w:t>
      </w:r>
      <w:proofErr w:type="spellEnd"/>
      <w:r w:rsidRPr="00124739">
        <w:rPr>
          <w:rFonts w:ascii="Palatino Linotype" w:eastAsia="Palatino Linotype" w:hAnsi="Palatino Linotype" w:cs="Palatino Linotype"/>
          <w:i/>
          <w:color w:val="000000"/>
        </w:rPr>
        <w:t>), mediante el cual solicita lo siguiente:</w:t>
      </w:r>
    </w:p>
    <w:p w:rsidR="0019018D" w:rsidRPr="00124739" w:rsidRDefault="0019018D" w:rsidP="002F2DB1">
      <w:pPr>
        <w:pBdr>
          <w:top w:val="nil"/>
          <w:left w:val="nil"/>
          <w:bottom w:val="nil"/>
          <w:right w:val="nil"/>
          <w:between w:val="nil"/>
        </w:pBdr>
        <w:tabs>
          <w:tab w:val="left" w:pos="8222"/>
        </w:tabs>
        <w:jc w:val="both"/>
        <w:rPr>
          <w:rFonts w:ascii="Palatino Linotype" w:eastAsia="Palatino Linotype" w:hAnsi="Palatino Linotype" w:cs="Palatino Linotype"/>
          <w:i/>
          <w:color w:val="000000"/>
        </w:rPr>
      </w:pPr>
    </w:p>
    <w:p w:rsidR="0019018D" w:rsidRPr="00124739" w:rsidRDefault="008011FF" w:rsidP="002F2DB1">
      <w:pPr>
        <w:pBdr>
          <w:top w:val="nil"/>
          <w:left w:val="nil"/>
          <w:bottom w:val="nil"/>
          <w:right w:val="nil"/>
          <w:between w:val="nil"/>
        </w:pBdr>
        <w:tabs>
          <w:tab w:val="left" w:pos="8222"/>
        </w:tabs>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“La plantilla de todos el Personal que labora en el Ayuntamiento de todas las dependencias, organismos de agua Dirección, seguridad actualmente con cargo sueldo y fecha de alta”</w:t>
      </w:r>
    </w:p>
    <w:p w:rsidR="0019018D" w:rsidRPr="00124739" w:rsidRDefault="0019018D" w:rsidP="002F2DB1">
      <w:pPr>
        <w:pBdr>
          <w:top w:val="nil"/>
          <w:left w:val="nil"/>
          <w:bottom w:val="nil"/>
          <w:right w:val="nil"/>
          <w:between w:val="nil"/>
        </w:pBdr>
        <w:tabs>
          <w:tab w:val="left" w:pos="8222"/>
        </w:tabs>
        <w:jc w:val="both"/>
        <w:rPr>
          <w:rFonts w:ascii="Palatino Linotype" w:eastAsia="Palatino Linotype" w:hAnsi="Palatino Linotype" w:cs="Palatino Linotype"/>
          <w:i/>
          <w:color w:val="000000"/>
        </w:rPr>
      </w:pPr>
    </w:p>
    <w:p w:rsidR="0019018D" w:rsidRPr="00124739" w:rsidRDefault="008011FF" w:rsidP="002F2DB1">
      <w:pPr>
        <w:pBdr>
          <w:top w:val="nil"/>
          <w:left w:val="nil"/>
          <w:bottom w:val="nil"/>
          <w:right w:val="nil"/>
          <w:between w:val="nil"/>
        </w:pBdr>
        <w:tabs>
          <w:tab w:val="left" w:pos="8222"/>
        </w:tabs>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Cabe señalar que se le </w:t>
      </w:r>
      <w:proofErr w:type="spellStart"/>
      <w:r w:rsidRPr="00124739">
        <w:rPr>
          <w:rFonts w:ascii="Palatino Linotype" w:eastAsia="Palatino Linotype" w:hAnsi="Palatino Linotype" w:cs="Palatino Linotype"/>
          <w:i/>
          <w:color w:val="000000"/>
        </w:rPr>
        <w:t>solictó</w:t>
      </w:r>
      <w:proofErr w:type="spellEnd"/>
      <w:r w:rsidRPr="00124739">
        <w:rPr>
          <w:rFonts w:ascii="Palatino Linotype" w:eastAsia="Palatino Linotype" w:hAnsi="Palatino Linotype" w:cs="Palatino Linotype"/>
          <w:i/>
          <w:color w:val="000000"/>
        </w:rPr>
        <w:t xml:space="preserve"> tuviera a bien aclarar su petición, sin embargo, su </w:t>
      </w:r>
      <w:proofErr w:type="spellStart"/>
      <w:r w:rsidRPr="00124739">
        <w:rPr>
          <w:rFonts w:ascii="Palatino Linotype" w:eastAsia="Palatino Linotype" w:hAnsi="Palatino Linotype" w:cs="Palatino Linotype"/>
          <w:i/>
          <w:color w:val="000000"/>
        </w:rPr>
        <w:t>repsuesta</w:t>
      </w:r>
      <w:proofErr w:type="spellEnd"/>
      <w:r w:rsidRPr="00124739">
        <w:rPr>
          <w:rFonts w:ascii="Palatino Linotype" w:eastAsia="Palatino Linotype" w:hAnsi="Palatino Linotype" w:cs="Palatino Linotype"/>
          <w:i/>
          <w:color w:val="000000"/>
        </w:rPr>
        <w:t xml:space="preserve"> fue “La solicitud que se describe porque es clara”, en atención a ello, me permito exhortarlo a revisar el portal IPOMEX (</w:t>
      </w:r>
      <w:hyperlink r:id="rId8" w:anchor="/info-fraccion/11/270/28">
        <w:r w:rsidRPr="00124739">
          <w:rPr>
            <w:rFonts w:ascii="Palatino Linotype" w:eastAsia="Palatino Linotype" w:hAnsi="Palatino Linotype" w:cs="Palatino Linotype"/>
            <w:i/>
            <w:color w:val="0563C1"/>
            <w:u w:val="single"/>
          </w:rPr>
          <w:t>https://ipomex.org.mx/#/info-fraccion/11/270/28</w:t>
        </w:r>
      </w:hyperlink>
      <w:r w:rsidRPr="00124739">
        <w:rPr>
          <w:rFonts w:ascii="Palatino Linotype" w:eastAsia="Palatino Linotype" w:hAnsi="Palatino Linotype" w:cs="Palatino Linotype"/>
          <w:i/>
          <w:color w:val="000000"/>
        </w:rPr>
        <w:t>).</w:t>
      </w:r>
    </w:p>
    <w:p w:rsidR="0019018D" w:rsidRPr="00124739" w:rsidRDefault="0019018D" w:rsidP="002F2DB1">
      <w:pPr>
        <w:pBdr>
          <w:top w:val="nil"/>
          <w:left w:val="nil"/>
          <w:bottom w:val="nil"/>
          <w:right w:val="nil"/>
          <w:between w:val="nil"/>
        </w:pBdr>
        <w:tabs>
          <w:tab w:val="left" w:pos="8222"/>
        </w:tabs>
        <w:jc w:val="both"/>
        <w:rPr>
          <w:rFonts w:ascii="Palatino Linotype" w:eastAsia="Palatino Linotype" w:hAnsi="Palatino Linotype" w:cs="Palatino Linotype"/>
          <w:i/>
          <w:color w:val="000000"/>
        </w:rPr>
      </w:pPr>
    </w:p>
    <w:p w:rsidR="0019018D" w:rsidRPr="00124739" w:rsidRDefault="008011FF" w:rsidP="002F2DB1">
      <w:pPr>
        <w:pBdr>
          <w:top w:val="nil"/>
          <w:left w:val="nil"/>
          <w:bottom w:val="nil"/>
          <w:right w:val="nil"/>
          <w:between w:val="nil"/>
        </w:pBdr>
        <w:tabs>
          <w:tab w:val="left" w:pos="8222"/>
        </w:tabs>
        <w:jc w:val="both"/>
        <w:rPr>
          <w:rFonts w:ascii="Palatino Linotype" w:eastAsia="Palatino Linotype" w:hAnsi="Palatino Linotype" w:cs="Palatino Linotype"/>
          <w:b/>
          <w:color w:val="000000"/>
        </w:rPr>
      </w:pPr>
      <w:r w:rsidRPr="00124739">
        <w:rPr>
          <w:rFonts w:ascii="Palatino Linotype" w:eastAsia="Palatino Linotype" w:hAnsi="Palatino Linotype" w:cs="Palatino Linotype"/>
          <w:i/>
          <w:color w:val="000000"/>
        </w:rPr>
        <w:t xml:space="preserve">En ese sentido, se da respuesta de conformidad con lo establecido en la Ley de Transparencia Local para el procedimiento de acceso a la información pública, asimismo, se hace de su conocimiento el </w:t>
      </w:r>
      <w:r w:rsidRPr="00124739">
        <w:rPr>
          <w:rFonts w:ascii="Palatino Linotype" w:eastAsia="Palatino Linotype" w:hAnsi="Palatino Linotype" w:cs="Palatino Linotype"/>
          <w:i/>
          <w:color w:val="000000"/>
        </w:rPr>
        <w:lastRenderedPageBreak/>
        <w:t>término de quince (15) días hábiles para interponer el recurso de revisión que se señala en los artículos 176, 177 y 178 de la misma Ley” (Sic.)</w:t>
      </w:r>
    </w:p>
    <w:p w:rsidR="0019018D" w:rsidRPr="00124739" w:rsidRDefault="0019018D" w:rsidP="002F2DB1">
      <w:pPr>
        <w:tabs>
          <w:tab w:val="left" w:pos="0"/>
        </w:tabs>
        <w:spacing w:line="360" w:lineRule="auto"/>
        <w:jc w:val="both"/>
        <w:rPr>
          <w:rFonts w:ascii="Palatino Linotype" w:eastAsia="Palatino Linotype" w:hAnsi="Palatino Linotype" w:cs="Palatino Linotype"/>
        </w:rPr>
      </w:pPr>
    </w:p>
    <w:p w:rsidR="0019018D" w:rsidRPr="00124739" w:rsidRDefault="008011FF" w:rsidP="002F2DB1">
      <w:pPr>
        <w:numPr>
          <w:ilvl w:val="0"/>
          <w:numId w:val="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El </w:t>
      </w:r>
      <w:r w:rsidRPr="00124739">
        <w:rPr>
          <w:rFonts w:ascii="Palatino Linotype" w:eastAsia="Palatino Linotype" w:hAnsi="Palatino Linotype" w:cs="Palatino Linotype"/>
          <w:b/>
          <w:color w:val="000000"/>
        </w:rPr>
        <w:t>ocho de abril de dos mil veinticuatro</w:t>
      </w:r>
      <w:r w:rsidRPr="00124739">
        <w:rPr>
          <w:rFonts w:ascii="Palatino Linotype" w:eastAsia="Palatino Linotype" w:hAnsi="Palatino Linotype" w:cs="Palatino Linotype"/>
          <w:color w:val="000000"/>
        </w:rPr>
        <w:t xml:space="preserve">, el solicitante interpuso recurso de revisión en la solicitud de información </w:t>
      </w:r>
      <w:r w:rsidRPr="00124739">
        <w:rPr>
          <w:rFonts w:ascii="Palatino Linotype" w:eastAsia="Palatino Linotype" w:hAnsi="Palatino Linotype" w:cs="Palatino Linotype"/>
          <w:b/>
          <w:color w:val="000000"/>
        </w:rPr>
        <w:t>00026/O</w:t>
      </w:r>
      <w:r w:rsidR="00175986" w:rsidRPr="00124739">
        <w:rPr>
          <w:rFonts w:ascii="Palatino Linotype" w:eastAsia="Palatino Linotype" w:hAnsi="Palatino Linotype" w:cs="Palatino Linotype"/>
          <w:b/>
          <w:color w:val="000000"/>
        </w:rPr>
        <w:t>A</w:t>
      </w:r>
      <w:r w:rsidRPr="00124739">
        <w:rPr>
          <w:rFonts w:ascii="Palatino Linotype" w:eastAsia="Palatino Linotype" w:hAnsi="Palatino Linotype" w:cs="Palatino Linotype"/>
          <w:b/>
          <w:color w:val="000000"/>
        </w:rPr>
        <w:t xml:space="preserve">STOL/IP/2025, </w:t>
      </w:r>
      <w:r w:rsidRPr="00124739">
        <w:rPr>
          <w:rFonts w:ascii="Palatino Linotype" w:eastAsia="Palatino Linotype" w:hAnsi="Palatino Linotype" w:cs="Palatino Linotype"/>
          <w:color w:val="000000"/>
        </w:rPr>
        <w:t xml:space="preserve">en contra de las respuestas emitidas por el </w:t>
      </w:r>
      <w:r w:rsidRPr="00124739">
        <w:rPr>
          <w:rFonts w:ascii="Palatino Linotype" w:eastAsia="Palatino Linotype" w:hAnsi="Palatino Linotype" w:cs="Palatino Linotype"/>
          <w:b/>
          <w:color w:val="000000"/>
        </w:rPr>
        <w:t>SUJETO OBLIGADO</w:t>
      </w:r>
      <w:r w:rsidRPr="00124739">
        <w:rPr>
          <w:rFonts w:ascii="Palatino Linotype" w:eastAsia="Palatino Linotype" w:hAnsi="Palatino Linotype" w:cs="Palatino Linotype"/>
          <w:color w:val="000000"/>
        </w:rPr>
        <w:t>, señalando las siguientes razones o motivos de inconformidad:</w:t>
      </w:r>
    </w:p>
    <w:p w:rsidR="0019018D" w:rsidRPr="00124739" w:rsidRDefault="0019018D" w:rsidP="002F2DB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124739">
        <w:rPr>
          <w:rFonts w:ascii="Palatino Linotype" w:eastAsia="Palatino Linotype" w:hAnsi="Palatino Linotype" w:cs="Palatino Linotype"/>
          <w:b/>
          <w:color w:val="000000"/>
        </w:rPr>
        <w:t>Acto Impugnado</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“LA negativa de la información”</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124739">
        <w:rPr>
          <w:rFonts w:ascii="Palatino Linotype" w:eastAsia="Palatino Linotype" w:hAnsi="Palatino Linotype" w:cs="Palatino Linotype"/>
          <w:b/>
          <w:color w:val="000000"/>
        </w:rPr>
        <w:t>Razones o Motivos de la Inconformidad</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“No entrega la información solicitada”</w:t>
      </w:r>
    </w:p>
    <w:p w:rsidR="0019018D" w:rsidRPr="00124739" w:rsidRDefault="0019018D" w:rsidP="002F2DB1">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Ley de Transparencia y Acceso a la Información Pública del Estado de México y Municipios se turnó a la </w:t>
      </w:r>
      <w:r w:rsidRPr="00124739">
        <w:rPr>
          <w:rFonts w:ascii="Palatino Linotype" w:eastAsia="Palatino Linotype" w:hAnsi="Palatino Linotype" w:cs="Palatino Linotype"/>
          <w:b/>
        </w:rPr>
        <w:t>Comisionada María del Rosario Mejía Ayala</w:t>
      </w:r>
      <w:r w:rsidRPr="00124739">
        <w:rPr>
          <w:rFonts w:ascii="Palatino Linotype" w:eastAsia="Palatino Linotype" w:hAnsi="Palatino Linotype" w:cs="Palatino Linotype"/>
        </w:rPr>
        <w:t xml:space="preserve"> con el objeto de su análisis.</w:t>
      </w:r>
    </w:p>
    <w:p w:rsidR="0019018D" w:rsidRPr="00124739" w:rsidRDefault="0019018D" w:rsidP="002F2DB1">
      <w:pPr>
        <w:spacing w:line="360" w:lineRule="auto"/>
        <w:jc w:val="both"/>
        <w:rPr>
          <w:rFonts w:ascii="Palatino Linotype" w:eastAsia="Palatino Linotype" w:hAnsi="Palatino Linotype" w:cs="Palatino Linotype"/>
          <w:i/>
          <w:color w:val="000000"/>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color w:val="000000"/>
        </w:rPr>
        <w:t xml:space="preserve">La Comisionada Ponente con fundamento en lo dispuesto por el artículo 185 </w:t>
      </w:r>
      <w:r w:rsidRPr="00124739">
        <w:rPr>
          <w:rFonts w:ascii="Palatino Linotype" w:eastAsia="Palatino Linotype" w:hAnsi="Palatino Linotype" w:cs="Palatino Linotype"/>
        </w:rPr>
        <w:t>fracción</w:t>
      </w:r>
      <w:r w:rsidRPr="00124739">
        <w:rPr>
          <w:rFonts w:ascii="Palatino Linotype" w:eastAsia="Palatino Linotype" w:hAnsi="Palatino Linotype" w:cs="Palatino Linotype"/>
          <w:color w:val="000000"/>
        </w:rPr>
        <w:t xml:space="preserve"> II de la ley de la materia, a través del </w:t>
      </w:r>
      <w:r w:rsidRPr="00124739">
        <w:rPr>
          <w:rFonts w:ascii="Palatino Linotype" w:eastAsia="Palatino Linotype" w:hAnsi="Palatino Linotype" w:cs="Palatino Linotype"/>
          <w:b/>
          <w:color w:val="000000"/>
        </w:rPr>
        <w:t xml:space="preserve">acuerdo de admisión </w:t>
      </w:r>
      <w:r w:rsidRPr="00124739">
        <w:rPr>
          <w:rFonts w:ascii="Palatino Linotype" w:eastAsia="Palatino Linotype" w:hAnsi="Palatino Linotype" w:cs="Palatino Linotype"/>
          <w:color w:val="000000"/>
        </w:rPr>
        <w:t xml:space="preserve">de fecha </w:t>
      </w:r>
      <w:r w:rsidRPr="00124739">
        <w:rPr>
          <w:rFonts w:ascii="Palatino Linotype" w:eastAsia="Palatino Linotype" w:hAnsi="Palatino Linotype" w:cs="Palatino Linotype"/>
          <w:b/>
          <w:color w:val="000000"/>
        </w:rPr>
        <w:t>diez de abril de dos mil veinticinco</w:t>
      </w:r>
      <w:r w:rsidRPr="00124739">
        <w:rPr>
          <w:rFonts w:ascii="Palatino Linotype" w:eastAsia="Palatino Linotype" w:hAnsi="Palatino Linotype" w:cs="Palatino Linotype"/>
          <w:color w:val="000000"/>
        </w:rPr>
        <w:t xml:space="preserve">, puso a disposición de las partes el expediente electrónico vía SAIMEX a efecto de que en un plazo máximo de siete días manifestaran lo que a su derecho conviniera, ofrecieran pruebas y alegatos según corresponda al caso concreto, </w:t>
      </w:r>
      <w:r w:rsidRPr="00124739">
        <w:rPr>
          <w:rFonts w:ascii="Palatino Linotype" w:eastAsia="Palatino Linotype" w:hAnsi="Palatino Linotype" w:cs="Palatino Linotype"/>
          <w:color w:val="000000"/>
        </w:rPr>
        <w:lastRenderedPageBreak/>
        <w:t xml:space="preserve">de esta forma para que el </w:t>
      </w:r>
      <w:r w:rsidRPr="00124739">
        <w:rPr>
          <w:rFonts w:ascii="Palatino Linotype" w:eastAsia="Palatino Linotype" w:hAnsi="Palatino Linotype" w:cs="Palatino Linotype"/>
          <w:b/>
          <w:color w:val="000000"/>
        </w:rPr>
        <w:t xml:space="preserve">SUJETO OBLIGADO </w:t>
      </w:r>
      <w:r w:rsidRPr="00124739">
        <w:rPr>
          <w:rFonts w:ascii="Palatino Linotype" w:eastAsia="Palatino Linotype" w:hAnsi="Palatino Linotype" w:cs="Palatino Linotype"/>
          <w:color w:val="000000"/>
        </w:rPr>
        <w:t>presentara el Informe Justificado procedente.</w:t>
      </w:r>
    </w:p>
    <w:p w:rsidR="0019018D" w:rsidRPr="00124739" w:rsidRDefault="0019018D" w:rsidP="002F2DB1">
      <w:pPr>
        <w:pBdr>
          <w:top w:val="nil"/>
          <w:left w:val="nil"/>
          <w:bottom w:val="nil"/>
          <w:right w:val="nil"/>
          <w:between w:val="nil"/>
        </w:pBdr>
        <w:rPr>
          <w:rFonts w:ascii="Palatino Linotype" w:eastAsia="Palatino Linotype" w:hAnsi="Palatino Linotype" w:cs="Palatino Linotype"/>
          <w:color w:val="000000"/>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rPr>
        <w:t xml:space="preserve">De lo anterior el </w:t>
      </w:r>
      <w:r w:rsidRPr="00124739">
        <w:rPr>
          <w:rFonts w:ascii="Palatino Linotype" w:eastAsia="Palatino Linotype" w:hAnsi="Palatino Linotype" w:cs="Palatino Linotype"/>
          <w:b/>
        </w:rPr>
        <w:t xml:space="preserve">SUJETO OBLIGADO y el RECURRENTE </w:t>
      </w:r>
      <w:r w:rsidRPr="00124739">
        <w:rPr>
          <w:rFonts w:ascii="Palatino Linotype" w:eastAsia="Palatino Linotype" w:hAnsi="Palatino Linotype" w:cs="Palatino Linotype"/>
        </w:rPr>
        <w:t xml:space="preserve">dejaron de realizar manifestaciones que a su derecho conviniera y asistiera, respectivamente en cada uno de los recursos de revisión. </w:t>
      </w:r>
    </w:p>
    <w:p w:rsidR="008011FF" w:rsidRPr="00124739" w:rsidRDefault="008011FF" w:rsidP="002F2DB1">
      <w:pPr>
        <w:pStyle w:val="Prrafodelista"/>
        <w:ind w:left="0"/>
        <w:rPr>
          <w:rFonts w:ascii="Palatino Linotype" w:eastAsia="Palatino Linotype" w:hAnsi="Palatino Linotype" w:cs="Palatino Linotype"/>
          <w:i/>
          <w:color w:val="000000"/>
          <w:sz w:val="24"/>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rPr>
        <w:t xml:space="preserve">Finalmente, la Comisionada Ponente mediante acuerdo del </w:t>
      </w:r>
      <w:r w:rsidRPr="00124739">
        <w:rPr>
          <w:rFonts w:ascii="Palatino Linotype" w:eastAsia="Palatino Linotype" w:hAnsi="Palatino Linotype" w:cs="Palatino Linotype"/>
          <w:b/>
        </w:rPr>
        <w:t>ocho de mayo de dos mil veinticinco</w:t>
      </w:r>
      <w:r w:rsidRPr="00124739">
        <w:rPr>
          <w:rFonts w:ascii="Palatino Linotype" w:eastAsia="Palatino Linotype" w:hAnsi="Palatino Linotype" w:cs="Palatino Linotype"/>
        </w:rPr>
        <w:t>, decretó el cierre de instrucción del expediente, por lo que no habiendo más que hacer constar, y</w:t>
      </w:r>
      <w:r w:rsidRPr="00124739">
        <w:rPr>
          <w:rFonts w:ascii="Palatino Linotype" w:eastAsia="Palatino Linotype" w:hAnsi="Palatino Linotype" w:cs="Palatino Linotype"/>
          <w:color w:val="000000"/>
        </w:rPr>
        <w:t xml:space="preserve">. </w:t>
      </w:r>
    </w:p>
    <w:p w:rsidR="0019018D" w:rsidRPr="00124739" w:rsidRDefault="0019018D" w:rsidP="002F2DB1">
      <w:pPr>
        <w:spacing w:line="360" w:lineRule="auto"/>
        <w:jc w:val="both"/>
        <w:rPr>
          <w:rFonts w:ascii="Palatino Linotype" w:eastAsia="Palatino Linotype" w:hAnsi="Palatino Linotype" w:cs="Palatino Linotype"/>
          <w:b/>
        </w:rPr>
      </w:pPr>
    </w:p>
    <w:p w:rsidR="0019018D" w:rsidRPr="00124739" w:rsidRDefault="008011FF" w:rsidP="002F2DB1">
      <w:pPr>
        <w:keepNext/>
        <w:keepLines/>
        <w:spacing w:line="360" w:lineRule="auto"/>
        <w:jc w:val="center"/>
        <w:rPr>
          <w:rFonts w:ascii="Palatino Linotype" w:eastAsia="Palatino Linotype" w:hAnsi="Palatino Linotype" w:cs="Palatino Linotype"/>
          <w:b/>
        </w:rPr>
      </w:pPr>
      <w:bookmarkStart w:id="3" w:name="_heading=h.qzz2ou9r4mzu" w:colFirst="0" w:colLast="0"/>
      <w:bookmarkEnd w:id="3"/>
      <w:r w:rsidRPr="00124739">
        <w:rPr>
          <w:rFonts w:ascii="Palatino Linotype" w:eastAsia="Palatino Linotype" w:hAnsi="Palatino Linotype" w:cs="Palatino Linotype"/>
          <w:b/>
        </w:rPr>
        <w:t>CONSIDERANDO</w:t>
      </w:r>
    </w:p>
    <w:p w:rsidR="0019018D" w:rsidRPr="00124739" w:rsidRDefault="0019018D" w:rsidP="002F2DB1">
      <w:pPr>
        <w:keepNext/>
        <w:keepLines/>
        <w:spacing w:line="360" w:lineRule="auto"/>
        <w:jc w:val="center"/>
        <w:rPr>
          <w:rFonts w:ascii="Palatino Linotype" w:eastAsia="Palatino Linotype" w:hAnsi="Palatino Linotype" w:cs="Palatino Linotype"/>
          <w:b/>
        </w:rPr>
      </w:pPr>
    </w:p>
    <w:p w:rsidR="0019018D" w:rsidRPr="00124739" w:rsidRDefault="008011FF" w:rsidP="002F2DB1">
      <w:pPr>
        <w:keepNext/>
        <w:keepLines/>
        <w:spacing w:line="360" w:lineRule="auto"/>
        <w:rPr>
          <w:rFonts w:ascii="Palatino Linotype" w:eastAsia="Palatino Linotype" w:hAnsi="Palatino Linotype" w:cs="Palatino Linotype"/>
          <w:b/>
        </w:rPr>
      </w:pPr>
      <w:bookmarkStart w:id="4" w:name="_heading=h.jrbrpx2o2t1q" w:colFirst="0" w:colLast="0"/>
      <w:bookmarkEnd w:id="4"/>
      <w:r w:rsidRPr="00124739">
        <w:rPr>
          <w:rFonts w:ascii="Palatino Linotype" w:eastAsia="Palatino Linotype" w:hAnsi="Palatino Linotype" w:cs="Palatino Linotype"/>
          <w:b/>
        </w:rPr>
        <w:t>PRIMERO. De la competencia.</w:t>
      </w:r>
    </w:p>
    <w:p w:rsidR="0019018D" w:rsidRPr="00124739" w:rsidRDefault="0019018D" w:rsidP="002F2DB1">
      <w:pPr>
        <w:spacing w:line="360" w:lineRule="auto"/>
        <w:jc w:val="both"/>
        <w:rPr>
          <w:rFonts w:ascii="Palatino Linotype" w:eastAsia="Palatino Linotype" w:hAnsi="Palatino Linotype" w:cs="Palatino Linotype"/>
          <w:b/>
        </w:rPr>
      </w:pPr>
    </w:p>
    <w:p w:rsidR="0019018D" w:rsidRPr="00124739" w:rsidRDefault="008011FF" w:rsidP="002F2DB1">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w:t>
      </w:r>
      <w:r w:rsidRPr="00124739">
        <w:rPr>
          <w:rFonts w:ascii="Palatino Linotype" w:eastAsia="Palatino Linotype" w:hAnsi="Palatino Linotype" w:cs="Palatino Linotype"/>
          <w:b/>
          <w:color w:val="000000"/>
        </w:rPr>
        <w:t>Constitución Política de los Estados Unidos Mexicanos</w:t>
      </w:r>
      <w:r w:rsidRPr="00124739">
        <w:rPr>
          <w:rFonts w:ascii="Palatino Linotype" w:eastAsia="Palatino Linotype" w:hAnsi="Palatino Linotype" w:cs="Palatino Linotype"/>
          <w:color w:val="000000"/>
        </w:rPr>
        <w:t>; 5, párrafos trigésimo segundo, trigésimo tercero y trigésimo cuarto fracciones IV y V de la </w:t>
      </w:r>
      <w:r w:rsidRPr="00124739">
        <w:rPr>
          <w:rFonts w:ascii="Palatino Linotype" w:eastAsia="Palatino Linotype" w:hAnsi="Palatino Linotype" w:cs="Palatino Linotype"/>
          <w:b/>
          <w:color w:val="000000"/>
        </w:rPr>
        <w:t>Constitución Política del Estado Libre y Soberano de México</w:t>
      </w:r>
      <w:r w:rsidRPr="00124739">
        <w:rPr>
          <w:rFonts w:ascii="Palatino Linotype" w:eastAsia="Palatino Linotype" w:hAnsi="Palatino Linotype" w:cs="Palatino Linotype"/>
          <w:color w:val="000000"/>
        </w:rPr>
        <w:t>; artículos 1, 2 fracción II, 13, 29, 36 fracciones I y II, 176, 178, 179, 181 párrafo tercero y 185 de la </w:t>
      </w:r>
      <w:r w:rsidRPr="00124739">
        <w:rPr>
          <w:rFonts w:ascii="Palatino Linotype" w:eastAsia="Palatino Linotype" w:hAnsi="Palatino Linotype" w:cs="Palatino Linotype"/>
          <w:b/>
          <w:color w:val="000000"/>
        </w:rPr>
        <w:t>Ley de Transparencia y Acceso a la Información Pública del Estado de México y Municipios</w:t>
      </w:r>
      <w:r w:rsidRPr="00124739">
        <w:rPr>
          <w:rFonts w:ascii="Palatino Linotype" w:eastAsia="Palatino Linotype" w:hAnsi="Palatino Linotype" w:cs="Palatino Linotype"/>
          <w:color w:val="000000"/>
        </w:rPr>
        <w:t xml:space="preserve">; y 7, 9 fracciones I </w:t>
      </w:r>
      <w:r w:rsidRPr="00124739">
        <w:rPr>
          <w:rFonts w:ascii="Palatino Linotype" w:eastAsia="Palatino Linotype" w:hAnsi="Palatino Linotype" w:cs="Palatino Linotype"/>
          <w:color w:val="000000"/>
        </w:rPr>
        <w:lastRenderedPageBreak/>
        <w:t>y XXIII, y 11 del </w:t>
      </w:r>
      <w:r w:rsidRPr="00124739">
        <w:rPr>
          <w:rFonts w:ascii="Palatino Linotype" w:eastAsia="Palatino Linotype" w:hAnsi="Palatino Linotype" w:cs="Palatino Linotype"/>
          <w:b/>
          <w:color w:val="000000"/>
        </w:rPr>
        <w:t>Reglamento Interior del Instituto de Transparencia, Acceso a la Información Pública y Protección de Datos Personales del Estado de México y Municipios</w:t>
      </w:r>
      <w:r w:rsidRPr="00124739">
        <w:rPr>
          <w:rFonts w:ascii="Palatino Linotype" w:eastAsia="Palatino Linotype" w:hAnsi="Palatino Linotype" w:cs="Palatino Linotype"/>
          <w:color w:val="000000"/>
        </w:rPr>
        <w:t>.</w:t>
      </w:r>
    </w:p>
    <w:p w:rsidR="0019018D" w:rsidRPr="00124739" w:rsidRDefault="008011FF" w:rsidP="002F2DB1">
      <w:pPr>
        <w:keepNext/>
        <w:keepLines/>
        <w:spacing w:line="360" w:lineRule="auto"/>
        <w:rPr>
          <w:rFonts w:ascii="Palatino Linotype" w:eastAsia="Palatino Linotype" w:hAnsi="Palatino Linotype" w:cs="Palatino Linotype"/>
          <w:b/>
        </w:rPr>
      </w:pPr>
      <w:bookmarkStart w:id="5" w:name="_heading=h.y9hz9jafjgog" w:colFirst="0" w:colLast="0"/>
      <w:bookmarkEnd w:id="5"/>
      <w:r w:rsidRPr="00124739">
        <w:rPr>
          <w:rFonts w:ascii="Palatino Linotype" w:eastAsia="Palatino Linotype" w:hAnsi="Palatino Linotype" w:cs="Palatino Linotype"/>
          <w:b/>
        </w:rPr>
        <w:t>SEGUNDO. De la oportunidad y procedencia.</w:t>
      </w:r>
    </w:p>
    <w:p w:rsidR="0019018D" w:rsidRPr="00124739" w:rsidRDefault="0019018D" w:rsidP="002F2DB1">
      <w:pPr>
        <w:keepNext/>
        <w:keepLines/>
        <w:spacing w:line="360" w:lineRule="auto"/>
        <w:rPr>
          <w:rFonts w:ascii="Palatino Linotype" w:eastAsia="Palatino Linotype" w:hAnsi="Palatino Linotype" w:cs="Palatino Linotype"/>
          <w:b/>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rPr>
      </w:pPr>
      <w:r w:rsidRPr="00124739">
        <w:rPr>
          <w:rFonts w:ascii="Palatino Linotype" w:eastAsia="Palatino Linotype" w:hAnsi="Palatino Linotype" w:cs="Palatino Linotype"/>
        </w:rPr>
        <w:t xml:space="preserve">El medio de impugnación fue presentado a través del </w:t>
      </w:r>
      <w:r w:rsidRPr="00124739">
        <w:rPr>
          <w:rFonts w:ascii="Palatino Linotype" w:eastAsia="Palatino Linotype" w:hAnsi="Palatino Linotype" w:cs="Palatino Linotype"/>
          <w:b/>
        </w:rPr>
        <w:t>SAIMEX,</w:t>
      </w:r>
      <w:r w:rsidRPr="00124739">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124739">
        <w:rPr>
          <w:rFonts w:ascii="Palatino Linotype" w:eastAsia="Palatino Linotype" w:hAnsi="Palatino Linotype" w:cs="Palatino Linotype"/>
          <w:b/>
        </w:rPr>
        <w:t>SUJETO OBLIGADO</w:t>
      </w:r>
      <w:r w:rsidRPr="00124739">
        <w:rPr>
          <w:rFonts w:ascii="Palatino Linotype" w:eastAsia="Palatino Linotype" w:hAnsi="Palatino Linotype" w:cs="Palatino Linotype"/>
        </w:rPr>
        <w:t xml:space="preserve"> entregó respuesta el día </w:t>
      </w:r>
      <w:r w:rsidRPr="00124739">
        <w:rPr>
          <w:rFonts w:ascii="Palatino Linotype" w:eastAsia="Palatino Linotype" w:hAnsi="Palatino Linotype" w:cs="Palatino Linotype"/>
          <w:b/>
        </w:rPr>
        <w:t>veinticinco de marzo de dos mil veinticinco</w:t>
      </w:r>
      <w:r w:rsidRPr="00124739">
        <w:rPr>
          <w:rFonts w:ascii="Palatino Linotype" w:eastAsia="Palatino Linotype" w:hAnsi="Palatino Linotype" w:cs="Palatino Linotype"/>
        </w:rPr>
        <w:t xml:space="preserve">, de tal forma que el plazo para interponer el recurso transcurrió del </w:t>
      </w:r>
      <w:r w:rsidRPr="00124739">
        <w:rPr>
          <w:rFonts w:ascii="Palatino Linotype" w:eastAsia="Palatino Linotype" w:hAnsi="Palatino Linotype" w:cs="Palatino Linotype"/>
          <w:b/>
        </w:rPr>
        <w:t>veintiséis de marzo al veintidós de abril de dos mil veinticinco</w:t>
      </w:r>
      <w:r w:rsidRPr="00124739">
        <w:rPr>
          <w:rFonts w:ascii="Palatino Linotype" w:eastAsia="Palatino Linotype" w:hAnsi="Palatino Linotype" w:cs="Palatino Linotype"/>
        </w:rPr>
        <w:t xml:space="preserve">, de acuerdo al calendario oficial del Instituto de Transparencia del Estado de México y Municipios; en consecuencia, si el particular presentó su inconformidad el día </w:t>
      </w:r>
      <w:r w:rsidRPr="00124739">
        <w:rPr>
          <w:rFonts w:ascii="Palatino Linotype" w:eastAsia="Palatino Linotype" w:hAnsi="Palatino Linotype" w:cs="Palatino Linotype"/>
          <w:b/>
        </w:rPr>
        <w:t>ocho de abril de dos mil veinticinco</w:t>
      </w:r>
      <w:r w:rsidRPr="00124739">
        <w:rPr>
          <w:rFonts w:ascii="Palatino Linotype" w:eastAsia="Palatino Linotype" w:hAnsi="Palatino Linotype" w:cs="Palatino Linotype"/>
        </w:rPr>
        <w:t xml:space="preserve">, se encuentra dentro de los márgenes temporales previstos en el artículo 178 de la </w:t>
      </w:r>
      <w:r w:rsidRPr="00124739">
        <w:rPr>
          <w:rFonts w:ascii="Palatino Linotype" w:eastAsia="Palatino Linotype" w:hAnsi="Palatino Linotype" w:cs="Palatino Linotype"/>
          <w:b/>
        </w:rPr>
        <w:t xml:space="preserve">Ley de Transparencia y Acceso a la Información Pública del Estado de México y Municipios </w:t>
      </w:r>
      <w:r w:rsidRPr="00124739">
        <w:rPr>
          <w:rFonts w:ascii="Palatino Linotype" w:eastAsia="Palatino Linotype" w:hAnsi="Palatino Linotype" w:cs="Palatino Linotype"/>
        </w:rPr>
        <w:t xml:space="preserve">vigente. </w:t>
      </w:r>
    </w:p>
    <w:p w:rsidR="0019018D" w:rsidRPr="00124739" w:rsidRDefault="0019018D" w:rsidP="002F2DB1">
      <w:pPr>
        <w:spacing w:line="360" w:lineRule="auto"/>
        <w:jc w:val="both"/>
        <w:rPr>
          <w:rFonts w:ascii="Palatino Linotype" w:eastAsia="Palatino Linotype" w:hAnsi="Palatino Linotype" w:cs="Palatino Linotype"/>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b/>
        </w:rPr>
      </w:pPr>
      <w:r w:rsidRPr="00124739">
        <w:rPr>
          <w:rFonts w:ascii="Palatino Linotype" w:eastAsia="Palatino Linotype" w:hAnsi="Palatino Linotype" w:cs="Palatino Linotype"/>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19018D" w:rsidRPr="00124739" w:rsidRDefault="0019018D" w:rsidP="002F2DB1">
      <w:pPr>
        <w:spacing w:line="360" w:lineRule="auto"/>
        <w:jc w:val="both"/>
        <w:rPr>
          <w:rFonts w:ascii="Palatino Linotype" w:eastAsia="Palatino Linotype" w:hAnsi="Palatino Linotype" w:cs="Palatino Linotype"/>
          <w:b/>
        </w:rPr>
      </w:pPr>
    </w:p>
    <w:p w:rsidR="0019018D" w:rsidRPr="00124739" w:rsidRDefault="008011FF" w:rsidP="002F2DB1">
      <w:pPr>
        <w:keepNext/>
        <w:keepLines/>
        <w:spacing w:line="360" w:lineRule="auto"/>
        <w:rPr>
          <w:rFonts w:ascii="Palatino Linotype" w:eastAsia="Palatino Linotype" w:hAnsi="Palatino Linotype" w:cs="Palatino Linotype"/>
          <w:b/>
        </w:rPr>
      </w:pPr>
      <w:bookmarkStart w:id="6" w:name="_heading=h.zdiou7x9n0jm" w:colFirst="0" w:colLast="0"/>
      <w:bookmarkEnd w:id="6"/>
      <w:r w:rsidRPr="00124739">
        <w:rPr>
          <w:rFonts w:ascii="Palatino Linotype" w:eastAsia="Palatino Linotype" w:hAnsi="Palatino Linotype" w:cs="Palatino Linotype"/>
          <w:b/>
        </w:rPr>
        <w:lastRenderedPageBreak/>
        <w:t>TERCERO. Planteamiento de la Litis.</w:t>
      </w:r>
    </w:p>
    <w:p w:rsidR="0019018D" w:rsidRPr="00124739" w:rsidRDefault="0019018D" w:rsidP="002F2DB1">
      <w:pPr>
        <w:keepNext/>
        <w:keepLines/>
        <w:spacing w:line="360" w:lineRule="auto"/>
        <w:rPr>
          <w:rFonts w:ascii="Palatino Linotype" w:eastAsia="Palatino Linotype" w:hAnsi="Palatino Linotype" w:cs="Palatino Linotype"/>
          <w:b/>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color w:val="000000"/>
        </w:rPr>
        <w:t>El particular solicitó de todo el personal que labora en el Ayuntamiento, incluyendo Organismo Agua y Saneamiento y Dirección de Seguridad lo siguiente:</w:t>
      </w:r>
    </w:p>
    <w:p w:rsidR="0019018D" w:rsidRPr="00124739" w:rsidRDefault="0019018D" w:rsidP="002F2DB1">
      <w:pPr>
        <w:spacing w:line="360" w:lineRule="auto"/>
        <w:jc w:val="both"/>
        <w:rPr>
          <w:rFonts w:ascii="Palatino Linotype" w:eastAsia="Palatino Linotype" w:hAnsi="Palatino Linotype" w:cs="Palatino Linotype"/>
          <w:color w:val="000000"/>
        </w:rPr>
      </w:pPr>
    </w:p>
    <w:p w:rsidR="0019018D" w:rsidRPr="00124739" w:rsidRDefault="008011FF" w:rsidP="002F2DB1">
      <w:pPr>
        <w:numPr>
          <w:ilvl w:val="1"/>
          <w:numId w:val="1"/>
        </w:numPr>
        <w:pBdr>
          <w:top w:val="nil"/>
          <w:left w:val="nil"/>
          <w:bottom w:val="nil"/>
          <w:right w:val="nil"/>
          <w:between w:val="nil"/>
        </w:pBdr>
        <w:spacing w:line="360" w:lineRule="auto"/>
        <w:ind w:left="0"/>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color w:val="000000"/>
        </w:rPr>
        <w:t>Plantilla de Personal</w:t>
      </w:r>
    </w:p>
    <w:p w:rsidR="0019018D" w:rsidRPr="00124739" w:rsidRDefault="008011FF" w:rsidP="002F2DB1">
      <w:pPr>
        <w:numPr>
          <w:ilvl w:val="1"/>
          <w:numId w:val="1"/>
        </w:numPr>
        <w:pBdr>
          <w:top w:val="nil"/>
          <w:left w:val="nil"/>
          <w:bottom w:val="nil"/>
          <w:right w:val="nil"/>
          <w:between w:val="nil"/>
        </w:pBdr>
        <w:spacing w:line="360" w:lineRule="auto"/>
        <w:ind w:left="0"/>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color w:val="000000"/>
        </w:rPr>
        <w:t>Cargo</w:t>
      </w:r>
    </w:p>
    <w:p w:rsidR="0019018D" w:rsidRPr="00124739" w:rsidRDefault="008011FF" w:rsidP="002F2DB1">
      <w:pPr>
        <w:numPr>
          <w:ilvl w:val="1"/>
          <w:numId w:val="1"/>
        </w:numPr>
        <w:pBdr>
          <w:top w:val="nil"/>
          <w:left w:val="nil"/>
          <w:bottom w:val="nil"/>
          <w:right w:val="nil"/>
          <w:between w:val="nil"/>
        </w:pBdr>
        <w:spacing w:line="360" w:lineRule="auto"/>
        <w:ind w:left="0"/>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color w:val="000000"/>
        </w:rPr>
        <w:t>Sueldo</w:t>
      </w:r>
    </w:p>
    <w:p w:rsidR="0019018D" w:rsidRPr="00124739" w:rsidRDefault="008011FF" w:rsidP="002F2DB1">
      <w:pPr>
        <w:numPr>
          <w:ilvl w:val="1"/>
          <w:numId w:val="1"/>
        </w:numPr>
        <w:pBdr>
          <w:top w:val="nil"/>
          <w:left w:val="nil"/>
          <w:bottom w:val="nil"/>
          <w:right w:val="nil"/>
          <w:between w:val="nil"/>
        </w:pBdr>
        <w:spacing w:line="360" w:lineRule="auto"/>
        <w:ind w:left="0"/>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color w:val="000000"/>
        </w:rPr>
        <w:t>Fecha de Alta</w:t>
      </w:r>
    </w:p>
    <w:p w:rsidR="0019018D" w:rsidRPr="00124739" w:rsidRDefault="0019018D" w:rsidP="002F2DB1">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Por lo anterior el </w:t>
      </w:r>
      <w:r w:rsidRPr="00124739">
        <w:rPr>
          <w:rFonts w:ascii="Palatino Linotype" w:eastAsia="Palatino Linotype" w:hAnsi="Palatino Linotype" w:cs="Palatino Linotype"/>
          <w:b/>
          <w:color w:val="000000"/>
        </w:rPr>
        <w:t xml:space="preserve">SUJETO OBLIGADO, </w:t>
      </w:r>
      <w:r w:rsidRPr="00124739">
        <w:rPr>
          <w:rFonts w:ascii="Palatino Linotype" w:eastAsia="Palatino Linotype" w:hAnsi="Palatino Linotype" w:cs="Palatino Linotype"/>
          <w:color w:val="000000"/>
        </w:rPr>
        <w:t>solicitó al particular, aclarara las Dependencias de las cuales requiere la información, ya que no es de su competencia responder las solicitudes de información referentes al Ayuntamiento, no obstante preciso, estar facultado para manifestarse respecto a las solicitudes de información relacionadas con el Organismo de Agua y Saneamiento.</w:t>
      </w:r>
    </w:p>
    <w:p w:rsidR="0019018D" w:rsidRPr="00124739" w:rsidRDefault="0019018D" w:rsidP="002F2DB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Al respecto, el particular refirió que la solicitud descrita es clara, por lo que no realizó ninguna manifestación respecto a las aclaraciones peticionadas.</w:t>
      </w:r>
    </w:p>
    <w:p w:rsidR="0019018D" w:rsidRPr="00124739" w:rsidRDefault="0019018D" w:rsidP="002F2DB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En respuesta, el </w:t>
      </w:r>
      <w:r w:rsidRPr="00124739">
        <w:rPr>
          <w:rFonts w:ascii="Palatino Linotype" w:eastAsia="Palatino Linotype" w:hAnsi="Palatino Linotype" w:cs="Palatino Linotype"/>
          <w:b/>
          <w:color w:val="000000"/>
        </w:rPr>
        <w:t xml:space="preserve">SUJETO OBLIGADO </w:t>
      </w:r>
      <w:r w:rsidRPr="00124739">
        <w:rPr>
          <w:rFonts w:ascii="Palatino Linotype" w:eastAsia="Palatino Linotype" w:hAnsi="Palatino Linotype" w:cs="Palatino Linotype"/>
          <w:color w:val="000000"/>
        </w:rPr>
        <w:t>por medio de la Jefa del Departamento de Transparencia, Oficialía de Partes y Atención Ciudadana,</w:t>
      </w:r>
      <w:r w:rsidRPr="00124739">
        <w:rPr>
          <w:rFonts w:ascii="Palatino Linotype" w:eastAsia="Palatino Linotype" w:hAnsi="Palatino Linotype" w:cs="Palatino Linotype"/>
          <w:b/>
          <w:color w:val="000000"/>
        </w:rPr>
        <w:t xml:space="preserve"> </w:t>
      </w:r>
      <w:r w:rsidRPr="00124739">
        <w:rPr>
          <w:rFonts w:ascii="Palatino Linotype" w:eastAsia="Palatino Linotype" w:hAnsi="Palatino Linotype" w:cs="Palatino Linotype"/>
          <w:color w:val="000000"/>
        </w:rPr>
        <w:t>refirió que toda vez que se le solicitó al particular aclarar su petición, sin embargo su respuesta fue que la solicitud era clara; por lo que se le exhortó a revisar el portal IPOMEX (</w:t>
      </w:r>
      <w:hyperlink r:id="rId9" w:anchor="/info-fraccion/11/270/28">
        <w:r w:rsidRPr="00124739">
          <w:rPr>
            <w:rFonts w:ascii="Palatino Linotype" w:eastAsia="Palatino Linotype" w:hAnsi="Palatino Linotype" w:cs="Palatino Linotype"/>
            <w:color w:val="0563C1"/>
            <w:u w:val="single"/>
          </w:rPr>
          <w:t>https://ipomex.org.mx/#/info-</w:t>
        </w:r>
        <w:r w:rsidRPr="00124739">
          <w:rPr>
            <w:rFonts w:ascii="Palatino Linotype" w:eastAsia="Palatino Linotype" w:hAnsi="Palatino Linotype" w:cs="Palatino Linotype"/>
            <w:color w:val="0563C1"/>
            <w:u w:val="single"/>
          </w:rPr>
          <w:lastRenderedPageBreak/>
          <w:t>fraccion/11/270/28</w:t>
        </w:r>
      </w:hyperlink>
      <w:r w:rsidRPr="00124739">
        <w:rPr>
          <w:rFonts w:ascii="Palatino Linotype" w:eastAsia="Palatino Linotype" w:hAnsi="Palatino Linotype" w:cs="Palatino Linotype"/>
          <w:color w:val="000000"/>
        </w:rPr>
        <w:t>); así mismo, se le hizo del conocimiento el término para interponer el recurso de revisión.</w:t>
      </w:r>
    </w:p>
    <w:p w:rsidR="0019018D" w:rsidRPr="00124739" w:rsidRDefault="0019018D" w:rsidP="002F2DB1">
      <w:pPr>
        <w:pBdr>
          <w:top w:val="nil"/>
          <w:left w:val="nil"/>
          <w:bottom w:val="nil"/>
          <w:right w:val="nil"/>
          <w:between w:val="nil"/>
        </w:pBdr>
        <w:rPr>
          <w:rFonts w:ascii="Palatino Linotype" w:eastAsia="Palatino Linotype" w:hAnsi="Palatino Linotype" w:cs="Palatino Linotype"/>
          <w:color w:val="000000"/>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FF0000"/>
        </w:rPr>
      </w:pPr>
      <w:r w:rsidRPr="00124739">
        <w:rPr>
          <w:rFonts w:ascii="Palatino Linotype" w:eastAsia="Palatino Linotype" w:hAnsi="Palatino Linotype" w:cs="Palatino Linotype"/>
          <w:color w:val="000000"/>
        </w:rPr>
        <w:t xml:space="preserve">El </w:t>
      </w:r>
      <w:r w:rsidRPr="00124739">
        <w:rPr>
          <w:rFonts w:ascii="Palatino Linotype" w:eastAsia="Palatino Linotype" w:hAnsi="Palatino Linotype" w:cs="Palatino Linotype"/>
          <w:b/>
          <w:color w:val="000000"/>
        </w:rPr>
        <w:t>RECURRENTE</w:t>
      </w:r>
      <w:r w:rsidRPr="00124739">
        <w:rPr>
          <w:rFonts w:ascii="Palatino Linotype" w:eastAsia="Palatino Linotype" w:hAnsi="Palatino Linotype" w:cs="Palatino Linotype"/>
          <w:color w:val="000000"/>
        </w:rPr>
        <w:t xml:space="preserve">, se inconformó por la negativa de la información solicitada, en los siguientes términos: </w:t>
      </w:r>
      <w:r w:rsidRPr="00124739">
        <w:rPr>
          <w:rFonts w:ascii="Palatino Linotype" w:eastAsia="Palatino Linotype" w:hAnsi="Palatino Linotype" w:cs="Palatino Linotype"/>
          <w:i/>
          <w:color w:val="000000"/>
        </w:rPr>
        <w:t>“No entrega la información solicitada.” (Sic)</w:t>
      </w:r>
    </w:p>
    <w:p w:rsidR="0019018D" w:rsidRPr="00124739" w:rsidRDefault="0019018D" w:rsidP="002F2DB1">
      <w:pPr>
        <w:pBdr>
          <w:top w:val="nil"/>
          <w:left w:val="nil"/>
          <w:bottom w:val="nil"/>
          <w:right w:val="nil"/>
          <w:between w:val="nil"/>
        </w:pBdr>
        <w:spacing w:line="360" w:lineRule="auto"/>
        <w:jc w:val="both"/>
        <w:rPr>
          <w:rFonts w:ascii="Palatino Linotype" w:eastAsia="Palatino Linotype" w:hAnsi="Palatino Linotype" w:cs="Palatino Linotype"/>
          <w:color w:val="FF0000"/>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color w:val="000000"/>
        </w:rPr>
        <w:t xml:space="preserve">En dichas condiciones, la </w:t>
      </w:r>
      <w:r w:rsidRPr="00124739">
        <w:rPr>
          <w:rFonts w:ascii="Palatino Linotype" w:eastAsia="Palatino Linotype" w:hAnsi="Palatino Linotype" w:cs="Palatino Linotype"/>
          <w:i/>
          <w:color w:val="000000"/>
        </w:rPr>
        <w:t>Litis</w:t>
      </w:r>
      <w:r w:rsidRPr="00124739">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sidRPr="00124739">
        <w:rPr>
          <w:rFonts w:ascii="Palatino Linotype" w:eastAsia="Palatino Linotype" w:hAnsi="Palatino Linotype" w:cs="Palatino Linotype"/>
          <w:b/>
          <w:color w:val="000000"/>
        </w:rPr>
        <w:t xml:space="preserve">fracción I </w:t>
      </w:r>
      <w:r w:rsidRPr="00124739">
        <w:rPr>
          <w:rFonts w:ascii="Palatino Linotype" w:eastAsia="Palatino Linotype" w:hAnsi="Palatino Linotype" w:cs="Palatino Linotype"/>
          <w:color w:val="000000"/>
        </w:rPr>
        <w:t>de la Ley</w:t>
      </w:r>
      <w:r w:rsidRPr="00124739">
        <w:rPr>
          <w:rFonts w:ascii="Palatino Linotype" w:eastAsia="Palatino Linotype" w:hAnsi="Palatino Linotype" w:cs="Palatino Linotype"/>
          <w:b/>
          <w:color w:val="000000"/>
        </w:rPr>
        <w:t xml:space="preserve"> de Transparencia y Acceso a la Información Pública del Estado de </w:t>
      </w:r>
      <w:r w:rsidRPr="00124739">
        <w:rPr>
          <w:rFonts w:ascii="Palatino Linotype" w:eastAsia="Palatino Linotype" w:hAnsi="Palatino Linotype" w:cs="Palatino Linotype"/>
          <w:color w:val="000000"/>
        </w:rPr>
        <w:t>México</w:t>
      </w:r>
      <w:r w:rsidRPr="00124739">
        <w:rPr>
          <w:rFonts w:ascii="Palatino Linotype" w:eastAsia="Palatino Linotype" w:hAnsi="Palatino Linotype" w:cs="Palatino Linotype"/>
          <w:b/>
          <w:color w:val="000000"/>
        </w:rPr>
        <w:t xml:space="preserve"> y Municipios</w:t>
      </w:r>
      <w:r w:rsidRPr="00124739">
        <w:rPr>
          <w:rFonts w:ascii="Palatino Linotype" w:eastAsia="Palatino Linotype" w:hAnsi="Palatino Linotype" w:cs="Palatino Linotype"/>
          <w:color w:val="000000"/>
        </w:rPr>
        <w:t xml:space="preserve">; fracción que determina la hipótesis jurídica relativa a </w:t>
      </w:r>
      <w:r w:rsidRPr="00124739">
        <w:rPr>
          <w:rFonts w:ascii="Palatino Linotype" w:eastAsia="Palatino Linotype" w:hAnsi="Palatino Linotype" w:cs="Palatino Linotype"/>
          <w:b/>
          <w:color w:val="000000"/>
        </w:rPr>
        <w:t xml:space="preserve">la negativa de la información solicitada </w:t>
      </w:r>
      <w:r w:rsidRPr="00124739">
        <w:rPr>
          <w:rFonts w:ascii="Palatino Linotype" w:eastAsia="Palatino Linotype" w:hAnsi="Palatino Linotype" w:cs="Palatino Linotype"/>
          <w:color w:val="000000"/>
        </w:rPr>
        <w:t xml:space="preserve">por el </w:t>
      </w:r>
      <w:r w:rsidRPr="00124739">
        <w:rPr>
          <w:rFonts w:ascii="Palatino Linotype" w:eastAsia="Palatino Linotype" w:hAnsi="Palatino Linotype" w:cs="Palatino Linotype"/>
          <w:b/>
          <w:color w:val="000000"/>
        </w:rPr>
        <w:t>SUJETO OBLIGADO</w:t>
      </w:r>
      <w:r w:rsidRPr="00124739">
        <w:rPr>
          <w:rFonts w:ascii="Palatino Linotype" w:eastAsia="Palatino Linotype" w:hAnsi="Palatino Linotype" w:cs="Palatino Linotype"/>
          <w:color w:val="000000"/>
        </w:rPr>
        <w:t xml:space="preserve">; contexto del cual se dolió </w:t>
      </w:r>
      <w:r w:rsidRPr="00124739">
        <w:rPr>
          <w:rFonts w:ascii="Palatino Linotype" w:eastAsia="Palatino Linotype" w:hAnsi="Palatino Linotype" w:cs="Palatino Linotype"/>
          <w:b/>
          <w:color w:val="000000"/>
        </w:rPr>
        <w:t xml:space="preserve">EL RECURRENTE </w:t>
      </w:r>
      <w:r w:rsidRPr="00124739">
        <w:rPr>
          <w:rFonts w:ascii="Palatino Linotype" w:eastAsia="Palatino Linotype" w:hAnsi="Palatino Linotype" w:cs="Palatino Linotype"/>
          <w:color w:val="000000"/>
        </w:rPr>
        <w:t>al momento de interponer su inconformidad.</w:t>
      </w:r>
    </w:p>
    <w:p w:rsidR="0019018D" w:rsidRPr="00124739" w:rsidRDefault="0019018D" w:rsidP="002F2DB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9018D" w:rsidRPr="00124739" w:rsidRDefault="008011FF" w:rsidP="002F2DB1">
      <w:pPr>
        <w:pStyle w:val="Ttulo1"/>
        <w:spacing w:before="0" w:line="360" w:lineRule="auto"/>
        <w:rPr>
          <w:rFonts w:ascii="Palatino Linotype" w:eastAsia="Palatino Linotype" w:hAnsi="Palatino Linotype" w:cs="Palatino Linotype"/>
          <w:b/>
          <w:color w:val="000000"/>
          <w:sz w:val="24"/>
          <w:szCs w:val="24"/>
        </w:rPr>
      </w:pPr>
      <w:bookmarkStart w:id="7" w:name="_heading=h.ij0f47segzrf" w:colFirst="0" w:colLast="0"/>
      <w:bookmarkEnd w:id="7"/>
      <w:r w:rsidRPr="00124739">
        <w:rPr>
          <w:rFonts w:ascii="Palatino Linotype" w:eastAsia="Palatino Linotype" w:hAnsi="Palatino Linotype" w:cs="Palatino Linotype"/>
          <w:b/>
          <w:color w:val="000000"/>
          <w:sz w:val="24"/>
          <w:szCs w:val="24"/>
        </w:rPr>
        <w:t>CUARTO. Del estudio y resolución del recurso de revisión.</w:t>
      </w:r>
    </w:p>
    <w:p w:rsidR="0019018D" w:rsidRPr="00124739" w:rsidRDefault="0019018D" w:rsidP="002F2DB1">
      <w:pPr>
        <w:rPr>
          <w:rFonts w:ascii="Palatino Linotype" w:hAnsi="Palatino Linotype"/>
        </w:rPr>
      </w:pPr>
    </w:p>
    <w:p w:rsidR="0019018D" w:rsidRPr="00124739" w:rsidRDefault="008011FF" w:rsidP="002F2DB1">
      <w:pPr>
        <w:keepNext/>
        <w:keepLines/>
        <w:numPr>
          <w:ilvl w:val="0"/>
          <w:numId w:val="11"/>
        </w:numPr>
        <w:spacing w:after="240" w:line="360" w:lineRule="auto"/>
        <w:ind w:left="0"/>
        <w:rPr>
          <w:rFonts w:ascii="Palatino Linotype" w:eastAsia="Palatino Linotype" w:hAnsi="Palatino Linotype" w:cs="Palatino Linotype"/>
          <w:b/>
        </w:rPr>
      </w:pPr>
      <w:r w:rsidRPr="00124739">
        <w:rPr>
          <w:rFonts w:ascii="Palatino Linotype" w:eastAsia="Palatino Linotype" w:hAnsi="Palatino Linotype" w:cs="Palatino Linotype"/>
          <w:b/>
        </w:rPr>
        <w:t>Del derecho de acceso a la información.</w:t>
      </w: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19018D" w:rsidRPr="00124739" w:rsidRDefault="0019018D" w:rsidP="002F2DB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lastRenderedPageBreak/>
        <w:t xml:space="preserve">Definiendo el Derecho de Acceso a la Información Pública como: </w:t>
      </w:r>
      <w:r w:rsidRPr="00124739">
        <w:rPr>
          <w:rFonts w:ascii="Palatino Linotype" w:eastAsia="Palatino Linotype" w:hAnsi="Palatino Linotype" w:cs="Palatino Linotype"/>
          <w:i/>
          <w:color w:val="000000"/>
        </w:rPr>
        <w:t>La igualdad de oportunidades para recibir, buscar e impartir información</w:t>
      </w:r>
      <w:r w:rsidRPr="00124739">
        <w:rPr>
          <w:rFonts w:ascii="Palatino Linotype" w:eastAsia="Century Gothic" w:hAnsi="Palatino Linotype" w:cs="Century Gothic"/>
          <w:i/>
          <w:color w:val="000000"/>
          <w:vertAlign w:val="superscript"/>
        </w:rPr>
        <w:footnoteReference w:id="1"/>
      </w:r>
      <w:r w:rsidRPr="00124739">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24739">
        <w:rPr>
          <w:rFonts w:ascii="Palatino Linotype" w:eastAsia="Century Gothic" w:hAnsi="Palatino Linotype" w:cs="Century Gothic"/>
          <w:i/>
          <w:color w:val="000000"/>
          <w:vertAlign w:val="superscript"/>
        </w:rPr>
        <w:footnoteReference w:id="2"/>
      </w:r>
      <w:r w:rsidRPr="00124739">
        <w:rPr>
          <w:rFonts w:ascii="Palatino Linotype" w:eastAsia="Palatino Linotype" w:hAnsi="Palatino Linotype" w:cs="Palatino Linotype"/>
          <w:color w:val="000000"/>
        </w:rPr>
        <w:t>que se constituye como una herramienta fundamental para ejercer</w:t>
      </w:r>
      <w:r w:rsidRPr="00124739">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124739">
        <w:rPr>
          <w:rFonts w:ascii="Palatino Linotype" w:eastAsia="Century Gothic" w:hAnsi="Palatino Linotype" w:cs="Century Gothic"/>
          <w:i/>
          <w:color w:val="000000"/>
          <w:vertAlign w:val="superscript"/>
        </w:rPr>
        <w:footnoteReference w:id="3"/>
      </w:r>
      <w:r w:rsidRPr="00124739">
        <w:rPr>
          <w:rFonts w:ascii="Palatino Linotype" w:eastAsia="Palatino Linotype" w:hAnsi="Palatino Linotype" w:cs="Palatino Linotype"/>
          <w:color w:val="000000"/>
        </w:rPr>
        <w:t>fomentando</w:t>
      </w:r>
      <w:r w:rsidRPr="00124739">
        <w:rPr>
          <w:rFonts w:ascii="Palatino Linotype" w:eastAsia="Palatino Linotype" w:hAnsi="Palatino Linotype" w:cs="Palatino Linotype"/>
          <w:i/>
          <w:color w:val="000000"/>
        </w:rPr>
        <w:t xml:space="preserve"> la transparencia de las actividades estatales y </w:t>
      </w:r>
      <w:r w:rsidRPr="00124739">
        <w:rPr>
          <w:rFonts w:ascii="Palatino Linotype" w:eastAsia="Palatino Linotype" w:hAnsi="Palatino Linotype" w:cs="Palatino Linotype"/>
          <w:color w:val="000000"/>
        </w:rPr>
        <w:t>promoviendo</w:t>
      </w:r>
      <w:r w:rsidRPr="00124739">
        <w:rPr>
          <w:rFonts w:ascii="Palatino Linotype" w:eastAsia="Palatino Linotype" w:hAnsi="Palatino Linotype" w:cs="Palatino Linotype"/>
          <w:i/>
          <w:color w:val="000000"/>
        </w:rPr>
        <w:t xml:space="preserve"> la responsabilidad de los funcionarios sobre su gestión pública,</w:t>
      </w:r>
      <w:r w:rsidRPr="00124739">
        <w:rPr>
          <w:rFonts w:ascii="Palatino Linotype" w:eastAsia="Century Gothic" w:hAnsi="Palatino Linotype" w:cs="Century Gothic"/>
          <w:i/>
          <w:color w:val="000000"/>
          <w:vertAlign w:val="superscript"/>
        </w:rPr>
        <w:footnoteReference w:id="4"/>
      </w:r>
      <w:r w:rsidRPr="00124739">
        <w:rPr>
          <w:rFonts w:ascii="Palatino Linotype" w:eastAsia="Palatino Linotype" w:hAnsi="Palatino Linotype" w:cs="Palatino Linotype"/>
          <w:color w:val="000000"/>
        </w:rPr>
        <w:t>que permite</w:t>
      </w:r>
      <w:r w:rsidRPr="00124739">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19018D" w:rsidRPr="00124739" w:rsidRDefault="0019018D" w:rsidP="002F2DB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rPr>
      </w:pPr>
      <w:r w:rsidRPr="00124739">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19018D" w:rsidRPr="00124739" w:rsidRDefault="0019018D" w:rsidP="002F2DB1">
      <w:pPr>
        <w:spacing w:line="360" w:lineRule="auto"/>
        <w:jc w:val="both"/>
        <w:rPr>
          <w:rFonts w:ascii="Palatino Linotype" w:eastAsia="Palatino Linotype" w:hAnsi="Palatino Linotype" w:cs="Palatino Linotype"/>
        </w:rPr>
      </w:pPr>
    </w:p>
    <w:p w:rsidR="0019018D" w:rsidRPr="00124739" w:rsidRDefault="008011FF" w:rsidP="002F2DB1">
      <w:pPr>
        <w:tabs>
          <w:tab w:val="left" w:pos="7655"/>
        </w:tabs>
        <w:jc w:val="both"/>
        <w:rPr>
          <w:rFonts w:ascii="Palatino Linotype" w:eastAsia="Palatino Linotype" w:hAnsi="Palatino Linotype" w:cs="Palatino Linotype"/>
          <w:i/>
        </w:rPr>
      </w:pPr>
      <w:r w:rsidRPr="00124739">
        <w:rPr>
          <w:rFonts w:ascii="Palatino Linotype" w:eastAsia="Palatino Linotype" w:hAnsi="Palatino Linotype" w:cs="Palatino Linotype"/>
          <w:i/>
        </w:rPr>
        <w:t>“</w:t>
      </w:r>
      <w:r w:rsidRPr="00124739">
        <w:rPr>
          <w:rFonts w:ascii="Palatino Linotype" w:eastAsia="Palatino Linotype" w:hAnsi="Palatino Linotype" w:cs="Palatino Linotype"/>
          <w:b/>
          <w:i/>
        </w:rPr>
        <w:t>Artículo 1.-</w:t>
      </w:r>
      <w:r w:rsidRPr="00124739">
        <w:rPr>
          <w:rFonts w:ascii="Palatino Linotype" w:eastAsia="Palatino Linotype" w:hAnsi="Palatino Linotype" w:cs="Palatino Linotype"/>
          <w:i/>
        </w:rPr>
        <w:t xml:space="preserve"> </w:t>
      </w:r>
    </w:p>
    <w:p w:rsidR="0019018D" w:rsidRPr="00124739" w:rsidRDefault="008011FF" w:rsidP="002F2DB1">
      <w:pPr>
        <w:tabs>
          <w:tab w:val="left" w:pos="7655"/>
        </w:tabs>
        <w:jc w:val="both"/>
        <w:rPr>
          <w:rFonts w:ascii="Palatino Linotype" w:eastAsia="Palatino Linotype" w:hAnsi="Palatino Linotype" w:cs="Palatino Linotype"/>
          <w:i/>
        </w:rPr>
      </w:pPr>
      <w:r w:rsidRPr="00124739">
        <w:rPr>
          <w:rFonts w:ascii="Palatino Linotype" w:eastAsia="Palatino Linotype" w:hAnsi="Palatino Linotype" w:cs="Palatino Linotype"/>
          <w:i/>
        </w:rPr>
        <w:t>(…)</w:t>
      </w:r>
    </w:p>
    <w:p w:rsidR="0019018D" w:rsidRPr="00124739" w:rsidRDefault="008011FF" w:rsidP="002F2DB1">
      <w:pPr>
        <w:tabs>
          <w:tab w:val="left" w:pos="7655"/>
        </w:tabs>
        <w:jc w:val="both"/>
        <w:rPr>
          <w:rFonts w:ascii="Palatino Linotype" w:eastAsia="Palatino Linotype" w:hAnsi="Palatino Linotype" w:cs="Palatino Linotype"/>
          <w:i/>
        </w:rPr>
      </w:pPr>
      <w:r w:rsidRPr="00124739">
        <w:rPr>
          <w:rFonts w:ascii="Palatino Linotype" w:eastAsia="Palatino Linotype" w:hAnsi="Palatino Linotype" w:cs="Palatino Linotype"/>
          <w:i/>
        </w:rPr>
        <w:t>Todas las</w:t>
      </w:r>
      <w:r w:rsidRPr="00124739">
        <w:rPr>
          <w:rFonts w:ascii="Palatino Linotype" w:eastAsia="Palatino Linotype" w:hAnsi="Palatino Linotype" w:cs="Palatino Linotype"/>
        </w:rPr>
        <w:t xml:space="preserve"> </w:t>
      </w:r>
      <w:r w:rsidRPr="00124739">
        <w:rPr>
          <w:rFonts w:ascii="Palatino Linotype" w:eastAsia="Palatino Linotype" w:hAnsi="Palatino Linotype" w:cs="Palatino Linotype"/>
          <w:i/>
        </w:rPr>
        <w:t xml:space="preserve">autoridades, en el ámbito de sus competencias, tienen la obligación de promover, respetar, proteger y garantizar los derechos humanos de conformidad con los principios de universalidad, interdependencia, indivisibilidad y progresividad. En consecuencia, el Estado </w:t>
      </w:r>
      <w:r w:rsidRPr="00124739">
        <w:rPr>
          <w:rFonts w:ascii="Palatino Linotype" w:eastAsia="Palatino Linotype" w:hAnsi="Palatino Linotype" w:cs="Palatino Linotype"/>
          <w:i/>
        </w:rPr>
        <w:lastRenderedPageBreak/>
        <w:t>deberá prevenir, investigar, sancionar y reparar las violaciones a los derechos humanos, en los términos que establezca la ley.</w:t>
      </w:r>
    </w:p>
    <w:p w:rsidR="0019018D" w:rsidRPr="00124739" w:rsidRDefault="008011FF" w:rsidP="002F2DB1">
      <w:pPr>
        <w:tabs>
          <w:tab w:val="left" w:pos="7655"/>
        </w:tabs>
        <w:jc w:val="both"/>
        <w:rPr>
          <w:rFonts w:ascii="Palatino Linotype" w:eastAsia="Palatino Linotype" w:hAnsi="Palatino Linotype" w:cs="Palatino Linotype"/>
        </w:rPr>
      </w:pPr>
      <w:r w:rsidRPr="00124739">
        <w:rPr>
          <w:rFonts w:ascii="Palatino Linotype" w:eastAsia="Palatino Linotype" w:hAnsi="Palatino Linotype" w:cs="Palatino Linotype"/>
          <w:i/>
        </w:rPr>
        <w:t>(…)</w:t>
      </w:r>
      <w:r w:rsidRPr="00124739">
        <w:rPr>
          <w:rFonts w:ascii="Palatino Linotype" w:eastAsia="Palatino Linotype" w:hAnsi="Palatino Linotype" w:cs="Palatino Linotype"/>
        </w:rPr>
        <w:t>”.</w:t>
      </w:r>
    </w:p>
    <w:p w:rsidR="0019018D" w:rsidRPr="00124739" w:rsidRDefault="0019018D" w:rsidP="002F2DB1">
      <w:pPr>
        <w:spacing w:line="360" w:lineRule="auto"/>
        <w:jc w:val="both"/>
        <w:rPr>
          <w:rFonts w:ascii="Palatino Linotype" w:eastAsia="Palatino Linotype" w:hAnsi="Palatino Linotype" w:cs="Palatino Linotype"/>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rPr>
      </w:pPr>
      <w:r w:rsidRPr="00124739">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19018D" w:rsidRPr="00124739" w:rsidRDefault="0019018D" w:rsidP="002F2DB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rPr>
      </w:pPr>
      <w:r w:rsidRPr="00124739">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19018D" w:rsidRPr="00124739" w:rsidRDefault="0019018D" w:rsidP="002F2DB1">
      <w:pPr>
        <w:pBdr>
          <w:top w:val="nil"/>
          <w:left w:val="nil"/>
          <w:bottom w:val="nil"/>
          <w:right w:val="nil"/>
          <w:between w:val="nil"/>
        </w:pBdr>
        <w:rPr>
          <w:rFonts w:ascii="Palatino Linotype" w:eastAsia="Palatino Linotype" w:hAnsi="Palatino Linotype" w:cs="Palatino Linotype"/>
          <w:color w:val="000000"/>
        </w:rPr>
      </w:pPr>
    </w:p>
    <w:p w:rsidR="0019018D" w:rsidRPr="00124739" w:rsidRDefault="008011FF" w:rsidP="002F2DB1">
      <w:pPr>
        <w:spacing w:after="240"/>
        <w:jc w:val="both"/>
        <w:rPr>
          <w:rFonts w:ascii="Palatino Linotype" w:eastAsia="Palatino Linotype" w:hAnsi="Palatino Linotype" w:cs="Palatino Linotype"/>
          <w:b/>
          <w:i/>
        </w:rPr>
      </w:pPr>
      <w:r w:rsidRPr="00124739">
        <w:rPr>
          <w:rFonts w:ascii="Palatino Linotype" w:eastAsia="Palatino Linotype" w:hAnsi="Palatino Linotype" w:cs="Palatino Linotype"/>
          <w:b/>
          <w:i/>
        </w:rPr>
        <w:t>Constitución Política de los Estados Unidos Mexicanos</w:t>
      </w:r>
    </w:p>
    <w:p w:rsidR="0019018D" w:rsidRPr="00124739" w:rsidRDefault="008011FF" w:rsidP="002F2DB1">
      <w:pPr>
        <w:spacing w:before="240" w:after="240"/>
        <w:jc w:val="both"/>
        <w:rPr>
          <w:rFonts w:ascii="Palatino Linotype" w:eastAsia="Palatino Linotype" w:hAnsi="Palatino Linotype" w:cs="Palatino Linotype"/>
          <w:b/>
          <w:i/>
        </w:rPr>
      </w:pPr>
      <w:r w:rsidRPr="00124739">
        <w:rPr>
          <w:rFonts w:ascii="Palatino Linotype" w:eastAsia="Palatino Linotype" w:hAnsi="Palatino Linotype" w:cs="Palatino Linotype"/>
          <w:b/>
          <w:i/>
        </w:rPr>
        <w:t>“Artículo 6.</w:t>
      </w:r>
    </w:p>
    <w:p w:rsidR="0019018D" w:rsidRPr="00124739" w:rsidRDefault="008011FF" w:rsidP="002F2DB1">
      <w:pPr>
        <w:spacing w:before="240" w:after="240"/>
        <w:jc w:val="both"/>
        <w:rPr>
          <w:rFonts w:ascii="Palatino Linotype" w:eastAsia="Palatino Linotype" w:hAnsi="Palatino Linotype" w:cs="Palatino Linotype"/>
          <w:i/>
        </w:rPr>
      </w:pPr>
      <w:r w:rsidRPr="00124739">
        <w:rPr>
          <w:rFonts w:ascii="Palatino Linotype" w:eastAsia="Palatino Linotype" w:hAnsi="Palatino Linotype" w:cs="Palatino Linotype"/>
          <w:i/>
        </w:rPr>
        <w:t>(…)</w:t>
      </w:r>
    </w:p>
    <w:p w:rsidR="0019018D" w:rsidRPr="00124739" w:rsidRDefault="008011FF" w:rsidP="002F2DB1">
      <w:pPr>
        <w:spacing w:before="240" w:after="240"/>
        <w:jc w:val="both"/>
        <w:rPr>
          <w:rFonts w:ascii="Palatino Linotype" w:eastAsia="Palatino Linotype" w:hAnsi="Palatino Linotype" w:cs="Palatino Linotype"/>
          <w:i/>
        </w:rPr>
      </w:pPr>
      <w:r w:rsidRPr="00124739">
        <w:rPr>
          <w:rFonts w:ascii="Palatino Linotype" w:eastAsia="Palatino Linotype" w:hAnsi="Palatino Linotype" w:cs="Palatino Linotype"/>
          <w:i/>
        </w:rPr>
        <w:t>Para efectos de lo dispuesto en el presente artículo se observará lo siguiente:</w:t>
      </w:r>
    </w:p>
    <w:p w:rsidR="0019018D" w:rsidRPr="00124739" w:rsidRDefault="008011FF" w:rsidP="002F2DB1">
      <w:pPr>
        <w:spacing w:before="240" w:after="240"/>
        <w:jc w:val="both"/>
        <w:rPr>
          <w:rFonts w:ascii="Palatino Linotype" w:eastAsia="Palatino Linotype" w:hAnsi="Palatino Linotype" w:cs="Palatino Linotype"/>
          <w:b/>
          <w:i/>
        </w:rPr>
      </w:pPr>
      <w:r w:rsidRPr="00124739">
        <w:rPr>
          <w:rFonts w:ascii="Palatino Linotype" w:eastAsia="Palatino Linotype" w:hAnsi="Palatino Linotype" w:cs="Palatino Linotype"/>
          <w:b/>
          <w:i/>
        </w:rPr>
        <w:t>A</w:t>
      </w:r>
      <w:r w:rsidRPr="00124739">
        <w:rPr>
          <w:rFonts w:ascii="Palatino Linotype" w:eastAsia="Palatino Linotype" w:hAnsi="Palatino Linotype" w:cs="Palatino Linotype"/>
          <w:i/>
        </w:rPr>
        <w:t xml:space="preserve">. </w:t>
      </w:r>
      <w:r w:rsidRPr="00124739">
        <w:rPr>
          <w:rFonts w:ascii="Palatino Linotype" w:eastAsia="Palatino Linotype" w:hAnsi="Palatino Linotype" w:cs="Palatino Linotype"/>
          <w:b/>
          <w:i/>
        </w:rPr>
        <w:t>Para el ejercicio del derecho de acceso a la información</w:t>
      </w:r>
      <w:r w:rsidRPr="00124739">
        <w:rPr>
          <w:rFonts w:ascii="Palatino Linotype" w:eastAsia="Palatino Linotype" w:hAnsi="Palatino Linotype" w:cs="Palatino Linotype"/>
          <w:i/>
        </w:rPr>
        <w:t xml:space="preserve">, la Federación y </w:t>
      </w:r>
      <w:r w:rsidRPr="00124739">
        <w:rPr>
          <w:rFonts w:ascii="Palatino Linotype" w:eastAsia="Palatino Linotype" w:hAnsi="Palatino Linotype" w:cs="Palatino Linotype"/>
          <w:b/>
          <w:i/>
        </w:rPr>
        <w:t>las entidades federativas, en el ámbito de sus respectivas competencias, se regirán por los siguientes principios y bases:</w:t>
      </w:r>
    </w:p>
    <w:p w:rsidR="0019018D" w:rsidRPr="00124739" w:rsidRDefault="008011FF" w:rsidP="002F2DB1">
      <w:pPr>
        <w:spacing w:before="240" w:after="240"/>
        <w:jc w:val="both"/>
        <w:rPr>
          <w:rFonts w:ascii="Palatino Linotype" w:eastAsia="Palatino Linotype" w:hAnsi="Palatino Linotype" w:cs="Palatino Linotype"/>
          <w:i/>
        </w:rPr>
      </w:pPr>
      <w:r w:rsidRPr="00124739">
        <w:rPr>
          <w:rFonts w:ascii="Palatino Linotype" w:eastAsia="Palatino Linotype" w:hAnsi="Palatino Linotype" w:cs="Palatino Linotype"/>
          <w:b/>
          <w:i/>
        </w:rPr>
        <w:t>I. Toda la información en posesión de cualquier</w:t>
      </w:r>
      <w:r w:rsidRPr="00124739">
        <w:rPr>
          <w:rFonts w:ascii="Palatino Linotype" w:eastAsia="Palatino Linotype" w:hAnsi="Palatino Linotype" w:cs="Palatino Linotype"/>
          <w:i/>
        </w:rPr>
        <w:t xml:space="preserve"> </w:t>
      </w:r>
      <w:r w:rsidRPr="00124739">
        <w:rPr>
          <w:rFonts w:ascii="Palatino Linotype" w:eastAsia="Palatino Linotype" w:hAnsi="Palatino Linotype" w:cs="Palatino Linotype"/>
          <w:b/>
          <w:i/>
        </w:rPr>
        <w:t>autoridad</w:t>
      </w:r>
      <w:r w:rsidRPr="00124739">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w:t>
      </w:r>
      <w:r w:rsidRPr="00124739">
        <w:rPr>
          <w:rFonts w:ascii="Palatino Linotype" w:eastAsia="Palatino Linotype" w:hAnsi="Palatino Linotype" w:cs="Palatino Linotype"/>
          <w:i/>
        </w:rPr>
        <w:lastRenderedPageBreak/>
        <w:t xml:space="preserve">recursos públicos o realice actos de autoridad en el ámbito federal, estatal y </w:t>
      </w:r>
      <w:r w:rsidRPr="00124739">
        <w:rPr>
          <w:rFonts w:ascii="Palatino Linotype" w:eastAsia="Palatino Linotype" w:hAnsi="Palatino Linotype" w:cs="Palatino Linotype"/>
          <w:b/>
          <w:i/>
        </w:rPr>
        <w:t>municipal</w:t>
      </w:r>
      <w:r w:rsidRPr="00124739">
        <w:rPr>
          <w:rFonts w:ascii="Palatino Linotype" w:eastAsia="Palatino Linotype" w:hAnsi="Palatino Linotype" w:cs="Palatino Linotype"/>
          <w:i/>
        </w:rPr>
        <w:t xml:space="preserve">, </w:t>
      </w:r>
      <w:r w:rsidRPr="00124739">
        <w:rPr>
          <w:rFonts w:ascii="Palatino Linotype" w:eastAsia="Palatino Linotype" w:hAnsi="Palatino Linotype" w:cs="Palatino Linotype"/>
          <w:b/>
          <w:i/>
        </w:rPr>
        <w:t>es pública</w:t>
      </w:r>
      <w:r w:rsidRPr="00124739">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124739">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124739">
        <w:rPr>
          <w:rFonts w:ascii="Palatino Linotype" w:eastAsia="Palatino Linotype" w:hAnsi="Palatino Linotype" w:cs="Palatino Linotype"/>
          <w:i/>
        </w:rPr>
        <w:t>, la ley determinará los supuestos específicos bajo los cuales procederá la declaración de inexistencia de la información.”</w:t>
      </w:r>
    </w:p>
    <w:p w:rsidR="0019018D" w:rsidRPr="00124739" w:rsidRDefault="0019018D" w:rsidP="002F2DB1">
      <w:pPr>
        <w:tabs>
          <w:tab w:val="left" w:pos="567"/>
        </w:tabs>
        <w:spacing w:before="240"/>
        <w:jc w:val="both"/>
        <w:rPr>
          <w:rFonts w:ascii="Palatino Linotype" w:eastAsia="Palatino Linotype" w:hAnsi="Palatino Linotype" w:cs="Palatino Linotype"/>
          <w:b/>
          <w:i/>
        </w:rPr>
      </w:pPr>
    </w:p>
    <w:p w:rsidR="0019018D" w:rsidRPr="00124739" w:rsidRDefault="008011FF" w:rsidP="002F2DB1">
      <w:pPr>
        <w:spacing w:after="240"/>
        <w:jc w:val="both"/>
        <w:rPr>
          <w:rFonts w:ascii="Palatino Linotype" w:eastAsia="Palatino Linotype" w:hAnsi="Palatino Linotype" w:cs="Palatino Linotype"/>
          <w:b/>
          <w:i/>
        </w:rPr>
      </w:pPr>
      <w:r w:rsidRPr="00124739">
        <w:rPr>
          <w:rFonts w:ascii="Palatino Linotype" w:eastAsia="Palatino Linotype" w:hAnsi="Palatino Linotype" w:cs="Palatino Linotype"/>
          <w:b/>
          <w:i/>
        </w:rPr>
        <w:t>Constitución Política del Estado Libre y Soberano de México</w:t>
      </w:r>
    </w:p>
    <w:p w:rsidR="0019018D" w:rsidRPr="00124739" w:rsidRDefault="008011FF" w:rsidP="002F2DB1">
      <w:pPr>
        <w:spacing w:before="240" w:after="240"/>
        <w:jc w:val="both"/>
        <w:rPr>
          <w:rFonts w:ascii="Palatino Linotype" w:eastAsia="Palatino Linotype" w:hAnsi="Palatino Linotype" w:cs="Palatino Linotype"/>
          <w:i/>
        </w:rPr>
      </w:pPr>
      <w:r w:rsidRPr="00124739">
        <w:rPr>
          <w:rFonts w:ascii="Palatino Linotype" w:eastAsia="Palatino Linotype" w:hAnsi="Palatino Linotype" w:cs="Palatino Linotype"/>
          <w:b/>
          <w:i/>
        </w:rPr>
        <w:t>“Artículo 5</w:t>
      </w:r>
      <w:r w:rsidRPr="00124739">
        <w:rPr>
          <w:rFonts w:ascii="Palatino Linotype" w:eastAsia="Palatino Linotype" w:hAnsi="Palatino Linotype" w:cs="Palatino Linotype"/>
          <w:i/>
        </w:rPr>
        <w:t xml:space="preserve">.- </w:t>
      </w:r>
    </w:p>
    <w:p w:rsidR="0019018D" w:rsidRPr="00124739" w:rsidRDefault="008011FF" w:rsidP="002F2DB1">
      <w:pPr>
        <w:spacing w:before="240" w:after="240"/>
        <w:jc w:val="both"/>
        <w:rPr>
          <w:rFonts w:ascii="Palatino Linotype" w:eastAsia="Palatino Linotype" w:hAnsi="Palatino Linotype" w:cs="Palatino Linotype"/>
          <w:i/>
        </w:rPr>
      </w:pPr>
      <w:r w:rsidRPr="00124739">
        <w:rPr>
          <w:rFonts w:ascii="Palatino Linotype" w:eastAsia="Palatino Linotype" w:hAnsi="Palatino Linotype" w:cs="Palatino Linotype"/>
          <w:i/>
        </w:rPr>
        <w:t>(…)</w:t>
      </w:r>
    </w:p>
    <w:p w:rsidR="0019018D" w:rsidRPr="00124739" w:rsidRDefault="008011FF" w:rsidP="002F2DB1">
      <w:pPr>
        <w:spacing w:before="240" w:after="240"/>
        <w:jc w:val="both"/>
        <w:rPr>
          <w:rFonts w:ascii="Palatino Linotype" w:eastAsia="Palatino Linotype" w:hAnsi="Palatino Linotype" w:cs="Palatino Linotype"/>
          <w:i/>
        </w:rPr>
      </w:pPr>
      <w:r w:rsidRPr="00124739">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124739">
        <w:rPr>
          <w:rFonts w:ascii="Palatino Linotype" w:eastAsia="Palatino Linotype" w:hAnsi="Palatino Linotype" w:cs="Palatino Linotype"/>
          <w:i/>
        </w:rPr>
        <w:t>.</w:t>
      </w:r>
    </w:p>
    <w:p w:rsidR="0019018D" w:rsidRPr="00124739" w:rsidRDefault="008011FF" w:rsidP="002F2DB1">
      <w:pPr>
        <w:spacing w:before="240" w:after="240"/>
        <w:jc w:val="both"/>
        <w:rPr>
          <w:rFonts w:ascii="Palatino Linotype" w:eastAsia="Palatino Linotype" w:hAnsi="Palatino Linotype" w:cs="Palatino Linotype"/>
          <w:i/>
        </w:rPr>
      </w:pPr>
      <w:r w:rsidRPr="00124739">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9018D" w:rsidRPr="00124739" w:rsidRDefault="008011FF" w:rsidP="002F2DB1">
      <w:pPr>
        <w:spacing w:before="240" w:after="240"/>
        <w:jc w:val="both"/>
        <w:rPr>
          <w:rFonts w:ascii="Palatino Linotype" w:eastAsia="Palatino Linotype" w:hAnsi="Palatino Linotype" w:cs="Palatino Linotype"/>
          <w:i/>
        </w:rPr>
      </w:pPr>
      <w:r w:rsidRPr="00124739">
        <w:rPr>
          <w:rFonts w:ascii="Palatino Linotype" w:eastAsia="Palatino Linotype" w:hAnsi="Palatino Linotype" w:cs="Palatino Linotype"/>
          <w:b/>
          <w:i/>
        </w:rPr>
        <w:t>Este derecho se regirá por los principios y bases siguientes</w:t>
      </w:r>
      <w:r w:rsidRPr="00124739">
        <w:rPr>
          <w:rFonts w:ascii="Palatino Linotype" w:eastAsia="Palatino Linotype" w:hAnsi="Palatino Linotype" w:cs="Palatino Linotype"/>
          <w:i/>
        </w:rPr>
        <w:t>:</w:t>
      </w:r>
    </w:p>
    <w:p w:rsidR="0019018D" w:rsidRPr="00124739" w:rsidRDefault="008011FF" w:rsidP="002F2DB1">
      <w:pPr>
        <w:spacing w:before="240" w:after="240"/>
        <w:jc w:val="both"/>
        <w:rPr>
          <w:rFonts w:ascii="Palatino Linotype" w:eastAsia="Palatino Linotype" w:hAnsi="Palatino Linotype" w:cs="Palatino Linotype"/>
          <w:i/>
        </w:rPr>
      </w:pPr>
      <w:r w:rsidRPr="00124739">
        <w:rPr>
          <w:rFonts w:ascii="Palatino Linotype" w:eastAsia="Palatino Linotype" w:hAnsi="Palatino Linotype" w:cs="Palatino Linotype"/>
          <w:b/>
          <w:i/>
        </w:rPr>
        <w:t>I. Toda la información en posesión de cualquier autoridad, entidad, órgano y organismos de los</w:t>
      </w:r>
      <w:r w:rsidRPr="00124739">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124739">
        <w:rPr>
          <w:rFonts w:ascii="Palatino Linotype" w:eastAsia="Palatino Linotype" w:hAnsi="Palatino Linotype" w:cs="Palatino Linotype"/>
          <w:b/>
          <w:i/>
        </w:rPr>
        <w:t>municipales</w:t>
      </w:r>
      <w:r w:rsidRPr="00124739">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24739">
        <w:rPr>
          <w:rFonts w:ascii="Palatino Linotype" w:eastAsia="Palatino Linotype" w:hAnsi="Palatino Linotype" w:cs="Palatino Linotype"/>
          <w:b/>
          <w:i/>
        </w:rPr>
        <w:t>es pública</w:t>
      </w:r>
      <w:r w:rsidRPr="00124739">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124739">
        <w:rPr>
          <w:rFonts w:ascii="Palatino Linotype" w:eastAsia="Palatino Linotype" w:hAnsi="Palatino Linotype" w:cs="Palatino Linotype"/>
          <w:b/>
          <w:i/>
        </w:rPr>
        <w:t>En la interpretación de este derecho deberá prevalecer el principio de máxima publicidad</w:t>
      </w:r>
      <w:r w:rsidRPr="00124739">
        <w:rPr>
          <w:rFonts w:ascii="Palatino Linotype" w:eastAsia="Palatino Linotype" w:hAnsi="Palatino Linotype" w:cs="Palatino Linotype"/>
          <w:i/>
        </w:rPr>
        <w:t xml:space="preserve">. </w:t>
      </w:r>
      <w:r w:rsidRPr="00124739">
        <w:rPr>
          <w:rFonts w:ascii="Palatino Linotype" w:eastAsia="Palatino Linotype" w:hAnsi="Palatino Linotype" w:cs="Palatino Linotype"/>
          <w:b/>
          <w:i/>
        </w:rPr>
        <w:t>Los sujetos obligados deberán documentar todo acto que derive del ejercicio de sus facultades, competencias o funciones</w:t>
      </w:r>
      <w:r w:rsidRPr="00124739">
        <w:rPr>
          <w:rFonts w:ascii="Palatino Linotype" w:eastAsia="Palatino Linotype" w:hAnsi="Palatino Linotype" w:cs="Palatino Linotype"/>
          <w:i/>
        </w:rPr>
        <w:t>, la ley determinará los supuestos específicos bajo los cuales procederá la declaración de inexistencia de la información.”</w:t>
      </w:r>
    </w:p>
    <w:p w:rsidR="0019018D" w:rsidRPr="00124739" w:rsidRDefault="008011FF" w:rsidP="002F2DB1">
      <w:pPr>
        <w:numPr>
          <w:ilvl w:val="0"/>
          <w:numId w:val="1"/>
        </w:numPr>
        <w:spacing w:before="240" w:line="360" w:lineRule="auto"/>
        <w:ind w:left="0" w:firstLine="0"/>
        <w:jc w:val="both"/>
        <w:rPr>
          <w:rFonts w:ascii="Palatino Linotype" w:eastAsia="Palatino Linotype" w:hAnsi="Palatino Linotype" w:cs="Palatino Linotype"/>
        </w:rPr>
      </w:pPr>
      <w:r w:rsidRPr="00124739">
        <w:rPr>
          <w:rFonts w:ascii="Palatino Linotype" w:eastAsia="Palatino Linotype" w:hAnsi="Palatino Linotype" w:cs="Palatino Linotype"/>
        </w:rPr>
        <w:lastRenderedPageBreak/>
        <w:t xml:space="preserve">Según el artículo 150 de la Ley de Transparencia del Estado, la solicitud es la garantía primaria del Derecho de Acceso a la Información, además, establece que se regirá </w:t>
      </w:r>
      <w:r w:rsidRPr="00124739">
        <w:rPr>
          <w:rFonts w:ascii="Palatino Linotype" w:eastAsia="Palatino Linotype" w:hAnsi="Palatino Linotype" w:cs="Palatino Linotype"/>
          <w:i/>
        </w:rPr>
        <w:t>por los principios de simplicidad, rapidez gratuidad del procedimiento, auxilio y orientación a los particulares</w:t>
      </w:r>
      <w:r w:rsidRPr="00124739">
        <w:rPr>
          <w:rFonts w:ascii="Palatino Linotype" w:eastAsia="Palatino Linotype" w:hAnsi="Palatino Linotype" w:cs="Palatino Linotype"/>
        </w:rPr>
        <w:t>, contemplando el derecho de las personas con discapacidad y hablantes de lengua indígena.</w:t>
      </w:r>
    </w:p>
    <w:p w:rsidR="0019018D" w:rsidRPr="00124739" w:rsidRDefault="0019018D" w:rsidP="002F2DB1">
      <w:pPr>
        <w:spacing w:before="240" w:line="360" w:lineRule="auto"/>
        <w:jc w:val="both"/>
        <w:rPr>
          <w:rFonts w:ascii="Palatino Linotype" w:eastAsia="Palatino Linotype" w:hAnsi="Palatino Linotype" w:cs="Palatino Linotype"/>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rPr>
      </w:pPr>
      <w:r w:rsidRPr="00124739">
        <w:rPr>
          <w:rFonts w:ascii="Palatino Linotype" w:eastAsia="Palatino Linotype" w:hAnsi="Palatino Linotype" w:cs="Palatino Linotype"/>
        </w:rPr>
        <w:t xml:space="preserve">El Derecho de Acceso a la Información se garantiza y respeta oportunamente, y según lo que dispone la Ley, las </w:t>
      </w:r>
      <w:r w:rsidRPr="00124739">
        <w:rPr>
          <w:rFonts w:ascii="Palatino Linotype" w:eastAsia="Palatino Linotype" w:hAnsi="Palatino Linotype" w:cs="Palatino Linotype"/>
          <w:i/>
        </w:rPr>
        <w:t>solicitudes de acceso a la información</w:t>
      </w:r>
      <w:r w:rsidRPr="00124739">
        <w:rPr>
          <w:rFonts w:ascii="Palatino Linotype" w:eastAsia="Palatino Linotype" w:hAnsi="Palatino Linotype" w:cs="Palatino Linotype"/>
        </w:rPr>
        <w:t>.</w:t>
      </w:r>
    </w:p>
    <w:p w:rsidR="0019018D" w:rsidRPr="00124739" w:rsidRDefault="0019018D" w:rsidP="002F2DB1">
      <w:pPr>
        <w:pBdr>
          <w:top w:val="nil"/>
          <w:left w:val="nil"/>
          <w:bottom w:val="nil"/>
          <w:right w:val="nil"/>
          <w:between w:val="nil"/>
        </w:pBdr>
        <w:rPr>
          <w:rFonts w:ascii="Palatino Linotype" w:eastAsia="Palatino Linotype" w:hAnsi="Palatino Linotype" w:cs="Palatino Linotype"/>
          <w:color w:val="000000"/>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rPr>
      </w:pPr>
      <w:r w:rsidRPr="00124739">
        <w:rPr>
          <w:rFonts w:ascii="Palatino Linotype" w:eastAsia="Palatino Linotype" w:hAnsi="Palatino Linotype" w:cs="Palatino Linotype"/>
        </w:rPr>
        <w:t xml:space="preserve">Así entonces, se procede analizar, en primer lugar, si el </w:t>
      </w:r>
      <w:r w:rsidRPr="00124739">
        <w:rPr>
          <w:rFonts w:ascii="Palatino Linotype" w:eastAsia="Palatino Linotype" w:hAnsi="Palatino Linotype" w:cs="Palatino Linotype"/>
          <w:b/>
        </w:rPr>
        <w:t>SUJETO OBLIGADO</w:t>
      </w:r>
      <w:r w:rsidRPr="00124739">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19018D" w:rsidRPr="00124739" w:rsidRDefault="0019018D" w:rsidP="002F2DB1">
      <w:pPr>
        <w:pBdr>
          <w:top w:val="nil"/>
          <w:left w:val="nil"/>
          <w:bottom w:val="nil"/>
          <w:right w:val="nil"/>
          <w:between w:val="nil"/>
        </w:pBdr>
        <w:rPr>
          <w:rFonts w:ascii="Palatino Linotype" w:eastAsia="Palatino Linotype" w:hAnsi="Palatino Linotype" w:cs="Palatino Linotype"/>
          <w:color w:val="000000"/>
        </w:rPr>
      </w:pPr>
    </w:p>
    <w:p w:rsidR="0019018D" w:rsidRPr="00124739" w:rsidRDefault="008011FF" w:rsidP="002F2DB1">
      <w:pPr>
        <w:keepNext/>
        <w:keepLines/>
        <w:spacing w:after="240" w:line="360" w:lineRule="auto"/>
        <w:rPr>
          <w:rFonts w:ascii="Palatino Linotype" w:eastAsia="Palatino Linotype" w:hAnsi="Palatino Linotype" w:cs="Palatino Linotype"/>
          <w:b/>
        </w:rPr>
      </w:pPr>
      <w:r w:rsidRPr="00124739">
        <w:rPr>
          <w:rFonts w:ascii="Palatino Linotype" w:eastAsia="Palatino Linotype" w:hAnsi="Palatino Linotype" w:cs="Palatino Linotype"/>
          <w:b/>
        </w:rPr>
        <w:t>II. De la información solicitada y la respuesta del SUJETO OBLIGADO</w:t>
      </w: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19018D" w:rsidRPr="00124739" w:rsidRDefault="0019018D" w:rsidP="002F2DB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lastRenderedPageBreak/>
        <w:t>Para efectos de estudio es conveniente reiterar que el solicitante requirió de todo el Personal que labora en el Ayuntami</w:t>
      </w:r>
      <w:r w:rsidR="006C0810" w:rsidRPr="00124739">
        <w:rPr>
          <w:rFonts w:ascii="Palatino Linotype" w:eastAsia="Palatino Linotype" w:hAnsi="Palatino Linotype" w:cs="Palatino Linotype"/>
          <w:color w:val="000000"/>
        </w:rPr>
        <w:t>ento, incluyendo el Organismo</w:t>
      </w:r>
      <w:r w:rsidRPr="00124739">
        <w:rPr>
          <w:rFonts w:ascii="Palatino Linotype" w:eastAsia="Palatino Linotype" w:hAnsi="Palatino Linotype" w:cs="Palatino Linotype"/>
          <w:color w:val="000000"/>
        </w:rPr>
        <w:t xml:space="preserve"> Agua </w:t>
      </w:r>
      <w:r w:rsidR="006C0810" w:rsidRPr="00124739">
        <w:rPr>
          <w:rFonts w:ascii="Palatino Linotype" w:eastAsia="Palatino Linotype" w:hAnsi="Palatino Linotype" w:cs="Palatino Linotype"/>
          <w:color w:val="000000"/>
        </w:rPr>
        <w:t xml:space="preserve"> y Saneamiento </w:t>
      </w:r>
      <w:r w:rsidRPr="00124739">
        <w:rPr>
          <w:rFonts w:ascii="Palatino Linotype" w:eastAsia="Palatino Linotype" w:hAnsi="Palatino Linotype" w:cs="Palatino Linotype"/>
          <w:color w:val="000000"/>
        </w:rPr>
        <w:t>y Dirección de Seguridad, lo siguiente:</w:t>
      </w:r>
    </w:p>
    <w:p w:rsidR="0019018D" w:rsidRPr="00124739" w:rsidRDefault="0019018D" w:rsidP="002F2DB1">
      <w:pPr>
        <w:pBdr>
          <w:top w:val="nil"/>
          <w:left w:val="nil"/>
          <w:bottom w:val="nil"/>
          <w:right w:val="nil"/>
          <w:between w:val="nil"/>
        </w:pBdr>
        <w:rPr>
          <w:rFonts w:ascii="Palatino Linotype" w:eastAsia="Palatino Linotype" w:hAnsi="Palatino Linotype" w:cs="Palatino Linotype"/>
          <w:color w:val="000000"/>
        </w:rPr>
      </w:pPr>
    </w:p>
    <w:p w:rsidR="0019018D" w:rsidRPr="00124739" w:rsidRDefault="008011FF" w:rsidP="002F2DB1">
      <w:pPr>
        <w:numPr>
          <w:ilvl w:val="0"/>
          <w:numId w:val="2"/>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Plantilla de Personal </w:t>
      </w:r>
    </w:p>
    <w:p w:rsidR="0019018D" w:rsidRPr="00124739" w:rsidRDefault="008011FF" w:rsidP="002F2DB1">
      <w:pPr>
        <w:numPr>
          <w:ilvl w:val="0"/>
          <w:numId w:val="2"/>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Cargo</w:t>
      </w:r>
    </w:p>
    <w:p w:rsidR="0019018D" w:rsidRPr="00124739" w:rsidRDefault="008011FF" w:rsidP="002F2DB1">
      <w:pPr>
        <w:numPr>
          <w:ilvl w:val="0"/>
          <w:numId w:val="2"/>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Sueldo</w:t>
      </w:r>
    </w:p>
    <w:p w:rsidR="0019018D" w:rsidRPr="00124739" w:rsidRDefault="008011FF" w:rsidP="002F2DB1">
      <w:pPr>
        <w:numPr>
          <w:ilvl w:val="0"/>
          <w:numId w:val="2"/>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Fecha de alta</w:t>
      </w:r>
    </w:p>
    <w:p w:rsidR="0019018D" w:rsidRPr="00124739" w:rsidRDefault="0019018D" w:rsidP="002F2DB1">
      <w:pPr>
        <w:rPr>
          <w:rFonts w:ascii="Palatino Linotype" w:eastAsia="Palatino Linotype" w:hAnsi="Palatino Linotype" w:cs="Palatino Linotype"/>
        </w:rPr>
      </w:pPr>
    </w:p>
    <w:p w:rsidR="00847FE2" w:rsidRPr="00124739" w:rsidRDefault="00847FE2"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No se omite referir que el Recurrente no señaló específicamente la temporalidad de la información que solicita, pues no precisó el año requerido. Por lo que de la interpretación a lo expresado en la solicitud, se colige que la información se peticionara vigente a la fecha de la solicitud de información.</w:t>
      </w:r>
    </w:p>
    <w:p w:rsidR="00847FE2" w:rsidRPr="00124739" w:rsidRDefault="00847FE2" w:rsidP="002F2DB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Por su parte, el </w:t>
      </w:r>
      <w:r w:rsidRPr="00124739">
        <w:rPr>
          <w:rFonts w:ascii="Palatino Linotype" w:eastAsia="Palatino Linotype" w:hAnsi="Palatino Linotype" w:cs="Palatino Linotype"/>
          <w:b/>
          <w:color w:val="000000"/>
        </w:rPr>
        <w:t xml:space="preserve">SUJETO OBLIGADO, </w:t>
      </w:r>
      <w:r w:rsidRPr="00124739">
        <w:rPr>
          <w:rFonts w:ascii="Palatino Linotype" w:eastAsia="Palatino Linotype" w:hAnsi="Palatino Linotype" w:cs="Palatino Linotype"/>
          <w:color w:val="000000"/>
        </w:rPr>
        <w:t>solicito al particular, precisara las Dependencias de las cuales requiere la información; toda vez que no es de su competencia responder solicitudes referentes al Ayuntamiento; no obstante está facultado para responder las solicitudes de información del Organismo de Agua y Saneamiento.</w:t>
      </w:r>
    </w:p>
    <w:p w:rsidR="00175986" w:rsidRPr="00124739" w:rsidRDefault="00175986" w:rsidP="0017598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De lo anterior, el </w:t>
      </w:r>
      <w:r w:rsidRPr="00124739">
        <w:rPr>
          <w:rFonts w:ascii="Palatino Linotype" w:eastAsia="Palatino Linotype" w:hAnsi="Palatino Linotype" w:cs="Palatino Linotype"/>
          <w:b/>
          <w:color w:val="000000"/>
        </w:rPr>
        <w:t xml:space="preserve">RECURRENTE </w:t>
      </w:r>
      <w:r w:rsidRPr="00124739">
        <w:rPr>
          <w:rFonts w:ascii="Palatino Linotype" w:eastAsia="Palatino Linotype" w:hAnsi="Palatino Linotype" w:cs="Palatino Linotype"/>
          <w:color w:val="000000"/>
        </w:rPr>
        <w:t xml:space="preserve">no realizó ninguna aclaración al respecto, pues solo manifestó que su solicitud es clara, por tanto el </w:t>
      </w:r>
      <w:r w:rsidRPr="00124739">
        <w:rPr>
          <w:rFonts w:ascii="Palatino Linotype" w:eastAsia="Palatino Linotype" w:hAnsi="Palatino Linotype" w:cs="Palatino Linotype"/>
          <w:b/>
          <w:color w:val="000000"/>
        </w:rPr>
        <w:t xml:space="preserve">SUJETO OBLIGADO, </w:t>
      </w:r>
      <w:r w:rsidRPr="00124739">
        <w:rPr>
          <w:rFonts w:ascii="Palatino Linotype" w:eastAsia="Palatino Linotype" w:hAnsi="Palatino Linotype" w:cs="Palatino Linotype"/>
          <w:color w:val="000000"/>
        </w:rPr>
        <w:t>lo exhorto a revisar el portal de</w:t>
      </w:r>
      <w:r w:rsidRPr="00124739">
        <w:rPr>
          <w:rFonts w:ascii="Palatino Linotype" w:eastAsia="Palatino Linotype" w:hAnsi="Palatino Linotype" w:cs="Palatino Linotype"/>
          <w:b/>
          <w:color w:val="000000"/>
        </w:rPr>
        <w:t xml:space="preserve"> IPOMEX, </w:t>
      </w:r>
      <w:r w:rsidRPr="00124739">
        <w:rPr>
          <w:rFonts w:ascii="Palatino Linotype" w:eastAsia="Palatino Linotype" w:hAnsi="Palatino Linotype" w:cs="Palatino Linotype"/>
          <w:color w:val="000000"/>
        </w:rPr>
        <w:t>para</w:t>
      </w:r>
      <w:r w:rsidRPr="00124739">
        <w:rPr>
          <w:rFonts w:ascii="Palatino Linotype" w:eastAsia="Palatino Linotype" w:hAnsi="Palatino Linotype" w:cs="Palatino Linotype"/>
          <w:b/>
          <w:color w:val="000000"/>
        </w:rPr>
        <w:t xml:space="preserve"> </w:t>
      </w:r>
      <w:r w:rsidRPr="00124739">
        <w:rPr>
          <w:rFonts w:ascii="Palatino Linotype" w:eastAsia="Palatino Linotype" w:hAnsi="Palatino Linotype" w:cs="Palatino Linotype"/>
          <w:color w:val="000000"/>
        </w:rPr>
        <w:t xml:space="preserve">lo cual agrego el siguiente enlace electrónico </w:t>
      </w:r>
      <w:hyperlink r:id="rId10" w:anchor="/info-fraccion/11/270/28">
        <w:r w:rsidRPr="00124739">
          <w:rPr>
            <w:rFonts w:ascii="Palatino Linotype" w:eastAsia="Palatino Linotype" w:hAnsi="Palatino Linotype" w:cs="Palatino Linotype"/>
            <w:color w:val="0563C1"/>
            <w:u w:val="single"/>
          </w:rPr>
          <w:t>https://ipomex.org.mx/#/info-fraccion/11/270/28</w:t>
        </w:r>
      </w:hyperlink>
      <w:r w:rsidRPr="00124739">
        <w:rPr>
          <w:rFonts w:ascii="Palatino Linotype" w:eastAsia="Palatino Linotype" w:hAnsi="Palatino Linotype" w:cs="Palatino Linotype"/>
          <w:b/>
          <w:color w:val="000000"/>
        </w:rPr>
        <w:t xml:space="preserve">. </w:t>
      </w:r>
    </w:p>
    <w:p w:rsidR="0019018D" w:rsidRPr="00124739" w:rsidRDefault="0019018D" w:rsidP="002F2DB1">
      <w:pPr>
        <w:pBdr>
          <w:top w:val="nil"/>
          <w:left w:val="nil"/>
          <w:bottom w:val="nil"/>
          <w:right w:val="nil"/>
          <w:between w:val="nil"/>
        </w:pBdr>
        <w:rPr>
          <w:rFonts w:ascii="Palatino Linotype" w:eastAsia="Palatino Linotype" w:hAnsi="Palatino Linotype" w:cs="Palatino Linotype"/>
          <w:color w:val="000000"/>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En consecuencia, el </w:t>
      </w:r>
      <w:r w:rsidRPr="00124739">
        <w:rPr>
          <w:rFonts w:ascii="Palatino Linotype" w:eastAsia="Palatino Linotype" w:hAnsi="Palatino Linotype" w:cs="Palatino Linotype"/>
          <w:b/>
          <w:color w:val="000000"/>
        </w:rPr>
        <w:t>RECURRENTE</w:t>
      </w:r>
      <w:r w:rsidRPr="00124739">
        <w:rPr>
          <w:rFonts w:ascii="Palatino Linotype" w:eastAsia="Palatino Linotype" w:hAnsi="Palatino Linotype" w:cs="Palatino Linotype"/>
          <w:color w:val="000000"/>
        </w:rPr>
        <w:t xml:space="preserve"> se inconforma por la respuesta del </w:t>
      </w:r>
      <w:r w:rsidRPr="00124739">
        <w:rPr>
          <w:rFonts w:ascii="Palatino Linotype" w:eastAsia="Palatino Linotype" w:hAnsi="Palatino Linotype" w:cs="Palatino Linotype"/>
          <w:b/>
          <w:color w:val="000000"/>
        </w:rPr>
        <w:t>SUJETO OBLIGADO.</w:t>
      </w:r>
    </w:p>
    <w:p w:rsidR="0019018D" w:rsidRPr="00124739" w:rsidRDefault="0019018D" w:rsidP="002F2DB1">
      <w:pPr>
        <w:pBdr>
          <w:top w:val="nil"/>
          <w:left w:val="nil"/>
          <w:bottom w:val="nil"/>
          <w:right w:val="nil"/>
          <w:between w:val="nil"/>
        </w:pBdr>
        <w:rPr>
          <w:rFonts w:ascii="Palatino Linotype" w:eastAsia="Palatino Linotype" w:hAnsi="Palatino Linotype" w:cs="Palatino Linotype"/>
          <w:color w:val="000000"/>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Expuesto lo anterior, resulta conveniente precisar que el Bando Municipal de Toluca en su artículo 90 nos establece:</w:t>
      </w:r>
    </w:p>
    <w:p w:rsidR="0019018D" w:rsidRPr="00124739" w:rsidRDefault="0019018D" w:rsidP="002F2DB1">
      <w:pPr>
        <w:pBdr>
          <w:top w:val="nil"/>
          <w:left w:val="nil"/>
          <w:bottom w:val="nil"/>
          <w:right w:val="nil"/>
          <w:between w:val="nil"/>
        </w:pBdr>
        <w:rPr>
          <w:rFonts w:ascii="Palatino Linotype" w:eastAsia="Palatino Linotype" w:hAnsi="Palatino Linotype" w:cs="Palatino Linotype"/>
          <w:color w:val="000000"/>
        </w:rPr>
      </w:pP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b/>
          <w:i/>
        </w:rPr>
        <w:t xml:space="preserve">Artículo 90. </w:t>
      </w:r>
      <w:r w:rsidRPr="00124739">
        <w:rPr>
          <w:rFonts w:ascii="Palatino Linotype" w:eastAsia="Palatino Linotype" w:hAnsi="Palatino Linotype" w:cs="Palatino Linotype"/>
          <w:i/>
        </w:rPr>
        <w:t>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rsidR="0019018D" w:rsidRPr="00124739" w:rsidRDefault="0019018D" w:rsidP="002F2DB1">
      <w:pPr>
        <w:jc w:val="both"/>
        <w:rPr>
          <w:rFonts w:ascii="Palatino Linotype" w:eastAsia="Palatino Linotype" w:hAnsi="Palatino Linotype" w:cs="Palatino Linotype"/>
          <w:i/>
          <w:color w:val="000000"/>
        </w:rPr>
      </w:pPr>
    </w:p>
    <w:p w:rsidR="0019018D" w:rsidRPr="00124739" w:rsidRDefault="008011FF" w:rsidP="002F2DB1">
      <w:pPr>
        <w:numPr>
          <w:ilvl w:val="0"/>
          <w:numId w:val="3"/>
        </w:numPr>
        <w:pBdr>
          <w:top w:val="nil"/>
          <w:left w:val="nil"/>
          <w:bottom w:val="nil"/>
          <w:right w:val="nil"/>
          <w:between w:val="nil"/>
        </w:pBdr>
        <w:ind w:left="0"/>
        <w:jc w:val="both"/>
        <w:rPr>
          <w:rFonts w:ascii="Palatino Linotype" w:eastAsia="Palatino Linotype" w:hAnsi="Palatino Linotype" w:cs="Palatino Linotype"/>
          <w:b/>
          <w:i/>
          <w:color w:val="000000"/>
        </w:rPr>
      </w:pPr>
      <w:r w:rsidRPr="00124739">
        <w:rPr>
          <w:rFonts w:ascii="Palatino Linotype" w:eastAsia="Palatino Linotype" w:hAnsi="Palatino Linotype" w:cs="Palatino Linotype"/>
          <w:b/>
          <w:i/>
          <w:color w:val="000000"/>
        </w:rPr>
        <w:t>DEPENDENCIAS:</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1. Secretaría del Ayuntamiento;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2. Tesorería Municipal;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3.Órgano Interno de Control;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4. Dirección General de Gobierno;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5. Dirección General de Seguridad y Protección;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6. Dirección General de Administración;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7. Dirección General de Medio Ambiente;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8. Dirección General de Servicios Públicos;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9. Dirección General de Innovación, Planeación y Gestión Urbana; 10.Dirección General de Obras Públicas;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11. Dirección General de Desarrollo Económico;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12. Dirección General de Bienestar; y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13. Dirección General de Educación, Cultura y Turismo.</w:t>
      </w:r>
    </w:p>
    <w:p w:rsidR="0019018D" w:rsidRPr="00124739" w:rsidRDefault="0019018D" w:rsidP="002F2DB1">
      <w:pPr>
        <w:pBdr>
          <w:top w:val="nil"/>
          <w:left w:val="nil"/>
          <w:bottom w:val="nil"/>
          <w:right w:val="nil"/>
          <w:between w:val="nil"/>
        </w:pBdr>
        <w:jc w:val="both"/>
        <w:rPr>
          <w:rFonts w:ascii="Palatino Linotype" w:eastAsia="Palatino Linotype" w:hAnsi="Palatino Linotype" w:cs="Palatino Linotype"/>
          <w:i/>
          <w:color w:val="000000"/>
        </w:rPr>
      </w:pPr>
    </w:p>
    <w:p w:rsidR="0019018D" w:rsidRPr="00124739" w:rsidRDefault="008011FF" w:rsidP="002F2DB1">
      <w:pPr>
        <w:jc w:val="both"/>
        <w:rPr>
          <w:rFonts w:ascii="Palatino Linotype" w:eastAsia="Palatino Linotype" w:hAnsi="Palatino Linotype" w:cs="Palatino Linotype"/>
          <w:b/>
          <w:i/>
          <w:u w:val="single"/>
        </w:rPr>
      </w:pPr>
      <w:r w:rsidRPr="00124739">
        <w:rPr>
          <w:rFonts w:ascii="Palatino Linotype" w:eastAsia="Palatino Linotype" w:hAnsi="Palatino Linotype" w:cs="Palatino Linotype"/>
          <w:b/>
          <w:i/>
          <w:u w:val="single"/>
        </w:rPr>
        <w:t>II. ORGANISMOS DESCENTRALIZADOS:</w:t>
      </w:r>
    </w:p>
    <w:p w:rsidR="0019018D" w:rsidRPr="00124739" w:rsidRDefault="0019018D" w:rsidP="002F2DB1">
      <w:pPr>
        <w:pBdr>
          <w:top w:val="nil"/>
          <w:left w:val="nil"/>
          <w:bottom w:val="nil"/>
          <w:right w:val="nil"/>
          <w:between w:val="nil"/>
        </w:pBdr>
        <w:jc w:val="both"/>
        <w:rPr>
          <w:rFonts w:ascii="Palatino Linotype" w:eastAsia="Palatino Linotype" w:hAnsi="Palatino Linotype" w:cs="Palatino Linotype"/>
          <w:i/>
          <w:color w:val="000000"/>
        </w:rPr>
      </w:pP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1. Sistema Municipal para el Desarrollo Integral de la Familia de Toluca;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2. Instituto Municipal de Cultura Física y Deporte de Toluca;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lastRenderedPageBreak/>
        <w:t xml:space="preserve">3. Instituto Municipal de la Mujer de Toluca; y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b/>
          <w:i/>
          <w:color w:val="000000"/>
          <w:u w:val="single"/>
        </w:rPr>
      </w:pPr>
      <w:r w:rsidRPr="00124739">
        <w:rPr>
          <w:rFonts w:ascii="Palatino Linotype" w:eastAsia="Palatino Linotype" w:hAnsi="Palatino Linotype" w:cs="Palatino Linotype"/>
          <w:b/>
          <w:i/>
          <w:color w:val="000000"/>
          <w:u w:val="single"/>
        </w:rPr>
        <w:t>4. Organismo Agua y Saneamiento de Toluca</w:t>
      </w:r>
    </w:p>
    <w:p w:rsidR="0019018D" w:rsidRPr="00124739" w:rsidRDefault="0019018D" w:rsidP="002F2DB1">
      <w:pPr>
        <w:pBdr>
          <w:top w:val="nil"/>
          <w:left w:val="nil"/>
          <w:bottom w:val="nil"/>
          <w:right w:val="nil"/>
          <w:between w:val="nil"/>
        </w:pBdr>
        <w:jc w:val="both"/>
        <w:rPr>
          <w:rFonts w:ascii="Palatino Linotype" w:eastAsia="Palatino Linotype" w:hAnsi="Palatino Linotype" w:cs="Palatino Linotype"/>
          <w:i/>
          <w:color w:val="000000"/>
        </w:rPr>
      </w:pP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III. ÓRGANO AUTÓNOMO:</w:t>
      </w:r>
    </w:p>
    <w:p w:rsidR="0019018D" w:rsidRPr="00124739" w:rsidRDefault="0019018D" w:rsidP="002F2DB1">
      <w:pPr>
        <w:pBdr>
          <w:top w:val="nil"/>
          <w:left w:val="nil"/>
          <w:bottom w:val="nil"/>
          <w:right w:val="nil"/>
          <w:between w:val="nil"/>
        </w:pBdr>
        <w:jc w:val="both"/>
        <w:rPr>
          <w:rFonts w:ascii="Palatino Linotype" w:eastAsia="Palatino Linotype" w:hAnsi="Palatino Linotype" w:cs="Palatino Linotype"/>
          <w:i/>
          <w:color w:val="000000"/>
        </w:rPr>
      </w:pP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1. Defensoría Municipal de los Derechos Humanos de Toluca.</w:t>
      </w:r>
    </w:p>
    <w:p w:rsidR="0019018D" w:rsidRPr="00124739" w:rsidRDefault="0019018D" w:rsidP="002F2DB1">
      <w:pPr>
        <w:spacing w:line="360" w:lineRule="auto"/>
        <w:jc w:val="both"/>
        <w:rPr>
          <w:rFonts w:ascii="Palatino Linotype" w:eastAsia="Palatino Linotype" w:hAnsi="Palatino Linotype" w:cs="Palatino Linotype"/>
          <w:color w:val="000000"/>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Como se desprende en el párrafo anterior, a pesar de que el Organismo Agua y Saneamiento de Toluca, forma parte de la Administración Pública del Municipio, es considerado un Organismo Descentralizado toda vez que cuenta con personalidad jurídica y patrimonio propio; así como autonomía técnica y administrativa; mientras que la Dirección General de Seguridad y Protección, pertenece directamente a la administración de ese Ayuntamiento.</w:t>
      </w:r>
    </w:p>
    <w:p w:rsidR="0019018D" w:rsidRPr="00124739" w:rsidRDefault="0019018D" w:rsidP="002F2DB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Al respecto, del Directorio de Sujetos Obligados del Instituto de Transparencia, Acceso a la Información Pública y Protección de Datos Personales del Estado de México y Municipios, señala que el Organismo Agua y Saneamiento y el Ayuntamiento de Toluca, son Sujetos Obligados diversos, como se muestra a continuación: (Consulta: </w:t>
      </w:r>
      <w:hyperlink r:id="rId11">
        <w:r w:rsidRPr="00124739">
          <w:rPr>
            <w:rFonts w:ascii="Palatino Linotype" w:eastAsia="Palatino Linotype" w:hAnsi="Palatino Linotype" w:cs="Palatino Linotype"/>
            <w:color w:val="0563C1"/>
            <w:u w:val="single"/>
          </w:rPr>
          <w:t>https://www.infoem.org.mx/es/contenido/transparencia/directorio-de-sujetos-obligados</w:t>
        </w:r>
      </w:hyperlink>
      <w:r w:rsidRPr="00124739">
        <w:rPr>
          <w:rFonts w:ascii="Palatino Linotype" w:eastAsia="Palatino Linotype" w:hAnsi="Palatino Linotype" w:cs="Palatino Linotype"/>
          <w:color w:val="000000"/>
        </w:rPr>
        <w:t>)</w:t>
      </w:r>
    </w:p>
    <w:p w:rsidR="0019018D" w:rsidRPr="00124739" w:rsidRDefault="0019018D" w:rsidP="002F2DB1">
      <w:pPr>
        <w:pBdr>
          <w:top w:val="nil"/>
          <w:left w:val="nil"/>
          <w:bottom w:val="nil"/>
          <w:right w:val="nil"/>
          <w:between w:val="nil"/>
        </w:pBdr>
        <w:rPr>
          <w:rFonts w:ascii="Palatino Linotype" w:eastAsia="Palatino Linotype" w:hAnsi="Palatino Linotype" w:cs="Palatino Linotype"/>
          <w:color w:val="000000"/>
        </w:rPr>
      </w:pP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noProof/>
          <w:color w:val="000000"/>
        </w:rPr>
        <w:drawing>
          <wp:inline distT="0" distB="0" distL="0" distR="0">
            <wp:extent cx="5697382" cy="666843"/>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l="1" t="17978" r="-12" b="12358"/>
                    <a:stretch>
                      <a:fillRect/>
                    </a:stretch>
                  </pic:blipFill>
                  <pic:spPr>
                    <a:xfrm>
                      <a:off x="0" y="0"/>
                      <a:ext cx="5697382" cy="666843"/>
                    </a:xfrm>
                    <a:prstGeom prst="rect">
                      <a:avLst/>
                    </a:prstGeom>
                    <a:ln/>
                  </pic:spPr>
                </pic:pic>
              </a:graphicData>
            </a:graphic>
          </wp:inline>
        </w:drawing>
      </w:r>
    </w:p>
    <w:p w:rsidR="0019018D" w:rsidRPr="00124739" w:rsidRDefault="0019018D" w:rsidP="002F2DB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9018D" w:rsidRPr="00124739" w:rsidRDefault="008011FF" w:rsidP="002F2DB1">
      <w:pPr>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noProof/>
        </w:rPr>
        <w:lastRenderedPageBreak/>
        <w:drawing>
          <wp:inline distT="0" distB="0" distL="0" distR="0">
            <wp:extent cx="5863702" cy="676486"/>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t="27451" r="-14" b="16666"/>
                    <a:stretch>
                      <a:fillRect/>
                    </a:stretch>
                  </pic:blipFill>
                  <pic:spPr>
                    <a:xfrm>
                      <a:off x="0" y="0"/>
                      <a:ext cx="5863702" cy="676486"/>
                    </a:xfrm>
                    <a:prstGeom prst="rect">
                      <a:avLst/>
                    </a:prstGeom>
                    <a:ln/>
                  </pic:spPr>
                </pic:pic>
              </a:graphicData>
            </a:graphic>
          </wp:inline>
        </w:drawing>
      </w:r>
    </w:p>
    <w:p w:rsidR="0019018D" w:rsidRPr="00124739" w:rsidRDefault="0019018D" w:rsidP="002F2DB1">
      <w:pPr>
        <w:spacing w:line="360" w:lineRule="auto"/>
        <w:jc w:val="both"/>
        <w:rPr>
          <w:rFonts w:ascii="Palatino Linotype" w:eastAsia="Palatino Linotype" w:hAnsi="Palatino Linotype" w:cs="Palatino Linotype"/>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Precisado lo anterior, se advierte la notoria incompetencia del </w:t>
      </w:r>
      <w:r w:rsidRPr="00124739">
        <w:rPr>
          <w:rFonts w:ascii="Palatino Linotype" w:eastAsia="Palatino Linotype" w:hAnsi="Palatino Linotype" w:cs="Palatino Linotype"/>
          <w:b/>
          <w:color w:val="000000"/>
        </w:rPr>
        <w:t xml:space="preserve">SUJETO OBLIGADO, </w:t>
      </w:r>
      <w:r w:rsidRPr="00124739">
        <w:rPr>
          <w:rFonts w:ascii="Palatino Linotype" w:eastAsia="Palatino Linotype" w:hAnsi="Palatino Linotype" w:cs="Palatino Linotype"/>
          <w:color w:val="000000"/>
        </w:rPr>
        <w:t xml:space="preserve">para pronunciarse respecto a la solicitud referente a todo el Personal que labora en el Ayuntamiento, incluyendo la Dirección General de Seguridad y Protección, por lo que no es necesario ordenar el Acuerdo de Incompetencia, </w:t>
      </w:r>
      <w:r w:rsidRPr="00124739">
        <w:rPr>
          <w:rFonts w:ascii="Palatino Linotype" w:eastAsia="Palatino Linotype" w:hAnsi="Palatino Linotype" w:cs="Palatino Linotype"/>
          <w:b/>
          <w:color w:val="000000"/>
        </w:rPr>
        <w:t xml:space="preserve">puesto que se le solicitó información que es competencia de un SUJETO OBLIGADO diverso al que se le formulo la solicitud; </w:t>
      </w:r>
      <w:r w:rsidRPr="00124739">
        <w:rPr>
          <w:rFonts w:ascii="Palatino Linotype" w:eastAsia="Palatino Linotype" w:hAnsi="Palatino Linotype" w:cs="Palatino Linotype"/>
          <w:color w:val="000000"/>
        </w:rPr>
        <w:t>por lo que es imperativo traer a estudio lo dispuesto por el artículo 167 de la Ley de Transparencia y Acceso a la Información Pública del Estado de México y Municipios, que es de la literalidad siguiente:</w:t>
      </w:r>
    </w:p>
    <w:p w:rsidR="0019018D" w:rsidRPr="00124739" w:rsidRDefault="0019018D" w:rsidP="002F2DB1">
      <w:pPr>
        <w:spacing w:line="360" w:lineRule="auto"/>
        <w:jc w:val="both"/>
        <w:rPr>
          <w:rFonts w:ascii="Palatino Linotype" w:eastAsia="Palatino Linotype" w:hAnsi="Palatino Linotype" w:cs="Palatino Linotype"/>
        </w:rPr>
      </w:pPr>
    </w:p>
    <w:p w:rsidR="0019018D" w:rsidRPr="00124739" w:rsidRDefault="008011FF" w:rsidP="002F2DB1">
      <w:pPr>
        <w:tabs>
          <w:tab w:val="left" w:pos="142"/>
          <w:tab w:val="left" w:pos="284"/>
          <w:tab w:val="left" w:pos="426"/>
        </w:tabs>
        <w:jc w:val="both"/>
        <w:rPr>
          <w:rFonts w:ascii="Palatino Linotype" w:eastAsia="Palatino Linotype" w:hAnsi="Palatino Linotype" w:cs="Palatino Linotype"/>
          <w:i/>
        </w:rPr>
      </w:pPr>
      <w:r w:rsidRPr="00124739">
        <w:rPr>
          <w:rFonts w:ascii="Palatino Linotype" w:eastAsia="Palatino Linotype" w:hAnsi="Palatino Linotype" w:cs="Palatino Linotype"/>
        </w:rPr>
        <w:t>“</w:t>
      </w:r>
      <w:r w:rsidRPr="00124739">
        <w:rPr>
          <w:rFonts w:ascii="Palatino Linotype" w:eastAsia="Palatino Linotype" w:hAnsi="Palatino Linotype" w:cs="Palatino Linotype"/>
          <w:b/>
          <w:i/>
        </w:rPr>
        <w:t>Artículo 167.</w:t>
      </w:r>
      <w:r w:rsidRPr="00124739">
        <w:rPr>
          <w:rFonts w:ascii="Palatino Linotype" w:eastAsia="Palatino Linotype" w:hAnsi="Palatino Linotype" w:cs="Palatino Linotype"/>
          <w:i/>
        </w:rPr>
        <w:t xml:space="preserve"> </w:t>
      </w:r>
      <w:r w:rsidRPr="00124739">
        <w:rPr>
          <w:rFonts w:ascii="Palatino Linotype" w:eastAsia="Palatino Linotype" w:hAnsi="Palatino Linotype" w:cs="Palatino Linotype"/>
          <w:b/>
          <w:i/>
        </w:rPr>
        <w:t>Cuando las unidades de transparencia determinen la</w:t>
      </w:r>
      <w:r w:rsidRPr="00124739">
        <w:rPr>
          <w:rFonts w:ascii="Palatino Linotype" w:eastAsia="Palatino Linotype" w:hAnsi="Palatino Linotype" w:cs="Palatino Linotype"/>
          <w:i/>
        </w:rPr>
        <w:t xml:space="preserve"> notoria </w:t>
      </w:r>
      <w:r w:rsidRPr="00124739">
        <w:rPr>
          <w:rFonts w:ascii="Palatino Linotype" w:eastAsia="Palatino Linotype" w:hAnsi="Palatino Linotype" w:cs="Palatino Linotype"/>
          <w:b/>
          <w:i/>
        </w:rPr>
        <w:t>incompetencia por parte de los sujetos obligados</w:t>
      </w:r>
      <w:r w:rsidRPr="00124739">
        <w:rPr>
          <w:rFonts w:ascii="Palatino Linotype" w:eastAsia="Palatino Linotype" w:hAnsi="Palatino Linotype" w:cs="Palatino Linotype"/>
          <w:i/>
        </w:rPr>
        <w:t xml:space="preserve">, dentro del ámbito de aplicación, para atender la solicitud de acceso a la información, </w:t>
      </w:r>
      <w:r w:rsidRPr="00124739">
        <w:rPr>
          <w:rFonts w:ascii="Palatino Linotype" w:eastAsia="Palatino Linotype" w:hAnsi="Palatino Linotype" w:cs="Palatino Linotype"/>
          <w:b/>
          <w:i/>
        </w:rPr>
        <w:t>deberán comunicarlo al solicitante, dentro de los tres días hábiles posteriores a la recepción de la solicitud y, en su caso orientar al solicitante, el o los sujetos obligados competentes.</w:t>
      </w:r>
      <w:r w:rsidRPr="00124739">
        <w:rPr>
          <w:rFonts w:ascii="Palatino Linotype" w:eastAsia="Palatino Linotype" w:hAnsi="Palatino Linotype" w:cs="Palatino Linotype"/>
          <w:i/>
        </w:rPr>
        <w:t xml:space="preserve"> </w:t>
      </w:r>
    </w:p>
    <w:p w:rsidR="0019018D" w:rsidRPr="00124739" w:rsidRDefault="008011FF" w:rsidP="002F2DB1">
      <w:pPr>
        <w:tabs>
          <w:tab w:val="left" w:pos="142"/>
          <w:tab w:val="left" w:pos="284"/>
        </w:tabs>
        <w:jc w:val="both"/>
        <w:rPr>
          <w:rFonts w:ascii="Palatino Linotype" w:eastAsia="Palatino Linotype" w:hAnsi="Palatino Linotype" w:cs="Palatino Linotype"/>
          <w:i/>
          <w:u w:val="single"/>
        </w:rPr>
      </w:pPr>
      <w:r w:rsidRPr="00124739">
        <w:rPr>
          <w:rFonts w:ascii="Palatino Linotype" w:eastAsia="Palatino Linotype" w:hAnsi="Palatino Linotype" w:cs="Palatino Linotype"/>
          <w:b/>
          <w:i/>
          <w:u w:val="single"/>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r w:rsidRPr="00124739">
        <w:rPr>
          <w:rFonts w:ascii="Palatino Linotype" w:eastAsia="Palatino Linotype" w:hAnsi="Palatino Linotype" w:cs="Palatino Linotype"/>
          <w:i/>
          <w:u w:val="single"/>
        </w:rPr>
        <w:t xml:space="preserve">. </w:t>
      </w:r>
    </w:p>
    <w:p w:rsidR="0019018D" w:rsidRPr="00124739" w:rsidRDefault="008011FF" w:rsidP="002F2DB1">
      <w:pPr>
        <w:tabs>
          <w:tab w:val="left" w:pos="142"/>
          <w:tab w:val="left" w:pos="284"/>
        </w:tabs>
        <w:jc w:val="both"/>
        <w:rPr>
          <w:rFonts w:ascii="Palatino Linotype" w:eastAsia="Palatino Linotype" w:hAnsi="Palatino Linotype" w:cs="Palatino Linotype"/>
        </w:rPr>
      </w:pPr>
      <w:r w:rsidRPr="00124739">
        <w:rPr>
          <w:rFonts w:ascii="Palatino Linotype" w:eastAsia="Palatino Linotype" w:hAnsi="Palatino Linotype" w:cs="Palatino Linotype"/>
          <w:b/>
          <w:i/>
        </w:rPr>
        <w:t>Si transcurrido el plazo señalado en el primer párrafo de este artículo, el sujeto obligado no declina la competencia en los términos establecidos, podrá canalizar la solicitud ante el sujeto obligado competente.</w:t>
      </w:r>
      <w:r w:rsidRPr="00124739">
        <w:rPr>
          <w:rFonts w:ascii="Palatino Linotype" w:eastAsia="Palatino Linotype" w:hAnsi="Palatino Linotype" w:cs="Palatino Linotype"/>
          <w:i/>
        </w:rPr>
        <w:t>”</w:t>
      </w:r>
    </w:p>
    <w:p w:rsidR="0019018D" w:rsidRPr="00124739" w:rsidRDefault="008011FF" w:rsidP="002F2DB1">
      <w:pPr>
        <w:tabs>
          <w:tab w:val="left" w:pos="142"/>
          <w:tab w:val="left" w:pos="284"/>
        </w:tabs>
        <w:jc w:val="both"/>
        <w:rPr>
          <w:rFonts w:ascii="Palatino Linotype" w:eastAsia="Palatino Linotype" w:hAnsi="Palatino Linotype" w:cs="Palatino Linotype"/>
        </w:rPr>
      </w:pPr>
      <w:r w:rsidRPr="00124739">
        <w:rPr>
          <w:rFonts w:ascii="Palatino Linotype" w:eastAsia="Palatino Linotype" w:hAnsi="Palatino Linotype" w:cs="Palatino Linotype"/>
        </w:rPr>
        <w:t>(Énfasis añadido)</w:t>
      </w:r>
    </w:p>
    <w:p w:rsidR="0019018D" w:rsidRPr="00124739" w:rsidRDefault="0019018D" w:rsidP="002F2DB1">
      <w:pPr>
        <w:tabs>
          <w:tab w:val="left" w:pos="426"/>
        </w:tabs>
        <w:spacing w:line="360" w:lineRule="auto"/>
        <w:jc w:val="both"/>
        <w:rPr>
          <w:rFonts w:ascii="Palatino Linotype" w:eastAsia="Palatino Linotype" w:hAnsi="Palatino Linotype" w:cs="Palatino Linotype"/>
          <w:color w:val="000000"/>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lastRenderedPageBreak/>
        <w:t xml:space="preserve">De tal forma que, una vez recibida una solicitud de información, el </w:t>
      </w:r>
      <w:r w:rsidRPr="00124739">
        <w:rPr>
          <w:rFonts w:ascii="Palatino Linotype" w:eastAsia="Palatino Linotype" w:hAnsi="Palatino Linotype" w:cs="Palatino Linotype"/>
          <w:b/>
          <w:color w:val="000000"/>
        </w:rPr>
        <w:t>SUJETO OBLIGADO de</w:t>
      </w:r>
      <w:r w:rsidRPr="00124739">
        <w:rPr>
          <w:rFonts w:ascii="Palatino Linotype" w:eastAsia="Palatino Linotype" w:hAnsi="Palatino Linotype" w:cs="Palatino Linotype"/>
          <w:color w:val="000000"/>
        </w:rPr>
        <w:t xml:space="preserve">termine que es incompetente para para poseer, generar o administrar lo solicitado, dentro de los primeros tres días posteriores a la recepción de la solicitud, deberá hacerlo del conocimiento del particular y, deberá orientarlo sobre el </w:t>
      </w:r>
      <w:r w:rsidRPr="00124739">
        <w:rPr>
          <w:rFonts w:ascii="Palatino Linotype" w:eastAsia="Palatino Linotype" w:hAnsi="Palatino Linotype" w:cs="Palatino Linotype"/>
          <w:b/>
          <w:color w:val="000000"/>
        </w:rPr>
        <w:t>SUJETO OBLIGADO</w:t>
      </w:r>
      <w:r w:rsidRPr="00124739">
        <w:rPr>
          <w:rFonts w:ascii="Palatino Linotype" w:eastAsia="Palatino Linotype" w:hAnsi="Palatino Linotype" w:cs="Palatino Linotype"/>
          <w:color w:val="000000"/>
        </w:rPr>
        <w:t xml:space="preserve"> competente para atender lo requerido; Sin embargo, en el presente asunto, al ser de </w:t>
      </w:r>
      <w:r w:rsidRPr="00124739">
        <w:rPr>
          <w:rFonts w:ascii="Palatino Linotype" w:eastAsia="Palatino Linotype" w:hAnsi="Palatino Linotype" w:cs="Palatino Linotype"/>
          <w:b/>
          <w:color w:val="000000"/>
        </w:rPr>
        <w:t>notoria incompetencia</w:t>
      </w:r>
      <w:r w:rsidRPr="00124739">
        <w:rPr>
          <w:rFonts w:ascii="Palatino Linotype" w:eastAsia="Palatino Linotype" w:hAnsi="Palatino Linotype" w:cs="Palatino Linotype"/>
          <w:color w:val="000000"/>
        </w:rPr>
        <w:t xml:space="preserve">, no es necesario que el Sujeto Obligado remita el Acuerdo de Incompetencia. </w:t>
      </w:r>
    </w:p>
    <w:p w:rsidR="0019018D" w:rsidRPr="00124739" w:rsidRDefault="0019018D" w:rsidP="002F2DB1">
      <w:pPr>
        <w:tabs>
          <w:tab w:val="left" w:pos="426"/>
        </w:tabs>
        <w:spacing w:line="360" w:lineRule="auto"/>
        <w:jc w:val="both"/>
        <w:rPr>
          <w:rFonts w:ascii="Palatino Linotype" w:eastAsia="Palatino Linotype" w:hAnsi="Palatino Linotype" w:cs="Palatino Linotype"/>
          <w:color w:val="000000"/>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rPr>
      </w:pPr>
      <w:r w:rsidRPr="00124739">
        <w:rPr>
          <w:rFonts w:ascii="Palatino Linotype" w:eastAsia="Palatino Linotype" w:hAnsi="Palatino Linotype" w:cs="Palatino Linotype"/>
        </w:rPr>
        <w:t>Entonces, al ser dos entes distintos en materia de transparencia, resulta en obviedad de razones que uno no puede atender las solicitudes de información de otro, puesto que es información que cada</w:t>
      </w:r>
      <w:r w:rsidRPr="00124739">
        <w:rPr>
          <w:rFonts w:ascii="Palatino Linotype" w:eastAsia="Palatino Linotype" w:hAnsi="Palatino Linotype" w:cs="Palatino Linotype"/>
          <w:b/>
        </w:rPr>
        <w:t xml:space="preserve"> SUJETO OBLIGADO</w:t>
      </w:r>
      <w:r w:rsidRPr="00124739">
        <w:rPr>
          <w:rFonts w:ascii="Palatino Linotype" w:eastAsia="Palatino Linotype" w:hAnsi="Palatino Linotype" w:cs="Palatino Linotype"/>
        </w:rPr>
        <w:t xml:space="preserve"> pese, genera y administra.</w:t>
      </w:r>
    </w:p>
    <w:p w:rsidR="0019018D" w:rsidRPr="00124739" w:rsidRDefault="0019018D" w:rsidP="002F2DB1">
      <w:pPr>
        <w:pBdr>
          <w:top w:val="nil"/>
          <w:left w:val="nil"/>
          <w:bottom w:val="nil"/>
          <w:right w:val="nil"/>
          <w:between w:val="nil"/>
        </w:pBdr>
        <w:rPr>
          <w:rFonts w:ascii="Palatino Linotype" w:eastAsia="Palatino Linotype" w:hAnsi="Palatino Linotype" w:cs="Palatino Linotype"/>
          <w:color w:val="000000"/>
        </w:rPr>
      </w:pPr>
    </w:p>
    <w:p w:rsidR="00DF1E05" w:rsidRPr="00124739" w:rsidRDefault="00DF1E05" w:rsidP="002F2DB1">
      <w:pPr>
        <w:numPr>
          <w:ilvl w:val="0"/>
          <w:numId w:val="1"/>
        </w:numPr>
        <w:spacing w:line="360" w:lineRule="auto"/>
        <w:ind w:left="0" w:firstLine="0"/>
        <w:jc w:val="both"/>
        <w:rPr>
          <w:rFonts w:ascii="Palatino Linotype" w:eastAsia="Palatino Linotype" w:hAnsi="Palatino Linotype" w:cs="Palatino Linotype"/>
          <w:b/>
          <w:u w:val="single"/>
          <w:lang w:eastAsia="es-ES"/>
        </w:rPr>
      </w:pPr>
      <w:r w:rsidRPr="00124739">
        <w:rPr>
          <w:rFonts w:ascii="Palatino Linotype" w:eastAsia="Palatino Linotype" w:hAnsi="Palatino Linotype" w:cs="Palatino Linotype"/>
        </w:rPr>
        <w:t xml:space="preserve">Por lo anterior, se dejan a salvo los derechos del </w:t>
      </w:r>
      <w:r w:rsidRPr="00124739">
        <w:rPr>
          <w:rFonts w:ascii="Palatino Linotype" w:eastAsia="Palatino Linotype" w:hAnsi="Palatino Linotype" w:cs="Palatino Linotype"/>
          <w:b/>
        </w:rPr>
        <w:t xml:space="preserve">RECURRENTE </w:t>
      </w:r>
      <w:r w:rsidRPr="00124739">
        <w:rPr>
          <w:rFonts w:ascii="Palatino Linotype" w:eastAsia="Palatino Linotype" w:hAnsi="Palatino Linotype" w:cs="Palatino Linotype"/>
        </w:rPr>
        <w:t>para que formule nueva solicitud de información respecto al personal adscrito al Ayuntamiento de Toluca, incluyendo la Dirección de General de Seguridad y Protección.</w:t>
      </w:r>
    </w:p>
    <w:p w:rsidR="00DF1E05" w:rsidRPr="00124739" w:rsidRDefault="00DF1E05" w:rsidP="002F2DB1">
      <w:pPr>
        <w:spacing w:line="360" w:lineRule="auto"/>
        <w:jc w:val="both"/>
        <w:rPr>
          <w:rFonts w:ascii="Palatino Linotype" w:eastAsia="Palatino Linotype" w:hAnsi="Palatino Linotype" w:cs="Palatino Linotype"/>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rPr>
      </w:pPr>
      <w:r w:rsidRPr="00124739">
        <w:rPr>
          <w:rFonts w:ascii="Palatino Linotype" w:eastAsia="Palatino Linotype" w:hAnsi="Palatino Linotype" w:cs="Palatino Linotype"/>
        </w:rPr>
        <w:t xml:space="preserve">No obstante a lo anterior, si bien es cierto, el </w:t>
      </w:r>
      <w:r w:rsidRPr="00124739">
        <w:rPr>
          <w:rFonts w:ascii="Palatino Linotype" w:eastAsia="Palatino Linotype" w:hAnsi="Palatino Linotype" w:cs="Palatino Linotype"/>
          <w:b/>
        </w:rPr>
        <w:t xml:space="preserve">SUJETO OBLIGADO, </w:t>
      </w:r>
      <w:r w:rsidRPr="00124739">
        <w:rPr>
          <w:rFonts w:ascii="Palatino Linotype" w:eastAsia="Palatino Linotype" w:hAnsi="Palatino Linotype" w:cs="Palatino Linotype"/>
        </w:rPr>
        <w:t xml:space="preserve">es incompetente para pronunciarse respecto al total de la solicitud de información correspondiente al personal que labora en el Ayuntamiento de Toluca, también lo es que, omitió brindar contestación respecto a la Plantilla de Personal, cargo, sueldo y fecha de alta del personal que tiene a su cargo </w:t>
      </w:r>
    </w:p>
    <w:p w:rsidR="0019018D" w:rsidRPr="00124739" w:rsidRDefault="0019018D" w:rsidP="002F2DB1">
      <w:pPr>
        <w:pBdr>
          <w:top w:val="nil"/>
          <w:left w:val="nil"/>
          <w:bottom w:val="nil"/>
          <w:right w:val="nil"/>
          <w:between w:val="nil"/>
        </w:pBdr>
        <w:rPr>
          <w:rFonts w:ascii="Palatino Linotype" w:eastAsia="Palatino Linotype" w:hAnsi="Palatino Linotype" w:cs="Palatino Linotype"/>
          <w:color w:val="000000"/>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Por lo que, debemos mencionar que el acceso a la información es un derecho humano constitucional y convencionalmente reconocido y para tal efecto el párrafo </w:t>
      </w:r>
      <w:r w:rsidRPr="00124739">
        <w:rPr>
          <w:rFonts w:ascii="Palatino Linotype" w:eastAsia="Palatino Linotype" w:hAnsi="Palatino Linotype" w:cs="Palatino Linotype"/>
          <w:color w:val="000000"/>
        </w:rPr>
        <w:lastRenderedPageBreak/>
        <w:t xml:space="preserve">tercero del artículo primero de la Constitución Política de los Estados Unidos Mexicanos establece que el deber de todas las autoridades, </w:t>
      </w:r>
      <w:r w:rsidRPr="00124739">
        <w:rPr>
          <w:rFonts w:ascii="Palatino Linotype" w:eastAsia="Palatino Linotype" w:hAnsi="Palatino Linotype" w:cs="Palatino Linotype"/>
          <w:i/>
          <w:color w:val="000000"/>
        </w:rPr>
        <w:t xml:space="preserve">en el ámbito de sus atribuciones, de promover, respetar, proteger y </w:t>
      </w:r>
      <w:r w:rsidRPr="00124739">
        <w:rPr>
          <w:rFonts w:ascii="Palatino Linotype" w:eastAsia="Palatino Linotype" w:hAnsi="Palatino Linotype" w:cs="Palatino Linotype"/>
          <w:b/>
          <w:i/>
          <w:color w:val="000000"/>
        </w:rPr>
        <w:t>garantizar</w:t>
      </w:r>
      <w:r w:rsidRPr="00124739">
        <w:rPr>
          <w:rFonts w:ascii="Palatino Linotype" w:eastAsia="Palatino Linotype" w:hAnsi="Palatino Linotype" w:cs="Palatino Linotype"/>
          <w:i/>
          <w:color w:val="000000"/>
        </w:rPr>
        <w:t xml:space="preserve"> los derechos humanos. </w:t>
      </w:r>
      <w:r w:rsidRPr="00124739">
        <w:rPr>
          <w:rFonts w:ascii="Palatino Linotype" w:eastAsia="Palatino Linotype" w:hAnsi="Palatino Linotype" w:cs="Palatino Linotype"/>
          <w:b/>
          <w:i/>
          <w:color w:val="000000"/>
        </w:rPr>
        <w:t>En cuanto al derecho de acceso a la información, la Ley de Transparencia y Acceso a la Información Pública del Estado de México y Municipios prevé establece que e</w:t>
      </w:r>
      <w:r w:rsidRPr="00124739">
        <w:rPr>
          <w:rFonts w:ascii="Palatino Linotype" w:eastAsia="Palatino Linotype" w:hAnsi="Palatino Linotype" w:cs="Palatino Linotype"/>
          <w:i/>
          <w:color w:val="000000"/>
        </w:rPr>
        <w:t>l procedimiento de acceso a la información es la garantía primaria del derecho en cuestión y se rige por los principios de simplicidad, rapidez y gratuidad del procedimiento, auxilio y orientación a los particulares</w:t>
      </w:r>
      <w:r w:rsidRPr="00124739">
        <w:rPr>
          <w:rFonts w:ascii="Palatino Linotype" w:eastAsia="Century Gothic" w:hAnsi="Palatino Linotype" w:cs="Century Gothic"/>
          <w:i/>
          <w:color w:val="000000"/>
          <w:vertAlign w:val="superscript"/>
        </w:rPr>
        <w:footnoteReference w:id="5"/>
      </w:r>
      <w:r w:rsidRPr="00124739">
        <w:rPr>
          <w:rFonts w:ascii="Palatino Linotype" w:eastAsia="Palatino Linotype" w:hAnsi="Palatino Linotype" w:cs="Palatino Linotype"/>
          <w:i/>
          <w:color w:val="000000"/>
        </w:rPr>
        <w:t xml:space="preserve">, </w:t>
      </w:r>
      <w:r w:rsidRPr="00124739">
        <w:rPr>
          <w:rFonts w:ascii="Palatino Linotype" w:eastAsia="Palatino Linotype" w:hAnsi="Palatino Linotype" w:cs="Palatino Linotype"/>
          <w:color w:val="000000"/>
        </w:rPr>
        <w:t>asimismo establece</w:t>
      </w:r>
      <w:r w:rsidRPr="00124739">
        <w:rPr>
          <w:rFonts w:ascii="Palatino Linotype" w:eastAsia="Palatino Linotype" w:hAnsi="Palatino Linotype" w:cs="Palatino Linotype"/>
          <w:i/>
          <w:color w:val="000000"/>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19018D" w:rsidRPr="00124739" w:rsidRDefault="0019018D" w:rsidP="002F2DB1">
      <w:pPr>
        <w:pBdr>
          <w:top w:val="nil"/>
          <w:left w:val="nil"/>
          <w:bottom w:val="nil"/>
          <w:right w:val="nil"/>
          <w:between w:val="nil"/>
        </w:pBdr>
        <w:rPr>
          <w:rFonts w:ascii="Palatino Linotype" w:eastAsia="Palatino Linotype" w:hAnsi="Palatino Linotype" w:cs="Palatino Linotype"/>
          <w:color w:val="000000"/>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rsidR="0019018D" w:rsidRPr="00124739" w:rsidRDefault="0019018D" w:rsidP="002F2DB1">
      <w:pPr>
        <w:pBdr>
          <w:top w:val="nil"/>
          <w:left w:val="nil"/>
          <w:bottom w:val="nil"/>
          <w:right w:val="nil"/>
          <w:between w:val="nil"/>
        </w:pBdr>
        <w:rPr>
          <w:rFonts w:ascii="Palatino Linotype" w:eastAsia="Palatino Linotype" w:hAnsi="Palatino Linotype" w:cs="Palatino Linotype"/>
          <w:color w:val="000000"/>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lastRenderedPageBreak/>
        <w:t xml:space="preserve">Es así que, su obligación es </w:t>
      </w:r>
      <w:r w:rsidRPr="00124739">
        <w:rPr>
          <w:rFonts w:ascii="Palatino Linotype" w:eastAsia="Palatino Linotype" w:hAnsi="Palatino Linotype" w:cs="Palatino Linotype"/>
          <w:i/>
          <w:color w:val="000000"/>
        </w:rPr>
        <w:t>realizar, con efectividad, los trámites internos necesarios para la atención de las solicitudes de información</w:t>
      </w:r>
      <w:r w:rsidRPr="00124739">
        <w:rPr>
          <w:rFonts w:ascii="Palatino Linotype" w:eastAsia="Century Gothic" w:hAnsi="Palatino Linotype" w:cs="Century Gothic"/>
          <w:color w:val="000000"/>
          <w:vertAlign w:val="superscript"/>
        </w:rPr>
        <w:footnoteReference w:id="6"/>
      </w:r>
      <w:r w:rsidRPr="00124739">
        <w:rPr>
          <w:rFonts w:ascii="Palatino Linotype" w:eastAsia="Palatino Linotype" w:hAnsi="Palatino Linotype" w:cs="Palatino Linotype"/>
          <w:color w:val="000000"/>
        </w:rPr>
        <w:t>, es decir, deben otorgar respuestas concisas, contundentes y sobre todo que den la certeza de los actos que realizan.</w:t>
      </w:r>
    </w:p>
    <w:p w:rsidR="0019018D" w:rsidRPr="00124739" w:rsidRDefault="0019018D" w:rsidP="002F2DB1">
      <w:pPr>
        <w:pBdr>
          <w:top w:val="nil"/>
          <w:left w:val="nil"/>
          <w:bottom w:val="nil"/>
          <w:right w:val="nil"/>
          <w:between w:val="nil"/>
        </w:pBdr>
        <w:rPr>
          <w:rFonts w:ascii="Palatino Linotype" w:eastAsia="Palatino Linotype" w:hAnsi="Palatino Linotype" w:cs="Palatino Linotype"/>
          <w:color w:val="000000"/>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Al respecto, es menester hacer referencia a lo establecido en los artículos 50, 53 fracciones II, IV y V, 58, 59 fracciones I y II, y 162 de la Ley de Transparencia y Acceso a la Información del Estado de México y Municipios, que a la letra estipulan lo siguiente:</w:t>
      </w:r>
    </w:p>
    <w:p w:rsidR="0019018D" w:rsidRPr="00124739" w:rsidRDefault="0019018D" w:rsidP="002F2DB1">
      <w:pPr>
        <w:spacing w:line="360" w:lineRule="auto"/>
        <w:jc w:val="both"/>
        <w:rPr>
          <w:rFonts w:ascii="Palatino Linotype" w:eastAsia="Palatino Linotype" w:hAnsi="Palatino Linotype" w:cs="Palatino Linotype"/>
        </w:rPr>
      </w:pP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b/>
          <w:i/>
        </w:rPr>
        <w:t>Artículo 50. Los sujetos obligados contarán con un área responsable para la atención de las solicitudes de información, a la que se le denominará Unidad de Transparencia.</w:t>
      </w:r>
    </w:p>
    <w:p w:rsidR="0019018D" w:rsidRPr="00124739" w:rsidRDefault="0019018D" w:rsidP="002F2DB1">
      <w:pPr>
        <w:jc w:val="both"/>
        <w:rPr>
          <w:rFonts w:ascii="Palatino Linotype" w:eastAsia="Palatino Linotype" w:hAnsi="Palatino Linotype" w:cs="Palatino Linotype"/>
          <w:i/>
        </w:rPr>
      </w:pP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b/>
          <w:i/>
        </w:rPr>
        <w:t xml:space="preserve">Artículo 53. </w:t>
      </w:r>
      <w:r w:rsidRPr="00124739">
        <w:rPr>
          <w:rFonts w:ascii="Palatino Linotype" w:eastAsia="Palatino Linotype" w:hAnsi="Palatino Linotype" w:cs="Palatino Linotype"/>
          <w:i/>
        </w:rPr>
        <w:t>Las Unidades de Transparencia tendrán las siguientes funciones:</w:t>
      </w: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i/>
        </w:rPr>
        <w:t>(…)</w:t>
      </w: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b/>
          <w:i/>
        </w:rPr>
        <w:t>II.</w:t>
      </w:r>
      <w:r w:rsidRPr="00124739">
        <w:rPr>
          <w:rFonts w:ascii="Palatino Linotype" w:eastAsia="Palatino Linotype" w:hAnsi="Palatino Linotype" w:cs="Palatino Linotype"/>
          <w:i/>
        </w:rPr>
        <w:t xml:space="preserve"> Recibir, tramitar y dar respuesta a las solicitudes de acceso a la información;</w:t>
      </w: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i/>
        </w:rPr>
        <w:t>(…)</w:t>
      </w: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b/>
          <w:i/>
        </w:rPr>
        <w:t>IV.</w:t>
      </w:r>
      <w:r w:rsidRPr="00124739">
        <w:rPr>
          <w:rFonts w:ascii="Palatino Linotype" w:eastAsia="Palatino Linotype" w:hAnsi="Palatino Linotype" w:cs="Palatino Linotype"/>
          <w:i/>
        </w:rPr>
        <w:t xml:space="preserve"> Realizar, con efectividad, los trámites internos necesarios para la atención de las solicitudes de acceso a la información;</w:t>
      </w: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b/>
          <w:i/>
        </w:rPr>
        <w:t>V.</w:t>
      </w:r>
      <w:r w:rsidRPr="00124739">
        <w:rPr>
          <w:rFonts w:ascii="Palatino Linotype" w:eastAsia="Palatino Linotype" w:hAnsi="Palatino Linotype" w:cs="Palatino Linotype"/>
          <w:i/>
        </w:rPr>
        <w:t xml:space="preserve"> Entregar, en su caso, a los particulares la información solicitada;</w:t>
      </w: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i/>
        </w:rPr>
        <w:t>(…)</w:t>
      </w:r>
    </w:p>
    <w:p w:rsidR="0019018D" w:rsidRPr="00124739" w:rsidRDefault="0019018D" w:rsidP="002F2DB1">
      <w:pPr>
        <w:jc w:val="both"/>
        <w:rPr>
          <w:rFonts w:ascii="Palatino Linotype" w:eastAsia="Palatino Linotype" w:hAnsi="Palatino Linotype" w:cs="Palatino Linotype"/>
          <w:i/>
        </w:rPr>
      </w:pP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b/>
          <w:i/>
        </w:rPr>
        <w:t xml:space="preserve">Artículo 58. </w:t>
      </w:r>
      <w:r w:rsidRPr="00124739">
        <w:rPr>
          <w:rFonts w:ascii="Palatino Linotype" w:eastAsia="Palatino Linotype" w:hAnsi="Palatino Linotype" w:cs="Palatino Linotype"/>
          <w:i/>
        </w:rPr>
        <w:t>Los servidores públicos habilitados serán designados por el titular del sujeto obligado a propuesta del responsable de la Unidad de Transparencia.</w:t>
      </w:r>
    </w:p>
    <w:p w:rsidR="0019018D" w:rsidRPr="00124739" w:rsidRDefault="0019018D" w:rsidP="002F2DB1">
      <w:pPr>
        <w:jc w:val="both"/>
        <w:rPr>
          <w:rFonts w:ascii="Palatino Linotype" w:eastAsia="Palatino Linotype" w:hAnsi="Palatino Linotype" w:cs="Palatino Linotype"/>
          <w:i/>
        </w:rPr>
      </w:pP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b/>
          <w:i/>
        </w:rPr>
        <w:t xml:space="preserve">Artículo 59. </w:t>
      </w:r>
      <w:r w:rsidRPr="00124739">
        <w:rPr>
          <w:rFonts w:ascii="Palatino Linotype" w:eastAsia="Palatino Linotype" w:hAnsi="Palatino Linotype" w:cs="Palatino Linotype"/>
          <w:i/>
        </w:rPr>
        <w:t>Los servidores públicos habilitados tendrán las funciones siguientes:</w:t>
      </w:r>
    </w:p>
    <w:p w:rsidR="0019018D" w:rsidRPr="00124739" w:rsidRDefault="0019018D" w:rsidP="002F2DB1">
      <w:pPr>
        <w:jc w:val="both"/>
        <w:rPr>
          <w:rFonts w:ascii="Palatino Linotype" w:eastAsia="Palatino Linotype" w:hAnsi="Palatino Linotype" w:cs="Palatino Linotype"/>
          <w:i/>
        </w:rPr>
      </w:pP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b/>
          <w:i/>
        </w:rPr>
        <w:t>I.</w:t>
      </w:r>
      <w:r w:rsidRPr="00124739">
        <w:rPr>
          <w:rFonts w:ascii="Palatino Linotype" w:eastAsia="Palatino Linotype" w:hAnsi="Palatino Linotype" w:cs="Palatino Linotype"/>
          <w:i/>
        </w:rPr>
        <w:t xml:space="preserve"> Localizar la información que le solicite la Unidad de Transparencia;</w:t>
      </w: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b/>
          <w:i/>
        </w:rPr>
        <w:t>II.</w:t>
      </w:r>
      <w:r w:rsidRPr="00124739">
        <w:rPr>
          <w:rFonts w:ascii="Palatino Linotype" w:eastAsia="Palatino Linotype" w:hAnsi="Palatino Linotype" w:cs="Palatino Linotype"/>
          <w:i/>
        </w:rPr>
        <w:t xml:space="preserve"> Proporcionar la información que obre en los archivos y que le sea solicitada por la Unidad de Transparencia;</w:t>
      </w: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i/>
        </w:rPr>
        <w:t>(...)</w:t>
      </w:r>
    </w:p>
    <w:p w:rsidR="0019018D" w:rsidRPr="00124739" w:rsidRDefault="0019018D" w:rsidP="002F2DB1">
      <w:pPr>
        <w:jc w:val="both"/>
        <w:rPr>
          <w:rFonts w:ascii="Palatino Linotype" w:eastAsia="Palatino Linotype" w:hAnsi="Palatino Linotype" w:cs="Palatino Linotype"/>
          <w:i/>
        </w:rPr>
      </w:pP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b/>
          <w:i/>
        </w:rPr>
        <w:t xml:space="preserve">Artículo 162. </w:t>
      </w:r>
      <w:r w:rsidRPr="00124739">
        <w:rPr>
          <w:rFonts w:ascii="Palatino Linotype" w:eastAsia="Palatino Linotype" w:hAnsi="Palatino Linotype" w:cs="Palatino Linotype"/>
          <w:i/>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19018D" w:rsidRPr="00124739" w:rsidRDefault="0019018D" w:rsidP="002F2DB1">
      <w:pPr>
        <w:spacing w:line="360" w:lineRule="auto"/>
        <w:jc w:val="both"/>
        <w:rPr>
          <w:rFonts w:ascii="Palatino Linotype" w:eastAsia="Palatino Linotype" w:hAnsi="Palatino Linotype" w:cs="Palatino Linotype"/>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De los artículos citados se desprende que las Unidades de Transparencia de los sujetos obligados son las encargadas de tramitar internamente las solicitudes de 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w:t>
      </w:r>
      <w:r w:rsidRPr="00124739">
        <w:rPr>
          <w:rFonts w:ascii="Palatino Linotype" w:eastAsia="Palatino Linotype" w:hAnsi="Palatino Linotype" w:cs="Palatino Linotype"/>
          <w:b/>
          <w:color w:val="000000"/>
        </w:rPr>
        <w:t>Por su parte, los servidores públicos habilitados auxiliarán a las Unidades de Transparencia localizando la información solicitada y proporcionando la misma que obre en sus archivos.</w:t>
      </w:r>
      <w:r w:rsidRPr="00124739">
        <w:rPr>
          <w:rFonts w:ascii="Palatino Linotype" w:eastAsia="Palatino Linotype" w:hAnsi="Palatino Linotype" w:cs="Palatino Linotype"/>
          <w:color w:val="000000"/>
        </w:rPr>
        <w:t xml:space="preserve"> Asimismo, </w:t>
      </w:r>
      <w:r w:rsidRPr="00124739">
        <w:rPr>
          <w:rFonts w:ascii="Palatino Linotype" w:eastAsia="Palatino Linotype" w:hAnsi="Palatino Linotype" w:cs="Palatino Linotype"/>
          <w:b/>
          <w:color w:val="000000"/>
        </w:rPr>
        <w:t>es una obligación de las Unidades de Transparencia turnar a todas las áreas que se consideren competentes para que realicen una búsqueda exhaustiva y razonable de la información solicitada</w:t>
      </w:r>
      <w:r w:rsidRPr="00124739">
        <w:rPr>
          <w:rFonts w:ascii="Palatino Linotype" w:eastAsia="Palatino Linotype" w:hAnsi="Palatino Linotype" w:cs="Palatino Linotype"/>
          <w:color w:val="000000"/>
        </w:rPr>
        <w:t xml:space="preserve"> a fin de que ésta sea entregada a los solicitantes.</w:t>
      </w:r>
    </w:p>
    <w:p w:rsidR="0019018D" w:rsidRPr="00124739" w:rsidRDefault="0019018D" w:rsidP="002F2DB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Así, se debe entender que el trámite interno que se realice a las solicitudes de acceso a la información, es con el propósito de que se efectúe una búsqueda exhaustiva y razonable de la información entre sus archivos y, en su caso, se entregue la información de interés para el particular.</w:t>
      </w:r>
    </w:p>
    <w:p w:rsidR="0019018D" w:rsidRPr="00124739" w:rsidRDefault="0019018D" w:rsidP="002F2DB1">
      <w:pPr>
        <w:pBdr>
          <w:top w:val="nil"/>
          <w:left w:val="nil"/>
          <w:bottom w:val="nil"/>
          <w:right w:val="nil"/>
          <w:between w:val="nil"/>
        </w:pBdr>
        <w:rPr>
          <w:rFonts w:ascii="Palatino Linotype" w:eastAsia="Palatino Linotype" w:hAnsi="Palatino Linotype" w:cs="Palatino Linotype"/>
          <w:color w:val="000000"/>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En el caso que se resuelve, la respuesta fue emitida por el Titular del Departamento de Transparencia, Oficialía de Partes y Atención Ciudadana del </w:t>
      </w:r>
      <w:r w:rsidRPr="00124739">
        <w:rPr>
          <w:rFonts w:ascii="Palatino Linotype" w:eastAsia="Palatino Linotype" w:hAnsi="Palatino Linotype" w:cs="Palatino Linotype"/>
          <w:color w:val="000000"/>
        </w:rPr>
        <w:lastRenderedPageBreak/>
        <w:t xml:space="preserve">Organismo Agua y Saneamiento de Toluca; que si bien es cierto es la autoridad competente para emitir el pronunciamiento; sin embargo, del expediente electrónico en que se actúa, no se advierte que este haya turnado las solicitudes de informe a las Unidades Administrativas que pudieran generar, poseer y/o administrar la información requerida, tal y como lo señala la ley de la materia, toda vez que solo se limitó a requerir una aclaración en relación a las Dependencias de las cuales se requirió la información, declarando su incompetencia; sin embargo no se pronunció en relación a la información relacionada con el personal del </w:t>
      </w:r>
      <w:r w:rsidRPr="00124739">
        <w:rPr>
          <w:rFonts w:ascii="Palatino Linotype" w:eastAsia="Palatino Linotype" w:hAnsi="Palatino Linotype" w:cs="Palatino Linotype"/>
          <w:b/>
          <w:color w:val="000000"/>
        </w:rPr>
        <w:t xml:space="preserve">SUJETO OBLIGADO, </w:t>
      </w:r>
      <w:r w:rsidRPr="00124739">
        <w:rPr>
          <w:rFonts w:ascii="Palatino Linotype" w:eastAsia="Palatino Linotype" w:hAnsi="Palatino Linotype" w:cs="Palatino Linotype"/>
          <w:color w:val="000000"/>
        </w:rPr>
        <w:t>por lo que este Órgano Garante considera que no se realizó la búsqueda exhaustiva de la información, es decir, que no se dio seguimiento al proceso de búsqueda establecido por la Ley.</w:t>
      </w:r>
    </w:p>
    <w:p w:rsidR="0019018D" w:rsidRPr="00124739" w:rsidRDefault="0019018D" w:rsidP="002F2DB1">
      <w:pPr>
        <w:pBdr>
          <w:top w:val="nil"/>
          <w:left w:val="nil"/>
          <w:bottom w:val="nil"/>
          <w:right w:val="nil"/>
          <w:between w:val="nil"/>
        </w:pBdr>
        <w:rPr>
          <w:rFonts w:ascii="Palatino Linotype" w:eastAsia="Palatino Linotype" w:hAnsi="Palatino Linotype" w:cs="Palatino Linotype"/>
          <w:color w:val="000000"/>
        </w:rPr>
      </w:pPr>
    </w:p>
    <w:p w:rsidR="0019018D" w:rsidRPr="00124739" w:rsidRDefault="0019018D" w:rsidP="002F2DB1">
      <w:pPr>
        <w:pBdr>
          <w:top w:val="nil"/>
          <w:left w:val="nil"/>
          <w:bottom w:val="nil"/>
          <w:right w:val="nil"/>
          <w:between w:val="nil"/>
        </w:pBdr>
        <w:rPr>
          <w:rFonts w:ascii="Palatino Linotype" w:eastAsia="Palatino Linotype" w:hAnsi="Palatino Linotype" w:cs="Palatino Linotype"/>
          <w:color w:val="000000"/>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rPr>
      </w:pPr>
      <w:r w:rsidRPr="00124739">
        <w:rPr>
          <w:rFonts w:ascii="Palatino Linotype" w:eastAsia="Palatino Linotype" w:hAnsi="Palatino Linotype" w:cs="Palatino Linotype"/>
        </w:rPr>
        <w:t>Al respecto, conviene traer a colación lo establecido en el artículo 27 del Reglamento Interior del Organismo Público Descentralizado por Servicio de Carácter Municipal denominado Agua y Saneamiento de Toluca:</w:t>
      </w:r>
    </w:p>
    <w:p w:rsidR="0019018D" w:rsidRPr="00124739" w:rsidRDefault="0019018D" w:rsidP="002F2DB1">
      <w:pPr>
        <w:pBdr>
          <w:top w:val="nil"/>
          <w:left w:val="nil"/>
          <w:bottom w:val="nil"/>
          <w:right w:val="nil"/>
          <w:between w:val="nil"/>
        </w:pBdr>
        <w:rPr>
          <w:rFonts w:ascii="Palatino Linotype" w:eastAsia="Palatino Linotype" w:hAnsi="Palatino Linotype" w:cs="Palatino Linotype"/>
          <w:color w:val="000000"/>
        </w:rPr>
      </w:pPr>
    </w:p>
    <w:p w:rsidR="0019018D" w:rsidRPr="00124739" w:rsidRDefault="008011FF" w:rsidP="002F2DB1">
      <w:pPr>
        <w:pBdr>
          <w:top w:val="nil"/>
          <w:left w:val="nil"/>
          <w:bottom w:val="nil"/>
          <w:right w:val="nil"/>
          <w:between w:val="nil"/>
        </w:pBdr>
        <w:rPr>
          <w:rFonts w:ascii="Palatino Linotype" w:eastAsia="Palatino Linotype" w:hAnsi="Palatino Linotype" w:cs="Palatino Linotype"/>
          <w:i/>
          <w:color w:val="000000"/>
        </w:rPr>
      </w:pPr>
      <w:r w:rsidRPr="00124739">
        <w:rPr>
          <w:rFonts w:ascii="Palatino Linotype" w:eastAsia="Palatino Linotype" w:hAnsi="Palatino Linotype" w:cs="Palatino Linotype"/>
          <w:b/>
          <w:i/>
          <w:color w:val="000000"/>
        </w:rPr>
        <w:t xml:space="preserve">Artículo 27.- </w:t>
      </w:r>
      <w:r w:rsidRPr="00124739">
        <w:rPr>
          <w:rFonts w:ascii="Palatino Linotype" w:eastAsia="Palatino Linotype" w:hAnsi="Palatino Linotype" w:cs="Palatino Linotype"/>
          <w:i/>
          <w:color w:val="000000"/>
        </w:rPr>
        <w:t>Para el despacho de los asuntos de su competencia, el Director General tendrá la asistencia de las siguientes áreas administrativas que integran la estructura orgánica:</w:t>
      </w:r>
    </w:p>
    <w:p w:rsidR="0019018D" w:rsidRPr="00124739" w:rsidRDefault="0019018D" w:rsidP="002F2DB1">
      <w:pPr>
        <w:pBdr>
          <w:top w:val="nil"/>
          <w:left w:val="nil"/>
          <w:bottom w:val="nil"/>
          <w:right w:val="nil"/>
          <w:between w:val="nil"/>
        </w:pBdr>
        <w:rPr>
          <w:rFonts w:ascii="Palatino Linotype" w:eastAsia="Palatino Linotype" w:hAnsi="Palatino Linotype" w:cs="Palatino Linotype"/>
          <w:i/>
          <w:color w:val="000000"/>
        </w:rPr>
      </w:pPr>
    </w:p>
    <w:p w:rsidR="0019018D" w:rsidRPr="00124739" w:rsidRDefault="008011FF" w:rsidP="002F2DB1">
      <w:pPr>
        <w:pBdr>
          <w:top w:val="nil"/>
          <w:left w:val="nil"/>
          <w:bottom w:val="nil"/>
          <w:right w:val="nil"/>
          <w:between w:val="nil"/>
        </w:pBdr>
        <w:rPr>
          <w:rFonts w:ascii="Palatino Linotype" w:eastAsia="Palatino Linotype" w:hAnsi="Palatino Linotype" w:cs="Palatino Linotype"/>
          <w:i/>
          <w:color w:val="000000"/>
        </w:rPr>
      </w:pPr>
      <w:r w:rsidRPr="00124739">
        <w:rPr>
          <w:rFonts w:ascii="Palatino Linotype" w:eastAsia="Palatino Linotype" w:hAnsi="Palatino Linotype" w:cs="Palatino Linotype"/>
          <w:b/>
          <w:i/>
          <w:color w:val="000000"/>
        </w:rPr>
        <w:t>I. DIRECCIÓN GENERAL</w:t>
      </w:r>
      <w:r w:rsidRPr="00124739">
        <w:rPr>
          <w:rFonts w:ascii="Palatino Linotype" w:eastAsia="Palatino Linotype" w:hAnsi="Palatino Linotype" w:cs="Palatino Linotype"/>
          <w:i/>
          <w:color w:val="000000"/>
        </w:rPr>
        <w:t xml:space="preserve">: </w:t>
      </w:r>
    </w:p>
    <w:p w:rsidR="0019018D" w:rsidRPr="00124739" w:rsidRDefault="008011FF" w:rsidP="002F2DB1">
      <w:pPr>
        <w:pBdr>
          <w:top w:val="nil"/>
          <w:left w:val="nil"/>
          <w:bottom w:val="nil"/>
          <w:right w:val="nil"/>
          <w:between w:val="nil"/>
        </w:pBdr>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w:t>
      </w:r>
    </w:p>
    <w:p w:rsidR="0019018D" w:rsidRPr="00124739" w:rsidRDefault="008011FF" w:rsidP="002F2DB1">
      <w:pPr>
        <w:pBdr>
          <w:top w:val="nil"/>
          <w:left w:val="nil"/>
          <w:bottom w:val="nil"/>
          <w:right w:val="nil"/>
          <w:between w:val="nil"/>
        </w:pBdr>
        <w:rPr>
          <w:rFonts w:ascii="Palatino Linotype" w:eastAsia="Palatino Linotype" w:hAnsi="Palatino Linotype" w:cs="Palatino Linotype"/>
          <w:b/>
          <w:i/>
          <w:color w:val="000000"/>
        </w:rPr>
      </w:pPr>
      <w:r w:rsidRPr="00124739">
        <w:rPr>
          <w:rFonts w:ascii="Palatino Linotype" w:eastAsia="Palatino Linotype" w:hAnsi="Palatino Linotype" w:cs="Palatino Linotype"/>
          <w:b/>
          <w:i/>
          <w:color w:val="000000"/>
        </w:rPr>
        <w:t xml:space="preserve">II. SECRETARÍA TÉCNICA. </w:t>
      </w:r>
    </w:p>
    <w:p w:rsidR="0019018D" w:rsidRPr="00124739" w:rsidRDefault="008011FF" w:rsidP="002F2DB1">
      <w:pPr>
        <w:pBdr>
          <w:top w:val="nil"/>
          <w:left w:val="nil"/>
          <w:bottom w:val="nil"/>
          <w:right w:val="nil"/>
          <w:between w:val="nil"/>
        </w:pBdr>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II.I. Coordinación de Factibilidades. </w:t>
      </w:r>
    </w:p>
    <w:p w:rsidR="0019018D" w:rsidRPr="00124739" w:rsidRDefault="008011FF" w:rsidP="002F2DB1">
      <w:pPr>
        <w:pBdr>
          <w:top w:val="nil"/>
          <w:left w:val="nil"/>
          <w:bottom w:val="nil"/>
          <w:right w:val="nil"/>
          <w:between w:val="nil"/>
        </w:pBdr>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II.II. Subdirección de Gestión y Evaluación. </w:t>
      </w:r>
    </w:p>
    <w:p w:rsidR="0019018D" w:rsidRPr="00124739" w:rsidRDefault="008011FF" w:rsidP="002F2DB1">
      <w:pPr>
        <w:pBdr>
          <w:top w:val="nil"/>
          <w:left w:val="nil"/>
          <w:bottom w:val="nil"/>
          <w:right w:val="nil"/>
          <w:between w:val="nil"/>
        </w:pBdr>
        <w:rPr>
          <w:rFonts w:ascii="Palatino Linotype" w:eastAsia="Palatino Linotype" w:hAnsi="Palatino Linotype" w:cs="Palatino Linotype"/>
          <w:b/>
          <w:i/>
          <w:color w:val="000000"/>
          <w:u w:val="single"/>
        </w:rPr>
      </w:pPr>
      <w:r w:rsidRPr="00124739">
        <w:rPr>
          <w:rFonts w:ascii="Palatino Linotype" w:eastAsia="Palatino Linotype" w:hAnsi="Palatino Linotype" w:cs="Palatino Linotype"/>
          <w:b/>
          <w:i/>
          <w:color w:val="000000"/>
          <w:u w:val="single"/>
        </w:rPr>
        <w:t xml:space="preserve">II.II.I Departamento de Transparencia, Oficialía de Partes y Atención Ciudadana. </w:t>
      </w:r>
    </w:p>
    <w:p w:rsidR="0019018D" w:rsidRPr="00124739" w:rsidRDefault="008011FF" w:rsidP="002F2DB1">
      <w:pPr>
        <w:pBdr>
          <w:top w:val="nil"/>
          <w:left w:val="nil"/>
          <w:bottom w:val="nil"/>
          <w:right w:val="nil"/>
          <w:between w:val="nil"/>
        </w:pBdr>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II.II.II. Departamento de Planeación, Evaluación y Calidad.</w:t>
      </w:r>
    </w:p>
    <w:p w:rsidR="0019018D" w:rsidRPr="00124739" w:rsidRDefault="008011FF" w:rsidP="002F2DB1">
      <w:pPr>
        <w:pBdr>
          <w:top w:val="nil"/>
          <w:left w:val="nil"/>
          <w:bottom w:val="nil"/>
          <w:right w:val="nil"/>
          <w:between w:val="nil"/>
        </w:pBdr>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w:t>
      </w:r>
    </w:p>
    <w:p w:rsidR="0019018D" w:rsidRPr="00124739" w:rsidRDefault="008011FF" w:rsidP="002F2DB1">
      <w:pPr>
        <w:pBdr>
          <w:top w:val="nil"/>
          <w:left w:val="nil"/>
          <w:bottom w:val="nil"/>
          <w:right w:val="nil"/>
          <w:between w:val="nil"/>
        </w:pBdr>
        <w:rPr>
          <w:rFonts w:ascii="Palatino Linotype" w:eastAsia="Palatino Linotype" w:hAnsi="Palatino Linotype" w:cs="Palatino Linotype"/>
          <w:i/>
          <w:color w:val="000000"/>
        </w:rPr>
      </w:pPr>
      <w:r w:rsidRPr="00124739">
        <w:rPr>
          <w:rFonts w:ascii="Palatino Linotype" w:eastAsia="Palatino Linotype" w:hAnsi="Palatino Linotype" w:cs="Palatino Linotype"/>
          <w:b/>
          <w:i/>
          <w:color w:val="000000"/>
        </w:rPr>
        <w:t>III. ÓRGANO INTERNO DE CONTROL</w:t>
      </w:r>
      <w:r w:rsidRPr="00124739">
        <w:rPr>
          <w:rFonts w:ascii="Palatino Linotype" w:eastAsia="Palatino Linotype" w:hAnsi="Palatino Linotype" w:cs="Palatino Linotype"/>
          <w:i/>
          <w:color w:val="000000"/>
        </w:rPr>
        <w:t>:</w:t>
      </w:r>
    </w:p>
    <w:p w:rsidR="0019018D" w:rsidRPr="00124739" w:rsidRDefault="008011FF" w:rsidP="002F2DB1">
      <w:pPr>
        <w:pBdr>
          <w:top w:val="nil"/>
          <w:left w:val="nil"/>
          <w:bottom w:val="nil"/>
          <w:right w:val="nil"/>
          <w:between w:val="nil"/>
        </w:pBdr>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lastRenderedPageBreak/>
        <w:t>(…)</w:t>
      </w:r>
    </w:p>
    <w:p w:rsidR="0019018D" w:rsidRPr="00124739" w:rsidRDefault="008011FF" w:rsidP="002F2DB1">
      <w:pPr>
        <w:pBdr>
          <w:top w:val="nil"/>
          <w:left w:val="nil"/>
          <w:bottom w:val="nil"/>
          <w:right w:val="nil"/>
          <w:between w:val="nil"/>
        </w:pBdr>
        <w:rPr>
          <w:rFonts w:ascii="Palatino Linotype" w:eastAsia="Palatino Linotype" w:hAnsi="Palatino Linotype" w:cs="Palatino Linotype"/>
          <w:i/>
          <w:color w:val="000000"/>
        </w:rPr>
      </w:pPr>
      <w:r w:rsidRPr="00124739">
        <w:rPr>
          <w:rFonts w:ascii="Palatino Linotype" w:eastAsia="Palatino Linotype" w:hAnsi="Palatino Linotype" w:cs="Palatino Linotype"/>
          <w:b/>
          <w:i/>
          <w:color w:val="000000"/>
        </w:rPr>
        <w:t>IV.DIRECCIÓN JURÍDICA Y DE FISCALIZACIÓN</w:t>
      </w:r>
      <w:r w:rsidRPr="00124739">
        <w:rPr>
          <w:rFonts w:ascii="Palatino Linotype" w:eastAsia="Palatino Linotype" w:hAnsi="Palatino Linotype" w:cs="Palatino Linotype"/>
          <w:i/>
          <w:color w:val="000000"/>
        </w:rPr>
        <w:t xml:space="preserve">: </w:t>
      </w:r>
    </w:p>
    <w:p w:rsidR="0019018D" w:rsidRPr="00124739" w:rsidRDefault="008011FF" w:rsidP="002F2DB1">
      <w:pPr>
        <w:pBdr>
          <w:top w:val="nil"/>
          <w:left w:val="nil"/>
          <w:bottom w:val="nil"/>
          <w:right w:val="nil"/>
          <w:between w:val="nil"/>
        </w:pBdr>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w:t>
      </w:r>
    </w:p>
    <w:p w:rsidR="0019018D" w:rsidRPr="00124739" w:rsidRDefault="008011FF" w:rsidP="002F2DB1">
      <w:pPr>
        <w:pBdr>
          <w:top w:val="nil"/>
          <w:left w:val="nil"/>
          <w:bottom w:val="nil"/>
          <w:right w:val="nil"/>
          <w:between w:val="nil"/>
        </w:pBdr>
        <w:rPr>
          <w:rFonts w:ascii="Palatino Linotype" w:eastAsia="Palatino Linotype" w:hAnsi="Palatino Linotype" w:cs="Palatino Linotype"/>
          <w:i/>
          <w:color w:val="000000"/>
        </w:rPr>
      </w:pPr>
      <w:r w:rsidRPr="00124739">
        <w:rPr>
          <w:rFonts w:ascii="Palatino Linotype" w:eastAsia="Palatino Linotype" w:hAnsi="Palatino Linotype" w:cs="Palatino Linotype"/>
          <w:b/>
          <w:i/>
          <w:color w:val="000000"/>
        </w:rPr>
        <w:t>V.DIRECCIÓN DE ADMINISTRACIÓN Y FINANZAS</w:t>
      </w:r>
      <w:r w:rsidRPr="00124739">
        <w:rPr>
          <w:rFonts w:ascii="Palatino Linotype" w:eastAsia="Palatino Linotype" w:hAnsi="Palatino Linotype" w:cs="Palatino Linotype"/>
          <w:i/>
          <w:color w:val="000000"/>
        </w:rPr>
        <w:t xml:space="preserve"> </w:t>
      </w:r>
    </w:p>
    <w:p w:rsidR="0019018D" w:rsidRPr="00124739" w:rsidRDefault="008011FF" w:rsidP="002F2DB1">
      <w:pPr>
        <w:pBdr>
          <w:top w:val="nil"/>
          <w:left w:val="nil"/>
          <w:bottom w:val="nil"/>
          <w:right w:val="nil"/>
          <w:between w:val="nil"/>
        </w:pBdr>
        <w:rPr>
          <w:rFonts w:ascii="Palatino Linotype" w:eastAsia="Palatino Linotype" w:hAnsi="Palatino Linotype" w:cs="Palatino Linotype"/>
          <w:b/>
          <w:i/>
          <w:color w:val="000000"/>
          <w:u w:val="single"/>
        </w:rPr>
      </w:pPr>
      <w:r w:rsidRPr="00124739">
        <w:rPr>
          <w:rFonts w:ascii="Palatino Linotype" w:eastAsia="Palatino Linotype" w:hAnsi="Palatino Linotype" w:cs="Palatino Linotype"/>
          <w:b/>
          <w:i/>
          <w:color w:val="000000"/>
          <w:u w:val="single"/>
        </w:rPr>
        <w:t xml:space="preserve">V.I. Subdirección de Recursos Humanos; </w:t>
      </w:r>
    </w:p>
    <w:p w:rsidR="0019018D" w:rsidRPr="00124739" w:rsidRDefault="008011FF" w:rsidP="002F2DB1">
      <w:pPr>
        <w:pBdr>
          <w:top w:val="nil"/>
          <w:left w:val="nil"/>
          <w:bottom w:val="nil"/>
          <w:right w:val="nil"/>
          <w:between w:val="nil"/>
        </w:pBdr>
        <w:rPr>
          <w:rFonts w:ascii="Palatino Linotype" w:eastAsia="Palatino Linotype" w:hAnsi="Palatino Linotype" w:cs="Palatino Linotype"/>
          <w:b/>
          <w:i/>
          <w:color w:val="000000"/>
          <w:u w:val="single"/>
        </w:rPr>
      </w:pPr>
      <w:r w:rsidRPr="00124739">
        <w:rPr>
          <w:rFonts w:ascii="Palatino Linotype" w:eastAsia="Palatino Linotype" w:hAnsi="Palatino Linotype" w:cs="Palatino Linotype"/>
          <w:b/>
          <w:i/>
          <w:color w:val="000000"/>
          <w:u w:val="single"/>
        </w:rPr>
        <w:t xml:space="preserve">V.I.I. Departamento de Nómina. </w:t>
      </w:r>
    </w:p>
    <w:p w:rsidR="0019018D" w:rsidRPr="00124739" w:rsidRDefault="008011FF" w:rsidP="002F2DB1">
      <w:pPr>
        <w:pBdr>
          <w:top w:val="nil"/>
          <w:left w:val="nil"/>
          <w:bottom w:val="nil"/>
          <w:right w:val="nil"/>
          <w:between w:val="nil"/>
        </w:pBdr>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V.II. Subdirección de Administración; </w:t>
      </w:r>
    </w:p>
    <w:p w:rsidR="0019018D" w:rsidRPr="00124739" w:rsidRDefault="008011FF" w:rsidP="002F2DB1">
      <w:pPr>
        <w:pBdr>
          <w:top w:val="nil"/>
          <w:left w:val="nil"/>
          <w:bottom w:val="nil"/>
          <w:right w:val="nil"/>
          <w:between w:val="nil"/>
        </w:pBdr>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V.II.I. Departamento de Recursos Materiales. </w:t>
      </w:r>
    </w:p>
    <w:p w:rsidR="0019018D" w:rsidRPr="00124739" w:rsidRDefault="008011FF" w:rsidP="002F2DB1">
      <w:pPr>
        <w:pBdr>
          <w:top w:val="nil"/>
          <w:left w:val="nil"/>
          <w:bottom w:val="nil"/>
          <w:right w:val="nil"/>
          <w:between w:val="nil"/>
        </w:pBdr>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V.II.II. Departamento de Servicios Generales y Control Patrimonial </w:t>
      </w:r>
    </w:p>
    <w:p w:rsidR="0019018D" w:rsidRPr="00124739" w:rsidRDefault="008011FF" w:rsidP="002F2DB1">
      <w:pPr>
        <w:pBdr>
          <w:top w:val="nil"/>
          <w:left w:val="nil"/>
          <w:bottom w:val="nil"/>
          <w:right w:val="nil"/>
          <w:between w:val="nil"/>
        </w:pBdr>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V.III. Subdirección de Finanzas </w:t>
      </w:r>
    </w:p>
    <w:p w:rsidR="0019018D" w:rsidRPr="00124739" w:rsidRDefault="008011FF" w:rsidP="002F2DB1">
      <w:pPr>
        <w:pBdr>
          <w:top w:val="nil"/>
          <w:left w:val="nil"/>
          <w:bottom w:val="nil"/>
          <w:right w:val="nil"/>
          <w:between w:val="nil"/>
        </w:pBdr>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V.III.I. Departamento de Contabilidad </w:t>
      </w:r>
    </w:p>
    <w:p w:rsidR="0019018D" w:rsidRPr="00124739" w:rsidRDefault="008011FF" w:rsidP="002F2DB1">
      <w:pPr>
        <w:pBdr>
          <w:top w:val="nil"/>
          <w:left w:val="nil"/>
          <w:bottom w:val="nil"/>
          <w:right w:val="nil"/>
          <w:between w:val="nil"/>
        </w:pBdr>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V.III.II. Departamento de Presupuestos </w:t>
      </w:r>
    </w:p>
    <w:p w:rsidR="0019018D" w:rsidRPr="00124739" w:rsidRDefault="008011FF" w:rsidP="002F2DB1">
      <w:pPr>
        <w:pBdr>
          <w:top w:val="nil"/>
          <w:left w:val="nil"/>
          <w:bottom w:val="nil"/>
          <w:right w:val="nil"/>
          <w:between w:val="nil"/>
        </w:pBdr>
        <w:rPr>
          <w:rFonts w:ascii="Palatino Linotype" w:eastAsia="Palatino Linotype" w:hAnsi="Palatino Linotype" w:cs="Palatino Linotype"/>
          <w:i/>
          <w:color w:val="000000"/>
        </w:rPr>
      </w:pPr>
      <w:r w:rsidRPr="00124739">
        <w:rPr>
          <w:rFonts w:ascii="Palatino Linotype" w:eastAsia="Palatino Linotype" w:hAnsi="Palatino Linotype" w:cs="Palatino Linotype"/>
          <w:b/>
          <w:i/>
          <w:color w:val="000000"/>
        </w:rPr>
        <w:t>VI.DIRECCIÓN DE PLANEACIÓN, CONSTRUCCIÓN Y OPERACIÓN</w:t>
      </w:r>
      <w:r w:rsidRPr="00124739">
        <w:rPr>
          <w:rFonts w:ascii="Palatino Linotype" w:eastAsia="Palatino Linotype" w:hAnsi="Palatino Linotype" w:cs="Palatino Linotype"/>
          <w:i/>
          <w:color w:val="000000"/>
        </w:rPr>
        <w:t xml:space="preserve">: </w:t>
      </w:r>
    </w:p>
    <w:p w:rsidR="0019018D" w:rsidRPr="00124739" w:rsidRDefault="008011FF" w:rsidP="002F2DB1">
      <w:pPr>
        <w:pBdr>
          <w:top w:val="nil"/>
          <w:left w:val="nil"/>
          <w:bottom w:val="nil"/>
          <w:right w:val="nil"/>
          <w:between w:val="nil"/>
        </w:pBdr>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w:t>
      </w:r>
    </w:p>
    <w:p w:rsidR="0019018D" w:rsidRPr="00124739" w:rsidRDefault="008011FF" w:rsidP="002F2DB1">
      <w:pPr>
        <w:pBdr>
          <w:top w:val="nil"/>
          <w:left w:val="nil"/>
          <w:bottom w:val="nil"/>
          <w:right w:val="nil"/>
          <w:between w:val="nil"/>
        </w:pBdr>
        <w:rPr>
          <w:rFonts w:ascii="Palatino Linotype" w:eastAsia="Palatino Linotype" w:hAnsi="Palatino Linotype" w:cs="Palatino Linotype"/>
          <w:i/>
          <w:color w:val="000000"/>
        </w:rPr>
      </w:pPr>
      <w:r w:rsidRPr="00124739">
        <w:rPr>
          <w:rFonts w:ascii="Palatino Linotype" w:eastAsia="Palatino Linotype" w:hAnsi="Palatino Linotype" w:cs="Palatino Linotype"/>
          <w:b/>
          <w:i/>
          <w:color w:val="000000"/>
        </w:rPr>
        <w:t>VII. DIRECCIÓN DE COMERCIALIZACIÓN</w:t>
      </w:r>
      <w:r w:rsidRPr="00124739">
        <w:rPr>
          <w:rFonts w:ascii="Palatino Linotype" w:eastAsia="Palatino Linotype" w:hAnsi="Palatino Linotype" w:cs="Palatino Linotype"/>
          <w:i/>
          <w:color w:val="000000"/>
        </w:rPr>
        <w:t xml:space="preserve">: </w:t>
      </w:r>
    </w:p>
    <w:p w:rsidR="0019018D" w:rsidRPr="00124739" w:rsidRDefault="008011FF" w:rsidP="002F2DB1">
      <w:pPr>
        <w:pBdr>
          <w:top w:val="nil"/>
          <w:left w:val="nil"/>
          <w:bottom w:val="nil"/>
          <w:right w:val="nil"/>
          <w:between w:val="nil"/>
        </w:pBdr>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w:t>
      </w:r>
    </w:p>
    <w:p w:rsidR="0019018D" w:rsidRPr="00124739" w:rsidRDefault="0019018D" w:rsidP="002F2DB1">
      <w:pPr>
        <w:pBdr>
          <w:top w:val="nil"/>
          <w:left w:val="nil"/>
          <w:bottom w:val="nil"/>
          <w:right w:val="nil"/>
          <w:between w:val="nil"/>
        </w:pBdr>
        <w:rPr>
          <w:rFonts w:ascii="Palatino Linotype" w:eastAsia="Palatino Linotype" w:hAnsi="Palatino Linotype" w:cs="Palatino Linotype"/>
          <w:i/>
          <w:color w:val="000000"/>
        </w:rPr>
      </w:pP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Además, se auxiliarán de las unidades administrativas subalternas necesarias para el cumplimiento de sus atribuciones de acuerdo con las estructura orgánica y presupuesto autorizados y tendrán la responsabilidad de realizar las diligencias y labores que les instruyan sus superiores jerárquicos de acuerdo con la naturaleza de sus funciones.</w:t>
      </w:r>
    </w:p>
    <w:p w:rsidR="0019018D" w:rsidRPr="00124739" w:rsidRDefault="0019018D" w:rsidP="002F2DB1">
      <w:pPr>
        <w:pBdr>
          <w:top w:val="nil"/>
          <w:left w:val="nil"/>
          <w:bottom w:val="nil"/>
          <w:right w:val="nil"/>
          <w:between w:val="nil"/>
        </w:pBdr>
        <w:rPr>
          <w:rFonts w:ascii="Palatino Linotype" w:eastAsia="Palatino Linotype" w:hAnsi="Palatino Linotype" w:cs="Palatino Linotype"/>
          <w:color w:val="000000"/>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rPr>
      </w:pPr>
      <w:r w:rsidRPr="00124739">
        <w:rPr>
          <w:rFonts w:ascii="Palatino Linotype" w:eastAsia="Palatino Linotype" w:hAnsi="Palatino Linotype" w:cs="Palatino Linotype"/>
        </w:rPr>
        <w:t>Ahora bien, en concordancia con lo anterior se advierte que el Organismo Agua y Saneamiento de Toluca, cuenta con la Subdirección de Recursos Humanos, quien es la responsable de realizar las acciones necesarias que permitan la ejecución y seguimiento en materia de recursos humanos; así como la aplicación de la normatividad que regule el sistema de administración y desarrollo de personal; para lo cual contará con las siguientes atribuciones:</w:t>
      </w:r>
    </w:p>
    <w:p w:rsidR="0019018D" w:rsidRPr="00124739" w:rsidRDefault="0019018D" w:rsidP="002F2DB1">
      <w:pPr>
        <w:pBdr>
          <w:top w:val="nil"/>
          <w:left w:val="nil"/>
          <w:bottom w:val="nil"/>
          <w:right w:val="nil"/>
          <w:between w:val="nil"/>
        </w:pBdr>
        <w:jc w:val="both"/>
        <w:rPr>
          <w:rFonts w:ascii="Palatino Linotype" w:eastAsia="Century Gothic" w:hAnsi="Palatino Linotype" w:cs="Century Gothic"/>
          <w:color w:val="000000"/>
        </w:rPr>
      </w:pP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b/>
          <w:i/>
          <w:color w:val="000000"/>
        </w:rPr>
        <w:t>Artículo 88.-</w:t>
      </w:r>
      <w:r w:rsidRPr="00124739">
        <w:rPr>
          <w:rFonts w:ascii="Palatino Linotype" w:eastAsia="Palatino Linotype" w:hAnsi="Palatino Linotype" w:cs="Palatino Linotype"/>
          <w:i/>
          <w:color w:val="000000"/>
        </w:rPr>
        <w:t xml:space="preserve"> Corresponde a la Subdirección de Recursos Humanos el ejercicio de las siguientes atribuciones:</w:t>
      </w:r>
    </w:p>
    <w:p w:rsidR="0019018D" w:rsidRPr="00124739" w:rsidRDefault="0019018D" w:rsidP="002F2DB1">
      <w:pPr>
        <w:pBdr>
          <w:top w:val="nil"/>
          <w:left w:val="nil"/>
          <w:bottom w:val="nil"/>
          <w:right w:val="nil"/>
          <w:between w:val="nil"/>
        </w:pBdr>
        <w:jc w:val="both"/>
        <w:rPr>
          <w:rFonts w:ascii="Palatino Linotype" w:eastAsia="Palatino Linotype" w:hAnsi="Palatino Linotype" w:cs="Palatino Linotype"/>
          <w:i/>
          <w:color w:val="000000"/>
        </w:rPr>
      </w:pP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I. Analizar y coordinar las solicitudes de empleo que se reciban en el Organismo, conformando una bolsa de trabajo institucional que se relacione con las funciones y atribuciones propias de cada área, a efecto de seleccionar objetivamente los perfiles de cada solicitud;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V. Supervisar y vigilar la integración de la información de altas, bajas y modificaciones en el Sistema de Movimientos del ISSEMYM, de conformidad con los periodos establecidos en la Normatividad aplicable;</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b/>
          <w:i/>
          <w:color w:val="000000"/>
          <w:u w:val="single"/>
        </w:rPr>
        <w:t>VI. Coordinar, vigilar y ejecutar la integración del informe trimestral que se presenta al Órgano Superior de Fiscalización del Estado de México, relacionada con la operación administrativa de la Subdirección</w:t>
      </w:r>
      <w:r w:rsidRPr="00124739">
        <w:rPr>
          <w:rFonts w:ascii="Palatino Linotype" w:eastAsia="Palatino Linotype" w:hAnsi="Palatino Linotype" w:cs="Palatino Linotype"/>
          <w:i/>
          <w:color w:val="000000"/>
        </w:rPr>
        <w:t xml:space="preserve">;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VII. Analizar, vigilar y ejecutar la integración de la información de la Subdirección, que se presenta al Órgano Superior de Fiscalización del Estado de México, relacionado con la cuenta pública;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b/>
          <w:i/>
          <w:color w:val="000000"/>
          <w:u w:val="single"/>
        </w:rPr>
        <w:t xml:space="preserve">VIII. Coordinar y supervisar la aplicación de movimientos de alta, bajas, promociones, transferencias, licencias, cambios de adscripción, credencialización y actualización de datos de los servidores públicos adscritos al Organismo;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IX. Coordinar y supervisar la elaboración y custodia de los documentos e información que integran el archivo de expedientes de los Servidor Público adscrito al Organismo, según la Normatividad aplicable;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X. Planear, programar y coordinar la administración de los recursos destinados al desarrollo de personal del Organismo, a través de capacitación actualización, certificación etc.;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XI. Coordinar y ejecutar la difusión de las políticas, normas y lineamientos determinados por las autoridades competentes y del propio Organismo, para los procesos presupuestales y transferencia de recursos financieros en materia de servicios personales;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b/>
          <w:i/>
          <w:color w:val="000000"/>
          <w:u w:val="single"/>
        </w:rPr>
        <w:t>XII. Coordinar y vigilar la actualización de la plantilla del personal, de acuerdo con la integración, separación, promociones, comisión y cambios de adscripción de los Servidores Públicos adscritos al Organismo;</w:t>
      </w:r>
      <w:r w:rsidRPr="00124739">
        <w:rPr>
          <w:rFonts w:ascii="Palatino Linotype" w:eastAsia="Palatino Linotype" w:hAnsi="Palatino Linotype" w:cs="Palatino Linotype"/>
          <w:i/>
          <w:color w:val="000000"/>
        </w:rPr>
        <w:t xml:space="preserve">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XIII. Organizar la elaboración del anteproyecto de presupuesto y supervisar la ejecución programa de presupuesto anual referente al capítulo de servicios personales y demás capítulos de gasto autorizados del Organismo;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b/>
          <w:i/>
          <w:color w:val="000000"/>
        </w:rPr>
        <w:t>XIV. Supervisar y coordinar el cumplimiento de los lineamientos existentes y vigentes para el pago de remuneraciones y la aplicación del tabulador de puestos autorizado y demás preceptos aplicables sujetos de supervisión de la Subdirección</w:t>
      </w:r>
      <w:r w:rsidRPr="00124739">
        <w:rPr>
          <w:rFonts w:ascii="Palatino Linotype" w:eastAsia="Palatino Linotype" w:hAnsi="Palatino Linotype" w:cs="Palatino Linotype"/>
          <w:i/>
          <w:color w:val="000000"/>
        </w:rPr>
        <w:t xml:space="preserve">;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b/>
          <w:i/>
          <w:color w:val="000000"/>
        </w:rPr>
      </w:pPr>
      <w:r w:rsidRPr="00124739">
        <w:rPr>
          <w:rFonts w:ascii="Palatino Linotype" w:eastAsia="Palatino Linotype" w:hAnsi="Palatino Linotype" w:cs="Palatino Linotype"/>
          <w:b/>
          <w:i/>
          <w:color w:val="000000"/>
        </w:rPr>
        <w:lastRenderedPageBreak/>
        <w:t xml:space="preserve">XV. Gestionar la autorización de la Dirección de Administración y Finanzas, en coordinación con la Subdirección de Finanzas, previo al pago de la nómina, así mismo, determinar la disponibilidad de suficiencia presupuestal con el monto de dicha erogación;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b/>
          <w:i/>
          <w:color w:val="000000"/>
        </w:rPr>
        <w:t>XVI. Coordinar e instruir la atención de las solicitudes, trámites, aclaraciones y la aplicación en el sistema de nómina de las incidencias, deducciones, bonificaciones y demás movimientos, validando su correcta aplicación, de conformidad con la normatividad y procedimientos aplicables</w:t>
      </w:r>
      <w:r w:rsidRPr="00124739">
        <w:rPr>
          <w:rFonts w:ascii="Palatino Linotype" w:eastAsia="Palatino Linotype" w:hAnsi="Palatino Linotype" w:cs="Palatino Linotype"/>
          <w:i/>
          <w:color w:val="000000"/>
        </w:rPr>
        <w:t xml:space="preserve">;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b/>
          <w:i/>
          <w:color w:val="000000"/>
        </w:rPr>
        <w:t xml:space="preserve">XVII. Coordinar los procesos de cierre de nómina y generar los reportes de los movimientos procesados, así como cualquier otro que se desprenda del proceso, para la retroalimentación oportuna con las Unidades Administrativas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b/>
          <w:i/>
          <w:color w:val="000000"/>
        </w:rPr>
        <w:t>XVIII. Vigilar que se lleve a cabo la distribución quincenal de los recibos de nómina de los Servidores Públicos adscritos al Organismo;</w:t>
      </w:r>
      <w:r w:rsidRPr="00124739">
        <w:rPr>
          <w:rFonts w:ascii="Palatino Linotype" w:eastAsia="Palatino Linotype" w:hAnsi="Palatino Linotype" w:cs="Palatino Linotype"/>
          <w:i/>
          <w:color w:val="000000"/>
        </w:rPr>
        <w:t xml:space="preserve">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XIX. Coordinar y supervisar el programa anual de vacaciones para los Servidores Públicos adscritos al Organismo, de conformidad con el calendario oficial;</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w:t>
      </w:r>
    </w:p>
    <w:p w:rsidR="0019018D" w:rsidRPr="00124739" w:rsidRDefault="0019018D" w:rsidP="002F2DB1">
      <w:pPr>
        <w:spacing w:line="360" w:lineRule="auto"/>
        <w:jc w:val="both"/>
        <w:rPr>
          <w:rFonts w:ascii="Palatino Linotype" w:eastAsia="Palatino Linotype" w:hAnsi="Palatino Linotype" w:cs="Palatino Linotype"/>
          <w:i/>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Así mismo, cuentan con el Departamento de Nómina, perteneciente a la Subdirección de Recursos Humanos; siendo la responsable de integrar los soportes documentales del seguimiento administrativo, misma que tiene las siguientes atribuciones de acuerdo al artículo 90 del Reglamento antes mencionado:</w:t>
      </w:r>
    </w:p>
    <w:p w:rsidR="0019018D" w:rsidRPr="00124739" w:rsidRDefault="0019018D" w:rsidP="002F2DB1">
      <w:pPr>
        <w:spacing w:line="360" w:lineRule="auto"/>
        <w:jc w:val="both"/>
        <w:rPr>
          <w:rFonts w:ascii="Palatino Linotype" w:eastAsia="Palatino Linotype" w:hAnsi="Palatino Linotype" w:cs="Palatino Linotype"/>
        </w:rPr>
      </w:pP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b/>
          <w:i/>
        </w:rPr>
        <w:t>Artículo 90.-</w:t>
      </w:r>
      <w:r w:rsidRPr="00124739">
        <w:rPr>
          <w:rFonts w:ascii="Palatino Linotype" w:eastAsia="Palatino Linotype" w:hAnsi="Palatino Linotype" w:cs="Palatino Linotype"/>
          <w:i/>
        </w:rPr>
        <w:t xml:space="preserve"> Corresponde al Departamento de Nómina para el ejercicio de las siguientes atribuciones:</w:t>
      </w:r>
    </w:p>
    <w:p w:rsidR="0019018D" w:rsidRPr="00124739" w:rsidRDefault="0019018D" w:rsidP="002F2DB1">
      <w:pPr>
        <w:jc w:val="both"/>
        <w:rPr>
          <w:rFonts w:ascii="Palatino Linotype" w:eastAsia="Palatino Linotype" w:hAnsi="Palatino Linotype" w:cs="Palatino Linotype"/>
          <w:i/>
        </w:rPr>
      </w:pP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i/>
        </w:rPr>
        <w:t xml:space="preserve">I. Integrar y someter a consideración la autorización de la Dirección de Administración y Finanzas, los lineamientos que permitan dar cumplimiento a los ordenamientos conforme a la normatividad vigente en la materia; así mismo difundirlas para su conocimiento de las Unidades Administrativas del Organismo; </w:t>
      </w: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i/>
        </w:rPr>
        <w:t xml:space="preserve">II. Analizar, elaborar y proponer lineamientos necesarios, a efecto de lograr mejoras administrativas propias de la Subdirección; </w:t>
      </w: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i/>
        </w:rPr>
        <w:lastRenderedPageBreak/>
        <w:t xml:space="preserve">III. Acordar, en conjunto con la Subdirección de Finanzas, el aseguramiento de los recursos presupuestales que permitan cubrir los servicios personales en el Organismo, derivados de las relaciones laborales. Así mismo, conciliar los recursos autorizados y ejercidos, sujetos al capítulo de gasto; </w:t>
      </w:r>
    </w:p>
    <w:p w:rsidR="0019018D" w:rsidRPr="00124739" w:rsidRDefault="008011FF" w:rsidP="002F2DB1">
      <w:pPr>
        <w:jc w:val="both"/>
        <w:rPr>
          <w:rFonts w:ascii="Palatino Linotype" w:eastAsia="Palatino Linotype" w:hAnsi="Palatino Linotype" w:cs="Palatino Linotype"/>
          <w:b/>
          <w:i/>
          <w:u w:val="single"/>
        </w:rPr>
      </w:pPr>
      <w:r w:rsidRPr="00124739">
        <w:rPr>
          <w:rFonts w:ascii="Palatino Linotype" w:eastAsia="Palatino Linotype" w:hAnsi="Palatino Linotype" w:cs="Palatino Linotype"/>
          <w:b/>
          <w:i/>
          <w:u w:val="single"/>
        </w:rPr>
        <w:t xml:space="preserve">IV. Elaborar la integración del informe trimestral que se presenta al Órgano Superior de Fiscalización del Estado de México, relacionada con la operación administrativa de la Subdirección; </w:t>
      </w: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b/>
          <w:i/>
        </w:rPr>
        <w:t>V. Elaborar la integración de la información de la Subdirección, que se presenta al Órgano Superior de Fiscalización del Estado de México, relacionado con la cuenta pública;</w:t>
      </w:r>
      <w:r w:rsidRPr="00124739">
        <w:rPr>
          <w:rFonts w:ascii="Palatino Linotype" w:eastAsia="Palatino Linotype" w:hAnsi="Palatino Linotype" w:cs="Palatino Linotype"/>
          <w:i/>
        </w:rPr>
        <w:t xml:space="preserve"> </w:t>
      </w: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i/>
        </w:rPr>
        <w:t>VI. Ejecutar la aplicación de movimientos de alta, bajas, promociones, transferencias, licencias, cambios de adscripción, credencialización y actualización de datos de los servidores públicos adscritos al Organismo;</w:t>
      </w: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b/>
          <w:i/>
          <w:u w:val="single"/>
        </w:rPr>
        <w:t>VII. Elaborar y custodiar los documentos e información que integran el archivo de expedientes de los Servidor Público adscrito al Organismo, según la Normatividad aplicable;</w:t>
      </w:r>
      <w:r w:rsidRPr="00124739">
        <w:rPr>
          <w:rFonts w:ascii="Palatino Linotype" w:eastAsia="Palatino Linotype" w:hAnsi="Palatino Linotype" w:cs="Palatino Linotype"/>
          <w:i/>
        </w:rPr>
        <w:t xml:space="preserve"> </w:t>
      </w: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i/>
        </w:rPr>
        <w:t xml:space="preserve">VIII. Planear y programar la administración de los recursos destinados al desarrollo de personal del Organismo, a través de capacitación actualización, certificación etc.; </w:t>
      </w: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i/>
        </w:rPr>
        <w:t xml:space="preserve">IX. Llevar a cabo la difusión de las políticas, normas y lineamientos determinados por las autoridades competentes y del propio Organismo, para los procesos presupuestales y transferencia de recursos financieros en materia de servicios personales; </w:t>
      </w:r>
    </w:p>
    <w:p w:rsidR="0019018D" w:rsidRPr="00124739" w:rsidRDefault="008011FF" w:rsidP="002F2DB1">
      <w:pPr>
        <w:jc w:val="both"/>
        <w:rPr>
          <w:rFonts w:ascii="Palatino Linotype" w:eastAsia="Palatino Linotype" w:hAnsi="Palatino Linotype" w:cs="Palatino Linotype"/>
          <w:b/>
          <w:i/>
          <w:u w:val="single"/>
        </w:rPr>
      </w:pPr>
      <w:r w:rsidRPr="00124739">
        <w:rPr>
          <w:rFonts w:ascii="Palatino Linotype" w:eastAsia="Palatino Linotype" w:hAnsi="Palatino Linotype" w:cs="Palatino Linotype"/>
          <w:b/>
          <w:i/>
          <w:u w:val="single"/>
        </w:rPr>
        <w:t xml:space="preserve">X. Integrar la actualización de la plantilla del personal, de acuerdo con la integración, separación, promociones, comisión y cambios de adscripción de los Servidores Públicos adscritos al Organismo; </w:t>
      </w: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i/>
        </w:rPr>
        <w:t xml:space="preserve">XI. Ejecutar la elaboración del anteproyecto de presupuesto y supervisar la ejecución programa del presupuesto anual, referente al capítulo de servicios personales y demás capítulos de gasto autorizados del Organismo; Dar cumplimiento a los lineamientos existentes y vigentes para el pago de remuneraciones y la aplicación del tabulador de puestos autorizado y demás preceptos aplicables sujetos de supervisión de la Subdirección; </w:t>
      </w:r>
      <w:r w:rsidRPr="00124739">
        <w:rPr>
          <w:rFonts w:ascii="Palatino Linotype" w:eastAsia="Palatino Linotype" w:hAnsi="Palatino Linotype" w:cs="Palatino Linotype"/>
          <w:b/>
          <w:i/>
        </w:rPr>
        <w:t>XIII. Gestionar la autorización de la Dirección de Administración y Finanzas, en coordinación con la Subdirección de Finanzas, previo al pago de la nómina, así mismo, determinar la disponibilidad de suficiencia presupuestal con el monto de dicha erogación;</w:t>
      </w:r>
      <w:r w:rsidRPr="00124739">
        <w:rPr>
          <w:rFonts w:ascii="Palatino Linotype" w:eastAsia="Palatino Linotype" w:hAnsi="Palatino Linotype" w:cs="Palatino Linotype"/>
          <w:i/>
        </w:rPr>
        <w:t xml:space="preserve"> </w:t>
      </w:r>
    </w:p>
    <w:p w:rsidR="0019018D" w:rsidRPr="00124739" w:rsidRDefault="008011FF" w:rsidP="002F2DB1">
      <w:pPr>
        <w:jc w:val="both"/>
        <w:rPr>
          <w:rFonts w:ascii="Palatino Linotype" w:eastAsia="Palatino Linotype" w:hAnsi="Palatino Linotype" w:cs="Palatino Linotype"/>
          <w:b/>
          <w:i/>
          <w:u w:val="single"/>
        </w:rPr>
      </w:pPr>
      <w:r w:rsidRPr="00124739">
        <w:rPr>
          <w:rFonts w:ascii="Palatino Linotype" w:eastAsia="Palatino Linotype" w:hAnsi="Palatino Linotype" w:cs="Palatino Linotype"/>
          <w:b/>
          <w:i/>
          <w:u w:val="single"/>
        </w:rPr>
        <w:t xml:space="preserve">XIV. Ejecutar y llevar a cabo la atención de las solicitudes, trámites, aclaraciones y la aplicación en el sistema de nómina de las incidencias, deducciones, bonificaciones y </w:t>
      </w:r>
      <w:r w:rsidRPr="00124739">
        <w:rPr>
          <w:rFonts w:ascii="Palatino Linotype" w:eastAsia="Palatino Linotype" w:hAnsi="Palatino Linotype" w:cs="Palatino Linotype"/>
          <w:b/>
          <w:i/>
          <w:u w:val="single"/>
        </w:rPr>
        <w:lastRenderedPageBreak/>
        <w:t xml:space="preserve">demás movimientos, validando su correcta aplicación, de conformidad con la normatividad y procedimientos aplicables; </w:t>
      </w:r>
    </w:p>
    <w:p w:rsidR="0019018D" w:rsidRPr="00124739" w:rsidRDefault="008011FF" w:rsidP="002F2DB1">
      <w:pPr>
        <w:jc w:val="both"/>
        <w:rPr>
          <w:rFonts w:ascii="Palatino Linotype" w:eastAsia="Palatino Linotype" w:hAnsi="Palatino Linotype" w:cs="Palatino Linotype"/>
          <w:b/>
          <w:i/>
        </w:rPr>
      </w:pPr>
      <w:r w:rsidRPr="00124739">
        <w:rPr>
          <w:rFonts w:ascii="Palatino Linotype" w:eastAsia="Palatino Linotype" w:hAnsi="Palatino Linotype" w:cs="Palatino Linotype"/>
          <w:b/>
          <w:i/>
        </w:rPr>
        <w:t xml:space="preserve">XV. Integrar y ejecutar los procesos de cierre de nómina y generar los reportes de los movimientos procesados, así como, cualquier otro que se desprenda del proceso, para la retroalimentación oportuna con las Unidades Administrativas; </w:t>
      </w: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i/>
        </w:rPr>
        <w:t xml:space="preserve">XVI. Llevar a cabo la distribución quincenal de los recibos de nómina de los Servidores Públicos adscritos al Organismo; </w:t>
      </w: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i/>
        </w:rPr>
        <w:t>(…)</w:t>
      </w:r>
    </w:p>
    <w:p w:rsidR="0019018D" w:rsidRPr="00124739" w:rsidRDefault="0019018D" w:rsidP="002F2DB1">
      <w:pPr>
        <w:spacing w:line="360" w:lineRule="auto"/>
        <w:jc w:val="both"/>
        <w:rPr>
          <w:rFonts w:ascii="Palatino Linotype" w:eastAsia="Palatino Linotype" w:hAnsi="Palatino Linotype" w:cs="Palatino Linotype"/>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De lo antes descrito, se advierte que la Subdirección de Recursos Humanos a través del Departamento de Nómina, es el área encargada de integrar la Plantilla de Personal; así como, el pago de la nómina, debiendo elaborar la integración del informe trimestral que se presenta al Órgano Superior de Fiscalización del Estado de México, relacionada con la operación administrativa de la Subdirección, lo que demuestra que el </w:t>
      </w:r>
      <w:r w:rsidRPr="00124739">
        <w:rPr>
          <w:rFonts w:ascii="Palatino Linotype" w:eastAsia="Palatino Linotype" w:hAnsi="Palatino Linotype" w:cs="Palatino Linotype"/>
          <w:b/>
          <w:color w:val="000000"/>
        </w:rPr>
        <w:t>SUJETO OBLIGADO,</w:t>
      </w:r>
      <w:r w:rsidRPr="00124739">
        <w:rPr>
          <w:rFonts w:ascii="Palatino Linotype" w:eastAsia="Palatino Linotype" w:hAnsi="Palatino Linotype" w:cs="Palatino Linotype"/>
          <w:color w:val="000000"/>
        </w:rPr>
        <w:t xml:space="preserve"> genera, posee y administra, la información requerida por el particular, por tanto es competente para brindar respuesta a la solicitud de información relacionada con el personal que tiene a su cargo. </w:t>
      </w:r>
    </w:p>
    <w:p w:rsidR="0019018D" w:rsidRPr="00124739" w:rsidRDefault="0019018D" w:rsidP="002F2DB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Es así, que para lograr un mejor análisis del expediente en que se actúa, surge la necesidad se exponer el estudio de las documentales que </w:t>
      </w:r>
      <w:r w:rsidR="006C0810" w:rsidRPr="00124739">
        <w:rPr>
          <w:rFonts w:ascii="Palatino Linotype" w:eastAsia="Palatino Linotype" w:hAnsi="Palatino Linotype" w:cs="Palatino Linotype"/>
          <w:color w:val="000000"/>
        </w:rPr>
        <w:t>de manera enunciativa, más no limitativa, podrían colmar lo solicitado por el particular</w:t>
      </w:r>
      <w:r w:rsidRPr="00124739">
        <w:rPr>
          <w:rFonts w:ascii="Palatino Linotype" w:eastAsia="Palatino Linotype" w:hAnsi="Palatino Linotype" w:cs="Palatino Linotype"/>
          <w:color w:val="000000"/>
        </w:rPr>
        <w:t xml:space="preserve">. </w:t>
      </w:r>
    </w:p>
    <w:p w:rsidR="0019018D" w:rsidRPr="00124739" w:rsidRDefault="0019018D" w:rsidP="002F2DB1">
      <w:pPr>
        <w:spacing w:line="360" w:lineRule="auto"/>
        <w:jc w:val="both"/>
        <w:rPr>
          <w:rFonts w:ascii="Palatino Linotype" w:eastAsia="Palatino Linotype" w:hAnsi="Palatino Linotype" w:cs="Palatino Linotype"/>
        </w:rPr>
      </w:pPr>
    </w:p>
    <w:p w:rsidR="0019018D" w:rsidRPr="00124739" w:rsidRDefault="008011FF" w:rsidP="002F2DB1">
      <w:pPr>
        <w:numPr>
          <w:ilvl w:val="0"/>
          <w:numId w:val="5"/>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rPr>
      </w:pPr>
      <w:bookmarkStart w:id="8" w:name="_heading=h.1lk1x6b92q42" w:colFirst="0" w:colLast="0"/>
      <w:bookmarkEnd w:id="8"/>
      <w:r w:rsidRPr="00124739">
        <w:rPr>
          <w:rFonts w:ascii="Palatino Linotype" w:eastAsia="Palatino Linotype" w:hAnsi="Palatino Linotype" w:cs="Palatino Linotype"/>
          <w:b/>
          <w:color w:val="000000"/>
        </w:rPr>
        <w:t>Conciliación de Nómina (Pago)</w:t>
      </w:r>
    </w:p>
    <w:p w:rsidR="0019018D" w:rsidRPr="00124739" w:rsidRDefault="0019018D" w:rsidP="002F2DB1">
      <w:pPr>
        <w:spacing w:line="360" w:lineRule="auto"/>
        <w:jc w:val="both"/>
        <w:rPr>
          <w:rFonts w:ascii="Palatino Linotype" w:eastAsia="Palatino Linotype" w:hAnsi="Palatino Linotype" w:cs="Palatino Linotype"/>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rPr>
      </w:pPr>
      <w:r w:rsidRPr="00124739">
        <w:rPr>
          <w:rFonts w:ascii="Palatino Linotype" w:eastAsia="Palatino Linotype" w:hAnsi="Palatino Linotype" w:cs="Palatino Linotype"/>
        </w:rPr>
        <w:t xml:space="preserve">En ese sentido, sobre la nómina nos lleva a precisar que en nuestra legislación del Estado de México no existe como tal una definición de “nómina”; sin embargo, el </w:t>
      </w:r>
      <w:r w:rsidRPr="00124739">
        <w:rPr>
          <w:rFonts w:ascii="Palatino Linotype" w:eastAsia="Palatino Linotype" w:hAnsi="Palatino Linotype" w:cs="Palatino Linotype"/>
        </w:rPr>
        <w:lastRenderedPageBreak/>
        <w:t xml:space="preserve">“Glosario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124739">
        <w:rPr>
          <w:rFonts w:ascii="Palatino Linotype" w:eastAsia="Palatino Linotype" w:hAnsi="Palatino Linotype" w:cs="Palatino Linotype"/>
        </w:rPr>
        <w:t>Presupuestación</w:t>
      </w:r>
      <w:proofErr w:type="spellEnd"/>
      <w:r w:rsidRPr="00124739">
        <w:rPr>
          <w:rFonts w:ascii="Palatino Linotype" w:eastAsia="Palatino Linotype" w:hAnsi="Palatino Linotype" w:cs="Palatino Linotype"/>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19018D" w:rsidRPr="00124739" w:rsidRDefault="0019018D" w:rsidP="002F2DB1">
      <w:pPr>
        <w:spacing w:line="360" w:lineRule="auto"/>
        <w:jc w:val="both"/>
        <w:rPr>
          <w:rFonts w:ascii="Palatino Linotype" w:eastAsia="Palatino Linotype" w:hAnsi="Palatino Linotype" w:cs="Palatino Linotype"/>
        </w:rPr>
      </w:pP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b/>
          <w:i/>
        </w:rPr>
        <w:t xml:space="preserve">“NÓMINA </w:t>
      </w:r>
      <w:r w:rsidRPr="00124739">
        <w:rPr>
          <w:rFonts w:ascii="Palatino Linotype" w:eastAsia="Palatino Linotype" w:hAnsi="Palatino Linotype" w:cs="Palatino Linotype"/>
          <w:i/>
        </w:rPr>
        <w:t>Listado general de los trabajadores de una institución, en</w:t>
      </w:r>
      <w:r w:rsidRPr="00124739">
        <w:rPr>
          <w:rFonts w:ascii="Palatino Linotype" w:eastAsia="Palatino Linotype" w:hAnsi="Palatino Linotype" w:cs="Palatino Linotype"/>
          <w:b/>
          <w:i/>
        </w:rPr>
        <w:t xml:space="preserve"> </w:t>
      </w:r>
      <w:r w:rsidRPr="00124739">
        <w:rPr>
          <w:rFonts w:ascii="Palatino Linotype" w:eastAsia="Palatino Linotype" w:hAnsi="Palatino Linotype" w:cs="Palatino Linotype"/>
          <w:i/>
        </w:rPr>
        <w:t>el cual se asientan las percepciones brutas, deducciones y</w:t>
      </w:r>
      <w:r w:rsidRPr="00124739">
        <w:rPr>
          <w:rFonts w:ascii="Palatino Linotype" w:eastAsia="Palatino Linotype" w:hAnsi="Palatino Linotype" w:cs="Palatino Linotype"/>
          <w:b/>
          <w:i/>
        </w:rPr>
        <w:t xml:space="preserve"> </w:t>
      </w:r>
      <w:r w:rsidRPr="00124739">
        <w:rPr>
          <w:rFonts w:ascii="Palatino Linotype" w:eastAsia="Palatino Linotype" w:hAnsi="Palatino Linotype" w:cs="Palatino Linotype"/>
          <w:i/>
        </w:rPr>
        <w:t>alcance neto de las mismas; la nómina es utilizada para</w:t>
      </w:r>
      <w:r w:rsidRPr="00124739">
        <w:rPr>
          <w:rFonts w:ascii="Palatino Linotype" w:eastAsia="Palatino Linotype" w:hAnsi="Palatino Linotype" w:cs="Palatino Linotype"/>
          <w:b/>
          <w:i/>
        </w:rPr>
        <w:t xml:space="preserve"> </w:t>
      </w:r>
      <w:r w:rsidRPr="00124739">
        <w:rPr>
          <w:rFonts w:ascii="Palatino Linotype" w:eastAsia="Palatino Linotype" w:hAnsi="Palatino Linotype" w:cs="Palatino Linotype"/>
          <w:i/>
        </w:rPr>
        <w:t>efectuar los pagos periódicos (semanales, quincenales o</w:t>
      </w:r>
      <w:r w:rsidRPr="00124739">
        <w:rPr>
          <w:rFonts w:ascii="Palatino Linotype" w:eastAsia="Palatino Linotype" w:hAnsi="Palatino Linotype" w:cs="Palatino Linotype"/>
          <w:b/>
          <w:i/>
        </w:rPr>
        <w:t xml:space="preserve"> </w:t>
      </w:r>
      <w:r w:rsidRPr="00124739">
        <w:rPr>
          <w:rFonts w:ascii="Palatino Linotype" w:eastAsia="Palatino Linotype" w:hAnsi="Palatino Linotype" w:cs="Palatino Linotype"/>
          <w:i/>
        </w:rPr>
        <w:t>mensuales) a los trabajadores por concepto de sueldos y</w:t>
      </w:r>
      <w:r w:rsidRPr="00124739">
        <w:rPr>
          <w:rFonts w:ascii="Palatino Linotype" w:eastAsia="Palatino Linotype" w:hAnsi="Palatino Linotype" w:cs="Palatino Linotype"/>
          <w:b/>
          <w:i/>
        </w:rPr>
        <w:t xml:space="preserve"> </w:t>
      </w:r>
      <w:r w:rsidRPr="00124739">
        <w:rPr>
          <w:rFonts w:ascii="Palatino Linotype" w:eastAsia="Palatino Linotype" w:hAnsi="Palatino Linotype" w:cs="Palatino Linotype"/>
          <w:i/>
        </w:rPr>
        <w:t>salarios.”(Sic)</w:t>
      </w:r>
    </w:p>
    <w:p w:rsidR="0019018D" w:rsidRPr="00124739" w:rsidRDefault="0019018D" w:rsidP="002F2DB1">
      <w:pPr>
        <w:spacing w:line="360" w:lineRule="auto"/>
        <w:jc w:val="both"/>
        <w:rPr>
          <w:rFonts w:ascii="Palatino Linotype" w:eastAsia="Palatino Linotype" w:hAnsi="Palatino Linotype" w:cs="Palatino Linotype"/>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rPr>
      </w:pPr>
      <w:r w:rsidRPr="00124739">
        <w:rPr>
          <w:rFonts w:ascii="Palatino Linotype" w:eastAsia="Palatino Linotype" w:hAnsi="Palatino Linotype" w:cs="Palatino Linotype"/>
        </w:rPr>
        <w:t xml:space="preserve">En base a lo anterior, conviene a traer lo establecido por el artículo 804, fracción II, de la Ley Federal de Trabajo, el cual a la letra establece: </w:t>
      </w:r>
    </w:p>
    <w:p w:rsidR="0019018D" w:rsidRPr="00124739" w:rsidRDefault="0019018D" w:rsidP="002F2DB1">
      <w:pPr>
        <w:jc w:val="both"/>
        <w:rPr>
          <w:rFonts w:ascii="Palatino Linotype" w:eastAsia="Palatino Linotype" w:hAnsi="Palatino Linotype" w:cs="Palatino Linotype"/>
          <w:i/>
        </w:rPr>
      </w:pP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i/>
        </w:rPr>
        <w:t>“</w:t>
      </w:r>
      <w:r w:rsidRPr="00124739">
        <w:rPr>
          <w:rFonts w:ascii="Palatino Linotype" w:eastAsia="Palatino Linotype" w:hAnsi="Palatino Linotype" w:cs="Palatino Linotype"/>
          <w:b/>
          <w:i/>
        </w:rPr>
        <w:t>Artículo 804.-</w:t>
      </w:r>
      <w:r w:rsidRPr="00124739">
        <w:rPr>
          <w:rFonts w:ascii="Palatino Linotype" w:eastAsia="Palatino Linotype" w:hAnsi="Palatino Linotype" w:cs="Palatino Linotype"/>
          <w:i/>
        </w:rPr>
        <w:t xml:space="preserve"> </w:t>
      </w:r>
      <w:r w:rsidRPr="00124739">
        <w:rPr>
          <w:rFonts w:ascii="Palatino Linotype" w:eastAsia="Palatino Linotype" w:hAnsi="Palatino Linotype" w:cs="Palatino Linotype"/>
          <w:b/>
          <w:i/>
        </w:rPr>
        <w:t>El patrón tiene obligación de conservar y exhibir en juicio los documentos que a continuación se precisan</w:t>
      </w:r>
      <w:r w:rsidRPr="00124739">
        <w:rPr>
          <w:rFonts w:ascii="Palatino Linotype" w:eastAsia="Palatino Linotype" w:hAnsi="Palatino Linotype" w:cs="Palatino Linotype"/>
          <w:i/>
        </w:rPr>
        <w:t>:</w:t>
      </w:r>
    </w:p>
    <w:p w:rsidR="0019018D" w:rsidRPr="00124739" w:rsidRDefault="0019018D" w:rsidP="002F2DB1">
      <w:pPr>
        <w:jc w:val="both"/>
        <w:rPr>
          <w:rFonts w:ascii="Palatino Linotype" w:eastAsia="Palatino Linotype" w:hAnsi="Palatino Linotype" w:cs="Palatino Linotype"/>
          <w:i/>
        </w:rPr>
      </w:pPr>
    </w:p>
    <w:p w:rsidR="0019018D" w:rsidRPr="00124739" w:rsidRDefault="008011FF" w:rsidP="002F2DB1">
      <w:pPr>
        <w:jc w:val="both"/>
        <w:rPr>
          <w:rFonts w:ascii="Palatino Linotype" w:eastAsia="Palatino Linotype" w:hAnsi="Palatino Linotype" w:cs="Palatino Linotype"/>
          <w:b/>
          <w:i/>
        </w:rPr>
      </w:pPr>
      <w:r w:rsidRPr="00124739">
        <w:rPr>
          <w:rFonts w:ascii="Palatino Linotype" w:eastAsia="Palatino Linotype" w:hAnsi="Palatino Linotype" w:cs="Palatino Linotype"/>
          <w:b/>
          <w:i/>
        </w:rPr>
        <w:t>II.</w:t>
      </w:r>
      <w:r w:rsidRPr="00124739">
        <w:rPr>
          <w:rFonts w:ascii="Palatino Linotype" w:eastAsia="Palatino Linotype" w:hAnsi="Palatino Linotype" w:cs="Palatino Linotype"/>
          <w:i/>
        </w:rPr>
        <w:t xml:space="preserve"> </w:t>
      </w:r>
      <w:r w:rsidRPr="00124739">
        <w:rPr>
          <w:rFonts w:ascii="Palatino Linotype" w:eastAsia="Palatino Linotype" w:hAnsi="Palatino Linotype" w:cs="Palatino Linotype"/>
          <w:b/>
          <w:i/>
        </w:rPr>
        <w:t>Listas de raya o nómina de personal</w:t>
      </w:r>
      <w:r w:rsidRPr="00124739">
        <w:rPr>
          <w:rFonts w:ascii="Palatino Linotype" w:eastAsia="Palatino Linotype" w:hAnsi="Palatino Linotype" w:cs="Palatino Linotype"/>
          <w:i/>
        </w:rPr>
        <w:t xml:space="preserve">, </w:t>
      </w:r>
      <w:r w:rsidRPr="00124739">
        <w:rPr>
          <w:rFonts w:ascii="Palatino Linotype" w:eastAsia="Palatino Linotype" w:hAnsi="Palatino Linotype" w:cs="Palatino Linotype"/>
          <w:b/>
          <w:i/>
        </w:rPr>
        <w:t xml:space="preserve">cuando se lleven en el centro de trabajo; o recibos de pagos de salarios; </w:t>
      </w: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i/>
        </w:rPr>
        <w:t>(…)</w:t>
      </w:r>
    </w:p>
    <w:p w:rsidR="0019018D" w:rsidRPr="00124739" w:rsidRDefault="008011FF" w:rsidP="002F2DB1">
      <w:pPr>
        <w:jc w:val="both"/>
        <w:rPr>
          <w:rFonts w:ascii="Palatino Linotype" w:eastAsia="Palatino Linotype" w:hAnsi="Palatino Linotype" w:cs="Palatino Linotype"/>
          <w:i/>
        </w:rPr>
      </w:pPr>
      <w:r w:rsidRPr="00124739">
        <w:rPr>
          <w:rFonts w:ascii="Palatino Linotype" w:eastAsia="Palatino Linotype" w:hAnsi="Palatino Linotype" w:cs="Palatino Linotype"/>
          <w:i/>
        </w:rPr>
        <w:t xml:space="preserve">Los documentos señalados en la fracción I deberán conservarse mientras dure la relación laboral y hasta un año después; </w:t>
      </w:r>
      <w:r w:rsidRPr="00124739">
        <w:rPr>
          <w:rFonts w:ascii="Palatino Linotype" w:eastAsia="Palatino Linotype" w:hAnsi="Palatino Linotype" w:cs="Palatino Linotype"/>
          <w:b/>
          <w:i/>
        </w:rPr>
        <w:t>los señalados en las fracciones II, III y IV, durante el último año y un año después de que se extinga la relación laboral</w:t>
      </w:r>
      <w:r w:rsidRPr="00124739">
        <w:rPr>
          <w:rFonts w:ascii="Palatino Linotype" w:eastAsia="Palatino Linotype" w:hAnsi="Palatino Linotype" w:cs="Palatino Linotype"/>
          <w:i/>
        </w:rPr>
        <w:t>; y los mencionados en la fracción V, conforme lo señalen las Leyes que los rijan.” (Sic)</w:t>
      </w:r>
    </w:p>
    <w:p w:rsidR="0019018D" w:rsidRPr="00124739" w:rsidRDefault="0019018D" w:rsidP="002F2DB1">
      <w:pPr>
        <w:jc w:val="both"/>
        <w:rPr>
          <w:rFonts w:ascii="Palatino Linotype" w:eastAsia="Palatino Linotype" w:hAnsi="Palatino Linotype" w:cs="Palatino Linotype"/>
          <w:i/>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rPr>
      </w:pPr>
      <w:r w:rsidRPr="00124739">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19018D" w:rsidRPr="00124739" w:rsidRDefault="0019018D" w:rsidP="002F2DB1">
      <w:pPr>
        <w:spacing w:line="360" w:lineRule="auto"/>
        <w:jc w:val="both"/>
        <w:rPr>
          <w:rFonts w:ascii="Palatino Linotype" w:eastAsia="Palatino Linotype" w:hAnsi="Palatino Linotype" w:cs="Palatino Linotype"/>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rPr>
      </w:pPr>
      <w:r w:rsidRPr="00124739">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rsidR="0019018D" w:rsidRPr="00124739" w:rsidRDefault="008011FF" w:rsidP="002F2DB1">
      <w:pPr>
        <w:tabs>
          <w:tab w:val="left" w:pos="9072"/>
        </w:tabs>
        <w:spacing w:before="240"/>
        <w:jc w:val="both"/>
        <w:rPr>
          <w:rFonts w:ascii="Palatino Linotype" w:eastAsia="Palatino Linotype" w:hAnsi="Palatino Linotype" w:cs="Palatino Linotype"/>
          <w:i/>
        </w:rPr>
      </w:pPr>
      <w:r w:rsidRPr="00124739">
        <w:rPr>
          <w:rFonts w:ascii="Palatino Linotype" w:eastAsia="Palatino Linotype" w:hAnsi="Palatino Linotype" w:cs="Palatino Linotype"/>
          <w:b/>
          <w:i/>
        </w:rPr>
        <w:t>“ARTÍCULO 220 K.-</w:t>
      </w:r>
      <w:r w:rsidRPr="00124739">
        <w:rPr>
          <w:rFonts w:ascii="Palatino Linotype" w:eastAsia="Palatino Linotype" w:hAnsi="Palatino Linotype" w:cs="Palatino Linotype"/>
          <w:i/>
        </w:rPr>
        <w:t xml:space="preserve"> La </w:t>
      </w:r>
      <w:r w:rsidRPr="00124739">
        <w:rPr>
          <w:rFonts w:ascii="Palatino Linotype" w:eastAsia="Palatino Linotype" w:hAnsi="Palatino Linotype" w:cs="Palatino Linotype"/>
          <w:b/>
          <w:i/>
        </w:rPr>
        <w:t>institución o dependencia pública tiene la obligación de conservar y exhibir en el proceso los documentos que a continuación</w:t>
      </w:r>
      <w:r w:rsidRPr="00124739">
        <w:rPr>
          <w:rFonts w:ascii="Palatino Linotype" w:eastAsia="Palatino Linotype" w:hAnsi="Palatino Linotype" w:cs="Palatino Linotype"/>
          <w:i/>
        </w:rPr>
        <w:t xml:space="preserve"> </w:t>
      </w:r>
      <w:r w:rsidRPr="00124739">
        <w:rPr>
          <w:rFonts w:ascii="Palatino Linotype" w:eastAsia="Palatino Linotype" w:hAnsi="Palatino Linotype" w:cs="Palatino Linotype"/>
          <w:b/>
          <w:i/>
        </w:rPr>
        <w:t>se precisan</w:t>
      </w:r>
      <w:r w:rsidRPr="00124739">
        <w:rPr>
          <w:rFonts w:ascii="Palatino Linotype" w:eastAsia="Palatino Linotype" w:hAnsi="Palatino Linotype" w:cs="Palatino Linotype"/>
          <w:i/>
        </w:rPr>
        <w:t>:</w:t>
      </w:r>
    </w:p>
    <w:p w:rsidR="0019018D" w:rsidRPr="00124739" w:rsidRDefault="008011FF" w:rsidP="002F2DB1">
      <w:pPr>
        <w:tabs>
          <w:tab w:val="left" w:pos="9072"/>
        </w:tabs>
        <w:jc w:val="both"/>
        <w:rPr>
          <w:rFonts w:ascii="Palatino Linotype" w:eastAsia="Palatino Linotype" w:hAnsi="Palatino Linotype" w:cs="Palatino Linotype"/>
          <w:i/>
        </w:rPr>
      </w:pPr>
      <w:r w:rsidRPr="00124739">
        <w:rPr>
          <w:rFonts w:ascii="Palatino Linotype" w:eastAsia="Palatino Linotype" w:hAnsi="Palatino Linotype" w:cs="Palatino Linotype"/>
          <w:i/>
        </w:rPr>
        <w:t>…</w:t>
      </w:r>
    </w:p>
    <w:p w:rsidR="0019018D" w:rsidRPr="00124739" w:rsidRDefault="008011FF" w:rsidP="002F2DB1">
      <w:pPr>
        <w:tabs>
          <w:tab w:val="left" w:pos="9072"/>
        </w:tabs>
        <w:jc w:val="both"/>
        <w:rPr>
          <w:rFonts w:ascii="Palatino Linotype" w:eastAsia="Palatino Linotype" w:hAnsi="Palatino Linotype" w:cs="Palatino Linotype"/>
          <w:b/>
          <w:i/>
        </w:rPr>
      </w:pPr>
      <w:r w:rsidRPr="00124739">
        <w:rPr>
          <w:rFonts w:ascii="Palatino Linotype" w:eastAsia="Palatino Linotype" w:hAnsi="Palatino Linotype" w:cs="Palatino Linotype"/>
          <w:i/>
        </w:rPr>
        <w:t xml:space="preserve">II. </w:t>
      </w:r>
      <w:r w:rsidRPr="00124739">
        <w:rPr>
          <w:rFonts w:ascii="Palatino Linotype" w:eastAsia="Palatino Linotype" w:hAnsi="Palatino Linotype" w:cs="Palatino Linotype"/>
          <w:b/>
          <w:i/>
        </w:rPr>
        <w:t>Recibos de pagos de salarios o</w:t>
      </w:r>
      <w:r w:rsidRPr="00124739">
        <w:rPr>
          <w:rFonts w:ascii="Palatino Linotype" w:eastAsia="Palatino Linotype" w:hAnsi="Palatino Linotype" w:cs="Palatino Linotype"/>
          <w:i/>
        </w:rPr>
        <w:t xml:space="preserve"> </w:t>
      </w:r>
      <w:r w:rsidRPr="00124739">
        <w:rPr>
          <w:rFonts w:ascii="Palatino Linotype" w:eastAsia="Palatino Linotype" w:hAnsi="Palatino Linotype" w:cs="Palatino Linotype"/>
          <w:b/>
          <w:i/>
        </w:rPr>
        <w:t>las constancias documentales del pago de salario</w:t>
      </w:r>
      <w:r w:rsidRPr="00124739">
        <w:rPr>
          <w:rFonts w:ascii="Palatino Linotype" w:eastAsia="Palatino Linotype" w:hAnsi="Palatino Linotype" w:cs="Palatino Linotype"/>
          <w:i/>
        </w:rPr>
        <w:t xml:space="preserve"> </w:t>
      </w:r>
      <w:r w:rsidRPr="00124739">
        <w:rPr>
          <w:rFonts w:ascii="Palatino Linotype" w:eastAsia="Palatino Linotype" w:hAnsi="Palatino Linotype" w:cs="Palatino Linotype"/>
          <w:b/>
          <w:i/>
        </w:rPr>
        <w:t xml:space="preserve">cuando </w:t>
      </w:r>
      <w:r w:rsidRPr="00124739">
        <w:rPr>
          <w:rFonts w:ascii="Palatino Linotype" w:eastAsia="Palatino Linotype" w:hAnsi="Palatino Linotype" w:cs="Palatino Linotype"/>
          <w:b/>
          <w:i/>
          <w:u w:val="single"/>
        </w:rPr>
        <w:t>sea por depósito o mediante información electrónica</w:t>
      </w:r>
      <w:r w:rsidRPr="00124739">
        <w:rPr>
          <w:rFonts w:ascii="Palatino Linotype" w:eastAsia="Palatino Linotype" w:hAnsi="Palatino Linotype" w:cs="Palatino Linotype"/>
          <w:b/>
          <w:i/>
        </w:rPr>
        <w:t>;</w:t>
      </w:r>
    </w:p>
    <w:p w:rsidR="0019018D" w:rsidRPr="00124739" w:rsidRDefault="008011FF" w:rsidP="002F2DB1">
      <w:pPr>
        <w:tabs>
          <w:tab w:val="left" w:pos="9072"/>
        </w:tabs>
        <w:jc w:val="both"/>
        <w:rPr>
          <w:rFonts w:ascii="Palatino Linotype" w:eastAsia="Palatino Linotype" w:hAnsi="Palatino Linotype" w:cs="Palatino Linotype"/>
          <w:i/>
        </w:rPr>
      </w:pPr>
      <w:r w:rsidRPr="00124739">
        <w:rPr>
          <w:rFonts w:ascii="Palatino Linotype" w:eastAsia="Palatino Linotype" w:hAnsi="Palatino Linotype" w:cs="Palatino Linotype"/>
          <w:i/>
        </w:rPr>
        <w:t>…</w:t>
      </w:r>
    </w:p>
    <w:p w:rsidR="0019018D" w:rsidRPr="00124739" w:rsidRDefault="008011FF" w:rsidP="002F2DB1">
      <w:pPr>
        <w:tabs>
          <w:tab w:val="left" w:pos="9072"/>
        </w:tabs>
        <w:jc w:val="both"/>
        <w:rPr>
          <w:rFonts w:ascii="Palatino Linotype" w:eastAsia="Palatino Linotype" w:hAnsi="Palatino Linotype" w:cs="Palatino Linotype"/>
          <w:i/>
        </w:rPr>
      </w:pPr>
      <w:r w:rsidRPr="00124739">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19018D" w:rsidRPr="00124739" w:rsidRDefault="008011FF" w:rsidP="002F2DB1">
      <w:pPr>
        <w:tabs>
          <w:tab w:val="left" w:pos="9072"/>
        </w:tabs>
        <w:jc w:val="both"/>
        <w:rPr>
          <w:rFonts w:ascii="Palatino Linotype" w:eastAsia="Palatino Linotype" w:hAnsi="Palatino Linotype" w:cs="Palatino Linotype"/>
          <w:i/>
        </w:rPr>
      </w:pPr>
      <w:r w:rsidRPr="00124739">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19018D" w:rsidRPr="00124739" w:rsidRDefault="0019018D" w:rsidP="002F2DB1">
      <w:pPr>
        <w:tabs>
          <w:tab w:val="left" w:pos="9072"/>
        </w:tabs>
        <w:jc w:val="both"/>
        <w:rPr>
          <w:rFonts w:ascii="Palatino Linotype" w:eastAsia="Palatino Linotype" w:hAnsi="Palatino Linotype" w:cs="Palatino Linotype"/>
          <w:i/>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rPr>
      </w:pPr>
      <w:r w:rsidRPr="00124739">
        <w:rPr>
          <w:rFonts w:ascii="Palatino Linotype" w:eastAsia="Palatino Linotype" w:hAnsi="Palatino Linotype" w:cs="Palatino Linotype"/>
        </w:rPr>
        <w:t xml:space="preserve">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w:t>
      </w:r>
      <w:r w:rsidRPr="00124739">
        <w:rPr>
          <w:rFonts w:ascii="Palatino Linotype" w:eastAsia="Palatino Linotype" w:hAnsi="Palatino Linotype" w:cs="Palatino Linotype"/>
        </w:rPr>
        <w:lastRenderedPageBreak/>
        <w:t>laboral a través de los sistemas de digitalización o de información magnética o electrónica.</w:t>
      </w:r>
    </w:p>
    <w:p w:rsidR="0019018D" w:rsidRPr="00124739" w:rsidRDefault="0019018D" w:rsidP="002F2DB1">
      <w:pPr>
        <w:spacing w:line="360" w:lineRule="auto"/>
        <w:jc w:val="both"/>
        <w:rPr>
          <w:rFonts w:ascii="Palatino Linotype" w:eastAsia="Palatino Linotype" w:hAnsi="Palatino Linotype" w:cs="Palatino Linotype"/>
        </w:rPr>
      </w:pPr>
    </w:p>
    <w:p w:rsidR="0019018D" w:rsidRPr="00124739" w:rsidRDefault="008011FF" w:rsidP="002F2DB1">
      <w:pPr>
        <w:numPr>
          <w:ilvl w:val="0"/>
          <w:numId w:val="1"/>
        </w:numPr>
        <w:spacing w:line="360" w:lineRule="auto"/>
        <w:ind w:left="0" w:firstLine="0"/>
        <w:jc w:val="both"/>
        <w:rPr>
          <w:rFonts w:ascii="Palatino Linotype" w:hAnsi="Palatino Linotype"/>
        </w:rPr>
      </w:pPr>
      <w:r w:rsidRPr="00124739">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124739">
        <w:rPr>
          <w:rFonts w:ascii="Palatino Linotype" w:eastAsia="Palatino Linotype" w:hAnsi="Palatino Linotype" w:cs="Palatino Linotype"/>
          <w:b/>
        </w:rPr>
        <w:t>SUJETO OBLIGADO</w:t>
      </w:r>
      <w:r w:rsidRPr="00124739">
        <w:rPr>
          <w:rFonts w:ascii="Palatino Linotype" w:eastAsia="Palatino Linotype" w:hAnsi="Palatino Linotype" w:cs="Palatino Linotype"/>
        </w:rPr>
        <w:t>,</w:t>
      </w:r>
      <w:r w:rsidRPr="00124739">
        <w:rPr>
          <w:rFonts w:ascii="Palatino Linotype" w:hAnsi="Palatino Linotype"/>
        </w:rPr>
        <w:t xml:space="preserve"> </w:t>
      </w:r>
      <w:r w:rsidRPr="00124739">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rsidR="0019018D" w:rsidRPr="00124739" w:rsidRDefault="008011FF" w:rsidP="002F2DB1">
      <w:pPr>
        <w:spacing w:before="240"/>
        <w:jc w:val="both"/>
        <w:rPr>
          <w:rFonts w:ascii="Palatino Linotype" w:eastAsia="Palatino Linotype" w:hAnsi="Palatino Linotype" w:cs="Palatino Linotype"/>
          <w:i/>
        </w:rPr>
      </w:pPr>
      <w:r w:rsidRPr="00124739">
        <w:rPr>
          <w:rFonts w:ascii="Palatino Linotype" w:eastAsia="Palatino Linotype" w:hAnsi="Palatino Linotype" w:cs="Palatino Linotype"/>
          <w:i/>
        </w:rPr>
        <w:t>Artículo 4.- Son sujetos de fiscalización:</w:t>
      </w:r>
    </w:p>
    <w:p w:rsidR="0019018D" w:rsidRPr="00124739" w:rsidRDefault="008011FF" w:rsidP="002F2DB1">
      <w:pPr>
        <w:numPr>
          <w:ilvl w:val="1"/>
          <w:numId w:val="1"/>
        </w:numPr>
        <w:pBdr>
          <w:top w:val="nil"/>
          <w:left w:val="nil"/>
          <w:bottom w:val="nil"/>
          <w:right w:val="nil"/>
          <w:between w:val="nil"/>
        </w:pBdr>
        <w:spacing w:before="240"/>
        <w:ind w:left="0"/>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Los Poderes Públicos del Estado;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b/>
          <w:i/>
          <w:color w:val="000000"/>
        </w:rPr>
      </w:pPr>
      <w:r w:rsidRPr="00124739">
        <w:rPr>
          <w:rFonts w:ascii="Palatino Linotype" w:eastAsia="Palatino Linotype" w:hAnsi="Palatino Linotype" w:cs="Palatino Linotype"/>
          <w:b/>
          <w:i/>
          <w:color w:val="000000"/>
        </w:rPr>
        <w:t xml:space="preserve">II. Los municipios del Estado de México;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III. Los organismos autónomos;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IV. Los organismos auxiliares;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V. Los fideicomisos previstos en el artículo 3 fracción XVII del Código Financiero del Estado de México y Municipios, y aquellos que manejen recursos del Estado, Municipios, o en su caso provenientes de la federación;</w:t>
      </w:r>
      <w:r w:rsidRPr="00124739">
        <w:rPr>
          <w:rFonts w:ascii="Palatino Linotype" w:hAnsi="Palatino Linotype"/>
          <w:color w:val="000000"/>
        </w:rPr>
        <w:t xml:space="preserve"> </w:t>
      </w:r>
    </w:p>
    <w:p w:rsidR="0019018D" w:rsidRPr="00124739" w:rsidRDefault="008011FF" w:rsidP="002F2DB1">
      <w:pPr>
        <w:pBdr>
          <w:top w:val="nil"/>
          <w:left w:val="nil"/>
          <w:bottom w:val="nil"/>
          <w:right w:val="nil"/>
          <w:between w:val="nil"/>
        </w:pBdr>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19018D" w:rsidRPr="00124739" w:rsidRDefault="0019018D" w:rsidP="002F2DB1">
      <w:pPr>
        <w:pBdr>
          <w:top w:val="nil"/>
          <w:left w:val="nil"/>
          <w:bottom w:val="nil"/>
          <w:right w:val="nil"/>
          <w:between w:val="nil"/>
        </w:pBdr>
        <w:jc w:val="both"/>
        <w:rPr>
          <w:rFonts w:ascii="Palatino Linotype" w:eastAsia="Palatino Linotype" w:hAnsi="Palatino Linotype" w:cs="Palatino Linotype"/>
          <w:i/>
          <w:color w:val="000000"/>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Establecido </w:t>
      </w:r>
      <w:r w:rsidRPr="00124739">
        <w:rPr>
          <w:rFonts w:ascii="Palatino Linotype" w:eastAsia="Palatino Linotype" w:hAnsi="Palatino Linotype" w:cs="Palatino Linotype"/>
        </w:rPr>
        <w:t>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rsidR="0019018D" w:rsidRPr="00124739" w:rsidRDefault="0019018D" w:rsidP="002F2DB1">
      <w:pPr>
        <w:spacing w:line="360" w:lineRule="auto"/>
        <w:jc w:val="both"/>
        <w:rPr>
          <w:rFonts w:ascii="Palatino Linotype" w:eastAsia="Palatino Linotype" w:hAnsi="Palatino Linotype" w:cs="Palatino Linotype"/>
          <w:color w:val="000000"/>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Estas políticas </w:t>
      </w:r>
      <w:r w:rsidRPr="00124739">
        <w:rPr>
          <w:rFonts w:ascii="Palatino Linotype" w:eastAsia="Palatino Linotype" w:hAnsi="Palatino Linotype" w:cs="Palatino Linotype"/>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rsidR="0019018D" w:rsidRPr="00124739" w:rsidRDefault="0019018D" w:rsidP="002F2DB1">
      <w:pPr>
        <w:pBdr>
          <w:top w:val="nil"/>
          <w:left w:val="nil"/>
          <w:bottom w:val="nil"/>
          <w:right w:val="nil"/>
          <w:between w:val="nil"/>
        </w:pBdr>
        <w:rPr>
          <w:rFonts w:ascii="Palatino Linotype" w:eastAsia="Palatino Linotype" w:hAnsi="Palatino Linotype" w:cs="Palatino Linotype"/>
          <w:color w:val="000000"/>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La </w:t>
      </w:r>
      <w:r w:rsidRPr="00124739">
        <w:rPr>
          <w:rFonts w:ascii="Palatino Linotype" w:eastAsia="Palatino Linotype" w:hAnsi="Palatino Linotype" w:cs="Palatino Linotype"/>
        </w:rPr>
        <w:t>integración del Informe Trimestral se entregará de manera física al Órgano Superior de Fiscalización del Estado de México, y estará compuesto de la siguiente manera:</w:t>
      </w:r>
    </w:p>
    <w:p w:rsidR="0019018D" w:rsidRPr="00124739" w:rsidRDefault="008011FF" w:rsidP="002F2DB1">
      <w:pPr>
        <w:numPr>
          <w:ilvl w:val="1"/>
          <w:numId w:val="1"/>
        </w:numPr>
        <w:pBdr>
          <w:top w:val="nil"/>
          <w:left w:val="nil"/>
          <w:bottom w:val="nil"/>
          <w:right w:val="nil"/>
          <w:between w:val="nil"/>
        </w:pBdr>
        <w:tabs>
          <w:tab w:val="left" w:pos="426"/>
        </w:tabs>
        <w:spacing w:before="240" w:line="360" w:lineRule="auto"/>
        <w:ind w:left="0"/>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Información impresa; e</w:t>
      </w:r>
    </w:p>
    <w:p w:rsidR="0019018D" w:rsidRPr="00124739" w:rsidRDefault="008011FF" w:rsidP="002F2DB1">
      <w:pPr>
        <w:numPr>
          <w:ilvl w:val="1"/>
          <w:numId w:val="1"/>
        </w:numPr>
        <w:pBdr>
          <w:top w:val="nil"/>
          <w:left w:val="nil"/>
          <w:bottom w:val="nil"/>
          <w:right w:val="nil"/>
          <w:between w:val="nil"/>
        </w:pBdr>
        <w:tabs>
          <w:tab w:val="left" w:pos="426"/>
        </w:tabs>
        <w:spacing w:line="360" w:lineRule="auto"/>
        <w:ind w:left="0"/>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Información en medio de almacenamiento electrónico.</w:t>
      </w:r>
    </w:p>
    <w:p w:rsidR="0019018D" w:rsidRPr="00124739" w:rsidRDefault="0019018D" w:rsidP="002F2DB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Por cuanto hace a la información entregable en Medios de almacenamiento Electrónico, se compondrá en cuatro módulos que integrarán la siguiente semántica:</w:t>
      </w:r>
    </w:p>
    <w:p w:rsidR="0019018D" w:rsidRPr="00124739" w:rsidRDefault="008011FF" w:rsidP="002F2DB1">
      <w:pPr>
        <w:numPr>
          <w:ilvl w:val="1"/>
          <w:numId w:val="1"/>
        </w:numPr>
        <w:pBdr>
          <w:top w:val="nil"/>
          <w:left w:val="nil"/>
          <w:bottom w:val="nil"/>
          <w:right w:val="nil"/>
          <w:between w:val="nil"/>
        </w:pBdr>
        <w:tabs>
          <w:tab w:val="left" w:pos="426"/>
        </w:tabs>
        <w:spacing w:before="240" w:line="360" w:lineRule="auto"/>
        <w:ind w:left="0"/>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Módulo 1: Información contable y financiera;</w:t>
      </w:r>
    </w:p>
    <w:p w:rsidR="0019018D" w:rsidRPr="00124739" w:rsidRDefault="008011FF" w:rsidP="002F2DB1">
      <w:pPr>
        <w:numPr>
          <w:ilvl w:val="1"/>
          <w:numId w:val="1"/>
        </w:numPr>
        <w:pBdr>
          <w:top w:val="nil"/>
          <w:left w:val="nil"/>
          <w:bottom w:val="nil"/>
          <w:right w:val="nil"/>
          <w:between w:val="nil"/>
        </w:pBdr>
        <w:tabs>
          <w:tab w:val="left" w:pos="426"/>
        </w:tabs>
        <w:spacing w:line="360" w:lineRule="auto"/>
        <w:ind w:left="0"/>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Módulo 2: Información presupuestaria;</w:t>
      </w:r>
    </w:p>
    <w:p w:rsidR="0019018D" w:rsidRPr="00124739" w:rsidRDefault="008011FF" w:rsidP="002F2DB1">
      <w:pPr>
        <w:numPr>
          <w:ilvl w:val="1"/>
          <w:numId w:val="1"/>
        </w:numPr>
        <w:pBdr>
          <w:top w:val="nil"/>
          <w:left w:val="nil"/>
          <w:bottom w:val="nil"/>
          <w:right w:val="nil"/>
          <w:between w:val="nil"/>
        </w:pBdr>
        <w:tabs>
          <w:tab w:val="left" w:pos="426"/>
        </w:tabs>
        <w:spacing w:line="360" w:lineRule="auto"/>
        <w:ind w:left="0"/>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Módulo 3: Información programática; y</w:t>
      </w:r>
    </w:p>
    <w:p w:rsidR="0019018D" w:rsidRPr="00124739" w:rsidRDefault="008011FF" w:rsidP="002F2DB1">
      <w:pPr>
        <w:numPr>
          <w:ilvl w:val="1"/>
          <w:numId w:val="1"/>
        </w:numPr>
        <w:pBdr>
          <w:top w:val="nil"/>
          <w:left w:val="nil"/>
          <w:bottom w:val="nil"/>
          <w:right w:val="nil"/>
          <w:between w:val="nil"/>
        </w:pBdr>
        <w:tabs>
          <w:tab w:val="left" w:pos="426"/>
        </w:tabs>
        <w:spacing w:line="360" w:lineRule="auto"/>
        <w:ind w:left="0"/>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Módulo 4: Información administrativa.</w:t>
      </w:r>
    </w:p>
    <w:p w:rsidR="0019018D" w:rsidRPr="00124739" w:rsidRDefault="0019018D" w:rsidP="002F2DB1">
      <w:pPr>
        <w:spacing w:line="360" w:lineRule="auto"/>
        <w:jc w:val="both"/>
        <w:rPr>
          <w:rFonts w:ascii="Palatino Linotype" w:eastAsia="Palatino Linotype" w:hAnsi="Palatino Linotype" w:cs="Palatino Linotype"/>
          <w:color w:val="000000"/>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Siendo de especial interés, para el presente asunto, el contenido del Módulo 4, sobre ‘Información Administrativa’; que de acuerdo con las </w:t>
      </w:r>
      <w:r w:rsidRPr="00124739">
        <w:rPr>
          <w:rFonts w:ascii="Palatino Linotype" w:eastAsia="Palatino Linotype" w:hAnsi="Palatino Linotype" w:cs="Palatino Linotype"/>
          <w:b/>
        </w:rPr>
        <w:t xml:space="preserve">“Políticas para la </w:t>
      </w:r>
      <w:r w:rsidRPr="00124739">
        <w:rPr>
          <w:rFonts w:ascii="Palatino Linotype" w:eastAsia="Palatino Linotype" w:hAnsi="Palatino Linotype" w:cs="Palatino Linotype"/>
          <w:b/>
        </w:rPr>
        <w:lastRenderedPageBreak/>
        <w:t>Integración del Informe Trimestral de los Sujetos de Fiscalización Municipales”</w:t>
      </w:r>
      <w:r w:rsidRPr="00124739">
        <w:rPr>
          <w:rFonts w:ascii="Palatino Linotype" w:eastAsia="Palatino Linotype" w:hAnsi="Palatino Linotype" w:cs="Palatino Linotype"/>
        </w:rPr>
        <w:t>, se compondrá de los siguientes documentos:</w:t>
      </w:r>
    </w:p>
    <w:p w:rsidR="0019018D" w:rsidRPr="00124739" w:rsidRDefault="0019018D" w:rsidP="002F2DB1">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p>
    <w:p w:rsidR="0019018D" w:rsidRPr="00124739" w:rsidRDefault="008011FF" w:rsidP="002F2DB1">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rPr>
      </w:pPr>
      <w:r w:rsidRPr="00124739">
        <w:rPr>
          <w:rFonts w:ascii="Palatino Linotype" w:hAnsi="Palatino Linotype"/>
          <w:color w:val="000000"/>
        </w:rPr>
        <w:object w:dxaOrig="6480" w:dyaOrig="5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75pt;mso-width-percent:0;mso-height-percent:0;mso-width-percent:0;mso-height-percent:0"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5" DrawAspect="Content" ObjectID="_1808911720" r:id="rId15"/>
        </w:object>
      </w:r>
    </w:p>
    <w:p w:rsidR="0019018D" w:rsidRPr="00124739" w:rsidRDefault="0019018D" w:rsidP="002F2DB1">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En lo que corresponde al </w:t>
      </w:r>
      <w:proofErr w:type="spellStart"/>
      <w:r w:rsidRPr="00124739">
        <w:rPr>
          <w:rFonts w:ascii="Palatino Linotype" w:eastAsia="Palatino Linotype" w:hAnsi="Palatino Linotype" w:cs="Palatino Linotype"/>
          <w:color w:val="000000"/>
        </w:rPr>
        <w:t>Submódulo</w:t>
      </w:r>
      <w:proofErr w:type="spellEnd"/>
      <w:r w:rsidRPr="00124739">
        <w:rPr>
          <w:rFonts w:ascii="Palatino Linotype" w:eastAsia="Palatino Linotype" w:hAnsi="Palatino Linotype" w:cs="Palatino Linotype"/>
          <w:color w:val="000000"/>
        </w:rPr>
        <w:t xml:space="preserve"> de </w:t>
      </w:r>
      <w:r w:rsidRPr="00124739">
        <w:rPr>
          <w:rFonts w:ascii="Palatino Linotype" w:eastAsia="Palatino Linotype" w:hAnsi="Palatino Linotype" w:cs="Palatino Linotype"/>
          <w:b/>
          <w:color w:val="000000"/>
        </w:rPr>
        <w:t>‘Nómina y Comprobantes Fiscales’,</w:t>
      </w:r>
      <w:r w:rsidRPr="00124739">
        <w:rPr>
          <w:rFonts w:ascii="Palatino Linotype" w:eastAsia="Palatino Linotype" w:hAnsi="Palatino Linotype" w:cs="Palatino Linotype"/>
          <w:color w:val="000000"/>
        </w:rPr>
        <w:t xml:space="preserve"> se advierte que el </w:t>
      </w:r>
      <w:r w:rsidRPr="00124739">
        <w:rPr>
          <w:rFonts w:ascii="Palatino Linotype" w:eastAsia="Palatino Linotype" w:hAnsi="Palatino Linotype" w:cs="Palatino Linotype"/>
          <w:b/>
          <w:color w:val="000000"/>
        </w:rPr>
        <w:t>SUJETO OBLIGADO,</w:t>
      </w:r>
      <w:r w:rsidRPr="00124739">
        <w:rPr>
          <w:rFonts w:ascii="Palatino Linotype" w:eastAsia="Palatino Linotype" w:hAnsi="Palatino Linotype" w:cs="Palatino Linotype"/>
          <w:color w:val="000000"/>
        </w:rPr>
        <w:t xml:space="preserve"> deberá integrar, en formato </w:t>
      </w:r>
      <w:r w:rsidRPr="00124739">
        <w:rPr>
          <w:rFonts w:ascii="Palatino Linotype" w:eastAsia="Palatino Linotype" w:hAnsi="Palatino Linotype" w:cs="Palatino Linotype"/>
          <w:i/>
          <w:color w:val="000000"/>
        </w:rPr>
        <w:t>.pdf</w:t>
      </w:r>
      <w:r w:rsidRPr="00124739">
        <w:rPr>
          <w:rFonts w:ascii="Palatino Linotype" w:eastAsia="Palatino Linotype" w:hAnsi="Palatino Linotype" w:cs="Palatino Linotype"/>
          <w:color w:val="000000"/>
        </w:rPr>
        <w:t xml:space="preserve">, y de forma quincenal, el documento titulado </w:t>
      </w:r>
      <w:r w:rsidRPr="00124739">
        <w:rPr>
          <w:rFonts w:ascii="Palatino Linotype" w:eastAsia="Palatino Linotype" w:hAnsi="Palatino Linotype" w:cs="Palatino Linotype"/>
          <w:b/>
          <w:color w:val="000000"/>
        </w:rPr>
        <w:t>de Nómina Mensual</w:t>
      </w:r>
      <w:r w:rsidRPr="00124739">
        <w:rPr>
          <w:rFonts w:ascii="Palatino Linotype" w:eastAsia="Palatino Linotype" w:hAnsi="Palatino Linotype" w:cs="Palatino Linotype"/>
          <w:color w:val="000000"/>
        </w:rPr>
        <w:t xml:space="preserve">; tal como lo establece el mapa de integración del </w:t>
      </w:r>
      <w:proofErr w:type="spellStart"/>
      <w:r w:rsidRPr="00124739">
        <w:rPr>
          <w:rFonts w:ascii="Palatino Linotype" w:eastAsia="Palatino Linotype" w:hAnsi="Palatino Linotype" w:cs="Palatino Linotype"/>
          <w:color w:val="000000"/>
        </w:rPr>
        <w:t>Submódulo</w:t>
      </w:r>
      <w:proofErr w:type="spellEnd"/>
      <w:r w:rsidRPr="00124739">
        <w:rPr>
          <w:rFonts w:ascii="Palatino Linotype" w:eastAsia="Palatino Linotype" w:hAnsi="Palatino Linotype" w:cs="Palatino Linotype"/>
          <w:color w:val="000000"/>
        </w:rPr>
        <w:t xml:space="preserve"> en comento:</w:t>
      </w:r>
    </w:p>
    <w:p w:rsidR="0019018D" w:rsidRPr="00124739" w:rsidRDefault="00175986" w:rsidP="002F2DB1">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rPr>
      </w:pPr>
      <w:r w:rsidRPr="00124739">
        <w:rPr>
          <w:rFonts w:ascii="Palatino Linotype" w:hAnsi="Palatino Linotype"/>
          <w:noProof/>
        </w:rPr>
        <w:lastRenderedPageBreak/>
        <mc:AlternateContent>
          <mc:Choice Requires="wps">
            <w:drawing>
              <wp:anchor distT="0" distB="0" distL="114300" distR="114300" simplePos="0" relativeHeight="251658240" behindDoc="0" locked="0" layoutInCell="1" hidden="0" allowOverlap="1">
                <wp:simplePos x="0" y="0"/>
                <wp:positionH relativeFrom="column">
                  <wp:posOffset>914103</wp:posOffset>
                </wp:positionH>
                <wp:positionV relativeFrom="paragraph">
                  <wp:posOffset>520584</wp:posOffset>
                </wp:positionV>
                <wp:extent cx="4470400" cy="234950"/>
                <wp:effectExtent l="0" t="0" r="0" b="0"/>
                <wp:wrapNone/>
                <wp:docPr id="60" name="Rectángulo 60"/>
                <wp:cNvGraphicFramePr/>
                <a:graphic xmlns:a="http://schemas.openxmlformats.org/drawingml/2006/main">
                  <a:graphicData uri="http://schemas.microsoft.com/office/word/2010/wordprocessingShape">
                    <wps:wsp>
                      <wps:cNvSpPr/>
                      <wps:spPr>
                        <a:xfrm>
                          <a:off x="0" y="0"/>
                          <a:ext cx="4470400" cy="234950"/>
                        </a:xfrm>
                        <a:prstGeom prst="rect">
                          <a:avLst/>
                        </a:prstGeom>
                        <a:noFill/>
                        <a:ln w="19050" cap="flat" cmpd="sng">
                          <a:solidFill>
                            <a:srgbClr val="FF0000"/>
                          </a:solidFill>
                          <a:prstDash val="solid"/>
                          <a:miter lim="800000"/>
                          <a:headEnd type="none" w="sm" len="sm"/>
                          <a:tailEnd type="none" w="sm" len="sm"/>
                        </a:ln>
                      </wps:spPr>
                      <wps:txbx>
                        <w:txbxContent>
                          <w:p w:rsidR="001C4F75" w:rsidRDefault="001C4F75">
                            <w:pPr>
                              <w:textDirection w:val="btLr"/>
                            </w:pPr>
                          </w:p>
                        </w:txbxContent>
                      </wps:txbx>
                      <wps:bodyPr spcFirstLastPara="1" wrap="square" lIns="91425" tIns="91425" rIns="91425" bIns="91425" anchor="ctr" anchorCtr="0">
                        <a:noAutofit/>
                      </wps:bodyPr>
                    </wps:wsp>
                  </a:graphicData>
                </a:graphic>
              </wp:anchor>
            </w:drawing>
          </mc:Choice>
          <mc:Fallback>
            <w:pict>
              <v:rect id="Rectángulo 60" o:spid="_x0000_s1026" style="position:absolute;left:0;text-align:left;margin-left:1in;margin-top:41pt;width:352pt;height:1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" filled="f" strokecolor="red" strokeweight="1.5pt">
                <v:stroke startarrowwidth="narrow" startarrowlength="short" endarrowwidth="narrow" endarrowlength="short"/>
                <v:textbox inset="2.53958mm,2.53958mm,2.53958mm,2.53958mm">
                  <w:txbxContent>
                    <w:p w:rsidR="001C4F75" w:rsidRDefault="001C4F75">
                      <w:pPr>
                        <w:textDirection w:val="btLr"/>
                      </w:pPr>
                    </w:p>
                  </w:txbxContent>
                </v:textbox>
              </v:rect>
            </w:pict>
          </mc:Fallback>
        </mc:AlternateContent>
      </w:r>
      <w:r w:rsidR="008011FF" w:rsidRPr="00124739">
        <w:rPr>
          <w:rFonts w:ascii="Palatino Linotype" w:hAnsi="Palatino Linotype"/>
          <w:color w:val="000000"/>
        </w:rPr>
        <w:object w:dxaOrig="7650" w:dyaOrig="2205">
          <v:shape id="_x0000_i1026" type="#_x0000_t75" alt="" style="width:382.5pt;height:110.25pt;mso-width-percent:0;mso-height-percent:0;mso-width-percent:0;mso-height-percent:0"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6" DrawAspect="Content" ObjectID="_1808911721" r:id="rId17"/>
        </w:object>
      </w:r>
    </w:p>
    <w:p w:rsidR="0019018D" w:rsidRPr="00124739" w:rsidRDefault="0019018D" w:rsidP="002F2DB1">
      <w:pPr>
        <w:spacing w:line="360" w:lineRule="auto"/>
        <w:jc w:val="both"/>
        <w:rPr>
          <w:rFonts w:ascii="Palatino Linotype" w:eastAsia="Palatino Linotype" w:hAnsi="Palatino Linotype" w:cs="Palatino Linotype"/>
          <w:color w:val="000000"/>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Al respecto, conviene referir que la Conciliación de Nómina Mensual es un documento en el que se detalla, entre otros, </w:t>
      </w:r>
      <w:r w:rsidRPr="00124739">
        <w:rPr>
          <w:rFonts w:ascii="Palatino Linotype" w:eastAsia="Palatino Linotype" w:hAnsi="Palatino Linotype" w:cs="Palatino Linotype"/>
          <w:b/>
          <w:color w:val="000000"/>
        </w:rPr>
        <w:t>el nombre, puesto funcional, área de adscripción, categoría, así como todas las percepciones y deducciones que recibe cada servidor público que labora en la entidad</w:t>
      </w:r>
      <w:r w:rsidRPr="00124739">
        <w:rPr>
          <w:rFonts w:ascii="Palatino Linotype" w:hAnsi="Palatino Linotype"/>
          <w:b/>
          <w:color w:val="000000"/>
          <w:vertAlign w:val="superscript"/>
        </w:rPr>
        <w:footnoteReference w:id="7"/>
      </w:r>
      <w:r w:rsidRPr="00124739">
        <w:rPr>
          <w:rFonts w:ascii="Palatino Linotype" w:eastAsia="Palatino Linotype" w:hAnsi="Palatino Linotype" w:cs="Palatino Linotype"/>
          <w:color w:val="000000"/>
        </w:rPr>
        <w:t xml:space="preserve">. </w:t>
      </w:r>
    </w:p>
    <w:p w:rsidR="0019018D" w:rsidRPr="00124739" w:rsidRDefault="0019018D" w:rsidP="002F2DB1">
      <w:pPr>
        <w:spacing w:line="360" w:lineRule="auto"/>
        <w:jc w:val="both"/>
        <w:rPr>
          <w:rFonts w:ascii="Palatino Linotype" w:eastAsia="Palatino Linotype" w:hAnsi="Palatino Linotype" w:cs="Palatino Linotype"/>
          <w:color w:val="000000"/>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rPr>
        <w:t xml:space="preserve">Aunado a </w:t>
      </w:r>
      <w:r w:rsidRPr="00124739">
        <w:rPr>
          <w:rFonts w:ascii="Palatino Linotype" w:eastAsia="Palatino Linotype" w:hAnsi="Palatino Linotype" w:cs="Palatino Linotype"/>
          <w:color w:val="000000"/>
        </w:rPr>
        <w:t>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rsidR="0019018D" w:rsidRPr="00124739" w:rsidRDefault="001C4F75" w:rsidP="002F2DB1">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 </w:t>
      </w:r>
    </w:p>
    <w:p w:rsidR="0019018D" w:rsidRPr="00124739" w:rsidRDefault="008011FF" w:rsidP="002F2DB1">
      <w:pPr>
        <w:pBdr>
          <w:top w:val="nil"/>
          <w:left w:val="nil"/>
          <w:bottom w:val="nil"/>
          <w:right w:val="nil"/>
          <w:between w:val="nil"/>
        </w:pBdr>
        <w:tabs>
          <w:tab w:val="left" w:pos="426"/>
        </w:tabs>
        <w:spacing w:line="360" w:lineRule="auto"/>
        <w:jc w:val="center"/>
        <w:rPr>
          <w:rFonts w:ascii="Palatino Linotype" w:hAnsi="Palatino Linotype"/>
          <w:color w:val="000000"/>
        </w:rPr>
      </w:pPr>
      <w:r w:rsidRPr="00124739">
        <w:rPr>
          <w:rFonts w:ascii="Palatino Linotype" w:hAnsi="Palatino Linotype"/>
          <w:color w:val="000000"/>
        </w:rPr>
        <w:object w:dxaOrig="7635" w:dyaOrig="4320">
          <v:shape id="_x0000_i1027" type="#_x0000_t75" alt="" style="width:381.75pt;height:3in;mso-width-percent:0;mso-height-percent:0;mso-width-percent:0;mso-height-percent:0"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Brush" ShapeID="_x0000_i1027" DrawAspect="Content" ObjectID="_1808911722" r:id="rId19"/>
        </w:object>
      </w:r>
      <w:r w:rsidRPr="00124739">
        <w:rPr>
          <w:rFonts w:ascii="Palatino Linotype" w:hAnsi="Palatino Linotype"/>
          <w:noProof/>
        </w:rPr>
        <mc:AlternateContent>
          <mc:Choice Requires="wps">
            <w:drawing>
              <wp:anchor distT="0" distB="0" distL="114300" distR="114300" simplePos="0" relativeHeight="251659264" behindDoc="0" locked="0" layoutInCell="1" hidden="0" allowOverlap="1">
                <wp:simplePos x="0" y="0"/>
                <wp:positionH relativeFrom="column">
                  <wp:posOffset>3530600</wp:posOffset>
                </wp:positionH>
                <wp:positionV relativeFrom="paragraph">
                  <wp:posOffset>457200</wp:posOffset>
                </wp:positionV>
                <wp:extent cx="528125" cy="1430117"/>
                <wp:effectExtent l="0" t="0" r="0" b="0"/>
                <wp:wrapNone/>
                <wp:docPr id="61" name="Rectángulo 61"/>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rsidR="001C4F75" w:rsidRDefault="001C4F75">
                            <w:pPr>
                              <w:textDirection w:val="btLr"/>
                            </w:pPr>
                          </w:p>
                        </w:txbxContent>
                      </wps:txbx>
                      <wps:bodyPr spcFirstLastPara="1" wrap="square" lIns="91425" tIns="91425" rIns="91425" bIns="91425" anchor="ctr" anchorCtr="0">
                        <a:noAutofit/>
                      </wps:bodyPr>
                    </wps:wsp>
                  </a:graphicData>
                </a:graphic>
              </wp:anchor>
            </w:drawing>
          </mc:Choice>
          <mc:Fallback>
            <w:pict>
              <v:rect id="Rectángulo 61" o:spid="_x0000_s1027" style="position:absolute;left:0;text-align:left;margin-left:278pt;margin-top:36pt;width:41.6pt;height:11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" filled="f" strokecolor="red" strokeweight="2.25pt">
                <v:stroke startarrowwidth="narrow" startarrowlength="short" endarrowwidth="narrow" endarrowlength="short"/>
                <v:textbox inset="2.53958mm,2.53958mm,2.53958mm,2.53958mm">
                  <w:txbxContent>
                    <w:p w:rsidR="001C4F75" w:rsidRDefault="001C4F75">
                      <w:pPr>
                        <w:textDirection w:val="btLr"/>
                      </w:pPr>
                    </w:p>
                  </w:txbxContent>
                </v:textbox>
              </v:rect>
            </w:pict>
          </mc:Fallback>
        </mc:AlternateContent>
      </w:r>
      <w:r w:rsidRPr="00124739">
        <w:rPr>
          <w:rFonts w:ascii="Palatino Linotype" w:hAnsi="Palatino Linotype"/>
          <w:noProof/>
        </w:rPr>
        <mc:AlternateContent>
          <mc:Choice Requires="wps">
            <w:drawing>
              <wp:anchor distT="0" distB="0" distL="114300" distR="114300" simplePos="0" relativeHeight="251660288" behindDoc="0" locked="0" layoutInCell="1" hidden="0" allowOverlap="1">
                <wp:simplePos x="0" y="0"/>
                <wp:positionH relativeFrom="column">
                  <wp:posOffset>2578100</wp:posOffset>
                </wp:positionH>
                <wp:positionV relativeFrom="paragraph">
                  <wp:posOffset>431800</wp:posOffset>
                </wp:positionV>
                <wp:extent cx="408280" cy="1430117"/>
                <wp:effectExtent l="0" t="0" r="0" b="0"/>
                <wp:wrapNone/>
                <wp:docPr id="62" name="Rectángulo 62"/>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rsidR="001C4F75" w:rsidRDefault="001C4F75">
                            <w:pPr>
                              <w:textDirection w:val="btLr"/>
                            </w:pPr>
                          </w:p>
                        </w:txbxContent>
                      </wps:txbx>
                      <wps:bodyPr spcFirstLastPara="1" wrap="square" lIns="91425" tIns="91425" rIns="91425" bIns="91425" anchor="ctr" anchorCtr="0">
                        <a:noAutofit/>
                      </wps:bodyPr>
                    </wps:wsp>
                  </a:graphicData>
                </a:graphic>
              </wp:anchor>
            </w:drawing>
          </mc:Choice>
          <mc:Fallback>
            <w:pict>
              <v:rect id="Rectángulo 62" o:spid="_x0000_s1028" style="position:absolute;left:0;text-align:left;margin-left:203pt;margin-top:34pt;width:32.15pt;height:112.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" filled="f" strokecolor="red" strokeweight="2.25pt">
                <v:stroke startarrowwidth="narrow" startarrowlength="short" endarrowwidth="narrow" endarrowlength="short"/>
                <v:textbox inset="2.53958mm,2.53958mm,2.53958mm,2.53958mm">
                  <w:txbxContent>
                    <w:p w:rsidR="001C4F75" w:rsidRDefault="001C4F75">
                      <w:pPr>
                        <w:textDirection w:val="btLr"/>
                      </w:pPr>
                    </w:p>
                  </w:txbxContent>
                </v:textbox>
              </v:rect>
            </w:pict>
          </mc:Fallback>
        </mc:AlternateContent>
      </w:r>
    </w:p>
    <w:p w:rsidR="0019018D" w:rsidRPr="00124739" w:rsidRDefault="008011FF" w:rsidP="002F2DB1">
      <w:pPr>
        <w:pBdr>
          <w:top w:val="nil"/>
          <w:left w:val="nil"/>
          <w:bottom w:val="nil"/>
          <w:right w:val="nil"/>
          <w:between w:val="nil"/>
        </w:pBdr>
        <w:tabs>
          <w:tab w:val="left" w:pos="426"/>
        </w:tabs>
        <w:spacing w:line="360" w:lineRule="auto"/>
        <w:jc w:val="center"/>
        <w:rPr>
          <w:rFonts w:ascii="Palatino Linotype" w:hAnsi="Palatino Linotype"/>
          <w:color w:val="000000"/>
        </w:rPr>
      </w:pPr>
      <w:r w:rsidRPr="00124739">
        <w:rPr>
          <w:rFonts w:ascii="Palatino Linotype" w:hAnsi="Palatino Linotype"/>
          <w:color w:val="000000"/>
        </w:rPr>
        <w:object w:dxaOrig="7665" w:dyaOrig="4500">
          <v:shape id="_x0000_i1028" type="#_x0000_t75" alt="" style="width:383.25pt;height:225pt;mso-width-percent:0;mso-height-percent:0;mso-width-percent:0;mso-height-percent:0"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PBrush" ShapeID="_x0000_i1028" DrawAspect="Content" ObjectID="_1808911723" r:id="rId21"/>
        </w:object>
      </w:r>
    </w:p>
    <w:p w:rsidR="0019018D" w:rsidRPr="00124739" w:rsidRDefault="008011FF" w:rsidP="002F2DB1">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rPr>
      </w:pPr>
      <w:r w:rsidRPr="00124739">
        <w:rPr>
          <w:rFonts w:ascii="Palatino Linotype" w:hAnsi="Palatino Linotype"/>
          <w:color w:val="000000"/>
        </w:rPr>
        <w:object w:dxaOrig="7680" w:dyaOrig="2400">
          <v:shape id="_x0000_i1029" type="#_x0000_t75" alt="" style="width:384pt;height:120pt;mso-width-percent:0;mso-height-percent:0;mso-width-percent:0;mso-height-percent:0"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PBrush" ShapeID="_x0000_i1029" DrawAspect="Content" ObjectID="_1808911724" r:id="rId23"/>
        </w:object>
      </w: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De las imágenes anteriores, podemos identificar a la </w:t>
      </w:r>
      <w:r w:rsidRPr="00124739">
        <w:rPr>
          <w:rFonts w:ascii="Palatino Linotype" w:eastAsia="Palatino Linotype" w:hAnsi="Palatino Linotype" w:cs="Palatino Linotype"/>
          <w:b/>
          <w:color w:val="000000"/>
        </w:rPr>
        <w:t>Conciliación de Nómina Mensual</w:t>
      </w:r>
      <w:r w:rsidRPr="00124739">
        <w:rPr>
          <w:rFonts w:ascii="Palatino Linotype" w:eastAsia="Palatino Linotype" w:hAnsi="Palatino Linotype" w:cs="Palatino Linotype"/>
          <w:color w:val="000000"/>
        </w:rPr>
        <w:t xml:space="preserve"> como el documento </w:t>
      </w:r>
      <w:r w:rsidRPr="00124739">
        <w:rPr>
          <w:rFonts w:ascii="Palatino Linotype" w:eastAsia="Palatino Linotype" w:hAnsi="Palatino Linotype" w:cs="Palatino Linotype"/>
          <w:b/>
          <w:color w:val="000000"/>
        </w:rPr>
        <w:t>idóneo</w:t>
      </w:r>
      <w:r w:rsidRPr="00124739">
        <w:rPr>
          <w:rFonts w:ascii="Palatino Linotype" w:eastAsia="Palatino Linotype" w:hAnsi="Palatino Linotype" w:cs="Palatino Linotype"/>
          <w:color w:val="000000"/>
        </w:rPr>
        <w:t xml:space="preserve"> que puede satisfacer los requerimientos del particular, pues como se ha analizado en párrafos previos, </w:t>
      </w:r>
      <w:r w:rsidRPr="00124739">
        <w:rPr>
          <w:rFonts w:ascii="Palatino Linotype" w:eastAsia="Palatino Linotype" w:hAnsi="Palatino Linotype" w:cs="Palatino Linotype"/>
          <w:b/>
          <w:color w:val="000000"/>
        </w:rPr>
        <w:t>la Conciliación de Nómina de los servidores públicos consiste en el conjunto de percepciones y deducciones que se generan con motivo de la relación laboral</w:t>
      </w:r>
      <w:r w:rsidRPr="00124739">
        <w:rPr>
          <w:rFonts w:ascii="Palatino Linotype" w:eastAsia="Palatino Linotype" w:hAnsi="Palatino Linotype" w:cs="Palatino Linotype"/>
          <w:color w:val="000000"/>
        </w:rPr>
        <w:t xml:space="preserve">, asimismo </w:t>
      </w:r>
      <w:r w:rsidRPr="00124739">
        <w:rPr>
          <w:rFonts w:ascii="Palatino Linotype" w:eastAsia="Palatino Linotype" w:hAnsi="Palatino Linotype" w:cs="Palatino Linotype"/>
          <w:b/>
          <w:color w:val="000000"/>
        </w:rPr>
        <w:t>contiene la fecha de alta</w:t>
      </w:r>
      <w:r w:rsidRPr="00124739">
        <w:rPr>
          <w:rFonts w:ascii="Palatino Linotype" w:eastAsia="Palatino Linotype" w:hAnsi="Palatino Linotype" w:cs="Palatino Linotype"/>
          <w:color w:val="000000"/>
        </w:rPr>
        <w:t xml:space="preserve"> y fecha de baja de los servidores públicos;</w:t>
      </w:r>
      <w:r w:rsidRPr="00124739">
        <w:rPr>
          <w:rFonts w:ascii="Palatino Linotype" w:eastAsia="Palatino Linotype" w:hAnsi="Palatino Linotype" w:cs="Palatino Linotype"/>
          <w:b/>
          <w:color w:val="000000"/>
        </w:rPr>
        <w:t xml:space="preserve"> su nombre; puesto; área de adscripción </w:t>
      </w:r>
      <w:r w:rsidRPr="00124739">
        <w:rPr>
          <w:rFonts w:ascii="Palatino Linotype" w:eastAsia="Palatino Linotype" w:hAnsi="Palatino Linotype" w:cs="Palatino Linotype"/>
          <w:color w:val="000000"/>
        </w:rPr>
        <w:t>y</w:t>
      </w:r>
      <w:r w:rsidRPr="00124739">
        <w:rPr>
          <w:rFonts w:ascii="Palatino Linotype" w:eastAsia="Palatino Linotype" w:hAnsi="Palatino Linotype" w:cs="Palatino Linotype"/>
          <w:b/>
          <w:color w:val="000000"/>
        </w:rPr>
        <w:t xml:space="preserve"> categoría.</w:t>
      </w:r>
    </w:p>
    <w:p w:rsidR="0019018D" w:rsidRPr="00124739" w:rsidRDefault="0019018D" w:rsidP="002F2DB1">
      <w:pPr>
        <w:spacing w:line="360" w:lineRule="auto"/>
        <w:jc w:val="both"/>
        <w:rPr>
          <w:rFonts w:ascii="Palatino Linotype" w:eastAsia="Palatino Linotype" w:hAnsi="Palatino Linotype" w:cs="Palatino Linotype"/>
          <w:color w:val="000000"/>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Por lo anterior se reconoce que en cuanto a lo requerido en la solicitud de información el </w:t>
      </w:r>
      <w:r w:rsidRPr="00124739">
        <w:rPr>
          <w:rFonts w:ascii="Palatino Linotype" w:eastAsia="Palatino Linotype" w:hAnsi="Palatino Linotype" w:cs="Palatino Linotype"/>
          <w:b/>
          <w:color w:val="000000"/>
        </w:rPr>
        <w:t>SUJETO OBLIGADO,</w:t>
      </w:r>
      <w:r w:rsidRPr="00124739">
        <w:rPr>
          <w:rFonts w:ascii="Palatino Linotype" w:eastAsia="Palatino Linotype" w:hAnsi="Palatino Linotype" w:cs="Palatino Linotype"/>
          <w:color w:val="000000"/>
        </w:rPr>
        <w:t xml:space="preserve"> cuenta con la obligación de generar los documentos en donde conste la información requerida por el particular al grado de detalle que fue solicitado, siendo el documento idóneo, de manera enunciativa más no limitativa, la </w:t>
      </w:r>
      <w:r w:rsidRPr="00124739">
        <w:rPr>
          <w:rFonts w:ascii="Palatino Linotype" w:eastAsia="Palatino Linotype" w:hAnsi="Palatino Linotype" w:cs="Palatino Linotype"/>
          <w:b/>
          <w:color w:val="000000"/>
        </w:rPr>
        <w:t>Conciliación de Nómina</w:t>
      </w:r>
      <w:r w:rsidRPr="00124739">
        <w:rPr>
          <w:rFonts w:ascii="Palatino Linotype" w:eastAsia="Palatino Linotype" w:hAnsi="Palatino Linotype" w:cs="Palatino Linotype"/>
          <w:color w:val="000000"/>
        </w:rPr>
        <w:t xml:space="preserve"> generada por la segunda quincena de enero y primera quincena de febrero de dos mil veinticinco. </w:t>
      </w:r>
    </w:p>
    <w:p w:rsidR="0019018D" w:rsidRPr="00124739" w:rsidRDefault="0019018D" w:rsidP="002F2DB1">
      <w:pPr>
        <w:pBdr>
          <w:top w:val="nil"/>
          <w:left w:val="nil"/>
          <w:bottom w:val="nil"/>
          <w:right w:val="nil"/>
          <w:between w:val="nil"/>
        </w:pBdr>
        <w:rPr>
          <w:rFonts w:ascii="Palatino Linotype" w:eastAsia="Palatino Linotype" w:hAnsi="Palatino Linotype" w:cs="Palatino Linotype"/>
          <w:color w:val="000000"/>
        </w:rPr>
      </w:pPr>
    </w:p>
    <w:p w:rsidR="0019018D" w:rsidRPr="00124739" w:rsidRDefault="008011FF" w:rsidP="002F2DB1">
      <w:pPr>
        <w:numPr>
          <w:ilvl w:val="0"/>
          <w:numId w:val="1"/>
        </w:numPr>
        <w:spacing w:line="360" w:lineRule="auto"/>
        <w:ind w:left="0" w:firstLine="0"/>
        <w:jc w:val="both"/>
        <w:rPr>
          <w:rFonts w:ascii="Palatino Linotype" w:eastAsia="Palatino Linotype" w:hAnsi="Palatino Linotype" w:cs="Palatino Linotype"/>
          <w:b/>
          <w:i/>
          <w:color w:val="000000"/>
        </w:rPr>
      </w:pPr>
      <w:r w:rsidRPr="00124739">
        <w:rPr>
          <w:rFonts w:ascii="Palatino Linotype" w:eastAsia="Palatino Linotype" w:hAnsi="Palatino Linotype" w:cs="Palatino Linotype"/>
          <w:color w:val="000000"/>
        </w:rPr>
        <w:t>Ahora bien, por lo que respecta a la “</w:t>
      </w:r>
      <w:r w:rsidRPr="00124739">
        <w:rPr>
          <w:rFonts w:ascii="Palatino Linotype" w:eastAsia="Palatino Linotype" w:hAnsi="Palatino Linotype" w:cs="Palatino Linotype"/>
          <w:b/>
          <w:i/>
          <w:color w:val="000000"/>
        </w:rPr>
        <w:t xml:space="preserve">Plantilla de Personal, cargo y fecha de alta”, </w:t>
      </w:r>
      <w:r w:rsidRPr="00124739">
        <w:rPr>
          <w:rFonts w:ascii="Palatino Linotype" w:eastAsia="Palatino Linotype" w:hAnsi="Palatino Linotype" w:cs="Palatino Linotype"/>
          <w:color w:val="000000"/>
        </w:rPr>
        <w:t xml:space="preserve">es necesario indicar que parte de la información como lo es la plantilla, salarios y fecha de alta de los servidores públicos adscritos al Organismo Agua y Saneamiento de Toluca, quedaría colmada con la entrega de la Conciliación de Nómina señalada en párrafos </w:t>
      </w:r>
      <w:r w:rsidRPr="00124739">
        <w:rPr>
          <w:rFonts w:ascii="Palatino Linotype" w:eastAsia="Palatino Linotype" w:hAnsi="Palatino Linotype" w:cs="Palatino Linotype"/>
          <w:color w:val="000000"/>
        </w:rPr>
        <w:lastRenderedPageBreak/>
        <w:t>anteriores, toda vez que como el estudio lo refiere en dicho documento vienen los datos del servidor público y su remuneración.</w:t>
      </w:r>
    </w:p>
    <w:p w:rsidR="0019018D" w:rsidRPr="00124739" w:rsidRDefault="0019018D" w:rsidP="002F2DB1">
      <w:pPr>
        <w:pBdr>
          <w:top w:val="nil"/>
          <w:left w:val="nil"/>
          <w:bottom w:val="nil"/>
          <w:right w:val="nil"/>
          <w:between w:val="nil"/>
        </w:pBdr>
        <w:rPr>
          <w:rFonts w:ascii="Palatino Linotype" w:eastAsia="Palatino Linotype" w:hAnsi="Palatino Linotype" w:cs="Palatino Linotype"/>
          <w:b/>
          <w:i/>
          <w:color w:val="000000"/>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Por lo anteriormente señalado, se advierte que el </w:t>
      </w:r>
      <w:r w:rsidRPr="00124739">
        <w:rPr>
          <w:rFonts w:ascii="Palatino Linotype" w:eastAsia="Palatino Linotype" w:hAnsi="Palatino Linotype" w:cs="Palatino Linotype"/>
          <w:b/>
          <w:color w:val="000000"/>
        </w:rPr>
        <w:t>SUJETO OBLIGADO</w:t>
      </w:r>
      <w:r w:rsidRPr="00124739">
        <w:rPr>
          <w:rFonts w:ascii="Palatino Linotype" w:eastAsia="Palatino Linotype" w:hAnsi="Palatino Linotype" w:cs="Palatino Linotype"/>
          <w:color w:val="000000"/>
        </w:rPr>
        <w:t xml:space="preserve">, tiene competencia para conocer de lo solicitado por el particular, en consecuencia, una vez analizadas las constancias que integran el expediente electrónico, y en mérito de lo expuesto en líneas anteriores, resultan  fundadas las razones o motivos de inconformidad hechos valer por el </w:t>
      </w:r>
      <w:r w:rsidRPr="00124739">
        <w:rPr>
          <w:rFonts w:ascii="Palatino Linotype" w:eastAsia="Palatino Linotype" w:hAnsi="Palatino Linotype" w:cs="Palatino Linotype"/>
          <w:b/>
          <w:color w:val="000000"/>
        </w:rPr>
        <w:t>RECURRENTE</w:t>
      </w:r>
      <w:r w:rsidRPr="00124739">
        <w:rPr>
          <w:rFonts w:ascii="Palatino Linotype" w:eastAsia="Palatino Linotype" w:hAnsi="Palatino Linotype" w:cs="Palatino Linotype"/>
          <w:color w:val="000000"/>
        </w:rPr>
        <w:t xml:space="preserve"> dentro del recurso de revisión </w:t>
      </w:r>
      <w:r w:rsidRPr="00124739">
        <w:rPr>
          <w:rFonts w:ascii="Palatino Linotype" w:eastAsia="Palatino Linotype" w:hAnsi="Palatino Linotype" w:cs="Palatino Linotype"/>
          <w:b/>
          <w:color w:val="000000"/>
        </w:rPr>
        <w:t>04178/INFOEM/IP/RR/2025</w:t>
      </w:r>
      <w:r w:rsidRPr="00124739">
        <w:rPr>
          <w:rFonts w:ascii="Palatino Linotype" w:eastAsia="Palatino Linotype" w:hAnsi="Palatino Linotype" w:cs="Palatino Linotype"/>
          <w:color w:val="000000"/>
        </w:rPr>
        <w:t xml:space="preserve">; por ello, y con fundamento en la fracción III del numeral 186 de la Ley de Transparencia y Acceso a la Información Pública del Estado de México y Municipios, se </w:t>
      </w:r>
      <w:r w:rsidRPr="00124739">
        <w:rPr>
          <w:rFonts w:ascii="Palatino Linotype" w:eastAsia="Palatino Linotype" w:hAnsi="Palatino Linotype" w:cs="Palatino Linotype"/>
          <w:b/>
          <w:color w:val="000000"/>
        </w:rPr>
        <w:t>REVOCA</w:t>
      </w:r>
      <w:r w:rsidRPr="00124739">
        <w:rPr>
          <w:rFonts w:ascii="Palatino Linotype" w:eastAsia="Palatino Linotype" w:hAnsi="Palatino Linotype" w:cs="Palatino Linotype"/>
          <w:color w:val="000000"/>
        </w:rPr>
        <w:t xml:space="preserve"> la respuesta del Sujeto Obligado. </w:t>
      </w:r>
    </w:p>
    <w:p w:rsidR="0019018D" w:rsidRPr="00124739" w:rsidRDefault="0019018D" w:rsidP="002F2DB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9018D" w:rsidRPr="00124739" w:rsidRDefault="008011FF" w:rsidP="002F2DB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r w:rsidRPr="00124739">
        <w:rPr>
          <w:rFonts w:ascii="Palatino Linotype" w:eastAsia="Palatino Linotype" w:hAnsi="Palatino Linotype" w:cs="Palatino Linotype"/>
          <w:b/>
          <w:color w:val="000000"/>
        </w:rPr>
        <w:t>QUINTO. De la versión pública.</w:t>
      </w:r>
    </w:p>
    <w:p w:rsidR="0019018D" w:rsidRPr="00124739" w:rsidRDefault="0019018D" w:rsidP="002F2DB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p>
    <w:p w:rsidR="0019018D" w:rsidRPr="00124739" w:rsidRDefault="008011FF" w:rsidP="002F2DB1">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Debe destacarse que, debido a la naturaleza de la información solicitada</w:t>
      </w:r>
      <w:r w:rsidRPr="00124739">
        <w:rPr>
          <w:rFonts w:ascii="Palatino Linotype" w:eastAsia="Palatino Linotype" w:hAnsi="Palatino Linotype" w:cs="Palatino Linotype"/>
          <w:b/>
          <w:color w:val="000000"/>
        </w:rPr>
        <w:t xml:space="preserve"> </w:t>
      </w:r>
      <w:r w:rsidRPr="00124739">
        <w:rPr>
          <w:rFonts w:ascii="Palatino Linotype" w:eastAsia="Palatino Linotype" w:hAnsi="Palatino Linotype" w:cs="Palatino Linotype"/>
          <w:color w:val="000000"/>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19018D" w:rsidRPr="00124739" w:rsidRDefault="0019018D" w:rsidP="002F2DB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rsidR="0019018D" w:rsidRPr="00124739" w:rsidRDefault="008011FF" w:rsidP="002F2DB1">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lastRenderedPageBreak/>
        <w:t>La clasificación total o parcial de la información requerida, mediante solicitud de acceso a la información pública, constituye una restricción al derecho humano de acceso a la información, por lo que es menester reiterar los mismos:</w:t>
      </w:r>
    </w:p>
    <w:p w:rsidR="0019018D" w:rsidRPr="00124739" w:rsidRDefault="0019018D" w:rsidP="002F2DB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tbl>
      <w:tblPr>
        <w:tblStyle w:val="a"/>
        <w:tblW w:w="8784"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415"/>
        <w:gridCol w:w="6369"/>
      </w:tblGrid>
      <w:tr w:rsidR="0019018D" w:rsidRPr="00124739">
        <w:tc>
          <w:tcPr>
            <w:tcW w:w="2415" w:type="dxa"/>
          </w:tcPr>
          <w:p w:rsidR="0019018D" w:rsidRPr="00124739" w:rsidRDefault="008011FF" w:rsidP="002F2DB1">
            <w:pPr>
              <w:spacing w:line="360" w:lineRule="auto"/>
              <w:rPr>
                <w:rFonts w:ascii="Palatino Linotype" w:eastAsia="Palatino Linotype" w:hAnsi="Palatino Linotype" w:cs="Palatino Linotype"/>
              </w:rPr>
            </w:pPr>
            <w:r w:rsidRPr="00124739">
              <w:rPr>
                <w:rFonts w:ascii="Palatino Linotype" w:eastAsia="Palatino Linotype" w:hAnsi="Palatino Linotype" w:cs="Palatino Linotype"/>
              </w:rPr>
              <w:t>a) Requisitos previos.</w:t>
            </w:r>
          </w:p>
        </w:tc>
        <w:tc>
          <w:tcPr>
            <w:tcW w:w="6369" w:type="dxa"/>
          </w:tcPr>
          <w:p w:rsidR="0019018D" w:rsidRPr="00124739" w:rsidRDefault="008011FF" w:rsidP="002F2DB1">
            <w:pPr>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19018D" w:rsidRPr="00124739" w:rsidRDefault="008011FF" w:rsidP="002F2DB1">
            <w:pPr>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rPr>
              <w:t>Al hacerlo tienen que precisar de qué información se trata, señalando el supuesto de clasificación (confidencialidad o reserva).</w:t>
            </w:r>
          </w:p>
          <w:p w:rsidR="0019018D" w:rsidRPr="00124739" w:rsidRDefault="008011FF" w:rsidP="002F2DB1">
            <w:pPr>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rPr>
              <w:t>Además, se debe señalar el procedimiento, de los tres que establecen los artículos 132 y 106 de la Ley Estatal y General, respectivamente.</w:t>
            </w:r>
          </w:p>
          <w:p w:rsidR="0019018D" w:rsidRPr="00124739" w:rsidRDefault="008011FF" w:rsidP="002F2DB1">
            <w:pPr>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rPr>
              <w:t xml:space="preserve">El último de estos requisitos previos consiste en que no se pueden emitir acuerdos de carácter general ni particular, esto es, </w:t>
            </w:r>
            <w:r w:rsidRPr="00124739">
              <w:rPr>
                <w:rFonts w:ascii="Palatino Linotype" w:eastAsia="Palatino Linotype" w:hAnsi="Palatino Linotype" w:cs="Palatino Linotype"/>
                <w:u w:val="single"/>
              </w:rPr>
              <w:t xml:space="preserve">no se puede hacer un acuerdo para clasificar de manera general todos los documentos de un expediente o área,  </w:t>
            </w:r>
            <w:r w:rsidRPr="00124739">
              <w:rPr>
                <w:rFonts w:ascii="Palatino Linotype" w:eastAsia="Palatino Linotype" w:hAnsi="Palatino Linotype" w:cs="Palatino Linotype"/>
              </w:rPr>
              <w:t xml:space="preserve">sin individualizar su análisis y tampoco se puede hacer un acuerdo por cada dato que se vaya a clasificar </w:t>
            </w:r>
            <w:r w:rsidRPr="00124739">
              <w:rPr>
                <w:rFonts w:ascii="Palatino Linotype" w:eastAsia="Palatino Linotype" w:hAnsi="Palatino Linotype" w:cs="Palatino Linotype"/>
              </w:rPr>
              <w:lastRenderedPageBreak/>
              <w:t>dentro de un documento con diez datos, por ejemplo, susceptibles de ser clasificados.</w:t>
            </w:r>
          </w:p>
        </w:tc>
      </w:tr>
      <w:tr w:rsidR="0019018D" w:rsidRPr="00124739">
        <w:tc>
          <w:tcPr>
            <w:tcW w:w="2415" w:type="dxa"/>
          </w:tcPr>
          <w:p w:rsidR="0019018D" w:rsidRPr="00124739" w:rsidRDefault="008011FF" w:rsidP="002F2DB1">
            <w:pPr>
              <w:spacing w:line="360" w:lineRule="auto"/>
              <w:rPr>
                <w:rFonts w:ascii="Palatino Linotype" w:eastAsia="Palatino Linotype" w:hAnsi="Palatino Linotype" w:cs="Palatino Linotype"/>
              </w:rPr>
            </w:pPr>
            <w:r w:rsidRPr="00124739">
              <w:rPr>
                <w:rFonts w:ascii="Palatino Linotype" w:eastAsia="Palatino Linotype" w:hAnsi="Palatino Linotype" w:cs="Palatino Linotype"/>
              </w:rPr>
              <w:lastRenderedPageBreak/>
              <w:t>b) Supuestos de clasificación.</w:t>
            </w:r>
          </w:p>
        </w:tc>
        <w:tc>
          <w:tcPr>
            <w:tcW w:w="6369" w:type="dxa"/>
          </w:tcPr>
          <w:p w:rsidR="0019018D" w:rsidRPr="00124739" w:rsidRDefault="008011FF" w:rsidP="002F2DB1">
            <w:pPr>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rsidR="0019018D" w:rsidRPr="00124739" w:rsidRDefault="008011FF" w:rsidP="002F2DB1">
            <w:pPr>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19018D" w:rsidRPr="00124739" w:rsidRDefault="008011FF" w:rsidP="002F2DB1">
            <w:pPr>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rPr>
              <w:t xml:space="preserve">El </w:t>
            </w:r>
            <w:r w:rsidRPr="00124739">
              <w:rPr>
                <w:rFonts w:ascii="Palatino Linotype" w:eastAsia="Palatino Linotype" w:hAnsi="Palatino Linotype" w:cs="Palatino Linotype"/>
                <w:b/>
              </w:rPr>
              <w:t>SUJETO OBLIGADO</w:t>
            </w:r>
            <w:r w:rsidRPr="00124739">
              <w:rPr>
                <w:rFonts w:ascii="Palatino Linotype" w:eastAsia="Palatino Linotype" w:hAnsi="Palatino Linotype" w:cs="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9018D" w:rsidRPr="00124739">
        <w:tc>
          <w:tcPr>
            <w:tcW w:w="2415" w:type="dxa"/>
          </w:tcPr>
          <w:p w:rsidR="0019018D" w:rsidRPr="00124739" w:rsidRDefault="008011FF" w:rsidP="002F2DB1">
            <w:pPr>
              <w:spacing w:line="360" w:lineRule="auto"/>
              <w:rPr>
                <w:rFonts w:ascii="Palatino Linotype" w:eastAsia="Palatino Linotype" w:hAnsi="Palatino Linotype" w:cs="Palatino Linotype"/>
              </w:rPr>
            </w:pPr>
            <w:r w:rsidRPr="00124739">
              <w:rPr>
                <w:rFonts w:ascii="Palatino Linotype" w:eastAsia="Palatino Linotype" w:hAnsi="Palatino Linotype" w:cs="Palatino Linotype"/>
              </w:rPr>
              <w:t xml:space="preserve">c) Formalidades para emitir el </w:t>
            </w:r>
            <w:r w:rsidRPr="00124739">
              <w:rPr>
                <w:rFonts w:ascii="Palatino Linotype" w:eastAsia="Palatino Linotype" w:hAnsi="Palatino Linotype" w:cs="Palatino Linotype"/>
              </w:rPr>
              <w:lastRenderedPageBreak/>
              <w:t>acuerdo de clasificación.</w:t>
            </w:r>
          </w:p>
        </w:tc>
        <w:tc>
          <w:tcPr>
            <w:tcW w:w="6369" w:type="dxa"/>
          </w:tcPr>
          <w:p w:rsidR="0019018D" w:rsidRPr="00124739" w:rsidRDefault="008011FF" w:rsidP="002F2DB1">
            <w:pPr>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rPr>
              <w:lastRenderedPageBreak/>
              <w:t xml:space="preserve">El Comité de Transparencia, según lo dispuesto en los artículos cuenta con las facultades para aprobar, modificar </w:t>
            </w:r>
            <w:r w:rsidRPr="00124739">
              <w:rPr>
                <w:rFonts w:ascii="Palatino Linotype" w:eastAsia="Palatino Linotype" w:hAnsi="Palatino Linotype" w:cs="Palatino Linotype"/>
              </w:rPr>
              <w:lastRenderedPageBreak/>
              <w:t xml:space="preserve">o revocar la clasificación de la información que haya propuesto. </w:t>
            </w:r>
          </w:p>
          <w:p w:rsidR="0019018D" w:rsidRPr="00124739" w:rsidRDefault="008011FF" w:rsidP="002F2DB1">
            <w:pPr>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rPr>
              <w:t xml:space="preserve">Es necesario que </w:t>
            </w:r>
            <w:r w:rsidRPr="00124739">
              <w:rPr>
                <w:rFonts w:ascii="Palatino Linotype" w:eastAsia="Palatino Linotype" w:hAnsi="Palatino Linotype" w:cs="Palatino Linotype"/>
                <w:b/>
                <w:u w:val="single"/>
              </w:rPr>
              <w:t>el acto reúna con los requisitos elementales</w:t>
            </w:r>
            <w:r w:rsidRPr="00124739">
              <w:rPr>
                <w:rFonts w:ascii="Palatino Linotype" w:eastAsia="Palatino Linotype" w:hAnsi="Palatino Linotype" w:cs="Palatino Linotype"/>
              </w:rPr>
              <w:t>, entre ellos, que la autoridad que va a emitir el acto de autoridad sea la legalmente facultada para ello.</w:t>
            </w:r>
          </w:p>
          <w:p w:rsidR="0019018D" w:rsidRPr="00124739" w:rsidRDefault="008011FF" w:rsidP="002F2DB1">
            <w:pPr>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9018D" w:rsidRPr="00124739">
        <w:tc>
          <w:tcPr>
            <w:tcW w:w="2415" w:type="dxa"/>
          </w:tcPr>
          <w:p w:rsidR="0019018D" w:rsidRPr="00124739" w:rsidRDefault="0019018D" w:rsidP="002F2DB1">
            <w:pPr>
              <w:spacing w:line="360" w:lineRule="auto"/>
              <w:rPr>
                <w:rFonts w:ascii="Palatino Linotype" w:eastAsia="Palatino Linotype" w:hAnsi="Palatino Linotype" w:cs="Palatino Linotype"/>
              </w:rPr>
            </w:pPr>
          </w:p>
          <w:p w:rsidR="0019018D" w:rsidRPr="00124739" w:rsidRDefault="008011FF" w:rsidP="002F2DB1">
            <w:pPr>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rPr>
              <w:t xml:space="preserve">d) Requisitos de fondo del acuerdo de clasificación. </w:t>
            </w:r>
          </w:p>
        </w:tc>
        <w:tc>
          <w:tcPr>
            <w:tcW w:w="6369" w:type="dxa"/>
          </w:tcPr>
          <w:p w:rsidR="0019018D" w:rsidRPr="00124739" w:rsidRDefault="008011FF" w:rsidP="002F2DB1">
            <w:pPr>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24739">
              <w:rPr>
                <w:rFonts w:ascii="Palatino Linotype" w:eastAsia="Palatino Linotype" w:hAnsi="Palatino Linotype" w:cs="Palatino Linotype"/>
                <w:b/>
              </w:rPr>
              <w:t>Sujetos Obligados</w:t>
            </w:r>
            <w:r w:rsidRPr="00124739">
              <w:rPr>
                <w:rFonts w:ascii="Palatino Linotype" w:eastAsia="Palatino Linotype" w:hAnsi="Palatino Linotype" w:cs="Palatino Linotype"/>
              </w:rPr>
              <w:t xml:space="preserve">, por lo </w:t>
            </w:r>
            <w:r w:rsidRPr="00124739">
              <w:rPr>
                <w:rFonts w:ascii="Palatino Linotype" w:eastAsia="Palatino Linotype" w:hAnsi="Palatino Linotype" w:cs="Palatino Linotype"/>
              </w:rPr>
              <w:lastRenderedPageBreak/>
              <w:t xml:space="preserve">que deberán fundar y motivar debidamente la clasificación. </w:t>
            </w:r>
          </w:p>
          <w:p w:rsidR="0019018D" w:rsidRPr="00124739" w:rsidRDefault="008011FF" w:rsidP="002F2DB1">
            <w:pPr>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rPr>
              <w:t xml:space="preserve">De lo anterior, se desprende que para una correcta </w:t>
            </w:r>
            <w:r w:rsidRPr="00124739">
              <w:rPr>
                <w:rFonts w:ascii="Palatino Linotype" w:eastAsia="Palatino Linotype" w:hAnsi="Palatino Linotype" w:cs="Palatino Linotype"/>
                <w:b/>
              </w:rPr>
              <w:t>clasificación total o parcial</w:t>
            </w:r>
            <w:r w:rsidRPr="00124739">
              <w:rPr>
                <w:rFonts w:ascii="Palatino Linotype" w:eastAsia="Palatino Linotype" w:hAnsi="Palatino Linotype" w:cs="Palatino Linotype"/>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19018D" w:rsidRPr="00124739" w:rsidRDefault="008011FF" w:rsidP="002F2DB1">
            <w:pPr>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19018D" w:rsidRPr="00124739" w:rsidRDefault="008011FF" w:rsidP="002F2DB1">
            <w:pPr>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rPr>
              <w:t>En ese mismo sentido, el numeral trigésimo tercero fracción V de los Lineamientos Generales, precisa que para motivar la clasificación se deben acreditar las circunstancias de tiempo, modo y lugar.</w:t>
            </w:r>
          </w:p>
          <w:p w:rsidR="0019018D" w:rsidRPr="00124739" w:rsidRDefault="008011FF" w:rsidP="002F2DB1">
            <w:pPr>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rPr>
              <w:lastRenderedPageBreak/>
              <w:t xml:space="preserve">Ahora bien, </w:t>
            </w:r>
            <w:r w:rsidRPr="00124739">
              <w:rPr>
                <w:rFonts w:ascii="Palatino Linotype" w:eastAsia="Palatino Linotype" w:hAnsi="Palatino Linotype" w:cs="Palatino Linotype"/>
                <w:b/>
                <w:u w:val="single"/>
              </w:rPr>
              <w:t>para cada caso además de fundar y motivar</w:t>
            </w:r>
            <w:r w:rsidRPr="00124739">
              <w:rPr>
                <w:rFonts w:ascii="Palatino Linotype" w:eastAsia="Palatino Linotype" w:hAnsi="Palatino Linotype" w:cs="Palatino Linotype"/>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9018D" w:rsidRPr="00124739">
        <w:tc>
          <w:tcPr>
            <w:tcW w:w="2415" w:type="dxa"/>
          </w:tcPr>
          <w:p w:rsidR="0019018D" w:rsidRPr="00124739" w:rsidRDefault="008011FF" w:rsidP="002F2DB1">
            <w:pPr>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rPr>
              <w:lastRenderedPageBreak/>
              <w:t xml:space="preserve">e) Condiciones especiales de la clasificación de la información como confidencial. </w:t>
            </w:r>
          </w:p>
          <w:p w:rsidR="0019018D" w:rsidRPr="00124739" w:rsidRDefault="0019018D" w:rsidP="002F2DB1">
            <w:pPr>
              <w:spacing w:line="360" w:lineRule="auto"/>
              <w:rPr>
                <w:rFonts w:ascii="Palatino Linotype" w:eastAsia="Palatino Linotype" w:hAnsi="Palatino Linotype" w:cs="Palatino Linotype"/>
              </w:rPr>
            </w:pPr>
          </w:p>
        </w:tc>
        <w:tc>
          <w:tcPr>
            <w:tcW w:w="6369" w:type="dxa"/>
          </w:tcPr>
          <w:p w:rsidR="0019018D" w:rsidRPr="00124739" w:rsidRDefault="008011FF" w:rsidP="002F2DB1">
            <w:pPr>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rPr>
              <w:t xml:space="preserve">Los artículos 148 y 120 de la Ley Estatal y de la Ley General, respectivamente, establecen que aun tratándose de datos personales, se podrán proporcionar, incluso sin solicitar el consentimiento de su titular. </w:t>
            </w:r>
          </w:p>
          <w:p w:rsidR="0019018D" w:rsidRPr="00124739" w:rsidRDefault="008011FF" w:rsidP="002F2DB1">
            <w:pPr>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19018D" w:rsidRPr="00124739" w:rsidRDefault="008011FF" w:rsidP="002F2DB1">
            <w:pPr>
              <w:spacing w:line="360" w:lineRule="auto"/>
              <w:rPr>
                <w:rFonts w:ascii="Palatino Linotype" w:eastAsia="Palatino Linotype" w:hAnsi="Palatino Linotype" w:cs="Palatino Linotype"/>
              </w:rPr>
            </w:pPr>
            <w:r w:rsidRPr="00124739">
              <w:rPr>
                <w:rFonts w:ascii="Palatino Linotype" w:eastAsia="Palatino Linotype" w:hAnsi="Palatino Linotype" w:cs="Palatino Linotype"/>
              </w:rPr>
              <w:t xml:space="preserve">Pero si la información que se pretende clasificar como confidencial no se encuentra en los supuestos de los artículos señalados y es posible, se deberá consultar al titular de los datos si permite o no el acceso. De no ser </w:t>
            </w:r>
            <w:r w:rsidRPr="00124739">
              <w:rPr>
                <w:rFonts w:ascii="Palatino Linotype" w:eastAsia="Palatino Linotype" w:hAnsi="Palatino Linotype" w:cs="Palatino Linotype"/>
              </w:rPr>
              <w:lastRenderedPageBreak/>
              <w:t>posible, la realización de la consulta, procede, fundando y motivando, la clasificación.</w:t>
            </w:r>
          </w:p>
        </w:tc>
      </w:tr>
    </w:tbl>
    <w:p w:rsidR="0019018D" w:rsidRPr="00124739" w:rsidRDefault="0019018D" w:rsidP="002F2DB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19018D" w:rsidRPr="00124739" w:rsidRDefault="0019018D" w:rsidP="002F2DB1">
      <w:pPr>
        <w:pBdr>
          <w:top w:val="nil"/>
          <w:left w:val="nil"/>
          <w:bottom w:val="nil"/>
          <w:right w:val="nil"/>
          <w:between w:val="nil"/>
        </w:pBdr>
        <w:spacing w:line="360" w:lineRule="auto"/>
        <w:jc w:val="both"/>
        <w:rPr>
          <w:rFonts w:ascii="Palatino Linotype" w:eastAsia="Palatino Linotype" w:hAnsi="Palatino Linotype" w:cs="Palatino Linotype"/>
        </w:rPr>
      </w:pPr>
    </w:p>
    <w:p w:rsidR="0019018D" w:rsidRPr="00124739" w:rsidRDefault="008011FF" w:rsidP="002F2DB1">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222222"/>
        </w:rPr>
        <w:t>Por lo tanto, de manera enunciativa más no limitativas, dentro de los elementos que integran la conciliación de nómina se pueden encontrar los siguientes:</w:t>
      </w:r>
    </w:p>
    <w:p w:rsidR="0019018D" w:rsidRPr="00124739" w:rsidRDefault="0019018D" w:rsidP="002F2DB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222222"/>
        </w:rPr>
      </w:pPr>
    </w:p>
    <w:p w:rsidR="0019018D" w:rsidRPr="00124739" w:rsidRDefault="008011FF" w:rsidP="002F2DB1">
      <w:pPr>
        <w:numPr>
          <w:ilvl w:val="0"/>
          <w:numId w:val="6"/>
        </w:numPr>
        <w:pBdr>
          <w:top w:val="nil"/>
          <w:left w:val="nil"/>
          <w:bottom w:val="nil"/>
          <w:right w:val="nil"/>
          <w:between w:val="nil"/>
        </w:pBdr>
        <w:tabs>
          <w:tab w:val="left" w:pos="567"/>
        </w:tabs>
        <w:spacing w:line="360" w:lineRule="auto"/>
        <w:ind w:left="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Clave Única de Registro de Población (CURP);</w:t>
      </w:r>
    </w:p>
    <w:p w:rsidR="0019018D" w:rsidRPr="00124739" w:rsidRDefault="008011FF" w:rsidP="002F2DB1">
      <w:pPr>
        <w:numPr>
          <w:ilvl w:val="0"/>
          <w:numId w:val="6"/>
        </w:numPr>
        <w:pBdr>
          <w:top w:val="nil"/>
          <w:left w:val="nil"/>
          <w:bottom w:val="nil"/>
          <w:right w:val="nil"/>
          <w:between w:val="nil"/>
        </w:pBdr>
        <w:tabs>
          <w:tab w:val="left" w:pos="567"/>
        </w:tabs>
        <w:spacing w:line="360" w:lineRule="auto"/>
        <w:ind w:left="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Número de </w:t>
      </w:r>
      <w:proofErr w:type="spellStart"/>
      <w:r w:rsidRPr="00124739">
        <w:rPr>
          <w:rFonts w:ascii="Palatino Linotype" w:eastAsia="Palatino Linotype" w:hAnsi="Palatino Linotype" w:cs="Palatino Linotype"/>
          <w:color w:val="000000"/>
        </w:rPr>
        <w:t>ISSEMyM</w:t>
      </w:r>
      <w:proofErr w:type="spellEnd"/>
      <w:r w:rsidRPr="00124739">
        <w:rPr>
          <w:rFonts w:ascii="Palatino Linotype" w:eastAsia="Palatino Linotype" w:hAnsi="Palatino Linotype" w:cs="Palatino Linotype"/>
          <w:color w:val="000000"/>
        </w:rPr>
        <w:t>;</w:t>
      </w:r>
    </w:p>
    <w:p w:rsidR="0019018D" w:rsidRPr="00124739" w:rsidRDefault="008011FF" w:rsidP="002F2DB1">
      <w:pPr>
        <w:numPr>
          <w:ilvl w:val="0"/>
          <w:numId w:val="6"/>
        </w:numPr>
        <w:pBdr>
          <w:top w:val="nil"/>
          <w:left w:val="nil"/>
          <w:bottom w:val="nil"/>
          <w:right w:val="nil"/>
          <w:between w:val="nil"/>
        </w:pBdr>
        <w:tabs>
          <w:tab w:val="left" w:pos="567"/>
        </w:tabs>
        <w:spacing w:line="360" w:lineRule="auto"/>
        <w:ind w:left="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Número de empleado;</w:t>
      </w:r>
    </w:p>
    <w:p w:rsidR="0019018D" w:rsidRPr="00124739" w:rsidRDefault="008011FF" w:rsidP="002F2DB1">
      <w:pPr>
        <w:numPr>
          <w:ilvl w:val="0"/>
          <w:numId w:val="6"/>
        </w:numPr>
        <w:pBdr>
          <w:top w:val="nil"/>
          <w:left w:val="nil"/>
          <w:bottom w:val="nil"/>
          <w:right w:val="nil"/>
          <w:between w:val="nil"/>
        </w:pBdr>
        <w:tabs>
          <w:tab w:val="left" w:pos="567"/>
        </w:tabs>
        <w:spacing w:line="360" w:lineRule="auto"/>
        <w:ind w:left="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Registro Federal de Contribuyentes (RFC);</w:t>
      </w:r>
    </w:p>
    <w:p w:rsidR="0019018D" w:rsidRPr="00124739" w:rsidRDefault="008011FF" w:rsidP="002F2DB1">
      <w:pPr>
        <w:numPr>
          <w:ilvl w:val="0"/>
          <w:numId w:val="6"/>
        </w:numPr>
        <w:pBdr>
          <w:top w:val="nil"/>
          <w:left w:val="nil"/>
          <w:bottom w:val="nil"/>
          <w:right w:val="nil"/>
          <w:between w:val="nil"/>
        </w:pBdr>
        <w:tabs>
          <w:tab w:val="left" w:pos="567"/>
        </w:tabs>
        <w:spacing w:line="360" w:lineRule="auto"/>
        <w:ind w:left="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Número de Serie del CSD del SAT;</w:t>
      </w:r>
    </w:p>
    <w:p w:rsidR="0019018D" w:rsidRPr="00124739" w:rsidRDefault="008011FF" w:rsidP="002F2DB1">
      <w:pPr>
        <w:numPr>
          <w:ilvl w:val="0"/>
          <w:numId w:val="6"/>
        </w:numPr>
        <w:pBdr>
          <w:top w:val="nil"/>
          <w:left w:val="nil"/>
          <w:bottom w:val="nil"/>
          <w:right w:val="nil"/>
          <w:between w:val="nil"/>
        </w:pBdr>
        <w:tabs>
          <w:tab w:val="left" w:pos="567"/>
        </w:tabs>
        <w:spacing w:line="360" w:lineRule="auto"/>
        <w:ind w:left="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Número de Serie del CDS del emisor;</w:t>
      </w:r>
    </w:p>
    <w:p w:rsidR="0019018D" w:rsidRPr="00124739" w:rsidRDefault="008011FF" w:rsidP="002F2DB1">
      <w:pPr>
        <w:numPr>
          <w:ilvl w:val="0"/>
          <w:numId w:val="6"/>
        </w:numPr>
        <w:pBdr>
          <w:top w:val="nil"/>
          <w:left w:val="nil"/>
          <w:bottom w:val="nil"/>
          <w:right w:val="nil"/>
          <w:between w:val="nil"/>
        </w:pBdr>
        <w:tabs>
          <w:tab w:val="left" w:pos="567"/>
        </w:tabs>
        <w:spacing w:line="360" w:lineRule="auto"/>
        <w:ind w:left="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Serie y folio;</w:t>
      </w:r>
    </w:p>
    <w:p w:rsidR="0019018D" w:rsidRPr="00124739" w:rsidRDefault="008011FF" w:rsidP="002F2DB1">
      <w:pPr>
        <w:numPr>
          <w:ilvl w:val="0"/>
          <w:numId w:val="6"/>
        </w:numPr>
        <w:pBdr>
          <w:top w:val="nil"/>
          <w:left w:val="nil"/>
          <w:bottom w:val="nil"/>
          <w:right w:val="nil"/>
          <w:between w:val="nil"/>
        </w:pBdr>
        <w:tabs>
          <w:tab w:val="left" w:pos="567"/>
        </w:tabs>
        <w:spacing w:line="360" w:lineRule="auto"/>
        <w:ind w:left="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Firma;</w:t>
      </w:r>
    </w:p>
    <w:p w:rsidR="0019018D" w:rsidRPr="00124739" w:rsidRDefault="008011FF" w:rsidP="002F2DB1">
      <w:pPr>
        <w:numPr>
          <w:ilvl w:val="0"/>
          <w:numId w:val="6"/>
        </w:numPr>
        <w:pBdr>
          <w:top w:val="nil"/>
          <w:left w:val="nil"/>
          <w:bottom w:val="nil"/>
          <w:right w:val="nil"/>
          <w:between w:val="nil"/>
        </w:pBdr>
        <w:tabs>
          <w:tab w:val="left" w:pos="567"/>
        </w:tabs>
        <w:spacing w:line="360" w:lineRule="auto"/>
        <w:ind w:left="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Código QR;</w:t>
      </w:r>
    </w:p>
    <w:p w:rsidR="0019018D" w:rsidRPr="00124739" w:rsidRDefault="008011FF" w:rsidP="002F2DB1">
      <w:pPr>
        <w:numPr>
          <w:ilvl w:val="0"/>
          <w:numId w:val="6"/>
        </w:numPr>
        <w:pBdr>
          <w:top w:val="nil"/>
          <w:left w:val="nil"/>
          <w:bottom w:val="nil"/>
          <w:right w:val="nil"/>
          <w:between w:val="nil"/>
        </w:pBdr>
        <w:tabs>
          <w:tab w:val="left" w:pos="567"/>
        </w:tabs>
        <w:spacing w:line="360" w:lineRule="auto"/>
        <w:ind w:left="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Sello Digital del Contribuyente; y</w:t>
      </w:r>
    </w:p>
    <w:p w:rsidR="0019018D" w:rsidRPr="00124739" w:rsidRDefault="008011FF" w:rsidP="002F2DB1">
      <w:pPr>
        <w:numPr>
          <w:ilvl w:val="0"/>
          <w:numId w:val="6"/>
        </w:numPr>
        <w:pBdr>
          <w:top w:val="nil"/>
          <w:left w:val="nil"/>
          <w:bottom w:val="nil"/>
          <w:right w:val="nil"/>
          <w:between w:val="nil"/>
        </w:pBdr>
        <w:tabs>
          <w:tab w:val="left" w:pos="567"/>
        </w:tabs>
        <w:spacing w:line="360" w:lineRule="auto"/>
        <w:ind w:left="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Sello Digital del SAT.</w:t>
      </w:r>
    </w:p>
    <w:p w:rsidR="0019018D" w:rsidRPr="00124739" w:rsidRDefault="0019018D" w:rsidP="002F2DB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19018D" w:rsidRPr="00124739" w:rsidRDefault="008011FF" w:rsidP="002F2DB1">
      <w:pPr>
        <w:pStyle w:val="Ttulo3"/>
        <w:numPr>
          <w:ilvl w:val="0"/>
          <w:numId w:val="6"/>
        </w:numPr>
        <w:ind w:left="0"/>
        <w:rPr>
          <w:rFonts w:ascii="Palatino Linotype" w:eastAsia="Palatino Linotype" w:hAnsi="Palatino Linotype" w:cs="Palatino Linotype"/>
          <w:b/>
          <w:color w:val="000000"/>
        </w:rPr>
      </w:pPr>
      <w:r w:rsidRPr="00124739">
        <w:rPr>
          <w:rFonts w:ascii="Palatino Linotype" w:eastAsia="Palatino Linotype" w:hAnsi="Palatino Linotype" w:cs="Palatino Linotype"/>
          <w:b/>
          <w:color w:val="000000"/>
        </w:rPr>
        <w:lastRenderedPageBreak/>
        <w:t>Clave Única de Registro de Población (CURP).</w:t>
      </w:r>
    </w:p>
    <w:p w:rsidR="0019018D" w:rsidRPr="00124739" w:rsidRDefault="0019018D" w:rsidP="002F2DB1">
      <w:pPr>
        <w:rPr>
          <w:rFonts w:ascii="Palatino Linotype" w:hAnsi="Palatino Linotype"/>
        </w:rPr>
      </w:pPr>
    </w:p>
    <w:p w:rsidR="0019018D" w:rsidRPr="00124739" w:rsidRDefault="008011FF" w:rsidP="002F2DB1">
      <w:pPr>
        <w:numPr>
          <w:ilvl w:val="0"/>
          <w:numId w:val="1"/>
        </w:numPr>
        <w:pBdr>
          <w:top w:val="nil"/>
          <w:left w:val="nil"/>
          <w:bottom w:val="nil"/>
          <w:right w:val="nil"/>
          <w:between w:val="nil"/>
        </w:pBd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rsidR="0019018D" w:rsidRPr="00124739" w:rsidRDefault="008011FF" w:rsidP="002F2DB1">
      <w:pPr>
        <w:shd w:val="clear" w:color="auto" w:fill="FFFFFF"/>
        <w:spacing w:before="240" w:after="240" w:line="360" w:lineRule="auto"/>
        <w:jc w:val="both"/>
        <w:rPr>
          <w:rFonts w:ascii="Palatino Linotype" w:eastAsia="Palatino Linotype" w:hAnsi="Palatino Linotype" w:cs="Palatino Linotype"/>
          <w:color w:val="222222"/>
        </w:rPr>
      </w:pPr>
      <w:r w:rsidRPr="00124739">
        <w:rPr>
          <w:rFonts w:ascii="Palatino Linotype" w:hAnsi="Palatino Linotype"/>
          <w:noProof/>
        </w:rPr>
        <w:drawing>
          <wp:inline distT="0" distB="0" distL="0" distR="0">
            <wp:extent cx="5305425" cy="4676775"/>
            <wp:effectExtent l="0" t="0" r="0" b="0"/>
            <wp:docPr id="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l="25747" t="8269" r="41253" b="18081"/>
                    <a:stretch>
                      <a:fillRect/>
                    </a:stretch>
                  </pic:blipFill>
                  <pic:spPr>
                    <a:xfrm>
                      <a:off x="0" y="0"/>
                      <a:ext cx="5305425" cy="4676775"/>
                    </a:xfrm>
                    <a:prstGeom prst="rect">
                      <a:avLst/>
                    </a:prstGeom>
                    <a:ln/>
                  </pic:spPr>
                </pic:pic>
              </a:graphicData>
            </a:graphic>
          </wp:inline>
        </w:drawing>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lastRenderedPageBreak/>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t xml:space="preserve">Entre las características de la CURP, se encuentra: </w:t>
      </w:r>
    </w:p>
    <w:p w:rsidR="0019018D" w:rsidRPr="00124739" w:rsidRDefault="008011FF" w:rsidP="002F2DB1">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b/>
          <w:color w:val="000000"/>
        </w:rPr>
        <w:t xml:space="preserve">Composición. </w:t>
      </w:r>
      <w:r w:rsidRPr="00124739">
        <w:rPr>
          <w:rFonts w:ascii="Palatino Linotype" w:eastAsia="Palatino Linotype" w:hAnsi="Palatino Linotype" w:cs="Palatino Linotype"/>
          <w:color w:val="000000"/>
        </w:rPr>
        <w:t>Alfanumérica.</w:t>
      </w:r>
    </w:p>
    <w:p w:rsidR="0019018D" w:rsidRPr="00124739" w:rsidRDefault="008011FF" w:rsidP="002F2DB1">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b/>
          <w:color w:val="000000"/>
        </w:rPr>
        <w:t xml:space="preserve">Longitud. </w:t>
      </w:r>
      <w:r w:rsidRPr="00124739">
        <w:rPr>
          <w:rFonts w:ascii="Palatino Linotype" w:eastAsia="Palatino Linotype" w:hAnsi="Palatino Linotype" w:cs="Palatino Linotype"/>
          <w:color w:val="000000"/>
        </w:rPr>
        <w:t xml:space="preserve"> 18 caracteres.</w:t>
      </w:r>
    </w:p>
    <w:p w:rsidR="0019018D" w:rsidRPr="00124739" w:rsidRDefault="008011FF" w:rsidP="002F2DB1">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b/>
          <w:color w:val="000000"/>
        </w:rPr>
        <w:t xml:space="preserve">Naturaleza. </w:t>
      </w:r>
      <w:r w:rsidRPr="00124739">
        <w:rPr>
          <w:rFonts w:ascii="Palatino Linotype" w:eastAsia="Palatino Linotype" w:hAnsi="Palatino Linotype" w:cs="Palatino Linotype"/>
          <w:color w:val="000000"/>
        </w:rPr>
        <w:t>Biunívoca.</w:t>
      </w:r>
    </w:p>
    <w:p w:rsidR="0019018D" w:rsidRPr="00124739" w:rsidRDefault="008011FF" w:rsidP="002F2DB1">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b/>
          <w:color w:val="000000"/>
        </w:rPr>
        <w:t xml:space="preserve">Universalidad. </w:t>
      </w:r>
      <w:r w:rsidRPr="00124739">
        <w:rPr>
          <w:rFonts w:ascii="Palatino Linotype" w:eastAsia="Palatino Linotype" w:hAnsi="Palatino Linotype" w:cs="Palatino Linotype"/>
          <w:color w:val="000000"/>
        </w:rPr>
        <w:t>Se asigna a todas las personas que conforman la población.</w:t>
      </w:r>
    </w:p>
    <w:p w:rsidR="0019018D" w:rsidRPr="00124739" w:rsidRDefault="008011FF" w:rsidP="002F2DB1">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b/>
          <w:color w:val="000000"/>
        </w:rPr>
      </w:pPr>
      <w:r w:rsidRPr="00124739">
        <w:rPr>
          <w:rFonts w:ascii="Palatino Linotype" w:eastAsia="Palatino Linotype" w:hAnsi="Palatino Linotype" w:cs="Palatino Linotype"/>
          <w:b/>
          <w:color w:val="000000"/>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lastRenderedPageBreak/>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t xml:space="preserve">Ante ello, resulta aplicable el Criterio 18/17 emitido por el Instituto Nacional de Transparencia, Acceso a la Información y Protección de Datos Personales, que a la literalidad señala: </w:t>
      </w:r>
    </w:p>
    <w:p w:rsidR="0019018D" w:rsidRPr="00124739" w:rsidRDefault="008011FF" w:rsidP="002F2DB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i/>
          <w:color w:val="000000"/>
        </w:rPr>
        <w:t>“</w:t>
      </w:r>
      <w:r w:rsidRPr="00124739">
        <w:rPr>
          <w:rFonts w:ascii="Palatino Linotype" w:eastAsia="Palatino Linotype" w:hAnsi="Palatino Linotype" w:cs="Palatino Linotype"/>
          <w:b/>
          <w:i/>
          <w:color w:val="000000"/>
        </w:rPr>
        <w:t xml:space="preserve">Clave Única de Registro de Población (CURP). </w:t>
      </w:r>
      <w:r w:rsidRPr="00124739">
        <w:rPr>
          <w:rFonts w:ascii="Palatino Linotype" w:eastAsia="Palatino Linotype" w:hAnsi="Palatino Linotype" w:cs="Palatino Linotype"/>
          <w:i/>
          <w:color w:val="00000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w:t>
      </w:r>
    </w:p>
    <w:p w:rsidR="0019018D" w:rsidRPr="00124739" w:rsidRDefault="0019018D" w:rsidP="002F2DB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19018D" w:rsidRPr="00124739" w:rsidRDefault="008011FF" w:rsidP="002F2DB1">
      <w:pPr>
        <w:pStyle w:val="Ttulo3"/>
        <w:numPr>
          <w:ilvl w:val="0"/>
          <w:numId w:val="8"/>
        </w:numPr>
        <w:ind w:left="0"/>
        <w:rPr>
          <w:rFonts w:ascii="Palatino Linotype" w:eastAsia="Palatino Linotype" w:hAnsi="Palatino Linotype" w:cs="Palatino Linotype"/>
          <w:b/>
          <w:color w:val="000000"/>
        </w:rPr>
      </w:pPr>
      <w:r w:rsidRPr="00124739">
        <w:rPr>
          <w:rFonts w:ascii="Palatino Linotype" w:eastAsia="Palatino Linotype" w:hAnsi="Palatino Linotype" w:cs="Palatino Linotype"/>
          <w:b/>
          <w:color w:val="000000"/>
        </w:rPr>
        <w:t xml:space="preserve">Clave </w:t>
      </w:r>
      <w:proofErr w:type="spellStart"/>
      <w:r w:rsidRPr="00124739">
        <w:rPr>
          <w:rFonts w:ascii="Palatino Linotype" w:eastAsia="Palatino Linotype" w:hAnsi="Palatino Linotype" w:cs="Palatino Linotype"/>
          <w:b/>
          <w:color w:val="000000"/>
        </w:rPr>
        <w:t>ISSEMyM</w:t>
      </w:r>
      <w:proofErr w:type="spellEnd"/>
    </w:p>
    <w:p w:rsidR="0019018D" w:rsidRPr="00124739" w:rsidRDefault="0019018D" w:rsidP="002F2DB1">
      <w:pPr>
        <w:rPr>
          <w:rFonts w:ascii="Palatino Linotype" w:hAnsi="Palatino Linotype"/>
        </w:rPr>
      </w:pP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lastRenderedPageBreak/>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bookmarkStart w:id="9" w:name="_heading=h.26in1rg" w:colFirst="0" w:colLast="0"/>
      <w:bookmarkEnd w:id="9"/>
      <w:r w:rsidRPr="00124739">
        <w:rPr>
          <w:rFonts w:ascii="Palatino Linotype" w:eastAsia="Palatino Linotype" w:hAnsi="Palatino Linotype" w:cs="Palatino Linotype"/>
          <w:color w:val="000000"/>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rsidR="0019018D" w:rsidRPr="00124739" w:rsidRDefault="008011FF" w:rsidP="002F2DB1">
      <w:pPr>
        <w:pStyle w:val="Ttulo3"/>
        <w:numPr>
          <w:ilvl w:val="0"/>
          <w:numId w:val="8"/>
        </w:numPr>
        <w:ind w:left="0"/>
        <w:rPr>
          <w:rFonts w:ascii="Palatino Linotype" w:eastAsia="Palatino Linotype" w:hAnsi="Palatino Linotype" w:cs="Palatino Linotype"/>
          <w:b/>
          <w:color w:val="000000"/>
        </w:rPr>
      </w:pPr>
      <w:r w:rsidRPr="00124739">
        <w:rPr>
          <w:rFonts w:ascii="Palatino Linotype" w:eastAsia="Palatino Linotype" w:hAnsi="Palatino Linotype" w:cs="Palatino Linotype"/>
          <w:b/>
          <w:color w:val="000000"/>
        </w:rPr>
        <w:t>Número de empleado.</w:t>
      </w:r>
    </w:p>
    <w:p w:rsidR="0019018D" w:rsidRPr="00124739" w:rsidRDefault="008011FF" w:rsidP="002F2DB1">
      <w:pPr>
        <w:numPr>
          <w:ilvl w:val="0"/>
          <w:numId w:val="1"/>
        </w:numPr>
        <w:shd w:val="clear" w:color="auto" w:fill="FFFFFF"/>
        <w:spacing w:before="240" w:after="240" w:line="360" w:lineRule="auto"/>
        <w:ind w:left="0" w:hanging="142"/>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t xml:space="preserve">El número de empleado de los servidores públicos del Ayuntamiento son asignados por el Departamento de Recursos Humanos o equivalente y se trata de un código identificador para uso exclusivo del empleado que, de vincularse y relacionarse </w:t>
      </w:r>
      <w:r w:rsidRPr="00124739">
        <w:rPr>
          <w:rFonts w:ascii="Palatino Linotype" w:eastAsia="Palatino Linotype" w:hAnsi="Palatino Linotype" w:cs="Palatino Linotype"/>
          <w:color w:val="000000"/>
        </w:rPr>
        <w:lastRenderedPageBreak/>
        <w:t>al RFC lo hace identificable plenamente y, con los mismos se puede tener acceso a diversa información, inclusive con sus datos personales.</w:t>
      </w:r>
    </w:p>
    <w:p w:rsidR="0019018D" w:rsidRPr="00124739" w:rsidRDefault="008011FF" w:rsidP="002F2DB1">
      <w:pPr>
        <w:numPr>
          <w:ilvl w:val="0"/>
          <w:numId w:val="1"/>
        </w:numPr>
        <w:shd w:val="clear" w:color="auto" w:fill="FFFFFF"/>
        <w:spacing w:before="240" w:after="240" w:line="360" w:lineRule="auto"/>
        <w:ind w:left="0" w:hanging="142"/>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t>Se trata de un número de identificación personal utilizado como usuario para acceder a diferentes aplicaciones internas del Ayuntamiento y que en las cuales existe información confidencial que atañe a su titular sirve de apoyo el criterio 06/19 emitido por el instituto Nacional de Transparencia, Acceso a la Información y Protección de Datos Personales (INAI):</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b/>
          <w:i/>
          <w:color w:val="000000"/>
        </w:rPr>
        <w:t>Número de empleado.</w:t>
      </w:r>
      <w:r w:rsidRPr="00124739">
        <w:rPr>
          <w:rFonts w:ascii="Palatino Linotype" w:eastAsia="Palatino Linotype" w:hAnsi="Palatino Linotype" w:cs="Palatino Linotype"/>
          <w:i/>
          <w:color w:val="000000"/>
        </w:rPr>
        <w:t xml:space="preserve"> Cuando el número de empleado o su equivalente, se integra con datos personales de los trabajadores o funciona como una clave de acceso que no requiere adicionalmente de una contraseña para ingresar a sistemas de base de datos personales, procede su clasificación como confidencial.</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t>En otros escenarios, el número de empleado corresponde sólo a un número consecutivo que no contiene datos personales ni se relaciona con los mismos, por lo que, el Sujeto Obligado deberá de clasificar dicho dato únicamente si se integra con datos personales, tal y como lo señala el criterio orientador.</w:t>
      </w:r>
    </w:p>
    <w:p w:rsidR="0019018D" w:rsidRPr="00124739" w:rsidRDefault="008011FF" w:rsidP="002F2DB1">
      <w:pPr>
        <w:pStyle w:val="Ttulo3"/>
        <w:numPr>
          <w:ilvl w:val="0"/>
          <w:numId w:val="8"/>
        </w:numPr>
        <w:ind w:left="0"/>
        <w:rPr>
          <w:rFonts w:ascii="Palatino Linotype" w:eastAsia="Palatino Linotype" w:hAnsi="Palatino Linotype" w:cs="Palatino Linotype"/>
          <w:b/>
          <w:color w:val="000000"/>
        </w:rPr>
      </w:pPr>
      <w:r w:rsidRPr="00124739">
        <w:rPr>
          <w:rFonts w:ascii="Palatino Linotype" w:eastAsia="Palatino Linotype" w:hAnsi="Palatino Linotype" w:cs="Palatino Linotype"/>
          <w:b/>
          <w:color w:val="000000"/>
        </w:rPr>
        <w:t>Registro Federal de Contribuyentes (RFC)</w:t>
      </w:r>
    </w:p>
    <w:p w:rsidR="0019018D" w:rsidRPr="00124739" w:rsidRDefault="0019018D" w:rsidP="002F2DB1">
      <w:pPr>
        <w:rPr>
          <w:rFonts w:ascii="Palatino Linotype" w:hAnsi="Palatino Linotype"/>
        </w:rPr>
      </w:pP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lastRenderedPageBreak/>
        <w:t xml:space="preserve">De acuerdo a lo establecido en el artículo en comento, esta clave se compone de trece caracteres alfanuméricos, con datos obtenidos de los apellidos, nombre (s), fecha de nacimiento del titular, más una </w:t>
      </w:r>
      <w:proofErr w:type="spellStart"/>
      <w:r w:rsidRPr="00124739">
        <w:rPr>
          <w:rFonts w:ascii="Palatino Linotype" w:eastAsia="Palatino Linotype" w:hAnsi="Palatino Linotype" w:cs="Palatino Linotype"/>
          <w:color w:val="000000"/>
        </w:rPr>
        <w:t>homoclave</w:t>
      </w:r>
      <w:proofErr w:type="spellEnd"/>
      <w:r w:rsidRPr="00124739">
        <w:rPr>
          <w:rFonts w:ascii="Palatino Linotype" w:eastAsia="Palatino Linotype" w:hAnsi="Palatino Linotype" w:cs="Palatino Linotype"/>
          <w:color w:val="000000"/>
        </w:rPr>
        <w:t xml:space="preserve"> que establece el sistema automático del Servicio de Administración Tributaria.</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t>Lo anterior, resulta congruente con el Criterio 19/17 emitido por el Instituto Nacional de Transparencia, Acceso a la Información y Protección de Datos Personales, en el cual se señala lo siguiente:</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sidRPr="00124739">
        <w:rPr>
          <w:rFonts w:ascii="Palatino Linotype" w:eastAsia="Palatino Linotype" w:hAnsi="Palatino Linotype" w:cs="Palatino Linotype"/>
          <w:b/>
          <w:i/>
          <w:color w:val="000000"/>
        </w:rPr>
        <w:t xml:space="preserve">Registro Federal de Contribuyentes (RFC) de personas físicas. </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lastRenderedPageBreak/>
        <w:t xml:space="preserve">El RFC es una clave de carácter fiscal, </w:t>
      </w:r>
      <w:proofErr w:type="gramStart"/>
      <w:r w:rsidRPr="00124739">
        <w:rPr>
          <w:rFonts w:ascii="Palatino Linotype" w:eastAsia="Palatino Linotype" w:hAnsi="Palatino Linotype" w:cs="Palatino Linotype"/>
          <w:i/>
          <w:color w:val="000000"/>
        </w:rPr>
        <w:t>única</w:t>
      </w:r>
      <w:proofErr w:type="gramEnd"/>
      <w:r w:rsidRPr="00124739">
        <w:rPr>
          <w:rFonts w:ascii="Palatino Linotype" w:eastAsia="Palatino Linotype" w:hAnsi="Palatino Linotype" w:cs="Palatino Linotype"/>
          <w:i/>
          <w:color w:val="000000"/>
        </w:rPr>
        <w:t xml:space="preserve"> e irrepetible, que permite identificar al titular, su edad y fecha de nacimiento, por lo que es un dato personal de carácter confidencial.</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bookmarkStart w:id="10" w:name="_heading=h.35nkun2" w:colFirst="0" w:colLast="0"/>
      <w:bookmarkEnd w:id="10"/>
      <w:r w:rsidRPr="00124739">
        <w:rPr>
          <w:rFonts w:ascii="Palatino Linotype" w:eastAsia="Palatino Linotype" w:hAnsi="Palatino Linotype" w:cs="Palatino Linotype"/>
          <w:b/>
          <w:color w:val="000000"/>
        </w:rPr>
        <w:t>De tal suerte, el Registro Federal de Contribuyentes de las personas físicas no guarda relación con la transparencia de los recursos públicos</w:t>
      </w:r>
      <w:r w:rsidRPr="00124739">
        <w:rPr>
          <w:rFonts w:ascii="Palatino Linotype" w:eastAsia="Palatino Linotype" w:hAnsi="Palatino Linotype" w:cs="Palatino Linotype"/>
          <w:color w:val="000000"/>
        </w:rPr>
        <w:t>, así como tampoco con el desempeño laboral que pueda tener una persona.</w:t>
      </w:r>
    </w:p>
    <w:p w:rsidR="0019018D" w:rsidRPr="00124739" w:rsidRDefault="008011FF" w:rsidP="002F2DB1">
      <w:pPr>
        <w:pStyle w:val="Ttulo3"/>
        <w:numPr>
          <w:ilvl w:val="0"/>
          <w:numId w:val="8"/>
        </w:numPr>
        <w:ind w:left="0"/>
        <w:rPr>
          <w:rFonts w:ascii="Palatino Linotype" w:eastAsia="Palatino Linotype" w:hAnsi="Palatino Linotype" w:cs="Palatino Linotype"/>
          <w:b/>
          <w:color w:val="000000"/>
        </w:rPr>
      </w:pPr>
      <w:r w:rsidRPr="00124739">
        <w:rPr>
          <w:rFonts w:ascii="Palatino Linotype" w:eastAsia="Palatino Linotype" w:hAnsi="Palatino Linotype" w:cs="Palatino Linotype"/>
          <w:b/>
          <w:color w:val="000000"/>
        </w:rPr>
        <w:t>Deducciones personales</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t xml:space="preserve">Es necesario precisar que existen deducciones que se generan con motivo de una decisión libre y voluntaria de los servidores públicos, como son: créditos personales, </w:t>
      </w:r>
      <w:r w:rsidRPr="00124739">
        <w:rPr>
          <w:rFonts w:ascii="Palatino Linotype" w:eastAsia="Palatino Linotype" w:hAnsi="Palatino Linotype" w:cs="Palatino Linotype"/>
          <w:b/>
          <w:color w:val="000000"/>
          <w:u w:val="single"/>
        </w:rPr>
        <w:t>cuotas sindicales y fondo de resistencia del Sindicato Único de Trabajadores de los Poderes, Municipios e Institución Descentralizadas del Estado de México</w:t>
      </w:r>
      <w:r w:rsidRPr="00124739">
        <w:rPr>
          <w:rFonts w:ascii="Palatino Linotype" w:eastAsia="Palatino Linotype" w:hAnsi="Palatino Linotype" w:cs="Palatino Linotype"/>
          <w:color w:val="000000"/>
        </w:rPr>
        <w:t>, seguro de vida, accidentes y enfermedades.</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t xml:space="preserve">Asimismo, hay otras que se generan con motivo de una sentencia judicial, como es la pensión alimenticia que periódicamente se retira de la cuenta de un empleado, a efecto de que sea entregado a un tercero.  </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bookmarkStart w:id="11" w:name="_heading=h.1ksv4uv" w:colFirst="0" w:colLast="0"/>
      <w:bookmarkEnd w:id="11"/>
      <w:r w:rsidRPr="00124739">
        <w:rPr>
          <w:rFonts w:ascii="Palatino Linotype" w:eastAsia="Palatino Linotype" w:hAnsi="Palatino Linotype" w:cs="Palatino Linotype"/>
          <w:color w:val="000000"/>
        </w:rPr>
        <w:lastRenderedPageBreak/>
        <w:t>Así, dichas deducciones reflejan el destino que un servidor público da a su patrimonio, lo que se aleja de la transparencia y rendición de cuentas.</w:t>
      </w:r>
    </w:p>
    <w:p w:rsidR="0019018D" w:rsidRPr="00124739" w:rsidRDefault="008011FF" w:rsidP="002F2DB1">
      <w:pPr>
        <w:pStyle w:val="Ttulo3"/>
        <w:numPr>
          <w:ilvl w:val="0"/>
          <w:numId w:val="8"/>
        </w:numPr>
        <w:ind w:left="0"/>
        <w:rPr>
          <w:rFonts w:ascii="Palatino Linotype" w:eastAsia="Palatino Linotype" w:hAnsi="Palatino Linotype" w:cs="Palatino Linotype"/>
          <w:b/>
          <w:color w:val="000000"/>
        </w:rPr>
      </w:pPr>
      <w:r w:rsidRPr="00124739">
        <w:rPr>
          <w:rFonts w:ascii="Palatino Linotype" w:eastAsia="Palatino Linotype" w:hAnsi="Palatino Linotype" w:cs="Palatino Linotype"/>
          <w:b/>
          <w:color w:val="000000"/>
        </w:rPr>
        <w:t>CÓDIGO QR</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t xml:space="preserve">En principio, resulta necesario señalar que los comprobantes fiscales digitales por Internet, deben de incluir un código bidimensional conforme al formato </w:t>
      </w:r>
      <w:r w:rsidRPr="00124739">
        <w:rPr>
          <w:rFonts w:ascii="Palatino Linotype" w:eastAsia="Palatino Linotype" w:hAnsi="Palatino Linotype" w:cs="Palatino Linotype"/>
          <w:i/>
          <w:color w:val="000000"/>
        </w:rPr>
        <w:t xml:space="preserve">QR </w:t>
      </w:r>
      <w:proofErr w:type="spellStart"/>
      <w:r w:rsidRPr="00124739">
        <w:rPr>
          <w:rFonts w:ascii="Palatino Linotype" w:eastAsia="Palatino Linotype" w:hAnsi="Palatino Linotype" w:cs="Palatino Linotype"/>
          <w:i/>
          <w:color w:val="000000"/>
        </w:rPr>
        <w:t>Code</w:t>
      </w:r>
      <w:proofErr w:type="spellEnd"/>
      <w:r w:rsidRPr="00124739">
        <w:rPr>
          <w:rFonts w:ascii="Palatino Linotype" w:eastAsia="Palatino Linotype" w:hAnsi="Palatino Linotype" w:cs="Palatino Linotype"/>
          <w:i/>
          <w:color w:val="000000"/>
        </w:rPr>
        <w:t xml:space="preserve"> (Quick Response </w:t>
      </w:r>
      <w:proofErr w:type="spellStart"/>
      <w:r w:rsidRPr="00124739">
        <w:rPr>
          <w:rFonts w:ascii="Palatino Linotype" w:eastAsia="Palatino Linotype" w:hAnsi="Palatino Linotype" w:cs="Palatino Linotype"/>
          <w:i/>
          <w:color w:val="000000"/>
        </w:rPr>
        <w:t>Code</w:t>
      </w:r>
      <w:proofErr w:type="spellEnd"/>
      <w:r w:rsidRPr="00124739">
        <w:rPr>
          <w:rFonts w:ascii="Palatino Linotype" w:eastAsia="Palatino Linotype" w:hAnsi="Palatino Linotype" w:cs="Palatino Linotype"/>
          <w:i/>
          <w:color w:val="000000"/>
        </w:rPr>
        <w:t>)</w:t>
      </w:r>
      <w:r w:rsidRPr="00124739">
        <w:rPr>
          <w:rFonts w:ascii="Palatino Linotype" w:eastAsia="Palatino Linotype" w:hAnsi="Palatino Linotype" w:cs="Palatino Linotype"/>
          <w:color w:val="000000"/>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5">
        <w:r w:rsidRPr="00124739">
          <w:rPr>
            <w:rFonts w:ascii="Palatino Linotype" w:eastAsia="Palatino Linotype" w:hAnsi="Palatino Linotype" w:cs="Palatino Linotype"/>
            <w:color w:val="0563C1"/>
            <w:u w:val="single"/>
          </w:rPr>
          <w:t>http://dof.gob.mx/nota_detalle.php?codigo=5492254&amp;fecha=28/07/2017</w:t>
        </w:r>
      </w:hyperlink>
      <w:r w:rsidRPr="00124739">
        <w:rPr>
          <w:rFonts w:ascii="Palatino Linotype" w:eastAsia="Palatino Linotype" w:hAnsi="Palatino Linotype" w:cs="Palatino Linotype"/>
          <w:color w:val="000000"/>
        </w:rPr>
        <w:t>. Incluso con la captura de dicho código, a través de la aplicación móvil del Servicio de Administración Tributaria, permite el acceso al Registro Federal de Contribuyentes, como del Sujeto Obligado, como de los servidores públicos.</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t>Hasta este punto, se considera que la información relacionada con los siguientes puntos actualiza una causal de confidencialidad, toda vez que identifica o hace identificable a su titular.</w:t>
      </w:r>
    </w:p>
    <w:p w:rsidR="0019018D" w:rsidRPr="00124739" w:rsidRDefault="008011FF" w:rsidP="002F2DB1">
      <w:pPr>
        <w:numPr>
          <w:ilvl w:val="0"/>
          <w:numId w:val="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Clave Única de Registro de Población (CURP)</w:t>
      </w:r>
    </w:p>
    <w:p w:rsidR="0019018D" w:rsidRPr="00124739" w:rsidRDefault="008011FF" w:rsidP="002F2DB1">
      <w:pPr>
        <w:numPr>
          <w:ilvl w:val="0"/>
          <w:numId w:val="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 xml:space="preserve">Clave </w:t>
      </w:r>
      <w:proofErr w:type="spellStart"/>
      <w:r w:rsidRPr="00124739">
        <w:rPr>
          <w:rFonts w:ascii="Palatino Linotype" w:eastAsia="Palatino Linotype" w:hAnsi="Palatino Linotype" w:cs="Palatino Linotype"/>
          <w:color w:val="000000"/>
        </w:rPr>
        <w:t>ISSEMyM</w:t>
      </w:r>
      <w:proofErr w:type="spellEnd"/>
    </w:p>
    <w:p w:rsidR="0019018D" w:rsidRPr="00124739" w:rsidRDefault="008011FF" w:rsidP="002F2DB1">
      <w:pPr>
        <w:numPr>
          <w:ilvl w:val="0"/>
          <w:numId w:val="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lastRenderedPageBreak/>
        <w:t xml:space="preserve">Número de empleado </w:t>
      </w:r>
      <w:r w:rsidRPr="00124739">
        <w:rPr>
          <w:rFonts w:ascii="Palatino Linotype" w:eastAsia="Palatino Linotype" w:hAnsi="Palatino Linotype" w:cs="Palatino Linotype"/>
          <w:b/>
          <w:color w:val="000000"/>
        </w:rPr>
        <w:t>(sólo en el caso de que contenga datos personales o se relacione con los mismos, de lo contrario es información pública)</w:t>
      </w:r>
    </w:p>
    <w:p w:rsidR="0019018D" w:rsidRPr="00124739" w:rsidRDefault="008011FF" w:rsidP="002F2DB1">
      <w:pPr>
        <w:numPr>
          <w:ilvl w:val="0"/>
          <w:numId w:val="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Registro Federal de Contribuyentes (RFC)</w:t>
      </w:r>
    </w:p>
    <w:p w:rsidR="0019018D" w:rsidRPr="00124739" w:rsidRDefault="008011FF" w:rsidP="002F2DB1">
      <w:pPr>
        <w:numPr>
          <w:ilvl w:val="0"/>
          <w:numId w:val="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Deducciones personales</w:t>
      </w:r>
    </w:p>
    <w:p w:rsidR="0019018D" w:rsidRPr="00124739" w:rsidRDefault="008011FF" w:rsidP="002F2DB1">
      <w:pPr>
        <w:numPr>
          <w:ilvl w:val="0"/>
          <w:numId w:val="7"/>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rPr>
      </w:pPr>
      <w:r w:rsidRPr="00124739">
        <w:rPr>
          <w:rFonts w:ascii="Palatino Linotype" w:eastAsia="Palatino Linotype" w:hAnsi="Palatino Linotype" w:cs="Palatino Linotype"/>
          <w:b/>
          <w:color w:val="000000"/>
        </w:rPr>
        <w:t>Código QR</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t>Es decir, los datos personales enlistados constituyen datos personales confidenciales al actualizar el supuesto normativo del artículo 143, fracción I de la Ley de Transparencia y Acceso a la Información Pública del Estado de México y Municipios.</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t>En consecuencia, si deben ser clasificados como confidenciales y es procedente que se proporcionen a través de una versión pública que los proteja. No obstante, es necesario continuar con el análisis de la información que a dicho del Sujeto Obligado debe ser clasificada como confidencial.</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bookmarkStart w:id="12" w:name="_heading=h.44sinio" w:colFirst="0" w:colLast="0"/>
      <w:bookmarkEnd w:id="12"/>
      <w:r w:rsidRPr="00124739">
        <w:rPr>
          <w:rFonts w:ascii="Palatino Linotype" w:eastAsia="Palatino Linotype" w:hAnsi="Palatino Linotype" w:cs="Palatino Linotype"/>
          <w:color w:val="000000"/>
        </w:rPr>
        <w:t>Ahora bien, siguiendo con el análisis de los datos que contienen los recibos remitidos, siguen los siguientes:</w:t>
      </w:r>
    </w:p>
    <w:p w:rsidR="0019018D" w:rsidRPr="00124739" w:rsidRDefault="008011FF" w:rsidP="002F2DB1">
      <w:pPr>
        <w:pStyle w:val="Ttulo3"/>
        <w:numPr>
          <w:ilvl w:val="0"/>
          <w:numId w:val="9"/>
        </w:numPr>
        <w:spacing w:line="360" w:lineRule="auto"/>
        <w:ind w:left="0"/>
        <w:jc w:val="both"/>
        <w:rPr>
          <w:rFonts w:ascii="Palatino Linotype" w:eastAsia="Palatino Linotype" w:hAnsi="Palatino Linotype" w:cs="Palatino Linotype"/>
          <w:b/>
          <w:color w:val="000000"/>
        </w:rPr>
      </w:pPr>
      <w:r w:rsidRPr="00124739">
        <w:rPr>
          <w:rFonts w:ascii="Palatino Linotype" w:eastAsia="Palatino Linotype" w:hAnsi="Palatino Linotype" w:cs="Palatino Linotype"/>
          <w:b/>
          <w:color w:val="000000"/>
        </w:rPr>
        <w:t>Sellos digitales del emisor y del Servicio de Administración Tributaria y cadena original del complemento de certificación digital del órgano previamente señalado; así como folio fiscal. (PUBLICOS)</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w:t>
      </w:r>
      <w:r w:rsidRPr="00124739">
        <w:rPr>
          <w:rFonts w:ascii="Palatino Linotype" w:eastAsia="Palatino Linotype" w:hAnsi="Palatino Linotype" w:cs="Palatino Linotype"/>
          <w:color w:val="000000"/>
        </w:rPr>
        <w:lastRenderedPageBreak/>
        <w:t>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t>Las cadenas originales y sellos que se agregan a las facturas</w:t>
      </w:r>
      <w:r w:rsidRPr="00124739">
        <w:rPr>
          <w:rFonts w:ascii="Palatino Linotype" w:eastAsia="Palatino Linotype" w:hAnsi="Palatino Linotype" w:cs="Palatino Linotype"/>
          <w:b/>
          <w:color w:val="000000"/>
        </w:rPr>
        <w:t>,</w:t>
      </w:r>
      <w:r w:rsidRPr="00124739">
        <w:rPr>
          <w:rFonts w:ascii="Palatino Linotype" w:eastAsia="Palatino Linotype" w:hAnsi="Palatino Linotype" w:cs="Palatino Linotype"/>
          <w:color w:val="000000"/>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“Elementos utilizados en la generación de Sellos Digitales:</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•Cadena Original, el elemento a sellar, en este caso de un comprobante fiscal digital a través de Internet.</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•Certificado de Sello Digital y su correspondiente clave privada.</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•Algoritmos de criptografía de clave pública para firma electrónica avanzada.</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•Especificaciones de conversión de la firma electrónica avanzada a Base 64.</w:t>
      </w:r>
    </w:p>
    <w:p w:rsidR="0019018D" w:rsidRPr="00124739" w:rsidRDefault="008011FF" w:rsidP="002F2DB1">
      <w:pPr>
        <w:spacing w:line="360" w:lineRule="auto"/>
        <w:jc w:val="both"/>
        <w:rPr>
          <w:rFonts w:ascii="Palatino Linotype" w:eastAsia="Palatino Linotype" w:hAnsi="Palatino Linotype" w:cs="Palatino Linotype"/>
          <w:i/>
        </w:rPr>
      </w:pPr>
      <w:r w:rsidRPr="00124739">
        <w:rPr>
          <w:rFonts w:ascii="Palatino Linotype" w:eastAsia="Palatino Linotype" w:hAnsi="Palatino Linotype" w:cs="Palatino Linotype"/>
          <w:i/>
        </w:rPr>
        <w:t>Para la generación de sellos digitales se utiliza criptografía de clave pública aplicada a una cadena original.</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Criptografía de la Clave Pública</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lastRenderedPageBreak/>
        <w:t xml:space="preserve">La criptografía de Clave Pública se basa en la generación de una pareja de números muy grandes relacionados íntimamente entre sí, de tal manera que una operación de </w:t>
      </w:r>
      <w:proofErr w:type="spellStart"/>
      <w:r w:rsidRPr="00124739">
        <w:rPr>
          <w:rFonts w:ascii="Palatino Linotype" w:eastAsia="Palatino Linotype" w:hAnsi="Palatino Linotype" w:cs="Palatino Linotype"/>
          <w:i/>
          <w:color w:val="000000"/>
        </w:rPr>
        <w:t>encripción</w:t>
      </w:r>
      <w:proofErr w:type="spellEnd"/>
      <w:r w:rsidRPr="00124739">
        <w:rPr>
          <w:rFonts w:ascii="Palatino Linotype" w:eastAsia="Palatino Linotype" w:hAnsi="Palatino Linotype" w:cs="Palatino Linotype"/>
          <w:i/>
          <w:color w:val="000000"/>
        </w:rPr>
        <w:t xml:space="preserve"> sobre un mensaje tomando como clave de </w:t>
      </w:r>
      <w:proofErr w:type="spellStart"/>
      <w:r w:rsidRPr="00124739">
        <w:rPr>
          <w:rFonts w:ascii="Palatino Linotype" w:eastAsia="Palatino Linotype" w:hAnsi="Palatino Linotype" w:cs="Palatino Linotype"/>
          <w:i/>
          <w:color w:val="000000"/>
        </w:rPr>
        <w:t>encripción</w:t>
      </w:r>
      <w:proofErr w:type="spellEnd"/>
      <w:r w:rsidRPr="00124739">
        <w:rPr>
          <w:rFonts w:ascii="Palatino Linotype" w:eastAsia="Palatino Linotype" w:hAnsi="Palatino Linotype" w:cs="Palatino Linotype"/>
          <w:i/>
          <w:color w:val="000000"/>
        </w:rPr>
        <w:t xml:space="preserve"> a uno de los dos números, produce un mensaje alterado en su significado que solo puede ser devuelto a su estado original mediante la operación de </w:t>
      </w:r>
      <w:proofErr w:type="spellStart"/>
      <w:r w:rsidRPr="00124739">
        <w:rPr>
          <w:rFonts w:ascii="Palatino Linotype" w:eastAsia="Palatino Linotype" w:hAnsi="Palatino Linotype" w:cs="Palatino Linotype"/>
          <w:i/>
          <w:color w:val="000000"/>
        </w:rPr>
        <w:t>desencripción</w:t>
      </w:r>
      <w:proofErr w:type="spellEnd"/>
      <w:r w:rsidRPr="00124739">
        <w:rPr>
          <w:rFonts w:ascii="Palatino Linotype" w:eastAsia="Palatino Linotype" w:hAnsi="Palatino Linotype" w:cs="Palatino Linotype"/>
          <w:i/>
          <w:color w:val="000000"/>
        </w:rPr>
        <w:t xml:space="preserve"> correspondiente tomando como clave de </w:t>
      </w:r>
      <w:proofErr w:type="spellStart"/>
      <w:r w:rsidRPr="00124739">
        <w:rPr>
          <w:rFonts w:ascii="Palatino Linotype" w:eastAsia="Palatino Linotype" w:hAnsi="Palatino Linotype" w:cs="Palatino Linotype"/>
          <w:i/>
          <w:color w:val="000000"/>
        </w:rPr>
        <w:t>desencripción</w:t>
      </w:r>
      <w:proofErr w:type="spellEnd"/>
      <w:r w:rsidRPr="00124739">
        <w:rPr>
          <w:rFonts w:ascii="Palatino Linotype" w:eastAsia="Palatino Linotype" w:hAnsi="Palatino Linotype" w:cs="Palatino Linotype"/>
          <w:i/>
          <w:color w:val="000000"/>
        </w:rPr>
        <w:t xml:space="preserve"> al otro número de la pareja.”</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t>Por otra parte,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rsidR="0019018D" w:rsidRPr="00124739" w:rsidRDefault="008011FF" w:rsidP="002F2DB1">
      <w:pPr>
        <w:shd w:val="clear" w:color="auto" w:fill="FFFFFF"/>
        <w:spacing w:before="240" w:after="240" w:line="360" w:lineRule="auto"/>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noProof/>
        </w:rPr>
        <w:drawing>
          <wp:inline distT="0" distB="0" distL="0" distR="0">
            <wp:extent cx="5612130" cy="424735"/>
            <wp:effectExtent l="0" t="0" r="0" b="0"/>
            <wp:docPr id="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t="40505" r="32587" b="47481"/>
                    <a:stretch>
                      <a:fillRect/>
                    </a:stretch>
                  </pic:blipFill>
                  <pic:spPr>
                    <a:xfrm>
                      <a:off x="0" y="0"/>
                      <a:ext cx="5612130" cy="424735"/>
                    </a:xfrm>
                    <a:prstGeom prst="rect">
                      <a:avLst/>
                    </a:prstGeom>
                    <a:ln/>
                  </pic:spPr>
                </pic:pic>
              </a:graphicData>
            </a:graphic>
          </wp:inline>
        </w:drawing>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color w:val="000000"/>
        </w:rPr>
        <w:lastRenderedPageBreak/>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124739">
        <w:rPr>
          <w:rFonts w:ascii="Palatino Linotype" w:eastAsia="Palatino Linotype" w:hAnsi="Palatino Linotype" w:cs="Palatino Linotype"/>
          <w:b/>
          <w:color w:val="000000"/>
        </w:rPr>
        <w:t>Deducciones que no son personales.</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rPr>
        <w:t>La Ley del Trabajo de los Servidores Públicos del Estado y Municipios</w:t>
      </w:r>
      <w:r w:rsidRPr="00124739">
        <w:rPr>
          <w:rFonts w:ascii="Palatino Linotype" w:eastAsia="Palatino Linotype" w:hAnsi="Palatino Linotype" w:cs="Palatino Linotype"/>
          <w:vertAlign w:val="superscript"/>
        </w:rPr>
        <w:footnoteReference w:id="8"/>
      </w:r>
      <w:r w:rsidRPr="00124739">
        <w:rPr>
          <w:rFonts w:ascii="Palatino Linotype" w:eastAsia="Palatino Linotype" w:hAnsi="Palatino Linotype" w:cs="Palatino Linotype"/>
        </w:rPr>
        <w:t xml:space="preserve"> en el artículo 84 establece lo siguiente:</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ARTÍCULO 84. Sólo podrán hacerse retenciones, descuentos o deducciones al sueldo de los servidores públicos por concepto de: </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sidRPr="00124739">
        <w:rPr>
          <w:rFonts w:ascii="Palatino Linotype" w:eastAsia="Palatino Linotype" w:hAnsi="Palatino Linotype" w:cs="Palatino Linotype"/>
          <w:b/>
          <w:i/>
          <w:color w:val="000000"/>
        </w:rPr>
        <w:t>I. Gravámenes fiscales relacionados con el sueldo;</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II. Deudas contraídas con las instituciones públicas o dependencias por concepto de anticipos de sueldo, pagos hechos con exceso, errores o pérdidas debidamente comprobados; </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III. Cuotas sindicales; </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sidRPr="00124739">
        <w:rPr>
          <w:rFonts w:ascii="Palatino Linotype" w:eastAsia="Palatino Linotype" w:hAnsi="Palatino Linotype" w:cs="Palatino Linotype"/>
          <w:b/>
          <w:i/>
          <w:color w:val="000000"/>
        </w:rPr>
        <w:t xml:space="preserve">IV. Cuotas de aportación a fondos para la constitución de cooperativas y de cajas de ahorro, siempre que el servidor público hubiese manifestado previamente, de manera expresa, su conformidad; </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b/>
          <w:i/>
          <w:color w:val="000000"/>
        </w:rPr>
      </w:pPr>
      <w:r w:rsidRPr="00124739">
        <w:rPr>
          <w:rFonts w:ascii="Palatino Linotype" w:eastAsia="Palatino Linotype" w:hAnsi="Palatino Linotype" w:cs="Palatino Linotype"/>
          <w:b/>
          <w:i/>
          <w:color w:val="000000"/>
        </w:rPr>
        <w:lastRenderedPageBreak/>
        <w:t xml:space="preserve">V. Descuentos ordenados por el Instituto de Seguridad Social del Estado de México y Municipios, con motivo de cuotas y obligaciones contraídas con éste por los servidores públicos; </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VI. Obligaciones a cargo del servidor público con las que haya consentido, derivadas de la adquisición o del uso de habitaciones consideradas como de interés social; </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VII. Faltas de puntualidad o de asistencia injustificadas; </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VIII. Pensiones alimenticias ordenadas por la autoridad judicial; o </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IX. Cualquier otro convenido con instituciones de servicios y aceptado por el servidor público.</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rPr>
        <w:t xml:space="preserve">Dentro de las retenciones, descuentos o deducciones de sueldo se contemplan los gravámenes fiscales, Cuotas de aportación a fondos para la constitución de cooperativas y de cajas de ahorro, así como descuentos ordenados por el </w:t>
      </w:r>
      <w:proofErr w:type="spellStart"/>
      <w:r w:rsidRPr="00124739">
        <w:rPr>
          <w:rFonts w:ascii="Palatino Linotype" w:eastAsia="Palatino Linotype" w:hAnsi="Palatino Linotype" w:cs="Palatino Linotype"/>
        </w:rPr>
        <w:t>ISSEMyM</w:t>
      </w:r>
      <w:proofErr w:type="spellEnd"/>
      <w:r w:rsidRPr="00124739">
        <w:rPr>
          <w:rFonts w:ascii="Palatino Linotype" w:eastAsia="Palatino Linotype" w:hAnsi="Palatino Linotype" w:cs="Palatino Linotype"/>
        </w:rPr>
        <w:t xml:space="preserve"> por motivo de cuotas y obligaciones contraídas por los servidores públicos. Estos mencionados son de carácter público, toda vez que se consideran descuentos que por ley se deben realizar a los servidores públicos contrario a las deducciones personales que son por voluntad de cada servidor público.</w:t>
      </w:r>
    </w:p>
    <w:p w:rsidR="0019018D" w:rsidRPr="00124739" w:rsidRDefault="008011FF" w:rsidP="002F2DB1">
      <w:pPr>
        <w:numPr>
          <w:ilvl w:val="0"/>
          <w:numId w:val="9"/>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b/>
          <w:color w:val="000000"/>
        </w:rPr>
        <w:t>Seguro de Capitalización Individualizado.</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rPr>
        <w:t>El Sistema de Capitalización Individualizado es el mecanismo mediante el cual, un servidor público y la Institución en la que labora, acumulan recursos, adicionales a su pensión; mismo que se integra hasta por tres rubros, los cuales son los siguientes:</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w:t>
      </w:r>
      <w:r w:rsidRPr="00124739">
        <w:rPr>
          <w:rFonts w:ascii="Palatino Linotype" w:eastAsia="Palatino Linotype" w:hAnsi="Palatino Linotype" w:cs="Palatino Linotype"/>
          <w:color w:val="000000"/>
        </w:rPr>
        <w:tab/>
        <w:t>Subcuenta de cuota obligatoria; que corresponde a un porcentaje del sueldo sujeto a cotización, que se descuenta al servir público de manera automática.</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lastRenderedPageBreak/>
        <w:t>•</w:t>
      </w:r>
      <w:r w:rsidRPr="00124739">
        <w:rPr>
          <w:rFonts w:ascii="Palatino Linotype" w:eastAsia="Palatino Linotype" w:hAnsi="Palatino Linotype" w:cs="Palatino Linotype"/>
          <w:color w:val="000000"/>
        </w:rPr>
        <w:tab/>
        <w:t>Subcuenta de aportación obligatoria: que es la aportación que realiza la Institución a favor del servidor público, el cual equivale a un porcentaje del sueldo sujeto a cotización.</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t>•</w:t>
      </w:r>
      <w:r w:rsidRPr="00124739">
        <w:rPr>
          <w:rFonts w:ascii="Palatino Linotype" w:eastAsia="Palatino Linotype" w:hAnsi="Palatino Linotype" w:cs="Palatino Linotype"/>
          <w:color w:val="000000"/>
        </w:rPr>
        <w:tab/>
        <w:t xml:space="preserve">Subcuenta voluntaria: que es la cantidad que cada servidor público decide ahorrar de acuerdo con sus aportaciones, permitiendo acumular mayores ingresos para su retiro. </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rPr>
        <w:t xml:space="preserve">En razón de lo anterior, debe considerarse que la subcuenta de cuota obligatoria y subcuenta de aportación obligatoria, deben ser considerados datos de naturaleza pública, ya que su publicidad es necesaria, considerando que se trata del ejercicio de recursos públicos que se les ha asignado a las dependencias y entidades y, la publicidad de dicha información permite conocer con certeza si el monto de las aportaciones que la Institución en la que labora el servidor público, es equivalente al porcentaje del sueldo bruto mensual de los servidores públicos. Situación que se robustece, con el Criterio 05/10 emitido por el entonces Pleno del Instituto Federal de Acceso a la Información y Protección de Datos, mismo que se trae por analogía, cuyo texto y rubro es el siguiente: </w:t>
      </w:r>
    </w:p>
    <w:p w:rsidR="0019018D" w:rsidRPr="00124739" w:rsidRDefault="008011FF" w:rsidP="002F2DB1">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124739">
        <w:rPr>
          <w:rFonts w:ascii="Palatino Linotype" w:eastAsia="Palatino Linotype" w:hAnsi="Palatino Linotype" w:cs="Palatino Linotype"/>
          <w:i/>
          <w:color w:val="000000"/>
        </w:rPr>
        <w:t xml:space="preserve">“Naturaleza de la información relativa a los montos aportados al Seguro de Separación Individualizado. De conformidad con la normatividad aplicable, las aportaciones relativas al Seguro de Separación Individualizado pueden ser divididas en tres grupos: las realizadas por las dependencias y entidades de la Administración Pública Federal; las que realizan los servidores públicos a través de las retenciones que efectúa la dependencia o entidad vía nómina; y las aportaciones adicionales extraordinarias que realizan los servidores públicos. En términos de lo que establecen los artículos 7, fracción IV y 12 de la Ley Federal de Transparencia y Acceso a la Información Pública Gubernamental, en relación con el artículo 14 de su Reglamento, se considera </w:t>
      </w:r>
      <w:r w:rsidRPr="00124739">
        <w:rPr>
          <w:rFonts w:ascii="Palatino Linotype" w:eastAsia="Palatino Linotype" w:hAnsi="Palatino Linotype" w:cs="Palatino Linotype"/>
          <w:i/>
          <w:color w:val="000000"/>
        </w:rPr>
        <w:lastRenderedPageBreak/>
        <w:t xml:space="preserve">que la información del primer y segundo grupo es de carácter público. Respecto del primer monto, se debe señalar que se trata de la entrega de recursos públicos adicionales a aquellos que corresponden al sueldo bruto mensual integrado, es decir, se trata de una prestación que se obtiene a partir de una partida presupuestal distinta a la que corresponde al sueldo de dichos trabajadores. Respecto del segundo monto, esto es, la parte que aportan los servidores públicos, es de señalarse que, </w:t>
      </w:r>
      <w:proofErr w:type="spellStart"/>
      <w:r w:rsidRPr="00124739">
        <w:rPr>
          <w:rFonts w:ascii="Palatino Linotype" w:eastAsia="Palatino Linotype" w:hAnsi="Palatino Linotype" w:cs="Palatino Linotype"/>
          <w:i/>
          <w:color w:val="000000"/>
        </w:rPr>
        <w:t>aún</w:t>
      </w:r>
      <w:proofErr w:type="spellEnd"/>
      <w:r w:rsidRPr="00124739">
        <w:rPr>
          <w:rFonts w:ascii="Palatino Linotype" w:eastAsia="Palatino Linotype" w:hAnsi="Palatino Linotype" w:cs="Palatino Linotype"/>
          <w:i/>
          <w:color w:val="000000"/>
        </w:rPr>
        <w:t xml:space="preserve"> cuando se refiere a una decisión personal sobre su patrimonio, su publicidad es necesaria para determinar si las dependencias y entidades correspondientes han manejado los recursos públicos federales que les son asignados de conformidad con las disposiciones legales aplicables; esto es, la publicidad de dicha información permite conocer con certeza si el monto de las aportaciones que el gobierno federal destina al pago de la prima del Seguro de Separación Individualizado es equivalente al porcentaje del sueldo bruto mensual integrado que los servidores públicos aportan al referido seguro. En relación con el tercer grupo, cabe destacar que se trata de aportaciones adicionales extraordinarias, respecto de las cuales las dependencias y entidades no aportan pago alguno; por lo tanto, se trata de decisiones personales sobre el uso y destino que los servidores públicos desean dar a su patrimonio, información que de conformidad con los artículos 3, fracción II y 18, fracción II de la Ley Federal de Transparencia y Acceso a la Información Pública Gubernamental, debe clasificarse como confidencial.”</w:t>
      </w:r>
      <w:r w:rsidRPr="00124739">
        <w:rPr>
          <w:rFonts w:ascii="Palatino Linotype" w:eastAsia="Palatino Linotype" w:hAnsi="Palatino Linotype" w:cs="Palatino Linotype"/>
          <w:color w:val="000000"/>
        </w:rPr>
        <w:t xml:space="preserve"> </w:t>
      </w:r>
    </w:p>
    <w:p w:rsidR="0019018D" w:rsidRPr="00124739" w:rsidRDefault="008011FF" w:rsidP="002F2DB1">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rPr>
        <w:t xml:space="preserve">En suma, debe considerarse que la naturaleza de la subcuenta de cuota obligatoria y de la subcuenta de aportación obligatoria, son datos de naturaleza pública y por ende no procede su clasificación en términos del artículo 143, fracción I de la Ley de Transparencia y Acceso a la Información Pública del Estado de México y Municipios. </w:t>
      </w:r>
    </w:p>
    <w:p w:rsidR="0019018D" w:rsidRPr="00124739" w:rsidRDefault="008011FF" w:rsidP="002F2DB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24739">
        <w:rPr>
          <w:rFonts w:ascii="Palatino Linotype" w:eastAsia="Palatino Linotype" w:hAnsi="Palatino Linotype" w:cs="Palatino Linotype"/>
          <w:color w:val="000000"/>
        </w:rPr>
        <w:lastRenderedPageBreak/>
        <w:t xml:space="preserve">Por lo anteriormente expuesto y fundado, este </w:t>
      </w:r>
      <w:r w:rsidRPr="00124739">
        <w:rPr>
          <w:rFonts w:ascii="Palatino Linotype" w:eastAsia="Palatino Linotype" w:hAnsi="Palatino Linotype" w:cs="Palatino Linotype"/>
          <w:b/>
          <w:color w:val="000000"/>
        </w:rPr>
        <w:t>ÓRGANO GARANTE</w:t>
      </w:r>
      <w:r w:rsidRPr="00124739">
        <w:rPr>
          <w:rFonts w:ascii="Palatino Linotype" w:eastAsia="Palatino Linotype" w:hAnsi="Palatino Linotype" w:cs="Palatino Linotype"/>
          <w:color w:val="000000"/>
        </w:rPr>
        <w:t xml:space="preserve"> emite los siguientes:</w:t>
      </w:r>
    </w:p>
    <w:p w:rsidR="0019018D" w:rsidRPr="00124739" w:rsidRDefault="008011FF" w:rsidP="002F2DB1">
      <w:pPr>
        <w:keepNext/>
        <w:keepLines/>
        <w:spacing w:line="360" w:lineRule="auto"/>
        <w:jc w:val="center"/>
        <w:rPr>
          <w:rFonts w:ascii="Palatino Linotype" w:eastAsia="Palatino Linotype" w:hAnsi="Palatino Linotype" w:cs="Palatino Linotype"/>
          <w:b/>
          <w:color w:val="000000"/>
        </w:rPr>
      </w:pPr>
      <w:bookmarkStart w:id="13" w:name="_heading=h.vo3x1xfmc9eq" w:colFirst="0" w:colLast="0"/>
      <w:bookmarkEnd w:id="13"/>
      <w:r w:rsidRPr="00124739">
        <w:rPr>
          <w:rFonts w:ascii="Palatino Linotype" w:eastAsia="Palatino Linotype" w:hAnsi="Palatino Linotype" w:cs="Palatino Linotype"/>
          <w:b/>
          <w:color w:val="000000"/>
        </w:rPr>
        <w:t>R E S O L U T I V O S</w:t>
      </w:r>
    </w:p>
    <w:p w:rsidR="0019018D" w:rsidRPr="00124739" w:rsidRDefault="0019018D" w:rsidP="002F2DB1">
      <w:pPr>
        <w:keepNext/>
        <w:keepLines/>
        <w:spacing w:line="360" w:lineRule="auto"/>
        <w:jc w:val="center"/>
        <w:rPr>
          <w:rFonts w:ascii="Palatino Linotype" w:eastAsia="Palatino Linotype" w:hAnsi="Palatino Linotype" w:cs="Palatino Linotype"/>
          <w:b/>
          <w:color w:val="000000"/>
        </w:rPr>
      </w:pPr>
    </w:p>
    <w:p w:rsidR="0019018D" w:rsidRPr="00124739" w:rsidRDefault="008011FF" w:rsidP="002F2DB1">
      <w:pPr>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b/>
        </w:rPr>
        <w:t xml:space="preserve">PRIMERO. </w:t>
      </w:r>
      <w:r w:rsidRPr="00124739">
        <w:rPr>
          <w:rFonts w:ascii="Palatino Linotype" w:eastAsia="Palatino Linotype" w:hAnsi="Palatino Linotype" w:cs="Palatino Linotype"/>
        </w:rPr>
        <w:t>Resultan fundadas las</w:t>
      </w:r>
      <w:r w:rsidRPr="00124739">
        <w:rPr>
          <w:rFonts w:ascii="Palatino Linotype" w:eastAsia="Palatino Linotype" w:hAnsi="Palatino Linotype" w:cs="Palatino Linotype"/>
          <w:b/>
        </w:rPr>
        <w:t xml:space="preserve"> </w:t>
      </w:r>
      <w:r w:rsidRPr="00124739">
        <w:rPr>
          <w:rFonts w:ascii="Palatino Linotype" w:eastAsia="Palatino Linotype" w:hAnsi="Palatino Linotype" w:cs="Palatino Linotype"/>
        </w:rPr>
        <w:t xml:space="preserve">razones o motivos de inconformidad hechos valer en el recurso de revisión </w:t>
      </w:r>
      <w:r w:rsidRPr="00124739">
        <w:rPr>
          <w:rFonts w:ascii="Palatino Linotype" w:eastAsia="Palatino Linotype" w:hAnsi="Palatino Linotype" w:cs="Palatino Linotype"/>
          <w:b/>
        </w:rPr>
        <w:t xml:space="preserve">04178/INFOEM/IP/RR/2025, </w:t>
      </w:r>
      <w:r w:rsidRPr="00124739">
        <w:rPr>
          <w:rFonts w:ascii="Palatino Linotype" w:eastAsia="Palatino Linotype" w:hAnsi="Palatino Linotype" w:cs="Palatino Linotype"/>
        </w:rPr>
        <w:t xml:space="preserve">en términos del </w:t>
      </w:r>
      <w:r w:rsidRPr="00124739">
        <w:rPr>
          <w:rFonts w:ascii="Palatino Linotype" w:eastAsia="Palatino Linotype" w:hAnsi="Palatino Linotype" w:cs="Palatino Linotype"/>
          <w:b/>
        </w:rPr>
        <w:t>Considerando</w:t>
      </w:r>
      <w:r w:rsidRPr="00124739">
        <w:rPr>
          <w:rFonts w:ascii="Palatino Linotype" w:eastAsia="Palatino Linotype" w:hAnsi="Palatino Linotype" w:cs="Palatino Linotype"/>
        </w:rPr>
        <w:t xml:space="preserve"> </w:t>
      </w:r>
      <w:r w:rsidRPr="00124739">
        <w:rPr>
          <w:rFonts w:ascii="Palatino Linotype" w:eastAsia="Palatino Linotype" w:hAnsi="Palatino Linotype" w:cs="Palatino Linotype"/>
          <w:b/>
        </w:rPr>
        <w:t xml:space="preserve">CUARTO y QUINTO </w:t>
      </w:r>
      <w:r w:rsidRPr="00124739">
        <w:rPr>
          <w:rFonts w:ascii="Palatino Linotype" w:eastAsia="Palatino Linotype" w:hAnsi="Palatino Linotype" w:cs="Palatino Linotype"/>
        </w:rPr>
        <w:t>de la presente resolución.</w:t>
      </w:r>
    </w:p>
    <w:p w:rsidR="0019018D" w:rsidRPr="00124739" w:rsidRDefault="0019018D" w:rsidP="002F2DB1">
      <w:pPr>
        <w:spacing w:line="360" w:lineRule="auto"/>
        <w:jc w:val="both"/>
        <w:rPr>
          <w:rFonts w:ascii="Palatino Linotype" w:eastAsia="Palatino Linotype" w:hAnsi="Palatino Linotype" w:cs="Palatino Linotype"/>
        </w:rPr>
      </w:pPr>
    </w:p>
    <w:p w:rsidR="0019018D" w:rsidRPr="00124739" w:rsidRDefault="008011FF" w:rsidP="002F2DB1">
      <w:pPr>
        <w:spacing w:line="360" w:lineRule="auto"/>
        <w:jc w:val="both"/>
        <w:rPr>
          <w:rFonts w:ascii="Palatino Linotype" w:eastAsia="Palatino Linotype" w:hAnsi="Palatino Linotype" w:cs="Palatino Linotype"/>
        </w:rPr>
      </w:pPr>
      <w:bookmarkStart w:id="14" w:name="_heading=h.pg3wvnjh5792" w:colFirst="0" w:colLast="0"/>
      <w:bookmarkEnd w:id="14"/>
      <w:r w:rsidRPr="00124739">
        <w:rPr>
          <w:rFonts w:ascii="Palatino Linotype" w:eastAsia="Palatino Linotype" w:hAnsi="Palatino Linotype" w:cs="Palatino Linotype"/>
          <w:b/>
        </w:rPr>
        <w:t>SEGUNDO.</w:t>
      </w:r>
      <w:r w:rsidRPr="00124739">
        <w:rPr>
          <w:rFonts w:ascii="Palatino Linotype" w:eastAsia="Palatino Linotype" w:hAnsi="Palatino Linotype" w:cs="Palatino Linotype"/>
          <w:color w:val="2F5496"/>
        </w:rPr>
        <w:t xml:space="preserve"> </w:t>
      </w:r>
      <w:r w:rsidRPr="00124739">
        <w:rPr>
          <w:rFonts w:ascii="Palatino Linotype" w:eastAsia="Palatino Linotype" w:hAnsi="Palatino Linotype" w:cs="Palatino Linotype"/>
        </w:rPr>
        <w:t>Se</w:t>
      </w:r>
      <w:r w:rsidRPr="00124739">
        <w:rPr>
          <w:rFonts w:ascii="Palatino Linotype" w:eastAsia="Palatino Linotype" w:hAnsi="Palatino Linotype" w:cs="Palatino Linotype"/>
          <w:b/>
        </w:rPr>
        <w:t xml:space="preserve"> REVOCA </w:t>
      </w:r>
      <w:r w:rsidRPr="00124739">
        <w:rPr>
          <w:rFonts w:ascii="Palatino Linotype" w:eastAsia="Palatino Linotype" w:hAnsi="Palatino Linotype" w:cs="Palatino Linotype"/>
        </w:rPr>
        <w:t xml:space="preserve">la respuesta emitida por el </w:t>
      </w:r>
      <w:r w:rsidRPr="00124739">
        <w:rPr>
          <w:rFonts w:ascii="Palatino Linotype" w:eastAsia="Palatino Linotype" w:hAnsi="Palatino Linotype" w:cs="Palatino Linotype"/>
          <w:b/>
        </w:rPr>
        <w:t xml:space="preserve">Organismo Agua y Saneamiento de Toluca </w:t>
      </w:r>
      <w:r w:rsidRPr="00124739">
        <w:rPr>
          <w:rFonts w:ascii="Palatino Linotype" w:eastAsia="Palatino Linotype" w:hAnsi="Palatino Linotype" w:cs="Palatino Linotype"/>
        </w:rPr>
        <w:t>y se</w:t>
      </w:r>
      <w:r w:rsidRPr="00124739">
        <w:rPr>
          <w:rFonts w:ascii="Palatino Linotype" w:eastAsia="Palatino Linotype" w:hAnsi="Palatino Linotype" w:cs="Palatino Linotype"/>
          <w:b/>
        </w:rPr>
        <w:t xml:space="preserve"> ORDENA </w:t>
      </w:r>
      <w:r w:rsidRPr="00124739">
        <w:rPr>
          <w:rFonts w:ascii="Palatino Linotype" w:eastAsia="Palatino Linotype" w:hAnsi="Palatino Linotype" w:cs="Palatino Linotype"/>
        </w:rPr>
        <w:t>entregar vía Sistema de Accesos a la Información Mexiquense (SAIM</w:t>
      </w:r>
      <w:r w:rsidR="00847FE2" w:rsidRPr="00124739">
        <w:rPr>
          <w:rFonts w:ascii="Palatino Linotype" w:eastAsia="Palatino Linotype" w:hAnsi="Palatino Linotype" w:cs="Palatino Linotype"/>
        </w:rPr>
        <w:t>EX), previa búsqueda exhaustiva y</w:t>
      </w:r>
      <w:r w:rsidRPr="00124739">
        <w:rPr>
          <w:rFonts w:ascii="Palatino Linotype" w:eastAsia="Palatino Linotype" w:hAnsi="Palatino Linotype" w:cs="Palatino Linotype"/>
        </w:rPr>
        <w:t xml:space="preserve"> en versión pública, la siguiente información:</w:t>
      </w:r>
    </w:p>
    <w:p w:rsidR="0019018D" w:rsidRPr="00124739" w:rsidRDefault="0019018D" w:rsidP="002F2DB1">
      <w:pPr>
        <w:spacing w:line="360" w:lineRule="auto"/>
        <w:jc w:val="both"/>
        <w:rPr>
          <w:rFonts w:ascii="Palatino Linotype" w:eastAsia="Palatino Linotype" w:hAnsi="Palatino Linotype" w:cs="Palatino Linotype"/>
        </w:rPr>
      </w:pPr>
    </w:p>
    <w:p w:rsidR="00126BB6" w:rsidRPr="00124739" w:rsidRDefault="00126BB6" w:rsidP="002F2DB1">
      <w:pPr>
        <w:pStyle w:val="Prrafodelista"/>
        <w:numPr>
          <w:ilvl w:val="0"/>
          <w:numId w:val="12"/>
        </w:numPr>
        <w:spacing w:line="360" w:lineRule="auto"/>
        <w:ind w:left="0"/>
        <w:jc w:val="both"/>
        <w:rPr>
          <w:rFonts w:ascii="Palatino Linotype" w:eastAsia="Palatino Linotype" w:hAnsi="Palatino Linotype" w:cs="Palatino Linotype"/>
          <w:b/>
          <w:sz w:val="24"/>
        </w:rPr>
      </w:pPr>
      <w:r w:rsidRPr="00124739">
        <w:rPr>
          <w:rFonts w:ascii="Palatino Linotype" w:eastAsia="Palatino Linotype" w:hAnsi="Palatino Linotype" w:cs="Palatino Linotype"/>
          <w:b/>
          <w:sz w:val="24"/>
        </w:rPr>
        <w:t>Del Personal adscrito al Organismo Agua y Saneamiento de Toluca vigente a la fecha de la solicitud:</w:t>
      </w:r>
    </w:p>
    <w:p w:rsidR="00126BB6" w:rsidRPr="00124739" w:rsidRDefault="00126BB6" w:rsidP="002F2DB1">
      <w:pPr>
        <w:pStyle w:val="Prrafodelista"/>
        <w:spacing w:line="360" w:lineRule="auto"/>
        <w:ind w:left="0"/>
        <w:jc w:val="both"/>
        <w:rPr>
          <w:rFonts w:ascii="Palatino Linotype" w:eastAsia="Palatino Linotype" w:hAnsi="Palatino Linotype" w:cs="Palatino Linotype"/>
          <w:b/>
          <w:sz w:val="24"/>
        </w:rPr>
      </w:pPr>
    </w:p>
    <w:p w:rsidR="00044EF6" w:rsidRPr="00124739" w:rsidRDefault="00044EF6" w:rsidP="002F2DB1">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124739">
        <w:rPr>
          <w:rFonts w:ascii="Palatino Linotype" w:eastAsia="Palatino Linotype" w:hAnsi="Palatino Linotype" w:cs="Palatino Linotype"/>
          <w:b/>
          <w:color w:val="000000"/>
        </w:rPr>
        <w:t>Plantilla de Personal</w:t>
      </w:r>
    </w:p>
    <w:p w:rsidR="0019018D" w:rsidRPr="00124739" w:rsidRDefault="00126BB6" w:rsidP="002F2DB1">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124739">
        <w:rPr>
          <w:rFonts w:ascii="Palatino Linotype" w:eastAsia="Palatino Linotype" w:hAnsi="Palatino Linotype" w:cs="Palatino Linotype"/>
          <w:b/>
          <w:color w:val="000000"/>
        </w:rPr>
        <w:t>Documento donde obre el cargo, fecha de alta y salario neto y bruto mensual del servidor público</w:t>
      </w:r>
      <w:r w:rsidR="008011FF" w:rsidRPr="00124739">
        <w:rPr>
          <w:rFonts w:ascii="Palatino Linotype" w:eastAsia="Palatino Linotype" w:hAnsi="Palatino Linotype" w:cs="Palatino Linotype"/>
          <w:b/>
          <w:color w:val="000000"/>
        </w:rPr>
        <w:t>.</w:t>
      </w:r>
    </w:p>
    <w:p w:rsidR="0019018D" w:rsidRPr="00124739" w:rsidRDefault="0019018D" w:rsidP="002F2DB1">
      <w:pPr>
        <w:spacing w:line="360" w:lineRule="auto"/>
        <w:jc w:val="both"/>
        <w:rPr>
          <w:rFonts w:ascii="Palatino Linotype" w:eastAsia="Palatino Linotype" w:hAnsi="Palatino Linotype" w:cs="Palatino Linotype"/>
        </w:rPr>
      </w:pPr>
    </w:p>
    <w:p w:rsidR="0019018D" w:rsidRPr="00124739" w:rsidRDefault="008011FF" w:rsidP="002F2DB1">
      <w:pPr>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w:t>
      </w:r>
      <w:r w:rsidRPr="00124739">
        <w:rPr>
          <w:rFonts w:ascii="Palatino Linotype" w:eastAsia="Palatino Linotype" w:hAnsi="Palatino Linotype" w:cs="Palatino Linotype"/>
        </w:rPr>
        <w:lastRenderedPageBreak/>
        <w:t>documental respectivo objeto de las versiones públicas que se formulen y se ponga a disposición de la parte recurrente.</w:t>
      </w:r>
    </w:p>
    <w:p w:rsidR="0019018D" w:rsidRPr="00124739" w:rsidRDefault="0019018D" w:rsidP="002F2DB1">
      <w:pPr>
        <w:tabs>
          <w:tab w:val="left" w:pos="8080"/>
        </w:tabs>
        <w:spacing w:line="360" w:lineRule="auto"/>
        <w:jc w:val="both"/>
        <w:rPr>
          <w:rFonts w:ascii="Palatino Linotype" w:eastAsia="Palatino Linotype" w:hAnsi="Palatino Linotype" w:cs="Palatino Linotype"/>
          <w:b/>
        </w:rPr>
      </w:pPr>
    </w:p>
    <w:p w:rsidR="0019018D" w:rsidRPr="00124739" w:rsidRDefault="008011FF" w:rsidP="002F2DB1">
      <w:pPr>
        <w:tabs>
          <w:tab w:val="left" w:pos="8080"/>
        </w:tabs>
        <w:spacing w:line="360" w:lineRule="auto"/>
        <w:jc w:val="both"/>
        <w:rPr>
          <w:rFonts w:ascii="Palatino Linotype" w:eastAsia="Palatino Linotype" w:hAnsi="Palatino Linotype" w:cs="Palatino Linotype"/>
          <w:color w:val="222222"/>
        </w:rPr>
      </w:pPr>
      <w:r w:rsidRPr="00124739">
        <w:rPr>
          <w:rFonts w:ascii="Palatino Linotype" w:eastAsia="Palatino Linotype" w:hAnsi="Palatino Linotype" w:cs="Palatino Linotype"/>
          <w:b/>
        </w:rPr>
        <w:t xml:space="preserve">TERCERO. Notifíquese </w:t>
      </w:r>
      <w:r w:rsidRPr="00124739">
        <w:rPr>
          <w:rFonts w:ascii="Palatino Linotype" w:eastAsia="Palatino Linotype" w:hAnsi="Palatino Linotype" w:cs="Palatino Linotype"/>
        </w:rPr>
        <w:t>vía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19018D" w:rsidRPr="00124739" w:rsidRDefault="0019018D" w:rsidP="002F2DB1">
      <w:pPr>
        <w:tabs>
          <w:tab w:val="left" w:pos="8080"/>
        </w:tabs>
        <w:spacing w:line="360" w:lineRule="auto"/>
        <w:jc w:val="both"/>
        <w:rPr>
          <w:rFonts w:ascii="Palatino Linotype" w:eastAsia="Palatino Linotype" w:hAnsi="Palatino Linotype" w:cs="Palatino Linotype"/>
          <w:color w:val="222222"/>
        </w:rPr>
      </w:pPr>
    </w:p>
    <w:p w:rsidR="0019018D" w:rsidRPr="00124739" w:rsidRDefault="008011FF" w:rsidP="002F2DB1">
      <w:pPr>
        <w:shd w:val="clear" w:color="auto" w:fill="FFFFFF"/>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b/>
        </w:rPr>
        <w:t>CUARTO. Notifíquese al RECURRENTE</w:t>
      </w:r>
      <w:r w:rsidRPr="00124739">
        <w:rPr>
          <w:rFonts w:ascii="Palatino Linotype" w:eastAsia="Palatino Linotype" w:hAnsi="Palatino Linotype" w:cs="Palatino Linotype"/>
        </w:rPr>
        <w:t xml:space="preserve"> la presente resolución vía SAIMEX.</w:t>
      </w:r>
    </w:p>
    <w:p w:rsidR="0019018D" w:rsidRPr="00124739" w:rsidRDefault="0019018D" w:rsidP="002F2DB1">
      <w:pPr>
        <w:shd w:val="clear" w:color="auto" w:fill="FFFFFF"/>
        <w:spacing w:line="360" w:lineRule="auto"/>
        <w:jc w:val="both"/>
        <w:rPr>
          <w:rFonts w:ascii="Palatino Linotype" w:eastAsia="Palatino Linotype" w:hAnsi="Palatino Linotype" w:cs="Palatino Linotype"/>
          <w:b/>
          <w:color w:val="FF0000"/>
        </w:rPr>
      </w:pPr>
    </w:p>
    <w:p w:rsidR="0019018D" w:rsidRPr="00124739" w:rsidRDefault="008011FF" w:rsidP="002F2DB1">
      <w:pPr>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b/>
        </w:rPr>
        <w:t>QUINTO.</w:t>
      </w:r>
      <w:r w:rsidRPr="00124739">
        <w:rPr>
          <w:rFonts w:ascii="Palatino Linotype" w:eastAsia="Palatino Linotype" w:hAnsi="Palatino Linotype" w:cs="Palatino Linotype"/>
        </w:rPr>
        <w:t xml:space="preserve"> Se hace del conocimiento del </w:t>
      </w:r>
      <w:r w:rsidRPr="00124739">
        <w:rPr>
          <w:rFonts w:ascii="Palatino Linotype" w:eastAsia="Palatino Linotype" w:hAnsi="Palatino Linotype" w:cs="Palatino Linotype"/>
          <w:b/>
        </w:rPr>
        <w:t>RECURRENTE</w:t>
      </w:r>
      <w:r w:rsidRPr="00124739">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19018D" w:rsidRPr="00124739" w:rsidRDefault="0019018D" w:rsidP="002F2DB1">
      <w:pPr>
        <w:spacing w:line="360" w:lineRule="auto"/>
        <w:jc w:val="both"/>
        <w:rPr>
          <w:rFonts w:ascii="Palatino Linotype" w:eastAsia="Palatino Linotype" w:hAnsi="Palatino Linotype" w:cs="Palatino Linotype"/>
          <w:color w:val="000000"/>
        </w:rPr>
      </w:pPr>
    </w:p>
    <w:p w:rsidR="0019018D" w:rsidRPr="00124739" w:rsidRDefault="008011FF" w:rsidP="002F2DB1">
      <w:pPr>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b/>
          <w:color w:val="000000"/>
        </w:rPr>
        <w:lastRenderedPageBreak/>
        <w:t xml:space="preserve">SEXTO. </w:t>
      </w:r>
      <w:r w:rsidRPr="00124739">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19018D" w:rsidRPr="00124739" w:rsidRDefault="0019018D" w:rsidP="002F2DB1">
      <w:pPr>
        <w:shd w:val="clear" w:color="auto" w:fill="FFFFFF"/>
        <w:spacing w:line="360" w:lineRule="auto"/>
        <w:jc w:val="both"/>
        <w:rPr>
          <w:rFonts w:ascii="Palatino Linotype" w:eastAsia="Palatino Linotype" w:hAnsi="Palatino Linotype" w:cs="Palatino Linotype"/>
        </w:rPr>
      </w:pPr>
    </w:p>
    <w:p w:rsidR="00554343" w:rsidRPr="00124739" w:rsidRDefault="00554343" w:rsidP="002F2DB1">
      <w:pPr>
        <w:shd w:val="clear" w:color="auto" w:fill="FFFFFF"/>
        <w:spacing w:line="360" w:lineRule="auto"/>
        <w:jc w:val="both"/>
        <w:rPr>
          <w:rFonts w:ascii="Palatino Linotype" w:eastAsia="Palatino Linotype" w:hAnsi="Palatino Linotype" w:cs="Palatino Linotype"/>
        </w:rPr>
      </w:pPr>
    </w:p>
    <w:p w:rsidR="0019018D" w:rsidRPr="002F2DB1" w:rsidRDefault="00554343" w:rsidP="002F2DB1">
      <w:pPr>
        <w:spacing w:line="360" w:lineRule="auto"/>
        <w:jc w:val="both"/>
        <w:rPr>
          <w:rFonts w:ascii="Palatino Linotype" w:eastAsia="Palatino Linotype" w:hAnsi="Palatino Linotype" w:cs="Palatino Linotype"/>
        </w:rPr>
      </w:pPr>
      <w:r w:rsidRPr="00124739">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EL CATORCE (14) DE MAYO DE DOS MIL VEINTICINCO, ANTE EL SECRETARIO TÉCNICO DEL PLENO ALEXIS TAPIA RAMÍREZ.</w:t>
      </w:r>
    </w:p>
    <w:p w:rsidR="0019018D" w:rsidRPr="002F2DB1" w:rsidRDefault="0019018D" w:rsidP="002F2DB1">
      <w:pPr>
        <w:spacing w:line="360" w:lineRule="auto"/>
        <w:jc w:val="both"/>
        <w:rPr>
          <w:rFonts w:ascii="Palatino Linotype" w:eastAsia="Palatino Linotype" w:hAnsi="Palatino Linotype" w:cs="Palatino Linotype"/>
        </w:rPr>
      </w:pPr>
    </w:p>
    <w:p w:rsidR="0019018D" w:rsidRPr="002F2DB1" w:rsidRDefault="0019018D" w:rsidP="002F2DB1">
      <w:pPr>
        <w:spacing w:line="360" w:lineRule="auto"/>
        <w:jc w:val="both"/>
        <w:rPr>
          <w:rFonts w:ascii="Palatino Linotype" w:eastAsia="Palatino Linotype" w:hAnsi="Palatino Linotype" w:cs="Palatino Linotype"/>
        </w:rPr>
      </w:pPr>
    </w:p>
    <w:p w:rsidR="0019018D" w:rsidRPr="002F2DB1" w:rsidRDefault="0019018D" w:rsidP="002F2DB1">
      <w:pPr>
        <w:spacing w:line="360" w:lineRule="auto"/>
        <w:rPr>
          <w:rFonts w:ascii="Palatino Linotype" w:eastAsia="Palatino Linotype" w:hAnsi="Palatino Linotype" w:cs="Palatino Linotype"/>
        </w:rPr>
      </w:pPr>
    </w:p>
    <w:p w:rsidR="0019018D" w:rsidRPr="002F2DB1" w:rsidRDefault="0019018D" w:rsidP="002F2DB1">
      <w:pPr>
        <w:spacing w:line="360" w:lineRule="auto"/>
        <w:rPr>
          <w:rFonts w:ascii="Palatino Linotype" w:eastAsia="Palatino Linotype" w:hAnsi="Palatino Linotype" w:cs="Palatino Linotype"/>
        </w:rPr>
      </w:pPr>
    </w:p>
    <w:p w:rsidR="0019018D" w:rsidRPr="002F2DB1" w:rsidRDefault="0019018D" w:rsidP="002F2DB1">
      <w:pPr>
        <w:spacing w:line="360" w:lineRule="auto"/>
        <w:rPr>
          <w:rFonts w:ascii="Palatino Linotype" w:eastAsia="Palatino Linotype" w:hAnsi="Palatino Linotype" w:cs="Palatino Linotype"/>
        </w:rPr>
      </w:pPr>
    </w:p>
    <w:p w:rsidR="0019018D" w:rsidRPr="002F2DB1" w:rsidRDefault="0019018D" w:rsidP="002F2DB1">
      <w:pPr>
        <w:spacing w:line="360" w:lineRule="auto"/>
        <w:rPr>
          <w:rFonts w:ascii="Palatino Linotype" w:eastAsia="Palatino Linotype" w:hAnsi="Palatino Linotype" w:cs="Palatino Linotype"/>
        </w:rPr>
      </w:pPr>
    </w:p>
    <w:p w:rsidR="0019018D" w:rsidRPr="002F2DB1" w:rsidRDefault="0019018D" w:rsidP="002F2DB1">
      <w:pPr>
        <w:spacing w:line="360" w:lineRule="auto"/>
        <w:rPr>
          <w:rFonts w:ascii="Palatino Linotype" w:eastAsia="Palatino Linotype" w:hAnsi="Palatino Linotype" w:cs="Palatino Linotype"/>
        </w:rPr>
      </w:pPr>
    </w:p>
    <w:p w:rsidR="0019018D" w:rsidRPr="002F2DB1" w:rsidRDefault="0019018D" w:rsidP="002F2DB1">
      <w:pPr>
        <w:spacing w:line="360" w:lineRule="auto"/>
        <w:rPr>
          <w:rFonts w:ascii="Palatino Linotype" w:eastAsia="Palatino Linotype" w:hAnsi="Palatino Linotype" w:cs="Palatino Linotype"/>
        </w:rPr>
      </w:pPr>
    </w:p>
    <w:p w:rsidR="0019018D" w:rsidRPr="002F2DB1" w:rsidRDefault="0019018D" w:rsidP="002F2DB1">
      <w:pPr>
        <w:spacing w:line="360" w:lineRule="auto"/>
        <w:rPr>
          <w:rFonts w:ascii="Palatino Linotype" w:eastAsia="Palatino Linotype" w:hAnsi="Palatino Linotype" w:cs="Palatino Linotype"/>
        </w:rPr>
      </w:pPr>
    </w:p>
    <w:p w:rsidR="0019018D" w:rsidRPr="002F2DB1" w:rsidRDefault="0019018D" w:rsidP="002F2DB1">
      <w:pPr>
        <w:spacing w:line="360" w:lineRule="auto"/>
        <w:rPr>
          <w:rFonts w:ascii="Palatino Linotype" w:eastAsia="Palatino Linotype" w:hAnsi="Palatino Linotype" w:cs="Palatino Linotype"/>
        </w:rPr>
      </w:pPr>
    </w:p>
    <w:p w:rsidR="0019018D" w:rsidRPr="002F2DB1" w:rsidRDefault="0019018D" w:rsidP="002F2DB1">
      <w:pPr>
        <w:spacing w:line="360" w:lineRule="auto"/>
        <w:rPr>
          <w:rFonts w:ascii="Palatino Linotype" w:eastAsia="Palatino Linotype" w:hAnsi="Palatino Linotype" w:cs="Palatino Linotype"/>
        </w:rPr>
      </w:pPr>
    </w:p>
    <w:p w:rsidR="0019018D" w:rsidRPr="002F2DB1" w:rsidRDefault="0019018D" w:rsidP="002F2DB1">
      <w:pPr>
        <w:spacing w:line="360" w:lineRule="auto"/>
        <w:rPr>
          <w:rFonts w:ascii="Palatino Linotype" w:eastAsia="Palatino Linotype" w:hAnsi="Palatino Linotype" w:cs="Palatino Linotype"/>
        </w:rPr>
      </w:pPr>
    </w:p>
    <w:p w:rsidR="0019018D" w:rsidRPr="002F2DB1" w:rsidRDefault="0019018D" w:rsidP="002F2DB1">
      <w:pPr>
        <w:rPr>
          <w:rFonts w:ascii="Palatino Linotype" w:eastAsia="Palatino Linotype" w:hAnsi="Palatino Linotype" w:cs="Palatino Linotype"/>
        </w:rPr>
      </w:pPr>
    </w:p>
    <w:p w:rsidR="0019018D" w:rsidRPr="002F2DB1" w:rsidRDefault="0019018D" w:rsidP="002F2DB1">
      <w:pPr>
        <w:rPr>
          <w:rFonts w:ascii="Palatino Linotype" w:eastAsia="Palatino Linotype" w:hAnsi="Palatino Linotype" w:cs="Palatino Linotype"/>
        </w:rPr>
      </w:pPr>
    </w:p>
    <w:p w:rsidR="0019018D" w:rsidRPr="002F2DB1" w:rsidRDefault="0019018D" w:rsidP="002F2DB1">
      <w:pPr>
        <w:rPr>
          <w:rFonts w:ascii="Palatino Linotype" w:eastAsia="Palatino Linotype" w:hAnsi="Palatino Linotype" w:cs="Palatino Linotype"/>
        </w:rPr>
      </w:pPr>
    </w:p>
    <w:p w:rsidR="0019018D" w:rsidRPr="002F2DB1" w:rsidRDefault="0019018D" w:rsidP="002F2DB1">
      <w:pPr>
        <w:rPr>
          <w:rFonts w:ascii="Palatino Linotype" w:eastAsia="Palatino Linotype" w:hAnsi="Palatino Linotype" w:cs="Palatino Linotype"/>
        </w:rPr>
      </w:pPr>
    </w:p>
    <w:p w:rsidR="0019018D" w:rsidRPr="002F2DB1" w:rsidRDefault="0019018D" w:rsidP="002F2DB1">
      <w:pPr>
        <w:rPr>
          <w:rFonts w:ascii="Palatino Linotype" w:eastAsia="Palatino Linotype" w:hAnsi="Palatino Linotype" w:cs="Palatino Linotype"/>
        </w:rPr>
      </w:pPr>
    </w:p>
    <w:p w:rsidR="0019018D" w:rsidRPr="002F2DB1" w:rsidRDefault="0019018D" w:rsidP="002F2DB1">
      <w:pPr>
        <w:rPr>
          <w:rFonts w:ascii="Palatino Linotype" w:eastAsia="Palatino Linotype" w:hAnsi="Palatino Linotype" w:cs="Palatino Linotype"/>
        </w:rPr>
      </w:pPr>
    </w:p>
    <w:p w:rsidR="0019018D" w:rsidRPr="002F2DB1" w:rsidRDefault="0019018D" w:rsidP="002F2DB1">
      <w:pPr>
        <w:rPr>
          <w:rFonts w:ascii="Palatino Linotype" w:eastAsia="Palatino Linotype" w:hAnsi="Palatino Linotype" w:cs="Palatino Linotype"/>
        </w:rPr>
      </w:pPr>
    </w:p>
    <w:sectPr w:rsidR="0019018D" w:rsidRPr="002F2DB1" w:rsidSect="002F2DB1">
      <w:headerReference w:type="even" r:id="rId27"/>
      <w:headerReference w:type="default" r:id="rId28"/>
      <w:footerReference w:type="default" r:id="rId29"/>
      <w:headerReference w:type="first" r:id="rId30"/>
      <w:footerReference w:type="first" r:id="rId31"/>
      <w:pgSz w:w="12240" w:h="15840"/>
      <w:pgMar w:top="80" w:right="1325"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652" w:rsidRDefault="00C47652">
      <w:r>
        <w:separator/>
      </w:r>
    </w:p>
  </w:endnote>
  <w:endnote w:type="continuationSeparator" w:id="0">
    <w:p w:rsidR="00C47652" w:rsidRDefault="00C47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F75" w:rsidRDefault="001C4F7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3A4637">
      <w:rPr>
        <w:b/>
        <w:noProof/>
        <w:color w:val="000000"/>
      </w:rPr>
      <w:t>21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3A4637">
      <w:rPr>
        <w:b/>
        <w:noProof/>
        <w:color w:val="000000"/>
      </w:rPr>
      <w:t>60</w:t>
    </w:r>
    <w:r>
      <w:rPr>
        <w:b/>
        <w:color w:val="000000"/>
      </w:rPr>
      <w:fldChar w:fldCharType="end"/>
    </w:r>
  </w:p>
  <w:p w:rsidR="001C4F75" w:rsidRDefault="001C4F7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F75" w:rsidRDefault="001C4F7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3A4637">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3A4637">
      <w:rPr>
        <w:b/>
        <w:noProof/>
        <w:color w:val="000000"/>
      </w:rPr>
      <w:t>60</w:t>
    </w:r>
    <w:r>
      <w:rPr>
        <w:b/>
        <w:color w:val="000000"/>
      </w:rPr>
      <w:fldChar w:fldCharType="end"/>
    </w:r>
  </w:p>
  <w:p w:rsidR="001C4F75" w:rsidRDefault="001C4F7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652" w:rsidRDefault="00C47652">
      <w:r>
        <w:separator/>
      </w:r>
    </w:p>
  </w:footnote>
  <w:footnote w:type="continuationSeparator" w:id="0">
    <w:p w:rsidR="00C47652" w:rsidRDefault="00C47652">
      <w:r>
        <w:continuationSeparator/>
      </w:r>
    </w:p>
  </w:footnote>
  <w:footnote w:id="1">
    <w:p w:rsidR="001C4F75" w:rsidRDefault="001C4F7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1C4F75" w:rsidRDefault="001C4F7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1C4F75" w:rsidRDefault="001C4F7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1C4F75" w:rsidRDefault="001C4F7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w:t>
      </w:r>
      <w:proofErr w:type="spellStart"/>
      <w:r>
        <w:rPr>
          <w:rFonts w:ascii="Calibri" w:eastAsia="Calibri" w:hAnsi="Calibri" w:cs="Calibri"/>
          <w:color w:val="000000"/>
          <w:sz w:val="20"/>
          <w:szCs w:val="20"/>
        </w:rPr>
        <w:t>Parr</w:t>
      </w:r>
      <w:proofErr w:type="spellEnd"/>
      <w:r>
        <w:rPr>
          <w:rFonts w:ascii="Calibri" w:eastAsia="Calibri" w:hAnsi="Calibri" w:cs="Calibri"/>
          <w:color w:val="000000"/>
          <w:sz w:val="20"/>
          <w:szCs w:val="20"/>
        </w:rPr>
        <w:t>. 87.</w:t>
      </w:r>
    </w:p>
  </w:footnote>
  <w:footnote w:id="5">
    <w:p w:rsidR="001C4F75" w:rsidRDefault="001C4F7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Ley de Transparencia y Acceso a la Información Pública del Estado de México y Municipios.</w:t>
      </w:r>
    </w:p>
    <w:p w:rsidR="001C4F75" w:rsidRDefault="001C4F7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Artículo 151. Ibídem.</w:t>
      </w:r>
    </w:p>
  </w:footnote>
  <w:footnote w:id="6">
    <w:p w:rsidR="001C4F75" w:rsidRDefault="001C4F7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Fracción IV. Artículo 53. Ibídem.</w:t>
      </w:r>
    </w:p>
  </w:footnote>
  <w:footnote w:id="7">
    <w:p w:rsidR="001C4F75" w:rsidRDefault="001C4F7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Políticas para la Integración del Informe Trimestral de los Sujetos de Fiscalización Municipales, OSFEM.</w:t>
      </w:r>
    </w:p>
  </w:footnote>
  <w:footnote w:id="8">
    <w:p w:rsidR="001C4F75" w:rsidRDefault="001C4F7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hyperlink r:id="rId1">
        <w:r>
          <w:rPr>
            <w:rFonts w:ascii="Calibri" w:eastAsia="Calibri" w:hAnsi="Calibri" w:cs="Calibri"/>
            <w:color w:val="0563C1"/>
            <w:sz w:val="20"/>
            <w:szCs w:val="20"/>
            <w:u w:val="single"/>
          </w:rPr>
          <w:t>https://legislacion.edomex.gob.mx/sites/legislacion.edomex.gob.mx/files/files/pdf/ley/vig/leyvig083.pdf</w:t>
        </w:r>
      </w:hyperlink>
    </w:p>
    <w:p w:rsidR="001C4F75" w:rsidRDefault="001C4F75">
      <w:pPr>
        <w:pBdr>
          <w:top w:val="nil"/>
          <w:left w:val="nil"/>
          <w:bottom w:val="nil"/>
          <w:right w:val="nil"/>
          <w:between w:val="nil"/>
        </w:pBdr>
        <w:rPr>
          <w:rFonts w:ascii="Calibri" w:eastAsia="Calibri" w:hAnsi="Calibri" w:cs="Calibri"/>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F75" w:rsidRDefault="00C47652">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89.8pt;height:768pt;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F75" w:rsidRDefault="001C4F75">
    <w:pPr>
      <w:widowControl w:val="0"/>
      <w:pBdr>
        <w:top w:val="nil"/>
        <w:left w:val="nil"/>
        <w:bottom w:val="nil"/>
        <w:right w:val="nil"/>
        <w:between w:val="nil"/>
      </w:pBdr>
      <w:spacing w:line="276" w:lineRule="auto"/>
      <w:rPr>
        <w:color w:val="000000"/>
      </w:rPr>
    </w:pPr>
  </w:p>
  <w:tbl>
    <w:tblPr>
      <w:tblStyle w:val="a0"/>
      <w:tblW w:w="9214" w:type="dxa"/>
      <w:tblInd w:w="0" w:type="dxa"/>
      <w:tblLayout w:type="fixed"/>
      <w:tblLook w:val="0400" w:firstRow="0" w:lastRow="0" w:firstColumn="0" w:lastColumn="0" w:noHBand="0" w:noVBand="1"/>
    </w:tblPr>
    <w:tblGrid>
      <w:gridCol w:w="2268"/>
      <w:gridCol w:w="6946"/>
    </w:tblGrid>
    <w:tr w:rsidR="001C4F75">
      <w:trPr>
        <w:trHeight w:val="1435"/>
      </w:trPr>
      <w:tc>
        <w:tcPr>
          <w:tcW w:w="2268" w:type="dxa"/>
          <w:shd w:val="clear" w:color="auto" w:fill="auto"/>
        </w:tcPr>
        <w:p w:rsidR="001C4F75" w:rsidRDefault="001C4F75">
          <w:pPr>
            <w:tabs>
              <w:tab w:val="right" w:pos="4273"/>
            </w:tabs>
            <w:rPr>
              <w:rFonts w:ascii="Garamond" w:eastAsia="Garamond" w:hAnsi="Garamond" w:cs="Garamond"/>
              <w:sz w:val="16"/>
              <w:szCs w:val="16"/>
            </w:rPr>
          </w:pPr>
        </w:p>
      </w:tc>
      <w:tc>
        <w:tcPr>
          <w:tcW w:w="6946" w:type="dxa"/>
          <w:shd w:val="clear" w:color="auto" w:fill="auto"/>
        </w:tcPr>
        <w:p w:rsidR="001C4F75" w:rsidRDefault="001C4F75"/>
        <w:tbl>
          <w:tblPr>
            <w:tblStyle w:val="a1"/>
            <w:tblW w:w="6791" w:type="dxa"/>
            <w:tblInd w:w="40" w:type="dxa"/>
            <w:tblLayout w:type="fixed"/>
            <w:tblLook w:val="0400" w:firstRow="0" w:lastRow="0" w:firstColumn="0" w:lastColumn="0" w:noHBand="0" w:noVBand="1"/>
          </w:tblPr>
          <w:tblGrid>
            <w:gridCol w:w="2680"/>
            <w:gridCol w:w="4111"/>
          </w:tblGrid>
          <w:tr w:rsidR="001C4F75" w:rsidRPr="002F2DB1" w:rsidTr="002F2DB1">
            <w:trPr>
              <w:trHeight w:val="150"/>
            </w:trPr>
            <w:tc>
              <w:tcPr>
                <w:tcW w:w="2680" w:type="dxa"/>
                <w:shd w:val="clear" w:color="auto" w:fill="auto"/>
              </w:tcPr>
              <w:p w:rsidR="001C4F75" w:rsidRPr="002F2DB1" w:rsidRDefault="001C4F75">
                <w:pPr>
                  <w:tabs>
                    <w:tab w:val="right" w:pos="8838"/>
                  </w:tabs>
                  <w:ind w:right="-105"/>
                  <w:rPr>
                    <w:rFonts w:ascii="Palatino Linotype" w:eastAsia="Palatino Linotype" w:hAnsi="Palatino Linotype" w:cs="Palatino Linotype"/>
                    <w:b/>
                  </w:rPr>
                </w:pPr>
                <w:r w:rsidRPr="002F2DB1">
                  <w:rPr>
                    <w:rFonts w:ascii="Palatino Linotype" w:eastAsia="Palatino Linotype" w:hAnsi="Palatino Linotype" w:cs="Palatino Linotype"/>
                    <w:b/>
                  </w:rPr>
                  <w:t>Recurso de Revisión:</w:t>
                </w:r>
              </w:p>
            </w:tc>
            <w:tc>
              <w:tcPr>
                <w:tcW w:w="4111" w:type="dxa"/>
                <w:shd w:val="clear" w:color="auto" w:fill="auto"/>
              </w:tcPr>
              <w:p w:rsidR="001C4F75" w:rsidRPr="002F2DB1" w:rsidRDefault="001C4F75">
                <w:pPr>
                  <w:tabs>
                    <w:tab w:val="right" w:pos="8838"/>
                  </w:tabs>
                  <w:ind w:left="-108" w:right="-102"/>
                  <w:jc w:val="both"/>
                  <w:rPr>
                    <w:rFonts w:ascii="Palatino Linotype" w:eastAsia="Palatino Linotype" w:hAnsi="Palatino Linotype" w:cs="Palatino Linotype"/>
                  </w:rPr>
                </w:pPr>
                <w:r w:rsidRPr="002F2DB1">
                  <w:rPr>
                    <w:rFonts w:ascii="Palatino Linotype" w:eastAsia="Palatino Linotype" w:hAnsi="Palatino Linotype" w:cs="Palatino Linotype"/>
                  </w:rPr>
                  <w:t>04178/INFOEM/IP/RR/2025</w:t>
                </w:r>
              </w:p>
            </w:tc>
          </w:tr>
          <w:tr w:rsidR="001C4F75" w:rsidRPr="002F2DB1" w:rsidTr="002F2DB1">
            <w:trPr>
              <w:trHeight w:val="295"/>
            </w:trPr>
            <w:tc>
              <w:tcPr>
                <w:tcW w:w="2680" w:type="dxa"/>
                <w:shd w:val="clear" w:color="auto" w:fill="auto"/>
              </w:tcPr>
              <w:p w:rsidR="001C4F75" w:rsidRPr="002F2DB1" w:rsidRDefault="001C4F75">
                <w:pPr>
                  <w:tabs>
                    <w:tab w:val="right" w:pos="8838"/>
                  </w:tabs>
                  <w:ind w:right="-105"/>
                  <w:rPr>
                    <w:rFonts w:ascii="Palatino Linotype" w:eastAsia="Palatino Linotype" w:hAnsi="Palatino Linotype" w:cs="Palatino Linotype"/>
                    <w:b/>
                  </w:rPr>
                </w:pPr>
                <w:r w:rsidRPr="002F2DB1">
                  <w:rPr>
                    <w:rFonts w:ascii="Palatino Linotype" w:eastAsia="Palatino Linotype" w:hAnsi="Palatino Linotype" w:cs="Palatino Linotype"/>
                    <w:b/>
                  </w:rPr>
                  <w:t>Sujeto Obligado:</w:t>
                </w:r>
              </w:p>
            </w:tc>
            <w:tc>
              <w:tcPr>
                <w:tcW w:w="4111" w:type="dxa"/>
                <w:shd w:val="clear" w:color="auto" w:fill="auto"/>
              </w:tcPr>
              <w:p w:rsidR="001C4F75" w:rsidRPr="002F2DB1" w:rsidRDefault="001C4F75">
                <w:pPr>
                  <w:tabs>
                    <w:tab w:val="left" w:pos="2834"/>
                    <w:tab w:val="right" w:pos="8838"/>
                  </w:tabs>
                  <w:ind w:left="-108" w:right="-102"/>
                  <w:jc w:val="both"/>
                  <w:rPr>
                    <w:rFonts w:ascii="Palatino Linotype" w:eastAsia="Palatino Linotype" w:hAnsi="Palatino Linotype" w:cs="Palatino Linotype"/>
                  </w:rPr>
                </w:pPr>
                <w:r w:rsidRPr="002F2DB1">
                  <w:rPr>
                    <w:rFonts w:ascii="Palatino Linotype" w:eastAsia="Palatino Linotype" w:hAnsi="Palatino Linotype" w:cs="Palatino Linotype"/>
                  </w:rPr>
                  <w:t>Organismo Agua y Saneamiento de Toluca</w:t>
                </w:r>
              </w:p>
            </w:tc>
          </w:tr>
          <w:tr w:rsidR="001C4F75" w:rsidRPr="002F2DB1" w:rsidTr="002F2DB1">
            <w:trPr>
              <w:trHeight w:val="295"/>
            </w:trPr>
            <w:tc>
              <w:tcPr>
                <w:tcW w:w="2680" w:type="dxa"/>
                <w:shd w:val="clear" w:color="auto" w:fill="auto"/>
              </w:tcPr>
              <w:p w:rsidR="001C4F75" w:rsidRPr="002F2DB1" w:rsidRDefault="001C4F75">
                <w:pPr>
                  <w:tabs>
                    <w:tab w:val="right" w:pos="8838"/>
                  </w:tabs>
                  <w:ind w:right="-105"/>
                  <w:rPr>
                    <w:rFonts w:ascii="Palatino Linotype" w:eastAsia="Palatino Linotype" w:hAnsi="Palatino Linotype" w:cs="Palatino Linotype"/>
                    <w:b/>
                  </w:rPr>
                </w:pPr>
                <w:r w:rsidRPr="002F2DB1">
                  <w:rPr>
                    <w:rFonts w:ascii="Palatino Linotype" w:eastAsia="Palatino Linotype" w:hAnsi="Palatino Linotype" w:cs="Palatino Linotype"/>
                    <w:b/>
                  </w:rPr>
                  <w:t>Comisionada ponente:</w:t>
                </w:r>
              </w:p>
            </w:tc>
            <w:tc>
              <w:tcPr>
                <w:tcW w:w="4111" w:type="dxa"/>
                <w:shd w:val="clear" w:color="auto" w:fill="auto"/>
              </w:tcPr>
              <w:p w:rsidR="001C4F75" w:rsidRPr="002F2DB1" w:rsidRDefault="001C4F75">
                <w:pPr>
                  <w:tabs>
                    <w:tab w:val="right" w:pos="8838"/>
                  </w:tabs>
                  <w:ind w:left="-108" w:right="171"/>
                  <w:jc w:val="both"/>
                  <w:rPr>
                    <w:rFonts w:ascii="Palatino Linotype" w:eastAsia="Palatino Linotype" w:hAnsi="Palatino Linotype" w:cs="Palatino Linotype"/>
                  </w:rPr>
                </w:pPr>
                <w:r w:rsidRPr="002F2DB1">
                  <w:rPr>
                    <w:rFonts w:ascii="Palatino Linotype" w:eastAsia="Palatino Linotype" w:hAnsi="Palatino Linotype" w:cs="Palatino Linotype"/>
                  </w:rPr>
                  <w:t>María del Rosario Mejía Ayala</w:t>
                </w:r>
              </w:p>
              <w:p w:rsidR="001C4F75" w:rsidRPr="002F2DB1" w:rsidRDefault="001C4F75">
                <w:pPr>
                  <w:tabs>
                    <w:tab w:val="right" w:pos="8838"/>
                  </w:tabs>
                  <w:ind w:left="-108" w:right="171"/>
                  <w:jc w:val="both"/>
                  <w:rPr>
                    <w:rFonts w:ascii="Palatino Linotype" w:eastAsia="Palatino Linotype" w:hAnsi="Palatino Linotype" w:cs="Palatino Linotype"/>
                    <w:b/>
                  </w:rPr>
                </w:pPr>
              </w:p>
            </w:tc>
          </w:tr>
        </w:tbl>
        <w:p w:rsidR="001C4F75" w:rsidRDefault="001C4F75">
          <w:pPr>
            <w:tabs>
              <w:tab w:val="right" w:pos="8838"/>
            </w:tabs>
            <w:ind w:left="-28"/>
            <w:jc w:val="both"/>
            <w:rPr>
              <w:rFonts w:ascii="Arial" w:eastAsia="Arial" w:hAnsi="Arial" w:cs="Arial"/>
              <w:b/>
              <w:sz w:val="22"/>
              <w:szCs w:val="22"/>
            </w:rPr>
          </w:pPr>
        </w:p>
      </w:tc>
    </w:tr>
  </w:tbl>
  <w:p w:rsidR="001C4F75" w:rsidRDefault="00C47652">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6"/>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F75" w:rsidRDefault="001C4F75">
    <w:pPr>
      <w:widowControl w:val="0"/>
      <w:pBdr>
        <w:top w:val="nil"/>
        <w:left w:val="nil"/>
        <w:bottom w:val="nil"/>
        <w:right w:val="nil"/>
        <w:between w:val="nil"/>
      </w:pBdr>
      <w:spacing w:line="276" w:lineRule="auto"/>
      <w:rPr>
        <w:color w:val="000000"/>
        <w:sz w:val="14"/>
        <w:szCs w:val="14"/>
      </w:rPr>
    </w:pPr>
  </w:p>
  <w:tbl>
    <w:tblPr>
      <w:tblStyle w:val="a2"/>
      <w:tblW w:w="9923" w:type="dxa"/>
      <w:tblInd w:w="0" w:type="dxa"/>
      <w:tblLayout w:type="fixed"/>
      <w:tblLook w:val="0400" w:firstRow="0" w:lastRow="0" w:firstColumn="0" w:lastColumn="0" w:noHBand="0" w:noVBand="1"/>
    </w:tblPr>
    <w:tblGrid>
      <w:gridCol w:w="2268"/>
      <w:gridCol w:w="7655"/>
    </w:tblGrid>
    <w:tr w:rsidR="001C4F75" w:rsidTr="002F2DB1">
      <w:trPr>
        <w:trHeight w:val="1435"/>
      </w:trPr>
      <w:tc>
        <w:tcPr>
          <w:tcW w:w="2268" w:type="dxa"/>
          <w:shd w:val="clear" w:color="auto" w:fill="auto"/>
        </w:tcPr>
        <w:p w:rsidR="001C4F75" w:rsidRDefault="001C4F75">
          <w:pPr>
            <w:tabs>
              <w:tab w:val="right" w:pos="4273"/>
            </w:tabs>
            <w:rPr>
              <w:rFonts w:ascii="Garamond" w:eastAsia="Garamond" w:hAnsi="Garamond" w:cs="Garamond"/>
              <w:sz w:val="22"/>
              <w:szCs w:val="22"/>
            </w:rPr>
          </w:pPr>
        </w:p>
      </w:tc>
      <w:tc>
        <w:tcPr>
          <w:tcW w:w="7655" w:type="dxa"/>
          <w:shd w:val="clear" w:color="auto" w:fill="auto"/>
        </w:tcPr>
        <w:p w:rsidR="001C4F75" w:rsidRDefault="001C4F75">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3"/>
            <w:tblW w:w="7212" w:type="dxa"/>
            <w:tblInd w:w="0" w:type="dxa"/>
            <w:tblLayout w:type="fixed"/>
            <w:tblLook w:val="0400" w:firstRow="0" w:lastRow="0" w:firstColumn="0" w:lastColumn="0" w:noHBand="0" w:noVBand="1"/>
          </w:tblPr>
          <w:tblGrid>
            <w:gridCol w:w="2862"/>
            <w:gridCol w:w="4350"/>
          </w:tblGrid>
          <w:tr w:rsidR="001C4F75" w:rsidRPr="002F2DB1" w:rsidTr="002F2DB1">
            <w:trPr>
              <w:trHeight w:val="159"/>
            </w:trPr>
            <w:tc>
              <w:tcPr>
                <w:tcW w:w="2862" w:type="dxa"/>
                <w:shd w:val="clear" w:color="auto" w:fill="auto"/>
              </w:tcPr>
              <w:p w:rsidR="001C4F75" w:rsidRPr="002F2DB1" w:rsidRDefault="001C4F75" w:rsidP="002F2DB1">
                <w:pPr>
                  <w:tabs>
                    <w:tab w:val="right" w:pos="8838"/>
                  </w:tabs>
                  <w:ind w:left="54" w:right="-105"/>
                  <w:rPr>
                    <w:rFonts w:ascii="Palatino Linotype" w:eastAsia="Palatino Linotype" w:hAnsi="Palatino Linotype" w:cs="Palatino Linotype"/>
                    <w:b/>
                  </w:rPr>
                </w:pPr>
                <w:r w:rsidRPr="002F2DB1">
                  <w:rPr>
                    <w:rFonts w:ascii="Palatino Linotype" w:eastAsia="Palatino Linotype" w:hAnsi="Palatino Linotype" w:cs="Palatino Linotype"/>
                    <w:b/>
                  </w:rPr>
                  <w:t>Recurso de Revisión:</w:t>
                </w:r>
              </w:p>
            </w:tc>
            <w:tc>
              <w:tcPr>
                <w:tcW w:w="4350" w:type="dxa"/>
                <w:shd w:val="clear" w:color="auto" w:fill="auto"/>
              </w:tcPr>
              <w:p w:rsidR="001C4F75" w:rsidRPr="002F2DB1" w:rsidRDefault="001C4F75">
                <w:pPr>
                  <w:tabs>
                    <w:tab w:val="right" w:pos="8838"/>
                  </w:tabs>
                  <w:ind w:left="-74" w:right="-105"/>
                  <w:jc w:val="both"/>
                  <w:rPr>
                    <w:rFonts w:ascii="Palatino Linotype" w:eastAsia="Palatino Linotype" w:hAnsi="Palatino Linotype" w:cs="Palatino Linotype"/>
                  </w:rPr>
                </w:pPr>
                <w:r>
                  <w:rPr>
                    <w:rFonts w:ascii="Palatino Linotype" w:eastAsia="Palatino Linotype" w:hAnsi="Palatino Linotype" w:cs="Palatino Linotype"/>
                  </w:rPr>
                  <w:t>0</w:t>
                </w:r>
                <w:r w:rsidRPr="002F2DB1">
                  <w:rPr>
                    <w:rFonts w:ascii="Palatino Linotype" w:eastAsia="Palatino Linotype" w:hAnsi="Palatino Linotype" w:cs="Palatino Linotype"/>
                  </w:rPr>
                  <w:t>4178/INFOEM/IP/RR/2025</w:t>
                </w:r>
              </w:p>
            </w:tc>
          </w:tr>
          <w:tr w:rsidR="001C4F75" w:rsidRPr="002F2DB1" w:rsidTr="002F2DB1">
            <w:trPr>
              <w:trHeight w:val="159"/>
            </w:trPr>
            <w:tc>
              <w:tcPr>
                <w:tcW w:w="2862" w:type="dxa"/>
                <w:shd w:val="clear" w:color="auto" w:fill="auto"/>
              </w:tcPr>
              <w:p w:rsidR="001C4F75" w:rsidRPr="002F2DB1" w:rsidRDefault="001C4F75" w:rsidP="002F2DB1">
                <w:pPr>
                  <w:tabs>
                    <w:tab w:val="right" w:pos="8838"/>
                  </w:tabs>
                  <w:ind w:left="54" w:right="-105"/>
                  <w:rPr>
                    <w:rFonts w:ascii="Palatino Linotype" w:eastAsia="Palatino Linotype" w:hAnsi="Palatino Linotype" w:cs="Palatino Linotype"/>
                    <w:b/>
                  </w:rPr>
                </w:pPr>
                <w:r w:rsidRPr="002F2DB1">
                  <w:rPr>
                    <w:rFonts w:ascii="Palatino Linotype" w:eastAsia="Palatino Linotype" w:hAnsi="Palatino Linotype" w:cs="Palatino Linotype"/>
                    <w:b/>
                  </w:rPr>
                  <w:t>Recurrente:</w:t>
                </w:r>
              </w:p>
            </w:tc>
            <w:tc>
              <w:tcPr>
                <w:tcW w:w="4350" w:type="dxa"/>
                <w:shd w:val="clear" w:color="auto" w:fill="auto"/>
              </w:tcPr>
              <w:p w:rsidR="001C4F75" w:rsidRPr="002F2DB1" w:rsidRDefault="003A4637">
                <w:pPr>
                  <w:tabs>
                    <w:tab w:val="left" w:pos="3122"/>
                    <w:tab w:val="right" w:pos="8838"/>
                  </w:tabs>
                  <w:ind w:left="-74" w:right="-105"/>
                  <w:jc w:val="both"/>
                  <w:rPr>
                    <w:rFonts w:ascii="Palatino Linotype" w:eastAsia="Palatino Linotype" w:hAnsi="Palatino Linotype" w:cs="Palatino Linotype"/>
                  </w:rPr>
                </w:pPr>
                <w:r>
                  <w:rPr>
                    <w:rFonts w:ascii="Palatino Linotype" w:eastAsia="Palatino Linotype" w:hAnsi="Palatino Linotype" w:cs="Palatino Linotype"/>
                  </w:rPr>
                  <w:t>XXXX</w:t>
                </w:r>
              </w:p>
            </w:tc>
          </w:tr>
          <w:tr w:rsidR="001C4F75" w:rsidRPr="002F2DB1" w:rsidTr="002F2DB1">
            <w:trPr>
              <w:trHeight w:val="315"/>
            </w:trPr>
            <w:tc>
              <w:tcPr>
                <w:tcW w:w="2862" w:type="dxa"/>
                <w:shd w:val="clear" w:color="auto" w:fill="auto"/>
              </w:tcPr>
              <w:p w:rsidR="001C4F75" w:rsidRPr="002F2DB1" w:rsidRDefault="001C4F75" w:rsidP="002F2DB1">
                <w:pPr>
                  <w:tabs>
                    <w:tab w:val="right" w:pos="8838"/>
                  </w:tabs>
                  <w:ind w:left="54" w:right="-105"/>
                  <w:rPr>
                    <w:rFonts w:ascii="Palatino Linotype" w:eastAsia="Palatino Linotype" w:hAnsi="Palatino Linotype" w:cs="Palatino Linotype"/>
                    <w:b/>
                  </w:rPr>
                </w:pPr>
                <w:r w:rsidRPr="002F2DB1">
                  <w:rPr>
                    <w:rFonts w:ascii="Palatino Linotype" w:eastAsia="Palatino Linotype" w:hAnsi="Palatino Linotype" w:cs="Palatino Linotype"/>
                    <w:b/>
                  </w:rPr>
                  <w:t>Sujeto Obligado:</w:t>
                </w:r>
              </w:p>
            </w:tc>
            <w:tc>
              <w:tcPr>
                <w:tcW w:w="4350" w:type="dxa"/>
                <w:shd w:val="clear" w:color="auto" w:fill="auto"/>
              </w:tcPr>
              <w:p w:rsidR="001C4F75" w:rsidRPr="002F2DB1" w:rsidRDefault="001C4F75" w:rsidP="002F2DB1">
                <w:pPr>
                  <w:tabs>
                    <w:tab w:val="right" w:pos="8838"/>
                  </w:tabs>
                  <w:ind w:left="-74" w:right="-105"/>
                  <w:jc w:val="both"/>
                  <w:rPr>
                    <w:rFonts w:ascii="Palatino Linotype" w:eastAsia="Palatino Linotype" w:hAnsi="Palatino Linotype" w:cs="Palatino Linotype"/>
                  </w:rPr>
                </w:pPr>
                <w:r w:rsidRPr="002F2DB1">
                  <w:rPr>
                    <w:rFonts w:ascii="Palatino Linotype" w:eastAsia="Palatino Linotype" w:hAnsi="Palatino Linotype" w:cs="Palatino Linotype"/>
                  </w:rPr>
                  <w:t>Organismo Agua y Saneamiento de Toluca</w:t>
                </w:r>
              </w:p>
            </w:tc>
          </w:tr>
          <w:tr w:rsidR="001C4F75" w:rsidRPr="002F2DB1" w:rsidTr="002F2DB1">
            <w:trPr>
              <w:trHeight w:val="315"/>
            </w:trPr>
            <w:tc>
              <w:tcPr>
                <w:tcW w:w="2862" w:type="dxa"/>
                <w:shd w:val="clear" w:color="auto" w:fill="auto"/>
              </w:tcPr>
              <w:p w:rsidR="001C4F75" w:rsidRPr="002F2DB1" w:rsidRDefault="001C4F75" w:rsidP="002F2DB1">
                <w:pPr>
                  <w:tabs>
                    <w:tab w:val="right" w:pos="8838"/>
                  </w:tabs>
                  <w:ind w:left="54" w:right="-105"/>
                  <w:rPr>
                    <w:rFonts w:ascii="Palatino Linotype" w:eastAsia="Palatino Linotype" w:hAnsi="Palatino Linotype" w:cs="Palatino Linotype"/>
                    <w:b/>
                  </w:rPr>
                </w:pPr>
                <w:r w:rsidRPr="002F2DB1">
                  <w:rPr>
                    <w:rFonts w:ascii="Palatino Linotype" w:eastAsia="Palatino Linotype" w:hAnsi="Palatino Linotype" w:cs="Palatino Linotype"/>
                    <w:b/>
                  </w:rPr>
                  <w:t>Comisionada ponente:</w:t>
                </w:r>
              </w:p>
            </w:tc>
            <w:tc>
              <w:tcPr>
                <w:tcW w:w="4350" w:type="dxa"/>
                <w:shd w:val="clear" w:color="auto" w:fill="auto"/>
              </w:tcPr>
              <w:p w:rsidR="001C4F75" w:rsidRPr="002F2DB1" w:rsidRDefault="001C4F75">
                <w:pPr>
                  <w:tabs>
                    <w:tab w:val="right" w:pos="8838"/>
                  </w:tabs>
                  <w:ind w:left="-74" w:right="-105"/>
                  <w:jc w:val="both"/>
                  <w:rPr>
                    <w:rFonts w:ascii="Palatino Linotype" w:eastAsia="Palatino Linotype" w:hAnsi="Palatino Linotype" w:cs="Palatino Linotype"/>
                  </w:rPr>
                </w:pPr>
                <w:r w:rsidRPr="002F2DB1">
                  <w:rPr>
                    <w:rFonts w:ascii="Palatino Linotype" w:eastAsia="Palatino Linotype" w:hAnsi="Palatino Linotype" w:cs="Palatino Linotype"/>
                  </w:rPr>
                  <w:t>María del Rosario Mejía Ayala</w:t>
                </w:r>
              </w:p>
              <w:p w:rsidR="001C4F75" w:rsidRPr="002F2DB1" w:rsidRDefault="001C4F75">
                <w:pPr>
                  <w:tabs>
                    <w:tab w:val="right" w:pos="8838"/>
                  </w:tabs>
                  <w:ind w:left="-74" w:right="-105"/>
                  <w:jc w:val="both"/>
                  <w:rPr>
                    <w:rFonts w:ascii="Palatino Linotype" w:eastAsia="Palatino Linotype" w:hAnsi="Palatino Linotype" w:cs="Palatino Linotype"/>
                  </w:rPr>
                </w:pPr>
              </w:p>
            </w:tc>
          </w:tr>
        </w:tbl>
        <w:p w:rsidR="001C4F75" w:rsidRDefault="001C4F75">
          <w:pPr>
            <w:tabs>
              <w:tab w:val="right" w:pos="8838"/>
            </w:tabs>
            <w:ind w:left="-28"/>
            <w:jc w:val="both"/>
            <w:rPr>
              <w:rFonts w:ascii="Arial" w:eastAsia="Arial" w:hAnsi="Arial" w:cs="Arial"/>
              <w:b/>
              <w:sz w:val="22"/>
              <w:szCs w:val="22"/>
            </w:rPr>
          </w:pPr>
        </w:p>
      </w:tc>
    </w:tr>
  </w:tbl>
  <w:p w:rsidR="001C4F75" w:rsidRDefault="00C47652">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57CAE"/>
    <w:multiLevelType w:val="multilevel"/>
    <w:tmpl w:val="D48EE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6E749C"/>
    <w:multiLevelType w:val="multilevel"/>
    <w:tmpl w:val="CB0C23DE"/>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2" w15:restartNumberingAfterBreak="0">
    <w:nsid w:val="2B1C0870"/>
    <w:multiLevelType w:val="multilevel"/>
    <w:tmpl w:val="D8164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4B5459"/>
    <w:multiLevelType w:val="multilevel"/>
    <w:tmpl w:val="51602A8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270F02"/>
    <w:multiLevelType w:val="multilevel"/>
    <w:tmpl w:val="04963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6D70F0"/>
    <w:multiLevelType w:val="multilevel"/>
    <w:tmpl w:val="F342ED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AF51787"/>
    <w:multiLevelType w:val="multilevel"/>
    <w:tmpl w:val="A75866BE"/>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7" w15:restartNumberingAfterBreak="0">
    <w:nsid w:val="3C083510"/>
    <w:multiLevelType w:val="multilevel"/>
    <w:tmpl w:val="E698D4C0"/>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4C7D2EF5"/>
    <w:multiLevelType w:val="multilevel"/>
    <w:tmpl w:val="3B0C872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F06622B"/>
    <w:multiLevelType w:val="multilevel"/>
    <w:tmpl w:val="971EF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02B190D"/>
    <w:multiLevelType w:val="hybridMultilevel"/>
    <w:tmpl w:val="27BA8216"/>
    <w:lvl w:ilvl="0" w:tplc="3EF48730">
      <w:start w:val="1"/>
      <w:numFmt w:val="decimal"/>
      <w:lvlText w:val="%1."/>
      <w:lvlJc w:val="left"/>
      <w:pPr>
        <w:ind w:left="360" w:hanging="360"/>
      </w:pPr>
      <w:rPr>
        <w:rFonts w:ascii="Palatino Linotype" w:hAnsi="Palatino Linotype" w:hint="default"/>
        <w:b/>
        <w:i w:val="0"/>
        <w:color w:val="auto"/>
        <w:sz w:val="24"/>
      </w:rPr>
    </w:lvl>
    <w:lvl w:ilvl="1" w:tplc="E6865752">
      <w:start w:val="1"/>
      <w:numFmt w:val="lowerLetter"/>
      <w:lvlText w:val="%2."/>
      <w:lvlJc w:val="left"/>
      <w:pPr>
        <w:ind w:left="1440" w:hanging="360"/>
      </w:pPr>
      <w:rPr>
        <w:sz w:val="22"/>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65C61958"/>
    <w:multiLevelType w:val="multilevel"/>
    <w:tmpl w:val="E3BC5C7C"/>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84B4E96"/>
    <w:multiLevelType w:val="hybridMultilevel"/>
    <w:tmpl w:val="359860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7"/>
  </w:num>
  <w:num w:numId="4">
    <w:abstractNumId w:val="3"/>
  </w:num>
  <w:num w:numId="5">
    <w:abstractNumId w:val="11"/>
  </w:num>
  <w:num w:numId="6">
    <w:abstractNumId w:val="9"/>
  </w:num>
  <w:num w:numId="7">
    <w:abstractNumId w:val="4"/>
  </w:num>
  <w:num w:numId="8">
    <w:abstractNumId w:val="2"/>
  </w:num>
  <w:num w:numId="9">
    <w:abstractNumId w:val="0"/>
  </w:num>
  <w:num w:numId="10">
    <w:abstractNumId w:val="6"/>
  </w:num>
  <w:num w:numId="11">
    <w:abstractNumId w:val="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18D"/>
    <w:rsid w:val="00044EF6"/>
    <w:rsid w:val="00124739"/>
    <w:rsid w:val="00126BB6"/>
    <w:rsid w:val="00175986"/>
    <w:rsid w:val="0019018D"/>
    <w:rsid w:val="001C4F75"/>
    <w:rsid w:val="002F2DB1"/>
    <w:rsid w:val="003A4637"/>
    <w:rsid w:val="003A4D5B"/>
    <w:rsid w:val="00554343"/>
    <w:rsid w:val="006232E4"/>
    <w:rsid w:val="006C0810"/>
    <w:rsid w:val="007970EE"/>
    <w:rsid w:val="008011FF"/>
    <w:rsid w:val="00847FE2"/>
    <w:rsid w:val="008748C6"/>
    <w:rsid w:val="00C173F9"/>
    <w:rsid w:val="00C47652"/>
    <w:rsid w:val="00DF1E05"/>
    <w:rsid w:val="00FF13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14D5398-C651-4E8B-A48A-B6A29BACF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865"/>
  </w:style>
  <w:style w:type="paragraph" w:styleId="Ttulo1">
    <w:name w:val="heading 1"/>
    <w:basedOn w:val="Normal"/>
    <w:next w:val="Normal"/>
    <w:link w:val="Ttulo1Car"/>
    <w:uiPriority w:val="9"/>
    <w:qFormat/>
    <w:rsid w:val="008418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link w:val="Ttulo3Car"/>
    <w:uiPriority w:val="9"/>
    <w:unhideWhenUsed/>
    <w:qFormat/>
    <w:rsid w:val="00370EF2"/>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841865"/>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841865"/>
    <w:pPr>
      <w:tabs>
        <w:tab w:val="center" w:pos="4419"/>
        <w:tab w:val="right" w:pos="8838"/>
      </w:tabs>
    </w:pPr>
  </w:style>
  <w:style w:type="character" w:customStyle="1" w:styleId="EncabezadoCar">
    <w:name w:val="Encabezado Car"/>
    <w:basedOn w:val="Fuentedeprrafopredeter"/>
    <w:link w:val="Encabezado"/>
    <w:uiPriority w:val="99"/>
    <w:rsid w:val="00841865"/>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841865"/>
    <w:pPr>
      <w:tabs>
        <w:tab w:val="center" w:pos="4419"/>
        <w:tab w:val="right" w:pos="8838"/>
      </w:tabs>
    </w:pPr>
  </w:style>
  <w:style w:type="character" w:customStyle="1" w:styleId="PiedepginaCar">
    <w:name w:val="Pie de página Car"/>
    <w:basedOn w:val="Fuentedeprrafopredeter"/>
    <w:link w:val="Piedepgina"/>
    <w:uiPriority w:val="99"/>
    <w:rsid w:val="00841865"/>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41865"/>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41865"/>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41865"/>
    <w:rPr>
      <w:color w:val="0563C1"/>
      <w:u w:val="single"/>
    </w:rPr>
  </w:style>
  <w:style w:type="table" w:styleId="Tablaconcuadrcula">
    <w:name w:val="Table Grid"/>
    <w:basedOn w:val="Tablanormal"/>
    <w:uiPriority w:val="39"/>
    <w:rsid w:val="002E74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3">
    <w:name w:val="Grid Table 4 Accent 3"/>
    <w:basedOn w:val="Tablanormal"/>
    <w:uiPriority w:val="49"/>
    <w:rsid w:val="002E74E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6672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6672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D66728"/>
    <w:rPr>
      <w:vertAlign w:val="superscript"/>
    </w:rPr>
  </w:style>
  <w:style w:type="paragraph" w:styleId="Sinespaciado">
    <w:name w:val="No Spacing"/>
    <w:aliases w:val="Francesa,INAI"/>
    <w:link w:val="SinespaciadoCar"/>
    <w:uiPriority w:val="1"/>
    <w:qFormat/>
    <w:rsid w:val="004124AA"/>
    <w:rPr>
      <w:lang w:eastAsia="es-ES"/>
    </w:rPr>
  </w:style>
  <w:style w:type="character" w:customStyle="1" w:styleId="SinespaciadoCar">
    <w:name w:val="Sin espaciado Car"/>
    <w:aliases w:val="Francesa Car,INAI Car"/>
    <w:link w:val="Sinespaciado"/>
    <w:uiPriority w:val="1"/>
    <w:locked/>
    <w:rsid w:val="004124AA"/>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370EF2"/>
    <w:rPr>
      <w:rFonts w:asciiTheme="majorHAnsi" w:eastAsiaTheme="majorEastAsia" w:hAnsiTheme="majorHAnsi" w:cstheme="majorBidi"/>
      <w:color w:val="1F4D78" w:themeColor="accent1" w:themeShade="7F"/>
      <w:sz w:val="24"/>
      <w:szCs w:val="24"/>
      <w:lang w:val="es-ES_tradnl" w:eastAsia="es-ES"/>
    </w:rPr>
  </w:style>
  <w:style w:type="character" w:styleId="Hipervnculovisitado">
    <w:name w:val="FollowedHyperlink"/>
    <w:basedOn w:val="Fuentedeprrafopredeter"/>
    <w:uiPriority w:val="99"/>
    <w:semiHidden/>
    <w:unhideWhenUsed/>
    <w:rsid w:val="00A61970"/>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hyperlink" Target="http://dof.gob.mx/nota_detalle.php?codigo=5492254&amp;fecha=28/07/2017"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es/contenido/transparencia/directorio-de-sujetos-obligados"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2.xml"/><Relationship Id="rId10" Type="http://schemas.openxmlformats.org/officeDocument/2006/relationships/hyperlink" Target="https://ipomex.org.mx/" TargetMode="External"/><Relationship Id="rId19" Type="http://schemas.openxmlformats.org/officeDocument/2006/relationships/oleObject" Target="embeddings/oleObject3.bin"/><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ipomex.org.mx/"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hyperlink" Target="https://ipomex.org.m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ley/vig/leyvig08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sgnT3+C25gtmZMIBQaILf/T9mQ==">CgMxLjAyDmguYmswZnM4eXprN3RtMg5oLjk5ZmZtbXZ5b3YxaDIOaC5xenoyb3U5cjRtenUyDmguanJicnB4Mm8ydDFxMg5oLnk5aHo5amFmamdvZzIOaC56ZGlvdTd4OW4wam0yDmguaWowZjQ3c2VnenJmMg5oLjFsazF4NmI5MnE0MjIJaC4yNmluMXJnMgloLjM1bmt1bjIyCWguMWtzdjR1djIJaC40NHNpbmlvMg5oLnZvM3gxeGZtYzllcTIOaC5wZzN3dm5qaDU3OTI4AHIhMVRvUzNjd0tUWS1TVTgxUEtWaXdDUDd2TUk3WkFkcUN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60</Pages>
  <Words>12748</Words>
  <Characters>70118</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82701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Cuenta Microsoft</cp:lastModifiedBy>
  <cp:revision>11</cp:revision>
  <cp:lastPrinted>2025-05-15T19:11:00Z</cp:lastPrinted>
  <dcterms:created xsi:type="dcterms:W3CDTF">2025-05-08T17:57:00Z</dcterms:created>
  <dcterms:modified xsi:type="dcterms:W3CDTF">2025-05-16T20:42:00Z</dcterms:modified>
</cp:coreProperties>
</file>