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B7D5" w14:textId="77777777" w:rsidR="00CA2F07" w:rsidRDefault="00CA2F07">
      <w:pPr>
        <w:widowControl w:val="0"/>
        <w:pBdr>
          <w:top w:val="nil"/>
          <w:left w:val="nil"/>
          <w:bottom w:val="nil"/>
          <w:right w:val="nil"/>
          <w:between w:val="nil"/>
        </w:pBdr>
        <w:spacing w:line="276" w:lineRule="auto"/>
      </w:pPr>
    </w:p>
    <w:p w14:paraId="28D829BE" w14:textId="77777777" w:rsidR="00CA2F07" w:rsidRDefault="00CA2F07">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7C61CD1" w14:textId="77777777" w:rsidR="00CA2F07" w:rsidRPr="008B4A3C" w:rsidRDefault="003B50FA">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RESOLUCIÓN DEL RECURSO DE REVISIÓN 07961/INFOEM/IP/RR/2025</w:t>
      </w:r>
    </w:p>
    <w:sdt>
      <w:sdtPr>
        <w:rPr>
          <w:lang w:val="es-ES"/>
        </w:rPr>
        <w:id w:val="-1614662462"/>
        <w:docPartObj>
          <w:docPartGallery w:val="Table of Contents"/>
          <w:docPartUnique/>
        </w:docPartObj>
      </w:sdtPr>
      <w:sdtEndPr>
        <w:rPr>
          <w:b/>
          <w:bCs/>
        </w:rPr>
      </w:sdtEndPr>
      <w:sdtContent>
        <w:p w14:paraId="564C39A5" w14:textId="77777777" w:rsidR="00F24C61" w:rsidRPr="008B4A3C" w:rsidRDefault="00F24C61">
          <w:pPr>
            <w:pStyle w:val="TtuloTDC"/>
          </w:pPr>
        </w:p>
        <w:p w14:paraId="454C3FDD" w14:textId="4B931CF2" w:rsidR="00BD6288" w:rsidRDefault="00F24C61">
          <w:pPr>
            <w:pStyle w:val="TDC1"/>
            <w:rPr>
              <w:rFonts w:asciiTheme="minorHAnsi" w:eastAsiaTheme="minorEastAsia" w:hAnsiTheme="minorHAnsi" w:cstheme="minorBidi"/>
              <w:noProof/>
              <w:sz w:val="22"/>
              <w:szCs w:val="22"/>
            </w:rPr>
          </w:pPr>
          <w:r w:rsidRPr="008B4A3C">
            <w:rPr>
              <w:b/>
              <w:bCs/>
              <w:lang w:val="es-ES"/>
            </w:rPr>
            <w:fldChar w:fldCharType="begin"/>
          </w:r>
          <w:r w:rsidRPr="008B4A3C">
            <w:rPr>
              <w:b/>
              <w:bCs/>
              <w:lang w:val="es-ES"/>
            </w:rPr>
            <w:instrText xml:space="preserve"> TOC \o "1-3" \h \z \u </w:instrText>
          </w:r>
          <w:r w:rsidRPr="008B4A3C">
            <w:rPr>
              <w:b/>
              <w:bCs/>
              <w:lang w:val="es-ES"/>
            </w:rPr>
            <w:fldChar w:fldCharType="separate"/>
          </w:r>
          <w:hyperlink w:anchor="_Toc205476206" w:history="1">
            <w:r w:rsidR="00BD6288" w:rsidRPr="009C033C">
              <w:rPr>
                <w:rStyle w:val="Hipervnculo"/>
                <w:noProof/>
              </w:rPr>
              <w:t>A N T E C E D E N T E S</w:t>
            </w:r>
            <w:r w:rsidR="00BD6288">
              <w:rPr>
                <w:noProof/>
                <w:webHidden/>
              </w:rPr>
              <w:tab/>
            </w:r>
            <w:r w:rsidR="00BD6288">
              <w:rPr>
                <w:noProof/>
                <w:webHidden/>
              </w:rPr>
              <w:fldChar w:fldCharType="begin"/>
            </w:r>
            <w:r w:rsidR="00BD6288">
              <w:rPr>
                <w:noProof/>
                <w:webHidden/>
              </w:rPr>
              <w:instrText xml:space="preserve"> PAGEREF _Toc205476206 \h </w:instrText>
            </w:r>
            <w:r w:rsidR="00BD6288">
              <w:rPr>
                <w:noProof/>
                <w:webHidden/>
              </w:rPr>
            </w:r>
            <w:r w:rsidR="00BD6288">
              <w:rPr>
                <w:noProof/>
                <w:webHidden/>
              </w:rPr>
              <w:fldChar w:fldCharType="separate"/>
            </w:r>
            <w:r w:rsidR="00385B52">
              <w:rPr>
                <w:noProof/>
                <w:webHidden/>
              </w:rPr>
              <w:t>2</w:t>
            </w:r>
            <w:r w:rsidR="00BD6288">
              <w:rPr>
                <w:noProof/>
                <w:webHidden/>
              </w:rPr>
              <w:fldChar w:fldCharType="end"/>
            </w:r>
          </w:hyperlink>
        </w:p>
        <w:p w14:paraId="193AE1B8" w14:textId="2C3D693C"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07" w:history="1">
            <w:r w:rsidRPr="009C033C">
              <w:rPr>
                <w:rStyle w:val="Hipervnculo"/>
                <w:noProof/>
              </w:rPr>
              <w:t>I. Presentación de la solicitud de información</w:t>
            </w:r>
            <w:r>
              <w:rPr>
                <w:noProof/>
                <w:webHidden/>
              </w:rPr>
              <w:tab/>
            </w:r>
            <w:r>
              <w:rPr>
                <w:noProof/>
                <w:webHidden/>
              </w:rPr>
              <w:fldChar w:fldCharType="begin"/>
            </w:r>
            <w:r>
              <w:rPr>
                <w:noProof/>
                <w:webHidden/>
              </w:rPr>
              <w:instrText xml:space="preserve"> PAGEREF _Toc205476207 \h </w:instrText>
            </w:r>
            <w:r>
              <w:rPr>
                <w:noProof/>
                <w:webHidden/>
              </w:rPr>
            </w:r>
            <w:r>
              <w:rPr>
                <w:noProof/>
                <w:webHidden/>
              </w:rPr>
              <w:fldChar w:fldCharType="separate"/>
            </w:r>
            <w:r w:rsidR="00385B52">
              <w:rPr>
                <w:noProof/>
                <w:webHidden/>
              </w:rPr>
              <w:t>2</w:t>
            </w:r>
            <w:r>
              <w:rPr>
                <w:noProof/>
                <w:webHidden/>
              </w:rPr>
              <w:fldChar w:fldCharType="end"/>
            </w:r>
          </w:hyperlink>
        </w:p>
        <w:p w14:paraId="02F220EC" w14:textId="18C955C1"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08" w:history="1">
            <w:r w:rsidRPr="009C033C">
              <w:rPr>
                <w:rStyle w:val="Hipervnculo"/>
                <w:noProof/>
              </w:rPr>
              <w:t>II. Respuesta del Sujeto Obligado</w:t>
            </w:r>
            <w:r>
              <w:rPr>
                <w:noProof/>
                <w:webHidden/>
              </w:rPr>
              <w:tab/>
            </w:r>
            <w:r>
              <w:rPr>
                <w:noProof/>
                <w:webHidden/>
              </w:rPr>
              <w:fldChar w:fldCharType="begin"/>
            </w:r>
            <w:r>
              <w:rPr>
                <w:noProof/>
                <w:webHidden/>
              </w:rPr>
              <w:instrText xml:space="preserve"> PAGEREF _Toc205476208 \h </w:instrText>
            </w:r>
            <w:r>
              <w:rPr>
                <w:noProof/>
                <w:webHidden/>
              </w:rPr>
            </w:r>
            <w:r>
              <w:rPr>
                <w:noProof/>
                <w:webHidden/>
              </w:rPr>
              <w:fldChar w:fldCharType="separate"/>
            </w:r>
            <w:r w:rsidR="00385B52">
              <w:rPr>
                <w:noProof/>
                <w:webHidden/>
              </w:rPr>
              <w:t>3</w:t>
            </w:r>
            <w:r>
              <w:rPr>
                <w:noProof/>
                <w:webHidden/>
              </w:rPr>
              <w:fldChar w:fldCharType="end"/>
            </w:r>
          </w:hyperlink>
        </w:p>
        <w:p w14:paraId="1DE59F61" w14:textId="2BC231C1"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09" w:history="1">
            <w:r w:rsidRPr="009C033C">
              <w:rPr>
                <w:rStyle w:val="Hipervnculo"/>
                <w:noProof/>
              </w:rPr>
              <w:t>III. Interposición del Recurso de Revisión</w:t>
            </w:r>
            <w:r>
              <w:rPr>
                <w:noProof/>
                <w:webHidden/>
              </w:rPr>
              <w:tab/>
            </w:r>
            <w:r>
              <w:rPr>
                <w:noProof/>
                <w:webHidden/>
              </w:rPr>
              <w:fldChar w:fldCharType="begin"/>
            </w:r>
            <w:r>
              <w:rPr>
                <w:noProof/>
                <w:webHidden/>
              </w:rPr>
              <w:instrText xml:space="preserve"> PAGEREF _Toc205476209 \h </w:instrText>
            </w:r>
            <w:r>
              <w:rPr>
                <w:noProof/>
                <w:webHidden/>
              </w:rPr>
            </w:r>
            <w:r>
              <w:rPr>
                <w:noProof/>
                <w:webHidden/>
              </w:rPr>
              <w:fldChar w:fldCharType="separate"/>
            </w:r>
            <w:r w:rsidR="00385B52">
              <w:rPr>
                <w:noProof/>
                <w:webHidden/>
              </w:rPr>
              <w:t>3</w:t>
            </w:r>
            <w:r>
              <w:rPr>
                <w:noProof/>
                <w:webHidden/>
              </w:rPr>
              <w:fldChar w:fldCharType="end"/>
            </w:r>
          </w:hyperlink>
        </w:p>
        <w:p w14:paraId="0D201513" w14:textId="717B97C3"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0" w:history="1">
            <w:r w:rsidRPr="009C033C">
              <w:rPr>
                <w:rStyle w:val="Hipervnculo"/>
                <w:noProof/>
              </w:rPr>
              <w:t>IV. Trámite del Recurso de Revisión ante el Instituto</w:t>
            </w:r>
            <w:r>
              <w:rPr>
                <w:noProof/>
                <w:webHidden/>
              </w:rPr>
              <w:tab/>
            </w:r>
            <w:r>
              <w:rPr>
                <w:noProof/>
                <w:webHidden/>
              </w:rPr>
              <w:fldChar w:fldCharType="begin"/>
            </w:r>
            <w:r>
              <w:rPr>
                <w:noProof/>
                <w:webHidden/>
              </w:rPr>
              <w:instrText xml:space="preserve"> PAGEREF _Toc205476210 \h </w:instrText>
            </w:r>
            <w:r>
              <w:rPr>
                <w:noProof/>
                <w:webHidden/>
              </w:rPr>
            </w:r>
            <w:r>
              <w:rPr>
                <w:noProof/>
                <w:webHidden/>
              </w:rPr>
              <w:fldChar w:fldCharType="separate"/>
            </w:r>
            <w:r w:rsidR="00385B52">
              <w:rPr>
                <w:noProof/>
                <w:webHidden/>
              </w:rPr>
              <w:t>4</w:t>
            </w:r>
            <w:r>
              <w:rPr>
                <w:noProof/>
                <w:webHidden/>
              </w:rPr>
              <w:fldChar w:fldCharType="end"/>
            </w:r>
          </w:hyperlink>
        </w:p>
        <w:p w14:paraId="22D5334D" w14:textId="3FD87650" w:rsidR="00BD6288" w:rsidRDefault="00BD6288">
          <w:pPr>
            <w:pStyle w:val="TDC1"/>
            <w:rPr>
              <w:rFonts w:asciiTheme="minorHAnsi" w:eastAsiaTheme="minorEastAsia" w:hAnsiTheme="minorHAnsi" w:cstheme="minorBidi"/>
              <w:noProof/>
              <w:sz w:val="22"/>
              <w:szCs w:val="22"/>
            </w:rPr>
          </w:pPr>
          <w:hyperlink w:anchor="_Toc205476211" w:history="1">
            <w:r w:rsidRPr="009C033C">
              <w:rPr>
                <w:rStyle w:val="Hipervnculo"/>
                <w:noProof/>
              </w:rPr>
              <w:t>C O N S I D E R A N D O S</w:t>
            </w:r>
            <w:r>
              <w:rPr>
                <w:noProof/>
                <w:webHidden/>
              </w:rPr>
              <w:tab/>
            </w:r>
            <w:r>
              <w:rPr>
                <w:noProof/>
                <w:webHidden/>
              </w:rPr>
              <w:fldChar w:fldCharType="begin"/>
            </w:r>
            <w:r>
              <w:rPr>
                <w:noProof/>
                <w:webHidden/>
              </w:rPr>
              <w:instrText xml:space="preserve"> PAGEREF _Toc205476211 \h </w:instrText>
            </w:r>
            <w:r>
              <w:rPr>
                <w:noProof/>
                <w:webHidden/>
              </w:rPr>
            </w:r>
            <w:r>
              <w:rPr>
                <w:noProof/>
                <w:webHidden/>
              </w:rPr>
              <w:fldChar w:fldCharType="separate"/>
            </w:r>
            <w:r w:rsidR="00385B52">
              <w:rPr>
                <w:noProof/>
                <w:webHidden/>
              </w:rPr>
              <w:t>5</w:t>
            </w:r>
            <w:r>
              <w:rPr>
                <w:noProof/>
                <w:webHidden/>
              </w:rPr>
              <w:fldChar w:fldCharType="end"/>
            </w:r>
          </w:hyperlink>
        </w:p>
        <w:p w14:paraId="681DC9B1" w14:textId="1B14CA39"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2" w:history="1">
            <w:r w:rsidRPr="009C033C">
              <w:rPr>
                <w:rStyle w:val="Hipervnculo"/>
                <w:noProof/>
              </w:rPr>
              <w:t>PRIMERO. Competencia</w:t>
            </w:r>
            <w:r>
              <w:rPr>
                <w:noProof/>
                <w:webHidden/>
              </w:rPr>
              <w:tab/>
            </w:r>
            <w:r>
              <w:rPr>
                <w:noProof/>
                <w:webHidden/>
              </w:rPr>
              <w:fldChar w:fldCharType="begin"/>
            </w:r>
            <w:r>
              <w:rPr>
                <w:noProof/>
                <w:webHidden/>
              </w:rPr>
              <w:instrText xml:space="preserve"> PAGEREF _Toc205476212 \h </w:instrText>
            </w:r>
            <w:r>
              <w:rPr>
                <w:noProof/>
                <w:webHidden/>
              </w:rPr>
            </w:r>
            <w:r>
              <w:rPr>
                <w:noProof/>
                <w:webHidden/>
              </w:rPr>
              <w:fldChar w:fldCharType="separate"/>
            </w:r>
            <w:r w:rsidR="00385B52">
              <w:rPr>
                <w:noProof/>
                <w:webHidden/>
              </w:rPr>
              <w:t>5</w:t>
            </w:r>
            <w:r>
              <w:rPr>
                <w:noProof/>
                <w:webHidden/>
              </w:rPr>
              <w:fldChar w:fldCharType="end"/>
            </w:r>
          </w:hyperlink>
        </w:p>
        <w:p w14:paraId="59CF7865" w14:textId="6FFD487F"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3" w:history="1">
            <w:r w:rsidRPr="009C033C">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_Toc205476213 \h </w:instrText>
            </w:r>
            <w:r>
              <w:rPr>
                <w:noProof/>
                <w:webHidden/>
              </w:rPr>
            </w:r>
            <w:r>
              <w:rPr>
                <w:noProof/>
                <w:webHidden/>
              </w:rPr>
              <w:fldChar w:fldCharType="separate"/>
            </w:r>
            <w:r w:rsidR="00385B52">
              <w:rPr>
                <w:noProof/>
                <w:webHidden/>
              </w:rPr>
              <w:t>5</w:t>
            </w:r>
            <w:r>
              <w:rPr>
                <w:noProof/>
                <w:webHidden/>
              </w:rPr>
              <w:fldChar w:fldCharType="end"/>
            </w:r>
          </w:hyperlink>
        </w:p>
        <w:p w14:paraId="074AA684" w14:textId="5896A682"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4" w:history="1">
            <w:r w:rsidRPr="009C033C">
              <w:rPr>
                <w:rStyle w:val="Hipervnculo"/>
                <w:noProof/>
              </w:rPr>
              <w:t>TERCERO. Determinación de la Controversia</w:t>
            </w:r>
            <w:r>
              <w:rPr>
                <w:noProof/>
                <w:webHidden/>
              </w:rPr>
              <w:tab/>
            </w:r>
            <w:r>
              <w:rPr>
                <w:noProof/>
                <w:webHidden/>
              </w:rPr>
              <w:fldChar w:fldCharType="begin"/>
            </w:r>
            <w:r>
              <w:rPr>
                <w:noProof/>
                <w:webHidden/>
              </w:rPr>
              <w:instrText xml:space="preserve"> PAGEREF _Toc205476214 \h </w:instrText>
            </w:r>
            <w:r>
              <w:rPr>
                <w:noProof/>
                <w:webHidden/>
              </w:rPr>
            </w:r>
            <w:r>
              <w:rPr>
                <w:noProof/>
                <w:webHidden/>
              </w:rPr>
              <w:fldChar w:fldCharType="separate"/>
            </w:r>
            <w:r w:rsidR="00385B52">
              <w:rPr>
                <w:noProof/>
                <w:webHidden/>
              </w:rPr>
              <w:t>8</w:t>
            </w:r>
            <w:r>
              <w:rPr>
                <w:noProof/>
                <w:webHidden/>
              </w:rPr>
              <w:fldChar w:fldCharType="end"/>
            </w:r>
          </w:hyperlink>
        </w:p>
        <w:p w14:paraId="55E2D80A" w14:textId="6772C49B"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5" w:history="1">
            <w:r w:rsidRPr="009C033C">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_Toc205476215 \h </w:instrText>
            </w:r>
            <w:r>
              <w:rPr>
                <w:noProof/>
                <w:webHidden/>
              </w:rPr>
            </w:r>
            <w:r>
              <w:rPr>
                <w:noProof/>
                <w:webHidden/>
              </w:rPr>
              <w:fldChar w:fldCharType="separate"/>
            </w:r>
            <w:r w:rsidR="00385B52">
              <w:rPr>
                <w:noProof/>
                <w:webHidden/>
              </w:rPr>
              <w:t>8</w:t>
            </w:r>
            <w:r>
              <w:rPr>
                <w:noProof/>
                <w:webHidden/>
              </w:rPr>
              <w:fldChar w:fldCharType="end"/>
            </w:r>
          </w:hyperlink>
        </w:p>
        <w:p w14:paraId="7A86D969" w14:textId="073F8E91"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6" w:history="1">
            <w:r w:rsidRPr="009C033C">
              <w:rPr>
                <w:rStyle w:val="Hipervnculo"/>
                <w:noProof/>
              </w:rPr>
              <w:t>QUINTO. Estudio de Fondo</w:t>
            </w:r>
            <w:r>
              <w:rPr>
                <w:noProof/>
                <w:webHidden/>
              </w:rPr>
              <w:tab/>
            </w:r>
            <w:r>
              <w:rPr>
                <w:noProof/>
                <w:webHidden/>
              </w:rPr>
              <w:fldChar w:fldCharType="begin"/>
            </w:r>
            <w:r>
              <w:rPr>
                <w:noProof/>
                <w:webHidden/>
              </w:rPr>
              <w:instrText xml:space="preserve"> PAGEREF _Toc205476216 \h </w:instrText>
            </w:r>
            <w:r>
              <w:rPr>
                <w:noProof/>
                <w:webHidden/>
              </w:rPr>
            </w:r>
            <w:r>
              <w:rPr>
                <w:noProof/>
                <w:webHidden/>
              </w:rPr>
              <w:fldChar w:fldCharType="separate"/>
            </w:r>
            <w:r w:rsidR="00385B52">
              <w:rPr>
                <w:noProof/>
                <w:webHidden/>
              </w:rPr>
              <w:t>10</w:t>
            </w:r>
            <w:r>
              <w:rPr>
                <w:noProof/>
                <w:webHidden/>
              </w:rPr>
              <w:fldChar w:fldCharType="end"/>
            </w:r>
          </w:hyperlink>
        </w:p>
        <w:p w14:paraId="224F92EC" w14:textId="23E6E3D9"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7" w:history="1">
            <w:r w:rsidRPr="009C033C">
              <w:rPr>
                <w:rStyle w:val="Hipervnculo"/>
                <w:noProof/>
              </w:rPr>
              <w:t>SEXTO. Decisión</w:t>
            </w:r>
            <w:r>
              <w:rPr>
                <w:noProof/>
                <w:webHidden/>
              </w:rPr>
              <w:tab/>
            </w:r>
            <w:r>
              <w:rPr>
                <w:noProof/>
                <w:webHidden/>
              </w:rPr>
              <w:fldChar w:fldCharType="begin"/>
            </w:r>
            <w:r>
              <w:rPr>
                <w:noProof/>
                <w:webHidden/>
              </w:rPr>
              <w:instrText xml:space="preserve"> PAGEREF _Toc205476217 \h </w:instrText>
            </w:r>
            <w:r>
              <w:rPr>
                <w:noProof/>
                <w:webHidden/>
              </w:rPr>
            </w:r>
            <w:r>
              <w:rPr>
                <w:noProof/>
                <w:webHidden/>
              </w:rPr>
              <w:fldChar w:fldCharType="separate"/>
            </w:r>
            <w:r w:rsidR="00385B52">
              <w:rPr>
                <w:noProof/>
                <w:webHidden/>
              </w:rPr>
              <w:t>18</w:t>
            </w:r>
            <w:r>
              <w:rPr>
                <w:noProof/>
                <w:webHidden/>
              </w:rPr>
              <w:fldChar w:fldCharType="end"/>
            </w:r>
          </w:hyperlink>
        </w:p>
        <w:p w14:paraId="61C43249" w14:textId="35FCC11E" w:rsidR="00BD6288" w:rsidRDefault="00BD6288">
          <w:pPr>
            <w:pStyle w:val="TDC2"/>
            <w:tabs>
              <w:tab w:val="right" w:leader="dot" w:pos="9034"/>
            </w:tabs>
            <w:rPr>
              <w:rFonts w:asciiTheme="minorHAnsi" w:eastAsiaTheme="minorEastAsia" w:hAnsiTheme="minorHAnsi" w:cstheme="minorBidi"/>
              <w:noProof/>
              <w:sz w:val="22"/>
              <w:szCs w:val="22"/>
            </w:rPr>
          </w:pPr>
          <w:hyperlink w:anchor="_Toc205476218" w:history="1">
            <w:r w:rsidRPr="009C033C">
              <w:rPr>
                <w:rStyle w:val="Hipervnculo"/>
                <w:noProof/>
              </w:rPr>
              <w:t>SÉPTIMO. Vista a la Secretaría Técnica del Pleno</w:t>
            </w:r>
            <w:r>
              <w:rPr>
                <w:noProof/>
                <w:webHidden/>
              </w:rPr>
              <w:tab/>
            </w:r>
            <w:r>
              <w:rPr>
                <w:noProof/>
                <w:webHidden/>
              </w:rPr>
              <w:fldChar w:fldCharType="begin"/>
            </w:r>
            <w:r>
              <w:rPr>
                <w:noProof/>
                <w:webHidden/>
              </w:rPr>
              <w:instrText xml:space="preserve"> PAGEREF _Toc205476218 \h </w:instrText>
            </w:r>
            <w:r>
              <w:rPr>
                <w:noProof/>
                <w:webHidden/>
              </w:rPr>
            </w:r>
            <w:r>
              <w:rPr>
                <w:noProof/>
                <w:webHidden/>
              </w:rPr>
              <w:fldChar w:fldCharType="separate"/>
            </w:r>
            <w:r w:rsidR="00385B52">
              <w:rPr>
                <w:noProof/>
                <w:webHidden/>
              </w:rPr>
              <w:t>18</w:t>
            </w:r>
            <w:r>
              <w:rPr>
                <w:noProof/>
                <w:webHidden/>
              </w:rPr>
              <w:fldChar w:fldCharType="end"/>
            </w:r>
          </w:hyperlink>
        </w:p>
        <w:p w14:paraId="3ECA1075" w14:textId="0184D92E" w:rsidR="00BD6288" w:rsidRDefault="00BD6288">
          <w:pPr>
            <w:pStyle w:val="TDC1"/>
            <w:rPr>
              <w:rFonts w:asciiTheme="minorHAnsi" w:eastAsiaTheme="minorEastAsia" w:hAnsiTheme="minorHAnsi" w:cstheme="minorBidi"/>
              <w:noProof/>
              <w:sz w:val="22"/>
              <w:szCs w:val="22"/>
            </w:rPr>
          </w:pPr>
          <w:hyperlink w:anchor="_Toc205476219" w:history="1">
            <w:r w:rsidRPr="009C033C">
              <w:rPr>
                <w:rStyle w:val="Hipervnculo"/>
                <w:noProof/>
              </w:rPr>
              <w:t>R E S U E L V E</w:t>
            </w:r>
            <w:r>
              <w:rPr>
                <w:noProof/>
                <w:webHidden/>
              </w:rPr>
              <w:tab/>
            </w:r>
            <w:r>
              <w:rPr>
                <w:noProof/>
                <w:webHidden/>
              </w:rPr>
              <w:fldChar w:fldCharType="begin"/>
            </w:r>
            <w:r>
              <w:rPr>
                <w:noProof/>
                <w:webHidden/>
              </w:rPr>
              <w:instrText xml:space="preserve"> PAGEREF _Toc205476219 \h </w:instrText>
            </w:r>
            <w:r>
              <w:rPr>
                <w:noProof/>
                <w:webHidden/>
              </w:rPr>
            </w:r>
            <w:r>
              <w:rPr>
                <w:noProof/>
                <w:webHidden/>
              </w:rPr>
              <w:fldChar w:fldCharType="separate"/>
            </w:r>
            <w:r w:rsidR="00385B52">
              <w:rPr>
                <w:noProof/>
                <w:webHidden/>
              </w:rPr>
              <w:t>20</w:t>
            </w:r>
            <w:r>
              <w:rPr>
                <w:noProof/>
                <w:webHidden/>
              </w:rPr>
              <w:fldChar w:fldCharType="end"/>
            </w:r>
          </w:hyperlink>
        </w:p>
        <w:p w14:paraId="68E62E98" w14:textId="77777777" w:rsidR="00F24C61" w:rsidRPr="008B4A3C" w:rsidRDefault="00F24C61">
          <w:r w:rsidRPr="008B4A3C">
            <w:rPr>
              <w:b/>
              <w:bCs/>
              <w:lang w:val="es-ES"/>
            </w:rPr>
            <w:fldChar w:fldCharType="end"/>
          </w:r>
        </w:p>
      </w:sdtContent>
    </w:sdt>
    <w:p w14:paraId="6196721B"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br w:type="column"/>
      </w:r>
      <w:r w:rsidRPr="008B4A3C">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sidRPr="008B4A3C">
        <w:rPr>
          <w:rFonts w:ascii="Palatino Linotype" w:eastAsia="Palatino Linotype" w:hAnsi="Palatino Linotype" w:cs="Palatino Linotype"/>
          <w:sz w:val="22"/>
          <w:szCs w:val="22"/>
        </w:rPr>
        <w:t xml:space="preserve">Protección de Datos Personales del Estado de México y Municipios, con domicilio en Metepec, Estado de México, de fecha seis de agosto de dos mil veinticinco. </w:t>
      </w:r>
    </w:p>
    <w:p w14:paraId="63A45D6F"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33A14D2F"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b/>
          <w:color w:val="000000"/>
          <w:sz w:val="22"/>
          <w:szCs w:val="22"/>
        </w:rPr>
        <w:t xml:space="preserve">VISTO </w:t>
      </w:r>
      <w:r w:rsidRPr="008B4A3C">
        <w:rPr>
          <w:rFonts w:ascii="Palatino Linotype" w:eastAsia="Palatino Linotype" w:hAnsi="Palatino Linotype" w:cs="Palatino Linotype"/>
          <w:color w:val="000000"/>
          <w:sz w:val="22"/>
          <w:szCs w:val="22"/>
        </w:rPr>
        <w:t xml:space="preserve">el expediente conformado con motivo del Recurso de Revisión </w:t>
      </w:r>
      <w:r w:rsidRPr="00EA5E6B">
        <w:rPr>
          <w:rFonts w:ascii="Palatino Linotype" w:eastAsia="Palatino Linotype" w:hAnsi="Palatino Linotype" w:cs="Palatino Linotype"/>
          <w:b/>
          <w:bCs/>
          <w:color w:val="000000"/>
          <w:sz w:val="22"/>
          <w:szCs w:val="22"/>
        </w:rPr>
        <w:t>07961/INFOEM/IP/RR/2025</w:t>
      </w:r>
      <w:r w:rsidRPr="008B4A3C">
        <w:rPr>
          <w:rFonts w:ascii="Palatino Linotype" w:eastAsia="Palatino Linotype" w:hAnsi="Palatino Linotype" w:cs="Palatino Linotype"/>
          <w:color w:val="000000"/>
          <w:sz w:val="22"/>
          <w:szCs w:val="22"/>
        </w:rPr>
        <w:t xml:space="preserve">, interpuesto, en lo sucesivo, la persona </w:t>
      </w:r>
      <w:r w:rsidRPr="008B4A3C">
        <w:rPr>
          <w:rFonts w:ascii="Palatino Linotype" w:eastAsia="Palatino Linotype" w:hAnsi="Palatino Linotype" w:cs="Palatino Linotype"/>
          <w:color w:val="0D0D0D"/>
          <w:sz w:val="22"/>
          <w:szCs w:val="22"/>
        </w:rPr>
        <w:t>Recurrente o Particular</w:t>
      </w:r>
      <w:r w:rsidRPr="008B4A3C">
        <w:rPr>
          <w:rFonts w:ascii="Palatino Linotype" w:eastAsia="Palatino Linotype" w:hAnsi="Palatino Linotype" w:cs="Palatino Linotype"/>
          <w:color w:val="000000"/>
          <w:sz w:val="22"/>
          <w:szCs w:val="22"/>
        </w:rPr>
        <w:t xml:space="preserve">, en contra de la falta de respuesta del Sujeto Obligado, </w:t>
      </w:r>
      <w:r w:rsidRPr="00EA5E6B">
        <w:rPr>
          <w:rFonts w:ascii="Palatino Linotype" w:eastAsia="Palatino Linotype" w:hAnsi="Palatino Linotype" w:cs="Palatino Linotype"/>
          <w:b/>
          <w:bCs/>
          <w:sz w:val="22"/>
          <w:szCs w:val="22"/>
        </w:rPr>
        <w:t>Instituto Municipal de Cultura Física y Deporte de Cocotitlán</w:t>
      </w:r>
      <w:r w:rsidRPr="008B4A3C">
        <w:rPr>
          <w:rFonts w:ascii="Palatino Linotype" w:eastAsia="Palatino Linotype" w:hAnsi="Palatino Linotype" w:cs="Palatino Linotype"/>
          <w:color w:val="000000"/>
          <w:sz w:val="22"/>
          <w:szCs w:val="22"/>
        </w:rPr>
        <w:t>, a la solicitud de acceso a la información pública 00043/IMCUFIDECOCOTI/IP/2025, se emite la presente Resolución, con base en los Antecedentes y Considerandos que a continuación se exponen:</w:t>
      </w:r>
    </w:p>
    <w:p w14:paraId="4E1AC017" w14:textId="77777777" w:rsidR="00CA2F07" w:rsidRPr="008B4A3C" w:rsidRDefault="00CA2F07">
      <w:pPr>
        <w:pStyle w:val="Subttulo"/>
        <w:spacing w:after="0" w:line="360" w:lineRule="auto"/>
      </w:pPr>
    </w:p>
    <w:p w14:paraId="73481F26" w14:textId="77777777" w:rsidR="00CA2F07" w:rsidRPr="008B4A3C" w:rsidRDefault="003B50FA">
      <w:pPr>
        <w:pStyle w:val="Ttulo1"/>
      </w:pPr>
      <w:bookmarkStart w:id="0" w:name="_Toc205476206"/>
      <w:r w:rsidRPr="008B4A3C">
        <w:t>A N T E C E D E N T E S</w:t>
      </w:r>
      <w:bookmarkEnd w:id="0"/>
    </w:p>
    <w:p w14:paraId="30DFEB1E" w14:textId="77777777" w:rsidR="00CA2F07" w:rsidRPr="008B4A3C" w:rsidRDefault="00CA2F07">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194BB08C" w14:textId="77777777" w:rsidR="00CA2F07" w:rsidRPr="008B4A3C" w:rsidRDefault="003B50FA">
      <w:pPr>
        <w:pStyle w:val="Ttulo2"/>
      </w:pPr>
      <w:bookmarkStart w:id="1" w:name="_Toc205476207"/>
      <w:r w:rsidRPr="008B4A3C">
        <w:t>I. Presentación de la solicitud de información</w:t>
      </w:r>
      <w:bookmarkEnd w:id="1"/>
    </w:p>
    <w:p w14:paraId="07C0ABC0" w14:textId="77777777" w:rsidR="00CA2F07" w:rsidRPr="008B4A3C" w:rsidRDefault="00CA2F07">
      <w:pPr>
        <w:tabs>
          <w:tab w:val="left" w:pos="567"/>
        </w:tabs>
        <w:spacing w:line="360" w:lineRule="auto"/>
        <w:jc w:val="both"/>
        <w:rPr>
          <w:rFonts w:ascii="Palatino Linotype" w:eastAsia="Palatino Linotype" w:hAnsi="Palatino Linotype" w:cs="Palatino Linotype"/>
          <w:sz w:val="22"/>
          <w:szCs w:val="22"/>
        </w:rPr>
      </w:pPr>
    </w:p>
    <w:p w14:paraId="0589A3C5"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El nueve de junio de dos mil veinticinco, (ya que si bien se tuvo por presentada el ocho de dicho mes y año, este fue inhábil por lo que se tuvo por presentada el día hábil subsecuente)</w:t>
      </w:r>
      <w:r w:rsidRPr="008B4A3C">
        <w:rPr>
          <w:rFonts w:ascii="Palatino Linotype" w:eastAsia="Palatino Linotype" w:hAnsi="Palatino Linotype" w:cs="Palatino Linotype"/>
          <w:sz w:val="22"/>
          <w:szCs w:val="22"/>
        </w:rPr>
        <w:t>, el Particular presentó una solicitud de acceso a la información pública, a través del Sistema de Acceso a la Información Mexiquense (SAIMEX), ante el Instituto Municipal de Cultura Física y Deporte de Cocotitlán, en los siguientes términos:</w:t>
      </w:r>
    </w:p>
    <w:p w14:paraId="0C5C66D4"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4FE19793" w14:textId="77777777" w:rsidR="00CA2F07" w:rsidRPr="008B4A3C" w:rsidRDefault="003B50FA">
      <w:pPr>
        <w:tabs>
          <w:tab w:val="left" w:pos="4667"/>
        </w:tabs>
        <w:spacing w:line="360" w:lineRule="auto"/>
        <w:ind w:left="567" w:right="567"/>
        <w:jc w:val="both"/>
        <w:rPr>
          <w:rFonts w:ascii="Palatino Linotype" w:eastAsia="Palatino Linotype" w:hAnsi="Palatino Linotype" w:cs="Palatino Linotype"/>
          <w:b/>
          <w:i/>
        </w:rPr>
      </w:pPr>
      <w:r w:rsidRPr="008B4A3C">
        <w:rPr>
          <w:rFonts w:ascii="Palatino Linotype" w:eastAsia="Palatino Linotype" w:hAnsi="Palatino Linotype" w:cs="Palatino Linotype"/>
          <w:b/>
          <w:i/>
        </w:rPr>
        <w:t>“DESCRIPCIÓN CLARA Y PRECISA DE LA INFORMACIÓN SOLICITADA</w:t>
      </w:r>
    </w:p>
    <w:p w14:paraId="1C80C3F6" w14:textId="77777777" w:rsidR="00CA2F07" w:rsidRPr="008B4A3C" w:rsidRDefault="003B50FA">
      <w:pPr>
        <w:tabs>
          <w:tab w:val="left" w:pos="4667"/>
        </w:tabs>
        <w:spacing w:line="360" w:lineRule="auto"/>
        <w:ind w:left="567" w:right="567"/>
        <w:jc w:val="both"/>
        <w:rPr>
          <w:rFonts w:ascii="Palatino Linotype" w:eastAsia="Palatino Linotype" w:hAnsi="Palatino Linotype" w:cs="Palatino Linotype"/>
          <w:i/>
        </w:rPr>
      </w:pPr>
      <w:r w:rsidRPr="008B4A3C">
        <w:rPr>
          <w:rFonts w:ascii="Palatino Linotype" w:eastAsia="Palatino Linotype" w:hAnsi="Palatino Linotype" w:cs="Palatino Linotype"/>
          <w:i/>
          <w:color w:val="000000"/>
        </w:rPr>
        <w:t xml:space="preserve">solicito al </w:t>
      </w:r>
      <w:proofErr w:type="spellStart"/>
      <w:r w:rsidRPr="008B4A3C">
        <w:rPr>
          <w:rFonts w:ascii="Palatino Linotype" w:eastAsia="Palatino Linotype" w:hAnsi="Palatino Linotype" w:cs="Palatino Linotype"/>
          <w:i/>
          <w:color w:val="000000"/>
        </w:rPr>
        <w:t>imcufide</w:t>
      </w:r>
      <w:proofErr w:type="spellEnd"/>
      <w:r w:rsidRPr="008B4A3C">
        <w:rPr>
          <w:rFonts w:ascii="Palatino Linotype" w:eastAsia="Palatino Linotype" w:hAnsi="Palatino Linotype" w:cs="Palatino Linotype"/>
          <w:i/>
          <w:color w:val="000000"/>
        </w:rPr>
        <w:t xml:space="preserve"> de Cocotitlán 2025-2027, copia simple del nombramiento de la o el titular de la unidad de Transparencia y al mismo tiempo que se me anexe copia simple de su Certificación en la materia de competencia laboral ya que como lo marca la ley tienen 6 meses posteriores para acreditar dicha Certificación.</w:t>
      </w:r>
      <w:r w:rsidRPr="008B4A3C">
        <w:rPr>
          <w:rFonts w:ascii="Palatino Linotype" w:eastAsia="Palatino Linotype" w:hAnsi="Palatino Linotype" w:cs="Palatino Linotype"/>
          <w:i/>
        </w:rPr>
        <w:t>” (Sic.)</w:t>
      </w:r>
    </w:p>
    <w:p w14:paraId="12EA7AE1" w14:textId="77777777" w:rsidR="00CA2F07" w:rsidRPr="008B4A3C" w:rsidRDefault="00CA2F07">
      <w:pPr>
        <w:tabs>
          <w:tab w:val="left" w:pos="4667"/>
        </w:tabs>
        <w:spacing w:line="360" w:lineRule="auto"/>
        <w:ind w:left="567" w:right="567"/>
        <w:jc w:val="both"/>
        <w:rPr>
          <w:rFonts w:ascii="Palatino Linotype" w:eastAsia="Palatino Linotype" w:hAnsi="Palatino Linotype" w:cs="Palatino Linotype"/>
          <w:i/>
        </w:rPr>
      </w:pPr>
    </w:p>
    <w:p w14:paraId="4878BA4B" w14:textId="77777777" w:rsidR="00CA2F07" w:rsidRPr="008B4A3C" w:rsidRDefault="003B50FA">
      <w:pPr>
        <w:tabs>
          <w:tab w:val="left" w:pos="4667"/>
        </w:tabs>
        <w:spacing w:line="360" w:lineRule="auto"/>
        <w:ind w:left="567" w:right="567"/>
        <w:jc w:val="both"/>
        <w:rPr>
          <w:rFonts w:ascii="Palatino Linotype" w:eastAsia="Palatino Linotype" w:hAnsi="Palatino Linotype" w:cs="Palatino Linotype"/>
          <w:b/>
          <w:i/>
        </w:rPr>
      </w:pPr>
      <w:r w:rsidRPr="008B4A3C">
        <w:rPr>
          <w:rFonts w:ascii="Palatino Linotype" w:eastAsia="Palatino Linotype" w:hAnsi="Palatino Linotype" w:cs="Palatino Linotype"/>
          <w:b/>
          <w:i/>
        </w:rPr>
        <w:t>“MODALIDAD DE ENTREGA</w:t>
      </w:r>
    </w:p>
    <w:p w14:paraId="5A8F9DB2" w14:textId="77777777" w:rsidR="00CA2F07" w:rsidRPr="008B4A3C" w:rsidRDefault="003B50FA">
      <w:pPr>
        <w:spacing w:line="360" w:lineRule="auto"/>
        <w:ind w:left="567" w:right="567"/>
        <w:jc w:val="both"/>
        <w:rPr>
          <w:rFonts w:ascii="Palatino Linotype" w:eastAsia="Palatino Linotype" w:hAnsi="Palatino Linotype" w:cs="Palatino Linotype"/>
          <w:i/>
        </w:rPr>
      </w:pPr>
      <w:r w:rsidRPr="008B4A3C">
        <w:rPr>
          <w:rFonts w:ascii="Palatino Linotype" w:eastAsia="Palatino Linotype" w:hAnsi="Palatino Linotype" w:cs="Palatino Linotype"/>
          <w:i/>
        </w:rPr>
        <w:t xml:space="preserve">A través del SAIMEX” </w:t>
      </w:r>
    </w:p>
    <w:p w14:paraId="52A19652" w14:textId="77777777" w:rsidR="00CA2F07" w:rsidRPr="008B4A3C" w:rsidRDefault="00CA2F07">
      <w:pPr>
        <w:pStyle w:val="Ttulo2"/>
      </w:pPr>
    </w:p>
    <w:p w14:paraId="1C10ADC5" w14:textId="77777777" w:rsidR="00CA2F07" w:rsidRPr="008B4A3C" w:rsidRDefault="003B50FA">
      <w:pPr>
        <w:pStyle w:val="Ttulo2"/>
      </w:pPr>
      <w:bookmarkStart w:id="2" w:name="_Toc205476208"/>
      <w:r w:rsidRPr="008B4A3C">
        <w:t>II. Respuesta del Sujeto Obligado</w:t>
      </w:r>
      <w:bookmarkEnd w:id="2"/>
    </w:p>
    <w:p w14:paraId="46E71A36"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2AE55393"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De conformidad con el artículo 136, párrafo primero de la Ley de Transparencia y Acceso a</w:t>
      </w:r>
    </w:p>
    <w:p w14:paraId="3AC3EC98"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8B4A3C">
        <w:rPr>
          <w:rFonts w:ascii="Palatino Linotype" w:eastAsia="Palatino Linotype" w:hAnsi="Palatino Linotype" w:cs="Palatino Linotype"/>
          <w:b/>
          <w:sz w:val="22"/>
          <w:szCs w:val="22"/>
        </w:rPr>
        <w:t xml:space="preserve"> Instituto Municipal de Cultura Física y Deporte de Cocotitlán</w:t>
      </w:r>
      <w:r w:rsidRPr="008B4A3C">
        <w:rPr>
          <w:rFonts w:ascii="Palatino Linotype" w:eastAsia="Palatino Linotype" w:hAnsi="Palatino Linotype" w:cs="Palatino Linotype"/>
          <w:color w:val="000000"/>
          <w:sz w:val="22"/>
          <w:szCs w:val="22"/>
        </w:rPr>
        <w:t xml:space="preserve">, omitió dar respuesta a la solicitud de información, por lo que se </w:t>
      </w:r>
      <w:r w:rsidRPr="008B4A3C">
        <w:rPr>
          <w:rFonts w:ascii="Palatino Linotype" w:eastAsia="Palatino Linotype" w:hAnsi="Palatino Linotype" w:cs="Palatino Linotype"/>
          <w:b/>
          <w:color w:val="000000"/>
          <w:sz w:val="22"/>
          <w:szCs w:val="22"/>
        </w:rPr>
        <w:t>configura la negativa ficta</w:t>
      </w:r>
      <w:r w:rsidRPr="008B4A3C">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095853EC"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1C9829E7" w14:textId="77777777" w:rsidR="00CA2F07" w:rsidRPr="008B4A3C" w:rsidRDefault="003B50FA">
      <w:pPr>
        <w:pStyle w:val="Ttulo2"/>
      </w:pPr>
      <w:bookmarkStart w:id="3" w:name="_Toc205476209"/>
      <w:r w:rsidRPr="008B4A3C">
        <w:t>III. Interposición del Recurso de Revisión</w:t>
      </w:r>
      <w:bookmarkEnd w:id="3"/>
    </w:p>
    <w:p w14:paraId="148C39FE" w14:textId="77777777" w:rsidR="00CA2F07" w:rsidRPr="008B4A3C" w:rsidRDefault="00CA2F07">
      <w:pPr>
        <w:spacing w:line="360" w:lineRule="auto"/>
        <w:jc w:val="both"/>
        <w:rPr>
          <w:rFonts w:ascii="Palatino Linotype" w:eastAsia="Palatino Linotype" w:hAnsi="Palatino Linotype" w:cs="Palatino Linotype"/>
          <w:b/>
          <w:color w:val="000000"/>
          <w:sz w:val="22"/>
          <w:szCs w:val="22"/>
        </w:rPr>
      </w:pPr>
    </w:p>
    <w:p w14:paraId="62998C27"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color w:val="000000"/>
          <w:sz w:val="22"/>
          <w:szCs w:val="22"/>
        </w:rPr>
        <w:t>El primero de julio de dos mil veinticinco, el Particular interpuso un Recurso de Revisión ante este Instituto, a través del Sistema de Acceso a la Información Mexiquense (SAIMEX), en contra de la falta de respuesta por el</w:t>
      </w:r>
      <w:r w:rsidRPr="008B4A3C">
        <w:rPr>
          <w:rFonts w:ascii="Palatino Linotype" w:eastAsia="Palatino Linotype" w:hAnsi="Palatino Linotype" w:cs="Palatino Linotype"/>
          <w:sz w:val="22"/>
          <w:szCs w:val="22"/>
        </w:rPr>
        <w:t xml:space="preserve"> Sujeto Obligado</w:t>
      </w:r>
      <w:r w:rsidRPr="008B4A3C">
        <w:rPr>
          <w:rFonts w:ascii="Palatino Linotype" w:eastAsia="Palatino Linotype" w:hAnsi="Palatino Linotype" w:cs="Palatino Linotype"/>
          <w:color w:val="000000"/>
          <w:sz w:val="22"/>
          <w:szCs w:val="22"/>
        </w:rPr>
        <w:t xml:space="preserve">, a la solicitud de información, en los siguientes términos: </w:t>
      </w:r>
    </w:p>
    <w:p w14:paraId="37A2ADED"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76F73D4D" w14:textId="77777777" w:rsidR="00CA2F07" w:rsidRPr="008B4A3C" w:rsidRDefault="003B50FA">
      <w:pPr>
        <w:spacing w:line="360" w:lineRule="auto"/>
        <w:ind w:left="567" w:right="567"/>
        <w:jc w:val="both"/>
        <w:rPr>
          <w:rFonts w:ascii="Palatino Linotype" w:eastAsia="Palatino Linotype" w:hAnsi="Palatino Linotype" w:cs="Palatino Linotype"/>
          <w:i/>
          <w:color w:val="000000"/>
        </w:rPr>
      </w:pPr>
      <w:r w:rsidRPr="008B4A3C">
        <w:rPr>
          <w:rFonts w:ascii="Palatino Linotype" w:eastAsia="Palatino Linotype" w:hAnsi="Palatino Linotype" w:cs="Palatino Linotype"/>
          <w:b/>
          <w:i/>
          <w:color w:val="000000"/>
        </w:rPr>
        <w:t>“ACTO IMPUGNADO</w:t>
      </w:r>
    </w:p>
    <w:p w14:paraId="05F7BBDF" w14:textId="77777777" w:rsidR="00CA2F07" w:rsidRPr="008B4A3C" w:rsidRDefault="003B50FA">
      <w:pPr>
        <w:spacing w:line="360" w:lineRule="auto"/>
        <w:ind w:left="567" w:right="567"/>
        <w:jc w:val="both"/>
        <w:rPr>
          <w:rFonts w:ascii="Palatino Linotype" w:eastAsia="Palatino Linotype" w:hAnsi="Palatino Linotype" w:cs="Palatino Linotype"/>
          <w:i/>
          <w:color w:val="000000"/>
        </w:rPr>
      </w:pPr>
      <w:r w:rsidRPr="008B4A3C">
        <w:rPr>
          <w:rFonts w:ascii="Palatino Linotype" w:eastAsia="Palatino Linotype" w:hAnsi="Palatino Linotype" w:cs="Palatino Linotype"/>
          <w:i/>
          <w:color w:val="000000"/>
        </w:rPr>
        <w:t>no se entrega información.” (Sic.)</w:t>
      </w:r>
    </w:p>
    <w:p w14:paraId="0BEF0819" w14:textId="77777777" w:rsidR="00CA2F07" w:rsidRPr="008B4A3C" w:rsidRDefault="00CA2F07">
      <w:pPr>
        <w:spacing w:line="360" w:lineRule="auto"/>
        <w:ind w:left="567" w:right="567"/>
        <w:jc w:val="both"/>
        <w:rPr>
          <w:rFonts w:ascii="Palatino Linotype" w:eastAsia="Palatino Linotype" w:hAnsi="Palatino Linotype" w:cs="Palatino Linotype"/>
          <w:i/>
          <w:color w:val="000000"/>
        </w:rPr>
      </w:pPr>
    </w:p>
    <w:p w14:paraId="6C164F64" w14:textId="77777777" w:rsidR="00CA2F07" w:rsidRPr="008B4A3C" w:rsidRDefault="003B50FA">
      <w:pPr>
        <w:spacing w:line="360" w:lineRule="auto"/>
        <w:ind w:left="567" w:right="567"/>
        <w:rPr>
          <w:rFonts w:ascii="Palatino Linotype" w:eastAsia="Palatino Linotype" w:hAnsi="Palatino Linotype" w:cs="Palatino Linotype"/>
          <w:b/>
          <w:i/>
        </w:rPr>
      </w:pPr>
      <w:r w:rsidRPr="008B4A3C">
        <w:rPr>
          <w:rFonts w:ascii="Palatino Linotype" w:eastAsia="Palatino Linotype" w:hAnsi="Palatino Linotype" w:cs="Palatino Linotype"/>
          <w:b/>
          <w:i/>
        </w:rPr>
        <w:t>“RAZONES O MOTIVOS DE LA INCONFORMIDAD</w:t>
      </w:r>
    </w:p>
    <w:p w14:paraId="2EF0A4E4" w14:textId="77777777" w:rsidR="00CA2F07" w:rsidRPr="008B4A3C" w:rsidRDefault="003B50FA">
      <w:pPr>
        <w:spacing w:line="360" w:lineRule="auto"/>
        <w:ind w:left="567" w:right="567"/>
        <w:jc w:val="both"/>
        <w:rPr>
          <w:rFonts w:ascii="Palatino Linotype" w:eastAsia="Palatino Linotype" w:hAnsi="Palatino Linotype" w:cs="Palatino Linotype"/>
          <w:i/>
          <w:color w:val="000000"/>
        </w:rPr>
      </w:pPr>
      <w:r w:rsidRPr="008B4A3C">
        <w:rPr>
          <w:rFonts w:ascii="Palatino Linotype" w:eastAsia="Palatino Linotype" w:hAnsi="Palatino Linotype" w:cs="Palatino Linotype"/>
          <w:i/>
          <w:color w:val="000000"/>
        </w:rPr>
        <w:lastRenderedPageBreak/>
        <w:t>no se entrega nada.” (Sic.)</w:t>
      </w:r>
    </w:p>
    <w:p w14:paraId="60F29884"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55D1EA0D" w14:textId="77777777" w:rsidR="00CA2F07" w:rsidRPr="008B4A3C" w:rsidRDefault="003B50FA">
      <w:pPr>
        <w:pStyle w:val="Ttulo2"/>
      </w:pPr>
      <w:bookmarkStart w:id="4" w:name="_Toc205476210"/>
      <w:r w:rsidRPr="008B4A3C">
        <w:t>IV. Trámite del Recurso de Revisión ante el Instituto</w:t>
      </w:r>
      <w:bookmarkEnd w:id="4"/>
    </w:p>
    <w:p w14:paraId="710CD65A" w14:textId="77777777" w:rsidR="00CA2F07" w:rsidRPr="008B4A3C" w:rsidRDefault="00CA2F07">
      <w:pPr>
        <w:spacing w:line="360" w:lineRule="auto"/>
        <w:jc w:val="both"/>
        <w:rPr>
          <w:rFonts w:ascii="Palatino Linotype" w:eastAsia="Palatino Linotype" w:hAnsi="Palatino Linotype" w:cs="Palatino Linotype"/>
          <w:b/>
          <w:color w:val="000000"/>
          <w:sz w:val="22"/>
          <w:szCs w:val="22"/>
        </w:rPr>
      </w:pPr>
    </w:p>
    <w:p w14:paraId="14882E8A"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b/>
          <w:color w:val="000000"/>
          <w:sz w:val="22"/>
          <w:szCs w:val="22"/>
        </w:rPr>
        <w:t xml:space="preserve">a) Turno del Recurso de Revisión. </w:t>
      </w:r>
      <w:r w:rsidRPr="008B4A3C">
        <w:rPr>
          <w:rFonts w:ascii="Palatino Linotype" w:eastAsia="Palatino Linotype" w:hAnsi="Palatino Linotype" w:cs="Palatino Linotype"/>
          <w:color w:val="000000"/>
          <w:sz w:val="22"/>
          <w:szCs w:val="22"/>
        </w:rPr>
        <w:t xml:space="preserve">El primero de julio de dos mil veinticinco, el Sistema de Acceso a la Información Mexiquense (SAIMEX), asignó el número de expediente </w:t>
      </w:r>
      <w:r w:rsidRPr="008B4A3C">
        <w:rPr>
          <w:rFonts w:ascii="Palatino Linotype" w:eastAsia="Palatino Linotype" w:hAnsi="Palatino Linotype" w:cs="Palatino Linotype"/>
          <w:b/>
          <w:color w:val="000000"/>
          <w:sz w:val="22"/>
          <w:szCs w:val="22"/>
        </w:rPr>
        <w:t>07961/INFOEM/IP/RR/2025</w:t>
      </w:r>
      <w:r w:rsidRPr="008B4A3C">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76E10B7" w14:textId="77777777" w:rsidR="00CA2F07" w:rsidRPr="008B4A3C" w:rsidRDefault="00CA2F07">
      <w:pPr>
        <w:spacing w:line="360" w:lineRule="auto"/>
        <w:jc w:val="both"/>
        <w:rPr>
          <w:rFonts w:ascii="Palatino Linotype" w:eastAsia="Palatino Linotype" w:hAnsi="Palatino Linotype" w:cs="Palatino Linotype"/>
          <w:b/>
          <w:color w:val="000000"/>
          <w:sz w:val="22"/>
          <w:szCs w:val="22"/>
        </w:rPr>
      </w:pPr>
    </w:p>
    <w:p w14:paraId="6484193D"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b/>
          <w:color w:val="000000"/>
          <w:sz w:val="22"/>
          <w:szCs w:val="22"/>
        </w:rPr>
        <w:t xml:space="preserve">b) Admisión del Recurso de Revisión. </w:t>
      </w:r>
      <w:r w:rsidRPr="008B4A3C">
        <w:rPr>
          <w:rFonts w:ascii="Palatino Linotype" w:eastAsia="Palatino Linotype" w:hAnsi="Palatino Linotype" w:cs="Palatino Linotype"/>
          <w:color w:val="000000"/>
          <w:sz w:val="22"/>
          <w:szCs w:val="22"/>
        </w:rPr>
        <w:t>El cuatro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treinta del  mismo mes y año, a través del Sistema de Acceso a la Información Mexiquense (SAIMEX), en el que se les otorgó un plazo de siete días hábiles posteriores a la misma, para que manifestaran lo que a su derecho conviniera y formularan alegatos.</w:t>
      </w:r>
    </w:p>
    <w:p w14:paraId="3AC9346B"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53ECBEFE" w14:textId="77777777" w:rsidR="00CA2F07" w:rsidRPr="008B4A3C" w:rsidRDefault="003B50FA">
      <w:pPr>
        <w:spacing w:line="360" w:lineRule="auto"/>
        <w:jc w:val="both"/>
        <w:rPr>
          <w:rFonts w:ascii="Palatino Linotype" w:eastAsia="Palatino Linotype" w:hAnsi="Palatino Linotype" w:cs="Palatino Linotype"/>
          <w:i/>
        </w:rPr>
      </w:pPr>
      <w:r w:rsidRPr="008B4A3C">
        <w:rPr>
          <w:rFonts w:ascii="Palatino Linotype" w:eastAsia="Palatino Linotype" w:hAnsi="Palatino Linotype" w:cs="Palatino Linotype"/>
          <w:b/>
          <w:color w:val="000000"/>
          <w:sz w:val="22"/>
          <w:szCs w:val="22"/>
        </w:rPr>
        <w:t>c)</w:t>
      </w:r>
      <w:r w:rsidRPr="008B4A3C">
        <w:rPr>
          <w:rFonts w:ascii="Palatino Linotype" w:eastAsia="Palatino Linotype" w:hAnsi="Palatino Linotype" w:cs="Palatino Linotype"/>
          <w:color w:val="000000"/>
          <w:sz w:val="22"/>
          <w:szCs w:val="22"/>
        </w:rPr>
        <w:t xml:space="preserve"> </w:t>
      </w:r>
      <w:r w:rsidRPr="008B4A3C">
        <w:rPr>
          <w:rFonts w:ascii="Palatino Linotype" w:eastAsia="Palatino Linotype" w:hAnsi="Palatino Linotype" w:cs="Palatino Linotype"/>
          <w:b/>
          <w:sz w:val="22"/>
          <w:szCs w:val="22"/>
        </w:rPr>
        <w:t xml:space="preserve"> Informe Justificado y Manifestaciones. </w:t>
      </w:r>
      <w:r w:rsidRPr="008B4A3C">
        <w:rPr>
          <w:rFonts w:ascii="Palatino Linotype" w:eastAsia="Palatino Linotype" w:hAnsi="Palatino Linotype" w:cs="Palatino Linotype"/>
          <w:sz w:val="22"/>
          <w:szCs w:val="22"/>
        </w:rPr>
        <w:t>Las partes fueron omisas en emitir manifestaciones o alegatos.</w:t>
      </w:r>
    </w:p>
    <w:p w14:paraId="3C67F31C" w14:textId="77777777" w:rsidR="00CA2F07" w:rsidRPr="008B4A3C" w:rsidRDefault="00CA2F07">
      <w:pPr>
        <w:spacing w:line="360" w:lineRule="auto"/>
        <w:jc w:val="both"/>
        <w:rPr>
          <w:rFonts w:ascii="Palatino Linotype" w:eastAsia="Palatino Linotype" w:hAnsi="Palatino Linotype" w:cs="Palatino Linotype"/>
          <w:b/>
          <w:sz w:val="18"/>
          <w:szCs w:val="18"/>
        </w:rPr>
      </w:pPr>
    </w:p>
    <w:p w14:paraId="7AE65508" w14:textId="77777777" w:rsidR="00CA2F07" w:rsidRPr="008B4A3C" w:rsidRDefault="003B50FA">
      <w:pPr>
        <w:spacing w:line="360" w:lineRule="auto"/>
        <w:jc w:val="both"/>
        <w:rPr>
          <w:rFonts w:ascii="Palatino Linotype" w:eastAsia="Palatino Linotype" w:hAnsi="Palatino Linotype" w:cs="Palatino Linotype"/>
          <w:b/>
          <w:sz w:val="22"/>
          <w:szCs w:val="22"/>
        </w:rPr>
      </w:pPr>
      <w:r w:rsidRPr="008B4A3C">
        <w:rPr>
          <w:rFonts w:ascii="Palatino Linotype" w:eastAsia="Palatino Linotype" w:hAnsi="Palatino Linotype" w:cs="Palatino Linotype"/>
          <w:b/>
          <w:sz w:val="22"/>
          <w:szCs w:val="22"/>
        </w:rPr>
        <w:t xml:space="preserve">d) Cierre de instrucción. </w:t>
      </w:r>
      <w:r w:rsidRPr="008B4A3C">
        <w:rPr>
          <w:rFonts w:ascii="Palatino Linotype" w:eastAsia="Palatino Linotype" w:hAnsi="Palatino Linotype" w:cs="Palatino Linotype"/>
          <w:sz w:val="22"/>
          <w:szCs w:val="22"/>
        </w:rPr>
        <w:t xml:space="preserve">El dieciséis de julio de dos mil veinticinco, al no existir diligencias pendientes por desahogar, se emitió el acuerdo por medio del cual se declaró cerrada la instrucción y, se pasó el expediente a resolución, en términos de lo dispuesto en los artículos </w:t>
      </w:r>
      <w:r w:rsidRPr="008B4A3C">
        <w:rPr>
          <w:rFonts w:ascii="Palatino Linotype" w:eastAsia="Palatino Linotype" w:hAnsi="Palatino Linotype" w:cs="Palatino Linotype"/>
          <w:sz w:val="22"/>
          <w:szCs w:val="22"/>
        </w:rPr>
        <w:lastRenderedPageBreak/>
        <w:t xml:space="preserve">185, fracciones VI y VIII, de la Ley de Transparencia y Acceso a la Información Pública del Estado de México y Municipios; acto que fue notificado a las partes el mismo día, a través del Sistema de Acceso a la Información Mexiquense (SAIMEX). </w:t>
      </w:r>
    </w:p>
    <w:p w14:paraId="71590844" w14:textId="77777777" w:rsidR="00CA2F07" w:rsidRPr="008B4A3C" w:rsidRDefault="00CA2F07">
      <w:pPr>
        <w:spacing w:line="360" w:lineRule="auto"/>
        <w:jc w:val="both"/>
        <w:rPr>
          <w:rFonts w:ascii="Palatino Linotype" w:eastAsia="Palatino Linotype" w:hAnsi="Palatino Linotype" w:cs="Palatino Linotype"/>
          <w:b/>
          <w:sz w:val="18"/>
          <w:szCs w:val="18"/>
        </w:rPr>
      </w:pPr>
    </w:p>
    <w:p w14:paraId="7F9F1C59"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60F8815"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6CE449F2" w14:textId="77777777" w:rsidR="00CA2F07" w:rsidRPr="008B4A3C" w:rsidRDefault="003B50FA">
      <w:pPr>
        <w:pStyle w:val="Ttulo1"/>
      </w:pPr>
      <w:bookmarkStart w:id="5" w:name="_Toc205476211"/>
      <w:r w:rsidRPr="008B4A3C">
        <w:t>C O N S I D E R A N D O S</w:t>
      </w:r>
      <w:bookmarkEnd w:id="5"/>
    </w:p>
    <w:p w14:paraId="0CF5AB39" w14:textId="77777777" w:rsidR="00CA2F07" w:rsidRPr="008B4A3C" w:rsidRDefault="00CA2F07">
      <w:pPr>
        <w:spacing w:line="360" w:lineRule="auto"/>
        <w:jc w:val="both"/>
        <w:rPr>
          <w:rFonts w:ascii="Palatino Linotype" w:eastAsia="Palatino Linotype" w:hAnsi="Palatino Linotype" w:cs="Palatino Linotype"/>
          <w:b/>
          <w:sz w:val="22"/>
          <w:szCs w:val="22"/>
        </w:rPr>
      </w:pPr>
    </w:p>
    <w:p w14:paraId="47B6692C" w14:textId="77777777" w:rsidR="00CA2F07" w:rsidRPr="008B4A3C" w:rsidRDefault="003B50FA">
      <w:pPr>
        <w:pStyle w:val="Ttulo2"/>
      </w:pPr>
      <w:bookmarkStart w:id="6" w:name="_Toc205476212"/>
      <w:r w:rsidRPr="008B4A3C">
        <w:t>PRIMERO. Competencia</w:t>
      </w:r>
      <w:bookmarkEnd w:id="6"/>
    </w:p>
    <w:p w14:paraId="3BED910E" w14:textId="77777777" w:rsidR="00CA2F07" w:rsidRPr="008B4A3C" w:rsidRDefault="00CA2F07">
      <w:pPr>
        <w:spacing w:line="360" w:lineRule="auto"/>
        <w:jc w:val="both"/>
        <w:rPr>
          <w:rFonts w:ascii="Palatino Linotype" w:eastAsia="Palatino Linotype" w:hAnsi="Palatino Linotype" w:cs="Palatino Linotype"/>
          <w:b/>
          <w:sz w:val="22"/>
          <w:szCs w:val="22"/>
        </w:rPr>
      </w:pPr>
    </w:p>
    <w:p w14:paraId="23E29849" w14:textId="77777777" w:rsidR="00CA2F07" w:rsidRDefault="00286571">
      <w:pPr>
        <w:spacing w:line="360" w:lineRule="auto"/>
        <w:jc w:val="both"/>
        <w:rPr>
          <w:rFonts w:ascii="Palatino Linotype" w:eastAsia="Palatino Linotype" w:hAnsi="Palatino Linotype" w:cs="Palatino Linotype"/>
          <w:color w:val="000000"/>
          <w:sz w:val="22"/>
          <w:szCs w:val="22"/>
        </w:rPr>
      </w:pPr>
      <w:bookmarkStart w:id="7" w:name="_heading=h.b14dt0h53qfo" w:colFirst="0" w:colLast="0"/>
      <w:bookmarkEnd w:id="7"/>
      <w:r w:rsidRPr="00286571">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F8E5F6" w14:textId="77777777" w:rsidR="00286571" w:rsidRPr="008B4A3C" w:rsidRDefault="00286571">
      <w:pPr>
        <w:spacing w:line="360" w:lineRule="auto"/>
        <w:jc w:val="both"/>
        <w:rPr>
          <w:rFonts w:ascii="Palatino Linotype" w:eastAsia="Palatino Linotype" w:hAnsi="Palatino Linotype" w:cs="Palatino Linotype"/>
          <w:color w:val="000000"/>
          <w:sz w:val="22"/>
          <w:szCs w:val="22"/>
        </w:rPr>
      </w:pPr>
    </w:p>
    <w:p w14:paraId="559AE61B" w14:textId="77777777" w:rsidR="00CA2F07" w:rsidRPr="008B4A3C" w:rsidRDefault="003B50FA">
      <w:pPr>
        <w:pStyle w:val="Ttulo2"/>
      </w:pPr>
      <w:bookmarkStart w:id="8" w:name="_Toc205476213"/>
      <w:r w:rsidRPr="008B4A3C">
        <w:t>SEGUNDO. Causales de improcedencia y Sobreseimiento</w:t>
      </w:r>
      <w:bookmarkEnd w:id="8"/>
    </w:p>
    <w:p w14:paraId="327A8E8C"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2BB6A8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r w:rsidRPr="008B4A3C">
        <w:rPr>
          <w:rFonts w:ascii="Palatino Linotype" w:eastAsia="Palatino Linotype" w:hAnsi="Palatino Linotype" w:cs="Palatino Linotype"/>
          <w:i/>
          <w:sz w:val="22"/>
          <w:szCs w:val="22"/>
        </w:rPr>
        <w:t>litis</w:t>
      </w:r>
      <w:r w:rsidRPr="008B4A3C">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AF366F6"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36C1A6A3" w14:textId="77777777" w:rsidR="00CA2F07" w:rsidRPr="008B4A3C" w:rsidRDefault="003B50FA">
      <w:pPr>
        <w:spacing w:line="360" w:lineRule="auto"/>
        <w:jc w:val="both"/>
        <w:rPr>
          <w:rFonts w:ascii="Palatino Linotype" w:eastAsia="Palatino Linotype" w:hAnsi="Palatino Linotype" w:cs="Palatino Linotype"/>
          <w:b/>
          <w:sz w:val="22"/>
          <w:szCs w:val="22"/>
        </w:rPr>
      </w:pPr>
      <w:r w:rsidRPr="008B4A3C">
        <w:rPr>
          <w:rFonts w:ascii="Palatino Linotype" w:eastAsia="Palatino Linotype" w:hAnsi="Palatino Linotype" w:cs="Palatino Linotype"/>
          <w:b/>
          <w:sz w:val="22"/>
          <w:szCs w:val="22"/>
        </w:rPr>
        <w:t>Causales de improcedencia</w:t>
      </w:r>
    </w:p>
    <w:p w14:paraId="3E2288B1"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4DE2C119"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16AAE9"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73A7636A"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el presente caso, </w:t>
      </w:r>
      <w:r w:rsidRPr="008B4A3C">
        <w:rPr>
          <w:rFonts w:ascii="Palatino Linotype" w:eastAsia="Palatino Linotype" w:hAnsi="Palatino Linotype" w:cs="Palatino Linotype"/>
          <w:b/>
          <w:sz w:val="22"/>
          <w:szCs w:val="22"/>
        </w:rPr>
        <w:t>no se actualiza ninguna de las causales de improcedencia</w:t>
      </w:r>
      <w:r w:rsidRPr="008B4A3C">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79DD13D"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7C711B8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sidRPr="008B4A3C">
        <w:rPr>
          <w:rFonts w:ascii="Palatino Linotype" w:eastAsia="Palatino Linotype" w:hAnsi="Palatino Linotype" w:cs="Palatino Linotype"/>
          <w:b/>
          <w:sz w:val="22"/>
          <w:szCs w:val="22"/>
        </w:rPr>
        <w:t>negativa ficta</w:t>
      </w:r>
      <w:r w:rsidRPr="008B4A3C">
        <w:rPr>
          <w:rFonts w:ascii="Palatino Linotype" w:eastAsia="Palatino Linotype" w:hAnsi="Palatino Linotype" w:cs="Palatino Linotype"/>
          <w:sz w:val="22"/>
          <w:szCs w:val="22"/>
        </w:rPr>
        <w:t xml:space="preserve">, que genera la posibilidad de los particulares de interponer un recurso de revisión ante tal omisión, </w:t>
      </w:r>
      <w:r w:rsidRPr="008B4A3C">
        <w:rPr>
          <w:rFonts w:ascii="Palatino Linotype" w:eastAsia="Palatino Linotype" w:hAnsi="Palatino Linotype" w:cs="Palatino Linotype"/>
          <w:sz w:val="22"/>
          <w:szCs w:val="22"/>
          <w:u w:val="single"/>
        </w:rPr>
        <w:t xml:space="preserve">en </w:t>
      </w:r>
      <w:r w:rsidRPr="008B4A3C">
        <w:rPr>
          <w:rFonts w:ascii="Palatino Linotype" w:eastAsia="Palatino Linotype" w:hAnsi="Palatino Linotype" w:cs="Palatino Linotype"/>
          <w:sz w:val="22"/>
          <w:szCs w:val="22"/>
          <w:u w:val="single"/>
        </w:rPr>
        <w:lastRenderedPageBreak/>
        <w:t>cualquier momento</w:t>
      </w:r>
      <w:r w:rsidRPr="008B4A3C">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A3ADCF2"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F3AF8F8"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746E1FC0"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3FC50AE7" w14:textId="77777777" w:rsidR="00CA2F07" w:rsidRPr="008B4A3C" w:rsidRDefault="003B50FA">
      <w:pPr>
        <w:spacing w:line="360" w:lineRule="auto"/>
        <w:jc w:val="both"/>
        <w:rPr>
          <w:rFonts w:ascii="Palatino Linotype" w:eastAsia="Palatino Linotype" w:hAnsi="Palatino Linotype" w:cs="Palatino Linotype"/>
          <w:b/>
          <w:color w:val="0D0D0D"/>
          <w:sz w:val="22"/>
          <w:szCs w:val="22"/>
        </w:rPr>
      </w:pPr>
      <w:r w:rsidRPr="008B4A3C">
        <w:rPr>
          <w:rFonts w:ascii="Palatino Linotype" w:eastAsia="Palatino Linotype" w:hAnsi="Palatino Linotype" w:cs="Palatino Linotype"/>
          <w:b/>
          <w:color w:val="0D0D0D"/>
          <w:sz w:val="22"/>
          <w:szCs w:val="22"/>
        </w:rPr>
        <w:t>Causales de sobreseimiento</w:t>
      </w:r>
    </w:p>
    <w:p w14:paraId="05400707" w14:textId="77777777" w:rsidR="00CA2F07" w:rsidRPr="008B4A3C" w:rsidRDefault="00CA2F07">
      <w:pPr>
        <w:spacing w:line="360" w:lineRule="auto"/>
        <w:jc w:val="both"/>
        <w:rPr>
          <w:rFonts w:ascii="Palatino Linotype" w:eastAsia="Palatino Linotype" w:hAnsi="Palatino Linotype" w:cs="Palatino Linotype"/>
          <w:color w:val="0D0D0D"/>
          <w:sz w:val="22"/>
          <w:szCs w:val="22"/>
        </w:rPr>
      </w:pPr>
    </w:p>
    <w:p w14:paraId="045A597C" w14:textId="77777777" w:rsidR="00CA2F07" w:rsidRPr="008B4A3C" w:rsidRDefault="003B50FA">
      <w:pPr>
        <w:spacing w:line="360" w:lineRule="auto"/>
        <w:jc w:val="both"/>
        <w:rPr>
          <w:rFonts w:ascii="Palatino Linotype" w:eastAsia="Palatino Linotype" w:hAnsi="Palatino Linotype" w:cs="Palatino Linotype"/>
          <w:color w:val="0D0D0D"/>
          <w:sz w:val="22"/>
          <w:szCs w:val="22"/>
        </w:rPr>
      </w:pPr>
      <w:r w:rsidRPr="008B4A3C">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19279788" w14:textId="77777777" w:rsidR="00CA2F07" w:rsidRPr="008B4A3C" w:rsidRDefault="00CA2F07">
      <w:pPr>
        <w:spacing w:line="360" w:lineRule="auto"/>
        <w:jc w:val="both"/>
        <w:rPr>
          <w:rFonts w:ascii="Palatino Linotype" w:eastAsia="Palatino Linotype" w:hAnsi="Palatino Linotype" w:cs="Palatino Linotype"/>
          <w:color w:val="0D0D0D"/>
          <w:sz w:val="22"/>
          <w:szCs w:val="22"/>
        </w:rPr>
      </w:pPr>
    </w:p>
    <w:p w14:paraId="1EECF9B3"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43411D6"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C9CEEFF" w14:textId="77777777" w:rsidR="00CA2F07" w:rsidRPr="008B4A3C" w:rsidRDefault="003B50FA">
      <w:pPr>
        <w:spacing w:line="360" w:lineRule="auto"/>
        <w:jc w:val="both"/>
        <w:rPr>
          <w:rFonts w:ascii="Palatino Linotype" w:eastAsia="Palatino Linotype" w:hAnsi="Palatino Linotype" w:cs="Palatino Linotype"/>
          <w:color w:val="0D0D0D"/>
          <w:sz w:val="22"/>
          <w:szCs w:val="22"/>
        </w:rPr>
      </w:pPr>
      <w:r w:rsidRPr="008B4A3C">
        <w:rPr>
          <w:rFonts w:ascii="Palatino Linotype" w:eastAsia="Palatino Linotype" w:hAnsi="Palatino Linotype" w:cs="Palatino Linotype"/>
          <w:color w:val="0D0D0D"/>
          <w:sz w:val="22"/>
          <w:szCs w:val="22"/>
        </w:rPr>
        <w:t xml:space="preserve">Por tales motivos, se considera procedente entrar al fondo del presente asunto. </w:t>
      </w:r>
    </w:p>
    <w:p w14:paraId="0B898595" w14:textId="77777777" w:rsidR="00CA2F07" w:rsidRPr="008B4A3C" w:rsidRDefault="00CA2F07">
      <w:pPr>
        <w:spacing w:line="360" w:lineRule="auto"/>
        <w:jc w:val="both"/>
        <w:rPr>
          <w:rFonts w:ascii="Palatino Linotype" w:eastAsia="Palatino Linotype" w:hAnsi="Palatino Linotype" w:cs="Palatino Linotype"/>
          <w:color w:val="0D0D0D"/>
          <w:sz w:val="22"/>
          <w:szCs w:val="22"/>
        </w:rPr>
      </w:pPr>
    </w:p>
    <w:p w14:paraId="35D6498C" w14:textId="77777777" w:rsidR="00CA2F07" w:rsidRPr="008B4A3C" w:rsidRDefault="003B50FA">
      <w:pPr>
        <w:pStyle w:val="Ttulo2"/>
      </w:pPr>
      <w:bookmarkStart w:id="9" w:name="_Toc205476214"/>
      <w:r w:rsidRPr="008B4A3C">
        <w:lastRenderedPageBreak/>
        <w:t>TERCERO. Determinación de la Controversia</w:t>
      </w:r>
      <w:bookmarkEnd w:id="9"/>
    </w:p>
    <w:p w14:paraId="78D03DF9"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67E6698C" w14:textId="77777777" w:rsidR="00CA2F07" w:rsidRPr="008B4A3C" w:rsidRDefault="003B50FA">
      <w:pPr>
        <w:tabs>
          <w:tab w:val="left" w:pos="4962"/>
        </w:tabs>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Con el objeto de ilustrar la controversia planteada, resulta conveniente precisar, que una vez realizado el estudio de las constancias que integran el expediente en que se actúa, se desprende que el Particular requirió, del Titular de la Unidad de Transparencia adscrito al Instituto Municipal de Cultura Física y Deporte de Cocotitlán lo siguiente:</w:t>
      </w:r>
    </w:p>
    <w:p w14:paraId="0D6C15E0" w14:textId="77777777" w:rsidR="00CA2F07" w:rsidRPr="008B4A3C" w:rsidRDefault="00CA2F07">
      <w:pPr>
        <w:tabs>
          <w:tab w:val="left" w:pos="4962"/>
        </w:tabs>
        <w:spacing w:line="360" w:lineRule="auto"/>
        <w:jc w:val="both"/>
        <w:rPr>
          <w:rFonts w:ascii="Palatino Linotype" w:eastAsia="Palatino Linotype" w:hAnsi="Palatino Linotype" w:cs="Palatino Linotype"/>
          <w:color w:val="000000"/>
          <w:sz w:val="22"/>
          <w:szCs w:val="22"/>
        </w:rPr>
      </w:pPr>
    </w:p>
    <w:p w14:paraId="068FE914" w14:textId="77777777" w:rsidR="00CA2F07" w:rsidRPr="008B4A3C" w:rsidRDefault="003B50FA">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36"/>
          <w:szCs w:val="36"/>
        </w:rPr>
      </w:pPr>
      <w:r w:rsidRPr="008B4A3C">
        <w:rPr>
          <w:rFonts w:ascii="Palatino Linotype" w:eastAsia="Palatino Linotype" w:hAnsi="Palatino Linotype" w:cs="Palatino Linotype"/>
          <w:color w:val="000000"/>
          <w:sz w:val="22"/>
          <w:szCs w:val="22"/>
        </w:rPr>
        <w:t xml:space="preserve">Copia simple del nombramiento. </w:t>
      </w:r>
    </w:p>
    <w:p w14:paraId="59ED484E" w14:textId="77777777" w:rsidR="00CA2F07" w:rsidRPr="008B4A3C" w:rsidRDefault="003B50FA">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36"/>
          <w:szCs w:val="36"/>
        </w:rPr>
      </w:pPr>
      <w:r w:rsidRPr="008B4A3C">
        <w:rPr>
          <w:rFonts w:ascii="Palatino Linotype" w:eastAsia="Palatino Linotype" w:hAnsi="Palatino Linotype" w:cs="Palatino Linotype"/>
          <w:color w:val="000000"/>
          <w:sz w:val="22"/>
          <w:szCs w:val="22"/>
        </w:rPr>
        <w:t>Copia simple de la certificación de competencia laboral.</w:t>
      </w:r>
    </w:p>
    <w:p w14:paraId="7EFBC055" w14:textId="77777777" w:rsidR="00CA2F07" w:rsidRPr="008B4A3C" w:rsidRDefault="00CA2F0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1B0E8194" w14:textId="77777777" w:rsidR="00CA2F07" w:rsidRPr="008B4A3C" w:rsidRDefault="003B50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168DD89E" w14:textId="77777777" w:rsidR="00CA2F07" w:rsidRPr="008B4A3C" w:rsidRDefault="00CA2F0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5ABBF4AC" w14:textId="77777777" w:rsidR="00CA2F07" w:rsidRPr="008B4A3C" w:rsidRDefault="003B50FA">
      <w:pPr>
        <w:tabs>
          <w:tab w:val="left" w:pos="4962"/>
        </w:tabs>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77A64B10"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419AAA2F" w14:textId="77777777" w:rsidR="00CA2F07" w:rsidRPr="008B4A3C" w:rsidRDefault="003B50FA">
      <w:pPr>
        <w:pStyle w:val="Ttulo2"/>
        <w:jc w:val="both"/>
      </w:pPr>
      <w:bookmarkStart w:id="10" w:name="_Toc205476215"/>
      <w:r w:rsidRPr="008B4A3C">
        <w:t>CUARTO. Marco normativo aplicable en materia de transparencia y acceso a la información pública</w:t>
      </w:r>
      <w:bookmarkEnd w:id="10"/>
    </w:p>
    <w:p w14:paraId="657FB333"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6F0A9B78"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FB32AC"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33D3AF80"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00921F"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3FF29A2F"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14:paraId="5911DEA1"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1D96B35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396BA757"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1FF830D"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725390BE"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E4AF27"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22034D4" w14:textId="77777777" w:rsidR="00CA2F07" w:rsidRPr="008B4A3C" w:rsidRDefault="003B50FA">
      <w:pPr>
        <w:pStyle w:val="Ttulo2"/>
      </w:pPr>
      <w:bookmarkStart w:id="11" w:name="_Toc205476216"/>
      <w:r w:rsidRPr="008B4A3C">
        <w:lastRenderedPageBreak/>
        <w:t>QUINTO. Estudio de Fondo</w:t>
      </w:r>
      <w:bookmarkEnd w:id="11"/>
    </w:p>
    <w:p w14:paraId="28974B56"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4F31DD10"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Instituto Municipal de Cultura Física y Deporte de Cocotitlán, a la solicitud de información.</w:t>
      </w:r>
    </w:p>
    <w:p w14:paraId="46FA8FD8"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156D33E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96DD880"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6177254" w14:textId="77777777" w:rsidR="00CA2F07" w:rsidRPr="008B4A3C" w:rsidRDefault="003B50FA">
      <w:pPr>
        <w:numPr>
          <w:ilvl w:val="0"/>
          <w:numId w:val="1"/>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6C89D375" w14:textId="77777777" w:rsidR="00CA2F07" w:rsidRPr="008B4A3C" w:rsidRDefault="00CA2F07">
      <w:pPr>
        <w:spacing w:line="360" w:lineRule="auto"/>
        <w:ind w:left="720"/>
        <w:jc w:val="both"/>
        <w:rPr>
          <w:rFonts w:ascii="Palatino Linotype" w:eastAsia="Palatino Linotype" w:hAnsi="Palatino Linotype" w:cs="Palatino Linotype"/>
          <w:sz w:val="22"/>
          <w:szCs w:val="22"/>
        </w:rPr>
      </w:pPr>
    </w:p>
    <w:p w14:paraId="7E8232A0" w14:textId="77777777" w:rsidR="00CA2F07" w:rsidRPr="008B4A3C" w:rsidRDefault="003B50FA">
      <w:pPr>
        <w:numPr>
          <w:ilvl w:val="0"/>
          <w:numId w:val="1"/>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Transparentar la gestión pública, mediante la difusión de la información generada por los Sujetos Obligados, y</w:t>
      </w:r>
    </w:p>
    <w:p w14:paraId="63DD1F88" w14:textId="77777777" w:rsidR="00CA2F07" w:rsidRPr="008B4A3C" w:rsidRDefault="00CA2F07">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50F848A" w14:textId="77777777" w:rsidR="00CA2F07" w:rsidRPr="008B4A3C" w:rsidRDefault="003B50FA">
      <w:pPr>
        <w:numPr>
          <w:ilvl w:val="0"/>
          <w:numId w:val="1"/>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2F5C7DB2"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A4EEE28"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w:t>
      </w:r>
      <w:r w:rsidRPr="008B4A3C">
        <w:rPr>
          <w:rFonts w:ascii="Palatino Linotype" w:eastAsia="Palatino Linotype" w:hAnsi="Palatino Linotype" w:cs="Palatino Linotype"/>
          <w:sz w:val="22"/>
          <w:szCs w:val="22"/>
        </w:rPr>
        <w:lastRenderedPageBreak/>
        <w:t>de transparencia y la rendición de cuentas, a través de establecimiento de políticas públicas y mecanismos que garanticen la publicidad de información oportuna, verificable, comprensible, actualizada y completa.</w:t>
      </w:r>
    </w:p>
    <w:p w14:paraId="11133BDE"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9EC6421"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CCA0D78"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1E739960"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3CFB730"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62B398EF"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EFEE344" w14:textId="77777777" w:rsidR="00CA2F07" w:rsidRPr="008B4A3C" w:rsidRDefault="00CA2F07">
      <w:pPr>
        <w:spacing w:line="360" w:lineRule="auto"/>
        <w:ind w:left="720"/>
        <w:jc w:val="both"/>
        <w:rPr>
          <w:rFonts w:ascii="Palatino Linotype" w:eastAsia="Palatino Linotype" w:hAnsi="Palatino Linotype" w:cs="Palatino Linotype"/>
          <w:sz w:val="22"/>
          <w:szCs w:val="22"/>
        </w:rPr>
      </w:pPr>
    </w:p>
    <w:p w14:paraId="33616465"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8B4A3C">
        <w:rPr>
          <w:rFonts w:ascii="Palatino Linotype" w:eastAsia="Palatino Linotype" w:hAnsi="Palatino Linotype" w:cs="Palatino Linotype"/>
          <w:sz w:val="22"/>
          <w:szCs w:val="22"/>
        </w:rPr>
        <w:lastRenderedPageBreak/>
        <w:t>interrumpirá el plazo para dar respuesta y comenzará a computarse el día siguiente al desahogo de esta;</w:t>
      </w:r>
    </w:p>
    <w:p w14:paraId="3A55557A" w14:textId="77777777" w:rsidR="00CA2F07" w:rsidRPr="008B4A3C" w:rsidRDefault="00CA2F07">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6BCFA8A"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AE47C70" w14:textId="77777777" w:rsidR="00CA2F07" w:rsidRPr="008B4A3C" w:rsidRDefault="00CA2F07">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A86BBB7"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DDC2BF4" w14:textId="77777777" w:rsidR="00CA2F07" w:rsidRPr="008B4A3C" w:rsidRDefault="00CA2F07">
      <w:pPr>
        <w:spacing w:line="360" w:lineRule="auto"/>
        <w:rPr>
          <w:rFonts w:ascii="Palatino Linotype" w:eastAsia="Palatino Linotype" w:hAnsi="Palatino Linotype" w:cs="Palatino Linotype"/>
        </w:rPr>
      </w:pPr>
    </w:p>
    <w:p w14:paraId="628F0CA0"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4E43FED" w14:textId="77777777" w:rsidR="00CA2F07" w:rsidRPr="008B4A3C" w:rsidRDefault="00CA2F07">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63752CDB" w14:textId="77777777" w:rsidR="00CA2F07" w:rsidRPr="008B4A3C" w:rsidRDefault="003B50FA">
      <w:pPr>
        <w:numPr>
          <w:ilvl w:val="0"/>
          <w:numId w:val="2"/>
        </w:num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8B4A3C">
        <w:rPr>
          <w:rFonts w:ascii="Palatino Linotype" w:eastAsia="Palatino Linotype" w:hAnsi="Palatino Linotype" w:cs="Palatino Linotype"/>
          <w:sz w:val="22"/>
          <w:szCs w:val="22"/>
        </w:rPr>
        <w:lastRenderedPageBreak/>
        <w:t>Sujetos Obligados darán por concluida la solicitud y procederán de ser el caso, a la destrucción del material.</w:t>
      </w:r>
    </w:p>
    <w:p w14:paraId="2146AB85"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F2EDE9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Instituto Municipal de Cultura Física y Deporte de Cocotitlán, no había registrado respuesta al requerimiento de acceso a la información, el cual se presentó, el nueve de junio de dos mil veinticinco.</w:t>
      </w:r>
    </w:p>
    <w:p w14:paraId="341F09F3"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5CD6BBF" w14:textId="77777777" w:rsidR="00CA2F07" w:rsidRPr="008B4A3C" w:rsidRDefault="003B50FA">
      <w:pPr>
        <w:spacing w:line="360" w:lineRule="auto"/>
        <w:jc w:val="both"/>
        <w:rPr>
          <w:rFonts w:ascii="Palatino Linotype" w:eastAsia="Palatino Linotype" w:hAnsi="Palatino Linotype" w:cs="Palatino Linotype"/>
          <w:sz w:val="22"/>
          <w:szCs w:val="22"/>
        </w:rPr>
      </w:pPr>
      <w:bookmarkStart w:id="12" w:name="_heading=h.tndgepyq0alf" w:colFirst="0" w:colLast="0"/>
      <w:bookmarkEnd w:id="12"/>
      <w:r w:rsidRPr="008B4A3C">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diez y feneció el treinta de junio de dos mil veinticinco; lo anterior, sin contar los días, catorce, quince, veintiuno, veintidós, veintiocho y veintinueve de junio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54AB4844"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4A00364A"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052F89B5"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BC2898C" w14:textId="77777777" w:rsidR="00CA2F07" w:rsidRPr="008B4A3C" w:rsidRDefault="003B50FA">
      <w:pPr>
        <w:spacing w:line="360" w:lineRule="auto"/>
        <w:jc w:val="center"/>
        <w:rPr>
          <w:rFonts w:ascii="Palatino Linotype" w:eastAsia="Palatino Linotype" w:hAnsi="Palatino Linotype" w:cs="Palatino Linotype"/>
          <w:sz w:val="22"/>
          <w:szCs w:val="22"/>
        </w:rPr>
      </w:pPr>
      <w:r w:rsidRPr="008B4A3C">
        <w:rPr>
          <w:rFonts w:ascii="Palatino Linotype" w:eastAsia="Palatino Linotype" w:hAnsi="Palatino Linotype" w:cs="Palatino Linotype"/>
          <w:noProof/>
          <w:sz w:val="22"/>
          <w:szCs w:val="22"/>
        </w:rPr>
        <w:drawing>
          <wp:inline distT="0" distB="0" distL="0" distR="0" wp14:anchorId="0F9C6DFA" wp14:editId="7F33CB03">
            <wp:extent cx="2800741" cy="108600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00741" cy="1086002"/>
                    </a:xfrm>
                    <a:prstGeom prst="rect">
                      <a:avLst/>
                    </a:prstGeom>
                    <a:ln/>
                  </pic:spPr>
                </pic:pic>
              </a:graphicData>
            </a:graphic>
          </wp:inline>
        </w:drawing>
      </w:r>
    </w:p>
    <w:p w14:paraId="41237A74"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91D8FA2"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Conforme a lo anterior, se colige que, tal como lo precisó la persona Recurrente, el Instituto Municipal de Cultura Física y Deporte de Cocotitlán, no emitió respuesta para dar contestación a la solicitud de acceso a la información pública, dentro de los plazos establecidos en el artículo 163, de la Ley de Transparencia y Acceso a la Información Pública del Estado de México y Municipios, pues tenía hasta el treinta de junio de dos mil veinticinco, para realizar dicha situación, por lo que es evidente que el agravio es </w:t>
      </w:r>
      <w:r w:rsidRPr="008B4A3C">
        <w:rPr>
          <w:rFonts w:ascii="Palatino Linotype" w:eastAsia="Palatino Linotype" w:hAnsi="Palatino Linotype" w:cs="Palatino Linotype"/>
          <w:b/>
          <w:sz w:val="22"/>
          <w:szCs w:val="22"/>
        </w:rPr>
        <w:t>FUNDADO</w:t>
      </w:r>
      <w:r w:rsidRPr="008B4A3C">
        <w:rPr>
          <w:rFonts w:ascii="Palatino Linotype" w:eastAsia="Palatino Linotype" w:hAnsi="Palatino Linotype" w:cs="Palatino Linotype"/>
          <w:sz w:val="22"/>
          <w:szCs w:val="22"/>
        </w:rPr>
        <w:t xml:space="preserve">. </w:t>
      </w:r>
    </w:p>
    <w:p w14:paraId="4E1BE502"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1F2D6F8C" w14:textId="77777777" w:rsidR="00CA2F07" w:rsidRPr="008B4A3C" w:rsidRDefault="003B50FA">
      <w:pPr>
        <w:tabs>
          <w:tab w:val="left" w:pos="4962"/>
        </w:tabs>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Con base en lo expuesto, es procedente </w:t>
      </w:r>
      <w:r w:rsidRPr="008B4A3C">
        <w:rPr>
          <w:rFonts w:ascii="Palatino Linotype" w:eastAsia="Palatino Linotype" w:hAnsi="Palatino Linotype" w:cs="Palatino Linotype"/>
          <w:b/>
          <w:sz w:val="22"/>
          <w:szCs w:val="22"/>
        </w:rPr>
        <w:t>ORDENAR</w:t>
      </w:r>
      <w:r w:rsidRPr="008B4A3C">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14:paraId="2D1CFDF7"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4C47B7BC"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color w:val="0D0D0D"/>
          <w:sz w:val="22"/>
          <w:szCs w:val="22"/>
        </w:rPr>
        <w:t>Sobre el tema</w:t>
      </w:r>
      <w:r w:rsidRPr="008B4A3C">
        <w:rPr>
          <w:rFonts w:ascii="Palatino Linotype" w:eastAsia="Palatino Linotype" w:hAnsi="Palatino Linotype" w:cs="Palatino Linotype"/>
          <w:sz w:val="22"/>
          <w:szCs w:val="22"/>
        </w:rPr>
        <w:t xml:space="preserve">, en su artículo 32, de la Ley Orgánica Municipal del Estado de México, refiere que para ocupar los cargos de Secretario; Tesorero; Director de Obras Públicas, de Desarrollo Económico, Director de Turismo, Coordinador General Municipal de Mejora Regulatoria, Ecología, Desarrollo Urbano, de Desarrollo Social, de las Mujeres, del Campo o equivalentes, </w:t>
      </w:r>
      <w:r w:rsidRPr="008B4A3C">
        <w:rPr>
          <w:rFonts w:ascii="Palatino Linotype" w:eastAsia="Palatino Linotype" w:hAnsi="Palatino Linotype" w:cs="Palatino Linotype"/>
          <w:b/>
          <w:sz w:val="22"/>
          <w:szCs w:val="22"/>
        </w:rPr>
        <w:t>titulares de las unidades administrativas</w:t>
      </w:r>
      <w:r w:rsidRPr="008B4A3C">
        <w:rPr>
          <w:rFonts w:ascii="Palatino Linotype" w:eastAsia="Palatino Linotype" w:hAnsi="Palatino Linotype" w:cs="Palatino Linotype"/>
          <w:sz w:val="22"/>
          <w:szCs w:val="22"/>
        </w:rPr>
        <w:t>, de Protección Civil y de los organismos auxiliares se deberán satisfacer los siguientes requisitos:</w:t>
      </w:r>
    </w:p>
    <w:p w14:paraId="76607A50"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6E415927" w14:textId="77777777" w:rsidR="00CA2F07" w:rsidRPr="008B4A3C" w:rsidRDefault="003B50F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 xml:space="preserve">Ser persona ciudadana del Estado, en pleno uso de sus derechos; </w:t>
      </w:r>
    </w:p>
    <w:p w14:paraId="5C062461" w14:textId="77777777" w:rsidR="00CA2F07" w:rsidRPr="008B4A3C" w:rsidRDefault="003B50F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8"/>
          <w:szCs w:val="28"/>
        </w:rPr>
      </w:pPr>
      <w:r w:rsidRPr="008B4A3C">
        <w:rPr>
          <w:rFonts w:ascii="Palatino Linotype" w:eastAsia="Palatino Linotype" w:hAnsi="Palatino Linotype" w:cs="Palatino Linotype"/>
          <w:color w:val="000000"/>
          <w:sz w:val="22"/>
          <w:szCs w:val="22"/>
        </w:rPr>
        <w:t xml:space="preserve">No estar inhabilitada o inhabilitado para desempeñar cargo, empleo, o comisión pública; </w:t>
      </w:r>
    </w:p>
    <w:p w14:paraId="72AE76C6" w14:textId="77777777" w:rsidR="00CA2F07" w:rsidRPr="008B4A3C" w:rsidRDefault="003B50F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8"/>
          <w:szCs w:val="28"/>
        </w:rPr>
      </w:pPr>
      <w:r w:rsidRPr="008B4A3C">
        <w:rPr>
          <w:rFonts w:ascii="Palatino Linotype" w:eastAsia="Palatino Linotype" w:hAnsi="Palatino Linotype" w:cs="Palatino Linotype"/>
          <w:color w:val="000000"/>
          <w:sz w:val="22"/>
          <w:szCs w:val="22"/>
        </w:rPr>
        <w:t>Contar con título profesional o acreditar experiencia mínima de un año en la materia, ante la o el presidente o el Ayuntamiento, cuando sea el caso, para el desempeño de los cargos que así lo requieran;</w:t>
      </w:r>
    </w:p>
    <w:p w14:paraId="2A0F8C75" w14:textId="77777777" w:rsidR="00CA2F07" w:rsidRPr="008B4A3C" w:rsidRDefault="003B50F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8B4A3C">
        <w:rPr>
          <w:rFonts w:ascii="Palatino Linotype" w:eastAsia="Palatino Linotype" w:hAnsi="Palatino Linotype" w:cs="Palatino Linotype"/>
          <w:b/>
          <w:color w:val="000000"/>
          <w:sz w:val="22"/>
          <w:szCs w:val="22"/>
        </w:rPr>
        <w:lastRenderedPageBreak/>
        <w:t>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18C282A" w14:textId="77777777" w:rsidR="00CA2F07" w:rsidRPr="008B4A3C" w:rsidRDefault="003B50F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8"/>
          <w:szCs w:val="28"/>
        </w:rPr>
      </w:pPr>
      <w:r w:rsidRPr="008B4A3C">
        <w:rPr>
          <w:rFonts w:ascii="Palatino Linotype" w:eastAsia="Palatino Linotype" w:hAnsi="Palatino Linotype" w:cs="Palatino Linotype"/>
          <w:color w:val="000000"/>
          <w:sz w:val="22"/>
          <w:szCs w:val="22"/>
        </w:rPr>
        <w:t>No estar condenada o condenado por sentencia ejecutoriada por el delito de violencia política contra las mujeres en razón de género; VI. No estar inscrito en el</w:t>
      </w:r>
    </w:p>
    <w:p w14:paraId="68EDADEB"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1360856"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Por otro lado, el artículo 57, fracción I, de la Ley de Transparencia y Acceso a la Información Pública del Estado de México y Municipios, establece que para que una persona pueda ser nombrada Titular de la Unidad de Transparencia, debe contar con la certificación en materia de acceso a la información, transparencia y protección de datos personales, que para tal efecto </w:t>
      </w:r>
    </w:p>
    <w:p w14:paraId="10EA774E"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emita el Instituto.</w:t>
      </w:r>
    </w:p>
    <w:p w14:paraId="0DEF9753"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3B8CFBAB"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“Garantizar el derecho de acceso a la información pública”. En ese contexto, conforme a las Políticas de Operación de la Entidad de Certificación y Evaluación ECE 346-18, establecen que el proceso se lleva a cabo de la siguiente manera:</w:t>
      </w:r>
    </w:p>
    <w:p w14:paraId="2A9FAD45" w14:textId="77777777" w:rsidR="00CA2F07" w:rsidRPr="008B4A3C" w:rsidRDefault="00CA2F07">
      <w:pPr>
        <w:spacing w:line="360" w:lineRule="auto"/>
        <w:rPr>
          <w:rFonts w:ascii="Palatino Linotype" w:eastAsia="Palatino Linotype" w:hAnsi="Palatino Linotype" w:cs="Palatino Linotype"/>
          <w:sz w:val="22"/>
          <w:szCs w:val="22"/>
        </w:rPr>
      </w:pPr>
    </w:p>
    <w:p w14:paraId="4AC6FFA4" w14:textId="77777777" w:rsidR="00CA2F07" w:rsidRPr="008B4A3C" w:rsidRDefault="003B50FA">
      <w:pPr>
        <w:spacing w:line="360" w:lineRule="auto"/>
        <w:jc w:val="center"/>
        <w:rPr>
          <w:rFonts w:ascii="Palatino Linotype" w:eastAsia="Palatino Linotype" w:hAnsi="Palatino Linotype" w:cs="Palatino Linotype"/>
          <w:sz w:val="22"/>
          <w:szCs w:val="22"/>
        </w:rPr>
      </w:pPr>
      <w:r w:rsidRPr="008B4A3C">
        <w:rPr>
          <w:rFonts w:ascii="Palatino Linotype" w:eastAsia="Palatino Linotype" w:hAnsi="Palatino Linotype" w:cs="Palatino Linotype"/>
          <w:noProof/>
          <w:sz w:val="22"/>
          <w:szCs w:val="22"/>
        </w:rPr>
        <w:lastRenderedPageBreak/>
        <w:drawing>
          <wp:inline distT="0" distB="0" distL="0" distR="0" wp14:anchorId="01001EF7" wp14:editId="7CB09A5B">
            <wp:extent cx="2315992" cy="2224591"/>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1758" t="523"/>
                    <a:stretch>
                      <a:fillRect/>
                    </a:stretch>
                  </pic:blipFill>
                  <pic:spPr>
                    <a:xfrm>
                      <a:off x="0" y="0"/>
                      <a:ext cx="2315992" cy="2224591"/>
                    </a:xfrm>
                    <a:prstGeom prst="rect">
                      <a:avLst/>
                    </a:prstGeom>
                    <a:ln/>
                  </pic:spPr>
                </pic:pic>
              </a:graphicData>
            </a:graphic>
          </wp:inline>
        </w:drawing>
      </w:r>
    </w:p>
    <w:p w14:paraId="4F4A0CAC" w14:textId="77777777" w:rsidR="00CA2F07" w:rsidRPr="008B4A3C" w:rsidRDefault="00CA2F07">
      <w:pPr>
        <w:spacing w:line="360" w:lineRule="auto"/>
        <w:jc w:val="center"/>
        <w:rPr>
          <w:rFonts w:ascii="Palatino Linotype" w:eastAsia="Palatino Linotype" w:hAnsi="Palatino Linotype" w:cs="Palatino Linotype"/>
          <w:sz w:val="22"/>
          <w:szCs w:val="22"/>
        </w:rPr>
      </w:pPr>
    </w:p>
    <w:p w14:paraId="66D4F102"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Conforme a lo anterior, se logra vislumbrar que el proceso de certificación, se realiza en las siguientes etapas: </w:t>
      </w:r>
    </w:p>
    <w:p w14:paraId="122EC15B"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6BC7B8E"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 Primera etapa: Evaluación diagnóstica. </w:t>
      </w:r>
    </w:p>
    <w:p w14:paraId="27DCB29B"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 Segunda etapa: Curso de capacitación en línea. </w:t>
      </w:r>
    </w:p>
    <w:p w14:paraId="58BCAABD"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 Tercera etapa: Taller propedéutico. </w:t>
      </w:r>
    </w:p>
    <w:p w14:paraId="58EF0AF9" w14:textId="77777777" w:rsidR="00CA2F07" w:rsidRPr="008B4A3C" w:rsidRDefault="003B50FA">
      <w:pPr>
        <w:tabs>
          <w:tab w:val="left" w:pos="7801"/>
        </w:tabs>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 Cuarta etapa: Evaluación bajo el modelo del estándar de competencia. </w:t>
      </w:r>
      <w:r w:rsidRPr="008B4A3C">
        <w:rPr>
          <w:rFonts w:ascii="Palatino Linotype" w:eastAsia="Palatino Linotype" w:hAnsi="Palatino Linotype" w:cs="Palatino Linotype"/>
          <w:sz w:val="22"/>
          <w:szCs w:val="22"/>
        </w:rPr>
        <w:tab/>
      </w:r>
    </w:p>
    <w:p w14:paraId="6584C507"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Quinta etapa: Dictamen y emisión del certificado.</w:t>
      </w:r>
    </w:p>
    <w:p w14:paraId="31877DD4"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35F2F127" w14:textId="77777777" w:rsidR="00CA2F07" w:rsidRPr="008B4A3C" w:rsidRDefault="003B50FA">
      <w:pPr>
        <w:tabs>
          <w:tab w:val="left" w:pos="4962"/>
        </w:tabs>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Sobre dichas circunstancias, es necesario referir que este Instituto ha establecido, por analogía, que al igual que a nivel municipal, los Titulares de las Unidades de Transparencia del Gobierno del Estado de México, cuentan con seis meses para obtener la certificación de competencia laboral, tomando en consideración la fecha de emisión de la Convocatoria de este Instituto, es decir, se debe certificar en el primer proceso que ejecute este Organismo Garante, posterior a la fecha de alta en el cargo.</w:t>
      </w:r>
    </w:p>
    <w:p w14:paraId="441A356B"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3C8011F4" w14:textId="77777777" w:rsidR="00CA2F07" w:rsidRPr="008B4A3C" w:rsidRDefault="003B50FA">
      <w:pPr>
        <w:tabs>
          <w:tab w:val="left" w:pos="4962"/>
        </w:tabs>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lastRenderedPageBreak/>
        <w:t>Ahora bien, en cuanto a los nombramientos dentro de la Ley Orgánica Municipal del Estado de México y Municipios en su artículo 48 que a su vez refiere las atribuciones de la presidencia municipal tal como lo es 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w:t>
      </w:r>
    </w:p>
    <w:p w14:paraId="183D8D71"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0C67ECB0"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sidRPr="008B4A3C">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sidRPr="008B4A3C">
        <w:rPr>
          <w:rFonts w:ascii="Palatino Linotype" w:eastAsia="Palatino Linotype" w:hAnsi="Palatino Linotype" w:cs="Palatino Linotype"/>
          <w:color w:val="000000"/>
          <w:sz w:val="22"/>
          <w:szCs w:val="22"/>
        </w:rPr>
        <w:t>.</w:t>
      </w:r>
    </w:p>
    <w:p w14:paraId="09EFDE1A" w14:textId="77777777" w:rsidR="00CA2F07" w:rsidRPr="008B4A3C" w:rsidRDefault="00CA2F07">
      <w:pPr>
        <w:tabs>
          <w:tab w:val="left" w:pos="4962"/>
        </w:tabs>
        <w:spacing w:line="360" w:lineRule="auto"/>
        <w:jc w:val="both"/>
        <w:rPr>
          <w:rFonts w:ascii="Palatino Linotype" w:eastAsia="Palatino Linotype" w:hAnsi="Palatino Linotype" w:cs="Palatino Linotype"/>
          <w:sz w:val="22"/>
          <w:szCs w:val="22"/>
        </w:rPr>
      </w:pPr>
    </w:p>
    <w:p w14:paraId="52284DD5" w14:textId="77777777" w:rsidR="00CA2F07" w:rsidRPr="008B4A3C" w:rsidRDefault="003B50FA">
      <w:pPr>
        <w:spacing w:line="360" w:lineRule="auto"/>
        <w:jc w:val="both"/>
        <w:rPr>
          <w:rFonts w:ascii="Palatino Linotype" w:eastAsia="Palatino Linotype" w:hAnsi="Palatino Linotype" w:cs="Palatino Linotype"/>
          <w:sz w:val="22"/>
          <w:szCs w:val="22"/>
        </w:rPr>
      </w:pPr>
      <w:bookmarkStart w:id="13" w:name="_heading=h.bmfy9rspl8b6" w:colFirst="0" w:colLast="0"/>
      <w:bookmarkEnd w:id="13"/>
      <w:r w:rsidRPr="008B4A3C">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F3EBBAB"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4B28069"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la versión </w:t>
      </w:r>
      <w:r w:rsidRPr="008B4A3C">
        <w:rPr>
          <w:rFonts w:ascii="Palatino Linotype" w:eastAsia="Palatino Linotype" w:hAnsi="Palatino Linotype" w:cs="Palatino Linotype"/>
          <w:sz w:val="22"/>
          <w:szCs w:val="22"/>
        </w:rPr>
        <w:lastRenderedPageBreak/>
        <w:t>pública, así como emitir el Acuerdo, por parte del Comité de Transparencia, donde confirme la clasificación de los datos o documentos, fundando y motivando la clasificación.</w:t>
      </w:r>
    </w:p>
    <w:p w14:paraId="5EF52E8F"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7F080BCC" w14:textId="77777777" w:rsidR="00CA2F07" w:rsidRPr="008B4A3C" w:rsidRDefault="003B50FA">
      <w:pPr>
        <w:pStyle w:val="Ttulo2"/>
      </w:pPr>
      <w:bookmarkStart w:id="14" w:name="_Toc205476217"/>
      <w:r w:rsidRPr="008B4A3C">
        <w:t>SEXTO. Decisión</w:t>
      </w:r>
      <w:bookmarkEnd w:id="14"/>
    </w:p>
    <w:p w14:paraId="72B987DE"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29E4C1B" w14:textId="77777777" w:rsidR="00CA2F07" w:rsidRPr="008B4A3C" w:rsidRDefault="003B50FA">
      <w:pPr>
        <w:spacing w:line="360" w:lineRule="auto"/>
        <w:jc w:val="both"/>
        <w:rPr>
          <w:rFonts w:ascii="Palatino Linotype" w:eastAsia="Palatino Linotype" w:hAnsi="Palatino Linotype" w:cs="Palatino Linotype"/>
          <w:color w:val="0D0D0D"/>
          <w:sz w:val="22"/>
          <w:szCs w:val="22"/>
        </w:rPr>
      </w:pPr>
      <w:r w:rsidRPr="008B4A3C">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8B4A3C">
        <w:rPr>
          <w:rFonts w:ascii="Palatino Linotype" w:eastAsia="Palatino Linotype" w:hAnsi="Palatino Linotype" w:cs="Palatino Linotype"/>
          <w:b/>
          <w:sz w:val="22"/>
          <w:szCs w:val="22"/>
        </w:rPr>
        <w:t>ORDENAR</w:t>
      </w:r>
      <w:r w:rsidRPr="008B4A3C">
        <w:rPr>
          <w:rFonts w:ascii="Palatino Linotype" w:eastAsia="Palatino Linotype" w:hAnsi="Palatino Linotype" w:cs="Palatino Linotype"/>
          <w:sz w:val="22"/>
          <w:szCs w:val="22"/>
        </w:rPr>
        <w:t xml:space="preserve"> al Sujeto Obligado, a que dé trámite y respuesta a la solicitud de información pública con número</w:t>
      </w:r>
      <w:r w:rsidRPr="008B4A3C">
        <w:rPr>
          <w:rFonts w:ascii="Palatino Linotype" w:eastAsia="Palatino Linotype" w:hAnsi="Palatino Linotype" w:cs="Palatino Linotype"/>
          <w:color w:val="000000"/>
          <w:sz w:val="22"/>
          <w:szCs w:val="22"/>
        </w:rPr>
        <w:t xml:space="preserve"> 00043/IMCUFIDECOCOTI/IP/2025.</w:t>
      </w:r>
    </w:p>
    <w:p w14:paraId="1DDA7669"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60FD6260" w14:textId="77777777" w:rsidR="00CA2F07" w:rsidRPr="008B4A3C" w:rsidRDefault="003B50FA">
      <w:pPr>
        <w:pStyle w:val="Ttulo2"/>
      </w:pPr>
      <w:bookmarkStart w:id="15" w:name="_Toc205476218"/>
      <w:r w:rsidRPr="008B4A3C">
        <w:t>SÉPTIMO. Vista a la Secretaría Técnica del Pleno</w:t>
      </w:r>
      <w:bookmarkEnd w:id="15"/>
    </w:p>
    <w:p w14:paraId="73B3DA9C"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5D6756D" w14:textId="77777777" w:rsidR="00CA2F07" w:rsidRPr="008B4A3C" w:rsidRDefault="003B50FA">
      <w:pPr>
        <w:spacing w:line="360" w:lineRule="auto"/>
        <w:ind w:right="-93"/>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En el caso en estudio, como ha quedado señalado que el Instituto Municipal de Cultura Física y Deporte de Cocotitlán,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1F63C006" w14:textId="77777777" w:rsidR="00CA2F07" w:rsidRPr="008B4A3C" w:rsidRDefault="00CA2F07">
      <w:pPr>
        <w:spacing w:line="360" w:lineRule="auto"/>
        <w:ind w:right="-93"/>
        <w:jc w:val="both"/>
        <w:rPr>
          <w:rFonts w:ascii="Palatino Linotype" w:eastAsia="Palatino Linotype" w:hAnsi="Palatino Linotype" w:cs="Palatino Linotype"/>
          <w:sz w:val="22"/>
          <w:szCs w:val="22"/>
        </w:rPr>
      </w:pPr>
    </w:p>
    <w:p w14:paraId="50CA6F75" w14:textId="77777777" w:rsidR="00CA2F07" w:rsidRPr="008B4A3C" w:rsidRDefault="003B50FA">
      <w:pPr>
        <w:spacing w:line="360" w:lineRule="auto"/>
        <w:ind w:right="-93"/>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122CE13" w14:textId="77777777" w:rsidR="00CA2F07" w:rsidRPr="008B4A3C" w:rsidRDefault="00CA2F07">
      <w:pPr>
        <w:spacing w:line="360" w:lineRule="auto"/>
        <w:ind w:right="-93"/>
        <w:jc w:val="both"/>
        <w:rPr>
          <w:rFonts w:ascii="Palatino Linotype" w:eastAsia="Palatino Linotype" w:hAnsi="Palatino Linotype" w:cs="Palatino Linotype"/>
          <w:sz w:val="22"/>
          <w:szCs w:val="22"/>
        </w:rPr>
      </w:pPr>
    </w:p>
    <w:p w14:paraId="2F4857F7" w14:textId="77777777" w:rsidR="00CA2F07" w:rsidRPr="008B4A3C" w:rsidRDefault="003B50FA">
      <w:pPr>
        <w:spacing w:line="360" w:lineRule="auto"/>
        <w:ind w:right="-93"/>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056366E4" w14:textId="77777777" w:rsidR="00CA2F07" w:rsidRPr="008B4A3C" w:rsidRDefault="00CA2F07">
      <w:pPr>
        <w:spacing w:line="360" w:lineRule="auto"/>
        <w:ind w:right="-93"/>
        <w:jc w:val="both"/>
        <w:rPr>
          <w:rFonts w:ascii="Palatino Linotype" w:eastAsia="Palatino Linotype" w:hAnsi="Palatino Linotype" w:cs="Palatino Linotype"/>
          <w:sz w:val="22"/>
          <w:szCs w:val="22"/>
        </w:rPr>
      </w:pPr>
    </w:p>
    <w:p w14:paraId="516EF4BC" w14:textId="77777777" w:rsidR="00CA2F07" w:rsidRPr="008B4A3C" w:rsidRDefault="003B50FA">
      <w:pPr>
        <w:spacing w:line="360" w:lineRule="auto"/>
        <w:ind w:right="-93"/>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8AF9F76" w14:textId="77777777" w:rsidR="00CA2F07" w:rsidRPr="008B4A3C" w:rsidRDefault="00CA2F07">
      <w:pPr>
        <w:spacing w:line="360" w:lineRule="auto"/>
        <w:ind w:right="-93"/>
        <w:jc w:val="both"/>
        <w:rPr>
          <w:rFonts w:ascii="Palatino Linotype" w:eastAsia="Palatino Linotype" w:hAnsi="Palatino Linotype" w:cs="Palatino Linotype"/>
          <w:sz w:val="22"/>
          <w:szCs w:val="22"/>
        </w:rPr>
      </w:pPr>
    </w:p>
    <w:p w14:paraId="748534DA" w14:textId="77777777" w:rsidR="00CA2F07" w:rsidRPr="008B4A3C" w:rsidRDefault="003B50FA">
      <w:pPr>
        <w:spacing w:line="360" w:lineRule="auto"/>
        <w:ind w:right="-93"/>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354977DF"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E887669" w14:textId="77777777" w:rsidR="00CA2F07" w:rsidRPr="008B4A3C" w:rsidRDefault="003B50FA">
      <w:pPr>
        <w:spacing w:line="360" w:lineRule="auto"/>
        <w:jc w:val="both"/>
        <w:rPr>
          <w:rFonts w:ascii="Palatino Linotype" w:eastAsia="Palatino Linotype" w:hAnsi="Palatino Linotype" w:cs="Palatino Linotype"/>
          <w:b/>
          <w:sz w:val="22"/>
          <w:szCs w:val="22"/>
        </w:rPr>
      </w:pPr>
      <w:r w:rsidRPr="008B4A3C">
        <w:rPr>
          <w:rFonts w:ascii="Palatino Linotype" w:eastAsia="Palatino Linotype" w:hAnsi="Palatino Linotype" w:cs="Palatino Linotype"/>
          <w:b/>
          <w:sz w:val="22"/>
          <w:szCs w:val="22"/>
        </w:rPr>
        <w:t>Términos de la Resolución para conocimiento del Particular</w:t>
      </w:r>
    </w:p>
    <w:p w14:paraId="3433702A" w14:textId="77777777" w:rsidR="00CA2F07" w:rsidRPr="008B4A3C" w:rsidRDefault="00CA2F07">
      <w:pPr>
        <w:spacing w:line="360" w:lineRule="auto"/>
        <w:jc w:val="both"/>
        <w:rPr>
          <w:rFonts w:ascii="Palatino Linotype" w:eastAsia="Palatino Linotype" w:hAnsi="Palatino Linotype" w:cs="Palatino Linotype"/>
          <w:b/>
          <w:sz w:val="22"/>
          <w:szCs w:val="22"/>
        </w:rPr>
      </w:pPr>
    </w:p>
    <w:p w14:paraId="3462C2D1"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14:paraId="4BD8914F"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4E4B652E"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w:t>
      </w:r>
      <w:r w:rsidRPr="008B4A3C">
        <w:rPr>
          <w:rFonts w:ascii="Palatino Linotype" w:eastAsia="Palatino Linotype" w:hAnsi="Palatino Linotype" w:cs="Palatino Linotype"/>
          <w:sz w:val="22"/>
          <w:szCs w:val="22"/>
        </w:rPr>
        <w:lastRenderedPageBreak/>
        <w:t xml:space="preserve">y Municipios, tiene derecho a interponer nuevamente Recurso de Revisión ante este Instituto, por la respuesta que dé el Sujeto Obligado, en cumplimiento a esta Resolución. </w:t>
      </w:r>
    </w:p>
    <w:p w14:paraId="3D757B9D"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F141112" w14:textId="77777777" w:rsidR="00CA2F07" w:rsidRPr="008B4A3C" w:rsidRDefault="003B50FA">
      <w:pPr>
        <w:spacing w:line="360" w:lineRule="auto"/>
        <w:jc w:val="both"/>
        <w:rPr>
          <w:rFonts w:ascii="Palatino Linotype" w:eastAsia="Palatino Linotype" w:hAnsi="Palatino Linotype" w:cs="Palatino Linotype"/>
          <w:color w:val="000000"/>
          <w:sz w:val="22"/>
          <w:szCs w:val="22"/>
        </w:rPr>
      </w:pPr>
      <w:r w:rsidRPr="008B4A3C">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FDFD3FB" w14:textId="77777777" w:rsidR="00CA2F07" w:rsidRPr="008B4A3C" w:rsidRDefault="00CA2F07">
      <w:pPr>
        <w:spacing w:line="360" w:lineRule="auto"/>
        <w:jc w:val="both"/>
        <w:rPr>
          <w:rFonts w:ascii="Palatino Linotype" w:eastAsia="Palatino Linotype" w:hAnsi="Palatino Linotype" w:cs="Palatino Linotype"/>
          <w:color w:val="000000"/>
          <w:sz w:val="22"/>
          <w:szCs w:val="22"/>
        </w:rPr>
      </w:pPr>
    </w:p>
    <w:p w14:paraId="68D401FF"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Por lo expuesto y fundado, este Pleno:</w:t>
      </w:r>
    </w:p>
    <w:p w14:paraId="285D8E39"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825DA7B" w14:textId="77777777" w:rsidR="00CA2F07" w:rsidRPr="008B4A3C" w:rsidRDefault="003B50FA">
      <w:pPr>
        <w:pStyle w:val="Ttulo1"/>
      </w:pPr>
      <w:bookmarkStart w:id="16" w:name="_Toc205476219"/>
      <w:r w:rsidRPr="008B4A3C">
        <w:t>R E S U E L V E</w:t>
      </w:r>
      <w:bookmarkEnd w:id="16"/>
    </w:p>
    <w:p w14:paraId="4F3B55E2" w14:textId="77777777" w:rsidR="00CA2F07" w:rsidRPr="008B4A3C" w:rsidRDefault="00CA2F07">
      <w:pPr>
        <w:spacing w:line="360" w:lineRule="auto"/>
        <w:jc w:val="both"/>
        <w:rPr>
          <w:rFonts w:ascii="Palatino Linotype" w:eastAsia="Palatino Linotype" w:hAnsi="Palatino Linotype" w:cs="Palatino Linotype"/>
          <w:b/>
          <w:sz w:val="22"/>
          <w:szCs w:val="22"/>
        </w:rPr>
      </w:pPr>
    </w:p>
    <w:p w14:paraId="325A9798"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b/>
          <w:sz w:val="22"/>
          <w:szCs w:val="22"/>
        </w:rPr>
        <w:t xml:space="preserve">PRIMERO. </w:t>
      </w:r>
      <w:r w:rsidRPr="008B4A3C">
        <w:rPr>
          <w:rFonts w:ascii="Palatino Linotype" w:eastAsia="Palatino Linotype" w:hAnsi="Palatino Linotype" w:cs="Palatino Linotype"/>
          <w:sz w:val="22"/>
          <w:szCs w:val="22"/>
        </w:rPr>
        <w:t xml:space="preserve">Resultan </w:t>
      </w:r>
      <w:r w:rsidRPr="008B4A3C">
        <w:rPr>
          <w:rFonts w:ascii="Palatino Linotype" w:eastAsia="Palatino Linotype" w:hAnsi="Palatino Linotype" w:cs="Palatino Linotype"/>
          <w:b/>
          <w:sz w:val="22"/>
          <w:szCs w:val="22"/>
        </w:rPr>
        <w:t>FUNDADAS</w:t>
      </w:r>
      <w:r w:rsidRPr="008B4A3C">
        <w:rPr>
          <w:rFonts w:ascii="Palatino Linotype" w:eastAsia="Palatino Linotype" w:hAnsi="Palatino Linotype" w:cs="Palatino Linotype"/>
          <w:sz w:val="22"/>
          <w:szCs w:val="22"/>
        </w:rPr>
        <w:t xml:space="preserve"> las razones o motivos de inconformidad hechos valer por el Particular en el Recurso de Revisión 07961/INFOEM/IP/RR/2025,</w:t>
      </w:r>
      <w:r w:rsidRPr="008B4A3C">
        <w:rPr>
          <w:rFonts w:ascii="Palatino Linotype" w:eastAsia="Palatino Linotype" w:hAnsi="Palatino Linotype" w:cs="Palatino Linotype"/>
          <w:b/>
          <w:sz w:val="22"/>
          <w:szCs w:val="22"/>
        </w:rPr>
        <w:t xml:space="preserve"> </w:t>
      </w:r>
      <w:r w:rsidRPr="008B4A3C">
        <w:rPr>
          <w:rFonts w:ascii="Palatino Linotype" w:eastAsia="Palatino Linotype" w:hAnsi="Palatino Linotype" w:cs="Palatino Linotype"/>
          <w:sz w:val="22"/>
          <w:szCs w:val="22"/>
        </w:rPr>
        <w:t>en términos de los considerandos QUINTO y SEXTO de la presente Resolución.</w:t>
      </w:r>
    </w:p>
    <w:p w14:paraId="5876698D"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1BC1D10" w14:textId="77777777" w:rsidR="00CA2F07" w:rsidRPr="008B4A3C" w:rsidRDefault="003B50FA">
      <w:pPr>
        <w:spacing w:line="360" w:lineRule="auto"/>
        <w:jc w:val="both"/>
        <w:rPr>
          <w:b/>
        </w:rPr>
      </w:pPr>
      <w:r w:rsidRPr="008B4A3C">
        <w:rPr>
          <w:rFonts w:ascii="Palatino Linotype" w:eastAsia="Palatino Linotype" w:hAnsi="Palatino Linotype" w:cs="Palatino Linotype"/>
          <w:b/>
          <w:sz w:val="22"/>
          <w:szCs w:val="22"/>
        </w:rPr>
        <w:t xml:space="preserve">SEGUNDO. </w:t>
      </w:r>
      <w:r w:rsidRPr="008B4A3C">
        <w:rPr>
          <w:rFonts w:ascii="Palatino Linotype" w:eastAsia="Palatino Linotype" w:hAnsi="Palatino Linotype" w:cs="Palatino Linotype"/>
          <w:sz w:val="22"/>
          <w:szCs w:val="22"/>
        </w:rPr>
        <w:t>Se</w:t>
      </w:r>
      <w:r w:rsidRPr="008B4A3C">
        <w:rPr>
          <w:rFonts w:ascii="Palatino Linotype" w:eastAsia="Palatino Linotype" w:hAnsi="Palatino Linotype" w:cs="Palatino Linotype"/>
          <w:b/>
          <w:sz w:val="22"/>
          <w:szCs w:val="22"/>
        </w:rPr>
        <w:t xml:space="preserve"> ORDENA </w:t>
      </w:r>
      <w:r w:rsidRPr="008B4A3C">
        <w:rPr>
          <w:rFonts w:ascii="Palatino Linotype" w:eastAsia="Palatino Linotype" w:hAnsi="Palatino Linotype" w:cs="Palatino Linotype"/>
          <w:sz w:val="22"/>
          <w:szCs w:val="22"/>
        </w:rPr>
        <w:t>al Sujeto Obligado, a efecto de que dé atención a la solicitud de acceso a la información</w:t>
      </w:r>
      <w:r w:rsidRPr="008B4A3C">
        <w:rPr>
          <w:rFonts w:ascii="Palatino Linotype" w:eastAsia="Palatino Linotype" w:hAnsi="Palatino Linotype" w:cs="Palatino Linotype"/>
          <w:color w:val="0D0D0D"/>
          <w:sz w:val="22"/>
          <w:szCs w:val="22"/>
        </w:rPr>
        <w:t xml:space="preserve">   00043/IMCUFIDECOCOTI/IP/2025, </w:t>
      </w:r>
      <w:r w:rsidRPr="008B4A3C">
        <w:rPr>
          <w:rFonts w:ascii="Palatino Linotype" w:eastAsia="Palatino Linotype" w:hAnsi="Palatino Linotype" w:cs="Palatino Linotype"/>
          <w:sz w:val="22"/>
          <w:szCs w:val="22"/>
        </w:rPr>
        <w:t>y, a través del Sistema de Acceso a la Información Mexiquense (SAIMEX), dé la respuesta que conforme a derecho corresponda</w:t>
      </w:r>
      <w:r w:rsidRPr="008B4A3C">
        <w:rPr>
          <w:b/>
        </w:rPr>
        <w:t xml:space="preserve">. </w:t>
      </w:r>
    </w:p>
    <w:p w14:paraId="38B3DCA8"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6724FDCF"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b/>
          <w:sz w:val="22"/>
          <w:szCs w:val="22"/>
        </w:rPr>
        <w:t xml:space="preserve">TERCERO. </w:t>
      </w:r>
      <w:r w:rsidRPr="008B4A3C">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1129D3CE"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0CAF4501"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b/>
          <w:sz w:val="22"/>
          <w:szCs w:val="22"/>
        </w:rPr>
        <w:t>CUARTO.</w:t>
      </w:r>
      <w:r w:rsidRPr="008B4A3C">
        <w:rPr>
          <w:rFonts w:ascii="Palatino Linotype" w:eastAsia="Palatino Linotype" w:hAnsi="Palatino Linotype" w:cs="Palatino Linotype"/>
          <w:sz w:val="22"/>
          <w:szCs w:val="22"/>
        </w:rPr>
        <w:t xml:space="preserve"> </w:t>
      </w:r>
      <w:r w:rsidRPr="008B4A3C">
        <w:rPr>
          <w:rFonts w:ascii="Palatino Linotype" w:eastAsia="Palatino Linotype" w:hAnsi="Palatino Linotype" w:cs="Palatino Linotype"/>
          <w:b/>
          <w:sz w:val="22"/>
          <w:szCs w:val="22"/>
        </w:rPr>
        <w:t xml:space="preserve">NOTIFÍQUESE POR SAIMEX </w:t>
      </w:r>
      <w:r w:rsidRPr="008B4A3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AF6EF8F"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2E5123A2"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b/>
          <w:sz w:val="22"/>
          <w:szCs w:val="22"/>
        </w:rPr>
        <w:t>QUINTO. NOTIFÍQUESE</w:t>
      </w:r>
      <w:r w:rsidRPr="008B4A3C">
        <w:rPr>
          <w:rFonts w:ascii="Palatino Linotype" w:eastAsia="Palatino Linotype" w:hAnsi="Palatino Linotype" w:cs="Palatino Linotype"/>
          <w:sz w:val="22"/>
          <w:szCs w:val="22"/>
        </w:rPr>
        <w:t xml:space="preserve"> </w:t>
      </w:r>
      <w:r w:rsidRPr="008B4A3C">
        <w:rPr>
          <w:rFonts w:ascii="Palatino Linotype" w:eastAsia="Palatino Linotype" w:hAnsi="Palatino Linotype" w:cs="Palatino Linotype"/>
          <w:b/>
          <w:sz w:val="22"/>
          <w:szCs w:val="22"/>
        </w:rPr>
        <w:t xml:space="preserve">POR SAIMEX, </w:t>
      </w:r>
      <w:r w:rsidRPr="008B4A3C">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D0B9CA" w14:textId="77777777" w:rsidR="00CA2F07" w:rsidRPr="008B4A3C" w:rsidRDefault="00CA2F07">
      <w:pPr>
        <w:spacing w:line="360" w:lineRule="auto"/>
        <w:jc w:val="both"/>
        <w:rPr>
          <w:rFonts w:ascii="Palatino Linotype" w:eastAsia="Palatino Linotype" w:hAnsi="Palatino Linotype" w:cs="Palatino Linotype"/>
          <w:sz w:val="22"/>
          <w:szCs w:val="22"/>
        </w:rPr>
      </w:pPr>
    </w:p>
    <w:p w14:paraId="57748693" w14:textId="77777777" w:rsidR="00CA2F07" w:rsidRPr="008B4A3C"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b/>
          <w:sz w:val="22"/>
          <w:szCs w:val="22"/>
        </w:rPr>
        <w:t>SEXTO.</w:t>
      </w:r>
      <w:r w:rsidRPr="008B4A3C">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5B898C" w14:textId="77777777" w:rsidR="00CA2F07" w:rsidRPr="008B4A3C" w:rsidRDefault="00CA2F07">
      <w:pPr>
        <w:spacing w:line="360" w:lineRule="auto"/>
        <w:jc w:val="both"/>
        <w:rPr>
          <w:rFonts w:ascii="Palatino Linotype" w:eastAsia="Palatino Linotype" w:hAnsi="Palatino Linotype" w:cs="Palatino Linotype"/>
          <w:b/>
          <w:sz w:val="22"/>
          <w:szCs w:val="22"/>
        </w:rPr>
      </w:pPr>
    </w:p>
    <w:p w14:paraId="4EB89906" w14:textId="77777777" w:rsidR="00CA2F07" w:rsidRDefault="003B50FA">
      <w:pPr>
        <w:spacing w:line="360" w:lineRule="auto"/>
        <w:jc w:val="both"/>
        <w:rPr>
          <w:rFonts w:ascii="Palatino Linotype" w:eastAsia="Palatino Linotype" w:hAnsi="Palatino Linotype" w:cs="Palatino Linotype"/>
          <w:sz w:val="22"/>
          <w:szCs w:val="22"/>
        </w:rPr>
      </w:pPr>
      <w:r w:rsidRPr="008B4A3C">
        <w:rPr>
          <w:rFonts w:ascii="Palatino Linotype" w:eastAsia="Palatino Linotype" w:hAnsi="Palatino Linotype" w:cs="Palatino Linotype"/>
          <w:sz w:val="22"/>
          <w:szCs w:val="22"/>
        </w:rPr>
        <w:t>ASÍ LO RESUELVE, POR </w:t>
      </w:r>
      <w:r w:rsidRPr="008B4A3C">
        <w:rPr>
          <w:rFonts w:ascii="Palatino Linotype" w:eastAsia="Palatino Linotype" w:hAnsi="Palatino Linotype" w:cs="Palatino Linotype"/>
          <w:b/>
          <w:sz w:val="22"/>
          <w:szCs w:val="22"/>
        </w:rPr>
        <w:t>UNANIMIDAD</w:t>
      </w:r>
      <w:r w:rsidRPr="008B4A3C">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w:t>
      </w:r>
      <w:r w:rsidRPr="008B4A3C">
        <w:rPr>
          <w:rFonts w:ascii="Palatino Linotype" w:eastAsia="Palatino Linotype" w:hAnsi="Palatino Linotype" w:cs="Palatino Linotype"/>
          <w:sz w:val="22"/>
          <w:szCs w:val="22"/>
        </w:rPr>
        <w:lastRenderedPageBreak/>
        <w:t>LOS COMISIONADOS JOSÉ MARTÍNEZ VILCHIS, MARÍA DEL ROSARIO MEJÍA AYALA, SHARON CRISTINA MORALES MARTÍNEZ, LUIS GUSTAVO PARRA NORIEGA Y GUADALUPE RAMÍREZ PEÑA, EN LA VIGÉSIMA SEPTIMA SESIÓN ORDINARIA, CELEBRADA EL SEIS DE AGOSTO DE DOS MIL VEINTICINCO, ANTE EL SECRETARIO TÉCNICO DEL PLENO, ALEXIS TAPIA RAMÍREZ.</w:t>
      </w:r>
    </w:p>
    <w:p w14:paraId="1AD35ADE" w14:textId="77777777" w:rsidR="00CA2F07" w:rsidRDefault="00CA2F07">
      <w:pPr>
        <w:spacing w:line="360" w:lineRule="auto"/>
      </w:pPr>
    </w:p>
    <w:p w14:paraId="3951A867" w14:textId="77777777" w:rsidR="00CA2F07" w:rsidRDefault="00CA2F07">
      <w:pPr>
        <w:spacing w:line="360" w:lineRule="auto"/>
      </w:pPr>
    </w:p>
    <w:p w14:paraId="0CB64246"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47193C83"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2E335990"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02FFB957"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2775F1C9" w14:textId="77777777" w:rsidR="00CA2F07" w:rsidRDefault="00CA2F07">
      <w:pPr>
        <w:spacing w:line="360" w:lineRule="auto"/>
        <w:jc w:val="both"/>
        <w:rPr>
          <w:rFonts w:ascii="Palatino Linotype" w:eastAsia="Palatino Linotype" w:hAnsi="Palatino Linotype" w:cs="Palatino Linotype"/>
          <w:color w:val="000000"/>
          <w:sz w:val="22"/>
          <w:szCs w:val="22"/>
        </w:rPr>
      </w:pPr>
      <w:bookmarkStart w:id="17" w:name="_heading=h.xu3ldro3sqb2" w:colFirst="0" w:colLast="0"/>
      <w:bookmarkEnd w:id="17"/>
    </w:p>
    <w:p w14:paraId="72C961D1"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2BA8FCE"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A2B957F"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51303CD"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585A112"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628101F5"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0A350CB8"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03593DC"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12762E6D"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5ADFB45B"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53170011"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346A736E"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72DB01F9" w14:textId="77777777" w:rsidR="00CA2F07" w:rsidRDefault="00CA2F07">
      <w:pPr>
        <w:spacing w:line="360" w:lineRule="auto"/>
        <w:jc w:val="both"/>
        <w:rPr>
          <w:rFonts w:ascii="Palatino Linotype" w:eastAsia="Palatino Linotype" w:hAnsi="Palatino Linotype" w:cs="Palatino Linotype"/>
          <w:color w:val="000000"/>
          <w:sz w:val="22"/>
          <w:szCs w:val="22"/>
        </w:rPr>
      </w:pPr>
    </w:p>
    <w:p w14:paraId="56E7A471" w14:textId="77777777" w:rsidR="008B4A3C" w:rsidRDefault="008B4A3C">
      <w:pPr>
        <w:spacing w:line="360" w:lineRule="auto"/>
        <w:jc w:val="both"/>
        <w:rPr>
          <w:rFonts w:ascii="Palatino Linotype" w:eastAsia="Palatino Linotype" w:hAnsi="Palatino Linotype" w:cs="Palatino Linotype"/>
          <w:color w:val="000000"/>
          <w:sz w:val="22"/>
          <w:szCs w:val="22"/>
        </w:rPr>
      </w:pPr>
    </w:p>
    <w:sectPr w:rsidR="008B4A3C">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13B1" w14:textId="77777777" w:rsidR="00286170" w:rsidRDefault="00286170">
      <w:r>
        <w:separator/>
      </w:r>
    </w:p>
  </w:endnote>
  <w:endnote w:type="continuationSeparator" w:id="0">
    <w:p w14:paraId="11B1271D" w14:textId="77777777" w:rsidR="00286170" w:rsidRDefault="002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6D21" w14:textId="77777777" w:rsidR="00CA2F07" w:rsidRDefault="00CA2F07">
    <w:pPr>
      <w:pBdr>
        <w:top w:val="nil"/>
        <w:left w:val="nil"/>
        <w:bottom w:val="nil"/>
        <w:right w:val="nil"/>
        <w:between w:val="nil"/>
      </w:pBdr>
      <w:tabs>
        <w:tab w:val="center" w:pos="4419"/>
        <w:tab w:val="right" w:pos="8838"/>
      </w:tabs>
      <w:jc w:val="right"/>
      <w:rPr>
        <w:color w:val="000000"/>
        <w:sz w:val="26"/>
        <w:szCs w:val="26"/>
      </w:rPr>
    </w:pPr>
  </w:p>
  <w:p w14:paraId="49FB43C9" w14:textId="77777777" w:rsidR="00CA2F07" w:rsidRDefault="003B50F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D628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6288">
      <w:rPr>
        <w:b/>
        <w:noProof/>
        <w:color w:val="000000"/>
        <w:sz w:val="24"/>
        <w:szCs w:val="24"/>
      </w:rPr>
      <w:t>23</w:t>
    </w:r>
    <w:r>
      <w:rPr>
        <w:b/>
        <w:color w:val="000000"/>
        <w:sz w:val="24"/>
        <w:szCs w:val="24"/>
      </w:rPr>
      <w:fldChar w:fldCharType="end"/>
    </w:r>
  </w:p>
  <w:p w14:paraId="476443B8" w14:textId="77777777" w:rsidR="00CA2F07" w:rsidRDefault="00CA2F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17A6" w14:textId="77777777" w:rsidR="00CA2F07" w:rsidRDefault="00CA2F07">
    <w:pPr>
      <w:pBdr>
        <w:top w:val="nil"/>
        <w:left w:val="nil"/>
        <w:bottom w:val="nil"/>
        <w:right w:val="nil"/>
        <w:between w:val="nil"/>
      </w:pBdr>
      <w:tabs>
        <w:tab w:val="center" w:pos="4419"/>
        <w:tab w:val="right" w:pos="8838"/>
      </w:tabs>
      <w:jc w:val="right"/>
      <w:rPr>
        <w:color w:val="000000"/>
      </w:rPr>
    </w:pPr>
  </w:p>
  <w:p w14:paraId="45490F13" w14:textId="77777777" w:rsidR="00CA2F07" w:rsidRDefault="003B50F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D62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6288">
      <w:rPr>
        <w:b/>
        <w:noProof/>
        <w:color w:val="000000"/>
        <w:sz w:val="24"/>
        <w:szCs w:val="24"/>
      </w:rPr>
      <w:t>23</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1B1F" w14:textId="77777777" w:rsidR="00286170" w:rsidRDefault="00286170">
      <w:r>
        <w:separator/>
      </w:r>
    </w:p>
  </w:footnote>
  <w:footnote w:type="continuationSeparator" w:id="0">
    <w:p w14:paraId="6A32E084" w14:textId="77777777" w:rsidR="00286170" w:rsidRDefault="0028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1B35" w14:textId="77777777" w:rsidR="00CA2F07" w:rsidRDefault="00CA2F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CA2F07" w14:paraId="50876A6F" w14:textId="77777777">
      <w:trPr>
        <w:trHeight w:val="1412"/>
      </w:trPr>
      <w:tc>
        <w:tcPr>
          <w:tcW w:w="8222" w:type="dxa"/>
        </w:tcPr>
        <w:p w14:paraId="4D089A2B" w14:textId="77777777" w:rsidR="00CA2F07" w:rsidRDefault="00CA2F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CA2F07" w14:paraId="34CF4E46" w14:textId="77777777">
            <w:trPr>
              <w:trHeight w:val="144"/>
            </w:trPr>
            <w:tc>
              <w:tcPr>
                <w:tcW w:w="2552" w:type="dxa"/>
              </w:tcPr>
              <w:p w14:paraId="5E0F3C42"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14:paraId="0987AB9D"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07961/INFOEM/IP/RR/2025</w:t>
                </w:r>
              </w:p>
            </w:tc>
          </w:tr>
          <w:tr w:rsidR="00CA2F07" w14:paraId="586A54BE" w14:textId="77777777">
            <w:trPr>
              <w:trHeight w:val="144"/>
            </w:trPr>
            <w:tc>
              <w:tcPr>
                <w:tcW w:w="2552" w:type="dxa"/>
              </w:tcPr>
              <w:p w14:paraId="0FFA9BAA"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14:paraId="1C328022"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Municipal de Cultura Física y Deporte de Cocotitlán</w:t>
                </w:r>
              </w:p>
            </w:tc>
          </w:tr>
          <w:tr w:rsidR="00CA2F07" w14:paraId="13B39EE0" w14:textId="77777777">
            <w:trPr>
              <w:trHeight w:val="138"/>
            </w:trPr>
            <w:tc>
              <w:tcPr>
                <w:tcW w:w="2552" w:type="dxa"/>
              </w:tcPr>
              <w:p w14:paraId="0241E64D"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14:paraId="352CD351"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CE2B6B0" w14:textId="77777777" w:rsidR="00CA2F07" w:rsidRDefault="00CA2F07">
          <w:pPr>
            <w:tabs>
              <w:tab w:val="right" w:pos="8838"/>
            </w:tabs>
            <w:ind w:left="-28"/>
            <w:jc w:val="both"/>
            <w:rPr>
              <w:rFonts w:ascii="Arial" w:eastAsia="Arial" w:hAnsi="Arial" w:cs="Arial"/>
              <w:b/>
              <w:sz w:val="22"/>
              <w:szCs w:val="22"/>
            </w:rPr>
          </w:pPr>
        </w:p>
      </w:tc>
    </w:tr>
  </w:tbl>
  <w:p w14:paraId="760AFEC2" w14:textId="77777777" w:rsidR="00CA2F07" w:rsidRDefault="00000000">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w14:anchorId="67792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A53" w14:textId="77777777" w:rsidR="00CA2F07" w:rsidRDefault="00000000">
    <w:r>
      <w:rPr>
        <w:rFonts w:ascii="Palatino Linotype" w:eastAsia="Palatino Linotype" w:hAnsi="Palatino Linotype" w:cs="Palatino Linotype"/>
        <w:b/>
        <w:sz w:val="22"/>
        <w:szCs w:val="22"/>
      </w:rPr>
      <w:pict w14:anchorId="2EBC5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100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4257"/>
    </w:tblGrid>
    <w:tr w:rsidR="00CA2F07" w14:paraId="12F84BEA" w14:textId="77777777">
      <w:trPr>
        <w:trHeight w:val="466"/>
      </w:trPr>
      <w:tc>
        <w:tcPr>
          <w:tcW w:w="3402" w:type="dxa"/>
          <w:vAlign w:val="bottom"/>
        </w:tcPr>
        <w:p w14:paraId="258FEA20" w14:textId="77777777" w:rsidR="00CA2F07" w:rsidRDefault="00CA2F07">
          <w:pPr>
            <w:tabs>
              <w:tab w:val="right" w:pos="8838"/>
            </w:tabs>
            <w:ind w:right="-105"/>
            <w:rPr>
              <w:rFonts w:ascii="Palatino Linotype" w:eastAsia="Palatino Linotype" w:hAnsi="Palatino Linotype" w:cs="Palatino Linotype"/>
              <w:b/>
              <w:sz w:val="22"/>
              <w:szCs w:val="22"/>
            </w:rPr>
          </w:pPr>
        </w:p>
      </w:tc>
      <w:tc>
        <w:tcPr>
          <w:tcW w:w="2405" w:type="dxa"/>
          <w:vAlign w:val="bottom"/>
        </w:tcPr>
        <w:p w14:paraId="1D159B67" w14:textId="77777777" w:rsidR="00CA2F07" w:rsidRDefault="003B50F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bottom"/>
        </w:tcPr>
        <w:p w14:paraId="60F786B9" w14:textId="77777777" w:rsidR="00CA2F07" w:rsidRDefault="003B50FA">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18" w:name="_heading=h.lr1nm9de855b" w:colFirst="0" w:colLast="0"/>
          <w:bookmarkEnd w:id="18"/>
          <w:r>
            <w:rPr>
              <w:rFonts w:ascii="Palatino Linotype" w:eastAsia="Palatino Linotype" w:hAnsi="Palatino Linotype" w:cs="Palatino Linotype"/>
              <w:sz w:val="22"/>
              <w:szCs w:val="22"/>
            </w:rPr>
            <w:t>07961/INFOEM/IP/RR/2025</w:t>
          </w:r>
        </w:p>
      </w:tc>
    </w:tr>
    <w:tr w:rsidR="00CA2F07" w14:paraId="07C73A01" w14:textId="77777777">
      <w:trPr>
        <w:trHeight w:val="119"/>
      </w:trPr>
      <w:tc>
        <w:tcPr>
          <w:tcW w:w="3402" w:type="dxa"/>
        </w:tcPr>
        <w:p w14:paraId="5A850847" w14:textId="77777777" w:rsidR="00CA2F07" w:rsidRDefault="00CA2F07">
          <w:pPr>
            <w:tabs>
              <w:tab w:val="right" w:pos="8838"/>
            </w:tabs>
            <w:ind w:right="-105"/>
            <w:rPr>
              <w:rFonts w:ascii="Palatino Linotype" w:eastAsia="Palatino Linotype" w:hAnsi="Palatino Linotype" w:cs="Palatino Linotype"/>
              <w:b/>
              <w:sz w:val="22"/>
              <w:szCs w:val="22"/>
            </w:rPr>
          </w:pPr>
        </w:p>
      </w:tc>
      <w:tc>
        <w:tcPr>
          <w:tcW w:w="2405" w:type="dxa"/>
        </w:tcPr>
        <w:p w14:paraId="3C9B7571" w14:textId="77777777" w:rsidR="00CA2F07" w:rsidRDefault="003B50FA">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257" w:type="dxa"/>
        </w:tcPr>
        <w:p w14:paraId="32F54E3D" w14:textId="77777777" w:rsidR="00CA2F07" w:rsidRDefault="00CA2F07">
          <w:pPr>
            <w:tabs>
              <w:tab w:val="right" w:pos="8838"/>
            </w:tabs>
            <w:spacing w:line="276" w:lineRule="auto"/>
            <w:ind w:right="-246"/>
            <w:jc w:val="both"/>
            <w:rPr>
              <w:rFonts w:ascii="Palatino Linotype" w:eastAsia="Palatino Linotype" w:hAnsi="Palatino Linotype" w:cs="Palatino Linotype"/>
              <w:sz w:val="22"/>
              <w:szCs w:val="22"/>
            </w:rPr>
          </w:pPr>
        </w:p>
      </w:tc>
    </w:tr>
    <w:tr w:rsidR="00CA2F07" w14:paraId="30D8011F" w14:textId="77777777">
      <w:trPr>
        <w:trHeight w:val="234"/>
      </w:trPr>
      <w:tc>
        <w:tcPr>
          <w:tcW w:w="3402" w:type="dxa"/>
        </w:tcPr>
        <w:p w14:paraId="0108E28D" w14:textId="77777777" w:rsidR="00CA2F07" w:rsidRDefault="00CA2F07">
          <w:pPr>
            <w:tabs>
              <w:tab w:val="right" w:pos="8838"/>
            </w:tabs>
            <w:ind w:right="-105"/>
            <w:rPr>
              <w:rFonts w:ascii="Palatino Linotype" w:eastAsia="Palatino Linotype" w:hAnsi="Palatino Linotype" w:cs="Palatino Linotype"/>
              <w:b/>
              <w:sz w:val="22"/>
              <w:szCs w:val="22"/>
            </w:rPr>
          </w:pPr>
        </w:p>
      </w:tc>
      <w:tc>
        <w:tcPr>
          <w:tcW w:w="2405" w:type="dxa"/>
        </w:tcPr>
        <w:p w14:paraId="4CE7F8D0" w14:textId="77777777" w:rsidR="00CA2F07" w:rsidRDefault="003B50FA">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tcPr>
        <w:p w14:paraId="7A41293D" w14:textId="77777777" w:rsidR="00CA2F07" w:rsidRDefault="003B50FA">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Municipal de Cultura Física y Deporte de Cocotitlán</w:t>
          </w:r>
        </w:p>
      </w:tc>
    </w:tr>
    <w:tr w:rsidR="00CA2F07" w14:paraId="28C8243D" w14:textId="77777777">
      <w:trPr>
        <w:trHeight w:val="234"/>
      </w:trPr>
      <w:tc>
        <w:tcPr>
          <w:tcW w:w="3402" w:type="dxa"/>
        </w:tcPr>
        <w:p w14:paraId="69AFD4C1" w14:textId="77777777" w:rsidR="00CA2F07" w:rsidRDefault="00CA2F07">
          <w:pPr>
            <w:tabs>
              <w:tab w:val="right" w:pos="8838"/>
            </w:tabs>
            <w:ind w:right="-105"/>
            <w:rPr>
              <w:rFonts w:ascii="Palatino Linotype" w:eastAsia="Palatino Linotype" w:hAnsi="Palatino Linotype" w:cs="Palatino Linotype"/>
              <w:b/>
              <w:sz w:val="22"/>
              <w:szCs w:val="22"/>
            </w:rPr>
          </w:pPr>
        </w:p>
      </w:tc>
      <w:tc>
        <w:tcPr>
          <w:tcW w:w="2405" w:type="dxa"/>
        </w:tcPr>
        <w:p w14:paraId="1981EFCB" w14:textId="77777777" w:rsidR="00CA2F07" w:rsidRDefault="003B50FA">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14:paraId="28D90601" w14:textId="77777777" w:rsidR="00CA2F07" w:rsidRDefault="003B50FA">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12303C4" w14:textId="77777777" w:rsidR="00CA2F07" w:rsidRDefault="00CA2F0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4BF1"/>
    <w:multiLevelType w:val="multilevel"/>
    <w:tmpl w:val="447C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1C2723"/>
    <w:multiLevelType w:val="multilevel"/>
    <w:tmpl w:val="5146635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CA3002"/>
    <w:multiLevelType w:val="multilevel"/>
    <w:tmpl w:val="01FA44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F06689"/>
    <w:multiLevelType w:val="multilevel"/>
    <w:tmpl w:val="AEEE972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3084196">
    <w:abstractNumId w:val="3"/>
  </w:num>
  <w:num w:numId="2" w16cid:durableId="824320769">
    <w:abstractNumId w:val="0"/>
  </w:num>
  <w:num w:numId="3" w16cid:durableId="2092465192">
    <w:abstractNumId w:val="1"/>
  </w:num>
  <w:num w:numId="4" w16cid:durableId="176816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07"/>
    <w:rsid w:val="00286170"/>
    <w:rsid w:val="00286571"/>
    <w:rsid w:val="00385B52"/>
    <w:rsid w:val="003B50FA"/>
    <w:rsid w:val="003F011D"/>
    <w:rsid w:val="008B4A3C"/>
    <w:rsid w:val="00906B16"/>
    <w:rsid w:val="00BD6288"/>
    <w:rsid w:val="00CA2F07"/>
    <w:rsid w:val="00EA5E6B"/>
    <w:rsid w:val="00F24C61"/>
    <w:rsid w:val="00F957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C5C59"/>
  <w15:docId w15:val="{4860B219-5355-408C-8DC6-63FE6818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TtuloCar">
    <w:name w:val="Títul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d0gVehe7yBj8g48kainKYRUKQ==">CgMxLjAyDmgud3p3eXFjZ2VyM2kyMg5oLmp0dGJ0cDZnYTB2cjIOaC4xYjJ2Z253dWI0ankyDmguaW5yN3ZzdDdxcG15Mg5oLjJhYmJ2ODMxN3hjeTINaC5sbDd0aXB0ZmNkYjIOaC54OTMyejhrOWlpbmwyDmguYjE0ZHQwaDUzcWZvMg5oLmtyNmgwd2RvZmZ2NTIOaC5iaTN2bzRoYnl2czUyDmgua3Bnb2l3NTdpdXJuMg5oLnB6N3p1aXJ3M2QwcTIOaC50bmRnZXB5cTBhbGYyDmguYm1meTlyc3BsOGI2Mg5oLjc2dnpnbHlvM2xvcTIOaC5kY2RmNHVjZXhrb3AyDmgubmV1dzUxZXZndnM4Mg5oLnh1M2xkcm8zc3FiMjIOaC5scjFubTlkZTg1NWI4AHIhMVNHcUZ5OEZCUFlNR0g4UUo5MXZ0Mk55M2FjaXp1d0ZT</go:docsCustomData>
</go:gDocsCustomXmlDataStorage>
</file>

<file path=customXml/itemProps1.xml><?xml version="1.0" encoding="utf-8"?>
<ds:datastoreItem xmlns:ds="http://schemas.openxmlformats.org/officeDocument/2006/customXml" ds:itemID="{8AB62B6A-D696-4A94-BA04-E627A106C9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4901</Words>
  <Characters>26956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4</cp:revision>
  <cp:lastPrinted>2025-08-08T05:57:00Z</cp:lastPrinted>
  <dcterms:created xsi:type="dcterms:W3CDTF">2025-08-08T05:57:00Z</dcterms:created>
  <dcterms:modified xsi:type="dcterms:W3CDTF">2025-08-08T05:57:00Z</dcterms:modified>
</cp:coreProperties>
</file>