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3A30" w14:textId="77777777" w:rsidR="0093756C" w:rsidRPr="005534BD" w:rsidRDefault="00752E30">
      <w:pPr>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5534BD">
        <w:rPr>
          <w:rFonts w:ascii="Palatino Linotype" w:eastAsia="Palatino Linotype" w:hAnsi="Palatino Linotype" w:cs="Palatino Linotype"/>
          <w:b/>
        </w:rPr>
        <w:t>catorce de mayo de dos mil veinticinco</w:t>
      </w:r>
      <w:r w:rsidRPr="005534BD">
        <w:rPr>
          <w:rFonts w:ascii="Palatino Linotype" w:eastAsia="Palatino Linotype" w:hAnsi="Palatino Linotype" w:cs="Palatino Linotype"/>
        </w:rPr>
        <w:t xml:space="preserve">. </w:t>
      </w:r>
    </w:p>
    <w:p w14:paraId="2E681D0E" w14:textId="77777777" w:rsidR="0093756C" w:rsidRPr="005534BD" w:rsidRDefault="0093756C">
      <w:pPr>
        <w:spacing w:after="0" w:line="360" w:lineRule="auto"/>
        <w:ind w:right="49"/>
        <w:jc w:val="center"/>
        <w:rPr>
          <w:rFonts w:ascii="Palatino Linotype" w:eastAsia="Palatino Linotype" w:hAnsi="Palatino Linotype" w:cs="Palatino Linotype"/>
        </w:rPr>
      </w:pPr>
    </w:p>
    <w:p w14:paraId="6B2F5EDA" w14:textId="2D3017BF" w:rsidR="0093756C" w:rsidRPr="005534BD" w:rsidRDefault="00752E30">
      <w:pPr>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b/>
        </w:rPr>
        <w:t xml:space="preserve">VISTOS </w:t>
      </w:r>
      <w:r w:rsidRPr="005534BD">
        <w:rPr>
          <w:rFonts w:ascii="Palatino Linotype" w:eastAsia="Palatino Linotype" w:hAnsi="Palatino Linotype" w:cs="Palatino Linotype"/>
        </w:rPr>
        <w:t xml:space="preserve">los expedientes relativos a los recursos de revisión </w:t>
      </w:r>
      <w:r w:rsidRPr="005534BD">
        <w:rPr>
          <w:rFonts w:ascii="Palatino Linotype" w:eastAsia="Palatino Linotype" w:hAnsi="Palatino Linotype" w:cs="Palatino Linotype"/>
          <w:b/>
        </w:rPr>
        <w:t>02524/INFOEM/IP/RR/2025</w:t>
      </w:r>
      <w:r w:rsidRPr="005534BD">
        <w:rPr>
          <w:rFonts w:ascii="Palatino Linotype" w:eastAsia="Palatino Linotype" w:hAnsi="Palatino Linotype" w:cs="Palatino Linotype"/>
        </w:rPr>
        <w:t xml:space="preserve"> </w:t>
      </w:r>
      <w:r w:rsidRPr="005534BD">
        <w:rPr>
          <w:rFonts w:ascii="Palatino Linotype" w:eastAsia="Palatino Linotype" w:hAnsi="Palatino Linotype" w:cs="Palatino Linotype"/>
          <w:b/>
        </w:rPr>
        <w:t xml:space="preserve">y 02525/INFOEM/IP/RR/2025 acumulados, </w:t>
      </w:r>
      <w:r w:rsidRPr="005534BD">
        <w:rPr>
          <w:rFonts w:ascii="Palatino Linotype" w:eastAsia="Palatino Linotype" w:hAnsi="Palatino Linotype" w:cs="Palatino Linotype"/>
        </w:rPr>
        <w:t xml:space="preserve">interpuestos por </w:t>
      </w:r>
      <w:r w:rsidR="00A6551E" w:rsidRPr="00A6551E">
        <w:rPr>
          <w:rFonts w:ascii="Palatino Linotype" w:eastAsia="Palatino Linotype" w:hAnsi="Palatino Linotype" w:cs="Palatino Linotype"/>
          <w:b/>
        </w:rPr>
        <w:t>XXXXXX XXXXXXX XXXXX XXXXXXXX</w:t>
      </w:r>
      <w:r w:rsidRPr="005534BD">
        <w:rPr>
          <w:rFonts w:ascii="Palatino Linotype" w:eastAsia="Palatino Linotype" w:hAnsi="Palatino Linotype" w:cs="Palatino Linotype"/>
        </w:rPr>
        <w:t xml:space="preserve">, en lo sucesivo la parte </w:t>
      </w:r>
      <w:r w:rsidRPr="005534BD">
        <w:rPr>
          <w:rFonts w:ascii="Palatino Linotype" w:eastAsia="Palatino Linotype" w:hAnsi="Palatino Linotype" w:cs="Palatino Linotype"/>
          <w:b/>
        </w:rPr>
        <w:t>Recurrente</w:t>
      </w:r>
      <w:r w:rsidRPr="005534BD">
        <w:rPr>
          <w:rFonts w:ascii="Palatino Linotype" w:eastAsia="Palatino Linotype" w:hAnsi="Palatino Linotype" w:cs="Palatino Linotype"/>
        </w:rPr>
        <w:t xml:space="preserve">, en contra de la respuesta a sus solicitudes de información por parte del </w:t>
      </w:r>
      <w:r w:rsidRPr="005534BD">
        <w:rPr>
          <w:rFonts w:ascii="Palatino Linotype" w:eastAsia="Palatino Linotype" w:hAnsi="Palatino Linotype" w:cs="Palatino Linotype"/>
          <w:b/>
        </w:rPr>
        <w:t>Ayuntamiento de Ozumba</w:t>
      </w:r>
      <w:r w:rsidRPr="005534BD">
        <w:rPr>
          <w:rFonts w:ascii="Palatino Linotype" w:eastAsia="Palatino Linotype" w:hAnsi="Palatino Linotype" w:cs="Palatino Linotype"/>
        </w:rPr>
        <w:t xml:space="preserve">, en lo sucesivo el </w:t>
      </w:r>
      <w:r w:rsidRPr="005534BD">
        <w:rPr>
          <w:rFonts w:ascii="Palatino Linotype" w:eastAsia="Palatino Linotype" w:hAnsi="Palatino Linotype" w:cs="Palatino Linotype"/>
          <w:b/>
        </w:rPr>
        <w:t xml:space="preserve">Sujeto Obligado; </w:t>
      </w:r>
      <w:r w:rsidRPr="005534BD">
        <w:rPr>
          <w:rFonts w:ascii="Palatino Linotype" w:eastAsia="Palatino Linotype" w:hAnsi="Palatino Linotype" w:cs="Palatino Linotype"/>
        </w:rPr>
        <w:t>se procede a dictar la presente resolución, con base en lo siguiente.</w:t>
      </w:r>
    </w:p>
    <w:p w14:paraId="1356B6F3" w14:textId="77777777" w:rsidR="0093756C" w:rsidRPr="005534BD" w:rsidRDefault="0093756C">
      <w:pPr>
        <w:spacing w:after="0" w:line="360" w:lineRule="auto"/>
        <w:ind w:right="49"/>
        <w:jc w:val="both"/>
        <w:rPr>
          <w:rFonts w:ascii="Palatino Linotype" w:eastAsia="Palatino Linotype" w:hAnsi="Palatino Linotype" w:cs="Palatino Linotype"/>
        </w:rPr>
      </w:pPr>
    </w:p>
    <w:p w14:paraId="00B55588" w14:textId="77777777" w:rsidR="0093756C" w:rsidRPr="005534BD" w:rsidRDefault="00752E30">
      <w:pPr>
        <w:spacing w:after="0" w:line="360" w:lineRule="auto"/>
        <w:ind w:right="49"/>
        <w:jc w:val="center"/>
        <w:rPr>
          <w:rFonts w:ascii="Palatino Linotype" w:eastAsia="Palatino Linotype" w:hAnsi="Palatino Linotype" w:cs="Palatino Linotype"/>
          <w:b/>
        </w:rPr>
      </w:pPr>
      <w:r w:rsidRPr="005534BD">
        <w:rPr>
          <w:rFonts w:ascii="Palatino Linotype" w:eastAsia="Palatino Linotype" w:hAnsi="Palatino Linotype" w:cs="Palatino Linotype"/>
          <w:b/>
        </w:rPr>
        <w:t>I.</w:t>
      </w:r>
      <w:r w:rsidRPr="005534BD">
        <w:rPr>
          <w:rFonts w:ascii="Palatino Linotype" w:eastAsia="Palatino Linotype" w:hAnsi="Palatino Linotype" w:cs="Palatino Linotype"/>
          <w:b/>
        </w:rPr>
        <w:tab/>
        <w:t>A N T E C E D E N T E S</w:t>
      </w:r>
    </w:p>
    <w:p w14:paraId="479F004C" w14:textId="77777777" w:rsidR="0093756C" w:rsidRPr="005534BD" w:rsidRDefault="0093756C">
      <w:pPr>
        <w:spacing w:after="0" w:line="360" w:lineRule="auto"/>
        <w:ind w:right="49"/>
        <w:jc w:val="both"/>
        <w:rPr>
          <w:rFonts w:ascii="Palatino Linotype" w:eastAsia="Palatino Linotype" w:hAnsi="Palatino Linotype" w:cs="Palatino Linotype"/>
        </w:rPr>
      </w:pPr>
    </w:p>
    <w:p w14:paraId="39DB3ECD"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t>1.</w:t>
      </w:r>
      <w:r w:rsidRPr="005534BD">
        <w:rPr>
          <w:rFonts w:ascii="Palatino Linotype" w:eastAsia="Palatino Linotype" w:hAnsi="Palatino Linotype" w:cs="Palatino Linotype"/>
        </w:rPr>
        <w:t xml:space="preserve"> </w:t>
      </w:r>
      <w:r w:rsidRPr="005534BD">
        <w:rPr>
          <w:rFonts w:ascii="Palatino Linotype" w:eastAsia="Palatino Linotype" w:hAnsi="Palatino Linotype" w:cs="Palatino Linotype"/>
          <w:b/>
        </w:rPr>
        <w:t xml:space="preserve">Solicitudes de Acceso a la Información. </w:t>
      </w:r>
      <w:r w:rsidRPr="005534BD">
        <w:rPr>
          <w:rFonts w:ascii="Palatino Linotype" w:eastAsia="Palatino Linotype" w:hAnsi="Palatino Linotype" w:cs="Palatino Linotype"/>
        </w:rPr>
        <w:t xml:space="preserve">El </w:t>
      </w:r>
      <w:r w:rsidRPr="005534BD">
        <w:rPr>
          <w:rFonts w:ascii="Palatino Linotype" w:eastAsia="Palatino Linotype" w:hAnsi="Palatino Linotype" w:cs="Palatino Linotype"/>
          <w:b/>
        </w:rPr>
        <w:t>veintitrés de enero de dos mil veinticinco</w:t>
      </w:r>
      <w:r w:rsidRPr="005534BD">
        <w:rPr>
          <w:rFonts w:ascii="Palatino Linotype" w:eastAsia="Palatino Linotype" w:hAnsi="Palatino Linotype" w:cs="Palatino Linotype"/>
        </w:rPr>
        <w:t xml:space="preserve">, </w:t>
      </w:r>
      <w:r w:rsidRPr="005534BD">
        <w:rPr>
          <w:rFonts w:ascii="Palatino Linotype" w:eastAsia="Palatino Linotype" w:hAnsi="Palatino Linotype" w:cs="Palatino Linotype"/>
          <w:b/>
        </w:rPr>
        <w:t>la parte</w:t>
      </w:r>
      <w:r w:rsidRPr="005534BD">
        <w:rPr>
          <w:rFonts w:ascii="Palatino Linotype" w:eastAsia="Palatino Linotype" w:hAnsi="Palatino Linotype" w:cs="Palatino Linotype"/>
        </w:rPr>
        <w:t xml:space="preserve"> </w:t>
      </w:r>
      <w:r w:rsidRPr="005534BD">
        <w:rPr>
          <w:rFonts w:ascii="Palatino Linotype" w:eastAsia="Palatino Linotype" w:hAnsi="Palatino Linotype" w:cs="Palatino Linotype"/>
          <w:b/>
        </w:rPr>
        <w:t>Recurrente</w:t>
      </w:r>
      <w:r w:rsidRPr="005534BD">
        <w:rPr>
          <w:rFonts w:ascii="Palatino Linotype" w:eastAsia="Palatino Linotype" w:hAnsi="Palatino Linotype" w:cs="Palatino Linotype"/>
        </w:rPr>
        <w:t xml:space="preserve"> formuló solicitudes de acceso a información pública a través del </w:t>
      </w:r>
      <w:r w:rsidRPr="005534BD">
        <w:rPr>
          <w:rFonts w:ascii="Palatino Linotype" w:eastAsia="Palatino Linotype" w:hAnsi="Palatino Linotype" w:cs="Palatino Linotype"/>
          <w:b/>
        </w:rPr>
        <w:t>SAIMEX;</w:t>
      </w:r>
      <w:r w:rsidRPr="005534BD">
        <w:rPr>
          <w:rFonts w:ascii="Palatino Linotype" w:eastAsia="Palatino Linotype" w:hAnsi="Palatino Linotype" w:cs="Palatino Linotype"/>
        </w:rPr>
        <w:t xml:space="preserve"> en las que se requirió lo siguiente:</w:t>
      </w:r>
    </w:p>
    <w:p w14:paraId="2B04FF96" w14:textId="77777777" w:rsidR="0093756C" w:rsidRPr="005534BD" w:rsidRDefault="0093756C">
      <w:pPr>
        <w:spacing w:after="0" w:line="360" w:lineRule="auto"/>
        <w:jc w:val="both"/>
        <w:rPr>
          <w:rFonts w:ascii="Palatino Linotype" w:eastAsia="Palatino Linotype" w:hAnsi="Palatino Linotype" w:cs="Palatino Linotype"/>
        </w:rPr>
      </w:pPr>
    </w:p>
    <w:tbl>
      <w:tblPr>
        <w:tblStyle w:val="aff3"/>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6233"/>
      </w:tblGrid>
      <w:tr w:rsidR="003E420A" w:rsidRPr="005534BD" w14:paraId="31D5D253" w14:textId="77777777">
        <w:tc>
          <w:tcPr>
            <w:tcW w:w="2693" w:type="dxa"/>
            <w:shd w:val="clear" w:color="auto" w:fill="D9D9D9"/>
          </w:tcPr>
          <w:p w14:paraId="79CDF169" w14:textId="77777777" w:rsidR="0093756C" w:rsidRPr="005534BD" w:rsidRDefault="00752E30">
            <w:pPr>
              <w:jc w:val="both"/>
              <w:rPr>
                <w:rFonts w:ascii="Palatino Linotype" w:eastAsia="Palatino Linotype" w:hAnsi="Palatino Linotype" w:cs="Palatino Linotype"/>
                <w:b/>
                <w:i/>
                <w:sz w:val="20"/>
                <w:szCs w:val="20"/>
              </w:rPr>
            </w:pPr>
            <w:bookmarkStart w:id="0" w:name="_heading=h.1fob9te" w:colFirst="0" w:colLast="0"/>
            <w:bookmarkEnd w:id="0"/>
            <w:r w:rsidRPr="005534BD">
              <w:rPr>
                <w:rFonts w:ascii="Palatino Linotype" w:eastAsia="Palatino Linotype" w:hAnsi="Palatino Linotype" w:cs="Palatino Linotype"/>
                <w:b/>
                <w:i/>
                <w:sz w:val="20"/>
                <w:szCs w:val="20"/>
              </w:rPr>
              <w:t>Número de solicitud</w:t>
            </w:r>
          </w:p>
        </w:tc>
        <w:tc>
          <w:tcPr>
            <w:tcW w:w="6233" w:type="dxa"/>
            <w:shd w:val="clear" w:color="auto" w:fill="D9D9D9"/>
          </w:tcPr>
          <w:p w14:paraId="6CB333C4" w14:textId="77777777" w:rsidR="0093756C" w:rsidRPr="005534BD" w:rsidRDefault="00752E30">
            <w:pPr>
              <w:jc w:val="center"/>
              <w:rPr>
                <w:rFonts w:ascii="Palatino Linotype" w:eastAsia="Palatino Linotype" w:hAnsi="Palatino Linotype" w:cs="Palatino Linotype"/>
                <w:b/>
                <w:i/>
                <w:sz w:val="20"/>
                <w:szCs w:val="20"/>
              </w:rPr>
            </w:pPr>
            <w:r w:rsidRPr="005534BD">
              <w:rPr>
                <w:rFonts w:ascii="Palatino Linotype" w:eastAsia="Palatino Linotype" w:hAnsi="Palatino Linotype" w:cs="Palatino Linotype"/>
                <w:b/>
                <w:i/>
                <w:sz w:val="20"/>
                <w:szCs w:val="20"/>
              </w:rPr>
              <w:t>Información requerida.</w:t>
            </w:r>
          </w:p>
        </w:tc>
      </w:tr>
      <w:tr w:rsidR="003E420A" w:rsidRPr="005534BD" w14:paraId="2D766F55" w14:textId="77777777">
        <w:trPr>
          <w:trHeight w:val="915"/>
        </w:trPr>
        <w:tc>
          <w:tcPr>
            <w:tcW w:w="2693" w:type="dxa"/>
          </w:tcPr>
          <w:p w14:paraId="72F2982F" w14:textId="77777777" w:rsidR="0093756C" w:rsidRPr="005534BD" w:rsidRDefault="00752E30">
            <w:pPr>
              <w:jc w:val="both"/>
              <w:rPr>
                <w:rFonts w:ascii="Palatino Linotype" w:eastAsia="Palatino Linotype" w:hAnsi="Palatino Linotype" w:cs="Palatino Linotype"/>
                <w:b/>
                <w:i/>
                <w:sz w:val="20"/>
                <w:szCs w:val="20"/>
              </w:rPr>
            </w:pPr>
            <w:bookmarkStart w:id="1" w:name="_heading=h.3znysh7" w:colFirst="0" w:colLast="0"/>
            <w:bookmarkEnd w:id="1"/>
            <w:r w:rsidRPr="005534BD">
              <w:rPr>
                <w:rFonts w:ascii="Palatino Linotype" w:eastAsia="Palatino Linotype" w:hAnsi="Palatino Linotype" w:cs="Palatino Linotype"/>
                <w:b/>
                <w:i/>
                <w:sz w:val="20"/>
                <w:szCs w:val="20"/>
              </w:rPr>
              <w:t>00029/OZUMBA/IP/2025</w:t>
            </w:r>
          </w:p>
        </w:tc>
        <w:tc>
          <w:tcPr>
            <w:tcW w:w="6233" w:type="dxa"/>
          </w:tcPr>
          <w:p w14:paraId="5FC541B4" w14:textId="77777777" w:rsidR="0093756C" w:rsidRPr="005534BD" w:rsidRDefault="00752E30">
            <w:pPr>
              <w:jc w:val="both"/>
              <w:rPr>
                <w:rFonts w:ascii="Palatino Linotype" w:eastAsia="Palatino Linotype" w:hAnsi="Palatino Linotype" w:cs="Palatino Linotype"/>
                <w:i/>
                <w:sz w:val="20"/>
                <w:szCs w:val="20"/>
              </w:rPr>
            </w:pPr>
            <w:r w:rsidRPr="005534BD">
              <w:rPr>
                <w:rFonts w:ascii="Palatino Linotype" w:eastAsia="Palatino Linotype" w:hAnsi="Palatino Linotype" w:cs="Palatino Linotype"/>
                <w:i/>
                <w:sz w:val="20"/>
                <w:szCs w:val="20"/>
              </w:rPr>
              <w:t xml:space="preserve">“Solicito amablemente los recibos de </w:t>
            </w:r>
            <w:proofErr w:type="spellStart"/>
            <w:r w:rsidRPr="005534BD">
              <w:rPr>
                <w:rFonts w:ascii="Palatino Linotype" w:eastAsia="Palatino Linotype" w:hAnsi="Palatino Linotype" w:cs="Palatino Linotype"/>
                <w:i/>
                <w:sz w:val="20"/>
                <w:szCs w:val="20"/>
              </w:rPr>
              <w:t>nomina</w:t>
            </w:r>
            <w:proofErr w:type="spellEnd"/>
            <w:r w:rsidRPr="005534BD">
              <w:rPr>
                <w:rFonts w:ascii="Palatino Linotype" w:eastAsia="Palatino Linotype" w:hAnsi="Palatino Linotype" w:cs="Palatino Linotype"/>
                <w:i/>
                <w:sz w:val="20"/>
                <w:szCs w:val="20"/>
              </w:rPr>
              <w:t xml:space="preserve"> de todos los trabajadores de la primera quincena , segunda quincena, prima vacacional, </w:t>
            </w:r>
            <w:proofErr w:type="spellStart"/>
            <w:r w:rsidRPr="005534BD">
              <w:rPr>
                <w:rFonts w:ascii="Palatino Linotype" w:eastAsia="Palatino Linotype" w:hAnsi="Palatino Linotype" w:cs="Palatino Linotype"/>
                <w:i/>
                <w:sz w:val="20"/>
                <w:szCs w:val="20"/>
              </w:rPr>
              <w:t>agunaldo</w:t>
            </w:r>
            <w:proofErr w:type="spellEnd"/>
            <w:r w:rsidRPr="005534BD">
              <w:rPr>
                <w:rFonts w:ascii="Palatino Linotype" w:eastAsia="Palatino Linotype" w:hAnsi="Palatino Linotype" w:cs="Palatino Linotype"/>
                <w:i/>
                <w:sz w:val="20"/>
                <w:szCs w:val="20"/>
              </w:rPr>
              <w:t xml:space="preserve"> y finiquitos del año 2024” (sic)</w:t>
            </w:r>
          </w:p>
        </w:tc>
      </w:tr>
      <w:tr w:rsidR="0093756C" w:rsidRPr="005534BD" w14:paraId="5E38C251" w14:textId="77777777">
        <w:tc>
          <w:tcPr>
            <w:tcW w:w="2693" w:type="dxa"/>
          </w:tcPr>
          <w:p w14:paraId="3399DAA9" w14:textId="77777777" w:rsidR="0093756C" w:rsidRPr="005534BD" w:rsidRDefault="00752E30">
            <w:pPr>
              <w:jc w:val="both"/>
              <w:rPr>
                <w:rFonts w:ascii="Palatino Linotype" w:eastAsia="Palatino Linotype" w:hAnsi="Palatino Linotype" w:cs="Palatino Linotype"/>
                <w:b/>
                <w:i/>
                <w:sz w:val="20"/>
                <w:szCs w:val="20"/>
              </w:rPr>
            </w:pPr>
            <w:r w:rsidRPr="005534BD">
              <w:rPr>
                <w:rFonts w:ascii="Palatino Linotype" w:eastAsia="Palatino Linotype" w:hAnsi="Palatino Linotype" w:cs="Palatino Linotype"/>
                <w:b/>
                <w:i/>
                <w:sz w:val="20"/>
                <w:szCs w:val="20"/>
              </w:rPr>
              <w:t>00030/OZUMBA/IP/2025</w:t>
            </w:r>
          </w:p>
        </w:tc>
        <w:tc>
          <w:tcPr>
            <w:tcW w:w="6233" w:type="dxa"/>
          </w:tcPr>
          <w:p w14:paraId="30664383" w14:textId="77777777" w:rsidR="0093756C" w:rsidRPr="005534BD" w:rsidRDefault="00752E30">
            <w:pPr>
              <w:jc w:val="both"/>
              <w:rPr>
                <w:rFonts w:ascii="Palatino Linotype" w:eastAsia="Palatino Linotype" w:hAnsi="Palatino Linotype" w:cs="Palatino Linotype"/>
                <w:i/>
                <w:sz w:val="20"/>
                <w:szCs w:val="20"/>
              </w:rPr>
            </w:pPr>
            <w:r w:rsidRPr="005534BD">
              <w:rPr>
                <w:rFonts w:ascii="Palatino Linotype" w:eastAsia="Palatino Linotype" w:hAnsi="Palatino Linotype" w:cs="Palatino Linotype"/>
                <w:i/>
                <w:sz w:val="20"/>
                <w:szCs w:val="20"/>
              </w:rPr>
              <w:t xml:space="preserve">“Solicito amablemente los recibos de </w:t>
            </w:r>
            <w:proofErr w:type="spellStart"/>
            <w:r w:rsidRPr="005534BD">
              <w:rPr>
                <w:rFonts w:ascii="Palatino Linotype" w:eastAsia="Palatino Linotype" w:hAnsi="Palatino Linotype" w:cs="Palatino Linotype"/>
                <w:i/>
                <w:sz w:val="20"/>
                <w:szCs w:val="20"/>
              </w:rPr>
              <w:t>nomina</w:t>
            </w:r>
            <w:proofErr w:type="spellEnd"/>
            <w:r w:rsidRPr="005534BD">
              <w:rPr>
                <w:rFonts w:ascii="Palatino Linotype" w:eastAsia="Palatino Linotype" w:hAnsi="Palatino Linotype" w:cs="Palatino Linotype"/>
                <w:i/>
                <w:sz w:val="20"/>
                <w:szCs w:val="20"/>
              </w:rPr>
              <w:t xml:space="preserve"> de todos los trabajadores de la primera quincena de enero del 2025”</w:t>
            </w:r>
            <w:r w:rsidRPr="005534BD">
              <w:rPr>
                <w:sz w:val="20"/>
                <w:szCs w:val="20"/>
              </w:rPr>
              <w:t xml:space="preserve"> </w:t>
            </w:r>
            <w:r w:rsidRPr="005534BD">
              <w:rPr>
                <w:rFonts w:ascii="Palatino Linotype" w:eastAsia="Palatino Linotype" w:hAnsi="Palatino Linotype" w:cs="Palatino Linotype"/>
                <w:i/>
                <w:sz w:val="20"/>
                <w:szCs w:val="20"/>
              </w:rPr>
              <w:t>(sic)</w:t>
            </w:r>
          </w:p>
        </w:tc>
      </w:tr>
    </w:tbl>
    <w:p w14:paraId="42839370" w14:textId="77777777" w:rsidR="0093756C" w:rsidRPr="005534BD" w:rsidRDefault="0093756C">
      <w:pPr>
        <w:spacing w:after="0" w:line="360" w:lineRule="auto"/>
        <w:ind w:right="49"/>
        <w:jc w:val="both"/>
        <w:rPr>
          <w:rFonts w:ascii="Palatino Linotype" w:eastAsia="Palatino Linotype" w:hAnsi="Palatino Linotype" w:cs="Palatino Linotype"/>
          <w:b/>
        </w:rPr>
      </w:pPr>
    </w:p>
    <w:p w14:paraId="4CBC0CBF" w14:textId="77777777" w:rsidR="0093756C" w:rsidRPr="005534BD" w:rsidRDefault="00752E30">
      <w:pPr>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b/>
        </w:rPr>
        <w:t>Modalidad elegida para la entrega de la información:</w:t>
      </w:r>
      <w:r w:rsidRPr="005534BD">
        <w:rPr>
          <w:rFonts w:ascii="Palatino Linotype" w:eastAsia="Palatino Linotype" w:hAnsi="Palatino Linotype" w:cs="Palatino Linotype"/>
        </w:rPr>
        <w:t xml:space="preserve"> a través del Sistema de Acceso a la Información Mexiquense (SAIMEX). </w:t>
      </w:r>
    </w:p>
    <w:p w14:paraId="6541EC27" w14:textId="77777777" w:rsidR="0093756C" w:rsidRPr="005534BD" w:rsidRDefault="0093756C">
      <w:pPr>
        <w:spacing w:after="0" w:line="360" w:lineRule="auto"/>
        <w:jc w:val="both"/>
        <w:rPr>
          <w:rFonts w:ascii="Palatino Linotype" w:eastAsia="Palatino Linotype" w:hAnsi="Palatino Linotype" w:cs="Palatino Linotype"/>
          <w:b/>
        </w:rPr>
      </w:pPr>
    </w:p>
    <w:p w14:paraId="2D0D7C2B"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t xml:space="preserve">2. Respuestas. </w:t>
      </w:r>
      <w:r w:rsidRPr="005534BD">
        <w:rPr>
          <w:rFonts w:ascii="Palatino Linotype" w:eastAsia="Palatino Linotype" w:hAnsi="Palatino Linotype" w:cs="Palatino Linotype"/>
        </w:rPr>
        <w:t xml:space="preserve">En fecha </w:t>
      </w:r>
      <w:r w:rsidRPr="005534BD">
        <w:rPr>
          <w:rFonts w:ascii="Palatino Linotype" w:eastAsia="Palatino Linotype" w:hAnsi="Palatino Linotype" w:cs="Palatino Linotype"/>
          <w:b/>
        </w:rPr>
        <w:t>quince de febrero de dos mil veinticinco</w:t>
      </w:r>
      <w:r w:rsidRPr="005534BD">
        <w:rPr>
          <w:rFonts w:ascii="Palatino Linotype" w:eastAsia="Palatino Linotype" w:hAnsi="Palatino Linotype" w:cs="Palatino Linotype"/>
        </w:rPr>
        <w:t xml:space="preserve">, el </w:t>
      </w:r>
      <w:r w:rsidRPr="005534BD">
        <w:rPr>
          <w:rFonts w:ascii="Palatino Linotype" w:eastAsia="Palatino Linotype" w:hAnsi="Palatino Linotype" w:cs="Palatino Linotype"/>
          <w:b/>
        </w:rPr>
        <w:t xml:space="preserve">Sujeto Obligado </w:t>
      </w:r>
      <w:r w:rsidRPr="005534BD">
        <w:rPr>
          <w:rFonts w:ascii="Palatino Linotype" w:eastAsia="Palatino Linotype" w:hAnsi="Palatino Linotype" w:cs="Palatino Linotype"/>
        </w:rPr>
        <w:t xml:space="preserve">notificó a la parte </w:t>
      </w:r>
      <w:r w:rsidRPr="005534BD">
        <w:rPr>
          <w:rFonts w:ascii="Palatino Linotype" w:eastAsia="Palatino Linotype" w:hAnsi="Palatino Linotype" w:cs="Palatino Linotype"/>
          <w:b/>
        </w:rPr>
        <w:t>Recurrente</w:t>
      </w:r>
      <w:r w:rsidRPr="005534BD">
        <w:rPr>
          <w:rFonts w:ascii="Palatino Linotype" w:eastAsia="Palatino Linotype" w:hAnsi="Palatino Linotype" w:cs="Palatino Linotype"/>
        </w:rPr>
        <w:t>, en ambos expedientes, las respuestas a sus solicitudes de información, en los términos siguientes:</w:t>
      </w:r>
    </w:p>
    <w:p w14:paraId="79615BF4" w14:textId="77777777" w:rsidR="0093756C" w:rsidRPr="005534BD" w:rsidRDefault="0093756C">
      <w:pPr>
        <w:widowControl w:val="0"/>
        <w:spacing w:after="0" w:line="360" w:lineRule="auto"/>
        <w:jc w:val="both"/>
        <w:rPr>
          <w:rFonts w:ascii="Palatino Linotype" w:eastAsia="Palatino Linotype" w:hAnsi="Palatino Linotype" w:cs="Palatino Linotype"/>
        </w:rPr>
      </w:pPr>
    </w:p>
    <w:tbl>
      <w:tblPr>
        <w:tblStyle w:val="aff4"/>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3E420A" w:rsidRPr="005534BD" w14:paraId="2592ACD0" w14:textId="77777777">
        <w:tc>
          <w:tcPr>
            <w:tcW w:w="3256" w:type="dxa"/>
            <w:shd w:val="clear" w:color="auto" w:fill="D9D9D9"/>
          </w:tcPr>
          <w:p w14:paraId="271193C8" w14:textId="77777777" w:rsidR="0093756C" w:rsidRPr="005534BD" w:rsidRDefault="00752E30">
            <w:pPr>
              <w:jc w:val="center"/>
              <w:rPr>
                <w:rFonts w:ascii="Palatino Linotype" w:eastAsia="Palatino Linotype" w:hAnsi="Palatino Linotype" w:cs="Palatino Linotype"/>
                <w:b/>
                <w:i/>
                <w:sz w:val="20"/>
                <w:szCs w:val="20"/>
              </w:rPr>
            </w:pPr>
            <w:r w:rsidRPr="005534BD">
              <w:rPr>
                <w:rFonts w:ascii="Palatino Linotype" w:eastAsia="Palatino Linotype" w:hAnsi="Palatino Linotype" w:cs="Palatino Linotype"/>
                <w:b/>
                <w:i/>
                <w:sz w:val="20"/>
                <w:szCs w:val="20"/>
              </w:rPr>
              <w:t>Número de recurso de revisión</w:t>
            </w:r>
          </w:p>
        </w:tc>
        <w:tc>
          <w:tcPr>
            <w:tcW w:w="5670" w:type="dxa"/>
            <w:shd w:val="clear" w:color="auto" w:fill="D9D9D9"/>
          </w:tcPr>
          <w:p w14:paraId="685F281C" w14:textId="77777777" w:rsidR="0093756C" w:rsidRPr="005534BD" w:rsidRDefault="00752E30">
            <w:pPr>
              <w:rPr>
                <w:rFonts w:ascii="Palatino Linotype" w:eastAsia="Palatino Linotype" w:hAnsi="Palatino Linotype" w:cs="Palatino Linotype"/>
                <w:b/>
                <w:i/>
                <w:sz w:val="20"/>
                <w:szCs w:val="20"/>
              </w:rPr>
            </w:pPr>
            <w:r w:rsidRPr="005534BD">
              <w:rPr>
                <w:rFonts w:ascii="Palatino Linotype" w:eastAsia="Palatino Linotype" w:hAnsi="Palatino Linotype" w:cs="Palatino Linotype"/>
                <w:b/>
                <w:i/>
                <w:sz w:val="20"/>
                <w:szCs w:val="20"/>
              </w:rPr>
              <w:t>Respuestas</w:t>
            </w:r>
          </w:p>
        </w:tc>
      </w:tr>
      <w:tr w:rsidR="003E420A" w:rsidRPr="005534BD" w14:paraId="14DD21CD" w14:textId="77777777">
        <w:trPr>
          <w:trHeight w:val="1349"/>
        </w:trPr>
        <w:tc>
          <w:tcPr>
            <w:tcW w:w="3256" w:type="dxa"/>
          </w:tcPr>
          <w:p w14:paraId="06FC7DF5" w14:textId="77777777" w:rsidR="0093756C" w:rsidRPr="005534BD" w:rsidRDefault="00752E30">
            <w:pPr>
              <w:jc w:val="center"/>
              <w:rPr>
                <w:rFonts w:ascii="Palatino Linotype" w:eastAsia="Palatino Linotype" w:hAnsi="Palatino Linotype" w:cs="Palatino Linotype"/>
                <w:b/>
                <w:sz w:val="20"/>
                <w:szCs w:val="20"/>
              </w:rPr>
            </w:pPr>
            <w:r w:rsidRPr="005534BD">
              <w:rPr>
                <w:rFonts w:ascii="Palatino Linotype" w:eastAsia="Palatino Linotype" w:hAnsi="Palatino Linotype" w:cs="Palatino Linotype"/>
                <w:b/>
                <w:sz w:val="20"/>
                <w:szCs w:val="20"/>
              </w:rPr>
              <w:t>02524/INFOEM/IP/RR/2025</w:t>
            </w:r>
          </w:p>
          <w:p w14:paraId="1F78E40B" w14:textId="77777777" w:rsidR="0093756C" w:rsidRPr="005534BD" w:rsidRDefault="0093756C">
            <w:pPr>
              <w:jc w:val="center"/>
              <w:rPr>
                <w:rFonts w:ascii="Palatino Linotype" w:eastAsia="Palatino Linotype" w:hAnsi="Palatino Linotype" w:cs="Palatino Linotype"/>
                <w:b/>
                <w:sz w:val="20"/>
                <w:szCs w:val="20"/>
              </w:rPr>
            </w:pPr>
          </w:p>
        </w:tc>
        <w:tc>
          <w:tcPr>
            <w:tcW w:w="5670" w:type="dxa"/>
          </w:tcPr>
          <w:p w14:paraId="7BD12AC5" w14:textId="77777777" w:rsidR="0093756C" w:rsidRPr="005534BD" w:rsidRDefault="00752E30">
            <w:pPr>
              <w:jc w:val="both"/>
              <w:rPr>
                <w:rFonts w:ascii="Palatino Linotype" w:eastAsia="Palatino Linotype" w:hAnsi="Palatino Linotype" w:cs="Palatino Linotype"/>
                <w:sz w:val="20"/>
                <w:szCs w:val="20"/>
              </w:rPr>
            </w:pPr>
            <w:r w:rsidRPr="005534BD">
              <w:rPr>
                <w:rFonts w:ascii="Palatino Linotype" w:eastAsia="Palatino Linotype" w:hAnsi="Palatino Linotype" w:cs="Palatino Linotype"/>
                <w:sz w:val="20"/>
                <w:szCs w:val="20"/>
              </w:rPr>
              <w:t>“</w:t>
            </w:r>
            <w:r w:rsidRPr="005534BD">
              <w:rPr>
                <w:rFonts w:ascii="Palatino Linotype" w:eastAsia="Palatino Linotype" w:hAnsi="Palatino Linotype" w:cs="Palatino Linotype"/>
                <w:i/>
                <w:sz w:val="20"/>
                <w:szCs w:val="20"/>
              </w:rPr>
              <w:t xml:space="preserve">Estimado solicitante, reciba con el presente un cordial saludo, al mismo tiempo remito a Usted respuesta a su SI, por parte del SPH designando para atenderla, el cual refiere lo siguiente: “REMITO RESPUESTA EN EL ARCHIVO PDF, denominado: TMOZU2002025" SIC. Sin </w:t>
            </w:r>
            <w:proofErr w:type="spellStart"/>
            <w:r w:rsidRPr="005534BD">
              <w:rPr>
                <w:rFonts w:ascii="Palatino Linotype" w:eastAsia="Palatino Linotype" w:hAnsi="Palatino Linotype" w:cs="Palatino Linotype"/>
                <w:i/>
                <w:sz w:val="20"/>
                <w:szCs w:val="20"/>
              </w:rPr>
              <w:t>mas</w:t>
            </w:r>
            <w:proofErr w:type="spellEnd"/>
            <w:r w:rsidRPr="005534BD">
              <w:rPr>
                <w:rFonts w:ascii="Palatino Linotype" w:eastAsia="Palatino Linotype" w:hAnsi="Palatino Linotype" w:cs="Palatino Linotype"/>
                <w:i/>
                <w:sz w:val="20"/>
                <w:szCs w:val="20"/>
              </w:rPr>
              <w:t xml:space="preserve"> por el momento de despido de usted</w:t>
            </w:r>
            <w:r w:rsidRPr="005534BD">
              <w:rPr>
                <w:rFonts w:ascii="Palatino Linotype" w:eastAsia="Palatino Linotype" w:hAnsi="Palatino Linotype" w:cs="Palatino Linotype"/>
                <w:sz w:val="20"/>
                <w:szCs w:val="20"/>
              </w:rPr>
              <w:t>” (Sic)</w:t>
            </w:r>
          </w:p>
          <w:p w14:paraId="2262D149" w14:textId="77777777" w:rsidR="0093756C" w:rsidRPr="005534BD" w:rsidRDefault="0093756C">
            <w:pPr>
              <w:jc w:val="both"/>
              <w:rPr>
                <w:rFonts w:ascii="Palatino Linotype" w:eastAsia="Palatino Linotype" w:hAnsi="Palatino Linotype" w:cs="Palatino Linotype"/>
                <w:sz w:val="20"/>
                <w:szCs w:val="20"/>
              </w:rPr>
            </w:pPr>
          </w:p>
          <w:p w14:paraId="4403B1F7" w14:textId="77777777" w:rsidR="0093756C" w:rsidRPr="005534BD" w:rsidRDefault="00752E30">
            <w:pPr>
              <w:jc w:val="both"/>
              <w:rPr>
                <w:rFonts w:ascii="Palatino Linotype" w:eastAsia="Palatino Linotype" w:hAnsi="Palatino Linotype" w:cs="Palatino Linotype"/>
                <w:sz w:val="20"/>
                <w:szCs w:val="20"/>
              </w:rPr>
            </w:pPr>
            <w:r w:rsidRPr="005534BD">
              <w:rPr>
                <w:rFonts w:ascii="Palatino Linotype" w:eastAsia="Palatino Linotype" w:hAnsi="Palatino Linotype" w:cs="Palatino Linotype"/>
                <w:sz w:val="20"/>
                <w:szCs w:val="20"/>
              </w:rPr>
              <w:t xml:space="preserve">El </w:t>
            </w:r>
            <w:r w:rsidRPr="005534BD">
              <w:rPr>
                <w:rFonts w:ascii="Palatino Linotype" w:eastAsia="Palatino Linotype" w:hAnsi="Palatino Linotype" w:cs="Palatino Linotype"/>
                <w:b/>
                <w:sz w:val="20"/>
                <w:szCs w:val="20"/>
              </w:rPr>
              <w:t xml:space="preserve">Sujeto Obligado </w:t>
            </w:r>
            <w:r w:rsidRPr="005534BD">
              <w:rPr>
                <w:rFonts w:ascii="Palatino Linotype" w:eastAsia="Palatino Linotype" w:hAnsi="Palatino Linotype" w:cs="Palatino Linotype"/>
                <w:sz w:val="20"/>
                <w:szCs w:val="20"/>
              </w:rPr>
              <w:t>hizo entrega de un oficio del trece de febrero del dos mil veinticinco, a través del cual el Tesorero Municipal indicó a la Titular de la Unidad de Transparencia que debe especificar los periodos de los que se requiere la información.</w:t>
            </w:r>
          </w:p>
          <w:p w14:paraId="5CCF1F67" w14:textId="77777777" w:rsidR="0093756C" w:rsidRPr="005534BD" w:rsidRDefault="0093756C">
            <w:pPr>
              <w:jc w:val="both"/>
              <w:rPr>
                <w:rFonts w:ascii="Palatino Linotype" w:eastAsia="Palatino Linotype" w:hAnsi="Palatino Linotype" w:cs="Palatino Linotype"/>
                <w:sz w:val="20"/>
                <w:szCs w:val="20"/>
              </w:rPr>
            </w:pPr>
          </w:p>
          <w:p w14:paraId="10F4A7FC" w14:textId="77777777" w:rsidR="0093756C" w:rsidRPr="005534BD" w:rsidRDefault="0093756C">
            <w:pPr>
              <w:jc w:val="both"/>
              <w:rPr>
                <w:rFonts w:ascii="Palatino Linotype" w:eastAsia="Palatino Linotype" w:hAnsi="Palatino Linotype" w:cs="Palatino Linotype"/>
                <w:sz w:val="20"/>
                <w:szCs w:val="20"/>
              </w:rPr>
            </w:pPr>
          </w:p>
        </w:tc>
      </w:tr>
      <w:tr w:rsidR="0093756C" w:rsidRPr="005534BD" w14:paraId="2360F6CE" w14:textId="77777777">
        <w:tc>
          <w:tcPr>
            <w:tcW w:w="3256" w:type="dxa"/>
          </w:tcPr>
          <w:p w14:paraId="0266723E" w14:textId="77777777" w:rsidR="0093756C" w:rsidRPr="005534BD" w:rsidRDefault="00752E30">
            <w:pPr>
              <w:jc w:val="center"/>
              <w:rPr>
                <w:rFonts w:ascii="Palatino Linotype" w:eastAsia="Palatino Linotype" w:hAnsi="Palatino Linotype" w:cs="Palatino Linotype"/>
                <w:b/>
                <w:sz w:val="20"/>
                <w:szCs w:val="20"/>
              </w:rPr>
            </w:pPr>
            <w:r w:rsidRPr="005534BD">
              <w:rPr>
                <w:rFonts w:ascii="Palatino Linotype" w:eastAsia="Palatino Linotype" w:hAnsi="Palatino Linotype" w:cs="Palatino Linotype"/>
                <w:b/>
                <w:sz w:val="20"/>
                <w:szCs w:val="20"/>
              </w:rPr>
              <w:t>02525/INFOEM/IP/RR/2025</w:t>
            </w:r>
          </w:p>
        </w:tc>
        <w:tc>
          <w:tcPr>
            <w:tcW w:w="5670" w:type="dxa"/>
          </w:tcPr>
          <w:p w14:paraId="2F3973EA" w14:textId="77777777" w:rsidR="0093756C" w:rsidRPr="005534BD" w:rsidRDefault="00752E30">
            <w:pPr>
              <w:jc w:val="both"/>
              <w:rPr>
                <w:rFonts w:ascii="Palatino Linotype" w:eastAsia="Palatino Linotype" w:hAnsi="Palatino Linotype" w:cs="Palatino Linotype"/>
                <w:sz w:val="20"/>
                <w:szCs w:val="20"/>
              </w:rPr>
            </w:pPr>
            <w:r w:rsidRPr="005534BD">
              <w:rPr>
                <w:rFonts w:ascii="Palatino Linotype" w:eastAsia="Palatino Linotype" w:hAnsi="Palatino Linotype" w:cs="Palatino Linotype"/>
                <w:sz w:val="20"/>
                <w:szCs w:val="20"/>
              </w:rPr>
              <w:t>“</w:t>
            </w:r>
            <w:r w:rsidRPr="005534BD">
              <w:rPr>
                <w:rFonts w:ascii="Palatino Linotype" w:eastAsia="Palatino Linotype" w:hAnsi="Palatino Linotype" w:cs="Palatino Linotype"/>
                <w:i/>
                <w:sz w:val="20"/>
                <w:szCs w:val="20"/>
              </w:rPr>
              <w:t xml:space="preserve">Estimado solicitante, reciba con el presente un cordial saludo, al mismo tiempo remito a Usted respuesta a su SI, por parte del SPH designando para atenderla, el cual refiere lo siguiente: “REMITO RESPUESTA EN EL ARCHIVO PDF, denominado: TMOZU2012025" SIC. Sin </w:t>
            </w:r>
            <w:proofErr w:type="spellStart"/>
            <w:r w:rsidRPr="005534BD">
              <w:rPr>
                <w:rFonts w:ascii="Palatino Linotype" w:eastAsia="Palatino Linotype" w:hAnsi="Palatino Linotype" w:cs="Palatino Linotype"/>
                <w:i/>
                <w:sz w:val="20"/>
                <w:szCs w:val="20"/>
              </w:rPr>
              <w:t>mas</w:t>
            </w:r>
            <w:proofErr w:type="spellEnd"/>
            <w:r w:rsidRPr="005534BD">
              <w:rPr>
                <w:rFonts w:ascii="Palatino Linotype" w:eastAsia="Palatino Linotype" w:hAnsi="Palatino Linotype" w:cs="Palatino Linotype"/>
                <w:i/>
                <w:sz w:val="20"/>
                <w:szCs w:val="20"/>
              </w:rPr>
              <w:t xml:space="preserve"> por el momento de despido de usted</w:t>
            </w:r>
            <w:r w:rsidRPr="005534BD">
              <w:rPr>
                <w:rFonts w:ascii="Palatino Linotype" w:eastAsia="Palatino Linotype" w:hAnsi="Palatino Linotype" w:cs="Palatino Linotype"/>
                <w:sz w:val="20"/>
                <w:szCs w:val="20"/>
              </w:rPr>
              <w:t>” (Sic)</w:t>
            </w:r>
          </w:p>
          <w:p w14:paraId="4A20A51C" w14:textId="77777777" w:rsidR="0093756C" w:rsidRPr="005534BD" w:rsidRDefault="0093756C">
            <w:pPr>
              <w:jc w:val="both"/>
              <w:rPr>
                <w:rFonts w:ascii="Palatino Linotype" w:eastAsia="Palatino Linotype" w:hAnsi="Palatino Linotype" w:cs="Palatino Linotype"/>
                <w:sz w:val="20"/>
                <w:szCs w:val="20"/>
              </w:rPr>
            </w:pPr>
          </w:p>
          <w:p w14:paraId="616B107E" w14:textId="77777777" w:rsidR="0093756C" w:rsidRPr="005534BD" w:rsidRDefault="00752E30">
            <w:pPr>
              <w:jc w:val="both"/>
              <w:rPr>
                <w:rFonts w:ascii="Palatino Linotype" w:eastAsia="Palatino Linotype" w:hAnsi="Palatino Linotype" w:cs="Palatino Linotype"/>
                <w:sz w:val="20"/>
                <w:szCs w:val="20"/>
              </w:rPr>
            </w:pPr>
            <w:r w:rsidRPr="005534BD">
              <w:rPr>
                <w:rFonts w:ascii="Palatino Linotype" w:eastAsia="Palatino Linotype" w:hAnsi="Palatino Linotype" w:cs="Palatino Linotype"/>
                <w:sz w:val="20"/>
                <w:szCs w:val="20"/>
              </w:rPr>
              <w:t xml:space="preserve">El </w:t>
            </w:r>
            <w:r w:rsidRPr="005534BD">
              <w:rPr>
                <w:rFonts w:ascii="Palatino Linotype" w:eastAsia="Palatino Linotype" w:hAnsi="Palatino Linotype" w:cs="Palatino Linotype"/>
                <w:b/>
                <w:sz w:val="20"/>
                <w:szCs w:val="20"/>
              </w:rPr>
              <w:t xml:space="preserve">Sujeto Obligado </w:t>
            </w:r>
            <w:r w:rsidRPr="005534BD">
              <w:rPr>
                <w:rFonts w:ascii="Palatino Linotype" w:eastAsia="Palatino Linotype" w:hAnsi="Palatino Linotype" w:cs="Palatino Linotype"/>
                <w:sz w:val="20"/>
                <w:szCs w:val="20"/>
              </w:rPr>
              <w:t>hizo entrega de un oficio del trece de febrero del dos mil veinticinco, a través del cual el Tesorero Municipal indicó a la Titular de la Unidad de Transparencia que la información se encuentra en proceso, y por tanto no se cuenta con ella.</w:t>
            </w:r>
          </w:p>
          <w:p w14:paraId="63648C23" w14:textId="77777777" w:rsidR="0093756C" w:rsidRPr="005534BD" w:rsidRDefault="0093756C">
            <w:pPr>
              <w:widowControl w:val="0"/>
              <w:pBdr>
                <w:top w:val="nil"/>
                <w:left w:val="nil"/>
                <w:bottom w:val="nil"/>
                <w:right w:val="nil"/>
                <w:between w:val="nil"/>
              </w:pBdr>
              <w:rPr>
                <w:rFonts w:ascii="Palatino Linotype" w:eastAsia="Palatino Linotype" w:hAnsi="Palatino Linotype" w:cs="Palatino Linotype"/>
                <w:b/>
                <w:sz w:val="20"/>
                <w:szCs w:val="20"/>
              </w:rPr>
            </w:pPr>
          </w:p>
        </w:tc>
      </w:tr>
    </w:tbl>
    <w:p w14:paraId="59E8F960" w14:textId="77777777" w:rsidR="0093756C" w:rsidRPr="005534BD" w:rsidRDefault="0093756C">
      <w:pPr>
        <w:spacing w:after="0" w:line="360" w:lineRule="auto"/>
        <w:jc w:val="both"/>
        <w:rPr>
          <w:rFonts w:ascii="Palatino Linotype" w:eastAsia="Palatino Linotype" w:hAnsi="Palatino Linotype" w:cs="Palatino Linotype"/>
          <w:b/>
        </w:rPr>
      </w:pPr>
    </w:p>
    <w:p w14:paraId="59B3CF16"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t xml:space="preserve">3. De los Recursos de Revisión. </w:t>
      </w:r>
      <w:r w:rsidRPr="005534BD">
        <w:rPr>
          <w:rFonts w:ascii="Palatino Linotype" w:eastAsia="Palatino Linotype" w:hAnsi="Palatino Linotype" w:cs="Palatino Linotype"/>
        </w:rPr>
        <w:t>Inconforme con las respuestas del</w:t>
      </w:r>
      <w:r w:rsidRPr="005534BD">
        <w:rPr>
          <w:rFonts w:ascii="Palatino Linotype" w:eastAsia="Palatino Linotype" w:hAnsi="Palatino Linotype" w:cs="Palatino Linotype"/>
          <w:b/>
        </w:rPr>
        <w:t xml:space="preserve"> Sujeto Obligado, </w:t>
      </w:r>
      <w:r w:rsidRPr="005534BD">
        <w:rPr>
          <w:rFonts w:ascii="Palatino Linotype" w:eastAsia="Palatino Linotype" w:hAnsi="Palatino Linotype" w:cs="Palatino Linotype"/>
        </w:rPr>
        <w:t xml:space="preserve">en fecha </w:t>
      </w:r>
      <w:r w:rsidRPr="005534BD">
        <w:rPr>
          <w:rFonts w:ascii="Palatino Linotype" w:eastAsia="Palatino Linotype" w:hAnsi="Palatino Linotype" w:cs="Palatino Linotype"/>
          <w:b/>
        </w:rPr>
        <w:t xml:space="preserve">cinco de marzo de dos mil veinticinco, la parte Recurrente </w:t>
      </w:r>
      <w:r w:rsidRPr="005534BD">
        <w:rPr>
          <w:rFonts w:ascii="Palatino Linotype" w:eastAsia="Palatino Linotype" w:hAnsi="Palatino Linotype" w:cs="Palatino Linotype"/>
        </w:rPr>
        <w:t xml:space="preserve">interpuso los recursos de revisión </w:t>
      </w:r>
      <w:r w:rsidRPr="005534BD">
        <w:rPr>
          <w:rFonts w:ascii="Palatino Linotype" w:eastAsia="Palatino Linotype" w:hAnsi="Palatino Linotype" w:cs="Palatino Linotype"/>
        </w:rPr>
        <w:lastRenderedPageBreak/>
        <w:t>indicados;</w:t>
      </w:r>
      <w:r w:rsidRPr="005534BD">
        <w:rPr>
          <w:rFonts w:ascii="Palatino Linotype" w:eastAsia="Palatino Linotype" w:hAnsi="Palatino Linotype" w:cs="Palatino Linotype"/>
          <w:b/>
        </w:rPr>
        <w:t xml:space="preserve"> </w:t>
      </w:r>
      <w:r w:rsidRPr="005534BD">
        <w:rPr>
          <w:rFonts w:ascii="Palatino Linotype" w:eastAsia="Palatino Linotype" w:hAnsi="Palatino Linotype" w:cs="Palatino Linotype"/>
        </w:rPr>
        <w:t xml:space="preserve">en los cuales se señaló como acto impugnado y motivos de inconformidad, lo siguiente: </w:t>
      </w:r>
    </w:p>
    <w:p w14:paraId="621C5874"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 </w:t>
      </w:r>
    </w:p>
    <w:tbl>
      <w:tblPr>
        <w:tblStyle w:val="aff5"/>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5524"/>
      </w:tblGrid>
      <w:tr w:rsidR="003E420A" w:rsidRPr="005534BD" w14:paraId="0932CEC0" w14:textId="77777777">
        <w:tc>
          <w:tcPr>
            <w:tcW w:w="3402" w:type="dxa"/>
            <w:shd w:val="clear" w:color="auto" w:fill="D9D9D9"/>
          </w:tcPr>
          <w:p w14:paraId="747A55B2" w14:textId="77777777" w:rsidR="0093756C" w:rsidRPr="005534BD" w:rsidRDefault="00752E30">
            <w:pPr>
              <w:jc w:val="center"/>
              <w:rPr>
                <w:rFonts w:ascii="Palatino Linotype" w:eastAsia="Palatino Linotype" w:hAnsi="Palatino Linotype" w:cs="Palatino Linotype"/>
                <w:b/>
                <w:sz w:val="20"/>
                <w:szCs w:val="20"/>
              </w:rPr>
            </w:pPr>
            <w:r w:rsidRPr="005534BD">
              <w:rPr>
                <w:rFonts w:ascii="Palatino Linotype" w:eastAsia="Palatino Linotype" w:hAnsi="Palatino Linotype" w:cs="Palatino Linotype"/>
                <w:b/>
                <w:sz w:val="20"/>
                <w:szCs w:val="20"/>
              </w:rPr>
              <w:t>Número de Recurso</w:t>
            </w:r>
          </w:p>
        </w:tc>
        <w:tc>
          <w:tcPr>
            <w:tcW w:w="5524" w:type="dxa"/>
            <w:shd w:val="clear" w:color="auto" w:fill="D9D9D9"/>
          </w:tcPr>
          <w:p w14:paraId="14367BA9" w14:textId="77777777" w:rsidR="0093756C" w:rsidRPr="005534BD" w:rsidRDefault="00752E30">
            <w:pPr>
              <w:jc w:val="center"/>
              <w:rPr>
                <w:rFonts w:ascii="Palatino Linotype" w:eastAsia="Palatino Linotype" w:hAnsi="Palatino Linotype" w:cs="Palatino Linotype"/>
                <w:b/>
                <w:sz w:val="20"/>
                <w:szCs w:val="20"/>
              </w:rPr>
            </w:pPr>
            <w:r w:rsidRPr="005534BD">
              <w:rPr>
                <w:rFonts w:ascii="Palatino Linotype" w:eastAsia="Palatino Linotype" w:hAnsi="Palatino Linotype" w:cs="Palatino Linotype"/>
                <w:b/>
                <w:sz w:val="20"/>
                <w:szCs w:val="20"/>
              </w:rPr>
              <w:t>Acto Impugnado y Razones o Motivos de Inconformidad</w:t>
            </w:r>
          </w:p>
        </w:tc>
      </w:tr>
      <w:tr w:rsidR="003E420A" w:rsidRPr="005534BD" w14:paraId="189C7E82" w14:textId="77777777">
        <w:trPr>
          <w:trHeight w:val="564"/>
        </w:trPr>
        <w:tc>
          <w:tcPr>
            <w:tcW w:w="3402" w:type="dxa"/>
          </w:tcPr>
          <w:p w14:paraId="7D3252BE" w14:textId="77777777" w:rsidR="0093756C" w:rsidRPr="005534BD" w:rsidRDefault="00752E30">
            <w:pPr>
              <w:jc w:val="center"/>
              <w:rPr>
                <w:rFonts w:ascii="Palatino Linotype" w:eastAsia="Palatino Linotype" w:hAnsi="Palatino Linotype" w:cs="Palatino Linotype"/>
                <w:b/>
                <w:sz w:val="20"/>
                <w:szCs w:val="20"/>
              </w:rPr>
            </w:pPr>
            <w:r w:rsidRPr="005534BD">
              <w:rPr>
                <w:rFonts w:ascii="Palatino Linotype" w:eastAsia="Palatino Linotype" w:hAnsi="Palatino Linotype" w:cs="Palatino Linotype"/>
                <w:b/>
                <w:sz w:val="20"/>
                <w:szCs w:val="20"/>
              </w:rPr>
              <w:t>02524/INFOEM/IP/RR/2025</w:t>
            </w:r>
          </w:p>
          <w:p w14:paraId="0E9D4FAB" w14:textId="77777777" w:rsidR="0093756C" w:rsidRPr="005534BD" w:rsidRDefault="00752E30">
            <w:pPr>
              <w:jc w:val="center"/>
              <w:rPr>
                <w:rFonts w:ascii="Palatino Linotype" w:eastAsia="Palatino Linotype" w:hAnsi="Palatino Linotype" w:cs="Palatino Linotype"/>
                <w:b/>
                <w:sz w:val="20"/>
                <w:szCs w:val="20"/>
              </w:rPr>
            </w:pPr>
            <w:r w:rsidRPr="005534BD">
              <w:rPr>
                <w:rFonts w:ascii="Palatino Linotype" w:eastAsia="Palatino Linotype" w:hAnsi="Palatino Linotype" w:cs="Palatino Linotype"/>
                <w:b/>
                <w:sz w:val="20"/>
                <w:szCs w:val="20"/>
              </w:rPr>
              <w:t>Solicitud 00029/OZUMBA/IP/2025</w:t>
            </w:r>
          </w:p>
        </w:tc>
        <w:tc>
          <w:tcPr>
            <w:tcW w:w="5524" w:type="dxa"/>
          </w:tcPr>
          <w:p w14:paraId="44060459" w14:textId="77777777" w:rsidR="0093756C" w:rsidRPr="005534BD" w:rsidRDefault="00752E30">
            <w:pPr>
              <w:numPr>
                <w:ilvl w:val="0"/>
                <w:numId w:val="5"/>
              </w:numPr>
              <w:ind w:left="360"/>
              <w:jc w:val="both"/>
              <w:rPr>
                <w:rFonts w:ascii="Palatino Linotype" w:eastAsia="Palatino Linotype" w:hAnsi="Palatino Linotype" w:cs="Palatino Linotype"/>
                <w:b/>
                <w:i/>
                <w:sz w:val="20"/>
                <w:szCs w:val="20"/>
              </w:rPr>
            </w:pPr>
            <w:r w:rsidRPr="005534BD">
              <w:rPr>
                <w:rFonts w:ascii="Palatino Linotype" w:eastAsia="Palatino Linotype" w:hAnsi="Palatino Linotype" w:cs="Palatino Linotype"/>
                <w:b/>
                <w:i/>
                <w:sz w:val="20"/>
                <w:szCs w:val="20"/>
              </w:rPr>
              <w:t xml:space="preserve">Acto Impugnado: </w:t>
            </w:r>
            <w:r w:rsidRPr="005534BD">
              <w:rPr>
                <w:rFonts w:ascii="Palatino Linotype" w:eastAsia="Palatino Linotype" w:hAnsi="Palatino Linotype" w:cs="Palatino Linotype"/>
                <w:i/>
                <w:sz w:val="20"/>
                <w:szCs w:val="20"/>
              </w:rPr>
              <w:t xml:space="preserve">“Negativa de la </w:t>
            </w:r>
            <w:proofErr w:type="spellStart"/>
            <w:r w:rsidRPr="005534BD">
              <w:rPr>
                <w:rFonts w:ascii="Palatino Linotype" w:eastAsia="Palatino Linotype" w:hAnsi="Palatino Linotype" w:cs="Palatino Linotype"/>
                <w:i/>
                <w:sz w:val="20"/>
                <w:szCs w:val="20"/>
              </w:rPr>
              <w:t>informacion</w:t>
            </w:r>
            <w:proofErr w:type="spellEnd"/>
            <w:r w:rsidRPr="005534BD">
              <w:rPr>
                <w:rFonts w:ascii="Palatino Linotype" w:eastAsia="Palatino Linotype" w:hAnsi="Palatino Linotype" w:cs="Palatino Linotype"/>
                <w:i/>
                <w:sz w:val="20"/>
                <w:szCs w:val="20"/>
              </w:rPr>
              <w:t xml:space="preserve"> por falta” (Sic)</w:t>
            </w:r>
          </w:p>
          <w:p w14:paraId="35E1B122" w14:textId="77777777" w:rsidR="0093756C" w:rsidRPr="005534BD" w:rsidRDefault="00752E30">
            <w:pPr>
              <w:numPr>
                <w:ilvl w:val="0"/>
                <w:numId w:val="5"/>
              </w:numPr>
              <w:ind w:left="360"/>
              <w:jc w:val="both"/>
              <w:rPr>
                <w:rFonts w:ascii="Palatino Linotype" w:eastAsia="Palatino Linotype" w:hAnsi="Palatino Linotype" w:cs="Palatino Linotype"/>
                <w:b/>
                <w:i/>
                <w:sz w:val="20"/>
                <w:szCs w:val="20"/>
              </w:rPr>
            </w:pPr>
            <w:r w:rsidRPr="005534BD">
              <w:rPr>
                <w:rFonts w:ascii="Palatino Linotype" w:eastAsia="Palatino Linotype" w:hAnsi="Palatino Linotype" w:cs="Palatino Linotype"/>
                <w:b/>
                <w:i/>
                <w:sz w:val="20"/>
                <w:szCs w:val="20"/>
              </w:rPr>
              <w:t>Motivos de inconformidad:</w:t>
            </w:r>
            <w:r w:rsidRPr="005534BD">
              <w:rPr>
                <w:rFonts w:ascii="Palatino Linotype" w:eastAsia="Palatino Linotype" w:hAnsi="Palatino Linotype" w:cs="Palatino Linotype"/>
                <w:i/>
                <w:sz w:val="20"/>
                <w:szCs w:val="20"/>
              </w:rPr>
              <w:t xml:space="preserve"> “Negativa de la información” (Sic)</w:t>
            </w:r>
          </w:p>
          <w:p w14:paraId="2E554749" w14:textId="77777777" w:rsidR="0093756C" w:rsidRPr="005534BD" w:rsidRDefault="0093756C">
            <w:pPr>
              <w:jc w:val="both"/>
              <w:rPr>
                <w:rFonts w:ascii="Palatino Linotype" w:eastAsia="Palatino Linotype" w:hAnsi="Palatino Linotype" w:cs="Palatino Linotype"/>
                <w:i/>
                <w:sz w:val="20"/>
                <w:szCs w:val="20"/>
              </w:rPr>
            </w:pPr>
          </w:p>
        </w:tc>
      </w:tr>
      <w:tr w:rsidR="0093756C" w:rsidRPr="005534BD" w14:paraId="2D32CC68" w14:textId="77777777">
        <w:tc>
          <w:tcPr>
            <w:tcW w:w="3402" w:type="dxa"/>
          </w:tcPr>
          <w:p w14:paraId="46AE038A" w14:textId="77777777" w:rsidR="0093756C" w:rsidRPr="005534BD" w:rsidRDefault="00752E30">
            <w:pPr>
              <w:jc w:val="center"/>
              <w:rPr>
                <w:rFonts w:ascii="Palatino Linotype" w:eastAsia="Palatino Linotype" w:hAnsi="Palatino Linotype" w:cs="Palatino Linotype"/>
                <w:b/>
                <w:sz w:val="20"/>
                <w:szCs w:val="20"/>
              </w:rPr>
            </w:pPr>
            <w:r w:rsidRPr="005534BD">
              <w:rPr>
                <w:rFonts w:ascii="Palatino Linotype" w:eastAsia="Palatino Linotype" w:hAnsi="Palatino Linotype" w:cs="Palatino Linotype"/>
                <w:b/>
                <w:sz w:val="20"/>
                <w:szCs w:val="20"/>
              </w:rPr>
              <w:t>02525/INFOEM/IP/RR/2025</w:t>
            </w:r>
          </w:p>
          <w:p w14:paraId="1CCA9575" w14:textId="77777777" w:rsidR="0093756C" w:rsidRPr="005534BD" w:rsidRDefault="00752E30">
            <w:pPr>
              <w:jc w:val="center"/>
              <w:rPr>
                <w:rFonts w:ascii="Palatino Linotype" w:eastAsia="Palatino Linotype" w:hAnsi="Palatino Linotype" w:cs="Palatino Linotype"/>
                <w:b/>
                <w:sz w:val="20"/>
                <w:szCs w:val="20"/>
              </w:rPr>
            </w:pPr>
            <w:r w:rsidRPr="005534BD">
              <w:rPr>
                <w:rFonts w:ascii="Palatino Linotype" w:eastAsia="Palatino Linotype" w:hAnsi="Palatino Linotype" w:cs="Palatino Linotype"/>
                <w:b/>
                <w:sz w:val="20"/>
                <w:szCs w:val="20"/>
              </w:rPr>
              <w:t>Solicitud</w:t>
            </w:r>
            <w:r w:rsidRPr="005534BD">
              <w:rPr>
                <w:rFonts w:ascii="Verdana" w:eastAsia="Verdana" w:hAnsi="Verdana" w:cs="Verdana"/>
                <w:sz w:val="15"/>
                <w:szCs w:val="15"/>
              </w:rPr>
              <w:t xml:space="preserve"> </w:t>
            </w:r>
            <w:r w:rsidRPr="005534BD">
              <w:rPr>
                <w:rFonts w:ascii="Palatino Linotype" w:eastAsia="Palatino Linotype" w:hAnsi="Palatino Linotype" w:cs="Palatino Linotype"/>
                <w:b/>
                <w:sz w:val="20"/>
                <w:szCs w:val="20"/>
              </w:rPr>
              <w:t xml:space="preserve">00030/OZUMBA/IP/2025 </w:t>
            </w:r>
          </w:p>
        </w:tc>
        <w:tc>
          <w:tcPr>
            <w:tcW w:w="5524" w:type="dxa"/>
          </w:tcPr>
          <w:p w14:paraId="22D4788E" w14:textId="77777777" w:rsidR="0093756C" w:rsidRPr="005534BD" w:rsidRDefault="00752E30">
            <w:pPr>
              <w:numPr>
                <w:ilvl w:val="0"/>
                <w:numId w:val="1"/>
              </w:numPr>
              <w:ind w:left="360"/>
              <w:jc w:val="both"/>
              <w:rPr>
                <w:rFonts w:ascii="Palatino Linotype" w:eastAsia="Palatino Linotype" w:hAnsi="Palatino Linotype" w:cs="Palatino Linotype"/>
                <w:b/>
                <w:i/>
                <w:sz w:val="20"/>
                <w:szCs w:val="20"/>
              </w:rPr>
            </w:pPr>
            <w:r w:rsidRPr="005534BD">
              <w:rPr>
                <w:rFonts w:ascii="Palatino Linotype" w:eastAsia="Palatino Linotype" w:hAnsi="Palatino Linotype" w:cs="Palatino Linotype"/>
                <w:b/>
                <w:i/>
                <w:sz w:val="20"/>
                <w:szCs w:val="20"/>
              </w:rPr>
              <w:t xml:space="preserve">Acto Impugnado: </w:t>
            </w:r>
            <w:r w:rsidRPr="005534BD">
              <w:rPr>
                <w:rFonts w:ascii="Palatino Linotype" w:eastAsia="Palatino Linotype" w:hAnsi="Palatino Linotype" w:cs="Palatino Linotype"/>
                <w:i/>
                <w:sz w:val="20"/>
                <w:szCs w:val="20"/>
              </w:rPr>
              <w:t>“Negativa de la información” (Sic)</w:t>
            </w:r>
          </w:p>
          <w:p w14:paraId="4C21AB43" w14:textId="77777777" w:rsidR="0093756C" w:rsidRPr="005534BD" w:rsidRDefault="0093756C">
            <w:pPr>
              <w:jc w:val="both"/>
              <w:rPr>
                <w:rFonts w:ascii="Palatino Linotype" w:eastAsia="Palatino Linotype" w:hAnsi="Palatino Linotype" w:cs="Palatino Linotype"/>
                <w:b/>
                <w:i/>
                <w:sz w:val="20"/>
                <w:szCs w:val="20"/>
              </w:rPr>
            </w:pPr>
          </w:p>
          <w:p w14:paraId="42B414B6" w14:textId="77777777" w:rsidR="0093756C" w:rsidRPr="005534BD" w:rsidRDefault="00752E30">
            <w:pPr>
              <w:numPr>
                <w:ilvl w:val="0"/>
                <w:numId w:val="1"/>
              </w:numPr>
              <w:ind w:left="360"/>
              <w:jc w:val="both"/>
              <w:rPr>
                <w:rFonts w:ascii="Palatino Linotype" w:eastAsia="Palatino Linotype" w:hAnsi="Palatino Linotype" w:cs="Palatino Linotype"/>
                <w:b/>
                <w:i/>
                <w:sz w:val="20"/>
                <w:szCs w:val="20"/>
              </w:rPr>
            </w:pPr>
            <w:r w:rsidRPr="005534BD">
              <w:rPr>
                <w:rFonts w:ascii="Palatino Linotype" w:eastAsia="Palatino Linotype" w:hAnsi="Palatino Linotype" w:cs="Palatino Linotype"/>
                <w:b/>
                <w:i/>
                <w:sz w:val="20"/>
                <w:szCs w:val="20"/>
              </w:rPr>
              <w:t>Motivos de inconformidad:</w:t>
            </w:r>
            <w:r w:rsidRPr="005534BD">
              <w:rPr>
                <w:rFonts w:ascii="Palatino Linotype" w:eastAsia="Palatino Linotype" w:hAnsi="Palatino Linotype" w:cs="Palatino Linotype"/>
                <w:i/>
                <w:sz w:val="20"/>
                <w:szCs w:val="20"/>
              </w:rPr>
              <w:t xml:space="preserve"> “Negativa de la información” (Sic)</w:t>
            </w:r>
          </w:p>
          <w:p w14:paraId="118B6F20" w14:textId="77777777" w:rsidR="0093756C" w:rsidRPr="005534BD" w:rsidRDefault="0093756C">
            <w:pPr>
              <w:jc w:val="both"/>
              <w:rPr>
                <w:rFonts w:ascii="Palatino Linotype" w:eastAsia="Palatino Linotype" w:hAnsi="Palatino Linotype" w:cs="Palatino Linotype"/>
                <w:i/>
                <w:sz w:val="20"/>
                <w:szCs w:val="20"/>
              </w:rPr>
            </w:pPr>
          </w:p>
        </w:tc>
      </w:tr>
    </w:tbl>
    <w:p w14:paraId="10D88AF3" w14:textId="77777777" w:rsidR="0093756C" w:rsidRPr="005534BD" w:rsidRDefault="0093756C">
      <w:pPr>
        <w:spacing w:after="0" w:line="360" w:lineRule="auto"/>
        <w:jc w:val="both"/>
        <w:rPr>
          <w:rFonts w:ascii="Palatino Linotype" w:eastAsia="Palatino Linotype" w:hAnsi="Palatino Linotype" w:cs="Palatino Linotype"/>
          <w:b/>
        </w:rPr>
      </w:pPr>
    </w:p>
    <w:p w14:paraId="5E574599"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t xml:space="preserve">4. Turno. </w:t>
      </w:r>
      <w:r w:rsidRPr="005534BD">
        <w:rPr>
          <w:rFonts w:ascii="Palatino Linotype" w:eastAsia="Palatino Linotype" w:hAnsi="Palatino Linotype" w:cs="Palatino Linotype"/>
        </w:rPr>
        <w:t xml:space="preserve">De conformidad con el artículo 185 fracción I de la Ley Transparencia y Acceso a la Información Pública, los recursos de revisión número </w:t>
      </w:r>
      <w:r w:rsidRPr="005534BD">
        <w:rPr>
          <w:rFonts w:ascii="Palatino Linotype" w:eastAsia="Palatino Linotype" w:hAnsi="Palatino Linotype" w:cs="Palatino Linotype"/>
          <w:b/>
        </w:rPr>
        <w:t xml:space="preserve">02524/INFOEM/IP/RR/2025 y 02525/INFOEM/IP/RR/2025, </w:t>
      </w:r>
      <w:r w:rsidRPr="005534BD">
        <w:rPr>
          <w:rFonts w:ascii="Palatino Linotype" w:eastAsia="Palatino Linotype" w:hAnsi="Palatino Linotype" w:cs="Palatino Linotype"/>
        </w:rPr>
        <w:t>fueron turnados a la Comisionada Guadalupe Ramírez Peña y al Comisionado José Martínez Vilchis, respectivamente.</w:t>
      </w:r>
    </w:p>
    <w:p w14:paraId="5515D6B2" w14:textId="77777777" w:rsidR="0093756C" w:rsidRPr="005534BD" w:rsidRDefault="0093756C">
      <w:pPr>
        <w:spacing w:after="0" w:line="360" w:lineRule="auto"/>
      </w:pPr>
    </w:p>
    <w:p w14:paraId="41DA5BE2" w14:textId="77777777" w:rsidR="0093756C" w:rsidRPr="005534BD" w:rsidRDefault="00752E30">
      <w:pPr>
        <w:spacing w:after="0" w:line="360" w:lineRule="auto"/>
        <w:ind w:right="51"/>
        <w:jc w:val="both"/>
        <w:rPr>
          <w:rFonts w:ascii="Palatino Linotype" w:eastAsia="Palatino Linotype" w:hAnsi="Palatino Linotype" w:cs="Palatino Linotype"/>
          <w:sz w:val="24"/>
          <w:szCs w:val="24"/>
        </w:rPr>
      </w:pPr>
      <w:r w:rsidRPr="005534BD">
        <w:rPr>
          <w:rFonts w:ascii="Palatino Linotype" w:eastAsia="Palatino Linotype" w:hAnsi="Palatino Linotype" w:cs="Palatino Linotype"/>
          <w:b/>
        </w:rPr>
        <w:t xml:space="preserve">5. Admisión de los Recursos de Revisión. </w:t>
      </w:r>
      <w:r w:rsidRPr="005534BD">
        <w:rPr>
          <w:rFonts w:ascii="Palatino Linotype" w:eastAsia="Palatino Linotype" w:hAnsi="Palatino Linotype" w:cs="Palatino Linotype"/>
        </w:rPr>
        <w:t xml:space="preserve">En fecha </w:t>
      </w:r>
      <w:r w:rsidRPr="005534BD">
        <w:rPr>
          <w:rFonts w:ascii="Palatino Linotype" w:eastAsia="Palatino Linotype" w:hAnsi="Palatino Linotype" w:cs="Palatino Linotype"/>
          <w:b/>
        </w:rPr>
        <w:t>diez de marzo de dos mil veinticinco</w:t>
      </w:r>
      <w:r w:rsidRPr="005534BD">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Pr="005534BD">
        <w:rPr>
          <w:rFonts w:ascii="Palatino Linotype" w:eastAsia="Palatino Linotype" w:hAnsi="Palatino Linotype" w:cs="Palatino Linotype"/>
          <w:b/>
        </w:rPr>
        <w:t>02524/INFOEM/IP/RR/2025 y 02525/INFOEM/IP/RR/2025</w:t>
      </w:r>
      <w:r w:rsidRPr="005534BD">
        <w:rPr>
          <w:rFonts w:ascii="Palatino Linotype" w:eastAsia="Palatino Linotype" w:hAnsi="Palatino Linotype" w:cs="Palatino Linotype"/>
        </w:rPr>
        <w:t xml:space="preserve">. </w:t>
      </w:r>
    </w:p>
    <w:p w14:paraId="7103B22F" w14:textId="77777777" w:rsidR="0093756C" w:rsidRPr="005534BD" w:rsidRDefault="0093756C">
      <w:pPr>
        <w:spacing w:after="0" w:line="360" w:lineRule="auto"/>
        <w:jc w:val="both"/>
        <w:rPr>
          <w:rFonts w:ascii="Palatino Linotype" w:eastAsia="Palatino Linotype" w:hAnsi="Palatino Linotype" w:cs="Palatino Linotype"/>
          <w:b/>
        </w:rPr>
      </w:pPr>
    </w:p>
    <w:p w14:paraId="35D7A10C"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t>6. Manifestaciones.</w:t>
      </w:r>
      <w:r w:rsidRPr="005534BD">
        <w:rPr>
          <w:rFonts w:ascii="Palatino Linotype" w:eastAsia="Palatino Linotype" w:hAnsi="Palatino Linotype" w:cs="Palatino Linotype"/>
        </w:rPr>
        <w:t xml:space="preserve"> De las constancias que obran en el SAIMEX con motivo de los medios de impugnación de nuestra atención, se advierte que el </w:t>
      </w:r>
      <w:r w:rsidRPr="005534BD">
        <w:rPr>
          <w:rFonts w:ascii="Palatino Linotype" w:eastAsia="Palatino Linotype" w:hAnsi="Palatino Linotype" w:cs="Palatino Linotype"/>
          <w:b/>
        </w:rPr>
        <w:t xml:space="preserve">Sujeto Obligado </w:t>
      </w:r>
      <w:r w:rsidRPr="005534BD">
        <w:rPr>
          <w:rFonts w:ascii="Palatino Linotype" w:eastAsia="Palatino Linotype" w:hAnsi="Palatino Linotype" w:cs="Palatino Linotype"/>
        </w:rPr>
        <w:t xml:space="preserve">fue omiso en rendir sus informes justificados y la parte </w:t>
      </w:r>
      <w:r w:rsidRPr="005534BD">
        <w:rPr>
          <w:rFonts w:ascii="Palatino Linotype" w:eastAsia="Palatino Linotype" w:hAnsi="Palatino Linotype" w:cs="Palatino Linotype"/>
          <w:b/>
        </w:rPr>
        <w:t xml:space="preserve">Recurrente </w:t>
      </w:r>
      <w:r w:rsidRPr="005534BD">
        <w:rPr>
          <w:rFonts w:ascii="Palatino Linotype" w:eastAsia="Palatino Linotype" w:hAnsi="Palatino Linotype" w:cs="Palatino Linotype"/>
        </w:rPr>
        <w:t>fue omisa en hacer valer manifestaciones o en rendir alegatos que conforme a derecho resultaran procedentes, como se muestra:</w:t>
      </w:r>
    </w:p>
    <w:p w14:paraId="2C4A1976" w14:textId="77777777" w:rsidR="0093756C" w:rsidRPr="005534BD"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tbl>
      <w:tblPr>
        <w:tblStyle w:val="aff6"/>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2"/>
        <w:gridCol w:w="5833"/>
      </w:tblGrid>
      <w:tr w:rsidR="003E420A" w:rsidRPr="005534BD" w14:paraId="5968093C" w14:textId="77777777">
        <w:tc>
          <w:tcPr>
            <w:tcW w:w="3222" w:type="dxa"/>
            <w:shd w:val="clear" w:color="auto" w:fill="D0CECE"/>
          </w:tcPr>
          <w:p w14:paraId="31BF7E03" w14:textId="77777777" w:rsidR="0093756C" w:rsidRPr="005534BD" w:rsidRDefault="00752E30">
            <w:pPr>
              <w:spacing w:after="0" w:line="360" w:lineRule="auto"/>
              <w:jc w:val="center"/>
              <w:rPr>
                <w:rFonts w:ascii="Palatino Linotype" w:eastAsia="Palatino Linotype" w:hAnsi="Palatino Linotype" w:cs="Palatino Linotype"/>
                <w:b/>
                <w:sz w:val="20"/>
                <w:szCs w:val="20"/>
              </w:rPr>
            </w:pPr>
            <w:r w:rsidRPr="005534BD">
              <w:rPr>
                <w:rFonts w:ascii="Palatino Linotype" w:eastAsia="Palatino Linotype" w:hAnsi="Palatino Linotype" w:cs="Palatino Linotype"/>
                <w:b/>
                <w:sz w:val="20"/>
                <w:szCs w:val="20"/>
              </w:rPr>
              <w:t>Recurso de Revisión</w:t>
            </w:r>
          </w:p>
        </w:tc>
        <w:tc>
          <w:tcPr>
            <w:tcW w:w="5833" w:type="dxa"/>
            <w:shd w:val="clear" w:color="auto" w:fill="D0CECE"/>
          </w:tcPr>
          <w:p w14:paraId="1A521122" w14:textId="77777777" w:rsidR="0093756C" w:rsidRPr="005534BD" w:rsidRDefault="00752E30">
            <w:pPr>
              <w:spacing w:after="0" w:line="360" w:lineRule="auto"/>
              <w:jc w:val="center"/>
              <w:rPr>
                <w:rFonts w:ascii="Palatino Linotype" w:eastAsia="Palatino Linotype" w:hAnsi="Palatino Linotype" w:cs="Palatino Linotype"/>
                <w:b/>
                <w:sz w:val="20"/>
                <w:szCs w:val="20"/>
              </w:rPr>
            </w:pPr>
            <w:r w:rsidRPr="005534BD">
              <w:rPr>
                <w:rFonts w:ascii="Palatino Linotype" w:eastAsia="Palatino Linotype" w:hAnsi="Palatino Linotype" w:cs="Palatino Linotype"/>
                <w:b/>
                <w:sz w:val="20"/>
                <w:szCs w:val="20"/>
              </w:rPr>
              <w:t>Informe Justificado</w:t>
            </w:r>
          </w:p>
        </w:tc>
      </w:tr>
      <w:tr w:rsidR="003E420A" w:rsidRPr="005534BD" w14:paraId="289F5426" w14:textId="77777777">
        <w:tc>
          <w:tcPr>
            <w:tcW w:w="3222" w:type="dxa"/>
          </w:tcPr>
          <w:p w14:paraId="0737325E" w14:textId="77777777" w:rsidR="0093756C" w:rsidRPr="005534BD" w:rsidRDefault="00752E30">
            <w:pPr>
              <w:spacing w:after="0" w:line="360" w:lineRule="auto"/>
              <w:jc w:val="both"/>
              <w:rPr>
                <w:rFonts w:ascii="Palatino Linotype" w:eastAsia="Palatino Linotype" w:hAnsi="Palatino Linotype" w:cs="Palatino Linotype"/>
                <w:sz w:val="20"/>
                <w:szCs w:val="20"/>
              </w:rPr>
            </w:pPr>
            <w:r w:rsidRPr="005534BD">
              <w:rPr>
                <w:rFonts w:ascii="Palatino Linotype" w:eastAsia="Palatino Linotype" w:hAnsi="Palatino Linotype" w:cs="Palatino Linotype"/>
                <w:b/>
                <w:sz w:val="20"/>
                <w:szCs w:val="20"/>
              </w:rPr>
              <w:t>02524/INFOEM/IP/RR/2025</w:t>
            </w:r>
          </w:p>
        </w:tc>
        <w:tc>
          <w:tcPr>
            <w:tcW w:w="5833" w:type="dxa"/>
          </w:tcPr>
          <w:p w14:paraId="6B940561" w14:textId="77777777" w:rsidR="0093756C" w:rsidRPr="005534BD" w:rsidRDefault="00752E30">
            <w:pPr>
              <w:spacing w:after="0" w:line="240" w:lineRule="auto"/>
              <w:jc w:val="both"/>
              <w:rPr>
                <w:rFonts w:ascii="Palatino Linotype" w:eastAsia="Palatino Linotype" w:hAnsi="Palatino Linotype" w:cs="Palatino Linotype"/>
                <w:sz w:val="20"/>
                <w:szCs w:val="20"/>
              </w:rPr>
            </w:pPr>
            <w:r w:rsidRPr="005534BD">
              <w:rPr>
                <w:rFonts w:ascii="Palatino Linotype" w:eastAsia="Palatino Linotype" w:hAnsi="Palatino Linotype" w:cs="Palatino Linotype"/>
                <w:noProof/>
                <w:sz w:val="20"/>
                <w:szCs w:val="20"/>
                <w:lang w:eastAsia="es-MX"/>
              </w:rPr>
              <w:drawing>
                <wp:inline distT="0" distB="0" distL="0" distR="0" wp14:anchorId="56418E3D" wp14:editId="2BFA8E75">
                  <wp:extent cx="3557905" cy="1085850"/>
                  <wp:effectExtent l="0" t="0" r="0" b="0"/>
                  <wp:docPr id="19520825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57905" cy="1085850"/>
                          </a:xfrm>
                          <a:prstGeom prst="rect">
                            <a:avLst/>
                          </a:prstGeom>
                          <a:ln/>
                        </pic:spPr>
                      </pic:pic>
                    </a:graphicData>
                  </a:graphic>
                </wp:inline>
              </w:drawing>
            </w:r>
          </w:p>
        </w:tc>
      </w:tr>
      <w:tr w:rsidR="0093756C" w:rsidRPr="005534BD" w14:paraId="505160AA" w14:textId="77777777">
        <w:tc>
          <w:tcPr>
            <w:tcW w:w="3222" w:type="dxa"/>
          </w:tcPr>
          <w:p w14:paraId="036BFDAA" w14:textId="77777777" w:rsidR="0093756C" w:rsidRPr="005534BD" w:rsidRDefault="00752E30">
            <w:pPr>
              <w:spacing w:after="0" w:line="360" w:lineRule="auto"/>
              <w:jc w:val="both"/>
              <w:rPr>
                <w:rFonts w:ascii="Palatino Linotype" w:eastAsia="Palatino Linotype" w:hAnsi="Palatino Linotype" w:cs="Palatino Linotype"/>
                <w:sz w:val="20"/>
                <w:szCs w:val="20"/>
              </w:rPr>
            </w:pPr>
            <w:r w:rsidRPr="005534BD">
              <w:rPr>
                <w:rFonts w:ascii="Palatino Linotype" w:eastAsia="Palatino Linotype" w:hAnsi="Palatino Linotype" w:cs="Palatino Linotype"/>
                <w:b/>
                <w:sz w:val="20"/>
                <w:szCs w:val="20"/>
              </w:rPr>
              <w:t>02525/INFOEM/IP/RR/2025</w:t>
            </w:r>
          </w:p>
        </w:tc>
        <w:tc>
          <w:tcPr>
            <w:tcW w:w="5833" w:type="dxa"/>
          </w:tcPr>
          <w:p w14:paraId="60EF1DA6" w14:textId="77777777" w:rsidR="0093756C" w:rsidRPr="005534BD" w:rsidRDefault="00752E30">
            <w:pPr>
              <w:spacing w:after="0" w:line="360" w:lineRule="auto"/>
              <w:jc w:val="both"/>
              <w:rPr>
                <w:rFonts w:ascii="Palatino Linotype" w:eastAsia="Palatino Linotype" w:hAnsi="Palatino Linotype" w:cs="Palatino Linotype"/>
                <w:sz w:val="20"/>
                <w:szCs w:val="20"/>
              </w:rPr>
            </w:pPr>
            <w:r w:rsidRPr="005534BD">
              <w:rPr>
                <w:rFonts w:ascii="Palatino Linotype" w:eastAsia="Palatino Linotype" w:hAnsi="Palatino Linotype" w:cs="Palatino Linotype"/>
                <w:noProof/>
                <w:sz w:val="20"/>
                <w:szCs w:val="20"/>
                <w:lang w:eastAsia="es-MX"/>
              </w:rPr>
              <w:drawing>
                <wp:inline distT="0" distB="0" distL="0" distR="0" wp14:anchorId="4637DF3E" wp14:editId="687C24F6">
                  <wp:extent cx="3557905" cy="862330"/>
                  <wp:effectExtent l="0" t="0" r="0" b="0"/>
                  <wp:docPr id="19520825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557905" cy="862330"/>
                          </a:xfrm>
                          <a:prstGeom prst="rect">
                            <a:avLst/>
                          </a:prstGeom>
                          <a:ln/>
                        </pic:spPr>
                      </pic:pic>
                    </a:graphicData>
                  </a:graphic>
                </wp:inline>
              </w:drawing>
            </w:r>
          </w:p>
        </w:tc>
      </w:tr>
    </w:tbl>
    <w:p w14:paraId="5CF64128" w14:textId="77777777" w:rsidR="0093756C" w:rsidRPr="005534BD"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E2E8ED8" w14:textId="77777777" w:rsidR="0093756C" w:rsidRPr="005534BD" w:rsidRDefault="00752E30">
      <w:pPr>
        <w:pBdr>
          <w:top w:val="nil"/>
          <w:left w:val="nil"/>
          <w:bottom w:val="nil"/>
          <w:right w:val="nil"/>
          <w:between w:val="nil"/>
        </w:pBdr>
        <w:spacing w:after="0" w:line="360" w:lineRule="auto"/>
        <w:jc w:val="both"/>
      </w:pPr>
      <w:r w:rsidRPr="005534BD">
        <w:rPr>
          <w:rFonts w:ascii="Palatino Linotype" w:eastAsia="Palatino Linotype" w:hAnsi="Palatino Linotype" w:cs="Palatino Linotype"/>
          <w:b/>
        </w:rPr>
        <w:t xml:space="preserve">7. Acumulación de los recursos de revisión. </w:t>
      </w:r>
      <w:r w:rsidRPr="005534BD">
        <w:rPr>
          <w:rFonts w:ascii="Palatino Linotype" w:eastAsia="Palatino Linotype" w:hAnsi="Palatino Linotype" w:cs="Palatino Linotype"/>
        </w:rPr>
        <w:t xml:space="preserve">Al respecto cabe señalar, que el Pleno de este Instituto, en la </w:t>
      </w:r>
      <w:r w:rsidRPr="005534BD">
        <w:rPr>
          <w:rFonts w:ascii="Palatino Linotype" w:eastAsia="Palatino Linotype" w:hAnsi="Palatino Linotype" w:cs="Palatino Linotype"/>
          <w:b/>
        </w:rPr>
        <w:t xml:space="preserve">Novena Sesión Ordinaria </w:t>
      </w:r>
      <w:r w:rsidRPr="005534BD">
        <w:rPr>
          <w:rFonts w:ascii="Palatino Linotype" w:eastAsia="Palatino Linotype" w:hAnsi="Palatino Linotype" w:cs="Palatino Linotype"/>
        </w:rPr>
        <w:t>celebrada el</w:t>
      </w:r>
      <w:r w:rsidRPr="005534BD">
        <w:rPr>
          <w:rFonts w:ascii="Palatino Linotype" w:eastAsia="Palatino Linotype" w:hAnsi="Palatino Linotype" w:cs="Palatino Linotype"/>
          <w:b/>
        </w:rPr>
        <w:t xml:space="preserve"> doce de marzo de dos mil veinticinco,</w:t>
      </w:r>
      <w:r w:rsidRPr="005534BD">
        <w:rPr>
          <w:rFonts w:ascii="Palatino Linotype" w:eastAsia="Palatino Linotype" w:hAnsi="Palatino Linotype" w:cs="Palatino Linotype"/>
        </w:rPr>
        <w:t xml:space="preserve"> ordenó la acumulación de los expedientes citados, a efecto de que la </w:t>
      </w:r>
      <w:r w:rsidRPr="005534BD">
        <w:rPr>
          <w:rFonts w:ascii="Palatino Linotype" w:eastAsia="Palatino Linotype" w:hAnsi="Palatino Linotype" w:cs="Palatino Linotype"/>
          <w:b/>
        </w:rPr>
        <w:t xml:space="preserve">Comisionada Guadalupe Ramírez Peña </w:t>
      </w:r>
      <w:r w:rsidRPr="005534BD">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0B2AE337" w14:textId="77777777" w:rsidR="0093756C" w:rsidRPr="005534BD" w:rsidRDefault="00752E30">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5534BD">
        <w:rPr>
          <w:rFonts w:ascii="Palatino Linotype" w:eastAsia="Palatino Linotype" w:hAnsi="Palatino Linotype" w:cs="Palatino Linotype"/>
          <w:b/>
          <w:i/>
        </w:rPr>
        <w:t>Código de Procedimientos Administrativos del Estado de México</w:t>
      </w:r>
    </w:p>
    <w:p w14:paraId="075B7A71" w14:textId="77777777" w:rsidR="0093756C" w:rsidRPr="005534BD" w:rsidRDefault="00752E30">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5534BD">
        <w:rPr>
          <w:rFonts w:ascii="Palatino Linotype" w:eastAsia="Palatino Linotype" w:hAnsi="Palatino Linotype" w:cs="Palatino Linotype"/>
          <w:b/>
          <w:i/>
        </w:rPr>
        <w:t>“Artículo 18.-</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5534BD">
        <w:rPr>
          <w:rFonts w:ascii="Palatino Linotype" w:eastAsia="Palatino Linotype" w:hAnsi="Palatino Linotype" w:cs="Palatino Linotype"/>
          <w:i/>
        </w:rPr>
        <w:t xml:space="preserve"> o a petición de parte, </w:t>
      </w:r>
      <w:r w:rsidRPr="005534BD">
        <w:rPr>
          <w:rFonts w:ascii="Palatino Linotype" w:eastAsia="Palatino Linotype" w:hAnsi="Palatino Linotype" w:cs="Palatino Linotype"/>
          <w:b/>
          <w:i/>
        </w:rPr>
        <w:t>cuando las partes</w:t>
      </w:r>
      <w:r w:rsidRPr="005534BD">
        <w:rPr>
          <w:rFonts w:ascii="Palatino Linotype" w:eastAsia="Palatino Linotype" w:hAnsi="Palatino Linotype" w:cs="Palatino Linotype"/>
          <w:i/>
        </w:rPr>
        <w:t xml:space="preserve"> o los actos administrativos sean iguales, se trate de actos conexos o </w:t>
      </w:r>
      <w:r w:rsidRPr="005534BD">
        <w:rPr>
          <w:rFonts w:ascii="Palatino Linotype" w:eastAsia="Palatino Linotype" w:hAnsi="Palatino Linotype" w:cs="Palatino Linotype"/>
          <w:b/>
          <w:i/>
        </w:rPr>
        <w:t>resulte conveniente el trámite unificado de los asuntos, para evitar la emisión de resoluciones contradictorias</w:t>
      </w:r>
      <w:r w:rsidRPr="005534BD">
        <w:rPr>
          <w:rFonts w:ascii="Palatino Linotype" w:eastAsia="Palatino Linotype" w:hAnsi="Palatino Linotype" w:cs="Palatino Linotype"/>
          <w:i/>
        </w:rPr>
        <w:t>. La misma regla se aplicará, en lo conducente, para la separación de los expedientes.”</w:t>
      </w:r>
    </w:p>
    <w:p w14:paraId="5B750323" w14:textId="77777777" w:rsidR="0093756C" w:rsidRPr="005534BD" w:rsidRDefault="00752E30">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5534BD">
        <w:rPr>
          <w:rFonts w:ascii="Palatino Linotype" w:eastAsia="Palatino Linotype" w:hAnsi="Palatino Linotype" w:cs="Palatino Linotype"/>
          <w:b/>
          <w:i/>
        </w:rPr>
        <w:lastRenderedPageBreak/>
        <w:t>Ley de Transparencia y Acceso a la Información Pública del Estado de México y Municipios</w:t>
      </w:r>
    </w:p>
    <w:p w14:paraId="3306377F" w14:textId="77777777" w:rsidR="0093756C" w:rsidRPr="005534BD" w:rsidRDefault="00752E30">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5534BD">
        <w:rPr>
          <w:rFonts w:ascii="Palatino Linotype" w:eastAsia="Palatino Linotype" w:hAnsi="Palatino Linotype" w:cs="Palatino Linotype"/>
          <w:b/>
          <w:i/>
        </w:rPr>
        <w:t>“Artículo 195.-</w:t>
      </w:r>
      <w:r w:rsidRPr="005534BD">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108BDE8D" w14:textId="77777777" w:rsidR="0093756C" w:rsidRPr="005534BD" w:rsidRDefault="0093756C">
      <w:pPr>
        <w:spacing w:after="0" w:line="360" w:lineRule="auto"/>
        <w:ind w:right="49"/>
        <w:jc w:val="both"/>
        <w:rPr>
          <w:rFonts w:ascii="Palatino Linotype" w:eastAsia="Palatino Linotype" w:hAnsi="Palatino Linotype" w:cs="Palatino Linotype"/>
        </w:rPr>
      </w:pPr>
    </w:p>
    <w:p w14:paraId="60E591C6" w14:textId="77777777" w:rsidR="0093756C" w:rsidRPr="005534BD" w:rsidRDefault="00752E30">
      <w:pPr>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5534BD">
        <w:rPr>
          <w:rFonts w:ascii="Palatino Linotype" w:eastAsia="Palatino Linotype" w:hAnsi="Palatino Linotype" w:cs="Palatino Linotype"/>
          <w:b/>
        </w:rPr>
        <w:t>Recurrente</w:t>
      </w:r>
      <w:r w:rsidRPr="005534BD">
        <w:rPr>
          <w:rFonts w:ascii="Palatino Linotype" w:eastAsia="Palatino Linotype" w:hAnsi="Palatino Linotype" w:cs="Palatino Linotype"/>
        </w:rPr>
        <w:t xml:space="preserve"> ante el mismo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62164EDD" w14:textId="77777777" w:rsidR="0093756C" w:rsidRPr="005534BD" w:rsidRDefault="00752E30">
      <w:pPr>
        <w:tabs>
          <w:tab w:val="left" w:pos="7170"/>
        </w:tabs>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ab/>
      </w:r>
    </w:p>
    <w:p w14:paraId="0CDC70BF"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t xml:space="preserve">8. Cierre de Instrucción. </w:t>
      </w:r>
      <w:r w:rsidRPr="005534BD">
        <w:rPr>
          <w:rFonts w:ascii="Palatino Linotype" w:eastAsia="Palatino Linotype" w:hAnsi="Palatino Linotype" w:cs="Palatino Linotype"/>
        </w:rPr>
        <w:t xml:space="preserve">En fecha </w:t>
      </w:r>
      <w:r w:rsidRPr="005534BD">
        <w:rPr>
          <w:rFonts w:ascii="Palatino Linotype" w:eastAsia="Palatino Linotype" w:hAnsi="Palatino Linotype" w:cs="Palatino Linotype"/>
          <w:b/>
        </w:rPr>
        <w:t xml:space="preserve">primero de abril de dos mil veinticinco, </w:t>
      </w:r>
      <w:r w:rsidRPr="005534BD">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7FDDF78B" w14:textId="77777777" w:rsidR="0093756C" w:rsidRPr="005534BD" w:rsidRDefault="0093756C">
      <w:pPr>
        <w:spacing w:after="0" w:line="360" w:lineRule="auto"/>
        <w:jc w:val="both"/>
        <w:rPr>
          <w:rFonts w:ascii="Palatino Linotype" w:eastAsia="Palatino Linotype" w:hAnsi="Palatino Linotype" w:cs="Palatino Linotype"/>
        </w:rPr>
      </w:pPr>
    </w:p>
    <w:p w14:paraId="016E9D7D" w14:textId="77777777" w:rsidR="0093756C" w:rsidRPr="005534BD" w:rsidRDefault="00752E3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b/>
        </w:rPr>
        <w:t>9. Ampliación del término para resolver</w:t>
      </w:r>
      <w:r w:rsidRPr="005534BD">
        <w:rPr>
          <w:rFonts w:ascii="Palatino Linotype" w:eastAsia="Palatino Linotype" w:hAnsi="Palatino Linotype" w:cs="Palatino Linotype"/>
        </w:rPr>
        <w:t xml:space="preserve">. Mediante acuerdo del </w:t>
      </w:r>
      <w:r w:rsidRPr="005534BD">
        <w:rPr>
          <w:rFonts w:ascii="Palatino Linotype" w:eastAsia="Palatino Linotype" w:hAnsi="Palatino Linotype" w:cs="Palatino Linotype"/>
          <w:b/>
        </w:rPr>
        <w:t>veintiocho de abril de dos mil veinticinco</w:t>
      </w:r>
      <w:r w:rsidRPr="005534BD">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0B9C7FFB" w14:textId="77777777" w:rsidR="0093756C" w:rsidRPr="005534BD" w:rsidRDefault="00752E30">
      <w:pPr>
        <w:spacing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0DE6832D" w14:textId="77777777" w:rsidR="0093756C" w:rsidRPr="005534BD" w:rsidRDefault="00752E30">
      <w:pPr>
        <w:widowControl w:val="0"/>
        <w:spacing w:line="360" w:lineRule="auto"/>
        <w:jc w:val="center"/>
        <w:rPr>
          <w:rFonts w:ascii="Palatino Linotype" w:eastAsia="Palatino Linotype" w:hAnsi="Palatino Linotype" w:cs="Palatino Linotype"/>
          <w:b/>
        </w:rPr>
      </w:pPr>
      <w:r w:rsidRPr="005534BD">
        <w:rPr>
          <w:rFonts w:ascii="Palatino Linotype" w:eastAsia="Palatino Linotype" w:hAnsi="Palatino Linotype" w:cs="Palatino Linotype"/>
          <w:b/>
        </w:rPr>
        <w:t>II. C O N S I D E R A N D O S</w:t>
      </w:r>
    </w:p>
    <w:p w14:paraId="5F42FCCC"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lastRenderedPageBreak/>
        <w:t>Primero. Competencia.</w:t>
      </w:r>
      <w:r w:rsidRPr="005534B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27E8FD15" w14:textId="77777777" w:rsidR="0093756C" w:rsidRPr="005534BD" w:rsidRDefault="0093756C">
      <w:pPr>
        <w:spacing w:after="0" w:line="360" w:lineRule="auto"/>
        <w:jc w:val="both"/>
        <w:rPr>
          <w:rFonts w:ascii="Palatino Linotype" w:eastAsia="Palatino Linotype" w:hAnsi="Palatino Linotype" w:cs="Palatino Linotype"/>
        </w:rPr>
      </w:pPr>
    </w:p>
    <w:p w14:paraId="3041DE0E" w14:textId="77777777" w:rsidR="0093756C" w:rsidRPr="005534BD" w:rsidRDefault="00752E30">
      <w:pPr>
        <w:spacing w:after="0" w:line="360" w:lineRule="auto"/>
        <w:jc w:val="both"/>
        <w:rPr>
          <w:rFonts w:ascii="Palatino Linotype" w:eastAsia="Palatino Linotype" w:hAnsi="Palatino Linotype" w:cs="Palatino Linotype"/>
        </w:rPr>
      </w:pPr>
      <w:bookmarkStart w:id="2" w:name="_heading=h.q9a5pqst6so" w:colFirst="0" w:colLast="0"/>
      <w:bookmarkEnd w:id="2"/>
      <w:r w:rsidRPr="005534BD">
        <w:rPr>
          <w:rFonts w:ascii="Palatino Linotype" w:eastAsia="Palatino Linotype" w:hAnsi="Palatino Linotype" w:cs="Palatino Linotype"/>
          <w:b/>
        </w:rPr>
        <w:t>Segundo. Oportunidad y Procedibilidad de los Recursos de Revisión</w:t>
      </w:r>
      <w:r w:rsidRPr="005534B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9F0873D" w14:textId="77777777" w:rsidR="0093756C" w:rsidRPr="005534BD" w:rsidRDefault="0093756C">
      <w:pPr>
        <w:spacing w:after="0" w:line="360" w:lineRule="auto"/>
        <w:jc w:val="both"/>
        <w:rPr>
          <w:rFonts w:ascii="Palatino Linotype" w:eastAsia="Palatino Linotype" w:hAnsi="Palatino Linotype" w:cs="Palatino Linotype"/>
        </w:rPr>
      </w:pPr>
    </w:p>
    <w:p w14:paraId="4B812C4A"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5534BD">
        <w:rPr>
          <w:rFonts w:ascii="Palatino Linotype" w:eastAsia="Palatino Linotype" w:hAnsi="Palatino Linotype" w:cs="Palatino Linotype"/>
          <w:b/>
        </w:rPr>
        <w:t xml:space="preserve">Sujeto Obligado </w:t>
      </w:r>
      <w:r w:rsidRPr="005534BD">
        <w:rPr>
          <w:rFonts w:ascii="Palatino Linotype" w:eastAsia="Palatino Linotype" w:hAnsi="Palatino Linotype" w:cs="Palatino Linotype"/>
        </w:rPr>
        <w:t xml:space="preserve">remitió las respuestas a la solicitudes de información en fecha </w:t>
      </w:r>
      <w:r w:rsidRPr="005534BD">
        <w:rPr>
          <w:rFonts w:ascii="Palatino Linotype" w:eastAsia="Palatino Linotype" w:hAnsi="Palatino Linotype" w:cs="Palatino Linotype"/>
          <w:b/>
        </w:rPr>
        <w:t xml:space="preserve">quince de febrero de dos mil veinticinco, </w:t>
      </w:r>
      <w:r w:rsidRPr="005534BD">
        <w:rPr>
          <w:rFonts w:ascii="Palatino Linotype" w:eastAsia="Palatino Linotype" w:hAnsi="Palatino Linotype" w:cs="Palatino Linotype"/>
        </w:rPr>
        <w:t xml:space="preserve">mientras que los recursos de revisión interpuestos por la parte </w:t>
      </w:r>
      <w:r w:rsidRPr="005534BD">
        <w:rPr>
          <w:rFonts w:ascii="Palatino Linotype" w:eastAsia="Palatino Linotype" w:hAnsi="Palatino Linotype" w:cs="Palatino Linotype"/>
          <w:b/>
        </w:rPr>
        <w:t>Recurrente</w:t>
      </w:r>
      <w:r w:rsidRPr="005534BD">
        <w:rPr>
          <w:rFonts w:ascii="Palatino Linotype" w:eastAsia="Palatino Linotype" w:hAnsi="Palatino Linotype" w:cs="Palatino Linotype"/>
        </w:rPr>
        <w:t xml:space="preserve">, se tuvieron por presentados en fecha </w:t>
      </w:r>
      <w:r w:rsidRPr="005534BD">
        <w:rPr>
          <w:rFonts w:ascii="Palatino Linotype" w:eastAsia="Palatino Linotype" w:hAnsi="Palatino Linotype" w:cs="Palatino Linotype"/>
          <w:b/>
        </w:rPr>
        <w:t>cinco de marzo de dos mil veinticinco</w:t>
      </w:r>
      <w:r w:rsidRPr="005534BD">
        <w:rPr>
          <w:rFonts w:ascii="Palatino Linotype" w:eastAsia="Palatino Linotype" w:hAnsi="Palatino Linotype" w:cs="Palatino Linotype"/>
        </w:rPr>
        <w:t xml:space="preserve">, esto es, al </w:t>
      </w:r>
      <w:r w:rsidRPr="005534BD">
        <w:rPr>
          <w:rFonts w:ascii="Palatino Linotype" w:eastAsia="Palatino Linotype" w:hAnsi="Palatino Linotype" w:cs="Palatino Linotype"/>
          <w:b/>
        </w:rPr>
        <w:t>décimo segundo</w:t>
      </w:r>
      <w:r w:rsidRPr="005534BD">
        <w:rPr>
          <w:rFonts w:ascii="Palatino Linotype" w:eastAsia="Palatino Linotype" w:hAnsi="Palatino Linotype" w:cs="Palatino Linotype"/>
        </w:rPr>
        <w:t xml:space="preserve"> día hábil siguiente a aquel en que se tuvo conocimiento de las respuestas impugnadas. </w:t>
      </w:r>
    </w:p>
    <w:p w14:paraId="358CF9C3" w14:textId="77777777" w:rsidR="0093756C" w:rsidRPr="005534BD" w:rsidRDefault="0093756C">
      <w:pPr>
        <w:spacing w:after="0" w:line="360" w:lineRule="auto"/>
        <w:jc w:val="both"/>
        <w:rPr>
          <w:rFonts w:ascii="Palatino Linotype" w:eastAsia="Palatino Linotype" w:hAnsi="Palatino Linotype" w:cs="Palatino Linotype"/>
        </w:rPr>
      </w:pPr>
    </w:p>
    <w:p w14:paraId="7C56705F"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En este sentido, se concluye que los presentes recursos de revisión se encuentran dentro de los márgenes temporales previstos en las disposiciones legales referidas.</w:t>
      </w:r>
    </w:p>
    <w:p w14:paraId="1B21F81B" w14:textId="77777777" w:rsidR="0093756C" w:rsidRPr="005534BD" w:rsidRDefault="0093756C">
      <w:pPr>
        <w:spacing w:after="0" w:line="360" w:lineRule="auto"/>
        <w:jc w:val="both"/>
        <w:rPr>
          <w:rFonts w:ascii="Palatino Linotype" w:eastAsia="Palatino Linotype" w:hAnsi="Palatino Linotype" w:cs="Palatino Linotype"/>
        </w:rPr>
      </w:pPr>
    </w:p>
    <w:p w14:paraId="0137E693"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589542CF" w14:textId="77777777" w:rsidR="0093756C" w:rsidRPr="005534BD" w:rsidRDefault="0093756C">
      <w:pPr>
        <w:spacing w:after="0" w:line="360" w:lineRule="auto"/>
        <w:jc w:val="both"/>
        <w:rPr>
          <w:rFonts w:ascii="Palatino Linotype" w:eastAsia="Palatino Linotype" w:hAnsi="Palatino Linotype" w:cs="Palatino Linotype"/>
        </w:rPr>
      </w:pPr>
    </w:p>
    <w:p w14:paraId="7130DBE2"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Finalmente, se advierte que resulta procedente la interposición de los recursos, según lo manifestado por la parte </w:t>
      </w:r>
      <w:r w:rsidRPr="005534BD">
        <w:rPr>
          <w:rFonts w:ascii="Palatino Linotype" w:eastAsia="Palatino Linotype" w:hAnsi="Palatino Linotype" w:cs="Palatino Linotype"/>
          <w:b/>
        </w:rPr>
        <w:t>Recurrente</w:t>
      </w:r>
      <w:r w:rsidRPr="005534BD">
        <w:rPr>
          <w:rFonts w:ascii="Palatino Linotype" w:eastAsia="Palatino Linotype" w:hAnsi="Palatino Linotype" w:cs="Palatino Linotype"/>
        </w:rPr>
        <w:t xml:space="preserve"> en sus motivos de inconformidad, de acuerdo con el artículo 179, fracción I del ordenamiento legal citado, que a la letra dice: </w:t>
      </w:r>
    </w:p>
    <w:p w14:paraId="7A706CDA" w14:textId="77777777" w:rsidR="0093756C" w:rsidRPr="005534BD" w:rsidRDefault="0093756C">
      <w:pPr>
        <w:spacing w:after="0" w:line="360" w:lineRule="auto"/>
        <w:jc w:val="both"/>
        <w:rPr>
          <w:rFonts w:ascii="Palatino Linotype" w:eastAsia="Palatino Linotype" w:hAnsi="Palatino Linotype" w:cs="Palatino Linotype"/>
        </w:rPr>
      </w:pPr>
    </w:p>
    <w:p w14:paraId="460CDBDC" w14:textId="77777777" w:rsidR="0093756C" w:rsidRPr="005534BD" w:rsidRDefault="00752E30">
      <w:pPr>
        <w:spacing w:after="0"/>
        <w:ind w:left="567" w:right="902"/>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Artículo 179.</w:t>
      </w:r>
      <w:r w:rsidRPr="005534BD">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65B59B7" w14:textId="77777777" w:rsidR="0093756C" w:rsidRPr="005534BD" w:rsidRDefault="00752E30">
      <w:pPr>
        <w:pBdr>
          <w:top w:val="nil"/>
          <w:left w:val="nil"/>
          <w:bottom w:val="nil"/>
          <w:right w:val="nil"/>
          <w:between w:val="nil"/>
        </w:pBdr>
        <w:spacing w:after="0"/>
        <w:ind w:left="567" w:right="902"/>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I. La negativa a la información solicitada;</w:t>
      </w:r>
    </w:p>
    <w:p w14:paraId="298DB6AC" w14:textId="77777777" w:rsidR="0093756C" w:rsidRPr="005534BD" w:rsidRDefault="00752E30">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 […]”</w:t>
      </w:r>
    </w:p>
    <w:p w14:paraId="3CA59B42" w14:textId="77777777" w:rsidR="0093756C" w:rsidRPr="005534BD"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8420459" w14:textId="77777777" w:rsidR="0093756C" w:rsidRPr="005534BD" w:rsidRDefault="00752E30">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5534BD">
        <w:rPr>
          <w:rFonts w:ascii="Palatino Linotype" w:eastAsia="Palatino Linotype" w:hAnsi="Palatino Linotype" w:cs="Palatino Linotype"/>
          <w:b/>
        </w:rPr>
        <w:t>Tercero. Materia de la revisión.</w:t>
      </w:r>
      <w:r w:rsidRPr="005534BD">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5534BD">
        <w:rPr>
          <w:rFonts w:ascii="Palatino Linotype" w:eastAsia="Palatino Linotype" w:hAnsi="Palatino Linotype" w:cs="Palatino Linotype"/>
          <w:b/>
        </w:rPr>
        <w:t>verificar si las respuestas otorgadas por el Sujeto Obligado, son adecuadas y suficientes para satisfacer el derecho de acceso a la información pública de la parte Recurrente, o en su defecto, en caso de ser procedente, ordenar la entrega de información oportuna.</w:t>
      </w:r>
    </w:p>
    <w:p w14:paraId="57ADAE36" w14:textId="77777777" w:rsidR="0093756C" w:rsidRPr="005534BD"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D012C54" w14:textId="77777777" w:rsidR="0093756C" w:rsidRPr="005534BD" w:rsidRDefault="00752E30">
      <w:pPr>
        <w:pBdr>
          <w:top w:val="nil"/>
          <w:left w:val="nil"/>
          <w:bottom w:val="nil"/>
          <w:right w:val="nil"/>
          <w:between w:val="nil"/>
        </w:pBd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lastRenderedPageBreak/>
        <w:t xml:space="preserve">Cuarto. Estudio de los recursos de revisión. </w:t>
      </w:r>
      <w:r w:rsidRPr="005534BD">
        <w:rPr>
          <w:rFonts w:ascii="Palatino Linotype" w:eastAsia="Palatino Linotype" w:hAnsi="Palatino Linotype" w:cs="Palatino Linotype"/>
        </w:rPr>
        <w:t xml:space="preserve">Antes de entrar al análisis de los pronunciamientos del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10E5CC4" w14:textId="77777777" w:rsidR="0093756C" w:rsidRPr="005534BD" w:rsidRDefault="0093756C">
      <w:pPr>
        <w:pBdr>
          <w:top w:val="nil"/>
          <w:left w:val="nil"/>
          <w:bottom w:val="nil"/>
          <w:right w:val="nil"/>
          <w:between w:val="nil"/>
        </w:pBdr>
        <w:spacing w:after="0" w:line="360" w:lineRule="auto"/>
        <w:jc w:val="both"/>
      </w:pPr>
    </w:p>
    <w:p w14:paraId="4F09CBA1" w14:textId="77777777" w:rsidR="0093756C" w:rsidRPr="005534BD" w:rsidRDefault="00752E30">
      <w:pPr>
        <w:spacing w:after="0"/>
        <w:ind w:left="851" w:right="850"/>
        <w:jc w:val="both"/>
        <w:rPr>
          <w:rFonts w:ascii="Palatino Linotype" w:eastAsia="Palatino Linotype" w:hAnsi="Palatino Linotype" w:cs="Palatino Linotype"/>
        </w:rPr>
      </w:pPr>
      <w:r w:rsidRPr="005534BD">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5534BD">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45D5C637" w14:textId="77777777" w:rsidR="0093756C" w:rsidRPr="005534BD" w:rsidRDefault="00752E30">
      <w:pPr>
        <w:spacing w:after="0"/>
        <w:ind w:left="851" w:right="850"/>
        <w:jc w:val="both"/>
        <w:rPr>
          <w:rFonts w:ascii="Palatino Linotype" w:eastAsia="Palatino Linotype" w:hAnsi="Palatino Linotype" w:cs="Palatino Linotype"/>
        </w:rPr>
      </w:pPr>
      <w:r w:rsidRPr="005534BD">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52206F2" w14:textId="77777777" w:rsidR="0093756C" w:rsidRPr="005534BD" w:rsidRDefault="00752E30">
      <w:pPr>
        <w:spacing w:after="0"/>
        <w:ind w:left="851" w:right="850"/>
        <w:jc w:val="both"/>
        <w:rPr>
          <w:rFonts w:ascii="Palatino Linotype" w:eastAsia="Palatino Linotype" w:hAnsi="Palatino Linotype" w:cs="Palatino Linotype"/>
        </w:rPr>
      </w:pPr>
      <w:r w:rsidRPr="005534BD">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534BD">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5713905" w14:textId="77777777" w:rsidR="0093756C" w:rsidRPr="005534BD" w:rsidRDefault="00752E30">
      <w:pPr>
        <w:spacing w:after="0"/>
        <w:ind w:left="851" w:right="850"/>
        <w:jc w:val="both"/>
        <w:rPr>
          <w:rFonts w:ascii="Palatino Linotype" w:eastAsia="Palatino Linotype" w:hAnsi="Palatino Linotype" w:cs="Palatino Linotype"/>
        </w:rPr>
      </w:pPr>
      <w:r w:rsidRPr="005534BD">
        <w:rPr>
          <w:rFonts w:ascii="Palatino Linotype" w:eastAsia="Palatino Linotype" w:hAnsi="Palatino Linotype" w:cs="Palatino Linotype"/>
          <w:i/>
        </w:rPr>
        <w:t>[…]</w:t>
      </w:r>
    </w:p>
    <w:p w14:paraId="13A55D1F" w14:textId="77777777" w:rsidR="0093756C" w:rsidRPr="005534BD" w:rsidRDefault="00752E30">
      <w:pPr>
        <w:spacing w:after="0"/>
        <w:ind w:left="851" w:right="901"/>
        <w:jc w:val="both"/>
        <w:rPr>
          <w:rFonts w:ascii="Palatino Linotype" w:eastAsia="Palatino Linotype" w:hAnsi="Palatino Linotype" w:cs="Palatino Linotype"/>
        </w:rPr>
      </w:pPr>
      <w:r w:rsidRPr="005534BD">
        <w:rPr>
          <w:rFonts w:ascii="Palatino Linotype" w:eastAsia="Palatino Linotype" w:hAnsi="Palatino Linotype" w:cs="Palatino Linotype"/>
          <w:b/>
          <w:i/>
        </w:rPr>
        <w:t>“Artículo 6o.</w:t>
      </w:r>
    </w:p>
    <w:p w14:paraId="49F21BBE" w14:textId="77777777" w:rsidR="0093756C" w:rsidRPr="005534BD" w:rsidRDefault="00752E30">
      <w:pPr>
        <w:spacing w:after="0"/>
        <w:ind w:left="851" w:right="901"/>
        <w:jc w:val="both"/>
        <w:rPr>
          <w:rFonts w:ascii="Palatino Linotype" w:eastAsia="Palatino Linotype" w:hAnsi="Palatino Linotype" w:cs="Palatino Linotype"/>
        </w:rPr>
      </w:pPr>
      <w:r w:rsidRPr="005534BD">
        <w:rPr>
          <w:rFonts w:ascii="Palatino Linotype" w:eastAsia="Palatino Linotype" w:hAnsi="Palatino Linotype" w:cs="Palatino Linotype"/>
          <w:i/>
        </w:rPr>
        <w:t>[...]</w:t>
      </w:r>
    </w:p>
    <w:p w14:paraId="681F2BAD" w14:textId="77777777" w:rsidR="0093756C" w:rsidRPr="005534BD" w:rsidRDefault="00752E30">
      <w:pPr>
        <w:spacing w:after="0"/>
        <w:ind w:left="851" w:right="851"/>
        <w:jc w:val="both"/>
        <w:rPr>
          <w:rFonts w:ascii="Palatino Linotype" w:eastAsia="Palatino Linotype" w:hAnsi="Palatino Linotype" w:cs="Palatino Linotype"/>
        </w:rPr>
      </w:pPr>
      <w:r w:rsidRPr="005534BD">
        <w:rPr>
          <w:rFonts w:ascii="Palatino Linotype" w:eastAsia="Palatino Linotype" w:hAnsi="Palatino Linotype" w:cs="Palatino Linotype"/>
          <w:b/>
          <w:i/>
        </w:rPr>
        <w:t xml:space="preserve">A. Para el ejercicio del derecho de acceso a la información, la Federación y </w:t>
      </w:r>
      <w:r w:rsidRPr="005534BD">
        <w:rPr>
          <w:rFonts w:ascii="Palatino Linotype" w:eastAsia="Palatino Linotype" w:hAnsi="Palatino Linotype" w:cs="Palatino Linotype"/>
          <w:b/>
          <w:i/>
          <w:u w:val="single"/>
        </w:rPr>
        <w:t>las entidades federativas</w:t>
      </w:r>
      <w:r w:rsidRPr="005534BD">
        <w:rPr>
          <w:rFonts w:ascii="Palatino Linotype" w:eastAsia="Palatino Linotype" w:hAnsi="Palatino Linotype" w:cs="Palatino Linotype"/>
          <w:b/>
          <w:i/>
        </w:rPr>
        <w:t>,</w:t>
      </w:r>
      <w:r w:rsidRPr="005534BD">
        <w:rPr>
          <w:rFonts w:ascii="Palatino Linotype" w:eastAsia="Palatino Linotype" w:hAnsi="Palatino Linotype" w:cs="Palatino Linotype"/>
          <w:i/>
        </w:rPr>
        <w:t xml:space="preserve"> en el ámbito de sus respectivas competencias, se regirán por los siguientes principios y bases:</w:t>
      </w:r>
    </w:p>
    <w:p w14:paraId="0EDB7C05" w14:textId="77777777" w:rsidR="0093756C" w:rsidRPr="005534BD" w:rsidRDefault="00752E30">
      <w:pPr>
        <w:spacing w:after="0"/>
        <w:ind w:left="851" w:right="851"/>
        <w:jc w:val="both"/>
        <w:rPr>
          <w:rFonts w:ascii="Palatino Linotype" w:eastAsia="Palatino Linotype" w:hAnsi="Palatino Linotype" w:cs="Palatino Linotype"/>
        </w:rPr>
      </w:pPr>
      <w:r w:rsidRPr="005534BD">
        <w:rPr>
          <w:rFonts w:ascii="Palatino Linotype" w:eastAsia="Palatino Linotype" w:hAnsi="Palatino Linotype" w:cs="Palatino Linotype"/>
          <w:i/>
        </w:rPr>
        <w:lastRenderedPageBreak/>
        <w:t> </w:t>
      </w:r>
      <w:r w:rsidRPr="005534BD">
        <w:rPr>
          <w:rFonts w:ascii="Palatino Linotype" w:eastAsia="Palatino Linotype" w:hAnsi="Palatino Linotype" w:cs="Palatino Linotype"/>
          <w:b/>
          <w:i/>
        </w:rPr>
        <w:t xml:space="preserve">I. </w:t>
      </w:r>
      <w:r w:rsidRPr="005534BD">
        <w:rPr>
          <w:rFonts w:ascii="Palatino Linotype" w:eastAsia="Palatino Linotype" w:hAnsi="Palatino Linotype" w:cs="Palatino Linotype"/>
          <w:b/>
          <w:i/>
          <w:u w:val="single"/>
        </w:rPr>
        <w:t xml:space="preserve">Toda la información en posesión de cualquier autoridad, entidad, órgano y organismo de los Poderes Ejecutivo, Legislativo y Judicial, órganos autónomos, </w:t>
      </w:r>
      <w:r w:rsidRPr="005534BD">
        <w:rPr>
          <w:rFonts w:ascii="Palatino Linotype" w:eastAsia="Palatino Linotype" w:hAnsi="Palatino Linotype" w:cs="Palatino Linotype"/>
          <w:i/>
        </w:rPr>
        <w:t xml:space="preserve">partidos políticos, fideicomisos y fondos públicos, así como de cualquier persona física, moral o sindicato que reciba y ejerza recursos públicos o realice actos de autoridad en el ámbito federal, estatal y municipal, </w:t>
      </w:r>
      <w:r w:rsidRPr="005534BD">
        <w:rPr>
          <w:rFonts w:ascii="Palatino Linotype" w:eastAsia="Palatino Linotype" w:hAnsi="Palatino Linotype" w:cs="Palatino Linotype"/>
          <w:b/>
          <w:i/>
        </w:rPr>
        <w:t>es pública y sólo podrá ser reservada temporalmente por razones de interés público y seguridad nacional,</w:t>
      </w:r>
      <w:r w:rsidRPr="005534BD">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317C13" w14:textId="77777777" w:rsidR="0093756C" w:rsidRPr="005534BD" w:rsidRDefault="00752E30">
      <w:pPr>
        <w:spacing w:after="0"/>
        <w:ind w:left="851" w:right="851"/>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 La información que se refiere a la vida privada y los datos personales será protegida en los términos y con las excepciones que fijen las leyes. Para tal efecto, los sujetos obligados contarán con las facultades suficientes para su atención.</w:t>
      </w:r>
    </w:p>
    <w:p w14:paraId="2671977B" w14:textId="77777777" w:rsidR="0093756C" w:rsidRPr="005534BD" w:rsidRDefault="00752E30">
      <w:pPr>
        <w:spacing w:after="0"/>
        <w:ind w:left="851" w:right="851"/>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p>
    <w:p w14:paraId="6ECD1476" w14:textId="77777777" w:rsidR="0093756C" w:rsidRPr="005534BD" w:rsidRDefault="00752E30">
      <w:pPr>
        <w:spacing w:after="0"/>
        <w:ind w:left="851" w:right="851"/>
        <w:jc w:val="both"/>
        <w:rPr>
          <w:rFonts w:ascii="Palatino Linotype" w:eastAsia="Palatino Linotype" w:hAnsi="Palatino Linotype" w:cs="Palatino Linotype"/>
        </w:rPr>
      </w:pPr>
      <w:r w:rsidRPr="005534BD">
        <w:rPr>
          <w:rFonts w:ascii="Palatino Linotype" w:eastAsia="Palatino Linotype" w:hAnsi="Palatino Linotype" w:cs="Palatino Linotype"/>
          <w:b/>
          <w:i/>
        </w:rPr>
        <w:t xml:space="preserve">III. </w:t>
      </w:r>
      <w:r w:rsidRPr="005534BD">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5534BD">
        <w:rPr>
          <w:rFonts w:ascii="Palatino Linotype" w:eastAsia="Palatino Linotype" w:hAnsi="Palatino Linotype" w:cs="Palatino Linotype"/>
          <w:i/>
        </w:rPr>
        <w:t xml:space="preserve"> a sus datos personales o a la rectificación de éstos.</w:t>
      </w:r>
    </w:p>
    <w:p w14:paraId="4C96D758" w14:textId="77777777" w:rsidR="0093756C" w:rsidRPr="005534BD" w:rsidRDefault="00752E30">
      <w:pPr>
        <w:spacing w:after="0"/>
        <w:ind w:left="851" w:right="851"/>
        <w:jc w:val="both"/>
        <w:rPr>
          <w:rFonts w:ascii="Palatino Linotype" w:eastAsia="Palatino Linotype" w:hAnsi="Palatino Linotype" w:cs="Palatino Linotype"/>
          <w:b/>
        </w:rPr>
      </w:pPr>
      <w:r w:rsidRPr="005534BD">
        <w:rPr>
          <w:rFonts w:ascii="Palatino Linotype" w:eastAsia="Palatino Linotype" w:hAnsi="Palatino Linotype" w:cs="Palatino Linotype"/>
          <w:b/>
          <w:i/>
        </w:rPr>
        <w:t>IV. Se establecerán mecanismos de acceso a la información y procedimientos de revisión expeditos que se sustanciarán ante las instancias competentes en los términos que fija esta Constitución y las leyes.</w:t>
      </w:r>
    </w:p>
    <w:p w14:paraId="51D03B23" w14:textId="77777777" w:rsidR="0093756C" w:rsidRPr="005534BD" w:rsidRDefault="00752E30">
      <w:pPr>
        <w:spacing w:after="0"/>
        <w:ind w:left="851" w:right="851"/>
        <w:jc w:val="both"/>
        <w:rPr>
          <w:rFonts w:ascii="Palatino Linotype" w:eastAsia="Palatino Linotype" w:hAnsi="Palatino Linotype" w:cs="Palatino Linotype"/>
        </w:rPr>
      </w:pPr>
      <w:r w:rsidRPr="005534BD">
        <w:rPr>
          <w:rFonts w:ascii="Palatino Linotype" w:eastAsia="Palatino Linotype" w:hAnsi="Palatino Linotype" w:cs="Palatino Linotype"/>
          <w:b/>
          <w:i/>
        </w:rPr>
        <w:t xml:space="preserve">V. </w:t>
      </w:r>
      <w:r w:rsidRPr="005534BD">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798455" w14:textId="77777777" w:rsidR="0093756C" w:rsidRPr="005534BD" w:rsidRDefault="00752E30">
      <w:pPr>
        <w:spacing w:after="0"/>
        <w:ind w:left="851" w:right="851"/>
        <w:jc w:val="both"/>
        <w:rPr>
          <w:rFonts w:ascii="Palatino Linotype" w:eastAsia="Palatino Linotype" w:hAnsi="Palatino Linotype" w:cs="Palatino Linotype"/>
        </w:rPr>
      </w:pPr>
      <w:r w:rsidRPr="005534BD">
        <w:rPr>
          <w:rFonts w:ascii="Palatino Linotype" w:eastAsia="Palatino Linotype" w:hAnsi="Palatino Linotype" w:cs="Palatino Linotype"/>
          <w:i/>
        </w:rPr>
        <w:t> </w:t>
      </w:r>
      <w:r w:rsidRPr="005534BD">
        <w:rPr>
          <w:rFonts w:ascii="Palatino Linotype" w:eastAsia="Palatino Linotype" w:hAnsi="Palatino Linotype" w:cs="Palatino Linotype"/>
          <w:b/>
          <w:i/>
        </w:rPr>
        <w:t xml:space="preserve">VI. </w:t>
      </w:r>
      <w:r w:rsidRPr="005534BD">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1CD689D2" w14:textId="77777777" w:rsidR="0093756C" w:rsidRPr="005534BD" w:rsidRDefault="00752E30">
      <w:pPr>
        <w:pBdr>
          <w:top w:val="nil"/>
          <w:left w:val="nil"/>
          <w:bottom w:val="nil"/>
          <w:right w:val="nil"/>
          <w:between w:val="nil"/>
        </w:pBdr>
        <w:spacing w:after="0"/>
        <w:ind w:left="851" w:right="851"/>
        <w:jc w:val="both"/>
      </w:pPr>
      <w:r w:rsidRPr="005534BD">
        <w:rPr>
          <w:rFonts w:ascii="Palatino Linotype" w:eastAsia="Palatino Linotype" w:hAnsi="Palatino Linotype" w:cs="Palatino Linotype"/>
          <w:i/>
        </w:rPr>
        <w:t> </w:t>
      </w:r>
      <w:r w:rsidRPr="005534BD">
        <w:rPr>
          <w:rFonts w:ascii="Palatino Linotype" w:eastAsia="Palatino Linotype" w:hAnsi="Palatino Linotype" w:cs="Palatino Linotype"/>
          <w:b/>
          <w:i/>
        </w:rPr>
        <w:t xml:space="preserve">VII. </w:t>
      </w:r>
      <w:r w:rsidRPr="005534BD">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D720811" w14:textId="77777777" w:rsidR="0093756C" w:rsidRPr="005534BD" w:rsidRDefault="0093756C">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AAC58A8" w14:textId="77777777" w:rsidR="0093756C" w:rsidRPr="005534BD" w:rsidRDefault="00752E30">
      <w:pPr>
        <w:pBdr>
          <w:top w:val="nil"/>
          <w:left w:val="nil"/>
          <w:bottom w:val="nil"/>
          <w:right w:val="nil"/>
          <w:between w:val="nil"/>
        </w:pBd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0D1EED6" w14:textId="77777777" w:rsidR="0093756C" w:rsidRPr="005534BD" w:rsidRDefault="0093756C">
      <w:pPr>
        <w:pBdr>
          <w:top w:val="nil"/>
          <w:left w:val="nil"/>
          <w:bottom w:val="nil"/>
          <w:right w:val="nil"/>
          <w:between w:val="nil"/>
        </w:pBdr>
        <w:spacing w:after="0" w:line="360" w:lineRule="auto"/>
        <w:jc w:val="both"/>
      </w:pPr>
    </w:p>
    <w:p w14:paraId="20C45E5D" w14:textId="77777777" w:rsidR="0093756C" w:rsidRPr="005534BD" w:rsidRDefault="00752E30">
      <w:pPr>
        <w:spacing w:after="0"/>
        <w:ind w:left="567"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Artículo 4</w:t>
      </w:r>
      <w:r w:rsidRPr="005534B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864C85D" w14:textId="77777777" w:rsidR="0093756C" w:rsidRPr="005534BD" w:rsidRDefault="0093756C">
      <w:pPr>
        <w:spacing w:after="0"/>
        <w:ind w:left="567" w:right="616"/>
        <w:jc w:val="both"/>
        <w:rPr>
          <w:rFonts w:ascii="Palatino Linotype" w:eastAsia="Palatino Linotype" w:hAnsi="Palatino Linotype" w:cs="Palatino Linotype"/>
          <w:i/>
        </w:rPr>
      </w:pPr>
    </w:p>
    <w:p w14:paraId="3D676290" w14:textId="77777777" w:rsidR="0093756C" w:rsidRPr="005534BD" w:rsidRDefault="00752E30">
      <w:pPr>
        <w:spacing w:after="0"/>
        <w:ind w:left="567"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534B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23D12CB" w14:textId="77777777" w:rsidR="0093756C" w:rsidRPr="005534BD" w:rsidRDefault="0093756C">
      <w:pPr>
        <w:spacing w:after="0"/>
        <w:ind w:left="567" w:right="616"/>
        <w:jc w:val="both"/>
        <w:rPr>
          <w:rFonts w:ascii="Palatino Linotype" w:eastAsia="Palatino Linotype" w:hAnsi="Palatino Linotype" w:cs="Palatino Linotype"/>
          <w:i/>
        </w:rPr>
      </w:pPr>
    </w:p>
    <w:p w14:paraId="3C06BF7A" w14:textId="77777777" w:rsidR="0093756C" w:rsidRPr="005534BD" w:rsidRDefault="00752E30">
      <w:pPr>
        <w:spacing w:after="0"/>
        <w:ind w:left="567"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5534BD">
        <w:rPr>
          <w:rFonts w:ascii="Palatino Linotype" w:eastAsia="Palatino Linotype" w:hAnsi="Palatino Linotype" w:cs="Palatino Linotype"/>
          <w:i/>
        </w:rPr>
        <w:t>.”</w:t>
      </w:r>
    </w:p>
    <w:p w14:paraId="69EC7AF8" w14:textId="77777777" w:rsidR="0093756C" w:rsidRPr="005534BD" w:rsidRDefault="0093756C">
      <w:pPr>
        <w:spacing w:after="0" w:line="360" w:lineRule="auto"/>
        <w:jc w:val="both"/>
        <w:rPr>
          <w:rFonts w:ascii="Palatino Linotype" w:eastAsia="Palatino Linotype" w:hAnsi="Palatino Linotype" w:cs="Palatino Linotype"/>
        </w:rPr>
      </w:pPr>
    </w:p>
    <w:p w14:paraId="30365928"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w:t>
      </w:r>
      <w:r w:rsidRPr="005534BD">
        <w:rPr>
          <w:rFonts w:ascii="Palatino Linotype" w:eastAsia="Palatino Linotype" w:hAnsi="Palatino Linotype" w:cs="Palatino Linotype"/>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0071DF0" w14:textId="77777777" w:rsidR="0093756C" w:rsidRPr="005534BD" w:rsidRDefault="0093756C">
      <w:pPr>
        <w:spacing w:after="0" w:line="360" w:lineRule="auto"/>
        <w:jc w:val="both"/>
        <w:rPr>
          <w:rFonts w:ascii="Palatino Linotype" w:eastAsia="Palatino Linotype" w:hAnsi="Palatino Linotype" w:cs="Palatino Linotype"/>
        </w:rPr>
      </w:pPr>
    </w:p>
    <w:p w14:paraId="1C1441D4" w14:textId="77777777" w:rsidR="0093756C" w:rsidRPr="005534BD" w:rsidRDefault="00752E30">
      <w:pPr>
        <w:spacing w:after="0"/>
        <w:ind w:left="567"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“Artículo 12.-</w:t>
      </w:r>
      <w:r w:rsidRPr="005534B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02E19FD" w14:textId="77777777" w:rsidR="0093756C" w:rsidRPr="005534BD" w:rsidRDefault="0093756C">
      <w:pPr>
        <w:spacing w:after="0"/>
        <w:ind w:left="567" w:right="616"/>
        <w:jc w:val="both"/>
        <w:rPr>
          <w:rFonts w:ascii="Palatino Linotype" w:eastAsia="Palatino Linotype" w:hAnsi="Palatino Linotype" w:cs="Palatino Linotype"/>
          <w:i/>
        </w:rPr>
      </w:pPr>
    </w:p>
    <w:p w14:paraId="13A7CCB0" w14:textId="77777777" w:rsidR="0093756C" w:rsidRPr="005534BD" w:rsidRDefault="00752E30">
      <w:pPr>
        <w:spacing w:after="0"/>
        <w:ind w:left="567" w:right="616"/>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2764443F" w14:textId="77777777" w:rsidR="0093756C" w:rsidRPr="005534BD" w:rsidRDefault="0093756C">
      <w:pPr>
        <w:spacing w:after="0" w:line="360" w:lineRule="auto"/>
        <w:ind w:left="567" w:right="616"/>
        <w:jc w:val="both"/>
        <w:rPr>
          <w:rFonts w:ascii="Palatino Linotype" w:eastAsia="Palatino Linotype" w:hAnsi="Palatino Linotype" w:cs="Palatino Linotype"/>
          <w:i/>
        </w:rPr>
      </w:pPr>
    </w:p>
    <w:p w14:paraId="4C9AE33A" w14:textId="77777777" w:rsidR="0093756C" w:rsidRPr="005534BD" w:rsidRDefault="00752E30">
      <w:pPr>
        <w:spacing w:after="0" w:line="360" w:lineRule="auto"/>
        <w:ind w:right="-93"/>
        <w:jc w:val="both"/>
        <w:rPr>
          <w:rFonts w:ascii="Palatino Linotype" w:eastAsia="Palatino Linotype" w:hAnsi="Palatino Linotype" w:cs="Palatino Linotype"/>
        </w:rPr>
      </w:pPr>
      <w:r w:rsidRPr="005534B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D0C06B4" w14:textId="77777777" w:rsidR="0093756C" w:rsidRPr="005534BD" w:rsidRDefault="0093756C">
      <w:pPr>
        <w:spacing w:after="0" w:line="360" w:lineRule="auto"/>
        <w:ind w:right="-93"/>
        <w:jc w:val="both"/>
        <w:rPr>
          <w:rFonts w:ascii="Palatino Linotype" w:eastAsia="Palatino Linotype" w:hAnsi="Palatino Linotype" w:cs="Palatino Linotype"/>
        </w:rPr>
      </w:pPr>
    </w:p>
    <w:p w14:paraId="016A110B" w14:textId="77777777" w:rsidR="0093756C" w:rsidRPr="005534BD" w:rsidRDefault="00752E30">
      <w:pPr>
        <w:spacing w:after="0" w:line="360" w:lineRule="auto"/>
        <w:jc w:val="both"/>
        <w:rPr>
          <w:rFonts w:ascii="Palatino Linotype" w:eastAsia="Palatino Linotype" w:hAnsi="Palatino Linotype" w:cs="Palatino Linotype"/>
          <w:b/>
        </w:rPr>
      </w:pPr>
      <w:r w:rsidRPr="005534BD">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5534BD">
        <w:rPr>
          <w:rFonts w:ascii="Palatino Linotype" w:eastAsia="Palatino Linotype" w:hAnsi="Palatino Linotype" w:cs="Palatino Linotype"/>
          <w:b/>
        </w:rPr>
        <w:t xml:space="preserve"> </w:t>
      </w:r>
    </w:p>
    <w:p w14:paraId="5D1C8AF7" w14:textId="77777777" w:rsidR="0093756C" w:rsidRPr="005534BD" w:rsidRDefault="0093756C">
      <w:pPr>
        <w:spacing w:after="0" w:line="360" w:lineRule="auto"/>
        <w:jc w:val="both"/>
        <w:rPr>
          <w:rFonts w:ascii="Palatino Linotype" w:eastAsia="Palatino Linotype" w:hAnsi="Palatino Linotype" w:cs="Palatino Linotype"/>
          <w:b/>
        </w:rPr>
      </w:pPr>
    </w:p>
    <w:p w14:paraId="2B0C19DF" w14:textId="77777777" w:rsidR="0093756C" w:rsidRPr="005534BD" w:rsidRDefault="00752E30">
      <w:pPr>
        <w:spacing w:after="0"/>
        <w:ind w:left="567"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lastRenderedPageBreak/>
        <w:t>“</w:t>
      </w:r>
      <w:r w:rsidRPr="005534BD">
        <w:rPr>
          <w:rFonts w:ascii="Palatino Linotype" w:eastAsia="Palatino Linotype" w:hAnsi="Palatino Linotype" w:cs="Palatino Linotype"/>
          <w:b/>
          <w:i/>
        </w:rPr>
        <w:t>No existe obligación de elaborar documentos ad hoc para atender las solicitudes de acceso a la información.</w:t>
      </w:r>
      <w:r w:rsidRPr="005534BD">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A4953C9" w14:textId="77777777" w:rsidR="0093756C" w:rsidRPr="005534BD" w:rsidRDefault="0093756C">
      <w:pPr>
        <w:spacing w:after="0" w:line="360" w:lineRule="auto"/>
        <w:ind w:right="-93"/>
        <w:jc w:val="both"/>
        <w:rPr>
          <w:rFonts w:ascii="Palatino Linotype" w:eastAsia="Palatino Linotype" w:hAnsi="Palatino Linotype" w:cs="Palatino Linotype"/>
        </w:rPr>
      </w:pPr>
    </w:p>
    <w:p w14:paraId="3A1FFC58"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82089E4" w14:textId="77777777" w:rsidR="0093756C" w:rsidRPr="005534BD" w:rsidRDefault="0093756C">
      <w:pPr>
        <w:spacing w:after="0" w:line="360" w:lineRule="auto"/>
        <w:jc w:val="both"/>
        <w:rPr>
          <w:rFonts w:ascii="Palatino Linotype" w:eastAsia="Palatino Linotype" w:hAnsi="Palatino Linotype" w:cs="Palatino Linotype"/>
        </w:rPr>
      </w:pPr>
    </w:p>
    <w:p w14:paraId="1356EC70" w14:textId="77777777" w:rsidR="0093756C" w:rsidRPr="005534BD" w:rsidRDefault="00752E30">
      <w:pPr>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8B93ADD" w14:textId="77777777" w:rsidR="0093756C" w:rsidRPr="005534BD" w:rsidRDefault="0093756C">
      <w:pPr>
        <w:spacing w:after="0" w:line="360" w:lineRule="auto"/>
        <w:ind w:right="49"/>
        <w:jc w:val="both"/>
        <w:rPr>
          <w:rFonts w:ascii="Palatino Linotype" w:eastAsia="Palatino Linotype" w:hAnsi="Palatino Linotype" w:cs="Palatino Linotype"/>
        </w:rPr>
      </w:pPr>
    </w:p>
    <w:p w14:paraId="4513F046"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w:t>
      </w:r>
      <w:r w:rsidRPr="005534BD">
        <w:rPr>
          <w:rFonts w:ascii="Palatino Linotype" w:eastAsia="Palatino Linotype" w:hAnsi="Palatino Linotype" w:cs="Palatino Linotype"/>
        </w:rPr>
        <w:lastRenderedPageBreak/>
        <w:t>Estado Libre y Soberano de México “Gaceta del Gobierno”, el diecinueve de octubre de dos mil once, cuyo rubro y texto refieren lo siguiente:</w:t>
      </w:r>
    </w:p>
    <w:p w14:paraId="28F58BEA" w14:textId="77777777" w:rsidR="0093756C" w:rsidRPr="005534BD" w:rsidRDefault="0093756C">
      <w:pPr>
        <w:spacing w:after="0" w:line="360" w:lineRule="auto"/>
        <w:jc w:val="both"/>
        <w:rPr>
          <w:rFonts w:ascii="Palatino Linotype" w:eastAsia="Palatino Linotype" w:hAnsi="Palatino Linotype" w:cs="Palatino Linotype"/>
        </w:rPr>
      </w:pPr>
    </w:p>
    <w:p w14:paraId="6F056BB8" w14:textId="77777777" w:rsidR="0093756C" w:rsidRPr="005534BD" w:rsidRDefault="00752E30">
      <w:pPr>
        <w:spacing w:after="0"/>
        <w:ind w:left="567" w:right="616"/>
        <w:jc w:val="both"/>
        <w:rPr>
          <w:rFonts w:ascii="Palatino Linotype" w:eastAsia="Palatino Linotype" w:hAnsi="Palatino Linotype" w:cs="Palatino Linotype"/>
          <w:b/>
          <w:i/>
        </w:rPr>
      </w:pPr>
      <w:r w:rsidRPr="005534BD">
        <w:rPr>
          <w:rFonts w:ascii="Palatino Linotype" w:eastAsia="Palatino Linotype" w:hAnsi="Palatino Linotype" w:cs="Palatino Linotype"/>
          <w:b/>
        </w:rPr>
        <w:t>“</w:t>
      </w:r>
      <w:r w:rsidRPr="005534BD">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5534B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025845" w14:textId="77777777" w:rsidR="0093756C" w:rsidRPr="005534BD" w:rsidRDefault="00752E30">
      <w:pPr>
        <w:spacing w:after="0"/>
        <w:ind w:left="567"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En consecuencia el acceso a la información se refiere a que se cumplan cualquiera de los siguientes tres supuestos:</w:t>
      </w:r>
    </w:p>
    <w:p w14:paraId="7B013497" w14:textId="77777777" w:rsidR="0093756C" w:rsidRPr="005534BD" w:rsidRDefault="00752E30">
      <w:pPr>
        <w:spacing w:after="0"/>
        <w:ind w:left="567"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84B89C6" w14:textId="77777777" w:rsidR="0093756C" w:rsidRPr="005534BD" w:rsidRDefault="00752E30">
      <w:pPr>
        <w:spacing w:after="0"/>
        <w:ind w:left="567" w:right="616"/>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04F17A21" w14:textId="77777777" w:rsidR="0093756C" w:rsidRPr="005534BD" w:rsidRDefault="00752E30">
      <w:pPr>
        <w:spacing w:after="0"/>
        <w:ind w:left="567" w:right="616"/>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3EE6E794" w14:textId="77777777" w:rsidR="0093756C" w:rsidRPr="005534BD" w:rsidRDefault="0093756C">
      <w:pPr>
        <w:spacing w:after="0" w:line="360" w:lineRule="auto"/>
        <w:jc w:val="both"/>
        <w:rPr>
          <w:rFonts w:ascii="Palatino Linotype" w:eastAsia="Palatino Linotype" w:hAnsi="Palatino Linotype" w:cs="Palatino Linotype"/>
        </w:rPr>
      </w:pPr>
    </w:p>
    <w:p w14:paraId="3B4EFD52"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De ahí que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534BD">
        <w:rPr>
          <w:rFonts w:ascii="Palatino Linotype" w:eastAsia="Palatino Linotype" w:hAnsi="Palatino Linotype" w:cs="Palatino Linotype"/>
          <w:vertAlign w:val="superscript"/>
        </w:rPr>
        <w:footnoteReference w:id="1"/>
      </w:r>
      <w:r w:rsidRPr="005534BD">
        <w:rPr>
          <w:rFonts w:ascii="Palatino Linotype" w:eastAsia="Palatino Linotype" w:hAnsi="Palatino Linotype" w:cs="Palatino Linotype"/>
        </w:rPr>
        <w:t xml:space="preserve">, así como de </w:t>
      </w:r>
      <w:r w:rsidRPr="005534BD">
        <w:rPr>
          <w:rFonts w:ascii="Palatino Linotype" w:eastAsia="Palatino Linotype" w:hAnsi="Palatino Linotype" w:cs="Palatino Linotype"/>
        </w:rPr>
        <w:lastRenderedPageBreak/>
        <w:t>interés público, es decir, aquella que resulta relevante o beneficiosa para la sociedad y no simplemente de interés individual, y cuya divulgación resulta útil para que el público comprenda las actividades que llevan a cabo los Sujetos Obligados</w:t>
      </w:r>
      <w:r w:rsidRPr="005534BD">
        <w:rPr>
          <w:rFonts w:ascii="Palatino Linotype" w:eastAsia="Palatino Linotype" w:hAnsi="Palatino Linotype" w:cs="Palatino Linotype"/>
          <w:vertAlign w:val="superscript"/>
        </w:rPr>
        <w:footnoteReference w:id="2"/>
      </w:r>
      <w:r w:rsidRPr="005534BD">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6059037C" w14:textId="77777777" w:rsidR="0093756C" w:rsidRPr="005534BD" w:rsidRDefault="0093756C">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51E79DF0"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Conviene iniciar el presente estudio señalando que del análisis a las solicitudes de información, se advierte que la persona solicitante requirió del </w:t>
      </w:r>
      <w:r w:rsidRPr="005534BD">
        <w:rPr>
          <w:rFonts w:ascii="Palatino Linotype" w:eastAsia="Palatino Linotype" w:hAnsi="Palatino Linotype" w:cs="Palatino Linotype"/>
          <w:b/>
        </w:rPr>
        <w:t xml:space="preserve">Sujeto Obligado, respecto de todos los servidores públicos adscritos al Ayuntamiento de Ozumba, </w:t>
      </w:r>
      <w:r w:rsidRPr="005534BD">
        <w:rPr>
          <w:rFonts w:ascii="Palatino Linotype" w:eastAsia="Palatino Linotype" w:hAnsi="Palatino Linotype" w:cs="Palatino Linotype"/>
        </w:rPr>
        <w:t>lo</w:t>
      </w:r>
      <w:r w:rsidRPr="005534BD">
        <w:rPr>
          <w:rFonts w:ascii="Palatino Linotype" w:eastAsia="Palatino Linotype" w:hAnsi="Palatino Linotype" w:cs="Palatino Linotype"/>
          <w:b/>
        </w:rPr>
        <w:t xml:space="preserve"> </w:t>
      </w:r>
      <w:r w:rsidRPr="005534BD">
        <w:rPr>
          <w:rFonts w:ascii="Palatino Linotype" w:eastAsia="Palatino Linotype" w:hAnsi="Palatino Linotype" w:cs="Palatino Linotype"/>
        </w:rPr>
        <w:t>siguiente:</w:t>
      </w:r>
    </w:p>
    <w:p w14:paraId="3DA2DDA0"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p>
    <w:p w14:paraId="2C1D0A02"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5534BD">
        <w:rPr>
          <w:rFonts w:ascii="Palatino Linotype" w:eastAsia="Palatino Linotype" w:hAnsi="Palatino Linotype" w:cs="Palatino Linotype"/>
          <w:b/>
        </w:rPr>
        <w:t>Solicitud 00029/OZUMBA/IP/2025:</w:t>
      </w:r>
    </w:p>
    <w:p w14:paraId="7115C21E"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p>
    <w:p w14:paraId="6AC4FF78"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5534BD">
        <w:rPr>
          <w:rFonts w:ascii="Palatino Linotype" w:eastAsia="Palatino Linotype" w:hAnsi="Palatino Linotype" w:cs="Palatino Linotype"/>
          <w:b/>
        </w:rPr>
        <w:t>1. Recibos de nómina de la primera y segunda quincena.</w:t>
      </w:r>
    </w:p>
    <w:p w14:paraId="22898120"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p>
    <w:p w14:paraId="102B7D13"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5534BD">
        <w:rPr>
          <w:rFonts w:ascii="Palatino Linotype" w:eastAsia="Palatino Linotype" w:hAnsi="Palatino Linotype" w:cs="Palatino Linotype"/>
          <w:b/>
        </w:rPr>
        <w:t>2. Recibos por los pagos de prima vacacional y aguinaldo del ejercicio 2024.</w:t>
      </w:r>
    </w:p>
    <w:p w14:paraId="6F69EA36"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p>
    <w:p w14:paraId="4D4B0F2E"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5534BD">
        <w:rPr>
          <w:rFonts w:ascii="Palatino Linotype" w:eastAsia="Palatino Linotype" w:hAnsi="Palatino Linotype" w:cs="Palatino Linotype"/>
          <w:b/>
        </w:rPr>
        <w:t>3. Recibos por el pago de finiquitos en el ejercicio 2024.</w:t>
      </w:r>
    </w:p>
    <w:p w14:paraId="53923166"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p>
    <w:p w14:paraId="2A7E0028"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5534BD">
        <w:rPr>
          <w:rFonts w:ascii="Palatino Linotype" w:eastAsia="Palatino Linotype" w:hAnsi="Palatino Linotype" w:cs="Palatino Linotype"/>
          <w:b/>
        </w:rPr>
        <w:t>Solicitud 00030/OZUMBA/IP/2025:</w:t>
      </w:r>
    </w:p>
    <w:p w14:paraId="3ED8B9CD"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5534BD">
        <w:rPr>
          <w:rFonts w:ascii="Palatino Linotype" w:eastAsia="Palatino Linotype" w:hAnsi="Palatino Linotype" w:cs="Palatino Linotype"/>
          <w:b/>
        </w:rPr>
        <w:t>1. Recibos de nómina de la primera quincena de enero de 2025.</w:t>
      </w:r>
    </w:p>
    <w:p w14:paraId="1B5CBAF3"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p>
    <w:p w14:paraId="4F7CCF13" w14:textId="77777777" w:rsidR="0093756C" w:rsidRPr="005534BD" w:rsidRDefault="00752E30">
      <w:pPr>
        <w:pBdr>
          <w:top w:val="nil"/>
          <w:left w:val="nil"/>
          <w:bottom w:val="nil"/>
          <w:right w:val="nil"/>
          <w:between w:val="nil"/>
        </w:pBdr>
        <w:spacing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 lo anterior, el </w:t>
      </w:r>
      <w:r w:rsidRPr="005534BD">
        <w:rPr>
          <w:rFonts w:ascii="Palatino Linotype" w:eastAsia="Palatino Linotype" w:hAnsi="Palatino Linotype" w:cs="Palatino Linotype"/>
          <w:b/>
        </w:rPr>
        <w:t xml:space="preserve">Sujeto Obligado </w:t>
      </w:r>
      <w:r w:rsidRPr="005534BD">
        <w:rPr>
          <w:rFonts w:ascii="Palatino Linotype" w:eastAsia="Palatino Linotype" w:hAnsi="Palatino Linotype" w:cs="Palatino Linotype"/>
        </w:rPr>
        <w:t xml:space="preserve">por conducto del Tesorero Municipal informó que con relación a los recibos requeridos en la solicitud </w:t>
      </w:r>
      <w:r w:rsidRPr="005534BD">
        <w:rPr>
          <w:rFonts w:ascii="Palatino Linotype" w:eastAsia="Palatino Linotype" w:hAnsi="Palatino Linotype" w:cs="Palatino Linotype"/>
          <w:b/>
        </w:rPr>
        <w:t xml:space="preserve">00029/OZUMBA/IP/2025, </w:t>
      </w:r>
      <w:r w:rsidRPr="005534BD">
        <w:rPr>
          <w:rFonts w:ascii="Palatino Linotype" w:eastAsia="Palatino Linotype" w:hAnsi="Palatino Linotype" w:cs="Palatino Linotype"/>
        </w:rPr>
        <w:t>que</w:t>
      </w:r>
      <w:r w:rsidRPr="005534BD">
        <w:rPr>
          <w:rFonts w:ascii="Palatino Linotype" w:eastAsia="Palatino Linotype" w:hAnsi="Palatino Linotype" w:cs="Palatino Linotype"/>
          <w:b/>
        </w:rPr>
        <w:t xml:space="preserve"> </w:t>
      </w:r>
      <w:r w:rsidRPr="005534BD">
        <w:rPr>
          <w:rFonts w:ascii="Palatino Linotype" w:eastAsia="Palatino Linotype" w:hAnsi="Palatino Linotype" w:cs="Palatino Linotype"/>
        </w:rPr>
        <w:t xml:space="preserve">se debía especificar los periodos de los que se requiere la información; y, con relación a los recibos requeridos en la solicitud </w:t>
      </w:r>
      <w:r w:rsidRPr="005534BD">
        <w:rPr>
          <w:rFonts w:ascii="Palatino Linotype" w:eastAsia="Palatino Linotype" w:hAnsi="Palatino Linotype" w:cs="Palatino Linotype"/>
          <w:b/>
        </w:rPr>
        <w:t xml:space="preserve">00030/OZUMBA/IP/2025 </w:t>
      </w:r>
      <w:r w:rsidRPr="005534BD">
        <w:rPr>
          <w:rFonts w:ascii="Palatino Linotype" w:eastAsia="Palatino Linotype" w:hAnsi="Palatino Linotype" w:cs="Palatino Linotype"/>
        </w:rPr>
        <w:t>“recibos de nómina de la primera quincena de enero 2025”, que la información se encuentra en proceso, y por tanto no se cuenta con ella.</w:t>
      </w:r>
    </w:p>
    <w:p w14:paraId="0220DABB" w14:textId="77777777" w:rsidR="0093756C" w:rsidRPr="005534BD" w:rsidRDefault="0093756C">
      <w:pPr>
        <w:spacing w:after="0" w:line="360" w:lineRule="auto"/>
        <w:ind w:right="49"/>
        <w:jc w:val="both"/>
        <w:rPr>
          <w:rFonts w:ascii="Palatino Linotype" w:eastAsia="Palatino Linotype" w:hAnsi="Palatino Linotype" w:cs="Palatino Linotype"/>
        </w:rPr>
      </w:pPr>
    </w:p>
    <w:p w14:paraId="4173EEB5" w14:textId="77777777" w:rsidR="0093756C" w:rsidRPr="005534BD" w:rsidRDefault="00752E30">
      <w:pPr>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Inconforme con las respuestas, la parte </w:t>
      </w:r>
      <w:r w:rsidRPr="005534BD">
        <w:rPr>
          <w:rFonts w:ascii="Palatino Linotype" w:eastAsia="Palatino Linotype" w:hAnsi="Palatino Linotype" w:cs="Palatino Linotype"/>
          <w:b/>
        </w:rPr>
        <w:t xml:space="preserve">Recurrente </w:t>
      </w:r>
      <w:r w:rsidRPr="005534BD">
        <w:rPr>
          <w:rFonts w:ascii="Palatino Linotype" w:eastAsia="Palatino Linotype" w:hAnsi="Palatino Linotype" w:cs="Palatino Linotype"/>
        </w:rPr>
        <w:t xml:space="preserve">promovió los presentes recursos de revisión en los que a manera de motivos de inconformidad </w:t>
      </w:r>
      <w:r w:rsidRPr="005534BD">
        <w:rPr>
          <w:rFonts w:ascii="Palatino Linotype" w:eastAsia="Palatino Linotype" w:hAnsi="Palatino Linotype" w:cs="Palatino Linotype"/>
          <w:b/>
        </w:rPr>
        <w:t>se adolece medularmente de la negativa a la entrega de la información.</w:t>
      </w:r>
    </w:p>
    <w:p w14:paraId="17996722" w14:textId="77777777" w:rsidR="0093756C" w:rsidRPr="005534BD" w:rsidRDefault="0093756C">
      <w:pPr>
        <w:spacing w:after="0" w:line="360" w:lineRule="auto"/>
        <w:ind w:right="49"/>
        <w:jc w:val="both"/>
        <w:rPr>
          <w:rFonts w:ascii="Palatino Linotype" w:eastAsia="Palatino Linotype" w:hAnsi="Palatino Linotype" w:cs="Palatino Linotype"/>
        </w:rPr>
      </w:pPr>
    </w:p>
    <w:p w14:paraId="73163181"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Admitidos los medios de impugnación que nos ocupa, en términos del artículo 185 fracción II</w:t>
      </w:r>
      <w:r w:rsidRPr="005534BD">
        <w:rPr>
          <w:rFonts w:ascii="Palatino Linotype" w:eastAsia="Palatino Linotype" w:hAnsi="Palatino Linotype" w:cs="Palatino Linotype"/>
          <w:vertAlign w:val="superscript"/>
        </w:rPr>
        <w:footnoteReference w:id="3"/>
      </w:r>
      <w:r w:rsidRPr="005534B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5761DDF" w14:textId="77777777" w:rsidR="0093756C" w:rsidRPr="005534BD" w:rsidRDefault="0093756C">
      <w:pPr>
        <w:spacing w:after="0" w:line="360" w:lineRule="auto"/>
        <w:jc w:val="both"/>
        <w:rPr>
          <w:rFonts w:ascii="Palatino Linotype" w:eastAsia="Palatino Linotype" w:hAnsi="Palatino Linotype" w:cs="Palatino Linotype"/>
        </w:rPr>
      </w:pPr>
    </w:p>
    <w:p w14:paraId="0F64BF2B" w14:textId="77777777" w:rsidR="0093756C" w:rsidRPr="005534BD" w:rsidRDefault="00752E3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Cabe resaltar que, durante la etapa de manifestaciones</w:t>
      </w:r>
      <w:r w:rsidRPr="005534BD">
        <w:rPr>
          <w:rFonts w:ascii="Palatino Linotype" w:eastAsia="Palatino Linotype" w:hAnsi="Palatino Linotype" w:cs="Palatino Linotype"/>
          <w:b/>
        </w:rPr>
        <w:t xml:space="preserve">, </w:t>
      </w:r>
      <w:r w:rsidRPr="005534BD">
        <w:rPr>
          <w:rFonts w:ascii="Palatino Linotype" w:eastAsia="Palatino Linotype" w:hAnsi="Palatino Linotype" w:cs="Palatino Linotype"/>
        </w:rPr>
        <w:t xml:space="preserve">el </w:t>
      </w:r>
      <w:r w:rsidRPr="005534BD">
        <w:rPr>
          <w:rFonts w:ascii="Palatino Linotype" w:eastAsia="Palatino Linotype" w:hAnsi="Palatino Linotype" w:cs="Palatino Linotype"/>
          <w:b/>
        </w:rPr>
        <w:t xml:space="preserve">Sujeto Obligado </w:t>
      </w:r>
      <w:r w:rsidRPr="005534BD">
        <w:rPr>
          <w:rFonts w:ascii="Palatino Linotype" w:eastAsia="Palatino Linotype" w:hAnsi="Palatino Linotype" w:cs="Palatino Linotype"/>
        </w:rPr>
        <w:t xml:space="preserve">fue omiso en rendir su informe justificado, y la </w:t>
      </w:r>
      <w:r w:rsidRPr="005534BD">
        <w:rPr>
          <w:rFonts w:ascii="Palatino Linotype" w:eastAsia="Palatino Linotype" w:hAnsi="Palatino Linotype" w:cs="Palatino Linotype"/>
          <w:b/>
        </w:rPr>
        <w:t xml:space="preserve">parte Recurrente </w:t>
      </w:r>
      <w:r w:rsidRPr="005534BD">
        <w:rPr>
          <w:rFonts w:ascii="Palatino Linotype" w:eastAsia="Palatino Linotype" w:hAnsi="Palatino Linotype" w:cs="Palatino Linotype"/>
        </w:rPr>
        <w:t>fue omisa en hacer valer manifestaciones o alegatos que conforme a derecho resultaran procedentes.</w:t>
      </w:r>
    </w:p>
    <w:p w14:paraId="27068F38" w14:textId="77777777" w:rsidR="0093756C" w:rsidRPr="005534BD" w:rsidRDefault="0093756C">
      <w:pPr>
        <w:spacing w:after="0" w:line="360" w:lineRule="auto"/>
        <w:jc w:val="both"/>
        <w:rPr>
          <w:rFonts w:ascii="Palatino Linotype" w:eastAsia="Palatino Linotype" w:hAnsi="Palatino Linotype" w:cs="Palatino Linotype"/>
        </w:rPr>
      </w:pPr>
    </w:p>
    <w:p w14:paraId="41B10C78"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Expuestas las posturas de las partes, previo al análisis de fondo, es de señalar que del análisis a la solicitud de información 00029/OZUMBA/IP/2025, se advierte que el particular fue omiso en precisar el mes del ejercicio dos mil veinticuatro, respecto del cual requería los recibos de nómina de la primera y segunda quincena.</w:t>
      </w:r>
    </w:p>
    <w:p w14:paraId="4038291E" w14:textId="77777777" w:rsidR="0093756C" w:rsidRPr="005534BD" w:rsidRDefault="0093756C">
      <w:pPr>
        <w:spacing w:after="0" w:line="360" w:lineRule="auto"/>
        <w:jc w:val="both"/>
        <w:rPr>
          <w:rFonts w:ascii="Palatino Linotype" w:eastAsia="Palatino Linotype" w:hAnsi="Palatino Linotype" w:cs="Palatino Linotype"/>
        </w:rPr>
      </w:pPr>
    </w:p>
    <w:p w14:paraId="458E2F5A"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De esta manera, se considera que para efectos del cumplimiento que se deba dar a la presente resolución, es dable tener como mes del dos mil veinticuatro, respecto de la cual se solicitó los recibos de nómina de la primera y segunda quincena en la solicitud de información </w:t>
      </w:r>
      <w:r w:rsidRPr="005534BD">
        <w:rPr>
          <w:rFonts w:ascii="Palatino Linotype" w:eastAsia="Palatino Linotype" w:hAnsi="Palatino Linotype" w:cs="Palatino Linotype"/>
          <w:b/>
        </w:rPr>
        <w:t xml:space="preserve">00029/OZUMBA/IP/2025, </w:t>
      </w:r>
      <w:r w:rsidRPr="005534BD">
        <w:rPr>
          <w:rFonts w:ascii="Palatino Linotype" w:eastAsia="Palatino Linotype" w:hAnsi="Palatino Linotype" w:cs="Palatino Linotype"/>
        </w:rPr>
        <w:t>los correspondientes a la primera y segunda quincena de diciembre de dos mil veinticuatro.</w:t>
      </w:r>
    </w:p>
    <w:p w14:paraId="7ABB6629" w14:textId="77777777" w:rsidR="0093756C" w:rsidRPr="005534BD" w:rsidRDefault="0093756C">
      <w:pPr>
        <w:spacing w:after="0" w:line="360" w:lineRule="auto"/>
        <w:jc w:val="both"/>
        <w:rPr>
          <w:rFonts w:ascii="Palatino Linotype" w:eastAsia="Palatino Linotype" w:hAnsi="Palatino Linotype" w:cs="Palatino Linotype"/>
        </w:rPr>
      </w:pPr>
    </w:p>
    <w:p w14:paraId="024B2444"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Como referencia a lo anterior, se cita el criterio reiterado 04/2024 por el Pleno de este Órgano Garante, que dispone lo siguiente:</w:t>
      </w:r>
    </w:p>
    <w:p w14:paraId="17BAF170" w14:textId="77777777" w:rsidR="0093756C" w:rsidRPr="005534BD" w:rsidRDefault="0093756C">
      <w:pPr>
        <w:spacing w:after="0" w:line="360" w:lineRule="auto"/>
        <w:jc w:val="both"/>
        <w:rPr>
          <w:rFonts w:ascii="Palatino Linotype" w:eastAsia="Palatino Linotype" w:hAnsi="Palatino Linotype" w:cs="Palatino Linotype"/>
        </w:rPr>
      </w:pPr>
    </w:p>
    <w:p w14:paraId="79CD1A05" w14:textId="77777777" w:rsidR="0093756C" w:rsidRPr="005534BD" w:rsidRDefault="00752E30">
      <w:pPr>
        <w:spacing w:after="0"/>
        <w:ind w:left="567" w:right="560"/>
        <w:jc w:val="both"/>
        <w:rPr>
          <w:rFonts w:ascii="Palatino Linotype" w:eastAsia="Palatino Linotype" w:hAnsi="Palatino Linotype" w:cs="Palatino Linotype"/>
          <w:i/>
        </w:rPr>
      </w:pPr>
      <w:r w:rsidRPr="005534BD">
        <w:rPr>
          <w:rFonts w:ascii="Palatino Linotype" w:eastAsia="Palatino Linotype" w:hAnsi="Palatino Linotype" w:cs="Palatino Linotype"/>
          <w:b/>
          <w:i/>
        </w:rPr>
        <w:t>“NÓMINA DE SERVIDORES PÚBLICOS. PERIODO DE BÚSQUEDA Y ENTREGA DE LA INFORMACIÓN, CUANDO NO SE PRECISA EN LA SOLICITUD DE INFORMACIÓN.</w:t>
      </w:r>
      <w:r w:rsidRPr="005534BD">
        <w:rPr>
          <w:rFonts w:ascii="Palatino Linotype" w:eastAsia="Palatino Linotype" w:hAnsi="Palatino Linotype" w:cs="Palatino Linotype"/>
          <w:i/>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4C6C3BD5" w14:textId="77777777" w:rsidR="0093756C" w:rsidRPr="005534BD" w:rsidRDefault="0093756C">
      <w:pPr>
        <w:spacing w:after="0" w:line="360" w:lineRule="auto"/>
        <w:jc w:val="both"/>
        <w:rPr>
          <w:rFonts w:ascii="Palatino Linotype" w:eastAsia="Palatino Linotype" w:hAnsi="Palatino Linotype" w:cs="Palatino Linotype"/>
        </w:rPr>
      </w:pPr>
    </w:p>
    <w:p w14:paraId="6F404AB2"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Precisado lo anterior, resulta procedente el análisis de la naturaleza de la información requerida en las solicitudes de información y palla ello, se estima conveniente el análisis bajo los siguientes apartados:</w:t>
      </w:r>
    </w:p>
    <w:p w14:paraId="107E7339" w14:textId="77777777" w:rsidR="0093756C" w:rsidRPr="005534BD" w:rsidRDefault="0093756C">
      <w:pPr>
        <w:spacing w:after="0" w:line="360" w:lineRule="auto"/>
        <w:jc w:val="both"/>
        <w:rPr>
          <w:rFonts w:ascii="Palatino Linotype" w:eastAsia="Palatino Linotype" w:hAnsi="Palatino Linotype" w:cs="Palatino Linotype"/>
        </w:rPr>
      </w:pPr>
    </w:p>
    <w:p w14:paraId="5E16FC31"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t>a) Recibos de nómina, prima vacacional y aguinaldo:</w:t>
      </w:r>
    </w:p>
    <w:p w14:paraId="32D5BD44" w14:textId="77777777" w:rsidR="0093756C" w:rsidRPr="005534BD" w:rsidRDefault="0093756C">
      <w:pPr>
        <w:spacing w:after="0" w:line="360" w:lineRule="auto"/>
        <w:jc w:val="both"/>
        <w:rPr>
          <w:rFonts w:ascii="Palatino Linotype" w:eastAsia="Palatino Linotype" w:hAnsi="Palatino Linotype" w:cs="Palatino Linotype"/>
        </w:rPr>
      </w:pPr>
    </w:p>
    <w:p w14:paraId="4CCAAEE5"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Al respecto, conviene precisar que si bien el término “</w:t>
      </w:r>
      <w:r w:rsidRPr="005534BD">
        <w:rPr>
          <w:rFonts w:ascii="Palatino Linotype" w:eastAsia="Palatino Linotype" w:hAnsi="Palatino Linotype" w:cs="Palatino Linotype"/>
          <w:i/>
        </w:rPr>
        <w:t xml:space="preserve">nómina” </w:t>
      </w:r>
      <w:r w:rsidRPr="005534BD">
        <w:rPr>
          <w:rFonts w:ascii="Palatino Linotype" w:eastAsia="Palatino Linotype" w:hAnsi="Palatino Linotype" w:cs="Palatino Linotype"/>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5534BD">
        <w:rPr>
          <w:rFonts w:ascii="Palatino Linotype" w:eastAsia="Palatino Linotype" w:hAnsi="Palatino Linotype" w:cs="Palatino Linotype"/>
          <w:i/>
        </w:rPr>
        <w:t>listado general de los trabajadores de una institución, en</w:t>
      </w:r>
      <w:r w:rsidRPr="005534BD">
        <w:rPr>
          <w:rFonts w:ascii="Palatino Linotype" w:eastAsia="Palatino Linotype" w:hAnsi="Palatino Linotype" w:cs="Palatino Linotype"/>
          <w:b/>
          <w:i/>
        </w:rPr>
        <w:t xml:space="preserve"> </w:t>
      </w:r>
      <w:r w:rsidRPr="005534BD">
        <w:rPr>
          <w:rFonts w:ascii="Palatino Linotype" w:eastAsia="Palatino Linotype" w:hAnsi="Palatino Linotype" w:cs="Palatino Linotype"/>
          <w:i/>
        </w:rPr>
        <w:t xml:space="preserve">el cual se </w:t>
      </w:r>
      <w:r w:rsidRPr="005534BD">
        <w:rPr>
          <w:rFonts w:ascii="Palatino Linotype" w:eastAsia="Palatino Linotype" w:hAnsi="Palatino Linotype" w:cs="Palatino Linotype"/>
          <w:b/>
          <w:i/>
        </w:rPr>
        <w:t xml:space="preserve">asientan las </w:t>
      </w:r>
      <w:r w:rsidRPr="005534BD">
        <w:rPr>
          <w:rFonts w:ascii="Palatino Linotype" w:eastAsia="Palatino Linotype" w:hAnsi="Palatino Linotype" w:cs="Palatino Linotype"/>
          <w:b/>
          <w:i/>
          <w:u w:val="single"/>
        </w:rPr>
        <w:t>percepciones brutas, deducciones y alcance neto de las mismas</w:t>
      </w:r>
      <w:r w:rsidRPr="005534BD">
        <w:rPr>
          <w:rFonts w:ascii="Palatino Linotype" w:eastAsia="Palatino Linotype" w:hAnsi="Palatino Linotype" w:cs="Palatino Linotype"/>
          <w:i/>
        </w:rPr>
        <w:t>; la nómina es utilizada para</w:t>
      </w:r>
      <w:r w:rsidRPr="005534BD">
        <w:rPr>
          <w:rFonts w:ascii="Palatino Linotype" w:eastAsia="Palatino Linotype" w:hAnsi="Palatino Linotype" w:cs="Palatino Linotype"/>
          <w:b/>
          <w:i/>
        </w:rPr>
        <w:t xml:space="preserve"> efectuar los pagos periódicos</w:t>
      </w:r>
      <w:r w:rsidRPr="005534BD">
        <w:rPr>
          <w:rFonts w:ascii="Palatino Linotype" w:eastAsia="Palatino Linotype" w:hAnsi="Palatino Linotype" w:cs="Palatino Linotype"/>
          <w:i/>
        </w:rPr>
        <w:t xml:space="preserve"> (semanales, quincenales o</w:t>
      </w:r>
      <w:r w:rsidRPr="005534BD">
        <w:rPr>
          <w:rFonts w:ascii="Palatino Linotype" w:eastAsia="Palatino Linotype" w:hAnsi="Palatino Linotype" w:cs="Palatino Linotype"/>
          <w:b/>
          <w:i/>
        </w:rPr>
        <w:t xml:space="preserve"> </w:t>
      </w:r>
      <w:r w:rsidRPr="005534BD">
        <w:rPr>
          <w:rFonts w:ascii="Palatino Linotype" w:eastAsia="Palatino Linotype" w:hAnsi="Palatino Linotype" w:cs="Palatino Linotype"/>
          <w:i/>
        </w:rPr>
        <w:t xml:space="preserve">mensuales) a los trabajadores por concepto de </w:t>
      </w:r>
      <w:r w:rsidRPr="005534BD">
        <w:rPr>
          <w:rFonts w:ascii="Palatino Linotype" w:eastAsia="Palatino Linotype" w:hAnsi="Palatino Linotype" w:cs="Palatino Linotype"/>
          <w:b/>
          <w:i/>
        </w:rPr>
        <w:t>sueldos y salarios</w:t>
      </w:r>
      <w:r w:rsidRPr="005534BD">
        <w:rPr>
          <w:rFonts w:ascii="Palatino Linotype" w:eastAsia="Palatino Linotype" w:hAnsi="Palatino Linotype" w:cs="Palatino Linotype"/>
          <w:i/>
        </w:rPr>
        <w:t>.</w:t>
      </w:r>
    </w:p>
    <w:p w14:paraId="16A47530" w14:textId="77777777" w:rsidR="0093756C" w:rsidRPr="005534BD" w:rsidRDefault="0093756C">
      <w:pPr>
        <w:spacing w:after="0" w:line="360" w:lineRule="auto"/>
        <w:rPr>
          <w:rFonts w:ascii="Palatino Linotype" w:eastAsia="Palatino Linotype" w:hAnsi="Palatino Linotype" w:cs="Palatino Linotype"/>
        </w:rPr>
      </w:pPr>
    </w:p>
    <w:p w14:paraId="3E307ECA"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De lo anterior, se puede llegar a la conclusión de que la nómina, es el documento que contiene el registro de los trabajadores a los cuales se va a remunerar por los </w:t>
      </w:r>
      <w:hyperlink r:id="rId10">
        <w:r w:rsidRPr="005534BD">
          <w:rPr>
            <w:rFonts w:ascii="Palatino Linotype" w:eastAsia="Palatino Linotype" w:hAnsi="Palatino Linotype" w:cs="Palatino Linotype"/>
          </w:rPr>
          <w:t>servicios</w:t>
        </w:r>
      </w:hyperlink>
      <w:r w:rsidRPr="005534BD">
        <w:rPr>
          <w:rFonts w:ascii="Palatino Linotype" w:eastAsia="Palatino Linotype" w:hAnsi="Palatino Linotype" w:cs="Palatino Linotype"/>
        </w:rPr>
        <w:t xml:space="preserve"> que éstos le prestan al patrón, en el cual </w:t>
      </w:r>
      <w:r w:rsidRPr="005534BD">
        <w:rPr>
          <w:rFonts w:ascii="Palatino Linotype" w:eastAsia="Palatino Linotype" w:hAnsi="Palatino Linotype" w:cs="Palatino Linotype"/>
          <w:b/>
        </w:rPr>
        <w:t>se asientan las percepciones brutas, deducciones y el neto</w:t>
      </w:r>
      <w:r w:rsidRPr="005534BD">
        <w:rPr>
          <w:rFonts w:ascii="Palatino Linotype" w:eastAsia="Palatino Linotype" w:hAnsi="Palatino Linotype" w:cs="Palatino Linotype"/>
        </w:rPr>
        <w:t xml:space="preserve"> a recibir de dichos trabajadores.</w:t>
      </w:r>
    </w:p>
    <w:p w14:paraId="657CE8BE" w14:textId="77777777" w:rsidR="0093756C" w:rsidRPr="005534BD" w:rsidRDefault="0093756C">
      <w:pPr>
        <w:spacing w:after="0" w:line="360" w:lineRule="auto"/>
        <w:jc w:val="both"/>
        <w:rPr>
          <w:rFonts w:ascii="Palatino Linotype" w:eastAsia="Palatino Linotype" w:hAnsi="Palatino Linotype" w:cs="Palatino Linotype"/>
        </w:rPr>
      </w:pPr>
    </w:p>
    <w:p w14:paraId="03F9A74E"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Ahora bien, en lo relativo a los </w:t>
      </w:r>
      <w:r w:rsidRPr="005534BD">
        <w:rPr>
          <w:rFonts w:ascii="Palatino Linotype" w:eastAsia="Palatino Linotype" w:hAnsi="Palatino Linotype" w:cs="Palatino Linotype"/>
          <w:b/>
        </w:rPr>
        <w:t>recibos de nómina</w:t>
      </w:r>
      <w:r w:rsidRPr="005534BD">
        <w:rPr>
          <w:rFonts w:ascii="Palatino Linotype" w:eastAsia="Palatino Linotype" w:hAnsi="Palatino Linotype" w:cs="Palatino Linotype"/>
        </w:rPr>
        <w:t xml:space="preserve">, la Ley del Trabajo de los Servidores Públicos del Estado y Municipios hace referencia a los comprobantes que las instituciones públicas realizan </w:t>
      </w:r>
      <w:r w:rsidRPr="005534BD">
        <w:rPr>
          <w:rFonts w:ascii="Palatino Linotype" w:eastAsia="Palatino Linotype" w:hAnsi="Palatino Linotype" w:cs="Palatino Linotype"/>
          <w:b/>
          <w:u w:val="single"/>
        </w:rPr>
        <w:t>para documentar el pago de salarios, prima vacacional, aguinaldo y demás prestaciones otorgadas a un servidor público</w:t>
      </w:r>
      <w:r w:rsidRPr="005534BD">
        <w:rPr>
          <w:rFonts w:ascii="Palatino Linotype" w:eastAsia="Palatino Linotype" w:hAnsi="Palatino Linotype" w:cs="Palatino Linotype"/>
        </w:rPr>
        <w:t>, denominándose "</w:t>
      </w:r>
      <w:r w:rsidRPr="005534BD">
        <w:rPr>
          <w:rFonts w:ascii="Palatino Linotype" w:eastAsia="Palatino Linotype" w:hAnsi="Palatino Linotype" w:cs="Palatino Linotype"/>
          <w:i/>
        </w:rPr>
        <w:t>recibos o comprobantes de pago</w:t>
      </w:r>
      <w:r w:rsidRPr="005534BD">
        <w:rPr>
          <w:rFonts w:ascii="Palatino Linotype" w:eastAsia="Palatino Linotype" w:hAnsi="Palatino Linotype" w:cs="Palatino Linotype"/>
        </w:rPr>
        <w:t>", los cuales constituyen un instrumento mediante el cual el sujeto obligado acredita las remuneraciones al personal y, que de acuerdo al uso implantado en la colectividad se denominan "recibos de nómina".</w:t>
      </w:r>
    </w:p>
    <w:p w14:paraId="1B940C7E" w14:textId="77777777" w:rsidR="0093756C" w:rsidRPr="005534BD" w:rsidRDefault="0093756C">
      <w:pPr>
        <w:spacing w:after="0" w:line="360" w:lineRule="auto"/>
        <w:rPr>
          <w:rFonts w:ascii="Palatino Linotype" w:eastAsia="Palatino Linotype" w:hAnsi="Palatino Linotype" w:cs="Palatino Linotype"/>
        </w:rPr>
      </w:pPr>
    </w:p>
    <w:p w14:paraId="19AFF73F"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 xml:space="preserve">A efecto de robustecer lo anterior, es preciso hacer alusión, en primera instancia, a lo establecido en las normas de carácter general del </w:t>
      </w:r>
      <w:r w:rsidRPr="005534BD">
        <w:rPr>
          <w:rFonts w:ascii="Palatino Linotype" w:eastAsia="Palatino Linotype" w:hAnsi="Palatino Linotype" w:cs="Palatino Linotype"/>
          <w:b/>
        </w:rPr>
        <w:t>Manual Único de Contabilidad Gubernamental para las Dependencias y Entidades Públicas del Gobierno y Municipios del Estado de México</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rPr>
        <w:t xml:space="preserve">en donde se señala que el Régimen Fiscal para las entidades públicas es el correspondiente a </w:t>
      </w:r>
      <w:r w:rsidRPr="005534BD">
        <w:rPr>
          <w:rFonts w:ascii="Palatino Linotype" w:eastAsia="Palatino Linotype" w:hAnsi="Palatino Linotype" w:cs="Palatino Linotype"/>
          <w:i/>
        </w:rPr>
        <w:t xml:space="preserve">personas morales con fines no lucrativos, </w:t>
      </w:r>
      <w:r w:rsidRPr="005534BD">
        <w:rPr>
          <w:rFonts w:ascii="Palatino Linotype" w:eastAsia="Palatino Linotype" w:hAnsi="Palatino Linotype" w:cs="Palatino Linotype"/>
        </w:rPr>
        <w:t xml:space="preserve">y en segundo lugar remitirnos al párrafo séptimo del artículo 86 del Título III del Régimen de las Personas Morales con fines no lucrativos, de la </w:t>
      </w:r>
      <w:r w:rsidRPr="005534BD">
        <w:rPr>
          <w:rFonts w:ascii="Palatino Linotype" w:eastAsia="Palatino Linotype" w:hAnsi="Palatino Linotype" w:cs="Palatino Linotype"/>
          <w:b/>
        </w:rPr>
        <w:t>Ley del Impuesto Sobre la Renta</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rPr>
        <w:t>que a la letra señala lo siguiente:</w:t>
      </w:r>
    </w:p>
    <w:p w14:paraId="0EACEB94" w14:textId="77777777" w:rsidR="0093756C" w:rsidRPr="005534BD" w:rsidRDefault="0093756C">
      <w:pPr>
        <w:spacing w:after="0"/>
        <w:ind w:left="851" w:right="616"/>
        <w:jc w:val="both"/>
        <w:rPr>
          <w:rFonts w:ascii="Palatino Linotype" w:eastAsia="Palatino Linotype" w:hAnsi="Palatino Linotype" w:cs="Palatino Linotype"/>
          <w:b/>
          <w:i/>
        </w:rPr>
      </w:pPr>
    </w:p>
    <w:p w14:paraId="1AD64F61"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b/>
          <w:i/>
        </w:rPr>
        <w:t>“Artículo.- 86 </w:t>
      </w:r>
    </w:p>
    <w:p w14:paraId="2AB00213"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b/>
          <w:i/>
        </w:rPr>
        <w:t>(</w:t>
      </w:r>
      <w:r w:rsidRPr="005534BD">
        <w:rPr>
          <w:rFonts w:ascii="Palatino Linotype" w:eastAsia="Palatino Linotype" w:hAnsi="Palatino Linotype" w:cs="Palatino Linotype"/>
          <w:i/>
        </w:rPr>
        <w:t>…)</w:t>
      </w:r>
    </w:p>
    <w:p w14:paraId="3D4C5178"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5534BD">
        <w:rPr>
          <w:rFonts w:ascii="Palatino Linotype" w:eastAsia="Palatino Linotype" w:hAnsi="Palatino Linotype" w:cs="Palatino Linotype"/>
          <w:b/>
          <w:i/>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5534BD">
        <w:rPr>
          <w:rFonts w:ascii="Palatino Linotype" w:eastAsia="Palatino Linotype" w:hAnsi="Palatino Linotype" w:cs="Palatino Linotype"/>
          <w:i/>
        </w:rPr>
        <w:t xml:space="preserve"> para efectos de la legislación laboral a que se refieren los artículos 132 fracciones VII y VIII, y 804 primer párrafo fracciones II y IV de la Ley Federal del Trabajo…</w:t>
      </w:r>
      <w:r w:rsidRPr="005534BD">
        <w:rPr>
          <w:rFonts w:ascii="Palatino Linotype" w:eastAsia="Palatino Linotype" w:hAnsi="Palatino Linotype" w:cs="Palatino Linotype"/>
        </w:rPr>
        <w:t>” </w:t>
      </w:r>
    </w:p>
    <w:p w14:paraId="33DE35C5" w14:textId="77777777" w:rsidR="0093756C" w:rsidRPr="005534BD" w:rsidRDefault="0093756C">
      <w:pPr>
        <w:spacing w:after="0"/>
        <w:rPr>
          <w:rFonts w:ascii="Palatino Linotype" w:eastAsia="Palatino Linotype" w:hAnsi="Palatino Linotype" w:cs="Palatino Linotype"/>
        </w:rPr>
      </w:pPr>
    </w:p>
    <w:p w14:paraId="6EC1A3D9"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Del precepto citado, se advierte que las entidades federativas al ser entes públicos se encuentran constreñidos a expedir y entregar los </w:t>
      </w:r>
      <w:r w:rsidRPr="005534BD">
        <w:rPr>
          <w:rFonts w:ascii="Palatino Linotype" w:eastAsia="Palatino Linotype" w:hAnsi="Palatino Linotype" w:cs="Palatino Linotype"/>
          <w:b/>
        </w:rPr>
        <w:t xml:space="preserve">comprobantes fiscales correspondientes a las personas que reciban pagos por conceptos de salarios, prima vacacional, aguinaldo y demás prestaciones establecidas en la Ley, </w:t>
      </w:r>
      <w:r w:rsidRPr="005534BD">
        <w:rPr>
          <w:rFonts w:ascii="Palatino Linotype" w:eastAsia="Palatino Linotype" w:hAnsi="Palatino Linotype" w:cs="Palatino Linotype"/>
        </w:rPr>
        <w:t xml:space="preserve">mismos que pueden ser utilizados como </w:t>
      </w:r>
      <w:r w:rsidRPr="005534BD">
        <w:rPr>
          <w:rFonts w:ascii="Palatino Linotype" w:eastAsia="Palatino Linotype" w:hAnsi="Palatino Linotype" w:cs="Palatino Linotype"/>
          <w:b/>
        </w:rPr>
        <w:t>constancia o</w:t>
      </w:r>
      <w:r w:rsidRPr="005534BD">
        <w:rPr>
          <w:rFonts w:ascii="Palatino Linotype" w:eastAsia="Palatino Linotype" w:hAnsi="Palatino Linotype" w:cs="Palatino Linotype"/>
        </w:rPr>
        <w:t xml:space="preserve"> </w:t>
      </w:r>
      <w:r w:rsidRPr="005534BD">
        <w:rPr>
          <w:rFonts w:ascii="Palatino Linotype" w:eastAsia="Palatino Linotype" w:hAnsi="Palatino Linotype" w:cs="Palatino Linotype"/>
          <w:b/>
        </w:rPr>
        <w:t>recibo de pago</w:t>
      </w:r>
      <w:r w:rsidRPr="005534BD">
        <w:rPr>
          <w:rFonts w:ascii="Palatino Linotype" w:eastAsia="Palatino Linotype" w:hAnsi="Palatino Linotype" w:cs="Palatino Linotype"/>
        </w:rPr>
        <w:t xml:space="preserve">, de conformidad con los artículos 132 fracciones VII y VIII de la </w:t>
      </w:r>
      <w:r w:rsidRPr="005534BD">
        <w:rPr>
          <w:rFonts w:ascii="Palatino Linotype" w:eastAsia="Palatino Linotype" w:hAnsi="Palatino Linotype" w:cs="Palatino Linotype"/>
          <w:b/>
        </w:rPr>
        <w:t>Ley Federal del Trabajo</w:t>
      </w:r>
      <w:r w:rsidRPr="005534BD">
        <w:rPr>
          <w:rFonts w:ascii="Palatino Linotype" w:eastAsia="Palatino Linotype" w:hAnsi="Palatino Linotype" w:cs="Palatino Linotype"/>
        </w:rPr>
        <w:t>, que a la letra señalan lo siguiente:</w:t>
      </w:r>
    </w:p>
    <w:p w14:paraId="15B7C182" w14:textId="77777777" w:rsidR="0093756C" w:rsidRPr="005534BD" w:rsidRDefault="0093756C">
      <w:pPr>
        <w:spacing w:after="0"/>
        <w:ind w:left="851" w:right="616"/>
        <w:jc w:val="both"/>
        <w:rPr>
          <w:rFonts w:ascii="Palatino Linotype" w:eastAsia="Palatino Linotype" w:hAnsi="Palatino Linotype" w:cs="Palatino Linotype"/>
          <w:i/>
        </w:rPr>
      </w:pPr>
    </w:p>
    <w:p w14:paraId="45874D80"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Artículo 132</w:t>
      </w:r>
      <w:r w:rsidRPr="005534BD">
        <w:rPr>
          <w:rFonts w:ascii="Palatino Linotype" w:eastAsia="Palatino Linotype" w:hAnsi="Palatino Linotype" w:cs="Palatino Linotype"/>
          <w:i/>
        </w:rPr>
        <w:t xml:space="preserve">.- Son </w:t>
      </w:r>
      <w:r w:rsidRPr="005534BD">
        <w:rPr>
          <w:rFonts w:ascii="Palatino Linotype" w:eastAsia="Palatino Linotype" w:hAnsi="Palatino Linotype" w:cs="Palatino Linotype"/>
          <w:b/>
          <w:i/>
        </w:rPr>
        <w:t>obligaciones de los patrones</w:t>
      </w:r>
      <w:r w:rsidRPr="005534BD">
        <w:rPr>
          <w:rFonts w:ascii="Palatino Linotype" w:eastAsia="Palatino Linotype" w:hAnsi="Palatino Linotype" w:cs="Palatino Linotype"/>
          <w:i/>
        </w:rPr>
        <w:t>:</w:t>
      </w:r>
    </w:p>
    <w:p w14:paraId="72B506F5"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lastRenderedPageBreak/>
        <w:t>(…)</w:t>
      </w:r>
    </w:p>
    <w:p w14:paraId="25D8CE94"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 xml:space="preserve">VII.- </w:t>
      </w:r>
      <w:r w:rsidRPr="005534BD">
        <w:rPr>
          <w:rFonts w:ascii="Palatino Linotype" w:eastAsia="Palatino Linotype" w:hAnsi="Palatino Linotype" w:cs="Palatino Linotype"/>
          <w:b/>
          <w:i/>
        </w:rPr>
        <w:t>Expedir</w:t>
      </w:r>
      <w:r w:rsidRPr="005534BD">
        <w:rPr>
          <w:rFonts w:ascii="Palatino Linotype" w:eastAsia="Palatino Linotype" w:hAnsi="Palatino Linotype" w:cs="Palatino Linotype"/>
          <w:i/>
        </w:rPr>
        <w:t xml:space="preserve"> cada quince días, a solicitud de los trabajadores, una </w:t>
      </w:r>
      <w:r w:rsidRPr="005534BD">
        <w:rPr>
          <w:rFonts w:ascii="Palatino Linotype" w:eastAsia="Palatino Linotype" w:hAnsi="Palatino Linotype" w:cs="Palatino Linotype"/>
          <w:b/>
          <w:i/>
        </w:rPr>
        <w:t>constancia</w:t>
      </w:r>
      <w:r w:rsidRPr="005534BD">
        <w:rPr>
          <w:rFonts w:ascii="Palatino Linotype" w:eastAsia="Palatino Linotype" w:hAnsi="Palatino Linotype" w:cs="Palatino Linotype"/>
          <w:i/>
        </w:rPr>
        <w:t xml:space="preserve"> escrita del número de días trabajados y </w:t>
      </w:r>
      <w:r w:rsidRPr="005534BD">
        <w:rPr>
          <w:rFonts w:ascii="Palatino Linotype" w:eastAsia="Palatino Linotype" w:hAnsi="Palatino Linotype" w:cs="Palatino Linotype"/>
          <w:b/>
          <w:i/>
        </w:rPr>
        <w:t>del salario percibido</w:t>
      </w:r>
      <w:r w:rsidRPr="005534BD">
        <w:rPr>
          <w:rFonts w:ascii="Palatino Linotype" w:eastAsia="Palatino Linotype" w:hAnsi="Palatino Linotype" w:cs="Palatino Linotype"/>
          <w:i/>
        </w:rPr>
        <w:t>; </w:t>
      </w:r>
    </w:p>
    <w:p w14:paraId="0979DB10"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VIII.- Expedir al trabajador que lo solicite o se separe de la empresa, dentro del término de tres días, una constancia escrita relativa a sus servicios;</w:t>
      </w:r>
    </w:p>
    <w:p w14:paraId="22D59961"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w:t>
      </w:r>
    </w:p>
    <w:p w14:paraId="7769EA4A"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354E00BC" w14:textId="77777777" w:rsidR="0093756C" w:rsidRPr="005534BD" w:rsidRDefault="0093756C">
      <w:pPr>
        <w:spacing w:after="0"/>
        <w:ind w:left="851" w:right="616"/>
        <w:jc w:val="both"/>
        <w:rPr>
          <w:rFonts w:ascii="Palatino Linotype" w:eastAsia="Palatino Linotype" w:hAnsi="Palatino Linotype" w:cs="Palatino Linotype"/>
          <w:i/>
        </w:rPr>
      </w:pPr>
    </w:p>
    <w:p w14:paraId="0C7EFCD9"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ARTÍCULO 220 K.-</w:t>
      </w:r>
      <w:r w:rsidRPr="005534BD">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14:paraId="7EB6CE6B"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w:t>
      </w:r>
    </w:p>
    <w:p w14:paraId="4619EAE9"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 xml:space="preserve">II. </w:t>
      </w:r>
      <w:r w:rsidRPr="005534BD">
        <w:rPr>
          <w:rFonts w:ascii="Palatino Linotype" w:eastAsia="Palatino Linotype" w:hAnsi="Palatino Linotype" w:cs="Palatino Linotype"/>
          <w:b/>
          <w:i/>
        </w:rPr>
        <w:t>Recibos de pagos de salarios</w:t>
      </w:r>
      <w:r w:rsidRPr="005534BD">
        <w:rPr>
          <w:rFonts w:ascii="Palatino Linotype" w:eastAsia="Palatino Linotype" w:hAnsi="Palatino Linotype" w:cs="Palatino Linotype"/>
          <w:i/>
        </w:rPr>
        <w:t xml:space="preserve"> o las constancias documentales del pago de salario cuando sea por depósito o mediante información electrónica;</w:t>
      </w:r>
    </w:p>
    <w:p w14:paraId="6B55D937"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w:t>
      </w:r>
    </w:p>
    <w:p w14:paraId="577AF463" w14:textId="77777777" w:rsidR="0093756C" w:rsidRPr="005534BD" w:rsidRDefault="0093756C">
      <w:pPr>
        <w:spacing w:after="0"/>
        <w:ind w:left="851" w:right="616"/>
        <w:rPr>
          <w:rFonts w:ascii="Palatino Linotype" w:eastAsia="Palatino Linotype" w:hAnsi="Palatino Linotype" w:cs="Palatino Linotype"/>
        </w:rPr>
      </w:pPr>
    </w:p>
    <w:p w14:paraId="22FE58E7" w14:textId="77777777" w:rsidR="0093756C" w:rsidRPr="005534BD" w:rsidRDefault="00752E30">
      <w:pPr>
        <w:spacing w:after="0"/>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IV. Recibos</w:t>
      </w:r>
      <w:r w:rsidRPr="005534BD">
        <w:rPr>
          <w:rFonts w:ascii="Palatino Linotype" w:eastAsia="Palatino Linotype" w:hAnsi="Palatino Linotype" w:cs="Palatino Linotype"/>
          <w:i/>
        </w:rPr>
        <w:t xml:space="preserve"> o las constancias de depósito o del medio de información magnética o electrónica que sean utilizadas </w:t>
      </w:r>
      <w:r w:rsidRPr="005534BD">
        <w:rPr>
          <w:rFonts w:ascii="Palatino Linotype" w:eastAsia="Palatino Linotype" w:hAnsi="Palatino Linotype" w:cs="Palatino Linotype"/>
          <w:b/>
          <w:i/>
        </w:rPr>
        <w:t>para el pago de salarios, prima vacacional, aguinaldo y demás prestaciones establecidas en la presente ley</w:t>
      </w:r>
      <w:r w:rsidRPr="005534BD">
        <w:rPr>
          <w:rFonts w:ascii="Palatino Linotype" w:eastAsia="Palatino Linotype" w:hAnsi="Palatino Linotype" w:cs="Palatino Linotype"/>
          <w:i/>
        </w:rPr>
        <w:t>; y…</w:t>
      </w:r>
    </w:p>
    <w:p w14:paraId="12A54EB7" w14:textId="77777777" w:rsidR="0093756C" w:rsidRPr="005534BD" w:rsidRDefault="0093756C">
      <w:pPr>
        <w:spacing w:after="0"/>
        <w:ind w:left="851" w:right="616"/>
        <w:jc w:val="both"/>
        <w:rPr>
          <w:rFonts w:ascii="Palatino Linotype" w:eastAsia="Palatino Linotype" w:hAnsi="Palatino Linotype" w:cs="Palatino Linotype"/>
        </w:rPr>
      </w:pPr>
    </w:p>
    <w:p w14:paraId="6AC9902E"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1AD1C69"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927D0F7"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El incumplimiento por lo dispuesto por este artículo, establecerá la presunción de ser ciertos los hechos que el actor exprese en su demanda, en relación con tales documentos, salvo prueba en contrario.”</w:t>
      </w:r>
    </w:p>
    <w:p w14:paraId="0788985B" w14:textId="77777777" w:rsidR="0093756C" w:rsidRPr="005534BD" w:rsidRDefault="0093756C">
      <w:pPr>
        <w:spacing w:after="0" w:line="360" w:lineRule="auto"/>
        <w:jc w:val="both"/>
        <w:rPr>
          <w:rFonts w:ascii="Palatino Linotype" w:eastAsia="Palatino Linotype" w:hAnsi="Palatino Linotype" w:cs="Palatino Linotype"/>
        </w:rPr>
      </w:pPr>
    </w:p>
    <w:p w14:paraId="1E49A205"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 xml:space="preserve">Sobre la base del precepto legal citado, se advierte que toda institución pública o dependencia pública del Estado de México </w:t>
      </w:r>
      <w:r w:rsidRPr="005534BD">
        <w:rPr>
          <w:rFonts w:ascii="Palatino Linotype" w:eastAsia="Palatino Linotype" w:hAnsi="Palatino Linotype" w:cs="Palatino Linotype"/>
          <w:b/>
        </w:rPr>
        <w:t>debe conservar las constancias de pago de salarios, prima vacacional, aguinaldo y demás prestaciones legales de acuerdo con la forma en que se haya realizado el pago;</w:t>
      </w:r>
      <w:r w:rsidRPr="005534BD">
        <w:rPr>
          <w:rFonts w:ascii="Palatino Linotype" w:eastAsia="Palatino Linotype" w:hAnsi="Palatino Linotype" w:cs="Palatino Linotype"/>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9D94DD2" w14:textId="77777777" w:rsidR="0093756C" w:rsidRPr="005534BD" w:rsidRDefault="0093756C">
      <w:pPr>
        <w:spacing w:after="0" w:line="360" w:lineRule="auto"/>
        <w:rPr>
          <w:rFonts w:ascii="Palatino Linotype" w:eastAsia="Palatino Linotype" w:hAnsi="Palatino Linotype" w:cs="Palatino Linotype"/>
        </w:rPr>
      </w:pPr>
    </w:p>
    <w:p w14:paraId="708B2703"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En estas condiciones, resulta claro que la información de mérito es generada en ejercicio de las atribuciones del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256480FF" w14:textId="77777777" w:rsidR="0093756C" w:rsidRPr="005534BD" w:rsidRDefault="0093756C">
      <w:pPr>
        <w:spacing w:after="0" w:line="360" w:lineRule="auto"/>
        <w:rPr>
          <w:rFonts w:ascii="Palatino Linotype" w:eastAsia="Palatino Linotype" w:hAnsi="Palatino Linotype" w:cs="Palatino Linotype"/>
        </w:rPr>
      </w:pPr>
    </w:p>
    <w:p w14:paraId="1BB5877D" w14:textId="77777777" w:rsidR="0093756C" w:rsidRPr="005534BD" w:rsidRDefault="00752E30">
      <w:pPr>
        <w:spacing w:after="0" w:line="360" w:lineRule="auto"/>
        <w:ind w:right="-91"/>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 mayor abundamiento, </w:t>
      </w:r>
      <w:r w:rsidRPr="005534BD">
        <w:rPr>
          <w:rFonts w:ascii="Palatino Linotype" w:eastAsia="Palatino Linotype" w:hAnsi="Palatino Linotype" w:cs="Palatino Linotype"/>
          <w:b/>
        </w:rPr>
        <w:t>sobre los recibos de aguinaldo</w:t>
      </w:r>
      <w:r w:rsidRPr="005534BD">
        <w:rPr>
          <w:rFonts w:ascii="Palatino Linotype" w:eastAsia="Palatino Linotype" w:hAnsi="Palatino Linotype" w:cs="Palatino Linotype"/>
        </w:rPr>
        <w:t>, se trae a colación lo señalado por el artículo 78 de la Ley de Trabajo de los Servidores Públicos del Estado y Municipios, los cuales a la letra disponen lo siguiente:</w:t>
      </w:r>
    </w:p>
    <w:p w14:paraId="1E1B7983" w14:textId="77777777" w:rsidR="0093756C" w:rsidRPr="005534BD" w:rsidRDefault="0093756C">
      <w:pPr>
        <w:spacing w:after="0" w:line="360" w:lineRule="auto"/>
        <w:jc w:val="both"/>
        <w:rPr>
          <w:rFonts w:ascii="Palatino Linotype" w:eastAsia="Palatino Linotype" w:hAnsi="Palatino Linotype" w:cs="Palatino Linotype"/>
        </w:rPr>
      </w:pPr>
    </w:p>
    <w:p w14:paraId="1F116BC9" w14:textId="77777777" w:rsidR="0093756C" w:rsidRPr="005534BD" w:rsidRDefault="00752E30">
      <w:pPr>
        <w:spacing w:after="0"/>
        <w:ind w:left="851" w:right="851"/>
        <w:jc w:val="both"/>
        <w:rPr>
          <w:rFonts w:ascii="Palatino Linotype" w:eastAsia="Palatino Linotype" w:hAnsi="Palatino Linotype" w:cs="Palatino Linotype"/>
          <w:i/>
        </w:rPr>
      </w:pPr>
      <w:r w:rsidRPr="005534BD">
        <w:rPr>
          <w:rFonts w:ascii="Palatino Linotype" w:eastAsia="Palatino Linotype" w:hAnsi="Palatino Linotype" w:cs="Palatino Linotype"/>
          <w:i/>
        </w:rPr>
        <w:t>“ARTÍCULO 78. Los servidores públicos tendrán derecho a un aguinaldo anual, equivalente a 40 días de sueldo base, cuando menos, sin deducción alguna, y estará comprendido en el presupuesto de egresos correspondiente.</w:t>
      </w:r>
    </w:p>
    <w:p w14:paraId="7A60C5A6" w14:textId="77777777" w:rsidR="0093756C" w:rsidRPr="005534BD" w:rsidRDefault="0093756C">
      <w:pPr>
        <w:spacing w:after="0"/>
        <w:ind w:left="851" w:right="851"/>
        <w:jc w:val="both"/>
        <w:rPr>
          <w:rFonts w:ascii="Palatino Linotype" w:eastAsia="Palatino Linotype" w:hAnsi="Palatino Linotype" w:cs="Palatino Linotype"/>
          <w:i/>
        </w:rPr>
      </w:pPr>
    </w:p>
    <w:p w14:paraId="6D8B6404" w14:textId="77777777" w:rsidR="0093756C" w:rsidRPr="005534BD" w:rsidRDefault="00752E30">
      <w:pPr>
        <w:spacing w:after="0"/>
        <w:ind w:left="851" w:right="851"/>
        <w:jc w:val="both"/>
        <w:rPr>
          <w:rFonts w:ascii="Palatino Linotype" w:eastAsia="Palatino Linotype" w:hAnsi="Palatino Linotype" w:cs="Palatino Linotype"/>
          <w:b/>
          <w:i/>
        </w:rPr>
      </w:pPr>
      <w:r w:rsidRPr="005534BD">
        <w:rPr>
          <w:rFonts w:ascii="Palatino Linotype" w:eastAsia="Palatino Linotype" w:hAnsi="Palatino Linotype" w:cs="Palatino Linotype"/>
          <w:i/>
        </w:rPr>
        <w:t xml:space="preserve">Dicho aguinaldo deberá pagarse en dos entregas, </w:t>
      </w:r>
      <w:r w:rsidRPr="005534BD">
        <w:rPr>
          <w:rFonts w:ascii="Palatino Linotype" w:eastAsia="Palatino Linotype" w:hAnsi="Palatino Linotype" w:cs="Palatino Linotype"/>
          <w:b/>
          <w:i/>
        </w:rPr>
        <w:t xml:space="preserve">la primera de ellas previo al primer período vacacional y la segunda a más tardar el día 15 de diciembre. </w:t>
      </w:r>
    </w:p>
    <w:p w14:paraId="1788F141" w14:textId="77777777" w:rsidR="0093756C" w:rsidRPr="005534BD" w:rsidRDefault="00752E30">
      <w:pPr>
        <w:spacing w:after="0"/>
        <w:ind w:left="851" w:right="851"/>
        <w:jc w:val="both"/>
        <w:rPr>
          <w:rFonts w:ascii="Palatino Linotype" w:eastAsia="Palatino Linotype" w:hAnsi="Palatino Linotype" w:cs="Palatino Linotype"/>
          <w:i/>
        </w:rPr>
      </w:pPr>
      <w:r w:rsidRPr="005534BD">
        <w:rPr>
          <w:rFonts w:ascii="Palatino Linotype" w:eastAsia="Palatino Linotype" w:hAnsi="Palatino Linotype" w:cs="Palatino Linotype"/>
          <w:i/>
        </w:rPr>
        <w:lastRenderedPageBreak/>
        <w:t>Los servidores públicos que hayan prestado sus servicios por un lapso menor a un año, tendrán derecho a que se les pague la parte proporcional del aguinaldo de acuerdo a los días efectivamente trabajados.” (Sic)</w:t>
      </w:r>
    </w:p>
    <w:p w14:paraId="7B9C1191" w14:textId="77777777" w:rsidR="0093756C" w:rsidRPr="005534BD" w:rsidRDefault="0093756C">
      <w:pPr>
        <w:spacing w:after="0" w:line="360" w:lineRule="auto"/>
        <w:jc w:val="both"/>
        <w:rPr>
          <w:rFonts w:ascii="Palatino Linotype" w:eastAsia="Palatino Linotype" w:hAnsi="Palatino Linotype" w:cs="Palatino Linotype"/>
        </w:rPr>
      </w:pPr>
    </w:p>
    <w:p w14:paraId="2D5AE867"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Del precepto legal se desprende que los servidores públicos tienen derecho a recibir un aguinaldo de manera anual, mismo que se pagará en dos entregas, </w:t>
      </w:r>
      <w:r w:rsidRPr="005534BD">
        <w:rPr>
          <w:rFonts w:ascii="Palatino Linotype" w:eastAsia="Palatino Linotype" w:hAnsi="Palatino Linotype" w:cs="Palatino Linotype"/>
          <w:b/>
        </w:rPr>
        <w:t>la primera</w:t>
      </w:r>
      <w:r w:rsidRPr="005534BD">
        <w:rPr>
          <w:rFonts w:ascii="Palatino Linotype" w:eastAsia="Palatino Linotype" w:hAnsi="Palatino Linotype" w:cs="Palatino Linotype"/>
        </w:rPr>
        <w:t xml:space="preserve"> entrega antes del primer periodo vacacional, que se entiende que son las correspondientes al mes de julio del año correspondiente, en términos del calendario oficial de labores del ente público, y la segunda entrega será a más tardar el día 15 de diciembre de cada año.</w:t>
      </w:r>
    </w:p>
    <w:p w14:paraId="139293A8" w14:textId="77777777" w:rsidR="0093756C" w:rsidRPr="005534BD" w:rsidRDefault="0093756C">
      <w:pPr>
        <w:spacing w:after="0" w:line="360" w:lineRule="auto"/>
        <w:ind w:right="49"/>
        <w:jc w:val="both"/>
        <w:rPr>
          <w:rFonts w:ascii="Palatino Linotype" w:eastAsia="Palatino Linotype" w:hAnsi="Palatino Linotype" w:cs="Palatino Linotype"/>
        </w:rPr>
      </w:pPr>
    </w:p>
    <w:p w14:paraId="79375E82" w14:textId="77777777" w:rsidR="0093756C" w:rsidRPr="005534BD" w:rsidRDefault="00752E30">
      <w:pPr>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Asimismo, sobre </w:t>
      </w:r>
      <w:r w:rsidRPr="005534BD">
        <w:rPr>
          <w:rFonts w:ascii="Palatino Linotype" w:eastAsia="Palatino Linotype" w:hAnsi="Palatino Linotype" w:cs="Palatino Linotype"/>
          <w:b/>
          <w:u w:val="single"/>
        </w:rPr>
        <w:t>los recibos de pago de prima vacacional</w:t>
      </w:r>
      <w:r w:rsidRPr="005534BD">
        <w:rPr>
          <w:rFonts w:ascii="Palatino Linotype" w:eastAsia="Palatino Linotype" w:hAnsi="Palatino Linotype" w:cs="Palatino Linotype"/>
        </w:rPr>
        <w:t>, resulta necesario traer a contexto el contenido de los artículos 66, primer párrafo y 81, último párrafo de la Ley del Trabajo de la entidad, que dispone lo siguiente:</w:t>
      </w:r>
    </w:p>
    <w:p w14:paraId="5C319032" w14:textId="77777777" w:rsidR="0093756C" w:rsidRPr="005534BD" w:rsidRDefault="0093756C">
      <w:pPr>
        <w:spacing w:after="0" w:line="360" w:lineRule="auto"/>
        <w:ind w:right="49"/>
        <w:jc w:val="both"/>
        <w:rPr>
          <w:rFonts w:ascii="Palatino Linotype" w:eastAsia="Palatino Linotype" w:hAnsi="Palatino Linotype" w:cs="Palatino Linotype"/>
        </w:rPr>
      </w:pPr>
    </w:p>
    <w:p w14:paraId="7475A873" w14:textId="77777777" w:rsidR="0093756C" w:rsidRPr="005534BD" w:rsidRDefault="00752E30">
      <w:pPr>
        <w:spacing w:after="0" w:line="240" w:lineRule="auto"/>
        <w:ind w:left="567" w:right="560"/>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“ARTÍCULO 66. </w:t>
      </w:r>
      <w:r w:rsidRPr="005534BD">
        <w:rPr>
          <w:rFonts w:ascii="Palatino Linotype" w:eastAsia="Palatino Linotype" w:hAnsi="Palatino Linotype" w:cs="Palatino Linotype"/>
          <w:b/>
          <w:i/>
        </w:rPr>
        <w:t xml:space="preserve">Se establecen dos períodos anuales de vacaciones, de diez días laborables cada uno, cuyas fechas deberán ser dadas a conocer oportunamente por cada institución pública. Los servidores públicos podrán hacer uso de su primer período vacacional siempre y cuando hayan cumplido seis meses en el </w:t>
      </w:r>
      <w:proofErr w:type="gramStart"/>
      <w:r w:rsidRPr="005534BD">
        <w:rPr>
          <w:rFonts w:ascii="Palatino Linotype" w:eastAsia="Palatino Linotype" w:hAnsi="Palatino Linotype" w:cs="Palatino Linotype"/>
          <w:b/>
          <w:i/>
        </w:rPr>
        <w:t>servicio</w:t>
      </w:r>
      <w:r w:rsidRPr="005534BD">
        <w:rPr>
          <w:rFonts w:ascii="Palatino Linotype" w:eastAsia="Palatino Linotype" w:hAnsi="Palatino Linotype" w:cs="Palatino Linotype"/>
          <w:i/>
        </w:rPr>
        <w:t>.[</w:t>
      </w:r>
      <w:proofErr w:type="gramEnd"/>
      <w:r w:rsidRPr="005534BD">
        <w:rPr>
          <w:rFonts w:ascii="Palatino Linotype" w:eastAsia="Palatino Linotype" w:hAnsi="Palatino Linotype" w:cs="Palatino Linotype"/>
          <w:i/>
        </w:rPr>
        <w:t>…]”</w:t>
      </w:r>
    </w:p>
    <w:p w14:paraId="60CC3F42" w14:textId="77777777" w:rsidR="0093756C" w:rsidRPr="005534BD" w:rsidRDefault="0093756C">
      <w:pPr>
        <w:spacing w:after="0" w:line="240" w:lineRule="auto"/>
        <w:ind w:left="567" w:right="560"/>
        <w:jc w:val="both"/>
        <w:rPr>
          <w:rFonts w:ascii="Palatino Linotype" w:eastAsia="Palatino Linotype" w:hAnsi="Palatino Linotype" w:cs="Palatino Linotype"/>
          <w:i/>
        </w:rPr>
      </w:pPr>
    </w:p>
    <w:p w14:paraId="16A3AE01" w14:textId="77777777" w:rsidR="0093756C" w:rsidRPr="005534BD" w:rsidRDefault="00752E30">
      <w:pPr>
        <w:spacing w:after="0" w:line="240" w:lineRule="auto"/>
        <w:ind w:left="567" w:right="560"/>
        <w:jc w:val="both"/>
        <w:rPr>
          <w:rFonts w:ascii="Palatino Linotype" w:eastAsia="Palatino Linotype" w:hAnsi="Palatino Linotype" w:cs="Palatino Linotype"/>
          <w:i/>
        </w:rPr>
      </w:pPr>
      <w:r w:rsidRPr="005534BD">
        <w:rPr>
          <w:rFonts w:ascii="Palatino Linotype" w:eastAsia="Palatino Linotype" w:hAnsi="Palatino Linotype" w:cs="Palatino Linotype"/>
          <w:i/>
        </w:rPr>
        <w:t>“ARTÍCULO 81. […]</w:t>
      </w:r>
    </w:p>
    <w:p w14:paraId="20572CD7" w14:textId="77777777" w:rsidR="0093756C" w:rsidRPr="005534BD" w:rsidRDefault="0093756C">
      <w:pPr>
        <w:spacing w:after="0" w:line="240" w:lineRule="auto"/>
        <w:ind w:left="567" w:right="560"/>
        <w:jc w:val="both"/>
        <w:rPr>
          <w:rFonts w:ascii="Palatino Linotype" w:eastAsia="Palatino Linotype" w:hAnsi="Palatino Linotype" w:cs="Palatino Linotype"/>
          <w:i/>
        </w:rPr>
      </w:pPr>
    </w:p>
    <w:p w14:paraId="4B5FEABA" w14:textId="77777777" w:rsidR="0093756C" w:rsidRPr="005534BD" w:rsidRDefault="00752E30">
      <w:pPr>
        <w:spacing w:after="0" w:line="240" w:lineRule="auto"/>
        <w:ind w:left="567" w:right="560"/>
        <w:jc w:val="both"/>
        <w:rPr>
          <w:rFonts w:ascii="Palatino Linotype" w:eastAsia="Palatino Linotype" w:hAnsi="Palatino Linotype" w:cs="Palatino Linotype"/>
          <w:i/>
        </w:rPr>
      </w:pPr>
      <w:r w:rsidRPr="005534BD">
        <w:rPr>
          <w:rFonts w:ascii="Palatino Linotype" w:eastAsia="Palatino Linotype" w:hAnsi="Palatino Linotype" w:cs="Palatino Linotype"/>
          <w:i/>
        </w:rPr>
        <w:t>Los servidores públicos que, conforme al artículo 66 de esta ley, tengan derecho a disfrutar de los períodos vacacionales, percibirán una prima de un 25% como mínimo, sobre el sueldo base presupuestal que les corresponda durante los mismos.”</w:t>
      </w:r>
    </w:p>
    <w:p w14:paraId="39BCCB5F" w14:textId="77777777" w:rsidR="0093756C" w:rsidRPr="005534BD" w:rsidRDefault="0093756C">
      <w:pPr>
        <w:spacing w:after="0" w:line="240" w:lineRule="auto"/>
        <w:ind w:left="567" w:right="560"/>
        <w:jc w:val="both"/>
        <w:rPr>
          <w:rFonts w:ascii="Palatino Linotype" w:eastAsia="Palatino Linotype" w:hAnsi="Palatino Linotype" w:cs="Palatino Linotype"/>
          <w:i/>
        </w:rPr>
      </w:pPr>
    </w:p>
    <w:p w14:paraId="1AD2C146" w14:textId="77777777" w:rsidR="0093756C" w:rsidRPr="005534BD" w:rsidRDefault="00752E30">
      <w:pPr>
        <w:spacing w:after="0" w:line="240" w:lineRule="auto"/>
        <w:ind w:left="567" w:right="560"/>
        <w:jc w:val="right"/>
        <w:rPr>
          <w:rFonts w:ascii="Palatino Linotype" w:eastAsia="Palatino Linotype" w:hAnsi="Palatino Linotype" w:cs="Palatino Linotype"/>
          <w:i/>
        </w:rPr>
      </w:pPr>
      <w:r w:rsidRPr="005534BD">
        <w:rPr>
          <w:rFonts w:ascii="Palatino Linotype" w:eastAsia="Palatino Linotype" w:hAnsi="Palatino Linotype" w:cs="Palatino Linotype"/>
          <w:i/>
        </w:rPr>
        <w:t>(Énfasis añadido)</w:t>
      </w:r>
    </w:p>
    <w:p w14:paraId="224D5207" w14:textId="77777777" w:rsidR="0093756C" w:rsidRPr="005534BD" w:rsidRDefault="0093756C">
      <w:pPr>
        <w:spacing w:after="0" w:line="360" w:lineRule="auto"/>
        <w:ind w:right="49"/>
        <w:jc w:val="both"/>
        <w:rPr>
          <w:rFonts w:ascii="Palatino Linotype" w:eastAsia="Palatino Linotype" w:hAnsi="Palatino Linotype" w:cs="Palatino Linotype"/>
        </w:rPr>
      </w:pPr>
    </w:p>
    <w:p w14:paraId="0B50A7D8"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De los numerales en cita, se desprende que conforme la legislación laboral de la entidad se establecen dos periodos anuales de vacaciones, de diez días laborales cada uno, cuyas fechas </w:t>
      </w:r>
      <w:r w:rsidRPr="005534BD">
        <w:rPr>
          <w:rFonts w:ascii="Palatino Linotype" w:eastAsia="Palatino Linotype" w:hAnsi="Palatino Linotype" w:cs="Palatino Linotype"/>
        </w:rPr>
        <w:lastRenderedPageBreak/>
        <w:t>las da a conocer cada institución pública, y los servidores públicos podrán gozar de su primer periodo vacacional siempre y cuando hayan cumplido seis meses en el servicio.</w:t>
      </w:r>
    </w:p>
    <w:p w14:paraId="3043C005" w14:textId="77777777" w:rsidR="0093756C" w:rsidRPr="005534BD" w:rsidRDefault="0093756C">
      <w:pPr>
        <w:spacing w:after="0" w:line="360" w:lineRule="auto"/>
        <w:jc w:val="both"/>
        <w:rPr>
          <w:rFonts w:ascii="Palatino Linotype" w:eastAsia="Palatino Linotype" w:hAnsi="Palatino Linotype" w:cs="Palatino Linotype"/>
        </w:rPr>
      </w:pPr>
    </w:p>
    <w:p w14:paraId="322A3C49"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Consecuentemente, se dispone que los servidores públicos que tengan derecho a disfrutar de dichos periodos vacacionales, percibirán una prima vacacional de un 25% como mínimo, sobre el sueldo base presupuestal que les corresponda durante los mismos.</w:t>
      </w:r>
    </w:p>
    <w:p w14:paraId="19578667" w14:textId="77777777" w:rsidR="0093756C" w:rsidRPr="005534BD" w:rsidRDefault="0093756C">
      <w:pPr>
        <w:spacing w:after="0" w:line="360" w:lineRule="auto"/>
        <w:rPr>
          <w:rFonts w:ascii="Palatino Linotype" w:eastAsia="Palatino Linotype" w:hAnsi="Palatino Linotype" w:cs="Palatino Linotype"/>
        </w:rPr>
      </w:pPr>
    </w:p>
    <w:p w14:paraId="4DCBD4A4" w14:textId="77777777" w:rsidR="0093756C" w:rsidRPr="005534BD" w:rsidRDefault="00752E30">
      <w:pPr>
        <w:spacing w:after="0" w:line="360" w:lineRule="auto"/>
        <w:rPr>
          <w:rFonts w:ascii="Palatino Linotype" w:eastAsia="Palatino Linotype" w:hAnsi="Palatino Linotype" w:cs="Palatino Linotype"/>
        </w:rPr>
      </w:pPr>
      <w:r w:rsidRPr="005534BD">
        <w:rPr>
          <w:rFonts w:ascii="Palatino Linotype" w:eastAsia="Palatino Linotype" w:hAnsi="Palatino Linotype" w:cs="Palatino Linotype"/>
        </w:rPr>
        <w:t xml:space="preserve">Por lo tanto, se desprende que los recibos de nómina que amparen el pago de los sueldos, así como prestaciones como la prima vacacional y aguinaldo de los servidores públicos adscritos al </w:t>
      </w:r>
      <w:r w:rsidRPr="005534BD">
        <w:rPr>
          <w:rFonts w:ascii="Palatino Linotype" w:eastAsia="Palatino Linotype" w:hAnsi="Palatino Linotype" w:cs="Palatino Linotype"/>
          <w:b/>
        </w:rPr>
        <w:t>Ayuntamiento de Ozumba</w:t>
      </w:r>
      <w:r w:rsidRPr="005534BD">
        <w:rPr>
          <w:rFonts w:ascii="Palatino Linotype" w:eastAsia="Palatino Linotype" w:hAnsi="Palatino Linotype" w:cs="Palatino Linotype"/>
        </w:rPr>
        <w:t>, se encuentra dentro de las atribuciones del ente público.</w:t>
      </w:r>
    </w:p>
    <w:p w14:paraId="1FA96C66" w14:textId="77777777" w:rsidR="0093756C" w:rsidRPr="005534BD" w:rsidRDefault="0093756C">
      <w:pPr>
        <w:spacing w:after="0" w:line="360" w:lineRule="auto"/>
        <w:rPr>
          <w:rFonts w:ascii="Palatino Linotype" w:eastAsia="Palatino Linotype" w:hAnsi="Palatino Linotype" w:cs="Palatino Linotype"/>
        </w:rPr>
      </w:pPr>
    </w:p>
    <w:p w14:paraId="41B05035"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2401E237" w14:textId="77777777" w:rsidR="0093756C" w:rsidRPr="005534BD" w:rsidRDefault="0093756C">
      <w:pPr>
        <w:spacing w:after="0"/>
        <w:rPr>
          <w:rFonts w:ascii="Palatino Linotype" w:eastAsia="Palatino Linotype" w:hAnsi="Palatino Linotype" w:cs="Palatino Linotype"/>
        </w:rPr>
      </w:pPr>
    </w:p>
    <w:p w14:paraId="77500D1A" w14:textId="77777777" w:rsidR="0093756C" w:rsidRPr="005534BD" w:rsidRDefault="00752E30">
      <w:pPr>
        <w:spacing w:after="0"/>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u w:val="single"/>
        </w:rPr>
        <w:t>“</w:t>
      </w:r>
      <w:r w:rsidRPr="005534BD">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5534BD">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w:t>
      </w:r>
      <w:r w:rsidRPr="005534BD">
        <w:rPr>
          <w:rFonts w:ascii="Palatino Linotype" w:eastAsia="Palatino Linotype" w:hAnsi="Palatino Linotype" w:cs="Palatino Linotype"/>
          <w:i/>
        </w:rPr>
        <w:lastRenderedPageBreak/>
        <w:t xml:space="preserve">o sindicato </w:t>
      </w:r>
      <w:r w:rsidRPr="005534BD">
        <w:rPr>
          <w:rFonts w:ascii="Palatino Linotype" w:eastAsia="Palatino Linotype" w:hAnsi="Palatino Linotype" w:cs="Palatino Linotype"/>
          <w:b/>
          <w:i/>
          <w:u w:val="single"/>
        </w:rPr>
        <w:t>que reciba y ejerza recursos públicos</w:t>
      </w:r>
      <w:r w:rsidRPr="005534BD">
        <w:rPr>
          <w:rFonts w:ascii="Palatino Linotype" w:eastAsia="Palatino Linotype" w:hAnsi="Palatino Linotype" w:cs="Palatino Linotype"/>
          <w:i/>
        </w:rPr>
        <w:t xml:space="preserve"> o realice actos de autoridad </w:t>
      </w:r>
      <w:r w:rsidRPr="005534BD">
        <w:rPr>
          <w:rFonts w:ascii="Palatino Linotype" w:eastAsia="Palatino Linotype" w:hAnsi="Palatino Linotype" w:cs="Palatino Linotype"/>
          <w:b/>
          <w:i/>
          <w:u w:val="single"/>
        </w:rPr>
        <w:t xml:space="preserve">en el ámbito de competencia del Estado de México </w:t>
      </w:r>
      <w:r w:rsidRPr="005534BD">
        <w:rPr>
          <w:rFonts w:ascii="Palatino Linotype" w:eastAsia="Palatino Linotype" w:hAnsi="Palatino Linotype" w:cs="Palatino Linotype"/>
          <w:i/>
        </w:rPr>
        <w:t>y sus municipios.</w:t>
      </w:r>
    </w:p>
    <w:p w14:paraId="55139654"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b/>
          <w:i/>
        </w:rPr>
        <w:t>Artículo 23</w:t>
      </w:r>
      <w:r w:rsidRPr="005534BD">
        <w:rPr>
          <w:rFonts w:ascii="Palatino Linotype" w:eastAsia="Palatino Linotype" w:hAnsi="Palatino Linotype" w:cs="Palatino Linotype"/>
          <w:i/>
        </w:rPr>
        <w:t>. Son sujetos obligados a transparentar y permitir el acceso a su información y proteger los datos personales que obren en su poder:</w:t>
      </w:r>
    </w:p>
    <w:p w14:paraId="6B7B0654"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b/>
          <w:i/>
          <w:u w:val="single"/>
        </w:rPr>
        <w:t>I. El Poder Ejecutivo del Estado de México, las dependencias, organismos auxiliares, órganos, entidades, fideicomisos y fondos públicos, así como la Fiscalía General de Justicia del Estado de México;</w:t>
      </w:r>
    </w:p>
    <w:p w14:paraId="69AEC158"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w:t>
      </w:r>
    </w:p>
    <w:p w14:paraId="703C3E7C"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235FC01"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Los servidores públicos deberán transparentar sus acciones así como garantizar y respetar el derecho de acceso a la información pública.”</w:t>
      </w:r>
      <w:r w:rsidRPr="005534BD">
        <w:rPr>
          <w:rFonts w:ascii="Palatino Linotype" w:eastAsia="Palatino Linotype" w:hAnsi="Palatino Linotype" w:cs="Palatino Linotype"/>
          <w:b/>
          <w:i/>
        </w:rPr>
        <w:t xml:space="preserve"> </w:t>
      </w:r>
    </w:p>
    <w:p w14:paraId="7C118DFF" w14:textId="77777777" w:rsidR="0093756C" w:rsidRPr="005534BD" w:rsidRDefault="0093756C">
      <w:pPr>
        <w:spacing w:after="0"/>
        <w:rPr>
          <w:rFonts w:ascii="Palatino Linotype" w:eastAsia="Palatino Linotype" w:hAnsi="Palatino Linotype" w:cs="Palatino Linotype"/>
        </w:rPr>
      </w:pPr>
    </w:p>
    <w:p w14:paraId="48817575"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5534BD">
        <w:rPr>
          <w:rFonts w:ascii="Palatino Linotype" w:eastAsia="Palatino Linotype" w:hAnsi="Palatino Linotype" w:cs="Palatino Linotype"/>
          <w:b/>
        </w:rPr>
        <w:t>01/2003</w:t>
      </w:r>
      <w:r w:rsidRPr="005534BD">
        <w:rPr>
          <w:rFonts w:ascii="Palatino Linotype" w:eastAsia="Palatino Linotype" w:hAnsi="Palatino Linotype" w:cs="Palatino Linotype"/>
        </w:rPr>
        <w:t xml:space="preserve"> y </w:t>
      </w:r>
      <w:r w:rsidRPr="005534BD">
        <w:rPr>
          <w:rFonts w:ascii="Palatino Linotype" w:eastAsia="Palatino Linotype" w:hAnsi="Palatino Linotype" w:cs="Palatino Linotype"/>
          <w:b/>
        </w:rPr>
        <w:t>02/2003</w:t>
      </w:r>
      <w:r w:rsidRPr="005534BD">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2983F33B" w14:textId="77777777" w:rsidR="0093756C" w:rsidRPr="005534BD" w:rsidRDefault="0093756C">
      <w:pPr>
        <w:spacing w:after="0" w:line="360" w:lineRule="auto"/>
        <w:jc w:val="both"/>
        <w:rPr>
          <w:rFonts w:ascii="Palatino Linotype" w:eastAsia="Palatino Linotype" w:hAnsi="Palatino Linotype" w:cs="Palatino Linotype"/>
        </w:rPr>
      </w:pPr>
    </w:p>
    <w:p w14:paraId="4616DD39" w14:textId="77777777" w:rsidR="0093756C" w:rsidRPr="005534BD" w:rsidRDefault="0093756C">
      <w:pPr>
        <w:spacing w:after="0" w:line="360" w:lineRule="auto"/>
        <w:jc w:val="both"/>
        <w:rPr>
          <w:rFonts w:ascii="Palatino Linotype" w:eastAsia="Palatino Linotype" w:hAnsi="Palatino Linotype" w:cs="Palatino Linotype"/>
        </w:rPr>
      </w:pPr>
    </w:p>
    <w:p w14:paraId="7631B5C9" w14:textId="77777777" w:rsidR="0093756C" w:rsidRPr="005534BD" w:rsidRDefault="00752E30">
      <w:pPr>
        <w:tabs>
          <w:tab w:val="left" w:pos="7513"/>
        </w:tabs>
        <w:spacing w:after="0"/>
        <w:ind w:left="851" w:right="616"/>
        <w:rPr>
          <w:rFonts w:ascii="Palatino Linotype" w:eastAsia="Palatino Linotype" w:hAnsi="Palatino Linotype" w:cs="Palatino Linotype"/>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Criterio 01/2003.</w:t>
      </w:r>
    </w:p>
    <w:p w14:paraId="6C17D74E" w14:textId="77777777" w:rsidR="0093756C" w:rsidRPr="005534BD" w:rsidRDefault="00752E30">
      <w:pPr>
        <w:tabs>
          <w:tab w:val="left" w:pos="7513"/>
        </w:tabs>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5534BD">
        <w:rPr>
          <w:rFonts w:ascii="Palatino Linotype" w:eastAsia="Palatino Linotype" w:hAnsi="Palatino Linotype" w:cs="Palatino Linotype"/>
          <w:i/>
        </w:rPr>
        <w:t> </w:t>
      </w:r>
    </w:p>
    <w:p w14:paraId="69ABABC4" w14:textId="77777777" w:rsidR="0093756C" w:rsidRPr="005534BD" w:rsidRDefault="00752E30">
      <w:pPr>
        <w:tabs>
          <w:tab w:val="left" w:pos="7513"/>
        </w:tabs>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w:t>
      </w:r>
      <w:r w:rsidRPr="005534BD">
        <w:rPr>
          <w:rFonts w:ascii="Palatino Linotype" w:eastAsia="Palatino Linotype" w:hAnsi="Palatino Linotype" w:cs="Palatino Linotype"/>
          <w:i/>
        </w:rPr>
        <w:lastRenderedPageBreak/>
        <w:t xml:space="preserve">estableció en el artículo 7 de ese mismo ordenamiento que la referida información, como una obligación de trasparencia, </w:t>
      </w:r>
      <w:r w:rsidRPr="005534BD">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534BD">
        <w:rPr>
          <w:rFonts w:ascii="Palatino Linotype" w:eastAsia="Palatino Linotype" w:hAnsi="Palatino Linotype" w:cs="Palatino Linotype"/>
          <w:i/>
          <w:u w:val="single"/>
        </w:rPr>
        <w:t>…”</w:t>
      </w:r>
    </w:p>
    <w:p w14:paraId="79E975B6" w14:textId="77777777" w:rsidR="0093756C" w:rsidRPr="005534BD" w:rsidRDefault="0093756C">
      <w:pPr>
        <w:tabs>
          <w:tab w:val="left" w:pos="7513"/>
        </w:tabs>
        <w:spacing w:after="0"/>
        <w:ind w:left="851" w:right="616"/>
        <w:rPr>
          <w:rFonts w:ascii="Palatino Linotype" w:eastAsia="Palatino Linotype" w:hAnsi="Palatino Linotype" w:cs="Palatino Linotype"/>
        </w:rPr>
      </w:pPr>
    </w:p>
    <w:p w14:paraId="0C55BC75" w14:textId="77777777" w:rsidR="0093756C" w:rsidRPr="005534BD" w:rsidRDefault="00752E30">
      <w:pPr>
        <w:tabs>
          <w:tab w:val="left" w:pos="7513"/>
        </w:tabs>
        <w:spacing w:after="0"/>
        <w:ind w:left="851" w:right="616"/>
        <w:rPr>
          <w:rFonts w:ascii="Palatino Linotype" w:eastAsia="Palatino Linotype" w:hAnsi="Palatino Linotype" w:cs="Palatino Linotype"/>
        </w:rPr>
      </w:pPr>
      <w:r w:rsidRPr="005534BD">
        <w:rPr>
          <w:rFonts w:ascii="Palatino Linotype" w:eastAsia="Palatino Linotype" w:hAnsi="Palatino Linotype" w:cs="Palatino Linotype"/>
          <w:b/>
          <w:i/>
        </w:rPr>
        <w:t>“Criterio 02/2003.</w:t>
      </w:r>
    </w:p>
    <w:p w14:paraId="502B995D" w14:textId="77777777" w:rsidR="0093756C" w:rsidRPr="005534BD" w:rsidRDefault="00752E30">
      <w:pPr>
        <w:tabs>
          <w:tab w:val="left" w:pos="7513"/>
        </w:tabs>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5534BD">
        <w:rPr>
          <w:rFonts w:ascii="Palatino Linotype" w:eastAsia="Palatino Linotype" w:hAnsi="Palatino Linotype" w:cs="Palatino Linotype"/>
          <w:i/>
        </w:rPr>
        <w:t> </w:t>
      </w:r>
    </w:p>
    <w:p w14:paraId="33A75BDA" w14:textId="77777777" w:rsidR="0093756C" w:rsidRPr="005534BD" w:rsidRDefault="00752E30">
      <w:pPr>
        <w:tabs>
          <w:tab w:val="left" w:pos="7513"/>
        </w:tabs>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534BD">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534BD">
        <w:rPr>
          <w:rFonts w:ascii="Palatino Linotype" w:eastAsia="Palatino Linotype" w:hAnsi="Palatino Linotype" w:cs="Palatino Linotype"/>
          <w:i/>
        </w:rPr>
        <w:t xml:space="preserve"> el sistema de compensación…”</w:t>
      </w:r>
    </w:p>
    <w:p w14:paraId="367B9695" w14:textId="77777777" w:rsidR="0093756C" w:rsidRPr="005534BD" w:rsidRDefault="0093756C">
      <w:pPr>
        <w:spacing w:after="0" w:line="360" w:lineRule="auto"/>
        <w:jc w:val="both"/>
        <w:rPr>
          <w:rFonts w:ascii="Palatino Linotype" w:eastAsia="Palatino Linotype" w:hAnsi="Palatino Linotype" w:cs="Palatino Linotype"/>
        </w:rPr>
      </w:pPr>
    </w:p>
    <w:p w14:paraId="3E4CAA8B"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Máxime que lo solicitado está relacionado con la obligación de transparencia común prevista en el artículo 92, fracción VIII de la Ley de Transparencia y Acceso a la Información Pública del Estado de México y Municipios, </w:t>
      </w:r>
      <w:r w:rsidRPr="005534BD">
        <w:rPr>
          <w:rFonts w:ascii="Palatino Linotype" w:eastAsia="Palatino Linotype" w:hAnsi="Palatino Linotype" w:cs="Palatino Linotype"/>
          <w:b/>
        </w:rPr>
        <w:t>relativa a las remuneraciones de los servidores públicos, que incluye, entre otros, sueldos y prestaciones como la prima vacacional y el aguinaldo</w:t>
      </w:r>
      <w:r w:rsidRPr="005534BD">
        <w:rPr>
          <w:rFonts w:ascii="Palatino Linotype" w:eastAsia="Palatino Linotype" w:hAnsi="Palatino Linotype" w:cs="Palatino Linotype"/>
        </w:rPr>
        <w:t>, como se sigue: </w:t>
      </w:r>
    </w:p>
    <w:p w14:paraId="1E377D3A" w14:textId="77777777" w:rsidR="0093756C" w:rsidRPr="005534BD" w:rsidRDefault="0093756C">
      <w:pPr>
        <w:spacing w:after="0"/>
        <w:rPr>
          <w:rFonts w:ascii="Palatino Linotype" w:eastAsia="Palatino Linotype" w:hAnsi="Palatino Linotype" w:cs="Palatino Linotype"/>
        </w:rPr>
      </w:pPr>
    </w:p>
    <w:p w14:paraId="51CBCEAB"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lastRenderedPageBreak/>
        <w:t>“</w:t>
      </w:r>
      <w:r w:rsidRPr="005534BD">
        <w:rPr>
          <w:rFonts w:ascii="Palatino Linotype" w:eastAsia="Palatino Linotype" w:hAnsi="Palatino Linotype" w:cs="Palatino Linotype"/>
          <w:b/>
          <w:i/>
        </w:rPr>
        <w:t>Artículo 92.</w:t>
      </w:r>
      <w:r w:rsidRPr="005534BD">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2C46398"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i/>
        </w:rPr>
        <w:t>(…)</w:t>
      </w:r>
    </w:p>
    <w:p w14:paraId="132D8029" w14:textId="77777777" w:rsidR="0093756C" w:rsidRPr="005534BD" w:rsidRDefault="00752E30">
      <w:pPr>
        <w:spacing w:after="0"/>
        <w:ind w:left="851" w:right="616"/>
        <w:jc w:val="both"/>
        <w:rPr>
          <w:rFonts w:ascii="Palatino Linotype" w:eastAsia="Palatino Linotype" w:hAnsi="Palatino Linotype" w:cs="Palatino Linotype"/>
        </w:rPr>
      </w:pPr>
      <w:r w:rsidRPr="005534BD">
        <w:rPr>
          <w:rFonts w:ascii="Palatino Linotype" w:eastAsia="Palatino Linotype" w:hAnsi="Palatino Linotype" w:cs="Palatino Linotype"/>
          <w:b/>
          <w:i/>
        </w:rPr>
        <w:t>VIII.</w:t>
      </w:r>
      <w:r w:rsidRPr="005534BD">
        <w:rPr>
          <w:rFonts w:ascii="Palatino Linotype" w:eastAsia="Palatino Linotype" w:hAnsi="Palatino Linotype" w:cs="Palatino Linotype"/>
          <w:i/>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39A5260" w14:textId="77777777" w:rsidR="0093756C" w:rsidRPr="005534BD" w:rsidRDefault="0093756C">
      <w:pPr>
        <w:spacing w:after="0" w:line="360" w:lineRule="auto"/>
        <w:ind w:right="49"/>
        <w:jc w:val="both"/>
        <w:rPr>
          <w:rFonts w:ascii="Palatino Linotype" w:eastAsia="Palatino Linotype" w:hAnsi="Palatino Linotype" w:cs="Palatino Linotype"/>
        </w:rPr>
      </w:pPr>
    </w:p>
    <w:p w14:paraId="62571087" w14:textId="77777777" w:rsidR="0093756C" w:rsidRPr="005534BD" w:rsidRDefault="00752E30">
      <w:pPr>
        <w:spacing w:after="0" w:line="360" w:lineRule="auto"/>
        <w:ind w:right="49"/>
        <w:jc w:val="both"/>
        <w:rPr>
          <w:rFonts w:ascii="Palatino Linotype" w:eastAsia="Palatino Linotype" w:hAnsi="Palatino Linotype" w:cs="Palatino Linotype"/>
          <w:b/>
        </w:rPr>
      </w:pPr>
      <w:r w:rsidRPr="005534BD">
        <w:rPr>
          <w:rFonts w:ascii="Palatino Linotype" w:eastAsia="Palatino Linotype" w:hAnsi="Palatino Linotype" w:cs="Palatino Linotype"/>
        </w:rPr>
        <w:t xml:space="preserve">De lo anterior, se colige que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cuenta con las competencias, facultades y atribuciones para conocer, administrar y generar la información relacionada con los </w:t>
      </w:r>
      <w:r w:rsidRPr="005534BD">
        <w:rPr>
          <w:rFonts w:ascii="Palatino Linotype" w:eastAsia="Palatino Linotype" w:hAnsi="Palatino Linotype" w:cs="Palatino Linotype"/>
          <w:b/>
        </w:rPr>
        <w:t xml:space="preserve">recibos de nómina del personal adscrito al Ayuntamiento de Ozumba, por concepto del pago de sueldos y salarios, prima vacacional y aguinaldo, </w:t>
      </w:r>
      <w:r w:rsidRPr="005534BD">
        <w:rPr>
          <w:rFonts w:ascii="Palatino Linotype" w:eastAsia="Palatino Linotype" w:hAnsi="Palatino Linotype" w:cs="Palatino Linotype"/>
        </w:rPr>
        <w:t xml:space="preserve">solicitados por el </w:t>
      </w:r>
      <w:r w:rsidRPr="005534BD">
        <w:rPr>
          <w:rFonts w:ascii="Palatino Linotype" w:eastAsia="Palatino Linotype" w:hAnsi="Palatino Linotype" w:cs="Palatino Linotype"/>
          <w:b/>
        </w:rPr>
        <w:t>Recurrente</w:t>
      </w:r>
      <w:r w:rsidRPr="005534BD">
        <w:rPr>
          <w:rFonts w:ascii="Palatino Linotype" w:eastAsia="Palatino Linotype" w:hAnsi="Palatino Linotype" w:cs="Palatino Linotype"/>
        </w:rPr>
        <w:t>.</w:t>
      </w:r>
    </w:p>
    <w:p w14:paraId="4121FB36" w14:textId="77777777" w:rsidR="0093756C" w:rsidRPr="005534BD" w:rsidRDefault="0093756C">
      <w:pPr>
        <w:spacing w:after="0" w:line="360" w:lineRule="auto"/>
        <w:jc w:val="both"/>
        <w:rPr>
          <w:rFonts w:ascii="Palatino Linotype" w:eastAsia="Palatino Linotype" w:hAnsi="Palatino Linotype" w:cs="Palatino Linotype"/>
        </w:rPr>
      </w:pPr>
    </w:p>
    <w:p w14:paraId="4FAF1D3C"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Ahora, en el presente asunto es de recordar que quien se pronunció fue la Tesorería Municipal, misma que conforme el artículo 26 fracciones I y IV, del Bando Municipal de Ozumba 2025, tiene dentro de sus atribuciones las siguientes:</w:t>
      </w:r>
    </w:p>
    <w:p w14:paraId="0C015FBE" w14:textId="77777777" w:rsidR="0093756C" w:rsidRPr="005534BD" w:rsidRDefault="0093756C">
      <w:pPr>
        <w:spacing w:after="0" w:line="360" w:lineRule="auto"/>
        <w:jc w:val="both"/>
        <w:rPr>
          <w:rFonts w:ascii="Palatino Linotype" w:eastAsia="Palatino Linotype" w:hAnsi="Palatino Linotype" w:cs="Palatino Linotype"/>
        </w:rPr>
      </w:pPr>
    </w:p>
    <w:p w14:paraId="2BC2A071" w14:textId="77777777" w:rsidR="0093756C" w:rsidRPr="005534BD" w:rsidRDefault="00752E30">
      <w:pPr>
        <w:spacing w:after="0" w:line="240" w:lineRule="auto"/>
        <w:ind w:left="567" w:right="560"/>
        <w:jc w:val="both"/>
        <w:rPr>
          <w:rFonts w:ascii="Palatino Linotype" w:eastAsia="Palatino Linotype" w:hAnsi="Palatino Linotype" w:cs="Palatino Linotype"/>
          <w:i/>
        </w:rPr>
      </w:pPr>
      <w:r w:rsidRPr="005534BD">
        <w:rPr>
          <w:rFonts w:ascii="Palatino Linotype" w:eastAsia="Palatino Linotype" w:hAnsi="Palatino Linotype" w:cs="Palatino Linotype"/>
          <w:i/>
        </w:rPr>
        <w:t>“Artículo 26.- El Tesorero municipal es el órgano encargado de la recaudación de los ingresos municipales y responsable de realizar las erogaciones que haga el ayuntamiento y tiene las siguientes atribuciones en términos de lo dispuesto en el artículo 95 de la Ley Orgánica Municipal del Estado de México:</w:t>
      </w:r>
    </w:p>
    <w:p w14:paraId="6491CD2A" w14:textId="77777777" w:rsidR="0093756C" w:rsidRPr="005534BD" w:rsidRDefault="00752E30">
      <w:pPr>
        <w:spacing w:after="0" w:line="240" w:lineRule="auto"/>
        <w:ind w:left="567" w:right="560"/>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I. Administrar la hacienda pública municipal, de conformidad con las disposiciones legales aplicables;</w:t>
      </w:r>
    </w:p>
    <w:p w14:paraId="4878B45A" w14:textId="77777777" w:rsidR="0093756C" w:rsidRPr="005534BD" w:rsidRDefault="00752E30">
      <w:pPr>
        <w:spacing w:after="0" w:line="240" w:lineRule="auto"/>
        <w:ind w:left="567" w:right="560"/>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p>
    <w:p w14:paraId="59ABB058" w14:textId="77777777" w:rsidR="0093756C" w:rsidRPr="005534BD" w:rsidRDefault="00752E30">
      <w:pPr>
        <w:spacing w:after="0" w:line="240" w:lineRule="auto"/>
        <w:ind w:left="567" w:right="560"/>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IV. Llevar los registros contables, financieros y administrativos de los ingresos, egresos, e inventarios;</w:t>
      </w:r>
    </w:p>
    <w:p w14:paraId="2A98FD08" w14:textId="77777777" w:rsidR="0093756C" w:rsidRPr="005534BD" w:rsidRDefault="00752E30">
      <w:pPr>
        <w:spacing w:after="0" w:line="240" w:lineRule="auto"/>
        <w:ind w:left="567" w:right="560"/>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p>
    <w:p w14:paraId="4A2FE64F" w14:textId="77777777" w:rsidR="0093756C" w:rsidRPr="005534BD" w:rsidRDefault="00752E30">
      <w:pPr>
        <w:spacing w:after="0" w:line="240" w:lineRule="auto"/>
        <w:ind w:left="567" w:right="560"/>
        <w:jc w:val="right"/>
        <w:rPr>
          <w:rFonts w:ascii="Palatino Linotype" w:eastAsia="Palatino Linotype" w:hAnsi="Palatino Linotype" w:cs="Palatino Linotype"/>
          <w:i/>
        </w:rPr>
      </w:pPr>
      <w:r w:rsidRPr="005534BD">
        <w:rPr>
          <w:rFonts w:ascii="Palatino Linotype" w:eastAsia="Palatino Linotype" w:hAnsi="Palatino Linotype" w:cs="Palatino Linotype"/>
          <w:i/>
        </w:rPr>
        <w:t>(Énfasis añadido)</w:t>
      </w:r>
    </w:p>
    <w:p w14:paraId="2AA34CB4" w14:textId="77777777" w:rsidR="0093756C" w:rsidRPr="005534BD" w:rsidRDefault="0093756C">
      <w:pPr>
        <w:spacing w:after="0" w:line="360" w:lineRule="auto"/>
        <w:jc w:val="both"/>
        <w:rPr>
          <w:rFonts w:ascii="Palatino Linotype" w:eastAsia="Palatino Linotype" w:hAnsi="Palatino Linotype" w:cs="Palatino Linotype"/>
        </w:rPr>
      </w:pPr>
    </w:p>
    <w:p w14:paraId="55C24D5C"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Como se desprende de lo anterior, la Tesorería Municipal es el órgano encargado de la recaudación de los ingresos municipales y responsable de realizar las erogaciones que haga el</w:t>
      </w:r>
    </w:p>
    <w:p w14:paraId="1A1EB690"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Ayuntamiento, así como de llevar los registros contables, financieros y administrativos de los ingresos, egresos; y, por tanto tiene conocimiento para conocer de la información materia de la revisión.</w:t>
      </w:r>
    </w:p>
    <w:p w14:paraId="274E7A9F" w14:textId="77777777" w:rsidR="0093756C" w:rsidRPr="005534BD" w:rsidRDefault="0093756C">
      <w:pPr>
        <w:spacing w:after="0" w:line="360" w:lineRule="auto"/>
        <w:jc w:val="both"/>
        <w:rPr>
          <w:rFonts w:ascii="Palatino Linotype" w:eastAsia="Palatino Linotype" w:hAnsi="Palatino Linotype" w:cs="Palatino Linotype"/>
        </w:rPr>
      </w:pPr>
    </w:p>
    <w:p w14:paraId="08C2E41B"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De esta manera, atendiendo que en el caso se pronunció la Tesorería Municipal, se colige que dio respuesta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37B59815" w14:textId="77777777" w:rsidR="0093756C" w:rsidRPr="005534BD" w:rsidRDefault="0093756C">
      <w:pPr>
        <w:spacing w:after="0"/>
      </w:pPr>
    </w:p>
    <w:p w14:paraId="4C9820EA" w14:textId="77777777" w:rsidR="0093756C" w:rsidRPr="005534BD" w:rsidRDefault="00752E30">
      <w:pPr>
        <w:pBdr>
          <w:top w:val="nil"/>
          <w:left w:val="nil"/>
          <w:bottom w:val="nil"/>
          <w:right w:val="nil"/>
          <w:between w:val="nil"/>
        </w:pBdr>
        <w:spacing w:after="0"/>
        <w:ind w:left="864" w:right="864"/>
        <w:jc w:val="both"/>
      </w:pPr>
      <w:r w:rsidRPr="005534BD">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3338F32" w14:textId="77777777" w:rsidR="0093756C" w:rsidRPr="005534BD" w:rsidRDefault="0093756C">
      <w:pPr>
        <w:spacing w:after="0"/>
      </w:pPr>
    </w:p>
    <w:p w14:paraId="6C093100" w14:textId="77777777" w:rsidR="0093756C" w:rsidRPr="005534BD" w:rsidRDefault="00752E30">
      <w:pPr>
        <w:pBdr>
          <w:top w:val="nil"/>
          <w:left w:val="nil"/>
          <w:bottom w:val="nil"/>
          <w:right w:val="nil"/>
          <w:between w:val="nil"/>
        </w:pBdr>
        <w:shd w:val="clear" w:color="auto" w:fill="FFFFFF"/>
        <w:spacing w:after="0" w:line="360" w:lineRule="auto"/>
        <w:jc w:val="both"/>
      </w:pPr>
      <w:r w:rsidRPr="005534BD">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7A9C3EA" w14:textId="77777777" w:rsidR="0093756C" w:rsidRPr="005534BD" w:rsidRDefault="0093756C">
      <w:pPr>
        <w:spacing w:after="0"/>
      </w:pPr>
    </w:p>
    <w:p w14:paraId="06CDBC9B" w14:textId="77777777" w:rsidR="0093756C" w:rsidRPr="005534BD" w:rsidRDefault="00752E30">
      <w:pPr>
        <w:pBdr>
          <w:top w:val="nil"/>
          <w:left w:val="nil"/>
          <w:bottom w:val="nil"/>
          <w:right w:val="nil"/>
          <w:between w:val="nil"/>
        </w:pBdr>
        <w:spacing w:after="0"/>
        <w:ind w:left="864" w:right="864"/>
        <w:jc w:val="both"/>
      </w:pPr>
      <w:r w:rsidRPr="005534BD">
        <w:rPr>
          <w:rFonts w:ascii="Palatino Linotype" w:eastAsia="Palatino Linotype" w:hAnsi="Palatino Linotype" w:cs="Palatino Linotype"/>
          <w:i/>
        </w:rPr>
        <w:t xml:space="preserve">“Artículo 162. Las unidades de transparencia deberán garantizar que las solicitudes </w:t>
      </w:r>
      <w:r w:rsidRPr="005534BD">
        <w:rPr>
          <w:rFonts w:ascii="Palatino Linotype" w:eastAsia="Palatino Linotype" w:hAnsi="Palatino Linotype" w:cs="Palatino Linotype"/>
          <w:b/>
          <w:i/>
        </w:rPr>
        <w:t xml:space="preserve">se turnen a todas las Áreas competentes </w:t>
      </w:r>
      <w:r w:rsidRPr="005534BD">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1DC93C8F" w14:textId="77777777" w:rsidR="0093756C" w:rsidRPr="005534BD" w:rsidRDefault="0093756C">
      <w:pPr>
        <w:widowControl w:val="0"/>
        <w:spacing w:after="0" w:line="360" w:lineRule="auto"/>
        <w:ind w:right="49"/>
        <w:jc w:val="both"/>
        <w:rPr>
          <w:rFonts w:ascii="Palatino Linotype" w:eastAsia="Palatino Linotype" w:hAnsi="Palatino Linotype" w:cs="Palatino Linotype"/>
        </w:rPr>
      </w:pPr>
    </w:p>
    <w:p w14:paraId="4C2500E8"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No obstante, si bien en el caso se pronunció la unidad administrativa competente, del análisis que se realiza a la respuesta y se desprende en el caso no se colmó el derecho de acceso a la información de la persona solicitante, por las siguientes consideraciones.</w:t>
      </w:r>
    </w:p>
    <w:p w14:paraId="42A09EA5" w14:textId="77777777" w:rsidR="0093756C" w:rsidRPr="005534BD" w:rsidRDefault="0093756C">
      <w:pPr>
        <w:spacing w:after="0" w:line="360" w:lineRule="auto"/>
        <w:jc w:val="both"/>
        <w:rPr>
          <w:rFonts w:ascii="Palatino Linotype" w:eastAsia="Palatino Linotype" w:hAnsi="Palatino Linotype" w:cs="Palatino Linotype"/>
        </w:rPr>
      </w:pPr>
    </w:p>
    <w:p w14:paraId="26F2FC08"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En primer lugar, ya que del análisis a la respuesta emitida a la solicitud de información 00029/OZUMBA/IP/2025 relativo a los recibos de nómina de la primera y segunda quincena de dos mil veinticuatro, así como los recibos por los pagos de prima vacacional y aguinaldo efectuados en dicho ejercicio, el Tesorero Municipal únicamente se limitó a indicar que se debía especificar los periodos de los que se requiere la información.</w:t>
      </w:r>
    </w:p>
    <w:p w14:paraId="52BB7B73" w14:textId="77777777" w:rsidR="0093756C" w:rsidRPr="005534BD" w:rsidRDefault="0093756C">
      <w:pPr>
        <w:spacing w:after="0" w:line="360" w:lineRule="auto"/>
        <w:jc w:val="both"/>
        <w:rPr>
          <w:rFonts w:ascii="Palatino Linotype" w:eastAsia="Palatino Linotype" w:hAnsi="Palatino Linotype" w:cs="Palatino Linotype"/>
        </w:rPr>
      </w:pPr>
    </w:p>
    <w:p w14:paraId="7D7BBB9F"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Por lo que, si bien en la solicitud 00029/OZUMBA/IP/2025, como se expuso en párrafos anteriores, en dicha solicitud únicamente el particular fue omiso en precisar el mes del ejercicio dos mil veinticuatro respecto del cual requería los recibos de nómina de la primera y segunda quincena, más no así del resto de la información solicitada, ya que si fue precisada temporalidad respecto de los recibos por los pagos de prima vacacional y aguinaldo.</w:t>
      </w:r>
    </w:p>
    <w:p w14:paraId="0ED9C298" w14:textId="77777777" w:rsidR="0093756C" w:rsidRPr="005534BD" w:rsidRDefault="0093756C">
      <w:pPr>
        <w:spacing w:after="0" w:line="360" w:lineRule="auto"/>
        <w:jc w:val="both"/>
        <w:rPr>
          <w:rFonts w:ascii="Palatino Linotype" w:eastAsia="Palatino Linotype" w:hAnsi="Palatino Linotype" w:cs="Palatino Linotype"/>
        </w:rPr>
      </w:pPr>
    </w:p>
    <w:p w14:paraId="530AF033" w14:textId="77777777" w:rsidR="0093756C" w:rsidRPr="005534BD" w:rsidRDefault="00752E30">
      <w:pPr>
        <w:pBdr>
          <w:top w:val="nil"/>
          <w:left w:val="nil"/>
          <w:bottom w:val="nil"/>
          <w:right w:val="nil"/>
          <w:between w:val="nil"/>
        </w:pBdr>
        <w:spacing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Aunado a que, no pasa por desapercibido para este Órgano Garante que el artículo 159 de la Ley de Transparencia Local prevé como atribución para la Unidad de Transparencia de los sujetos obligados, llevar a cabo una solicitud de aclaración al particular, en los casos en que los detalles proporcionados para localizar los documentos resulten insuficientes, incompletos o sean erróneos, misma que deberá realizarse por una sola vez y dentro de un plazo que no podrá exceder de cinco días hábiles contados a partir de la presentación de la solicitud, para que, en un término de hasta diez días hábiles, se indiquen otros elementos que complementen, </w:t>
      </w:r>
      <w:r w:rsidRPr="005534BD">
        <w:rPr>
          <w:rFonts w:ascii="Palatino Linotype" w:eastAsia="Palatino Linotype" w:hAnsi="Palatino Linotype" w:cs="Palatino Linotype"/>
        </w:rPr>
        <w:lastRenderedPageBreak/>
        <w:t>corrijan o amplíen los datos proporcionados o bien, se precise uno o varios requerimientos de información, a saber:</w:t>
      </w:r>
    </w:p>
    <w:p w14:paraId="65ADAA18" w14:textId="77777777" w:rsidR="0093756C" w:rsidRPr="005534BD" w:rsidRDefault="00752E30">
      <w:pPr>
        <w:ind w:left="567" w:right="567"/>
        <w:jc w:val="both"/>
        <w:rPr>
          <w:rFonts w:ascii="Palatino Linotype" w:eastAsia="Palatino Linotype" w:hAnsi="Palatino Linotype" w:cs="Palatino Linotype"/>
          <w:b/>
          <w:i/>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Artículo 159.</w:t>
      </w:r>
      <w:r w:rsidRPr="005534BD">
        <w:rPr>
          <w:rFonts w:ascii="Palatino Linotype" w:eastAsia="Palatino Linotype" w:hAnsi="Palatino Linotype" w:cs="Palatino Linotype"/>
          <w:i/>
        </w:rPr>
        <w:t xml:space="preserve"> Cuando los detalles proporcionados para localizar los documentos resulten insuficientes, incompletos o sean erróneos, la Unidad de Transparencia</w:t>
      </w:r>
      <w:r w:rsidRPr="005534BD">
        <w:rPr>
          <w:rFonts w:ascii="Palatino Linotype" w:eastAsia="Palatino Linotype" w:hAnsi="Palatino Linotype" w:cs="Palatino Linotype"/>
          <w:b/>
          <w:i/>
        </w:rPr>
        <w:t xml:space="preserve">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52634531" w14:textId="77777777" w:rsidR="0093756C" w:rsidRPr="005534BD" w:rsidRDefault="00752E30">
      <w:pPr>
        <w:pBdr>
          <w:top w:val="nil"/>
          <w:left w:val="nil"/>
          <w:bottom w:val="nil"/>
          <w:right w:val="nil"/>
          <w:between w:val="nil"/>
        </w:pBdr>
        <w:spacing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En ese sentido, si bien, en el caso que nos ocupa, de la consulta al expediente aperturado con motivo del medio de impugnación que nos ocupa, se advierte que el ente público no llevó a cabo el requerimiento o solicitud de aclaración con la finalidad de allegarse de mayores elementos para localizar la información requerida relativa a “</w:t>
      </w:r>
      <w:r w:rsidRPr="005534BD">
        <w:rPr>
          <w:rFonts w:ascii="Palatino Linotype" w:eastAsia="Palatino Linotype" w:hAnsi="Palatino Linotype" w:cs="Palatino Linotype"/>
          <w:i/>
        </w:rPr>
        <w:t>recibos de nómina de la primera y segunda quincena de 2024</w:t>
      </w:r>
      <w:r w:rsidRPr="005534BD">
        <w:rPr>
          <w:rFonts w:ascii="Palatino Linotype" w:eastAsia="Palatino Linotype" w:hAnsi="Palatino Linotype" w:cs="Palatino Linotype"/>
        </w:rPr>
        <w:t xml:space="preserve">”; a través de la presente </w:t>
      </w:r>
      <w:r w:rsidRPr="005534BD">
        <w:rPr>
          <w:rFonts w:ascii="Palatino Linotype" w:eastAsia="Palatino Linotype" w:hAnsi="Palatino Linotype" w:cs="Palatino Linotype"/>
          <w:b/>
        </w:rPr>
        <w:t xml:space="preserve">se exhorta al Sujeto Obligado </w:t>
      </w:r>
      <w:r w:rsidRPr="005534BD">
        <w:rPr>
          <w:rFonts w:ascii="Palatino Linotype" w:eastAsia="Palatino Linotype" w:hAnsi="Palatino Linotype" w:cs="Palatino Linotype"/>
        </w:rPr>
        <w:t>a que en futuras solicitudes, de no contar con los elementos para realizar la búsqueda de la información, lleve a cabo el requerimiento de aclaración en términos del numeral en cita a fin de garantizar el derecho de acceso a la información de los particulares.</w:t>
      </w:r>
    </w:p>
    <w:p w14:paraId="456246E9" w14:textId="77777777" w:rsidR="0093756C" w:rsidRPr="005534BD" w:rsidRDefault="0093756C">
      <w:pPr>
        <w:spacing w:after="0" w:line="360" w:lineRule="auto"/>
        <w:jc w:val="both"/>
        <w:rPr>
          <w:rFonts w:ascii="Palatino Linotype" w:eastAsia="Palatino Linotype" w:hAnsi="Palatino Linotype" w:cs="Palatino Linotype"/>
        </w:rPr>
      </w:pPr>
    </w:p>
    <w:p w14:paraId="664737E0"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De ahí que se considera que los motivos de inconformidad resultan fundados, siendo procedente revocar y ordenar que, en cumplimiento a la presente resolución se haga entrega, </w:t>
      </w:r>
      <w:r w:rsidRPr="005534BD">
        <w:rPr>
          <w:rFonts w:ascii="Palatino Linotype" w:eastAsia="Palatino Linotype" w:hAnsi="Palatino Linotype" w:cs="Palatino Linotype"/>
          <w:b/>
        </w:rPr>
        <w:t>previa búsqueda exhaustiva y razonable, en versión pública, respecto de los servidores públicos adscritos al Ayuntamiento de Ozumba</w:t>
      </w:r>
      <w:r w:rsidRPr="005534BD">
        <w:rPr>
          <w:rFonts w:ascii="Palatino Linotype" w:eastAsia="Palatino Linotype" w:hAnsi="Palatino Linotype" w:cs="Palatino Linotype"/>
        </w:rPr>
        <w:t>, lo siguiente:</w:t>
      </w:r>
    </w:p>
    <w:p w14:paraId="55378768" w14:textId="77777777" w:rsidR="0093756C" w:rsidRPr="005534BD" w:rsidRDefault="0093756C">
      <w:pPr>
        <w:spacing w:after="0" w:line="360" w:lineRule="auto"/>
        <w:jc w:val="both"/>
        <w:rPr>
          <w:rFonts w:ascii="Palatino Linotype" w:eastAsia="Palatino Linotype" w:hAnsi="Palatino Linotype" w:cs="Palatino Linotype"/>
        </w:rPr>
      </w:pPr>
    </w:p>
    <w:p w14:paraId="4E52845C" w14:textId="77777777" w:rsidR="0093756C" w:rsidRPr="005534BD" w:rsidRDefault="00752E3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534BD">
        <w:rPr>
          <w:rFonts w:ascii="Palatino Linotype" w:eastAsia="Palatino Linotype" w:hAnsi="Palatino Linotype" w:cs="Palatino Linotype"/>
          <w:b/>
        </w:rPr>
        <w:t>Los recibos de nómina de la primera y segunda quincena de diciembre de dos mil veinticuatro.</w:t>
      </w:r>
    </w:p>
    <w:p w14:paraId="4EACA69F" w14:textId="77777777" w:rsidR="0093756C" w:rsidRPr="005534BD" w:rsidRDefault="00752E3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534BD">
        <w:rPr>
          <w:rFonts w:ascii="Palatino Linotype" w:eastAsia="Palatino Linotype" w:hAnsi="Palatino Linotype" w:cs="Palatino Linotype"/>
          <w:b/>
        </w:rPr>
        <w:lastRenderedPageBreak/>
        <w:t>Los recibos por el pago de prima vacacional y aguinaldo en el ejercicio dos mil veinticuatro.</w:t>
      </w:r>
    </w:p>
    <w:p w14:paraId="5080FC80" w14:textId="77777777" w:rsidR="0093756C" w:rsidRPr="005534BD" w:rsidRDefault="0093756C">
      <w:pPr>
        <w:spacing w:after="0" w:line="360" w:lineRule="auto"/>
        <w:jc w:val="both"/>
        <w:rPr>
          <w:rFonts w:ascii="Palatino Linotype" w:eastAsia="Palatino Linotype" w:hAnsi="Palatino Linotype" w:cs="Palatino Linotype"/>
        </w:rPr>
      </w:pPr>
    </w:p>
    <w:p w14:paraId="7F639310"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En segundo lugar, también se considera que en el caso no se colmó el derecho de acceso a la información pública del particular, ya que del análisis a la respuesta emitida a la solicitud de información 00030/OZUMBA/IP/2025 donde se requirió los recibos de nómina de la primera quincena de enero de 2025, el Tesorero Municipal indicó que la información se encuentra en proceso, y por tanto no se cuenta con ella.</w:t>
      </w:r>
    </w:p>
    <w:p w14:paraId="2A0DC17A" w14:textId="77777777" w:rsidR="0093756C" w:rsidRPr="005534BD" w:rsidRDefault="0093756C">
      <w:pPr>
        <w:spacing w:after="0" w:line="360" w:lineRule="auto"/>
        <w:jc w:val="both"/>
        <w:rPr>
          <w:rFonts w:ascii="Palatino Linotype" w:eastAsia="Palatino Linotype" w:hAnsi="Palatino Linotype" w:cs="Palatino Linotype"/>
        </w:rPr>
      </w:pPr>
    </w:p>
    <w:p w14:paraId="6CC4381D"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De tal circunstancia, se logra vislumbrar que dicha contestación no resulta clara y es confusa, pues no se señala de manera precisa las razones sustanciales por las que no se cuenta con los comprobantes de pago solicitados.</w:t>
      </w:r>
    </w:p>
    <w:p w14:paraId="3EA9A5B9" w14:textId="77777777" w:rsidR="0093756C" w:rsidRPr="005534BD" w:rsidRDefault="0093756C">
      <w:pPr>
        <w:spacing w:after="0" w:line="360" w:lineRule="auto"/>
        <w:jc w:val="both"/>
        <w:rPr>
          <w:rFonts w:ascii="Palatino Linotype" w:eastAsia="Palatino Linotype" w:hAnsi="Palatino Linotype" w:cs="Palatino Linotype"/>
        </w:rPr>
      </w:pPr>
    </w:p>
    <w:p w14:paraId="0D478759"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Además, si bien el ente público señaló que estaba en proceso la información, no indicó si ello se debía a que se estaban generando los recibos de la primera quincena de enero de 2025.</w:t>
      </w:r>
    </w:p>
    <w:p w14:paraId="0C200C58" w14:textId="77777777" w:rsidR="0093756C" w:rsidRPr="005534BD" w:rsidRDefault="0093756C">
      <w:pPr>
        <w:spacing w:after="0" w:line="360" w:lineRule="auto"/>
        <w:jc w:val="both"/>
        <w:rPr>
          <w:rFonts w:ascii="Palatino Linotype" w:eastAsia="Palatino Linotype" w:hAnsi="Palatino Linotype" w:cs="Palatino Linotype"/>
        </w:rPr>
      </w:pPr>
    </w:p>
    <w:p w14:paraId="4486497C"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Aunado a que la Resolución Miscelánea Fiscal del ejercicio fiscal dos mil veinticinco, y la página oficial del Servicio de Administración Tributaria, precisan que un Comprobante Fiscal Digital por Internet por concepto de nómina y otras retenciones, es también conocido como Recibo de Nómina, estableciendo en la regla 2.7.5.1, que el mismo puede expedirse antes o después de la realización de los pagos correspondientes.</w:t>
      </w:r>
    </w:p>
    <w:p w14:paraId="6EBDF8C1" w14:textId="77777777" w:rsidR="0093756C" w:rsidRPr="005534BD" w:rsidRDefault="0093756C">
      <w:pPr>
        <w:spacing w:after="0" w:line="360" w:lineRule="auto"/>
        <w:jc w:val="both"/>
        <w:rPr>
          <w:rFonts w:ascii="Palatino Linotype" w:eastAsia="Palatino Linotype" w:hAnsi="Palatino Linotype" w:cs="Palatino Linotype"/>
        </w:rPr>
      </w:pPr>
    </w:p>
    <w:p w14:paraId="08FCF4BC"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Conforme a lo anterior, se advierte que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no fue claro en precisar si contaba o no con los recibos de nómina de la primera quincena de enero de dos mil veinticinco; máxime </w:t>
      </w:r>
      <w:r w:rsidRPr="005534BD">
        <w:rPr>
          <w:rFonts w:ascii="Palatino Linotype" w:eastAsia="Palatino Linotype" w:hAnsi="Palatino Linotype" w:cs="Palatino Linotype"/>
        </w:rPr>
        <w:lastRenderedPageBreak/>
        <w:t xml:space="preserve">que dentro de sus atribuciones está emitir recibos de nómina por los pagos de sueldos y salarios de los servidores públicos a su cargo de manera quincenal. </w:t>
      </w:r>
    </w:p>
    <w:p w14:paraId="6B458412" w14:textId="77777777" w:rsidR="0093756C" w:rsidRPr="005534BD" w:rsidRDefault="0093756C">
      <w:pPr>
        <w:spacing w:after="0" w:line="360" w:lineRule="auto"/>
        <w:jc w:val="both"/>
        <w:rPr>
          <w:rFonts w:ascii="Palatino Linotype" w:eastAsia="Palatino Linotype" w:hAnsi="Palatino Linotype" w:cs="Palatino Linotype"/>
        </w:rPr>
      </w:pPr>
    </w:p>
    <w:p w14:paraId="64E89415"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De esta manera, la respuesta ocasiona que en el caso no se haya hecho una correcta búsqueda de la información, así como que el servidor público habilitado competente incumpliera también con los principios de congruencia y exhaustividad, en virtud de que su respuesta no fue clara y precisa, pues se insiste no se indicó las razones sustanciales por las que no cuenta con los comprobantes de pago solicitados.</w:t>
      </w:r>
    </w:p>
    <w:p w14:paraId="4985D90C" w14:textId="77777777" w:rsidR="0093756C" w:rsidRPr="005534BD" w:rsidRDefault="0093756C">
      <w:pPr>
        <w:spacing w:after="0" w:line="360" w:lineRule="auto"/>
        <w:jc w:val="both"/>
        <w:rPr>
          <w:rFonts w:ascii="Palatino Linotype" w:eastAsia="Palatino Linotype" w:hAnsi="Palatino Linotype" w:cs="Palatino Linotype"/>
        </w:rPr>
      </w:pPr>
    </w:p>
    <w:p w14:paraId="2EE47F05" w14:textId="77777777" w:rsidR="0093756C" w:rsidRPr="005534BD" w:rsidRDefault="00752E30">
      <w:pPr>
        <w:pBdr>
          <w:top w:val="nil"/>
          <w:left w:val="nil"/>
          <w:bottom w:val="nil"/>
          <w:right w:val="nil"/>
          <w:between w:val="nil"/>
        </w:pBd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En tal sentido, resulta aplicable el Criterio orientador 02/17 emitido por el Pleno del entonces Instituto Nacional de Transparencia y Acceso a la Información y Protección de Datos Personales, de título y texto siguientes:</w:t>
      </w:r>
    </w:p>
    <w:p w14:paraId="0EE9BE9B" w14:textId="77777777" w:rsidR="0093756C" w:rsidRPr="005534BD" w:rsidRDefault="0093756C">
      <w:pPr>
        <w:pBdr>
          <w:top w:val="nil"/>
          <w:left w:val="nil"/>
          <w:bottom w:val="nil"/>
          <w:right w:val="nil"/>
          <w:between w:val="nil"/>
        </w:pBdr>
        <w:spacing w:after="0" w:line="360" w:lineRule="auto"/>
        <w:jc w:val="both"/>
      </w:pPr>
    </w:p>
    <w:p w14:paraId="38420757" w14:textId="77777777" w:rsidR="0093756C" w:rsidRPr="005534BD" w:rsidRDefault="00752E30">
      <w:pPr>
        <w:pBdr>
          <w:top w:val="nil"/>
          <w:left w:val="nil"/>
          <w:bottom w:val="nil"/>
          <w:right w:val="nil"/>
          <w:between w:val="nil"/>
        </w:pBdr>
        <w:spacing w:after="0"/>
        <w:ind w:left="851" w:right="851"/>
        <w:jc w:val="both"/>
        <w:rPr>
          <w:rFonts w:ascii="Palatino Linotype" w:eastAsia="Palatino Linotype" w:hAnsi="Palatino Linotype" w:cs="Palatino Linotype"/>
          <w:i/>
        </w:rPr>
      </w:pPr>
      <w:r w:rsidRPr="005534BD">
        <w:rPr>
          <w:rFonts w:ascii="Palatino Linotype" w:eastAsia="Palatino Linotype" w:hAnsi="Palatino Linotype" w:cs="Palatino Linotype"/>
          <w:b/>
          <w:i/>
        </w:rPr>
        <w:t xml:space="preserve">“Congruencia y exhaustividad. Sus alcances para garantizar el derecho de acceso a la información. </w:t>
      </w:r>
      <w:r w:rsidRPr="005534BD">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534BD">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5534BD">
        <w:rPr>
          <w:rFonts w:ascii="Palatino Linotype" w:eastAsia="Palatino Linotype" w:hAnsi="Palatino Linotype" w:cs="Palatino Linotype"/>
          <w:i/>
        </w:rPr>
        <w:t xml:space="preserve">; mientras que </w:t>
      </w:r>
      <w:r w:rsidRPr="005534BD">
        <w:rPr>
          <w:rFonts w:ascii="Palatino Linotype" w:eastAsia="Palatino Linotype" w:hAnsi="Palatino Linotype" w:cs="Palatino Linotype"/>
          <w:b/>
          <w:i/>
        </w:rPr>
        <w:t>la exhaustividad significa que dicha respuesta se refiera expresamente a cada uno de los puntos solicitados</w:t>
      </w:r>
      <w:r w:rsidRPr="005534BD">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82075F0" w14:textId="77777777" w:rsidR="0093756C" w:rsidRPr="005534BD" w:rsidRDefault="0093756C">
      <w:pPr>
        <w:spacing w:after="0" w:line="360" w:lineRule="auto"/>
        <w:ind w:right="-7"/>
        <w:jc w:val="both"/>
        <w:rPr>
          <w:rFonts w:ascii="Palatino Linotype" w:eastAsia="Palatino Linotype" w:hAnsi="Palatino Linotype" w:cs="Palatino Linotype"/>
        </w:rPr>
      </w:pPr>
    </w:p>
    <w:p w14:paraId="70595027"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De ahí que, la respuesta proporcionada a la solicitud no cumple con los principios de búsqueda exhaustiva, congruencia y exhaustividad, siendo procedente ordenar, previa búsqueda exhaustiva y razonable, en versión pública, respecto los servidores públicos adscritos al Ayuntamiento de Ozumba, lo siguiente:</w:t>
      </w:r>
    </w:p>
    <w:p w14:paraId="2D64CB73" w14:textId="77777777" w:rsidR="0093756C" w:rsidRPr="005534BD" w:rsidRDefault="0093756C">
      <w:pPr>
        <w:spacing w:after="0" w:line="360" w:lineRule="auto"/>
        <w:jc w:val="both"/>
        <w:rPr>
          <w:rFonts w:ascii="Palatino Linotype" w:eastAsia="Palatino Linotype" w:hAnsi="Palatino Linotype" w:cs="Palatino Linotype"/>
        </w:rPr>
      </w:pPr>
    </w:p>
    <w:p w14:paraId="0EDDC82E" w14:textId="77777777" w:rsidR="0093756C" w:rsidRPr="005534BD" w:rsidRDefault="00752E3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534BD">
        <w:rPr>
          <w:rFonts w:ascii="Palatino Linotype" w:eastAsia="Palatino Linotype" w:hAnsi="Palatino Linotype" w:cs="Palatino Linotype"/>
          <w:b/>
        </w:rPr>
        <w:t>Los recibos de nómina correspondientes a la primera quincena de enero de dos mil veinticinco.</w:t>
      </w:r>
    </w:p>
    <w:p w14:paraId="6D555889" w14:textId="77777777" w:rsidR="0093756C" w:rsidRPr="005534BD" w:rsidRDefault="0093756C">
      <w:pPr>
        <w:spacing w:after="0" w:line="360" w:lineRule="auto"/>
        <w:ind w:right="49"/>
        <w:jc w:val="both"/>
        <w:rPr>
          <w:rFonts w:ascii="Palatino Linotype" w:eastAsia="Palatino Linotype" w:hAnsi="Palatino Linotype" w:cs="Palatino Linotype"/>
        </w:rPr>
      </w:pPr>
    </w:p>
    <w:p w14:paraId="7E327913" w14:textId="77777777" w:rsidR="0093756C" w:rsidRPr="005534BD" w:rsidRDefault="00752E30">
      <w:pPr>
        <w:spacing w:after="0" w:line="360" w:lineRule="auto"/>
        <w:ind w:right="49"/>
        <w:jc w:val="both"/>
        <w:rPr>
          <w:rFonts w:ascii="Palatino Linotype" w:eastAsia="Palatino Linotype" w:hAnsi="Palatino Linotype" w:cs="Palatino Linotype"/>
          <w:b/>
        </w:rPr>
      </w:pPr>
      <w:r w:rsidRPr="005534BD">
        <w:rPr>
          <w:rFonts w:ascii="Palatino Linotype" w:eastAsia="Palatino Linotype" w:hAnsi="Palatino Linotype" w:cs="Palatino Linotype"/>
          <w:b/>
        </w:rPr>
        <w:t>b) Recibos por pago de finiquito:</w:t>
      </w:r>
    </w:p>
    <w:p w14:paraId="715BD119" w14:textId="77777777" w:rsidR="0093756C" w:rsidRPr="005534BD" w:rsidRDefault="0093756C">
      <w:pPr>
        <w:spacing w:after="0" w:line="360" w:lineRule="auto"/>
        <w:ind w:right="49"/>
        <w:jc w:val="both"/>
        <w:rPr>
          <w:rFonts w:ascii="Palatino Linotype" w:eastAsia="Palatino Linotype" w:hAnsi="Palatino Linotype" w:cs="Palatino Linotype"/>
        </w:rPr>
      </w:pPr>
    </w:p>
    <w:p w14:paraId="6A71AE61"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Al respecto, es necesario definir </w:t>
      </w:r>
      <w:r w:rsidRPr="005534BD">
        <w:rPr>
          <w:rFonts w:ascii="Palatino Linotype" w:eastAsia="Palatino Linotype" w:hAnsi="Palatino Linotype" w:cs="Palatino Linotype"/>
          <w:i/>
        </w:rPr>
        <w:t xml:space="preserve">“finiquito”, </w:t>
      </w:r>
      <w:r w:rsidRPr="005534BD">
        <w:rPr>
          <w:rFonts w:ascii="Palatino Linotype" w:eastAsia="Palatino Linotype" w:hAnsi="Palatino Linotype" w:cs="Palatino Linotype"/>
        </w:rPr>
        <w:t xml:space="preserve">al respecto la Tesis Aislada con número de registro 347545, Quinta Época, tomo XC, página 2090, publicada en el Semanario Judicial de la Federación, establece: </w:t>
      </w:r>
    </w:p>
    <w:p w14:paraId="263BBAA6"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5C742C00" w14:textId="77777777" w:rsidR="0093756C" w:rsidRPr="005534BD" w:rsidRDefault="00752E3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FINIQUITO.</w:t>
      </w:r>
      <w:r w:rsidRPr="005534BD">
        <w:rPr>
          <w:rFonts w:ascii="Palatino Linotype" w:eastAsia="Palatino Linotype" w:hAnsi="Palatino Linotype" w:cs="Palatino Linotype"/>
          <w:i/>
        </w:rPr>
        <w:t xml:space="preserve"> La acepción natural y jurídica de la palabra finiquito es que el pago extingue la obligación; por tanto, cuando en un convenio se manifiesta la intención de concluir en definitiva la situación de un crédito estableciendo los contratantes, únicamente la forma de pagarlo, esto quiere decir que no lo finiquitan, sino que van a terminarlo. </w:t>
      </w:r>
    </w:p>
    <w:p w14:paraId="6FC8D097"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05F733D6"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Esto revela, que la procedencia de un finiquito deriva de un acuerdo de voluntades, por lo tanto, es necesario entonces, que medie un convenio </w:t>
      </w:r>
      <w:r w:rsidRPr="005534BD">
        <w:rPr>
          <w:rFonts w:ascii="Palatino Linotype" w:eastAsia="Palatino Linotype" w:hAnsi="Palatino Linotype" w:cs="Palatino Linotype"/>
          <w:i/>
        </w:rPr>
        <w:t>(lato sensu)|</w:t>
      </w:r>
      <w:r w:rsidRPr="005534BD">
        <w:rPr>
          <w:rFonts w:ascii="Palatino Linotype" w:eastAsia="Palatino Linotype" w:hAnsi="Palatino Linotype" w:cs="Palatino Linotype"/>
        </w:rPr>
        <w:t>, previo al pago de las obligaciones contraídas, por parte del patrón al trabajador; en este sentido robustece la afirmación la Tesis Aislada en materia laboral, con número de registro 371571, Quinta Época, tomo XCI, página 2214, que establece:</w:t>
      </w:r>
    </w:p>
    <w:p w14:paraId="778C3955"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5980729B" w14:textId="77777777" w:rsidR="0093756C" w:rsidRPr="005534BD" w:rsidRDefault="00752E3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lastRenderedPageBreak/>
        <w:t>“</w:t>
      </w:r>
      <w:r w:rsidRPr="005534BD">
        <w:rPr>
          <w:rFonts w:ascii="Palatino Linotype" w:eastAsia="Palatino Linotype" w:hAnsi="Palatino Linotype" w:cs="Palatino Linotype"/>
          <w:b/>
          <w:i/>
        </w:rPr>
        <w:t>TRABAJO, RESCISION VOLUNTARIA DEL CONTRATO DE.</w:t>
      </w:r>
      <w:r w:rsidRPr="005534BD">
        <w:rPr>
          <w:rFonts w:ascii="Palatino Linotype" w:eastAsia="Palatino Linotype" w:hAnsi="Palatino Linotype" w:cs="Palatino Linotype"/>
          <w:i/>
        </w:rPr>
        <w:t xml:space="preserve"> Si el trabajador rescindió su contrato de trabajo, obteniendo de la empresa una cantidad en la que queda comprendido el importe de tres meses de salarios, más el de veinte días por cada año de servicios, como indemnización, </w:t>
      </w:r>
      <w:r w:rsidRPr="005534BD">
        <w:rPr>
          <w:rFonts w:ascii="Palatino Linotype" w:eastAsia="Palatino Linotype" w:hAnsi="Palatino Linotype" w:cs="Palatino Linotype"/>
          <w:b/>
          <w:i/>
          <w:u w:val="single"/>
        </w:rPr>
        <w:t>haciendo constar que no tiene reclamación alguna que hacer, derivada del referido contrato, y que el pago que percibió tiene el carácter de finiquito, y la Junta, desentendiéndose de que tal liquidación no fue motivo de controversia, y por lo mismo, innecesaria la aplicación del artículo 98 de la Ley Federal del Trabajo</w:t>
      </w:r>
      <w:r w:rsidRPr="005534BD">
        <w:rPr>
          <w:rFonts w:ascii="Palatino Linotype" w:eastAsia="Palatino Linotype" w:hAnsi="Palatino Linotype" w:cs="Palatino Linotype"/>
          <w:i/>
        </w:rPr>
        <w:t>, la revisó, estableciendo determinadas modalidades que implicaron el que se dictara el laudo condenatorio para la empresa; debe decirse que aunque los actos de compensación, liquidación, transacción o convenio, pueden ser invalidados cuando para verificarlos hayan mediado determinados hechos que vicien el consentimiento y que no se resuelven en error, dolo o violencia, no aparece que el actor haya sido inducido a error por la empresa, o bien que ésta haya empleado dolo o violencia para obtener la rescisión del contrato de trabajo, ya que ésta se manifestó espontánea y voluntaria, al ser ratificada ante la potestad de la Junta, la cual implicó una confesión perfecta. Por tanto, la Junta responsable estuvo incapacitada legalmente para revisar la indicada liquidación, extralimitándose en sus funciones al aplicar erróneamente el artículo 602 del expresado ordenamiento, por no regir el caso.”</w:t>
      </w:r>
    </w:p>
    <w:p w14:paraId="2FB9808C" w14:textId="77777777" w:rsidR="0093756C" w:rsidRPr="005534BD" w:rsidRDefault="0093756C">
      <w:pPr>
        <w:spacing w:after="0" w:line="360" w:lineRule="auto"/>
        <w:jc w:val="both"/>
        <w:rPr>
          <w:rFonts w:ascii="Palatino Linotype" w:eastAsia="Palatino Linotype" w:hAnsi="Palatino Linotype" w:cs="Palatino Linotype"/>
        </w:rPr>
      </w:pPr>
    </w:p>
    <w:p w14:paraId="7A854556"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Por tanto, se pude señalar que el finiquito, es la recisión laboral, cuando mediante acuerdo de voluntades, se liquidan las obligaciones que tiene el patrón de pagar al trabajador, las cantidades correspondientes por los derechos laborales que tiene el trabajador a recibir. </w:t>
      </w:r>
    </w:p>
    <w:p w14:paraId="65C1E336"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5A3668E8"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5534BD">
        <w:rPr>
          <w:rFonts w:ascii="Palatino Linotype" w:eastAsia="Palatino Linotype" w:hAnsi="Palatino Linotype" w:cs="Palatino Linotype"/>
        </w:rPr>
        <w:t>El recibo de finiquito es en este sentido, es el documento por el cual, se da fe de que el trabajador recibió el pago de sus derechos laborales y se concluyó la relación laboral.</w:t>
      </w:r>
    </w:p>
    <w:p w14:paraId="74636166"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u w:val="single"/>
        </w:rPr>
      </w:pPr>
    </w:p>
    <w:p w14:paraId="239C6D15"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 mayor abundamiento, atendiendo que la persona solicitante, hizo alusión a que requería los recibos de finiquito, es de señalar que en el apartado de Preguntas Frecuentes, de la página oficial de la Secretaría del Trabajo del Estado de México, consultada en la liga electrónica </w:t>
      </w:r>
      <w:hyperlink r:id="rId11">
        <w:r w:rsidRPr="005534BD">
          <w:rPr>
            <w:rFonts w:ascii="Palatino Linotype" w:eastAsia="Palatino Linotype" w:hAnsi="Palatino Linotype" w:cs="Palatino Linotype"/>
            <w:u w:val="single"/>
          </w:rPr>
          <w:t>https://strabajo.edomex.gob.mx/faqs</w:t>
        </w:r>
      </w:hyperlink>
      <w:r w:rsidRPr="005534BD">
        <w:rPr>
          <w:rFonts w:ascii="Palatino Linotype" w:eastAsia="Palatino Linotype" w:hAnsi="Palatino Linotype" w:cs="Palatino Linotype"/>
        </w:rPr>
        <w:t>), se establece que en caso de renuncia de un trabajador, este tiene derecho al pago de las partes proporcionales de salarios devengados, aguinaldo, vacaciones y prima de vacacional, y en el caso, que tenga más de quince años de servicio, tendrá además derecho a recibir la prima de antigüedad, así como prestaciones generadas y no pagadas (fondo de ahorro, salarios devengados, entre otros).</w:t>
      </w:r>
    </w:p>
    <w:p w14:paraId="43118F2D" w14:textId="77777777" w:rsidR="0093756C" w:rsidRPr="005534BD" w:rsidRDefault="0093756C">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13AE954E" w14:textId="77777777" w:rsidR="0093756C" w:rsidRPr="005534BD" w:rsidRDefault="00752E30">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bookmarkStart w:id="3" w:name="_heading=h.ei6wzanud1ha" w:colFirst="0" w:colLast="0"/>
      <w:bookmarkEnd w:id="3"/>
      <w:r w:rsidRPr="005534BD">
        <w:rPr>
          <w:rFonts w:ascii="Palatino Linotype" w:eastAsia="Palatino Linotype" w:hAnsi="Palatino Linotype" w:cs="Palatino Linotype"/>
        </w:rPr>
        <w:t>Conforme lo anterior, se puede advertir que la pretensión del ahora Recurrente es obtener información respecto a personal que en el ejercicio 2024, se les realizó el pago de alguna prestación, por la decisión del trabajador de dar por terminada la relación laboral con el Ayuntamiento de Ozumba, entre las cuales se encuentran los salarios devengados y partes proporcionales de aguinaldo, prima de antigüedad, prima vacacional, entre otras.</w:t>
      </w:r>
    </w:p>
    <w:p w14:paraId="2BA290A7" w14:textId="77777777" w:rsidR="0093756C" w:rsidRPr="005534BD" w:rsidRDefault="0093756C">
      <w:pPr>
        <w:spacing w:after="0" w:line="360" w:lineRule="auto"/>
        <w:ind w:right="49"/>
        <w:jc w:val="both"/>
        <w:rPr>
          <w:rFonts w:ascii="Palatino Linotype" w:eastAsia="Palatino Linotype" w:hAnsi="Palatino Linotype" w:cs="Palatino Linotype"/>
        </w:rPr>
      </w:pPr>
    </w:p>
    <w:p w14:paraId="16941CCE"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Ahora, sobre el punto en cuestión que fue formulado como requerimiento de información en la solicitud 00029/OZUMBA/IP/2025, se advierte que el Tesorero Municipal únicamente se limitó a indicar que se debía especificar los periodos de los que se requiere la información, cuando del análisis a la solicitud de mérito, se desprende que el particular fue claro al indicar que los recibos peticionados eran los correspondientes al ejercicio 2024.</w:t>
      </w:r>
    </w:p>
    <w:p w14:paraId="4B21BEE9" w14:textId="77777777" w:rsidR="0093756C" w:rsidRPr="005534BD" w:rsidRDefault="0093756C">
      <w:pPr>
        <w:spacing w:after="0" w:line="360" w:lineRule="auto"/>
        <w:ind w:right="49"/>
        <w:jc w:val="both"/>
        <w:rPr>
          <w:rFonts w:ascii="Palatino Linotype" w:eastAsia="Palatino Linotype" w:hAnsi="Palatino Linotype" w:cs="Palatino Linotype"/>
        </w:rPr>
      </w:pPr>
    </w:p>
    <w:p w14:paraId="68A5D3B3" w14:textId="77777777" w:rsidR="0093756C" w:rsidRPr="005534BD" w:rsidRDefault="00752E30">
      <w:pPr>
        <w:spacing w:after="0" w:line="360" w:lineRule="auto"/>
        <w:ind w:right="49"/>
        <w:jc w:val="both"/>
        <w:rPr>
          <w:rFonts w:ascii="Palatino Linotype" w:eastAsia="Palatino Linotype" w:hAnsi="Palatino Linotype" w:cs="Palatino Linotype"/>
          <w:b/>
        </w:rPr>
      </w:pPr>
      <w:r w:rsidRPr="005534BD">
        <w:rPr>
          <w:rFonts w:ascii="Palatino Linotype" w:eastAsia="Palatino Linotype" w:hAnsi="Palatino Linotype" w:cs="Palatino Linotype"/>
        </w:rPr>
        <w:t xml:space="preserve">De ahí que no se haya advertido imposibilidad por cuanto hace a la temporalidad respecto de la cual se requirió la información; y, en tal virtud los motivos de inconformidad resultan fundados, siendo procedente revocar y ordenar que, en cumplimiento a la presente resolución se haga entrega, </w:t>
      </w:r>
      <w:r w:rsidRPr="005534BD">
        <w:rPr>
          <w:rFonts w:ascii="Palatino Linotype" w:eastAsia="Palatino Linotype" w:hAnsi="Palatino Linotype" w:cs="Palatino Linotype"/>
          <w:b/>
        </w:rPr>
        <w:t>previa búsqueda exhaustiva y razonable, en versión pública, los recibos por el pago de finiquitos efectuados en el ejercicio dos mil veinticuatro.</w:t>
      </w:r>
    </w:p>
    <w:p w14:paraId="3CB758D0" w14:textId="77777777" w:rsidR="0093756C" w:rsidRPr="005534BD" w:rsidRDefault="0093756C">
      <w:pPr>
        <w:spacing w:after="0" w:line="360" w:lineRule="auto"/>
        <w:ind w:right="49"/>
        <w:jc w:val="both"/>
        <w:rPr>
          <w:rFonts w:ascii="Palatino Linotype" w:eastAsia="Palatino Linotype" w:hAnsi="Palatino Linotype" w:cs="Palatino Linotype"/>
          <w:b/>
        </w:rPr>
      </w:pPr>
    </w:p>
    <w:p w14:paraId="60D6F4C8" w14:textId="77777777" w:rsidR="0093756C" w:rsidRPr="005534BD" w:rsidRDefault="00752E30">
      <w:pPr>
        <w:spacing w:after="0" w:line="360" w:lineRule="auto"/>
        <w:ind w:right="-91"/>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 xml:space="preserve">Sin embargo, para el caso de que no se llegará a generar, administrar y/o poseer la información que se ordena, </w:t>
      </w:r>
      <w:r w:rsidRPr="005534BD">
        <w:rPr>
          <w:rFonts w:ascii="Palatino Linotype" w:eastAsia="Palatino Linotype" w:hAnsi="Palatino Linotype" w:cs="Palatino Linotype"/>
          <w:b/>
          <w:u w:val="single"/>
        </w:rPr>
        <w:t>porque en el ejercicio dos mil veinticuatro no se efectuó el pago de algún finiquito,</w:t>
      </w:r>
      <w:r w:rsidRPr="005534BD">
        <w:rPr>
          <w:rFonts w:ascii="Palatino Linotype" w:eastAsia="Palatino Linotype" w:hAnsi="Palatino Linotype" w:cs="Palatino Linotype"/>
        </w:rPr>
        <w:t xml:space="preserve">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317998F7" w14:textId="77777777" w:rsidR="0093756C" w:rsidRPr="005534BD" w:rsidRDefault="0093756C">
      <w:pPr>
        <w:spacing w:after="0" w:line="360" w:lineRule="auto"/>
        <w:ind w:right="-91"/>
        <w:jc w:val="both"/>
        <w:rPr>
          <w:rFonts w:ascii="Palatino Linotype" w:eastAsia="Palatino Linotype" w:hAnsi="Palatino Linotype" w:cs="Palatino Linotype"/>
        </w:rPr>
      </w:pPr>
    </w:p>
    <w:p w14:paraId="20EDFC52" w14:textId="77777777" w:rsidR="0093756C" w:rsidRPr="005534BD" w:rsidRDefault="00752E30">
      <w:pPr>
        <w:spacing w:after="0"/>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Artículo 19</w:t>
      </w:r>
      <w:r w:rsidRPr="005534BD">
        <w:rPr>
          <w:rFonts w:ascii="Palatino Linotype" w:eastAsia="Palatino Linotype" w:hAnsi="Palatino Linotype" w:cs="Palatino Linotype"/>
          <w:i/>
        </w:rPr>
        <w:t>…</w:t>
      </w:r>
    </w:p>
    <w:p w14:paraId="64F59F4B" w14:textId="77777777" w:rsidR="0093756C" w:rsidRPr="005534BD" w:rsidRDefault="00752E30">
      <w:pPr>
        <w:spacing w:after="0"/>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3DECE15B" w14:textId="77777777" w:rsidR="0093756C" w:rsidRPr="005534BD" w:rsidRDefault="0093756C">
      <w:pPr>
        <w:spacing w:after="0"/>
        <w:ind w:left="851" w:right="616"/>
        <w:jc w:val="both"/>
        <w:rPr>
          <w:rFonts w:ascii="Palatino Linotype" w:eastAsia="Palatino Linotype" w:hAnsi="Palatino Linotype" w:cs="Palatino Linotype"/>
          <w:i/>
        </w:rPr>
      </w:pPr>
    </w:p>
    <w:p w14:paraId="438E231F" w14:textId="77777777" w:rsidR="0093756C" w:rsidRPr="005534BD" w:rsidRDefault="00752E30">
      <w:pPr>
        <w:spacing w:after="0" w:line="360" w:lineRule="auto"/>
        <w:ind w:right="-91"/>
        <w:jc w:val="both"/>
        <w:rPr>
          <w:rFonts w:ascii="Palatino Linotype" w:eastAsia="Palatino Linotype" w:hAnsi="Palatino Linotype" w:cs="Palatino Linotype"/>
        </w:rPr>
      </w:pPr>
      <w:r w:rsidRPr="005534BD">
        <w:rPr>
          <w:rFonts w:ascii="Palatino Linotype" w:eastAsia="Palatino Linotype" w:hAnsi="Palatino Linotype" w:cs="Palatino Linotype"/>
        </w:rPr>
        <w:t>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3EE6258B" w14:textId="77777777" w:rsidR="0093756C" w:rsidRPr="005534BD" w:rsidRDefault="0093756C">
      <w:pPr>
        <w:spacing w:after="0" w:line="360" w:lineRule="auto"/>
        <w:ind w:right="49"/>
        <w:jc w:val="both"/>
        <w:rPr>
          <w:rFonts w:ascii="Palatino Linotype" w:eastAsia="Palatino Linotype" w:hAnsi="Palatino Linotype" w:cs="Palatino Linotype"/>
          <w:sz w:val="12"/>
          <w:szCs w:val="12"/>
        </w:rPr>
      </w:pPr>
    </w:p>
    <w:p w14:paraId="1E3B11B3" w14:textId="77777777" w:rsidR="0093756C" w:rsidRPr="005534BD" w:rsidRDefault="00752E30">
      <w:pPr>
        <w:spacing w:before="240" w:after="240" w:line="360" w:lineRule="auto"/>
        <w:ind w:right="51"/>
        <w:jc w:val="both"/>
        <w:rPr>
          <w:rFonts w:ascii="Palatino Linotype" w:eastAsia="Palatino Linotype" w:hAnsi="Palatino Linotype" w:cs="Palatino Linotype"/>
        </w:rPr>
      </w:pPr>
      <w:r w:rsidRPr="005534BD">
        <w:rPr>
          <w:rFonts w:ascii="Palatino Linotype" w:eastAsia="Palatino Linotype" w:hAnsi="Palatino Linotype" w:cs="Palatino Linotype"/>
          <w:b/>
        </w:rPr>
        <w:t xml:space="preserve">Quinto. Versión Pública. </w:t>
      </w:r>
      <w:r w:rsidRPr="005534BD">
        <w:rPr>
          <w:rFonts w:ascii="Palatino Linotype" w:eastAsia="Palatino Linotype" w:hAnsi="Palatino Linotype" w:cs="Palatino Linotype"/>
        </w:rPr>
        <w:t>Como fue debidamente apuntado,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B22CF73" w14:textId="77777777" w:rsidR="0093756C" w:rsidRPr="005534BD" w:rsidRDefault="00752E30">
      <w:pPr>
        <w:spacing w:before="240" w:after="24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w:t>
      </w:r>
      <w:r w:rsidRPr="005534BD">
        <w:rPr>
          <w:rFonts w:ascii="Palatino Linotype" w:eastAsia="Palatino Linotype" w:hAnsi="Palatino Linotype" w:cs="Palatino Linotype"/>
        </w:rPr>
        <w:lastRenderedPageBreak/>
        <w:t>personales que obren en poder de los Sujetos Obligados sean protegidos y únicamente se den a conocer aquéllos que garanticen la rendición de cuentas y la transparencia en el ejercicio de las atribuciones que tienen conferidas.</w:t>
      </w:r>
    </w:p>
    <w:p w14:paraId="617D5D4B" w14:textId="77777777" w:rsidR="0093756C" w:rsidRPr="005534BD" w:rsidRDefault="00752E30">
      <w:pPr>
        <w:spacing w:before="240" w:after="24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1710361" w14:textId="77777777" w:rsidR="0093756C" w:rsidRPr="005534BD" w:rsidRDefault="00752E30">
      <w:pPr>
        <w:spacing w:before="240" w:after="24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079B60C1"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rPr>
        <w:t> </w:t>
      </w: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Artículo 3.</w:t>
      </w:r>
      <w:r w:rsidRPr="005534BD">
        <w:rPr>
          <w:rFonts w:ascii="Palatino Linotype" w:eastAsia="Palatino Linotype" w:hAnsi="Palatino Linotype" w:cs="Palatino Linotype"/>
          <w:i/>
        </w:rPr>
        <w:t xml:space="preserve"> Para los efectos de la presente Ley se entenderá por:</w:t>
      </w:r>
    </w:p>
    <w:p w14:paraId="6EDB8EA6" w14:textId="77777777" w:rsidR="0093756C" w:rsidRPr="005534BD" w:rsidRDefault="00752E30">
      <w:pPr>
        <w:tabs>
          <w:tab w:val="left" w:pos="1276"/>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p>
    <w:p w14:paraId="77FC5B88" w14:textId="77777777" w:rsidR="0093756C" w:rsidRPr="005534BD" w:rsidRDefault="00752E30">
      <w:pPr>
        <w:tabs>
          <w:tab w:val="left" w:pos="1276"/>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IX. Datos personales</w:t>
      </w:r>
      <w:r w:rsidRPr="005534BD">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27505988" w14:textId="77777777" w:rsidR="0093756C" w:rsidRPr="005534BD" w:rsidRDefault="00752E30">
      <w:pPr>
        <w:tabs>
          <w:tab w:val="left" w:pos="1276"/>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p>
    <w:p w14:paraId="50878A40" w14:textId="77777777" w:rsidR="0093756C" w:rsidRPr="005534BD" w:rsidRDefault="00752E30">
      <w:pPr>
        <w:tabs>
          <w:tab w:val="left" w:pos="1276"/>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XX. Información clasificada</w:t>
      </w:r>
      <w:r w:rsidRPr="005534BD">
        <w:rPr>
          <w:rFonts w:ascii="Palatino Linotype" w:eastAsia="Palatino Linotype" w:hAnsi="Palatino Linotype" w:cs="Palatino Linotype"/>
          <w:i/>
        </w:rPr>
        <w:t>: Aquella considerada por la presente Ley como reservada o confidencial;</w:t>
      </w:r>
    </w:p>
    <w:p w14:paraId="7ACF9CE7" w14:textId="77777777" w:rsidR="0093756C" w:rsidRPr="005534BD" w:rsidRDefault="00752E30">
      <w:pPr>
        <w:tabs>
          <w:tab w:val="left" w:pos="1276"/>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XXI. Información confidencial</w:t>
      </w:r>
      <w:r w:rsidRPr="005534BD">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C33A17" w14:textId="77777777" w:rsidR="0093756C" w:rsidRPr="005534BD" w:rsidRDefault="00752E30">
      <w:pPr>
        <w:tabs>
          <w:tab w:val="left" w:pos="1276"/>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p>
    <w:p w14:paraId="219834B0" w14:textId="77777777" w:rsidR="0093756C" w:rsidRPr="005534BD" w:rsidRDefault="00752E30">
      <w:pPr>
        <w:tabs>
          <w:tab w:val="left" w:pos="1276"/>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XXXII. Protección de Datos Personales</w:t>
      </w:r>
      <w:r w:rsidRPr="005534BD">
        <w:rPr>
          <w:rFonts w:ascii="Palatino Linotype" w:eastAsia="Palatino Linotype" w:hAnsi="Palatino Linotype" w:cs="Palatino Linotype"/>
          <w:i/>
        </w:rPr>
        <w:t>: Derecho humano que tutela la privacidad de datos personales en poder de los sujetos obligados y sujetos particulares;</w:t>
      </w:r>
    </w:p>
    <w:p w14:paraId="6729FD7B" w14:textId="77777777" w:rsidR="0093756C" w:rsidRPr="005534BD" w:rsidRDefault="00752E30">
      <w:pPr>
        <w:tabs>
          <w:tab w:val="left" w:pos="1276"/>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lastRenderedPageBreak/>
        <w:t>…</w:t>
      </w:r>
    </w:p>
    <w:p w14:paraId="50EE44B4" w14:textId="77777777" w:rsidR="0093756C" w:rsidRPr="005534BD" w:rsidRDefault="00752E30">
      <w:pPr>
        <w:tabs>
          <w:tab w:val="left" w:pos="1276"/>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XLV. Versión pública</w:t>
      </w:r>
      <w:r w:rsidRPr="005534BD">
        <w:rPr>
          <w:rFonts w:ascii="Palatino Linotype" w:eastAsia="Palatino Linotype" w:hAnsi="Palatino Linotype" w:cs="Palatino Linotype"/>
          <w:i/>
        </w:rPr>
        <w:t>: Documento en el que se elimine, suprime o borra la información clasificada como reservada o confidencial para permitir su acceso.</w:t>
      </w:r>
    </w:p>
    <w:p w14:paraId="5FCE923E"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 Artículo 6</w:t>
      </w:r>
      <w:r w:rsidRPr="005534BD">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2CD4119"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p>
    <w:p w14:paraId="67471720"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Artículo 91.</w:t>
      </w:r>
      <w:r w:rsidRPr="005534BD">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5534BD">
        <w:rPr>
          <w:rFonts w:ascii="Palatino Linotype" w:eastAsia="Palatino Linotype" w:hAnsi="Palatino Linotype" w:cs="Palatino Linotype"/>
          <w:i/>
        </w:rPr>
        <w:br/>
        <w:t>…</w:t>
      </w:r>
    </w:p>
    <w:p w14:paraId="2D4F0590"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Artículo 132.</w:t>
      </w:r>
      <w:r w:rsidRPr="005534BD">
        <w:rPr>
          <w:rFonts w:ascii="Palatino Linotype" w:eastAsia="Palatino Linotype" w:hAnsi="Palatino Linotype" w:cs="Palatino Linotype"/>
          <w:i/>
        </w:rPr>
        <w:t xml:space="preserve"> La clasificación de la información se llevará a cabo en el momento en que:</w:t>
      </w:r>
    </w:p>
    <w:p w14:paraId="4B951E1C"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w:t>
      </w:r>
      <w:r w:rsidRPr="005534BD">
        <w:rPr>
          <w:rFonts w:ascii="Palatino Linotype" w:eastAsia="Palatino Linotype" w:hAnsi="Palatino Linotype" w:cs="Palatino Linotype"/>
          <w:i/>
        </w:rPr>
        <w:t>. Se reciba una solicitud de acceso a la información;</w:t>
      </w:r>
    </w:p>
    <w:p w14:paraId="32B0E5E0"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w:t>
      </w:r>
      <w:r w:rsidRPr="005534BD">
        <w:rPr>
          <w:rFonts w:ascii="Palatino Linotype" w:eastAsia="Palatino Linotype" w:hAnsi="Palatino Linotype" w:cs="Palatino Linotype"/>
          <w:i/>
        </w:rPr>
        <w:t xml:space="preserve"> Se determine mediante resolución de autoridad competente; o</w:t>
      </w:r>
    </w:p>
    <w:p w14:paraId="476F83B6"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III.</w:t>
      </w:r>
      <w:r w:rsidRPr="005534BD">
        <w:rPr>
          <w:rFonts w:ascii="Palatino Linotype" w:eastAsia="Palatino Linotype" w:hAnsi="Palatino Linotype" w:cs="Palatino Linotype"/>
          <w:i/>
        </w:rPr>
        <w:t xml:space="preserve"> Se generen versiones públicas para dar cumplimiento a las obligaciones de transparencia previstas en esta Ley.</w:t>
      </w:r>
    </w:p>
    <w:p w14:paraId="1C1CC5F2"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w:t>
      </w:r>
    </w:p>
    <w:p w14:paraId="16E28CD0"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Artículo 137.</w:t>
      </w:r>
      <w:r w:rsidRPr="005534BD">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C40CE60"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lastRenderedPageBreak/>
        <w:t> Artículo 143.</w:t>
      </w:r>
      <w:r w:rsidRPr="005534BD">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D39DEF1"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w:t>
      </w:r>
      <w:r w:rsidRPr="005534BD">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202A8185" w14:textId="77777777" w:rsidR="0093756C" w:rsidRPr="005534BD" w:rsidRDefault="00752E30">
      <w:pPr>
        <w:spacing w:before="240" w:after="240" w:line="360" w:lineRule="auto"/>
        <w:ind w:right="50"/>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9B7871D" w14:textId="77777777" w:rsidR="0093756C" w:rsidRPr="005534BD" w:rsidRDefault="00752E30">
      <w:pPr>
        <w:spacing w:before="240" w:after="240" w:line="360" w:lineRule="auto"/>
        <w:ind w:right="50"/>
        <w:jc w:val="both"/>
        <w:rPr>
          <w:rFonts w:ascii="Palatino Linotype" w:eastAsia="Palatino Linotype" w:hAnsi="Palatino Linotype" w:cs="Palatino Linotype"/>
        </w:rPr>
      </w:pPr>
      <w:r w:rsidRPr="005534B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0C71510"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w:t>
      </w:r>
      <w:r w:rsidRPr="005534BD">
        <w:rPr>
          <w:rFonts w:ascii="Palatino Linotype" w:eastAsia="Palatino Linotype" w:hAnsi="Palatino Linotype" w:cs="Palatino Linotype"/>
        </w:rPr>
        <w:lastRenderedPageBreak/>
        <w:t xml:space="preserve">y Acceso a la Información Pública del Estado de México y Municipios, se consideran confidenciales y por tanto deben testarse al momento de la elaboración de versiones públicas el </w:t>
      </w:r>
      <w:r w:rsidRPr="005534BD">
        <w:rPr>
          <w:rFonts w:ascii="Palatino Linotype" w:eastAsia="Palatino Linotype" w:hAnsi="Palatino Linotype" w:cs="Palatino Linotype"/>
          <w:b/>
        </w:rPr>
        <w:t>Registro Federal de Contribuyentes</w:t>
      </w:r>
      <w:r w:rsidRPr="005534BD">
        <w:rPr>
          <w:rFonts w:ascii="Palatino Linotype" w:eastAsia="Palatino Linotype" w:hAnsi="Palatino Linotype" w:cs="Palatino Linotype"/>
        </w:rPr>
        <w:t xml:space="preserve"> (RFC), la </w:t>
      </w:r>
      <w:r w:rsidRPr="005534BD">
        <w:rPr>
          <w:rFonts w:ascii="Palatino Linotype" w:eastAsia="Palatino Linotype" w:hAnsi="Palatino Linotype" w:cs="Palatino Linotype"/>
          <w:b/>
        </w:rPr>
        <w:t>Clave Única de Registro de Población</w:t>
      </w:r>
      <w:r w:rsidRPr="005534BD">
        <w:rPr>
          <w:rFonts w:ascii="Palatino Linotype" w:eastAsia="Palatino Linotype" w:hAnsi="Palatino Linotype" w:cs="Palatino Linotype"/>
        </w:rPr>
        <w:t xml:space="preserve"> (CURP), la </w:t>
      </w:r>
      <w:r w:rsidRPr="005534BD">
        <w:rPr>
          <w:rFonts w:ascii="Palatino Linotype" w:eastAsia="Palatino Linotype" w:hAnsi="Palatino Linotype" w:cs="Palatino Linotype"/>
          <w:b/>
        </w:rPr>
        <w:t>Clave de cualquier tipo de seguridad social</w:t>
      </w:r>
      <w:r w:rsidRPr="005534BD">
        <w:rPr>
          <w:rFonts w:ascii="Palatino Linotype" w:eastAsia="Palatino Linotype" w:hAnsi="Palatino Linotype" w:cs="Palatino Linotype"/>
        </w:rPr>
        <w:t xml:space="preserve"> (ISSEMYM, u otros), los </w:t>
      </w:r>
      <w:r w:rsidRPr="005534BD">
        <w:rPr>
          <w:rFonts w:ascii="Palatino Linotype" w:eastAsia="Palatino Linotype" w:hAnsi="Palatino Linotype" w:cs="Palatino Linotype"/>
          <w:b/>
        </w:rPr>
        <w:t>números de cuentas bancarias</w:t>
      </w:r>
      <w:r w:rsidRPr="005534BD">
        <w:rPr>
          <w:rFonts w:ascii="Palatino Linotype" w:eastAsia="Palatino Linotype" w:hAnsi="Palatino Linotype" w:cs="Palatino Linotype"/>
        </w:rPr>
        <w:t xml:space="preserve">, claves estandarizadas – interbancarias - (CLABES) y de tarjetas, los </w:t>
      </w:r>
      <w:r w:rsidRPr="005534BD">
        <w:rPr>
          <w:rFonts w:ascii="Palatino Linotype" w:eastAsia="Palatino Linotype" w:hAnsi="Palatino Linotype" w:cs="Palatino Linotype"/>
          <w:b/>
        </w:rPr>
        <w:t>préstamos o descuentos</w:t>
      </w:r>
      <w:r w:rsidRPr="005534BD">
        <w:rPr>
          <w:rFonts w:ascii="Palatino Linotype" w:eastAsia="Palatino Linotype" w:hAnsi="Palatino Linotype" w:cs="Palatino Linotype"/>
        </w:rPr>
        <w:t xml:space="preserve"> que se le hagan a la persona y que no tengan relación con los impuestos o la cuota por seguridad social, el</w:t>
      </w:r>
      <w:r w:rsidRPr="005534BD">
        <w:rPr>
          <w:rFonts w:ascii="Palatino Linotype" w:eastAsia="Palatino Linotype" w:hAnsi="Palatino Linotype" w:cs="Palatino Linotype"/>
          <w:b/>
        </w:rPr>
        <w:t xml:space="preserve"> número de empleado, </w:t>
      </w:r>
      <w:r w:rsidRPr="005534BD">
        <w:rPr>
          <w:rFonts w:ascii="Palatino Linotype" w:eastAsia="Palatino Linotype" w:hAnsi="Palatino Linotype" w:cs="Palatino Linotype"/>
        </w:rPr>
        <w:t xml:space="preserve">y, de ser el caso, el </w:t>
      </w:r>
      <w:r w:rsidRPr="005534BD">
        <w:rPr>
          <w:rFonts w:ascii="Palatino Linotype" w:eastAsia="Palatino Linotype" w:hAnsi="Palatino Linotype" w:cs="Palatino Linotype"/>
          <w:b/>
        </w:rPr>
        <w:t>folio fiscal</w:t>
      </w:r>
      <w:r w:rsidRPr="005534BD">
        <w:rPr>
          <w:rFonts w:ascii="Palatino Linotype" w:eastAsia="Palatino Linotype" w:hAnsi="Palatino Linotype" w:cs="Palatino Linotype"/>
        </w:rPr>
        <w:t xml:space="preserve">, la </w:t>
      </w:r>
      <w:r w:rsidRPr="005534BD">
        <w:rPr>
          <w:rFonts w:ascii="Palatino Linotype" w:eastAsia="Palatino Linotype" w:hAnsi="Palatino Linotype" w:cs="Palatino Linotype"/>
          <w:b/>
        </w:rPr>
        <w:t xml:space="preserve">cadena original, </w:t>
      </w:r>
      <w:r w:rsidRPr="005534BD">
        <w:rPr>
          <w:rFonts w:ascii="Palatino Linotype" w:eastAsia="Palatino Linotype" w:hAnsi="Palatino Linotype" w:cs="Palatino Linotype"/>
        </w:rPr>
        <w:t>los</w:t>
      </w:r>
      <w:r w:rsidRPr="005534BD">
        <w:rPr>
          <w:rFonts w:ascii="Palatino Linotype" w:eastAsia="Palatino Linotype" w:hAnsi="Palatino Linotype" w:cs="Palatino Linotype"/>
          <w:b/>
        </w:rPr>
        <w:t xml:space="preserve"> códigos bidimensionales o códigos QR,</w:t>
      </w:r>
      <w:r w:rsidRPr="005534BD">
        <w:rPr>
          <w:rFonts w:ascii="Palatino Linotype" w:eastAsia="Palatino Linotype" w:hAnsi="Palatino Linotype" w:cs="Palatino Linotype"/>
        </w:rPr>
        <w:t xml:space="preserve"> y cualquier información de carácter fiscal.</w:t>
      </w:r>
    </w:p>
    <w:p w14:paraId="607FE31F" w14:textId="77777777" w:rsidR="0093756C" w:rsidRPr="005534BD" w:rsidRDefault="00752E30">
      <w:pPr>
        <w:spacing w:before="240" w:after="240" w:line="360" w:lineRule="auto"/>
        <w:ind w:right="50"/>
        <w:jc w:val="both"/>
        <w:rPr>
          <w:rFonts w:ascii="Palatino Linotype" w:eastAsia="Palatino Linotype" w:hAnsi="Palatino Linotype" w:cs="Palatino Linotype"/>
        </w:rPr>
      </w:pPr>
      <w:r w:rsidRPr="005534B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391413"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Por cuanto hace al </w:t>
      </w:r>
      <w:r w:rsidRPr="005534BD">
        <w:rPr>
          <w:rFonts w:ascii="Palatino Linotype" w:eastAsia="Palatino Linotype" w:hAnsi="Palatino Linotype" w:cs="Palatino Linotype"/>
          <w:b/>
        </w:rPr>
        <w:t>Registro Federal de Contribuyentes, RFC,</w:t>
      </w:r>
      <w:r w:rsidRPr="005534BD">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5534BD">
        <w:rPr>
          <w:rFonts w:ascii="Palatino Linotype" w:eastAsia="Palatino Linotype" w:hAnsi="Palatino Linotype" w:cs="Palatino Linotype"/>
        </w:rPr>
        <w:t>homoclave</w:t>
      </w:r>
      <w:proofErr w:type="spellEnd"/>
      <w:r w:rsidRPr="005534BD">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19C3E164"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AAA6D8F"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Lo anterior fue compartido por el entonces Instituto Nacional de Transparencia, Acceso a la Información y Protección de Datos Personales, INAI, a través del Criterio orientador con clave de control SO/019/2017, el cual es del tenor literal siguiente:</w:t>
      </w:r>
    </w:p>
    <w:p w14:paraId="4739AB37"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lastRenderedPageBreak/>
        <w:t>“</w:t>
      </w:r>
      <w:r w:rsidRPr="005534BD">
        <w:rPr>
          <w:rFonts w:ascii="Palatino Linotype" w:eastAsia="Palatino Linotype" w:hAnsi="Palatino Linotype" w:cs="Palatino Linotype"/>
          <w:b/>
          <w:i/>
        </w:rPr>
        <w:t>Registro Federal de Contribuyentes (RFC) de personas físicas</w:t>
      </w:r>
      <w:r w:rsidRPr="005534BD">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0A6A3387" w14:textId="77777777" w:rsidR="0093756C" w:rsidRPr="005534BD" w:rsidRDefault="00752E3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5534BD">
        <w:rPr>
          <w:rFonts w:ascii="Palatino Linotype" w:eastAsia="Palatino Linotype" w:hAnsi="Palatino Linotype" w:cs="Palatino Linotype"/>
        </w:rPr>
        <w:t>homoclave</w:t>
      </w:r>
      <w:proofErr w:type="spellEnd"/>
      <w:r w:rsidRPr="005534BD">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7476DA7" w14:textId="77777777" w:rsidR="0093756C" w:rsidRPr="005534BD" w:rsidRDefault="00752E3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4" w:name="_heading=h.44sinio" w:colFirst="0" w:colLast="0"/>
      <w:bookmarkEnd w:id="4"/>
      <w:r w:rsidRPr="005534BD">
        <w:rPr>
          <w:rFonts w:ascii="Palatino Linotype" w:eastAsia="Palatino Linotype" w:hAnsi="Palatino Linotype" w:cs="Palatino Linotype"/>
        </w:rPr>
        <w:t xml:space="preserve">De igual manera la </w:t>
      </w:r>
      <w:r w:rsidRPr="005534BD">
        <w:rPr>
          <w:rFonts w:ascii="Palatino Linotype" w:eastAsia="Palatino Linotype" w:hAnsi="Palatino Linotype" w:cs="Palatino Linotype"/>
          <w:b/>
        </w:rPr>
        <w:t>Clave Única de Registro de Población</w:t>
      </w:r>
      <w:r w:rsidRPr="005534BD">
        <w:rPr>
          <w:rFonts w:ascii="Palatino Linotype" w:eastAsia="Palatino Linotype" w:hAnsi="Palatino Linotype" w:cs="Palatino Linotype"/>
        </w:rPr>
        <w:t xml:space="preserve">, </w:t>
      </w:r>
      <w:r w:rsidRPr="005534BD">
        <w:rPr>
          <w:rFonts w:ascii="Palatino Linotype" w:eastAsia="Palatino Linotype" w:hAnsi="Palatino Linotype" w:cs="Palatino Linotype"/>
          <w:b/>
        </w:rPr>
        <w:t>CURP,</w:t>
      </w:r>
      <w:r w:rsidRPr="005534BD">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A466E90" w14:textId="77777777" w:rsidR="0093756C" w:rsidRPr="005534BD" w:rsidRDefault="00752E3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Argumento que era compartido por el entonces Instituto Nacional de Transparencia, Acceso a la Información y Protección de Datos Personales, INAI, conforme al Criterio de orientador con Clave de control SO/018/2017, el cual refiere:</w:t>
      </w:r>
    </w:p>
    <w:p w14:paraId="7B0C94C7"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 xml:space="preserve"> “Clave Única de Registro de Población (CURP). </w:t>
      </w:r>
      <w:r w:rsidRPr="005534BD">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w:t>
      </w:r>
      <w:r w:rsidRPr="005534BD">
        <w:rPr>
          <w:rFonts w:ascii="Palatino Linotype" w:eastAsia="Palatino Linotype" w:hAnsi="Palatino Linotype" w:cs="Palatino Linotype"/>
          <w:i/>
        </w:rPr>
        <w:lastRenderedPageBreak/>
        <w:t>física del resto de los habitantes del país, por lo que la CURP está considerada como información confidencial.”</w:t>
      </w:r>
    </w:p>
    <w:p w14:paraId="2CB489E9"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Por lo que respecta a la </w:t>
      </w:r>
      <w:r w:rsidRPr="005534BD">
        <w:rPr>
          <w:rFonts w:ascii="Palatino Linotype" w:eastAsia="Palatino Linotype" w:hAnsi="Palatino Linotype" w:cs="Palatino Linotype"/>
          <w:b/>
        </w:rPr>
        <w:t>clave de seguridad social</w:t>
      </w:r>
      <w:r w:rsidRPr="005534BD">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251B6D9D"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Respecto de los </w:t>
      </w:r>
      <w:r w:rsidRPr="005534BD">
        <w:rPr>
          <w:rFonts w:ascii="Palatino Linotype" w:eastAsia="Palatino Linotype" w:hAnsi="Palatino Linotype" w:cs="Palatino Linotype"/>
          <w:b/>
        </w:rPr>
        <w:t>números de cuentas bancari</w:t>
      </w:r>
      <w:r w:rsidRPr="005534BD">
        <w:rPr>
          <w:rFonts w:ascii="Palatino Linotype" w:eastAsia="Palatino Linotype" w:hAnsi="Palatino Linotype" w:cs="Palatino Linotype"/>
        </w:rPr>
        <w:t xml:space="preserve">as, </w:t>
      </w:r>
      <w:r w:rsidRPr="005534BD">
        <w:rPr>
          <w:rFonts w:ascii="Palatino Linotype" w:eastAsia="Palatino Linotype" w:hAnsi="Palatino Linotype" w:cs="Palatino Linotype"/>
          <w:b/>
        </w:rPr>
        <w:t>claves estandarizadas –interbancarias- (CLABES) y de tarjetas</w:t>
      </w:r>
      <w:r w:rsidRPr="005534BD">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2848DBD4"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E262BE9"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96F3F97" w14:textId="77777777" w:rsidR="0093756C" w:rsidRPr="005534BD" w:rsidRDefault="00752E3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6BE77BAA"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2A80139B"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0E7CFC0D" w14:textId="77777777" w:rsidR="0093756C" w:rsidRPr="005534BD" w:rsidRDefault="00752E30">
      <w:pPr>
        <w:spacing w:before="240" w:after="240"/>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Cuentas bancarias y/o CLABE interbancaria de personas físicas y morales privadas.</w:t>
      </w:r>
      <w:r w:rsidRPr="005534BD">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BDE30EC" w14:textId="77777777" w:rsidR="0093756C" w:rsidRPr="005534BD" w:rsidRDefault="00752E30">
      <w:pPr>
        <w:spacing w:before="240" w:after="240"/>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“Cuentas bancarias y/o CLABE interbancaria de sujetos obligados que reciben y/o transfieren recursos públicos, son información pública.</w:t>
      </w:r>
      <w:r w:rsidRPr="005534BD">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607C266" w14:textId="77777777" w:rsidR="0093756C" w:rsidRPr="005534BD" w:rsidRDefault="00752E30">
      <w:pPr>
        <w:spacing w:before="240" w:after="240" w:line="360" w:lineRule="auto"/>
        <w:jc w:val="both"/>
        <w:rPr>
          <w:rFonts w:ascii="Palatino Linotype" w:eastAsia="Palatino Linotype" w:hAnsi="Palatino Linotype" w:cs="Palatino Linotype"/>
        </w:rPr>
      </w:pPr>
      <w:bookmarkStart w:id="5" w:name="_heading=h.z337ya" w:colFirst="0" w:colLast="0"/>
      <w:bookmarkEnd w:id="5"/>
      <w:r w:rsidRPr="005534BD">
        <w:rPr>
          <w:rFonts w:ascii="Palatino Linotype" w:eastAsia="Palatino Linotype" w:hAnsi="Palatino Linotype" w:cs="Palatino Linotype"/>
        </w:rPr>
        <w:t xml:space="preserve">Por cuanto hace a los </w:t>
      </w:r>
      <w:r w:rsidRPr="005534BD">
        <w:rPr>
          <w:rFonts w:ascii="Palatino Linotype" w:eastAsia="Palatino Linotype" w:hAnsi="Palatino Linotype" w:cs="Palatino Linotype"/>
          <w:b/>
        </w:rPr>
        <w:t>préstamos o descuentos de carácter personal</w:t>
      </w:r>
      <w:r w:rsidRPr="005534BD">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32B995DA"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14B69B06" w14:textId="77777777" w:rsidR="0093756C" w:rsidRPr="005534BD" w:rsidRDefault="00752E30">
      <w:pPr>
        <w:ind w:left="851" w:right="616"/>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lastRenderedPageBreak/>
        <w:t xml:space="preserve">“ARTÍCULO 84. </w:t>
      </w:r>
      <w:r w:rsidRPr="005534BD">
        <w:rPr>
          <w:rFonts w:ascii="Palatino Linotype" w:eastAsia="Palatino Linotype" w:hAnsi="Palatino Linotype" w:cs="Palatino Linotype"/>
          <w:i/>
        </w:rPr>
        <w:t>Sólo podrán hacerse retenciones, descuentos o deducciones al sueldo de los servidores públicos por concepto de:</w:t>
      </w:r>
    </w:p>
    <w:p w14:paraId="3C65EBF4"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w:t>
      </w:r>
      <w:r w:rsidRPr="005534BD">
        <w:rPr>
          <w:rFonts w:ascii="Palatino Linotype" w:eastAsia="Palatino Linotype" w:hAnsi="Palatino Linotype" w:cs="Palatino Linotype"/>
          <w:i/>
        </w:rPr>
        <w:t xml:space="preserve"> Gravámenes fiscales relacionados con el sueldo;</w:t>
      </w:r>
    </w:p>
    <w:p w14:paraId="2D19C104"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w:t>
      </w:r>
      <w:r w:rsidRPr="005534BD">
        <w:rPr>
          <w:rFonts w:ascii="Palatino Linotype" w:eastAsia="Palatino Linotype" w:hAnsi="Palatino Linotype" w:cs="Palatino Linotype"/>
          <w:i/>
        </w:rPr>
        <w:t xml:space="preserve"> Deudas contraídas con las instituciones públicas o dependencias por concepto de anticipos de sueldo, pagos hechos con exceso, errores o pérdidas debidamente comprobados;</w:t>
      </w:r>
    </w:p>
    <w:p w14:paraId="500E73F8"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III.</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rPr>
        <w:t>Cuotas sindicales</w:t>
      </w:r>
      <w:r w:rsidRPr="005534BD">
        <w:rPr>
          <w:rFonts w:ascii="Palatino Linotype" w:eastAsia="Palatino Linotype" w:hAnsi="Palatino Linotype" w:cs="Palatino Linotype"/>
          <w:i/>
        </w:rPr>
        <w:t>;</w:t>
      </w:r>
    </w:p>
    <w:p w14:paraId="5583CFCD"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IV.</w:t>
      </w:r>
      <w:r w:rsidRPr="005534BD">
        <w:rPr>
          <w:rFonts w:ascii="Palatino Linotype" w:eastAsia="Palatino Linotype" w:hAnsi="Palatino Linotype" w:cs="Palatino Linotype"/>
          <w:i/>
        </w:rPr>
        <w:t xml:space="preserve"> Cuotas de aportación a fondos para la constitución de cooperativas y de cajas de ahorro, siempre que el servidor público hubiese manifestado previamente, de manera expresa, su conformidad;</w:t>
      </w:r>
    </w:p>
    <w:p w14:paraId="3CC7DC17"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V.</w:t>
      </w:r>
      <w:r w:rsidRPr="005534BD">
        <w:rPr>
          <w:rFonts w:ascii="Palatino Linotype" w:eastAsia="Palatino Linotype" w:hAnsi="Palatino Linotype" w:cs="Palatino Linotype"/>
          <w:i/>
        </w:rPr>
        <w:t xml:space="preserve"> Descuentos ordenados por el Instituto de Seguridad Social del Estado de México y Municipios, con motivo de cuotas y obligaciones contraídas con éste por los servidores públicos;</w:t>
      </w:r>
    </w:p>
    <w:p w14:paraId="5A53386B"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VI.</w:t>
      </w:r>
      <w:r w:rsidRPr="005534BD">
        <w:rPr>
          <w:rFonts w:ascii="Palatino Linotype" w:eastAsia="Palatino Linotype" w:hAnsi="Palatino Linotype" w:cs="Palatino Linotype"/>
          <w:i/>
        </w:rPr>
        <w:t xml:space="preserve"> Obligaciones a cargo del servidor público con las que haya consentido, derivadas de la adquisición o del uso de habitaciones consideradas como de interés social;</w:t>
      </w:r>
    </w:p>
    <w:p w14:paraId="45A84773"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VII.</w:t>
      </w:r>
      <w:r w:rsidRPr="005534BD">
        <w:rPr>
          <w:rFonts w:ascii="Palatino Linotype" w:eastAsia="Palatino Linotype" w:hAnsi="Palatino Linotype" w:cs="Palatino Linotype"/>
          <w:i/>
        </w:rPr>
        <w:t xml:space="preserve"> Faltas de puntualidad o de asistencia injustificadas;</w:t>
      </w:r>
    </w:p>
    <w:p w14:paraId="63C9D3CD"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VIII. Pensiones alimenticias ordenadas por la autoridad judicial;</w:t>
      </w:r>
      <w:r w:rsidRPr="005534BD">
        <w:rPr>
          <w:rFonts w:ascii="Palatino Linotype" w:eastAsia="Palatino Linotype" w:hAnsi="Palatino Linotype" w:cs="Palatino Linotype"/>
          <w:i/>
        </w:rPr>
        <w:t xml:space="preserve"> o</w:t>
      </w:r>
    </w:p>
    <w:p w14:paraId="50CF552F" w14:textId="77777777" w:rsidR="0093756C" w:rsidRPr="005534BD" w:rsidRDefault="00752E30">
      <w:pPr>
        <w:ind w:left="851" w:right="616"/>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IX. Cualquier otro convenido con instituciones de servicios y aceptado por el servidor público.</w:t>
      </w:r>
    </w:p>
    <w:p w14:paraId="3D03D3A0"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56DA7C03"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6D46598"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De este modo, los </w:t>
      </w:r>
      <w:r w:rsidRPr="005534BD">
        <w:rPr>
          <w:rFonts w:ascii="Palatino Linotype" w:eastAsia="Palatino Linotype" w:hAnsi="Palatino Linotype" w:cs="Palatino Linotype"/>
          <w:b/>
        </w:rPr>
        <w:t>descuentos o deducciones por cuotas sindicales</w:t>
      </w:r>
      <w:r w:rsidRPr="005534BD">
        <w:rPr>
          <w:rFonts w:ascii="Palatino Linotype" w:eastAsia="Palatino Linotype" w:hAnsi="Palatino Linotype" w:cs="Palatino Linotype"/>
        </w:rPr>
        <w:t xml:space="preserve">, </w:t>
      </w:r>
      <w:r w:rsidRPr="005534BD">
        <w:rPr>
          <w:rFonts w:ascii="Palatino Linotype" w:eastAsia="Palatino Linotype" w:hAnsi="Palatino Linotype" w:cs="Palatino Linotype"/>
          <w:b/>
        </w:rPr>
        <w:t>pensiones alimenticias</w:t>
      </w:r>
      <w:r w:rsidRPr="005534BD">
        <w:rPr>
          <w:rFonts w:ascii="Palatino Linotype" w:eastAsia="Palatino Linotype" w:hAnsi="Palatino Linotype" w:cs="Palatino Linotype"/>
        </w:rPr>
        <w:t xml:space="preserve"> o </w:t>
      </w:r>
      <w:r w:rsidRPr="005534BD">
        <w:rPr>
          <w:rFonts w:ascii="Palatino Linotype" w:eastAsia="Palatino Linotype" w:hAnsi="Palatino Linotype" w:cs="Palatino Linotype"/>
          <w:b/>
        </w:rPr>
        <w:t>créditos adquiridos con instituciones privadas</w:t>
      </w:r>
      <w:r w:rsidRPr="005534BD">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5534BD">
        <w:rPr>
          <w:rFonts w:ascii="Palatino Linotype" w:eastAsia="Palatino Linotype" w:hAnsi="Palatino Linotype" w:cs="Palatino Linotype"/>
          <w:b/>
        </w:rPr>
        <w:t>es información que no es de carácter público, sino que constituye información confidencial</w:t>
      </w:r>
      <w:r w:rsidRPr="005534BD">
        <w:rPr>
          <w:rFonts w:ascii="Palatino Linotype" w:eastAsia="Palatino Linotype" w:hAnsi="Palatino Linotype" w:cs="Palatino Linotype"/>
        </w:rPr>
        <w:t xml:space="preserve"> en virtud de que corresponde con decisiones personales, y por tanto, se debe clasificar.</w:t>
      </w:r>
    </w:p>
    <w:p w14:paraId="6D4A3E46" w14:textId="77777777" w:rsidR="0093756C" w:rsidRPr="005534BD" w:rsidRDefault="00752E30">
      <w:pPr>
        <w:pBdr>
          <w:top w:val="nil"/>
          <w:left w:val="nil"/>
          <w:bottom w:val="nil"/>
          <w:right w:val="nil"/>
          <w:between w:val="nil"/>
        </w:pBdr>
        <w:spacing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443FD43" w14:textId="77777777" w:rsidR="0093756C" w:rsidRPr="005534BD" w:rsidRDefault="00752E3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4F57DAAA" w14:textId="77777777" w:rsidR="0093756C" w:rsidRPr="005534BD" w:rsidRDefault="00752E30">
      <w:pPr>
        <w:spacing w:before="240" w:after="240" w:line="360" w:lineRule="auto"/>
        <w:jc w:val="both"/>
        <w:rPr>
          <w:rFonts w:ascii="Palatino Linotype" w:eastAsia="Palatino Linotype" w:hAnsi="Palatino Linotype" w:cs="Palatino Linotype"/>
        </w:rPr>
      </w:pPr>
      <w:bookmarkStart w:id="6" w:name="_heading=h.3j2qqm3" w:colFirst="0" w:colLast="0"/>
      <w:bookmarkEnd w:id="6"/>
      <w:r w:rsidRPr="005534BD">
        <w:rPr>
          <w:rFonts w:ascii="Palatino Linotype" w:eastAsia="Palatino Linotype" w:hAnsi="Palatino Linotype" w:cs="Palatino Linotype"/>
        </w:rPr>
        <w:t xml:space="preserve">Con relación al </w:t>
      </w:r>
      <w:r w:rsidRPr="005534BD">
        <w:rPr>
          <w:rFonts w:ascii="Palatino Linotype" w:eastAsia="Palatino Linotype" w:hAnsi="Palatino Linotype" w:cs="Palatino Linotype"/>
          <w:b/>
        </w:rPr>
        <w:t>número de empleado</w:t>
      </w:r>
      <w:r w:rsidRPr="005534BD">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w:t>
      </w:r>
      <w:r w:rsidRPr="005534BD">
        <w:rPr>
          <w:rFonts w:ascii="Palatino Linotype" w:eastAsia="Palatino Linotype" w:hAnsi="Palatino Linotype" w:cs="Palatino Linotype"/>
        </w:rPr>
        <w:lastRenderedPageBreak/>
        <w:t>situación laboral particular, siendo un número único, permanente e intransferible que se asigna para llevar un registro de los trabajadores</w:t>
      </w:r>
      <w:r w:rsidRPr="005534BD">
        <w:rPr>
          <w:rFonts w:ascii="Palatino Linotype" w:eastAsia="Palatino Linotype" w:hAnsi="Palatino Linotype" w:cs="Palatino Linotype"/>
          <w:vertAlign w:val="superscript"/>
        </w:rPr>
        <w:footnoteReference w:id="4"/>
      </w:r>
      <w:r w:rsidRPr="005534BD">
        <w:rPr>
          <w:rFonts w:ascii="Palatino Linotype" w:eastAsia="Palatino Linotype" w:hAnsi="Palatino Linotype" w:cs="Palatino Linotype"/>
        </w:rPr>
        <w:t>.</w:t>
      </w:r>
    </w:p>
    <w:p w14:paraId="786C981A"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7914104F" w14:textId="77777777" w:rsidR="0093756C" w:rsidRPr="005534BD" w:rsidRDefault="00752E30">
      <w:pPr>
        <w:tabs>
          <w:tab w:val="left" w:pos="7655"/>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 xml:space="preserve">Número de empleado. </w:t>
      </w:r>
      <w:r w:rsidRPr="005534BD">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1C29213"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deberá acatar lo establecido y de ser procedente, entregará el número de empleado o equivalente de los servidores públicos </w:t>
      </w:r>
      <w:r w:rsidRPr="005534BD">
        <w:rPr>
          <w:rFonts w:ascii="Palatino Linotype" w:eastAsia="Palatino Linotype" w:hAnsi="Palatino Linotype" w:cs="Palatino Linotype"/>
        </w:rPr>
        <w:lastRenderedPageBreak/>
        <w:t>materia de la solicitud, o en su caso, los clasificará como información confidencial, a través del Acuerdo emitido por su Comité de Transparencia conforme a la Ley de la Materia.</w:t>
      </w:r>
    </w:p>
    <w:p w14:paraId="706AA19D"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t>De la información fiscal</w:t>
      </w:r>
      <w:r w:rsidRPr="005534BD">
        <w:rPr>
          <w:rFonts w:ascii="Palatino Linotype" w:eastAsia="Palatino Linotype" w:hAnsi="Palatino Linotype" w:cs="Palatino Linotype"/>
        </w:rPr>
        <w:t xml:space="preserve">: </w:t>
      </w:r>
    </w:p>
    <w:p w14:paraId="45C70583"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La </w:t>
      </w:r>
      <w:r w:rsidRPr="005534BD">
        <w:rPr>
          <w:rFonts w:ascii="Palatino Linotype" w:eastAsia="Palatino Linotype" w:hAnsi="Palatino Linotype" w:cs="Palatino Linotype"/>
          <w:b/>
        </w:rPr>
        <w:t>Cadena Original</w:t>
      </w:r>
      <w:r w:rsidRPr="005534BD">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7F2B47A1"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Los </w:t>
      </w:r>
      <w:r w:rsidRPr="005534BD">
        <w:rPr>
          <w:rFonts w:ascii="Palatino Linotype" w:eastAsia="Palatino Linotype" w:hAnsi="Palatino Linotype" w:cs="Palatino Linotype"/>
          <w:b/>
        </w:rPr>
        <w:t>códigos bidimensionales</w:t>
      </w:r>
      <w:r w:rsidRPr="005534BD">
        <w:rPr>
          <w:rFonts w:ascii="Palatino Linotype" w:eastAsia="Palatino Linotype" w:hAnsi="Palatino Linotype" w:cs="Palatino Linotype"/>
        </w:rPr>
        <w:t xml:space="preserve"> o </w:t>
      </w:r>
      <w:r w:rsidRPr="005534BD">
        <w:rPr>
          <w:rFonts w:ascii="Palatino Linotype" w:eastAsia="Palatino Linotype" w:hAnsi="Palatino Linotype" w:cs="Palatino Linotype"/>
          <w:b/>
        </w:rPr>
        <w:t xml:space="preserve">códigos QR, </w:t>
      </w:r>
      <w:r w:rsidRPr="005534BD">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analizar dicha circunstancia con la finalidad de determinar si se actualiza algún supuesto de confidencialidad.</w:t>
      </w:r>
    </w:p>
    <w:p w14:paraId="3A67F1E9"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En tal sentido, si derivado del análisis efectuado por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40B84C64"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 xml:space="preserve">Por otro lado, derivado de la información que se ordena entregar existe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5534BD">
        <w:rPr>
          <w:rFonts w:ascii="Palatino Linotype" w:eastAsia="Palatino Linotype" w:hAnsi="Palatino Linotype" w:cs="Palatino Linotype"/>
          <w:b/>
          <w:u w:val="single"/>
        </w:rPr>
        <w:t>sólo por cuanto hace al nombre</w:t>
      </w:r>
      <w:r w:rsidRPr="005534BD">
        <w:rPr>
          <w:rFonts w:ascii="Palatino Linotype" w:eastAsia="Palatino Linotype" w:hAnsi="Palatino Linotype" w:cs="Palatino Linotype"/>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5534BD">
        <w:rPr>
          <w:rFonts w:ascii="Palatino Linotype" w:eastAsia="Palatino Linotype" w:hAnsi="Palatino Linotype" w:cs="Palatino Linotype"/>
          <w:b/>
        </w:rPr>
        <w:t>que desempeñen funciones operativas</w:t>
      </w:r>
      <w:r w:rsidRPr="005534BD">
        <w:rPr>
          <w:rFonts w:ascii="Palatino Linotype" w:eastAsia="Palatino Linotype" w:hAnsi="Palatino Linotype" w:cs="Palatino Linotype"/>
        </w:rPr>
        <w:t>.</w:t>
      </w:r>
    </w:p>
    <w:p w14:paraId="79575C82" w14:textId="77777777" w:rsidR="0093756C" w:rsidRPr="005534BD" w:rsidRDefault="0093756C">
      <w:pPr>
        <w:spacing w:after="0" w:line="360" w:lineRule="auto"/>
        <w:jc w:val="both"/>
      </w:pPr>
    </w:p>
    <w:p w14:paraId="2784F2AC"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Al respecto, la información </w:t>
      </w:r>
      <w:r w:rsidRPr="005534BD">
        <w:rPr>
          <w:rFonts w:ascii="Palatino Linotype" w:eastAsia="Palatino Linotype" w:hAnsi="Palatino Linotype" w:cs="Palatino Linotype"/>
          <w:b/>
        </w:rPr>
        <w:t>de los elementos que realizan funciones operativas, entre ellos su nombre, deben ser protegidos</w:t>
      </w:r>
      <w:r w:rsidRPr="005534BD">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25E654F" w14:textId="77777777" w:rsidR="0093756C" w:rsidRPr="005534BD" w:rsidRDefault="0093756C">
      <w:pPr>
        <w:spacing w:after="0" w:line="360" w:lineRule="auto"/>
        <w:jc w:val="both"/>
      </w:pPr>
    </w:p>
    <w:p w14:paraId="6A6163B5"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w:t>
      </w:r>
      <w:r w:rsidRPr="005534BD">
        <w:rPr>
          <w:rFonts w:ascii="Palatino Linotype" w:eastAsia="Palatino Linotype" w:hAnsi="Palatino Linotype" w:cs="Palatino Linotype"/>
        </w:rPr>
        <w:lastRenderedPageBreak/>
        <w:t>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353B190E" w14:textId="77777777" w:rsidR="0093756C" w:rsidRPr="005534BD" w:rsidRDefault="0093756C">
      <w:pPr>
        <w:spacing w:after="0" w:line="360" w:lineRule="auto"/>
        <w:jc w:val="both"/>
      </w:pPr>
    </w:p>
    <w:p w14:paraId="373D030E"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AAB092D" w14:textId="77777777" w:rsidR="0093756C" w:rsidRPr="005534BD" w:rsidRDefault="0093756C">
      <w:pPr>
        <w:spacing w:after="0" w:line="360" w:lineRule="auto"/>
        <w:jc w:val="both"/>
      </w:pPr>
    </w:p>
    <w:p w14:paraId="4E8BDC10"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66862E0C" w14:textId="77777777" w:rsidR="0093756C" w:rsidRPr="005534BD" w:rsidRDefault="0093756C">
      <w:pPr>
        <w:spacing w:after="0" w:line="360" w:lineRule="auto"/>
        <w:jc w:val="both"/>
      </w:pPr>
    </w:p>
    <w:p w14:paraId="44A17334" w14:textId="77777777" w:rsidR="0093756C" w:rsidRPr="005534BD" w:rsidRDefault="00752E30">
      <w:pPr>
        <w:spacing w:after="0" w:line="360" w:lineRule="auto"/>
        <w:jc w:val="both"/>
      </w:pPr>
      <w:r w:rsidRPr="005534BD">
        <w:rPr>
          <w:rFonts w:ascii="Palatino Linotype" w:eastAsia="Palatino Linotype" w:hAnsi="Palatino Linotype" w:cs="Palatino Linotype"/>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w:t>
      </w:r>
      <w:r w:rsidRPr="005534BD">
        <w:rPr>
          <w:rFonts w:ascii="Palatino Linotype" w:eastAsia="Palatino Linotype" w:hAnsi="Palatino Linotype" w:cs="Palatino Linotype"/>
        </w:rPr>
        <w:lastRenderedPageBreak/>
        <w:t>Transparencia, Acceso a la Información y Protección de Datos Personales, INAI, que establece lo siguiente:</w:t>
      </w:r>
    </w:p>
    <w:p w14:paraId="00CD5A80" w14:textId="77777777" w:rsidR="0093756C" w:rsidRPr="005534BD" w:rsidRDefault="00752E30">
      <w:pPr>
        <w:spacing w:before="120" w:after="0"/>
        <w:ind w:left="851" w:right="902"/>
        <w:jc w:val="both"/>
      </w:pPr>
      <w:r w:rsidRPr="005534BD">
        <w:rPr>
          <w:rFonts w:ascii="Palatino Linotype" w:eastAsia="Palatino Linotype" w:hAnsi="Palatino Linotype" w:cs="Palatino Linotype"/>
          <w:b/>
          <w:i/>
        </w:rPr>
        <w:t>“Nombres de servidores públicos dedicados a actividades en materia de seguridad, por excepción pueden considerarse información reservada.</w:t>
      </w:r>
      <w:r w:rsidRPr="005534BD">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1159459" w14:textId="77777777" w:rsidR="0093756C" w:rsidRPr="005534BD" w:rsidRDefault="0093756C">
      <w:pPr>
        <w:spacing w:after="0" w:line="360" w:lineRule="auto"/>
        <w:jc w:val="both"/>
        <w:rPr>
          <w:rFonts w:ascii="Palatino Linotype" w:eastAsia="Palatino Linotype" w:hAnsi="Palatino Linotype" w:cs="Palatino Linotype"/>
        </w:rPr>
      </w:pPr>
    </w:p>
    <w:p w14:paraId="13E90EDA" w14:textId="77777777" w:rsidR="0093756C" w:rsidRPr="005534BD" w:rsidRDefault="00752E30">
      <w:pPr>
        <w:spacing w:after="0" w:line="360" w:lineRule="auto"/>
        <w:jc w:val="both"/>
        <w:rPr>
          <w:rFonts w:ascii="Palatino Linotype" w:eastAsia="Palatino Linotype" w:hAnsi="Palatino Linotype" w:cs="Palatino Linotype"/>
          <w:b/>
        </w:rPr>
      </w:pPr>
      <w:r w:rsidRPr="005534BD">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w:t>
      </w:r>
      <w:r w:rsidRPr="005534BD">
        <w:rPr>
          <w:rFonts w:ascii="Palatino Linotype" w:eastAsia="Palatino Linotype" w:hAnsi="Palatino Linotype" w:cs="Palatino Linotype"/>
        </w:rPr>
        <w:lastRenderedPageBreak/>
        <w:t xml:space="preserve">Estado y Municipio, anulando, impidiendo u obstaculizando la actuación de los servidores públicos que realizan </w:t>
      </w:r>
      <w:r w:rsidRPr="005534BD">
        <w:rPr>
          <w:rFonts w:ascii="Palatino Linotype" w:eastAsia="Palatino Linotype" w:hAnsi="Palatino Linotype" w:cs="Palatino Linotype"/>
          <w:b/>
        </w:rPr>
        <w:t>funciones de carácter operativo.</w:t>
      </w:r>
    </w:p>
    <w:p w14:paraId="6EEB6B14" w14:textId="77777777" w:rsidR="0093756C" w:rsidRPr="005534BD" w:rsidRDefault="0093756C">
      <w:pPr>
        <w:spacing w:after="0" w:line="360" w:lineRule="auto"/>
        <w:jc w:val="both"/>
      </w:pPr>
    </w:p>
    <w:p w14:paraId="5877CCB5" w14:textId="77777777" w:rsidR="0093756C" w:rsidRPr="005534BD" w:rsidRDefault="00752E30">
      <w:pPr>
        <w:spacing w:after="0" w:line="360" w:lineRule="auto"/>
        <w:jc w:val="both"/>
      </w:pPr>
      <w:r w:rsidRPr="005534BD">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06F53212" w14:textId="77777777" w:rsidR="0093756C" w:rsidRPr="005534BD" w:rsidRDefault="00752E30">
      <w:pPr>
        <w:spacing w:before="120" w:after="120"/>
        <w:ind w:left="851" w:right="760"/>
        <w:jc w:val="both"/>
      </w:pPr>
      <w:r w:rsidRPr="005534BD">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5534BD">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534BD">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5534BD">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5534BD">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5534BD">
        <w:rPr>
          <w:rFonts w:ascii="Palatino Linotype" w:eastAsia="Palatino Linotype" w:hAnsi="Palatino Linotype" w:cs="Palatino Linotype"/>
          <w:i/>
        </w:rPr>
        <w:t>”</w:t>
      </w:r>
    </w:p>
    <w:p w14:paraId="078E88C0" w14:textId="77777777" w:rsidR="0093756C" w:rsidRPr="005534BD" w:rsidRDefault="0093756C"/>
    <w:p w14:paraId="0220E7AC" w14:textId="77777777" w:rsidR="0093756C" w:rsidRPr="005534BD" w:rsidRDefault="00752E30">
      <w:pPr>
        <w:spacing w:before="120" w:after="120"/>
        <w:ind w:left="851" w:right="760"/>
        <w:jc w:val="both"/>
      </w:pPr>
      <w:r w:rsidRPr="005534BD">
        <w:rPr>
          <w:rFonts w:ascii="Palatino Linotype" w:eastAsia="Palatino Linotype" w:hAnsi="Palatino Linotype" w:cs="Palatino Linotype"/>
          <w:b/>
          <w:i/>
        </w:rPr>
        <w:t xml:space="preserve">“TRANSPARENCIA Y ACCESO A LA INFORMACIÓN PÚBLICA GUBERNAMENTAL. EL ARTÍCULO 14, FRACCIÓN I, DE LA LEY </w:t>
      </w:r>
      <w:r w:rsidRPr="005534BD">
        <w:rPr>
          <w:rFonts w:ascii="Palatino Linotype" w:eastAsia="Palatino Linotype" w:hAnsi="Palatino Linotype" w:cs="Palatino Linotype"/>
          <w:b/>
          <w:i/>
        </w:rPr>
        <w:lastRenderedPageBreak/>
        <w:t>FEDERAL RELATIVA, NO VIOLA LA GARANTÍA DE ACCESO A LA INFORMACIÓN.</w:t>
      </w:r>
      <w:r w:rsidRPr="005534BD">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534BD">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534BD">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364749F" w14:textId="77777777" w:rsidR="0093756C" w:rsidRPr="005534BD" w:rsidRDefault="00752E30">
      <w:pPr>
        <w:spacing w:before="240" w:after="240" w:line="360" w:lineRule="auto"/>
        <w:ind w:right="50"/>
        <w:jc w:val="both"/>
        <w:rPr>
          <w:rFonts w:ascii="Palatino Linotype" w:eastAsia="Palatino Linotype" w:hAnsi="Palatino Linotype" w:cs="Palatino Linotype"/>
        </w:rPr>
      </w:pPr>
      <w:r w:rsidRPr="005534BD">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FDAC802"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lastRenderedPageBreak/>
        <w:t>“Artículo 49.</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rPr>
        <w:t>Los Comités de Transparencia</w:t>
      </w:r>
      <w:r w:rsidRPr="005534BD">
        <w:rPr>
          <w:rFonts w:ascii="Palatino Linotype" w:eastAsia="Palatino Linotype" w:hAnsi="Palatino Linotype" w:cs="Palatino Linotype"/>
          <w:i/>
        </w:rPr>
        <w:t xml:space="preserve"> tendrán las siguientes atribuciones:</w:t>
      </w:r>
    </w:p>
    <w:p w14:paraId="0737FA2D"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VIII. Aprobar, modificar o revocar la clasificación de la información</w:t>
      </w:r>
      <w:r w:rsidRPr="005534BD">
        <w:rPr>
          <w:rFonts w:ascii="Palatino Linotype" w:eastAsia="Palatino Linotype" w:hAnsi="Palatino Linotype" w:cs="Palatino Linotype"/>
          <w:i/>
        </w:rPr>
        <w:t>…”</w:t>
      </w:r>
    </w:p>
    <w:p w14:paraId="09855729"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Artículo 53.</w:t>
      </w:r>
      <w:r w:rsidRPr="005534BD">
        <w:rPr>
          <w:rFonts w:ascii="Palatino Linotype" w:eastAsia="Palatino Linotype" w:hAnsi="Palatino Linotype" w:cs="Palatino Linotype"/>
          <w:i/>
        </w:rPr>
        <w:t xml:space="preserve"> Las </w:t>
      </w:r>
      <w:r w:rsidRPr="005534BD">
        <w:rPr>
          <w:rFonts w:ascii="Palatino Linotype" w:eastAsia="Palatino Linotype" w:hAnsi="Palatino Linotype" w:cs="Palatino Linotype"/>
          <w:b/>
          <w:i/>
        </w:rPr>
        <w:t>Unidades de Transparencia</w:t>
      </w:r>
      <w:r w:rsidRPr="005534BD">
        <w:rPr>
          <w:rFonts w:ascii="Palatino Linotype" w:eastAsia="Palatino Linotype" w:hAnsi="Palatino Linotype" w:cs="Palatino Linotype"/>
          <w:i/>
        </w:rPr>
        <w:t xml:space="preserve"> tendrán las siguientes </w:t>
      </w:r>
      <w:r w:rsidRPr="005534BD">
        <w:rPr>
          <w:rFonts w:ascii="Palatino Linotype" w:eastAsia="Palatino Linotype" w:hAnsi="Palatino Linotype" w:cs="Palatino Linotype"/>
          <w:b/>
          <w:i/>
        </w:rPr>
        <w:t>funciones</w:t>
      </w:r>
      <w:r w:rsidRPr="005534BD">
        <w:rPr>
          <w:rFonts w:ascii="Palatino Linotype" w:eastAsia="Palatino Linotype" w:hAnsi="Palatino Linotype" w:cs="Palatino Linotype"/>
          <w:i/>
        </w:rPr>
        <w:t>:</w:t>
      </w:r>
    </w:p>
    <w:p w14:paraId="5B6D65F5"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X. Presentar ante el Comité, el proyecto de clasificación de información</w:t>
      </w:r>
      <w:r w:rsidRPr="005534BD">
        <w:rPr>
          <w:rFonts w:ascii="Palatino Linotype" w:eastAsia="Palatino Linotype" w:hAnsi="Palatino Linotype" w:cs="Palatino Linotype"/>
          <w:i/>
        </w:rPr>
        <w:t xml:space="preserve">…” </w:t>
      </w:r>
    </w:p>
    <w:p w14:paraId="0EED4C56"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“Artículo 59.</w:t>
      </w:r>
      <w:r w:rsidRPr="005534BD">
        <w:rPr>
          <w:rFonts w:ascii="Palatino Linotype" w:eastAsia="Palatino Linotype" w:hAnsi="Palatino Linotype" w:cs="Palatino Linotype"/>
          <w:i/>
        </w:rPr>
        <w:t xml:space="preserve"> Los </w:t>
      </w:r>
      <w:r w:rsidRPr="005534BD">
        <w:rPr>
          <w:rFonts w:ascii="Palatino Linotype" w:eastAsia="Palatino Linotype" w:hAnsi="Palatino Linotype" w:cs="Palatino Linotype"/>
          <w:b/>
          <w:i/>
        </w:rPr>
        <w:t>servidores públicos habilitados</w:t>
      </w:r>
      <w:r w:rsidRPr="005534BD">
        <w:rPr>
          <w:rFonts w:ascii="Palatino Linotype" w:eastAsia="Palatino Linotype" w:hAnsi="Palatino Linotype" w:cs="Palatino Linotype"/>
          <w:i/>
        </w:rPr>
        <w:t xml:space="preserve"> tendrán las </w:t>
      </w:r>
      <w:r w:rsidRPr="005534BD">
        <w:rPr>
          <w:rFonts w:ascii="Palatino Linotype" w:eastAsia="Palatino Linotype" w:hAnsi="Palatino Linotype" w:cs="Palatino Linotype"/>
          <w:b/>
          <w:i/>
        </w:rPr>
        <w:t>funciones</w:t>
      </w:r>
      <w:r w:rsidRPr="005534BD">
        <w:rPr>
          <w:rFonts w:ascii="Palatino Linotype" w:eastAsia="Palatino Linotype" w:hAnsi="Palatino Linotype" w:cs="Palatino Linotype"/>
          <w:i/>
        </w:rPr>
        <w:t xml:space="preserve"> siguientes:</w:t>
      </w:r>
    </w:p>
    <w:p w14:paraId="40963B09"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V. Integrar y presentar al responsable de la Unidad de Transparencia la propuesta de clasificación de información</w:t>
      </w:r>
      <w:r w:rsidRPr="005534BD">
        <w:rPr>
          <w:rFonts w:ascii="Palatino Linotype" w:eastAsia="Palatino Linotype" w:hAnsi="Palatino Linotype" w:cs="Palatino Linotype"/>
          <w:i/>
        </w:rPr>
        <w:t>, la cual tendrá los fundamentos y argumentos en que se basa dicha propuesta…”</w:t>
      </w:r>
    </w:p>
    <w:p w14:paraId="5E63A029"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F042135"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C7ABFB3"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Artículo 149.</w:t>
      </w:r>
      <w:r w:rsidRPr="005534BD">
        <w:rPr>
          <w:rFonts w:ascii="Palatino Linotype" w:eastAsia="Palatino Linotype" w:hAnsi="Palatino Linotype" w:cs="Palatino Linotype"/>
          <w:i/>
        </w:rPr>
        <w:t xml:space="preserve"> El </w:t>
      </w:r>
      <w:r w:rsidRPr="005534BD">
        <w:rPr>
          <w:rFonts w:ascii="Palatino Linotype" w:eastAsia="Palatino Linotype" w:hAnsi="Palatino Linotype" w:cs="Palatino Linotype"/>
          <w:b/>
          <w:i/>
        </w:rPr>
        <w:t>acuerdo que clasifique la información como confidencial</w:t>
      </w:r>
      <w:r w:rsidRPr="005534BD">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1C1920E1" w14:textId="77777777" w:rsidR="0093756C" w:rsidRPr="005534BD" w:rsidRDefault="00752E30">
      <w:pPr>
        <w:spacing w:before="240" w:after="240" w:line="360" w:lineRule="auto"/>
        <w:ind w:right="51"/>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Es decir,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w:t>
      </w:r>
      <w:r w:rsidRPr="005534BD">
        <w:rPr>
          <w:rFonts w:ascii="Palatino Linotype" w:eastAsia="Palatino Linotype" w:hAnsi="Palatino Linotype" w:cs="Palatino Linotype"/>
        </w:rPr>
        <w:lastRenderedPageBreak/>
        <w:t>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B0F0BF8" w14:textId="77777777" w:rsidR="0093756C" w:rsidRPr="005534BD" w:rsidRDefault="00752E30">
      <w:pPr>
        <w:spacing w:before="240" w:after="24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Atento a lo anterior, cabe señalar que el Comité de Transparencia del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5B4ACD5C"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rPr>
        <w:t>Segundo.-</w:t>
      </w:r>
      <w:r w:rsidRPr="005534BD">
        <w:rPr>
          <w:rFonts w:ascii="Palatino Linotype" w:eastAsia="Palatino Linotype" w:hAnsi="Palatino Linotype" w:cs="Palatino Linotype"/>
          <w:i/>
        </w:rPr>
        <w:t xml:space="preserve"> Para efectos de los presentes Lineamientos Generales, se entenderá por:</w:t>
      </w:r>
    </w:p>
    <w:p w14:paraId="5FB518F6"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XVIII.</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rPr>
        <w:t>Versión pública:</w:t>
      </w:r>
      <w:r w:rsidRPr="005534BD">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5534BD">
        <w:rPr>
          <w:rFonts w:ascii="Palatino Linotype" w:eastAsia="Palatino Linotype" w:hAnsi="Palatino Linotype" w:cs="Palatino Linotype"/>
          <w:b/>
          <w:i/>
        </w:rPr>
        <w:t>fundando y motivando la</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rPr>
        <w:t>reserva o confidencialidad</w:t>
      </w:r>
      <w:r w:rsidRPr="005534BD">
        <w:rPr>
          <w:rFonts w:ascii="Palatino Linotype" w:eastAsia="Palatino Linotype" w:hAnsi="Palatino Linotype" w:cs="Palatino Linotype"/>
          <w:i/>
        </w:rPr>
        <w:t>, a través de la resolución que para tal efecto emita el Comité de Transparencia.</w:t>
      </w:r>
    </w:p>
    <w:p w14:paraId="418B8DB4" w14:textId="77777777" w:rsidR="0093756C" w:rsidRPr="005534BD" w:rsidRDefault="00752E30">
      <w:pPr>
        <w:tabs>
          <w:tab w:val="left" w:pos="8222"/>
        </w:tabs>
        <w:ind w:left="851" w:right="616"/>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w:t>
      </w:r>
    </w:p>
    <w:p w14:paraId="21C8014B"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Cuarto.</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rPr>
        <w:t>Para clasificar la información como</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rPr>
        <w:t>reservada o</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5534BD">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0E657FD"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6FCA5229"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lastRenderedPageBreak/>
        <w:t>Quinto.</w:t>
      </w:r>
      <w:r w:rsidRPr="005534BD">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BED326"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Sexto.</w:t>
      </w:r>
      <w:r w:rsidRPr="005534BD">
        <w:rPr>
          <w:rFonts w:ascii="Palatino Linotype" w:eastAsia="Palatino Linotype" w:hAnsi="Palatino Linotype" w:cs="Palatino Linotype"/>
          <w:i/>
        </w:rPr>
        <w:t xml:space="preserve"> Se deroga.</w:t>
      </w:r>
    </w:p>
    <w:p w14:paraId="16B73425"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Séptimo.</w:t>
      </w:r>
      <w:r w:rsidRPr="005534BD">
        <w:rPr>
          <w:rFonts w:ascii="Palatino Linotype" w:eastAsia="Palatino Linotype" w:hAnsi="Palatino Linotype" w:cs="Palatino Linotype"/>
          <w:i/>
        </w:rPr>
        <w:t xml:space="preserve"> La clasificación de la información se llevará a cabo en el momento en que:</w:t>
      </w:r>
    </w:p>
    <w:p w14:paraId="0D583308"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w:t>
      </w:r>
      <w:r w:rsidRPr="005534BD">
        <w:rPr>
          <w:rFonts w:ascii="Palatino Linotype" w:eastAsia="Palatino Linotype" w:hAnsi="Palatino Linotype" w:cs="Palatino Linotype"/>
          <w:i/>
        </w:rPr>
        <w:t xml:space="preserve"> Se reciba una solicitud de acceso a la información;</w:t>
      </w:r>
    </w:p>
    <w:p w14:paraId="0BAA673E"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w:t>
      </w:r>
      <w:r w:rsidRPr="005534BD">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234764E1"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III.</w:t>
      </w:r>
      <w:r w:rsidRPr="005534BD">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04F5DDCA"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Los titulares de las áreas deberán revisar la clasificación al momento de la recepción de una solicitud de acceso, para verificar</w:t>
      </w:r>
      <w:r w:rsidRPr="005534BD">
        <w:rPr>
          <w:rFonts w:ascii="Palatino Linotype" w:eastAsia="Palatino Linotype" w:hAnsi="Palatino Linotype" w:cs="Palatino Linotype"/>
        </w:rPr>
        <w:t xml:space="preserve">, </w:t>
      </w:r>
      <w:r w:rsidRPr="005534BD">
        <w:rPr>
          <w:rFonts w:ascii="Palatino Linotype" w:eastAsia="Palatino Linotype" w:hAnsi="Palatino Linotype" w:cs="Palatino Linotype"/>
          <w:i/>
        </w:rPr>
        <w:t>conforme a su naturaleza, si encuadra en una causal de reserva o de confidencialidad.</w:t>
      </w:r>
    </w:p>
    <w:p w14:paraId="674A3DE3"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Octavo.</w:t>
      </w:r>
      <w:r w:rsidRPr="005534BD">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6350D73"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5C51C267"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w:t>
      </w:r>
      <w:r w:rsidRPr="005534BD">
        <w:rPr>
          <w:rFonts w:ascii="Palatino Linotype" w:eastAsia="Palatino Linotype" w:hAnsi="Palatino Linotype" w:cs="Palatino Linotype"/>
          <w:i/>
        </w:rPr>
        <w:lastRenderedPageBreak/>
        <w:t>así como las circunstancias que justifican el establecimiento de determinado plazo de reserva.</w:t>
      </w:r>
    </w:p>
    <w:p w14:paraId="479BCA26"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Noveno.</w:t>
      </w:r>
      <w:r w:rsidRPr="005534BD">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A700C0"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Décimo.</w:t>
      </w:r>
      <w:r w:rsidRPr="005534BD">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7D4A3A3"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23966E8C" w14:textId="77777777" w:rsidR="0093756C" w:rsidRPr="005534BD" w:rsidRDefault="00752E30">
      <w:pPr>
        <w:tabs>
          <w:tab w:val="left" w:pos="8222"/>
        </w:tabs>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Décimo primero.</w:t>
      </w:r>
      <w:r w:rsidRPr="005534BD">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D1BAB87" w14:textId="77777777" w:rsidR="0093756C" w:rsidRPr="005534BD" w:rsidRDefault="00752E3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Asimismo, respecto a las formalidades que deberá llevar el acuerdo de clasificación que deberá emitir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09903C81" w14:textId="77777777" w:rsidR="0093756C" w:rsidRPr="005534BD" w:rsidRDefault="00752E30">
      <w:pPr>
        <w:ind w:left="851" w:right="902"/>
        <w:jc w:val="both"/>
        <w:rPr>
          <w:rFonts w:ascii="Palatino Linotype" w:eastAsia="Palatino Linotype" w:hAnsi="Palatino Linotype" w:cs="Palatino Linotype"/>
          <w:i/>
        </w:rPr>
      </w:pPr>
      <w:r w:rsidRPr="005534BD">
        <w:rPr>
          <w:rFonts w:ascii="Palatino Linotype" w:eastAsia="Palatino Linotype" w:hAnsi="Palatino Linotype" w:cs="Palatino Linotype"/>
          <w:b/>
          <w:i/>
        </w:rPr>
        <w:t xml:space="preserve">“Quincuagésimo. </w:t>
      </w:r>
      <w:r w:rsidRPr="005534BD">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w:t>
      </w:r>
      <w:r w:rsidRPr="005534BD">
        <w:rPr>
          <w:rFonts w:ascii="Palatino Linotype" w:eastAsia="Palatino Linotype" w:hAnsi="Palatino Linotype" w:cs="Palatino Linotype"/>
          <w:i/>
        </w:rPr>
        <w:lastRenderedPageBreak/>
        <w:t xml:space="preserve">de documentos o expedientes, siempre y cuando cumplan lo establecido en los presentes Lineamientos, así como en las correspondientes Leyes Generales. </w:t>
      </w:r>
    </w:p>
    <w:p w14:paraId="7D6DC7E6" w14:textId="77777777" w:rsidR="0093756C" w:rsidRPr="005534BD" w:rsidRDefault="00752E30">
      <w:pPr>
        <w:pBdr>
          <w:top w:val="nil"/>
          <w:left w:val="nil"/>
          <w:bottom w:val="nil"/>
          <w:right w:val="nil"/>
          <w:between w:val="nil"/>
        </w:pBdr>
        <w:ind w:left="851" w:right="902"/>
        <w:jc w:val="both"/>
        <w:rPr>
          <w:rFonts w:ascii="Palatino Linotype" w:eastAsia="Palatino Linotype" w:hAnsi="Palatino Linotype" w:cs="Palatino Linotype"/>
          <w:i/>
        </w:rPr>
      </w:pPr>
      <w:r w:rsidRPr="005534BD">
        <w:rPr>
          <w:rFonts w:ascii="Palatino Linotype" w:eastAsia="Palatino Linotype" w:hAnsi="Palatino Linotype" w:cs="Palatino Linotype"/>
          <w:b/>
          <w:i/>
        </w:rPr>
        <w:t xml:space="preserve">Quincuagésimo primero. </w:t>
      </w:r>
      <w:r w:rsidRPr="005534BD">
        <w:rPr>
          <w:rFonts w:ascii="Palatino Linotype" w:eastAsia="Palatino Linotype" w:hAnsi="Palatino Linotype" w:cs="Palatino Linotype"/>
          <w:i/>
        </w:rPr>
        <w:t xml:space="preserve">Toda acta del Comité de Transparencia deberá contener: </w:t>
      </w:r>
    </w:p>
    <w:p w14:paraId="779AB4BE" w14:textId="77777777" w:rsidR="0093756C" w:rsidRPr="005534BD" w:rsidRDefault="00752E30">
      <w:pPr>
        <w:pBdr>
          <w:top w:val="nil"/>
          <w:left w:val="nil"/>
          <w:bottom w:val="nil"/>
          <w:right w:val="nil"/>
          <w:between w:val="nil"/>
        </w:pBdr>
        <w:ind w:left="1134" w:right="902"/>
        <w:jc w:val="both"/>
        <w:rPr>
          <w:rFonts w:ascii="Palatino Linotype" w:eastAsia="Palatino Linotype" w:hAnsi="Palatino Linotype" w:cs="Palatino Linotype"/>
          <w:i/>
        </w:rPr>
      </w:pPr>
      <w:r w:rsidRPr="005534BD">
        <w:rPr>
          <w:rFonts w:ascii="Palatino Linotype" w:eastAsia="Palatino Linotype" w:hAnsi="Palatino Linotype" w:cs="Palatino Linotype"/>
          <w:b/>
          <w:i/>
        </w:rPr>
        <w:t>I.</w:t>
      </w:r>
      <w:r w:rsidRPr="005534BD">
        <w:rPr>
          <w:rFonts w:ascii="Palatino Linotype" w:eastAsia="Palatino Linotype" w:hAnsi="Palatino Linotype" w:cs="Palatino Linotype"/>
          <w:i/>
        </w:rPr>
        <w:t xml:space="preserve"> El número de sesión y fecha; </w:t>
      </w:r>
    </w:p>
    <w:p w14:paraId="0514D656" w14:textId="77777777" w:rsidR="0093756C" w:rsidRPr="005534BD" w:rsidRDefault="00752E30">
      <w:pPr>
        <w:pBdr>
          <w:top w:val="nil"/>
          <w:left w:val="nil"/>
          <w:bottom w:val="nil"/>
          <w:right w:val="nil"/>
          <w:between w:val="nil"/>
        </w:pBdr>
        <w:ind w:left="1134" w:right="902"/>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w:t>
      </w:r>
      <w:r w:rsidRPr="005534BD">
        <w:rPr>
          <w:rFonts w:ascii="Palatino Linotype" w:eastAsia="Palatino Linotype" w:hAnsi="Palatino Linotype" w:cs="Palatino Linotype"/>
          <w:i/>
        </w:rPr>
        <w:t xml:space="preserve">. El nombre del área que solicitó la clasificación de información; </w:t>
      </w:r>
    </w:p>
    <w:p w14:paraId="0B6F57B8" w14:textId="77777777" w:rsidR="0093756C" w:rsidRPr="005534BD" w:rsidRDefault="00752E30">
      <w:pPr>
        <w:pBdr>
          <w:top w:val="nil"/>
          <w:left w:val="nil"/>
          <w:bottom w:val="nil"/>
          <w:right w:val="nil"/>
          <w:between w:val="nil"/>
        </w:pBdr>
        <w:ind w:left="1134" w:right="902"/>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III</w:t>
      </w:r>
      <w:r w:rsidRPr="005534BD">
        <w:rPr>
          <w:rFonts w:ascii="Palatino Linotype" w:eastAsia="Palatino Linotype" w:hAnsi="Palatino Linotype" w:cs="Palatino Linotype"/>
          <w:i/>
        </w:rPr>
        <w:t xml:space="preserve">. La fundamentación legal y motivación correspondiente; </w:t>
      </w:r>
    </w:p>
    <w:p w14:paraId="4984E358" w14:textId="77777777" w:rsidR="0093756C" w:rsidRPr="005534BD" w:rsidRDefault="00752E30">
      <w:pPr>
        <w:pBdr>
          <w:top w:val="nil"/>
          <w:left w:val="nil"/>
          <w:bottom w:val="nil"/>
          <w:right w:val="nil"/>
          <w:between w:val="nil"/>
        </w:pBdr>
        <w:ind w:left="1134" w:right="902"/>
        <w:jc w:val="both"/>
        <w:rPr>
          <w:rFonts w:ascii="Palatino Linotype" w:eastAsia="Palatino Linotype" w:hAnsi="Palatino Linotype" w:cs="Palatino Linotype"/>
          <w:i/>
        </w:rPr>
      </w:pPr>
      <w:r w:rsidRPr="005534BD">
        <w:rPr>
          <w:rFonts w:ascii="Palatino Linotype" w:eastAsia="Palatino Linotype" w:hAnsi="Palatino Linotype" w:cs="Palatino Linotype"/>
          <w:b/>
          <w:i/>
        </w:rPr>
        <w:t>IV</w:t>
      </w:r>
      <w:r w:rsidRPr="005534BD">
        <w:rPr>
          <w:rFonts w:ascii="Palatino Linotype" w:eastAsia="Palatino Linotype" w:hAnsi="Palatino Linotype" w:cs="Palatino Linotype"/>
          <w:i/>
        </w:rPr>
        <w:t xml:space="preserve">. La resolución o resoluciones aprobadas; y </w:t>
      </w:r>
    </w:p>
    <w:p w14:paraId="0A1274F9" w14:textId="77777777" w:rsidR="0093756C" w:rsidRPr="005534BD" w:rsidRDefault="00752E30">
      <w:pPr>
        <w:pBdr>
          <w:top w:val="nil"/>
          <w:left w:val="nil"/>
          <w:bottom w:val="nil"/>
          <w:right w:val="nil"/>
          <w:between w:val="nil"/>
        </w:pBdr>
        <w:ind w:left="1134" w:right="902"/>
        <w:jc w:val="both"/>
        <w:rPr>
          <w:rFonts w:ascii="Palatino Linotype" w:eastAsia="Palatino Linotype" w:hAnsi="Palatino Linotype" w:cs="Palatino Linotype"/>
          <w:i/>
        </w:rPr>
      </w:pPr>
      <w:r w:rsidRPr="005534BD">
        <w:rPr>
          <w:rFonts w:ascii="Palatino Linotype" w:eastAsia="Palatino Linotype" w:hAnsi="Palatino Linotype" w:cs="Palatino Linotype"/>
          <w:b/>
          <w:i/>
        </w:rPr>
        <w:t>V</w:t>
      </w:r>
      <w:r w:rsidRPr="005534BD">
        <w:rPr>
          <w:rFonts w:ascii="Palatino Linotype" w:eastAsia="Palatino Linotype" w:hAnsi="Palatino Linotype" w:cs="Palatino Linotype"/>
          <w:i/>
        </w:rPr>
        <w:t xml:space="preserve">. La rúbrica o firma digital de cada integrante del Comité de Transparencia. </w:t>
      </w:r>
    </w:p>
    <w:p w14:paraId="011E2B4F" w14:textId="77777777" w:rsidR="0093756C" w:rsidRPr="005534BD" w:rsidRDefault="00752E30">
      <w:pPr>
        <w:pBdr>
          <w:top w:val="nil"/>
          <w:left w:val="nil"/>
          <w:bottom w:val="nil"/>
          <w:right w:val="nil"/>
          <w:between w:val="nil"/>
        </w:pBdr>
        <w:ind w:left="851" w:right="902"/>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D7027AC" w14:textId="77777777" w:rsidR="0093756C" w:rsidRPr="005534BD" w:rsidRDefault="00752E30">
      <w:pPr>
        <w:pBdr>
          <w:top w:val="nil"/>
          <w:left w:val="nil"/>
          <w:bottom w:val="nil"/>
          <w:right w:val="nil"/>
          <w:between w:val="nil"/>
        </w:pBdr>
        <w:ind w:left="1134" w:right="902"/>
        <w:jc w:val="both"/>
        <w:rPr>
          <w:rFonts w:ascii="Palatino Linotype" w:eastAsia="Palatino Linotype" w:hAnsi="Palatino Linotype" w:cs="Palatino Linotype"/>
          <w:i/>
        </w:rPr>
      </w:pPr>
      <w:r w:rsidRPr="005534BD">
        <w:rPr>
          <w:rFonts w:ascii="Palatino Linotype" w:eastAsia="Palatino Linotype" w:hAnsi="Palatino Linotype" w:cs="Palatino Linotype"/>
          <w:b/>
          <w:i/>
        </w:rPr>
        <w:t>I.</w:t>
      </w:r>
      <w:r w:rsidRPr="005534BD">
        <w:rPr>
          <w:rFonts w:ascii="Palatino Linotype" w:eastAsia="Palatino Linotype" w:hAnsi="Palatino Linotype" w:cs="Palatino Linotype"/>
          <w:i/>
        </w:rPr>
        <w:t xml:space="preserve"> Los motivos y razonamientos que sustenten la confirmación o modificación de la prueba de daño;</w:t>
      </w:r>
    </w:p>
    <w:p w14:paraId="52AEF79B" w14:textId="77777777" w:rsidR="0093756C" w:rsidRPr="005534BD" w:rsidRDefault="00752E30">
      <w:pPr>
        <w:pBdr>
          <w:top w:val="nil"/>
          <w:left w:val="nil"/>
          <w:bottom w:val="nil"/>
          <w:right w:val="nil"/>
          <w:between w:val="nil"/>
        </w:pBdr>
        <w:ind w:left="1134" w:right="902"/>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II</w:t>
      </w:r>
      <w:r w:rsidRPr="005534BD">
        <w:rPr>
          <w:rFonts w:ascii="Palatino Linotype" w:eastAsia="Palatino Linotype" w:hAnsi="Palatino Linotype" w:cs="Palatino Linotype"/>
          <w:i/>
        </w:rPr>
        <w:t>. Descripción de las partes o secciones reservadas, en caso de clasificación parcial</w:t>
      </w:r>
      <w:r w:rsidRPr="005534BD">
        <w:rPr>
          <w:rFonts w:ascii="Palatino Linotype" w:eastAsia="Palatino Linotype" w:hAnsi="Palatino Linotype" w:cs="Palatino Linotype"/>
          <w:b/>
          <w:i/>
        </w:rPr>
        <w:t xml:space="preserve">; </w:t>
      </w:r>
    </w:p>
    <w:p w14:paraId="1D5DDFEF" w14:textId="77777777" w:rsidR="0093756C" w:rsidRPr="005534BD" w:rsidRDefault="00752E30">
      <w:pPr>
        <w:pBdr>
          <w:top w:val="nil"/>
          <w:left w:val="nil"/>
          <w:bottom w:val="nil"/>
          <w:right w:val="nil"/>
          <w:between w:val="nil"/>
        </w:pBdr>
        <w:ind w:left="1134" w:right="902"/>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III.</w:t>
      </w:r>
      <w:r w:rsidRPr="005534BD">
        <w:rPr>
          <w:rFonts w:ascii="Palatino Linotype" w:eastAsia="Palatino Linotype" w:hAnsi="Palatino Linotype" w:cs="Palatino Linotype"/>
          <w:i/>
        </w:rPr>
        <w:t xml:space="preserve"> El periodo por el que mantendrá su clasificación y fecha de expiración; y </w:t>
      </w:r>
    </w:p>
    <w:p w14:paraId="35649982" w14:textId="77777777" w:rsidR="0093756C" w:rsidRPr="005534BD" w:rsidRDefault="00752E30">
      <w:pPr>
        <w:pBdr>
          <w:top w:val="nil"/>
          <w:left w:val="nil"/>
          <w:bottom w:val="nil"/>
          <w:right w:val="nil"/>
          <w:between w:val="nil"/>
        </w:pBdr>
        <w:ind w:left="1134" w:right="902"/>
        <w:jc w:val="both"/>
        <w:rPr>
          <w:rFonts w:ascii="Palatino Linotype" w:eastAsia="Palatino Linotype" w:hAnsi="Palatino Linotype" w:cs="Palatino Linotype"/>
          <w:i/>
        </w:rPr>
      </w:pPr>
      <w:r w:rsidRPr="005534BD">
        <w:rPr>
          <w:rFonts w:ascii="Palatino Linotype" w:eastAsia="Palatino Linotype" w:hAnsi="Palatino Linotype" w:cs="Palatino Linotype"/>
          <w:b/>
          <w:i/>
        </w:rPr>
        <w:t>IV.</w:t>
      </w:r>
      <w:r w:rsidRPr="005534BD">
        <w:rPr>
          <w:rFonts w:ascii="Palatino Linotype" w:eastAsia="Palatino Linotype" w:hAnsi="Palatino Linotype" w:cs="Palatino Linotype"/>
          <w:i/>
        </w:rPr>
        <w:t xml:space="preserve"> El nombre del titular y área encargada de realizar la versión pública del documento, en su caso. </w:t>
      </w:r>
    </w:p>
    <w:p w14:paraId="6F61E737" w14:textId="77777777" w:rsidR="0093756C" w:rsidRPr="005534BD" w:rsidRDefault="00752E30">
      <w:pPr>
        <w:pBdr>
          <w:top w:val="nil"/>
          <w:left w:val="nil"/>
          <w:bottom w:val="nil"/>
          <w:right w:val="nil"/>
          <w:between w:val="nil"/>
        </w:pBdr>
        <w:ind w:left="851" w:right="902"/>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9F024C4" w14:textId="77777777" w:rsidR="0093756C" w:rsidRPr="005534BD" w:rsidRDefault="00752E30">
      <w:pPr>
        <w:pBdr>
          <w:top w:val="nil"/>
          <w:left w:val="nil"/>
          <w:bottom w:val="nil"/>
          <w:right w:val="nil"/>
          <w:between w:val="nil"/>
        </w:pBdr>
        <w:ind w:left="851" w:right="902"/>
        <w:jc w:val="both"/>
        <w:rPr>
          <w:rFonts w:ascii="Palatino Linotype" w:eastAsia="Palatino Linotype" w:hAnsi="Palatino Linotype" w:cs="Palatino Linotype"/>
          <w:i/>
        </w:rPr>
      </w:pPr>
      <w:r w:rsidRPr="005534BD">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2CBF2961" w14:textId="77777777" w:rsidR="0093756C" w:rsidRPr="005534BD" w:rsidRDefault="00752E30">
      <w:pP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lastRenderedPageBreak/>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3CA32E3A"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r w:rsidRPr="005534BD">
        <w:rPr>
          <w:rFonts w:ascii="Palatino Linotype" w:eastAsia="Palatino Linotype" w:hAnsi="Palatino Linotype" w:cs="Palatino Linotype"/>
          <w:b/>
          <w:i/>
        </w:rPr>
        <w:t>Quincuagésimo segundo</w:t>
      </w:r>
      <w:r w:rsidRPr="005534BD">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B31458E"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0C46344D" w14:textId="77777777" w:rsidR="0093756C" w:rsidRPr="005534BD" w:rsidRDefault="00752E30">
      <w:pPr>
        <w:ind w:left="1134"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w:t>
      </w:r>
      <w:r w:rsidRPr="005534BD">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7C512E08" w14:textId="77777777" w:rsidR="0093756C" w:rsidRPr="005534BD" w:rsidRDefault="00752E30">
      <w:pPr>
        <w:ind w:left="1134"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w:t>
      </w:r>
      <w:r w:rsidRPr="005534BD">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515FF4B9" w14:textId="77777777" w:rsidR="0093756C" w:rsidRPr="005534BD" w:rsidRDefault="00752E30">
      <w:pPr>
        <w:ind w:left="1134"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III.</w:t>
      </w:r>
      <w:r w:rsidRPr="005534BD">
        <w:rPr>
          <w:rFonts w:ascii="Palatino Linotype" w:eastAsia="Palatino Linotype" w:hAnsi="Palatino Linotype" w:cs="Palatino Linotype"/>
          <w:i/>
        </w:rPr>
        <w:t xml:space="preserve"> Señalar las personas o instancias autorizadas a acceder a la información clasificada.</w:t>
      </w:r>
    </w:p>
    <w:p w14:paraId="693C34F2"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5C81CA7" w14:textId="77777777" w:rsidR="0093756C" w:rsidRPr="005534BD" w:rsidRDefault="00752E30">
      <w:pPr>
        <w:pBdr>
          <w:top w:val="nil"/>
          <w:left w:val="nil"/>
          <w:bottom w:val="nil"/>
          <w:right w:val="nil"/>
          <w:between w:val="nil"/>
        </w:pBd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w:t>
      </w:r>
    </w:p>
    <w:p w14:paraId="29000C5C" w14:textId="77777777" w:rsidR="0093756C" w:rsidRPr="005534BD" w:rsidRDefault="00752E30">
      <w:pPr>
        <w:pBdr>
          <w:top w:val="nil"/>
          <w:left w:val="nil"/>
          <w:bottom w:val="nil"/>
          <w:right w:val="nil"/>
          <w:between w:val="nil"/>
        </w:pBdr>
        <w:ind w:left="851" w:right="616"/>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 xml:space="preserve">Quincuagésimo cuarto. </w:t>
      </w:r>
      <w:r w:rsidRPr="005534BD">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534BD">
        <w:rPr>
          <w:rFonts w:ascii="Palatino Linotype" w:eastAsia="Palatino Linotype" w:hAnsi="Palatino Linotype" w:cs="Palatino Linotype"/>
          <w:b/>
          <w:i/>
        </w:rPr>
        <w:t xml:space="preserve"> </w:t>
      </w:r>
    </w:p>
    <w:p w14:paraId="01E6E929"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lastRenderedPageBreak/>
        <w:t xml:space="preserve">Quincuagésimo quinto. </w:t>
      </w:r>
      <w:r w:rsidRPr="005534BD">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5534BD">
        <w:rPr>
          <w:rFonts w:ascii="Palatino Linotype" w:eastAsia="Palatino Linotype" w:hAnsi="Palatino Linotype" w:cs="Palatino Linotype"/>
          <w:i/>
        </w:rPr>
        <w:t>testado</w:t>
      </w:r>
      <w:proofErr w:type="spellEnd"/>
      <w:r w:rsidRPr="005534BD">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28B852A" w14:textId="77777777" w:rsidR="0093756C" w:rsidRPr="005534BD" w:rsidRDefault="00752E30">
      <w:pPr>
        <w:ind w:left="851" w:right="616"/>
        <w:jc w:val="both"/>
        <w:rPr>
          <w:rFonts w:ascii="Palatino Linotype" w:eastAsia="Palatino Linotype" w:hAnsi="Palatino Linotype" w:cs="Palatino Linotype"/>
          <w:b/>
          <w:i/>
        </w:rPr>
      </w:pPr>
      <w:r w:rsidRPr="005534BD">
        <w:rPr>
          <w:rFonts w:ascii="Palatino Linotype" w:eastAsia="Palatino Linotype" w:hAnsi="Palatino Linotype" w:cs="Palatino Linotype"/>
          <w:b/>
          <w:i/>
        </w:rPr>
        <w:t>...</w:t>
      </w:r>
    </w:p>
    <w:p w14:paraId="0D8069BD"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Quincuagésimo séptimo</w:t>
      </w:r>
      <w:r w:rsidRPr="005534BD">
        <w:rPr>
          <w:rFonts w:ascii="Palatino Linotype" w:eastAsia="Palatino Linotype" w:hAnsi="Palatino Linotype" w:cs="Palatino Linotype"/>
          <w:i/>
        </w:rPr>
        <w:t xml:space="preserve">. Se considera, en principio, como información pública y no podrá omitirse de las versiones públicas la siguiente: </w:t>
      </w:r>
    </w:p>
    <w:p w14:paraId="12653B19" w14:textId="77777777" w:rsidR="0093756C" w:rsidRPr="005534BD" w:rsidRDefault="00752E30">
      <w:pPr>
        <w:ind w:left="1134"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w:t>
      </w:r>
      <w:r w:rsidRPr="005534BD">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098F3D7" w14:textId="77777777" w:rsidR="0093756C" w:rsidRPr="005534BD" w:rsidRDefault="00752E30">
      <w:pPr>
        <w:ind w:left="1134"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w:t>
      </w:r>
      <w:r w:rsidRPr="005534BD">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16CF5D12" w14:textId="77777777" w:rsidR="0093756C" w:rsidRPr="005534BD" w:rsidRDefault="00752E30">
      <w:pPr>
        <w:ind w:left="1134"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III</w:t>
      </w:r>
      <w:r w:rsidRPr="005534BD">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C322679"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AFACCDF" w14:textId="77777777" w:rsidR="0093756C" w:rsidRPr="005534BD" w:rsidRDefault="00752E30">
      <w:pPr>
        <w:ind w:left="851" w:right="616"/>
        <w:jc w:val="both"/>
        <w:rPr>
          <w:rFonts w:ascii="Palatino Linotype" w:eastAsia="Palatino Linotype" w:hAnsi="Palatino Linotype" w:cs="Palatino Linotype"/>
          <w:i/>
        </w:rPr>
      </w:pPr>
      <w:r w:rsidRPr="005534BD">
        <w:rPr>
          <w:rFonts w:ascii="Palatino Linotype" w:eastAsia="Palatino Linotype" w:hAnsi="Palatino Linotype" w:cs="Palatino Linotype"/>
          <w:b/>
          <w:i/>
        </w:rPr>
        <w:t>Quincuagésimo octavo</w:t>
      </w:r>
      <w:r w:rsidRPr="005534BD">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2292437B" w14:textId="77777777" w:rsidR="0093756C" w:rsidRPr="005534BD" w:rsidRDefault="00752E30">
      <w:pPr>
        <w:shd w:val="clear" w:color="auto" w:fill="FFFFFF"/>
        <w:spacing w:after="0" w:line="360" w:lineRule="auto"/>
        <w:ind w:right="51"/>
        <w:jc w:val="both"/>
        <w:rPr>
          <w:rFonts w:ascii="Palatino Linotype" w:eastAsia="Palatino Linotype" w:hAnsi="Palatino Linotype" w:cs="Palatino Linotype"/>
        </w:rPr>
      </w:pPr>
      <w:r w:rsidRPr="005534B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w:t>
      </w:r>
      <w:r w:rsidRPr="005534BD">
        <w:rPr>
          <w:rFonts w:ascii="Palatino Linotype" w:eastAsia="Palatino Linotype" w:hAnsi="Palatino Linotype" w:cs="Palatino Linotype"/>
        </w:rPr>
        <w:lastRenderedPageBreak/>
        <w:t xml:space="preserve">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5534BD">
        <w:rPr>
          <w:rFonts w:ascii="Palatino Linotype" w:eastAsia="Palatino Linotype" w:hAnsi="Palatino Linotype" w:cs="Palatino Linotype"/>
          <w:b/>
        </w:rPr>
        <w:t>Recurrente</w:t>
      </w:r>
      <w:r w:rsidRPr="005534BD">
        <w:rPr>
          <w:rFonts w:ascii="Palatino Linotype" w:eastAsia="Palatino Linotype" w:hAnsi="Palatino Linotype" w:cs="Palatino Linotype"/>
        </w:rPr>
        <w:t>.</w:t>
      </w:r>
    </w:p>
    <w:p w14:paraId="60338F90" w14:textId="77777777" w:rsidR="0093756C" w:rsidRPr="005534BD" w:rsidRDefault="00752E3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rPr>
        <w:t>Así, con fundamento en lo prescrito en los artículos 5 párrafos trigésimo séptimo, trigésimo octavo y trigésimo noveno, fracciones IV y V de la Constitución Política del Estado Libre y Soberano de México; 2, fracción II; 29, 36 fracciones I y II; 176, 178, 181, 185 y 186 fracción II de la Ley de Transparencia y Acceso a la Información Pública del Estado de México y Municipios, este Pleno:</w:t>
      </w:r>
    </w:p>
    <w:p w14:paraId="351764E6" w14:textId="77777777" w:rsidR="0093756C" w:rsidRPr="005534BD" w:rsidRDefault="00752E30">
      <w:pPr>
        <w:numPr>
          <w:ilvl w:val="0"/>
          <w:numId w:val="4"/>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5534BD">
        <w:rPr>
          <w:rFonts w:ascii="Palatino Linotype" w:eastAsia="Palatino Linotype" w:hAnsi="Palatino Linotype" w:cs="Palatino Linotype"/>
          <w:b/>
        </w:rPr>
        <w:t>R E S U E L V E:</w:t>
      </w:r>
    </w:p>
    <w:p w14:paraId="5D86A05F" w14:textId="77777777" w:rsidR="0093756C" w:rsidRPr="005534BD" w:rsidRDefault="0093756C">
      <w:pPr>
        <w:pBdr>
          <w:top w:val="nil"/>
          <w:left w:val="nil"/>
          <w:bottom w:val="nil"/>
          <w:right w:val="nil"/>
          <w:between w:val="nil"/>
        </w:pBdr>
        <w:spacing w:after="0" w:line="360" w:lineRule="auto"/>
        <w:ind w:left="1080"/>
        <w:rPr>
          <w:rFonts w:ascii="Palatino Linotype" w:eastAsia="Palatino Linotype" w:hAnsi="Palatino Linotype" w:cs="Palatino Linotype"/>
          <w:b/>
        </w:rPr>
      </w:pPr>
    </w:p>
    <w:p w14:paraId="10C34E08" w14:textId="77777777" w:rsidR="0093756C" w:rsidRPr="005534BD" w:rsidRDefault="00752E30">
      <w:pPr>
        <w:spacing w:after="0" w:line="360" w:lineRule="auto"/>
        <w:jc w:val="both"/>
        <w:rPr>
          <w:rFonts w:ascii="Palatino Linotype" w:eastAsia="Palatino Linotype" w:hAnsi="Palatino Linotype" w:cs="Palatino Linotype"/>
          <w:b/>
        </w:rPr>
      </w:pPr>
      <w:r w:rsidRPr="005534BD">
        <w:rPr>
          <w:rFonts w:ascii="Palatino Linotype" w:eastAsia="Palatino Linotype" w:hAnsi="Palatino Linotype" w:cs="Palatino Linotype"/>
          <w:b/>
        </w:rPr>
        <w:t xml:space="preserve">Primero. </w:t>
      </w:r>
      <w:r w:rsidRPr="005534BD">
        <w:rPr>
          <w:rFonts w:ascii="Palatino Linotype" w:eastAsia="Palatino Linotype" w:hAnsi="Palatino Linotype" w:cs="Palatino Linotype"/>
        </w:rPr>
        <w:t>Resultan</w:t>
      </w:r>
      <w:r w:rsidRPr="005534BD">
        <w:rPr>
          <w:rFonts w:ascii="Palatino Linotype" w:eastAsia="Palatino Linotype" w:hAnsi="Palatino Linotype" w:cs="Palatino Linotype"/>
          <w:b/>
        </w:rPr>
        <w:t xml:space="preserve"> fundados</w:t>
      </w:r>
      <w:r w:rsidRPr="005534BD">
        <w:rPr>
          <w:rFonts w:ascii="Palatino Linotype" w:eastAsia="Palatino Linotype" w:hAnsi="Palatino Linotype" w:cs="Palatino Linotype"/>
        </w:rPr>
        <w:t xml:space="preserve"> los motivos de inconformidad hechos valer por la parte </w:t>
      </w:r>
      <w:r w:rsidRPr="005534BD">
        <w:rPr>
          <w:rFonts w:ascii="Palatino Linotype" w:eastAsia="Palatino Linotype" w:hAnsi="Palatino Linotype" w:cs="Palatino Linotype"/>
          <w:b/>
        </w:rPr>
        <w:t xml:space="preserve">Recurrente </w:t>
      </w:r>
      <w:r w:rsidRPr="005534BD">
        <w:rPr>
          <w:rFonts w:ascii="Palatino Linotype" w:eastAsia="Palatino Linotype" w:hAnsi="Palatino Linotype" w:cs="Palatino Linotype"/>
        </w:rPr>
        <w:t xml:space="preserve">en los recursos de revisión </w:t>
      </w:r>
      <w:r w:rsidRPr="005534BD">
        <w:rPr>
          <w:rFonts w:ascii="Palatino Linotype" w:eastAsia="Palatino Linotype" w:hAnsi="Palatino Linotype" w:cs="Palatino Linotype"/>
          <w:b/>
        </w:rPr>
        <w:t xml:space="preserve">02524/INFOEM/IP/RR/2025 y 02525/INFOEM/IP/RR/2025 acumulados, </w:t>
      </w:r>
      <w:r w:rsidRPr="005534BD">
        <w:rPr>
          <w:rFonts w:ascii="Palatino Linotype" w:eastAsia="Palatino Linotype" w:hAnsi="Palatino Linotype" w:cs="Palatino Linotype"/>
        </w:rPr>
        <w:t xml:space="preserve">por lo que, en términos del Considerando </w:t>
      </w:r>
      <w:r w:rsidRPr="005534BD">
        <w:rPr>
          <w:rFonts w:ascii="Palatino Linotype" w:eastAsia="Palatino Linotype" w:hAnsi="Palatino Linotype" w:cs="Palatino Linotype"/>
          <w:b/>
        </w:rPr>
        <w:t>Cuarto</w:t>
      </w:r>
      <w:r w:rsidRPr="005534BD">
        <w:rPr>
          <w:rFonts w:ascii="Palatino Linotype" w:eastAsia="Palatino Linotype" w:hAnsi="Palatino Linotype" w:cs="Palatino Linotype"/>
        </w:rPr>
        <w:t xml:space="preserve"> de la presente resolución, se</w:t>
      </w:r>
      <w:r w:rsidRPr="005534BD">
        <w:rPr>
          <w:rFonts w:ascii="Palatino Linotype" w:eastAsia="Palatino Linotype" w:hAnsi="Palatino Linotype" w:cs="Palatino Linotype"/>
          <w:b/>
        </w:rPr>
        <w:t xml:space="preserve"> Revocan </w:t>
      </w:r>
      <w:r w:rsidRPr="005534BD">
        <w:rPr>
          <w:rFonts w:ascii="Palatino Linotype" w:eastAsia="Palatino Linotype" w:hAnsi="Palatino Linotype" w:cs="Palatino Linotype"/>
        </w:rPr>
        <w:t>las respuestas</w:t>
      </w:r>
      <w:r w:rsidRPr="005534BD">
        <w:rPr>
          <w:rFonts w:ascii="Palatino Linotype" w:eastAsia="Palatino Linotype" w:hAnsi="Palatino Linotype" w:cs="Palatino Linotype"/>
          <w:b/>
        </w:rPr>
        <w:t xml:space="preserve"> </w:t>
      </w:r>
      <w:r w:rsidRPr="005534BD">
        <w:rPr>
          <w:rFonts w:ascii="Palatino Linotype" w:eastAsia="Palatino Linotype" w:hAnsi="Palatino Linotype" w:cs="Palatino Linotype"/>
        </w:rPr>
        <w:t xml:space="preserve">del </w:t>
      </w:r>
      <w:r w:rsidRPr="005534BD">
        <w:rPr>
          <w:rFonts w:ascii="Palatino Linotype" w:eastAsia="Palatino Linotype" w:hAnsi="Palatino Linotype" w:cs="Palatino Linotype"/>
          <w:b/>
        </w:rPr>
        <w:t>Sujeto Obligado.</w:t>
      </w:r>
    </w:p>
    <w:p w14:paraId="2F954380" w14:textId="77777777" w:rsidR="0093756C" w:rsidRPr="005534BD" w:rsidRDefault="0093756C">
      <w:pPr>
        <w:spacing w:after="0" w:line="360" w:lineRule="auto"/>
        <w:jc w:val="both"/>
        <w:rPr>
          <w:rFonts w:ascii="Palatino Linotype" w:eastAsia="Palatino Linotype" w:hAnsi="Palatino Linotype" w:cs="Palatino Linotype"/>
          <w:b/>
        </w:rPr>
      </w:pPr>
    </w:p>
    <w:p w14:paraId="0C4B60FE" w14:textId="77777777" w:rsidR="0093756C" w:rsidRPr="005534BD" w:rsidRDefault="00752E30">
      <w:pPr>
        <w:spacing w:after="0" w:line="360" w:lineRule="auto"/>
        <w:jc w:val="both"/>
        <w:rPr>
          <w:rFonts w:ascii="Palatino Linotype" w:eastAsia="Palatino Linotype" w:hAnsi="Palatino Linotype" w:cs="Palatino Linotype"/>
        </w:rPr>
      </w:pPr>
      <w:bookmarkStart w:id="7" w:name="_heading=h.2et92p0" w:colFirst="0" w:colLast="0"/>
      <w:bookmarkEnd w:id="7"/>
      <w:r w:rsidRPr="005534BD">
        <w:rPr>
          <w:rFonts w:ascii="Palatino Linotype" w:eastAsia="Palatino Linotype" w:hAnsi="Palatino Linotype" w:cs="Palatino Linotype"/>
          <w:b/>
        </w:rPr>
        <w:t xml:space="preserve">Segundo. </w:t>
      </w:r>
      <w:r w:rsidRPr="005534BD">
        <w:rPr>
          <w:rFonts w:ascii="Palatino Linotype" w:eastAsia="Palatino Linotype" w:hAnsi="Palatino Linotype" w:cs="Palatino Linotype"/>
        </w:rPr>
        <w:t xml:space="preserve">Se </w:t>
      </w:r>
      <w:r w:rsidRPr="005534BD">
        <w:rPr>
          <w:rFonts w:ascii="Palatino Linotype" w:eastAsia="Palatino Linotype" w:hAnsi="Palatino Linotype" w:cs="Palatino Linotype"/>
          <w:b/>
        </w:rPr>
        <w:t>Ordena</w:t>
      </w:r>
      <w:r w:rsidRPr="005534BD">
        <w:rPr>
          <w:rFonts w:ascii="Palatino Linotype" w:eastAsia="Palatino Linotype" w:hAnsi="Palatino Linotype" w:cs="Palatino Linotype"/>
        </w:rPr>
        <w:t xml:space="preserve"> al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en términos de los Considerandos </w:t>
      </w:r>
      <w:r w:rsidRPr="005534BD">
        <w:rPr>
          <w:rFonts w:ascii="Palatino Linotype" w:eastAsia="Palatino Linotype" w:hAnsi="Palatino Linotype" w:cs="Palatino Linotype"/>
          <w:b/>
        </w:rPr>
        <w:t xml:space="preserve">Cuarto y Quinto </w:t>
      </w:r>
      <w:r w:rsidRPr="005534BD">
        <w:rPr>
          <w:rFonts w:ascii="Palatino Linotype" w:eastAsia="Palatino Linotype" w:hAnsi="Palatino Linotype" w:cs="Palatino Linotype"/>
        </w:rPr>
        <w:t xml:space="preserve">de esta resolución, </w:t>
      </w:r>
      <w:r w:rsidRPr="005534BD">
        <w:rPr>
          <w:rFonts w:ascii="Palatino Linotype" w:eastAsia="Palatino Linotype" w:hAnsi="Palatino Linotype" w:cs="Palatino Linotype"/>
          <w:b/>
        </w:rPr>
        <w:t xml:space="preserve">haga entrega vía Sistema de Acceso a la Información Mexiquense (SAIMEX), previa búsqueda exhaustiva y razonable, en versión pública, los documentos donde conste o se advierta </w:t>
      </w:r>
      <w:r w:rsidRPr="005534BD">
        <w:rPr>
          <w:rFonts w:ascii="Palatino Linotype" w:eastAsia="Palatino Linotype" w:hAnsi="Palatino Linotype" w:cs="Palatino Linotype"/>
        </w:rPr>
        <w:t xml:space="preserve">lo siguiente: </w:t>
      </w:r>
    </w:p>
    <w:p w14:paraId="42D49B6F" w14:textId="77777777" w:rsidR="0093756C" w:rsidRPr="005534BD" w:rsidRDefault="0093756C">
      <w:pPr>
        <w:spacing w:after="0" w:line="360" w:lineRule="auto"/>
        <w:jc w:val="both"/>
        <w:rPr>
          <w:rFonts w:ascii="Palatino Linotype" w:eastAsia="Palatino Linotype" w:hAnsi="Palatino Linotype" w:cs="Palatino Linotype"/>
        </w:rPr>
      </w:pPr>
    </w:p>
    <w:p w14:paraId="715BBCC6" w14:textId="77777777" w:rsidR="0093756C" w:rsidRPr="005534BD" w:rsidRDefault="00752E30">
      <w:pPr>
        <w:numPr>
          <w:ilvl w:val="0"/>
          <w:numId w:val="3"/>
        </w:numPr>
        <w:spacing w:after="0" w:line="360" w:lineRule="auto"/>
        <w:jc w:val="both"/>
        <w:rPr>
          <w:rFonts w:ascii="Palatino Linotype" w:eastAsia="Palatino Linotype" w:hAnsi="Palatino Linotype" w:cs="Palatino Linotype"/>
          <w:b/>
        </w:rPr>
      </w:pPr>
      <w:r w:rsidRPr="005534BD">
        <w:rPr>
          <w:rFonts w:ascii="Palatino Linotype" w:eastAsia="Palatino Linotype" w:hAnsi="Palatino Linotype" w:cs="Palatino Linotype"/>
          <w:b/>
        </w:rPr>
        <w:t>Los recibos por el pago de finiquitos efectuados en el ejercicio dos mil veinticuatro.</w:t>
      </w:r>
    </w:p>
    <w:p w14:paraId="6765F4C2" w14:textId="77777777" w:rsidR="0093756C" w:rsidRPr="005534BD" w:rsidRDefault="0093756C">
      <w:pPr>
        <w:spacing w:after="0" w:line="360" w:lineRule="auto"/>
        <w:jc w:val="both"/>
        <w:rPr>
          <w:rFonts w:ascii="Palatino Linotype" w:eastAsia="Palatino Linotype" w:hAnsi="Palatino Linotype" w:cs="Palatino Linotype"/>
        </w:rPr>
      </w:pPr>
    </w:p>
    <w:p w14:paraId="4D6BA7FE" w14:textId="77777777" w:rsidR="0093756C" w:rsidRPr="005534BD" w:rsidRDefault="00752E30">
      <w:pPr>
        <w:spacing w:after="0" w:line="360" w:lineRule="auto"/>
        <w:jc w:val="both"/>
        <w:rPr>
          <w:rFonts w:ascii="Palatino Linotype" w:eastAsia="Palatino Linotype" w:hAnsi="Palatino Linotype" w:cs="Palatino Linotype"/>
          <w:u w:val="single"/>
        </w:rPr>
      </w:pPr>
      <w:r w:rsidRPr="005534BD">
        <w:rPr>
          <w:rFonts w:ascii="Palatino Linotype" w:eastAsia="Palatino Linotype" w:hAnsi="Palatino Linotype" w:cs="Palatino Linotype"/>
          <w:u w:val="single"/>
        </w:rPr>
        <w:t>De los servidores públicos adscritos al Ayuntamiento de Ozumba:</w:t>
      </w:r>
    </w:p>
    <w:p w14:paraId="36189C3B" w14:textId="77777777" w:rsidR="0093756C" w:rsidRPr="005534BD" w:rsidRDefault="0093756C">
      <w:pPr>
        <w:spacing w:after="0" w:line="360" w:lineRule="auto"/>
        <w:jc w:val="both"/>
        <w:rPr>
          <w:rFonts w:ascii="Palatino Linotype" w:eastAsia="Palatino Linotype" w:hAnsi="Palatino Linotype" w:cs="Palatino Linotype"/>
        </w:rPr>
      </w:pPr>
    </w:p>
    <w:p w14:paraId="692E5EEB" w14:textId="77777777" w:rsidR="0093756C" w:rsidRPr="005534BD" w:rsidRDefault="00752E30">
      <w:pPr>
        <w:numPr>
          <w:ilvl w:val="0"/>
          <w:numId w:val="3"/>
        </w:numPr>
        <w:spacing w:after="0" w:line="360" w:lineRule="auto"/>
        <w:jc w:val="both"/>
        <w:rPr>
          <w:rFonts w:ascii="Palatino Linotype" w:eastAsia="Palatino Linotype" w:hAnsi="Palatino Linotype" w:cs="Palatino Linotype"/>
          <w:b/>
        </w:rPr>
      </w:pPr>
      <w:r w:rsidRPr="005534BD">
        <w:rPr>
          <w:rFonts w:ascii="Palatino Linotype" w:eastAsia="Palatino Linotype" w:hAnsi="Palatino Linotype" w:cs="Palatino Linotype"/>
          <w:b/>
        </w:rPr>
        <w:t>Los recibos de nómina de la primera y segunda quincena de diciembre de dos mil veinticuatro.</w:t>
      </w:r>
    </w:p>
    <w:p w14:paraId="32FC5542" w14:textId="77777777" w:rsidR="0093756C" w:rsidRPr="005534BD" w:rsidRDefault="0093756C">
      <w:pPr>
        <w:spacing w:after="0" w:line="360" w:lineRule="auto"/>
        <w:ind w:left="360"/>
        <w:jc w:val="both"/>
        <w:rPr>
          <w:rFonts w:ascii="Palatino Linotype" w:eastAsia="Palatino Linotype" w:hAnsi="Palatino Linotype" w:cs="Palatino Linotype"/>
          <w:b/>
          <w:sz w:val="10"/>
          <w:szCs w:val="10"/>
        </w:rPr>
      </w:pPr>
    </w:p>
    <w:p w14:paraId="155F906F" w14:textId="77777777" w:rsidR="0093756C" w:rsidRPr="005534BD" w:rsidRDefault="00752E30">
      <w:pPr>
        <w:numPr>
          <w:ilvl w:val="0"/>
          <w:numId w:val="3"/>
        </w:numPr>
        <w:spacing w:after="0" w:line="360" w:lineRule="auto"/>
        <w:jc w:val="both"/>
        <w:rPr>
          <w:rFonts w:ascii="Palatino Linotype" w:eastAsia="Palatino Linotype" w:hAnsi="Palatino Linotype" w:cs="Palatino Linotype"/>
          <w:b/>
        </w:rPr>
      </w:pPr>
      <w:r w:rsidRPr="005534BD">
        <w:rPr>
          <w:rFonts w:ascii="Palatino Linotype" w:eastAsia="Palatino Linotype" w:hAnsi="Palatino Linotype" w:cs="Palatino Linotype"/>
          <w:b/>
        </w:rPr>
        <w:t>Los recibos por el pago de prima vacacional y aguinaldo de dos mil veinticuatro.</w:t>
      </w:r>
    </w:p>
    <w:p w14:paraId="0E34A26E" w14:textId="77777777" w:rsidR="0093756C" w:rsidRPr="005534BD" w:rsidRDefault="0093756C">
      <w:pPr>
        <w:pBdr>
          <w:top w:val="nil"/>
          <w:left w:val="nil"/>
          <w:bottom w:val="nil"/>
          <w:right w:val="nil"/>
          <w:between w:val="nil"/>
        </w:pBdr>
        <w:ind w:left="720"/>
        <w:rPr>
          <w:rFonts w:ascii="Palatino Linotype" w:eastAsia="Palatino Linotype" w:hAnsi="Palatino Linotype" w:cs="Palatino Linotype"/>
          <w:b/>
          <w:sz w:val="2"/>
          <w:szCs w:val="2"/>
        </w:rPr>
      </w:pPr>
    </w:p>
    <w:p w14:paraId="144820F8" w14:textId="77777777" w:rsidR="0093756C" w:rsidRPr="005534BD" w:rsidRDefault="00752E30">
      <w:pPr>
        <w:numPr>
          <w:ilvl w:val="0"/>
          <w:numId w:val="3"/>
        </w:numPr>
        <w:spacing w:after="0" w:line="360" w:lineRule="auto"/>
        <w:jc w:val="both"/>
        <w:rPr>
          <w:rFonts w:ascii="Palatino Linotype" w:eastAsia="Palatino Linotype" w:hAnsi="Palatino Linotype" w:cs="Palatino Linotype"/>
          <w:b/>
        </w:rPr>
      </w:pPr>
      <w:bookmarkStart w:id="8" w:name="_heading=h.nzvmjqj5ji7d" w:colFirst="0" w:colLast="0"/>
      <w:bookmarkEnd w:id="8"/>
      <w:r w:rsidRPr="005534BD">
        <w:rPr>
          <w:rFonts w:ascii="Palatino Linotype" w:eastAsia="Palatino Linotype" w:hAnsi="Palatino Linotype" w:cs="Palatino Linotype"/>
          <w:b/>
        </w:rPr>
        <w:t>Los recibos de nómina de la primera quincena de enero de dos mil veinticinco.</w:t>
      </w:r>
    </w:p>
    <w:p w14:paraId="2E2576C1" w14:textId="77777777" w:rsidR="0093756C" w:rsidRPr="005534BD" w:rsidRDefault="00752E30">
      <w:pPr>
        <w:pBdr>
          <w:top w:val="nil"/>
          <w:left w:val="nil"/>
          <w:bottom w:val="nil"/>
          <w:right w:val="nil"/>
          <w:between w:val="nil"/>
        </w:pBdr>
        <w:spacing w:after="0"/>
        <w:ind w:left="284" w:right="49"/>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5534BD">
        <w:rPr>
          <w:rFonts w:ascii="Palatino Linotype" w:eastAsia="Palatino Linotype" w:hAnsi="Palatino Linotype" w:cs="Palatino Linotype"/>
          <w:b/>
          <w:i/>
        </w:rPr>
        <w:t>la parte Recurrente</w:t>
      </w:r>
      <w:r w:rsidRPr="005534BD">
        <w:rPr>
          <w:rFonts w:ascii="Palatino Linotype" w:eastAsia="Palatino Linotype" w:hAnsi="Palatino Linotype" w:cs="Palatino Linotype"/>
          <w:i/>
        </w:rPr>
        <w:t>, mismo que igualmente hará de su conocimiento.</w:t>
      </w:r>
    </w:p>
    <w:p w14:paraId="6E49877A" w14:textId="77777777" w:rsidR="0093756C" w:rsidRPr="005534BD" w:rsidRDefault="0093756C">
      <w:pPr>
        <w:pBdr>
          <w:top w:val="nil"/>
          <w:left w:val="nil"/>
          <w:bottom w:val="nil"/>
          <w:right w:val="nil"/>
          <w:between w:val="nil"/>
        </w:pBdr>
        <w:spacing w:after="0"/>
        <w:ind w:left="284" w:right="49"/>
        <w:jc w:val="both"/>
        <w:rPr>
          <w:rFonts w:ascii="Palatino Linotype" w:eastAsia="Palatino Linotype" w:hAnsi="Palatino Linotype" w:cs="Palatino Linotype"/>
          <w:i/>
        </w:rPr>
      </w:pPr>
    </w:p>
    <w:p w14:paraId="15DF4A76" w14:textId="77777777" w:rsidR="0093756C" w:rsidRPr="005534BD" w:rsidRDefault="00752E30">
      <w:pPr>
        <w:pBdr>
          <w:top w:val="nil"/>
          <w:left w:val="nil"/>
          <w:bottom w:val="nil"/>
          <w:right w:val="nil"/>
          <w:between w:val="nil"/>
        </w:pBdr>
        <w:spacing w:after="0"/>
        <w:ind w:left="284" w:right="49"/>
        <w:jc w:val="both"/>
        <w:rPr>
          <w:rFonts w:ascii="Palatino Linotype" w:eastAsia="Palatino Linotype" w:hAnsi="Palatino Linotype" w:cs="Palatino Linotype"/>
          <w:i/>
        </w:rPr>
      </w:pPr>
      <w:r w:rsidRPr="005534BD">
        <w:rPr>
          <w:rFonts w:ascii="Palatino Linotype" w:eastAsia="Palatino Linotype" w:hAnsi="Palatino Linotype" w:cs="Palatino Linotype"/>
          <w:i/>
        </w:rPr>
        <w:t xml:space="preserve">Para el caso de que no se llegará a generar, administrar y/o poseer la información que se ordena en el </w:t>
      </w:r>
      <w:r w:rsidRPr="005534BD">
        <w:rPr>
          <w:rFonts w:ascii="Palatino Linotype" w:eastAsia="Palatino Linotype" w:hAnsi="Palatino Linotype" w:cs="Palatino Linotype"/>
          <w:b/>
          <w:i/>
          <w:u w:val="single"/>
        </w:rPr>
        <w:t>punto 1,</w:t>
      </w:r>
      <w:r w:rsidRPr="005534BD">
        <w:rPr>
          <w:rFonts w:ascii="Palatino Linotype" w:eastAsia="Palatino Linotype" w:hAnsi="Palatino Linotype" w:cs="Palatino Linotype"/>
          <w:i/>
        </w:rPr>
        <w:t xml:space="preserve"> </w:t>
      </w:r>
      <w:r w:rsidRPr="005534BD">
        <w:rPr>
          <w:rFonts w:ascii="Palatino Linotype" w:eastAsia="Palatino Linotype" w:hAnsi="Palatino Linotype" w:cs="Palatino Linotype"/>
          <w:b/>
          <w:i/>
          <w:u w:val="single"/>
        </w:rPr>
        <w:t xml:space="preserve">al no haber efectuado el pago de algún finiquito en el ejercicio dos mil veinticuatro, </w:t>
      </w:r>
      <w:r w:rsidRPr="005534BD">
        <w:rPr>
          <w:rFonts w:ascii="Palatino Linotype" w:eastAsia="Palatino Linotype" w:hAnsi="Palatino Linotype" w:cs="Palatino Linotype"/>
          <w:i/>
        </w:rPr>
        <w:t xml:space="preserve">bastará con que así se haga del conocimiento de la parte </w:t>
      </w:r>
      <w:r w:rsidRPr="005534BD">
        <w:rPr>
          <w:rFonts w:ascii="Palatino Linotype" w:eastAsia="Palatino Linotype" w:hAnsi="Palatino Linotype" w:cs="Palatino Linotype"/>
          <w:b/>
          <w:i/>
        </w:rPr>
        <w:t>Recurrente</w:t>
      </w:r>
      <w:r w:rsidRPr="005534BD">
        <w:rPr>
          <w:rFonts w:ascii="Palatino Linotype" w:eastAsia="Palatino Linotype" w:hAnsi="Palatino Linotype" w:cs="Palatino Linotype"/>
          <w:i/>
        </w:rPr>
        <w:t xml:space="preserve"> para tener por colmado su derecho de acceso a la información, en términos de lo dispuesto por el artículo 19, párrafo segundo de la Ley de Transparencia y Acceso a la Información Pública del Estado de México y Municipios.</w:t>
      </w:r>
    </w:p>
    <w:p w14:paraId="32383D27" w14:textId="77777777" w:rsidR="0093756C" w:rsidRPr="005534BD" w:rsidRDefault="0093756C">
      <w:pPr>
        <w:pBdr>
          <w:top w:val="nil"/>
          <w:left w:val="nil"/>
          <w:bottom w:val="nil"/>
          <w:right w:val="nil"/>
          <w:between w:val="nil"/>
        </w:pBdr>
        <w:spacing w:after="0"/>
        <w:ind w:left="284" w:right="49"/>
        <w:jc w:val="both"/>
        <w:rPr>
          <w:rFonts w:ascii="Palatino Linotype" w:eastAsia="Palatino Linotype" w:hAnsi="Palatino Linotype" w:cs="Palatino Linotype"/>
          <w:i/>
        </w:rPr>
      </w:pPr>
    </w:p>
    <w:p w14:paraId="328EC20F" w14:textId="77777777" w:rsidR="0093756C" w:rsidRPr="005534BD" w:rsidRDefault="00752E30">
      <w:pPr>
        <w:spacing w:after="0" w:line="360" w:lineRule="auto"/>
        <w:jc w:val="both"/>
        <w:rPr>
          <w:rFonts w:ascii="Palatino Linotype" w:eastAsia="Palatino Linotype" w:hAnsi="Palatino Linotype" w:cs="Palatino Linotype"/>
        </w:rPr>
      </w:pPr>
      <w:r w:rsidRPr="005534BD">
        <w:rPr>
          <w:rFonts w:ascii="Palatino Linotype" w:eastAsia="Palatino Linotype" w:hAnsi="Palatino Linotype" w:cs="Palatino Linotype"/>
          <w:b/>
        </w:rPr>
        <w:t xml:space="preserve">Tercero. Notifíquese, </w:t>
      </w:r>
      <w:r w:rsidRPr="005534BD">
        <w:rPr>
          <w:rFonts w:ascii="Palatino Linotype" w:eastAsia="Palatino Linotype" w:hAnsi="Palatino Linotype" w:cs="Palatino Linotype"/>
        </w:rPr>
        <w:t xml:space="preserve">vía </w:t>
      </w:r>
      <w:r w:rsidRPr="005534BD">
        <w:rPr>
          <w:rFonts w:ascii="Palatino Linotype" w:eastAsia="Palatino Linotype" w:hAnsi="Palatino Linotype" w:cs="Palatino Linotype"/>
          <w:b/>
        </w:rPr>
        <w:t>SAIMEX</w:t>
      </w:r>
      <w:r w:rsidRPr="005534BD">
        <w:rPr>
          <w:rFonts w:ascii="Palatino Linotype" w:eastAsia="Palatino Linotype" w:hAnsi="Palatino Linotype" w:cs="Palatino Linotype"/>
        </w:rPr>
        <w:t xml:space="preserve">, al Titular de la Unidad de Transparencia del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5534BD">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14:paraId="29B77877" w14:textId="77777777" w:rsidR="0093756C" w:rsidRPr="005534BD" w:rsidRDefault="0093756C">
      <w:pPr>
        <w:spacing w:after="0" w:line="360" w:lineRule="auto"/>
        <w:jc w:val="both"/>
        <w:rPr>
          <w:rFonts w:ascii="Palatino Linotype" w:eastAsia="Palatino Linotype" w:hAnsi="Palatino Linotype" w:cs="Palatino Linotype"/>
        </w:rPr>
      </w:pPr>
    </w:p>
    <w:p w14:paraId="7E953DDA" w14:textId="77777777" w:rsidR="0093756C" w:rsidRPr="005534BD" w:rsidRDefault="00752E30">
      <w:pPr>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b/>
        </w:rPr>
        <w:t>Cuarto.</w:t>
      </w:r>
      <w:r w:rsidRPr="005534BD">
        <w:rPr>
          <w:rFonts w:ascii="Palatino Linotype" w:eastAsia="Palatino Linotype" w:hAnsi="Palatino Linotype" w:cs="Palatino Linotype"/>
        </w:rPr>
        <w:t xml:space="preserve"> </w:t>
      </w:r>
      <w:r w:rsidRPr="005534BD">
        <w:rPr>
          <w:rFonts w:ascii="Palatino Linotype" w:eastAsia="Palatino Linotype" w:hAnsi="Palatino Linotype" w:cs="Palatino Linotype"/>
          <w:b/>
        </w:rPr>
        <w:t xml:space="preserve">Notifíquese </w:t>
      </w:r>
      <w:r w:rsidRPr="005534BD">
        <w:rPr>
          <w:rFonts w:ascii="Palatino Linotype" w:eastAsia="Palatino Linotype" w:hAnsi="Palatino Linotype" w:cs="Palatino Linotype"/>
        </w:rPr>
        <w:t>vía SAIMEX</w:t>
      </w:r>
      <w:r w:rsidRPr="005534BD">
        <w:rPr>
          <w:rFonts w:ascii="Palatino Linotype" w:eastAsia="Palatino Linotype" w:hAnsi="Palatino Linotype" w:cs="Palatino Linotype"/>
          <w:b/>
        </w:rPr>
        <w:t xml:space="preserve">, </w:t>
      </w:r>
      <w:r w:rsidRPr="005534BD">
        <w:rPr>
          <w:rFonts w:ascii="Palatino Linotype" w:eastAsia="Palatino Linotype" w:hAnsi="Palatino Linotype" w:cs="Palatino Linotype"/>
        </w:rPr>
        <w:t xml:space="preserve">que de conformidad con el artículo 198 de la Ley de Transparencia y Acceso a la Información Pública del Estado de México y Municipios, de considerarlo procedente, el </w:t>
      </w:r>
      <w:r w:rsidRPr="005534BD">
        <w:rPr>
          <w:rFonts w:ascii="Palatino Linotype" w:eastAsia="Palatino Linotype" w:hAnsi="Palatino Linotype" w:cs="Palatino Linotype"/>
          <w:b/>
        </w:rPr>
        <w:t>Sujeto Obligado</w:t>
      </w:r>
      <w:r w:rsidRPr="005534BD">
        <w:rPr>
          <w:rFonts w:ascii="Palatino Linotype" w:eastAsia="Palatino Linotype" w:hAnsi="Palatino Linotype" w:cs="Palatino Linotype"/>
        </w:rPr>
        <w:t xml:space="preserve"> de manera fundada y motivada, podrá solicitar una ampliación de plazo para el cumplimiento de la presente resolución.</w:t>
      </w:r>
    </w:p>
    <w:p w14:paraId="3E72BF1E" w14:textId="77777777" w:rsidR="0093756C" w:rsidRPr="005534BD" w:rsidRDefault="0093756C">
      <w:pPr>
        <w:spacing w:after="0" w:line="360" w:lineRule="auto"/>
        <w:ind w:right="49"/>
        <w:jc w:val="both"/>
        <w:rPr>
          <w:rFonts w:ascii="Palatino Linotype" w:eastAsia="Palatino Linotype" w:hAnsi="Palatino Linotype" w:cs="Palatino Linotype"/>
        </w:rPr>
      </w:pPr>
    </w:p>
    <w:p w14:paraId="531AC387" w14:textId="77777777" w:rsidR="0093756C" w:rsidRPr="005534BD" w:rsidRDefault="00752E30">
      <w:pPr>
        <w:spacing w:after="0" w:line="360" w:lineRule="auto"/>
        <w:ind w:right="49"/>
        <w:jc w:val="both"/>
        <w:rPr>
          <w:rFonts w:ascii="Palatino Linotype" w:eastAsia="Palatino Linotype" w:hAnsi="Palatino Linotype" w:cs="Palatino Linotype"/>
        </w:rPr>
      </w:pPr>
      <w:r w:rsidRPr="005534BD">
        <w:rPr>
          <w:rFonts w:ascii="Palatino Linotype" w:eastAsia="Palatino Linotype" w:hAnsi="Palatino Linotype" w:cs="Palatino Linotype"/>
          <w:b/>
        </w:rPr>
        <w:t xml:space="preserve">Quinto. Notifíquese </w:t>
      </w:r>
      <w:r w:rsidRPr="005534BD">
        <w:rPr>
          <w:rFonts w:ascii="Palatino Linotype" w:eastAsia="Palatino Linotype" w:hAnsi="Palatino Linotype" w:cs="Palatino Linotype"/>
        </w:rPr>
        <w:t>vía SAIMEX</w:t>
      </w:r>
      <w:r w:rsidRPr="005534BD">
        <w:rPr>
          <w:rFonts w:ascii="Palatino Linotype" w:eastAsia="Palatino Linotype" w:hAnsi="Palatino Linotype" w:cs="Palatino Linotype"/>
          <w:b/>
        </w:rPr>
        <w:t xml:space="preserve">, </w:t>
      </w:r>
      <w:r w:rsidRPr="005534BD">
        <w:rPr>
          <w:rFonts w:ascii="Palatino Linotype" w:eastAsia="Palatino Linotype" w:hAnsi="Palatino Linotype" w:cs="Palatino Linotype"/>
        </w:rPr>
        <w:t xml:space="preserve">la presente resolución a la parte </w:t>
      </w:r>
      <w:r w:rsidRPr="005534BD">
        <w:rPr>
          <w:rFonts w:ascii="Palatino Linotype" w:eastAsia="Palatino Linotype" w:hAnsi="Palatino Linotype" w:cs="Palatino Linotype"/>
          <w:b/>
        </w:rPr>
        <w:t>Recurrente</w:t>
      </w:r>
      <w:r w:rsidRPr="005534BD">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4CC05E2" w14:textId="77777777" w:rsidR="0093756C" w:rsidRPr="005534BD" w:rsidRDefault="0093756C">
      <w:pPr>
        <w:spacing w:after="0" w:line="360" w:lineRule="auto"/>
        <w:ind w:right="49"/>
        <w:jc w:val="both"/>
        <w:rPr>
          <w:rFonts w:ascii="Palatino Linotype" w:eastAsia="Palatino Linotype" w:hAnsi="Palatino Linotype" w:cs="Palatino Linotype"/>
        </w:rPr>
      </w:pPr>
    </w:p>
    <w:p w14:paraId="620A81E5" w14:textId="77777777" w:rsidR="0093756C" w:rsidRPr="003E420A" w:rsidRDefault="00752E30">
      <w:pPr>
        <w:spacing w:line="360" w:lineRule="auto"/>
        <w:jc w:val="both"/>
        <w:rPr>
          <w:rFonts w:ascii="Palatino Linotype" w:eastAsia="Palatino Linotype" w:hAnsi="Palatino Linotype" w:cs="Palatino Linotype"/>
        </w:rPr>
      </w:pPr>
      <w:bookmarkStart w:id="9" w:name="_heading=h.j4iookh3ugey" w:colFirst="0" w:colLast="0"/>
      <w:bookmarkEnd w:id="9"/>
      <w:r w:rsidRPr="005534B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002F2" w:rsidRPr="005534BD">
        <w:rPr>
          <w:rFonts w:ascii="Palatino Linotype" w:eastAsia="Palatino Linotype" w:hAnsi="Palatino Linotype" w:cs="Palatino Linotype"/>
        </w:rPr>
        <w:t xml:space="preserve"> (EMITIENDO VOTO PARTICULAR)</w:t>
      </w:r>
      <w:r w:rsidRPr="005534BD">
        <w:rPr>
          <w:rFonts w:ascii="Palatino Linotype" w:eastAsia="Palatino Linotype" w:hAnsi="Palatino Linotype" w:cs="Palatino Linotype"/>
        </w:rPr>
        <w:t xml:space="preserve"> Y GUADALUPE RAMÍREZ PEÑA</w:t>
      </w:r>
      <w:r w:rsidR="004002F2" w:rsidRPr="005534BD">
        <w:rPr>
          <w:rFonts w:ascii="Palatino Linotype" w:eastAsia="Palatino Linotype" w:hAnsi="Palatino Linotype" w:cs="Palatino Linotype"/>
        </w:rPr>
        <w:t xml:space="preserve"> (EMITIENDO VOTO PARTICULAR)</w:t>
      </w:r>
      <w:r w:rsidRPr="005534BD">
        <w:rPr>
          <w:rFonts w:ascii="Palatino Linotype" w:eastAsia="Palatino Linotype" w:hAnsi="Palatino Linotype" w:cs="Palatino Linotype"/>
        </w:rPr>
        <w:t>; EN LA DÉCIMA SÉPTIMA SESIÓN ORDINARIA, CELEBRADA EL CATORCE DE MAYO DE DOS MIL VEINTICINCO, ANTE EL SECRETARIO TÉCNICO DEL PLENO ALEXIS TAPIA RAMÍREZ.</w:t>
      </w:r>
      <w:r w:rsidRPr="003E420A">
        <w:rPr>
          <w:rFonts w:ascii="Palatino Linotype" w:eastAsia="Palatino Linotype" w:hAnsi="Palatino Linotype" w:cs="Palatino Linotype"/>
        </w:rPr>
        <w:t xml:space="preserve"> </w:t>
      </w:r>
    </w:p>
    <w:p w14:paraId="48262361"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A281D5F"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FFBBD3F"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2797FDEB"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CF4E6BB"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2A445CEA"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BAD53B4"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370D9EF"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B6592D7"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2BF4D54"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0062F84"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8597D93"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C3337BA"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3EDC6CF"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3F0A22E"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18A9447"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C675244"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2CBD8D0"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14982CC"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C2BA0C8"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0C3D5E0"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3F0B535"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464B35B" w14:textId="77777777" w:rsidR="0093756C" w:rsidRPr="003E420A" w:rsidRDefault="0093756C">
      <w:pPr>
        <w:pBdr>
          <w:top w:val="nil"/>
          <w:left w:val="nil"/>
          <w:bottom w:val="nil"/>
          <w:right w:val="nil"/>
          <w:between w:val="nil"/>
        </w:pBdr>
        <w:spacing w:after="0" w:line="360" w:lineRule="auto"/>
        <w:jc w:val="both"/>
        <w:rPr>
          <w:rFonts w:ascii="Palatino Linotype" w:eastAsia="Palatino Linotype" w:hAnsi="Palatino Linotype" w:cs="Palatino Linotype"/>
          <w:b/>
        </w:rPr>
      </w:pPr>
    </w:p>
    <w:sectPr w:rsidR="0093756C" w:rsidRPr="003E420A">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3A2F" w14:textId="77777777" w:rsidR="003510CC" w:rsidRDefault="003510CC">
      <w:pPr>
        <w:spacing w:after="0" w:line="240" w:lineRule="auto"/>
      </w:pPr>
      <w:r>
        <w:separator/>
      </w:r>
    </w:p>
  </w:endnote>
  <w:endnote w:type="continuationSeparator" w:id="0">
    <w:p w14:paraId="687A514A" w14:textId="77777777" w:rsidR="003510CC" w:rsidRDefault="0035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B68D" w14:textId="77777777" w:rsidR="0093756C" w:rsidRDefault="00752E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534BD">
      <w:rPr>
        <w:b/>
        <w:noProof/>
        <w:color w:val="000000"/>
        <w:sz w:val="24"/>
        <w:szCs w:val="24"/>
      </w:rPr>
      <w:t>61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534BD">
      <w:rPr>
        <w:b/>
        <w:noProof/>
        <w:color w:val="000000"/>
        <w:sz w:val="24"/>
        <w:szCs w:val="24"/>
      </w:rPr>
      <w:t>61</w:t>
    </w:r>
    <w:r>
      <w:rPr>
        <w:b/>
        <w:color w:val="000000"/>
        <w:sz w:val="24"/>
        <w:szCs w:val="24"/>
      </w:rPr>
      <w:fldChar w:fldCharType="end"/>
    </w:r>
  </w:p>
  <w:p w14:paraId="5CB62CC4" w14:textId="77777777" w:rsidR="0093756C" w:rsidRDefault="0093756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D69D" w14:textId="77777777" w:rsidR="0093756C" w:rsidRDefault="00752E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534B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534BD">
      <w:rPr>
        <w:b/>
        <w:noProof/>
        <w:color w:val="000000"/>
        <w:sz w:val="24"/>
        <w:szCs w:val="24"/>
      </w:rPr>
      <w:t>61</w:t>
    </w:r>
    <w:r>
      <w:rPr>
        <w:b/>
        <w:color w:val="000000"/>
        <w:sz w:val="24"/>
        <w:szCs w:val="24"/>
      </w:rPr>
      <w:fldChar w:fldCharType="end"/>
    </w:r>
  </w:p>
  <w:p w14:paraId="513D0BD7" w14:textId="77777777" w:rsidR="0093756C" w:rsidRDefault="0093756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46F1" w14:textId="77777777" w:rsidR="003510CC" w:rsidRDefault="003510CC">
      <w:pPr>
        <w:spacing w:after="0" w:line="240" w:lineRule="auto"/>
      </w:pPr>
      <w:r>
        <w:separator/>
      </w:r>
    </w:p>
  </w:footnote>
  <w:footnote w:type="continuationSeparator" w:id="0">
    <w:p w14:paraId="5E7026E3" w14:textId="77777777" w:rsidR="003510CC" w:rsidRDefault="003510CC">
      <w:pPr>
        <w:spacing w:after="0" w:line="240" w:lineRule="auto"/>
      </w:pPr>
      <w:r>
        <w:continuationSeparator/>
      </w:r>
    </w:p>
  </w:footnote>
  <w:footnote w:id="1">
    <w:p w14:paraId="36ED4363" w14:textId="77777777" w:rsidR="0093756C" w:rsidRDefault="00752E3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73F0E85" w14:textId="77777777" w:rsidR="0093756C" w:rsidRDefault="00752E3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91CF130" w14:textId="77777777" w:rsidR="0093756C" w:rsidRDefault="00752E3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65D955B" w14:textId="77777777" w:rsidR="0093756C" w:rsidRDefault="00752E3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0F379283" w14:textId="77777777" w:rsidR="0093756C" w:rsidRDefault="00752E30">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3903" w14:textId="77777777" w:rsidR="0093756C" w:rsidRDefault="00752E30">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59664279" wp14:editId="4310F3D9">
          <wp:simplePos x="0" y="0"/>
          <wp:positionH relativeFrom="column">
            <wp:posOffset>-717542</wp:posOffset>
          </wp:positionH>
          <wp:positionV relativeFrom="paragraph">
            <wp:posOffset>-250181</wp:posOffset>
          </wp:positionV>
          <wp:extent cx="7809876" cy="10165823"/>
          <wp:effectExtent l="0" t="0" r="0" b="0"/>
          <wp:wrapNone/>
          <wp:docPr id="19520825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7"/>
      <w:tblW w:w="5603" w:type="dxa"/>
      <w:tblInd w:w="3611" w:type="dxa"/>
      <w:tblLayout w:type="fixed"/>
      <w:tblLook w:val="0400" w:firstRow="0" w:lastRow="0" w:firstColumn="0" w:lastColumn="0" w:noHBand="0" w:noVBand="1"/>
    </w:tblPr>
    <w:tblGrid>
      <w:gridCol w:w="2551"/>
      <w:gridCol w:w="3052"/>
    </w:tblGrid>
    <w:tr w:rsidR="0093756C" w14:paraId="241BF389" w14:textId="77777777">
      <w:tc>
        <w:tcPr>
          <w:tcW w:w="2551" w:type="dxa"/>
          <w:vAlign w:val="center"/>
        </w:tcPr>
        <w:p w14:paraId="4AE0E3BC" w14:textId="77777777" w:rsidR="0093756C" w:rsidRDefault="00752E3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308D6D41" w14:textId="77777777" w:rsidR="0093756C" w:rsidRDefault="009375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3CA514CE" w14:textId="77777777" w:rsidR="0093756C" w:rsidRDefault="00752E3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02524/INFOEM/IP/RR/2025 y acumulado</w:t>
          </w:r>
        </w:p>
      </w:tc>
    </w:tr>
    <w:tr w:rsidR="0093756C" w14:paraId="59508FEB" w14:textId="77777777">
      <w:trPr>
        <w:trHeight w:val="217"/>
      </w:trPr>
      <w:tc>
        <w:tcPr>
          <w:tcW w:w="2551" w:type="dxa"/>
          <w:vAlign w:val="center"/>
        </w:tcPr>
        <w:p w14:paraId="5F5A9A4C" w14:textId="77777777" w:rsidR="0093756C" w:rsidRDefault="00752E3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DE330C" w14:textId="77777777" w:rsidR="0093756C" w:rsidRDefault="009375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34591A3E" w14:textId="77777777" w:rsidR="0093756C" w:rsidRDefault="00752E30">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Ozumba</w:t>
          </w:r>
        </w:p>
      </w:tc>
    </w:tr>
    <w:tr w:rsidR="0093756C" w14:paraId="393CE1FB" w14:textId="77777777">
      <w:tc>
        <w:tcPr>
          <w:tcW w:w="2551" w:type="dxa"/>
          <w:vAlign w:val="center"/>
        </w:tcPr>
        <w:p w14:paraId="02AE0A95" w14:textId="77777777" w:rsidR="0093756C" w:rsidRDefault="00752E3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9D8B24B" w14:textId="77777777" w:rsidR="0093756C" w:rsidRDefault="00752E3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B638E4" w14:textId="77777777" w:rsidR="0093756C" w:rsidRDefault="0093756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936C" w14:textId="77777777" w:rsidR="0093756C" w:rsidRDefault="00752E30">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7C67A824" wp14:editId="2FAA64E4">
          <wp:simplePos x="0" y="0"/>
          <wp:positionH relativeFrom="column">
            <wp:posOffset>-725796</wp:posOffset>
          </wp:positionH>
          <wp:positionV relativeFrom="paragraph">
            <wp:posOffset>-29835</wp:posOffset>
          </wp:positionV>
          <wp:extent cx="7809865" cy="10165715"/>
          <wp:effectExtent l="0" t="0" r="0" b="0"/>
          <wp:wrapNone/>
          <wp:docPr id="19520825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8"/>
      <w:tblW w:w="5603" w:type="dxa"/>
      <w:tblInd w:w="3611" w:type="dxa"/>
      <w:tblLayout w:type="fixed"/>
      <w:tblLook w:val="0400" w:firstRow="0" w:lastRow="0" w:firstColumn="0" w:lastColumn="0" w:noHBand="0" w:noVBand="1"/>
    </w:tblPr>
    <w:tblGrid>
      <w:gridCol w:w="2551"/>
      <w:gridCol w:w="3052"/>
    </w:tblGrid>
    <w:tr w:rsidR="0093756C" w14:paraId="7666693D" w14:textId="77777777">
      <w:tc>
        <w:tcPr>
          <w:tcW w:w="2551" w:type="dxa"/>
          <w:vAlign w:val="center"/>
        </w:tcPr>
        <w:p w14:paraId="11737206" w14:textId="77777777" w:rsidR="0093756C" w:rsidRDefault="00752E3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14EA1737" w14:textId="77777777" w:rsidR="0093756C" w:rsidRDefault="009375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738953F2" w14:textId="77777777" w:rsidR="0093756C" w:rsidRDefault="00752E3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02524/INFOEM/IP/RR/2025 y acumulado</w:t>
          </w:r>
        </w:p>
      </w:tc>
    </w:tr>
    <w:tr w:rsidR="0093756C" w14:paraId="65B2A1C4" w14:textId="77777777">
      <w:tc>
        <w:tcPr>
          <w:tcW w:w="2551" w:type="dxa"/>
          <w:vAlign w:val="center"/>
        </w:tcPr>
        <w:p w14:paraId="51E052F4" w14:textId="77777777" w:rsidR="0093756C" w:rsidRDefault="00752E3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5DB35FB" w14:textId="0ACB05BF" w:rsidR="0093756C" w:rsidRDefault="00A655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XXXXXX XXXXXXX XXXXX XXXXXXXX </w:t>
          </w:r>
        </w:p>
      </w:tc>
    </w:tr>
    <w:tr w:rsidR="0093756C" w14:paraId="13D87780" w14:textId="77777777">
      <w:trPr>
        <w:trHeight w:val="152"/>
      </w:trPr>
      <w:tc>
        <w:tcPr>
          <w:tcW w:w="2551" w:type="dxa"/>
          <w:vAlign w:val="center"/>
        </w:tcPr>
        <w:p w14:paraId="10F4D644" w14:textId="77777777" w:rsidR="0093756C" w:rsidRDefault="00752E30">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BCC9E0F" w14:textId="77777777" w:rsidR="0093756C" w:rsidRDefault="00752E30">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bookmarkStart w:id="10" w:name="_heading=h.tyjcwt" w:colFirst="0" w:colLast="0"/>
          <w:bookmarkEnd w:id="10"/>
          <w:r>
            <w:rPr>
              <w:rFonts w:ascii="Palatino Linotype" w:eastAsia="Palatino Linotype" w:hAnsi="Palatino Linotype" w:cs="Palatino Linotype"/>
              <w:b/>
              <w:color w:val="000000"/>
            </w:rPr>
            <w:t>Ayuntamiento de Ozumba</w:t>
          </w:r>
        </w:p>
      </w:tc>
    </w:tr>
    <w:tr w:rsidR="0093756C" w14:paraId="67D6F308" w14:textId="77777777">
      <w:tc>
        <w:tcPr>
          <w:tcW w:w="2551" w:type="dxa"/>
          <w:vAlign w:val="center"/>
        </w:tcPr>
        <w:p w14:paraId="726D1900" w14:textId="77777777" w:rsidR="0093756C" w:rsidRDefault="00752E3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E651B58" w14:textId="77777777" w:rsidR="0093756C" w:rsidRDefault="00752E3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C36619C" w14:textId="77777777" w:rsidR="0093756C" w:rsidRDefault="00752E30">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AAA"/>
    <w:multiLevelType w:val="multilevel"/>
    <w:tmpl w:val="AD0E9AD6"/>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1876955"/>
    <w:multiLevelType w:val="multilevel"/>
    <w:tmpl w:val="6BB0986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8528BF"/>
    <w:multiLevelType w:val="multilevel"/>
    <w:tmpl w:val="B3DC7ACC"/>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2E379EC"/>
    <w:multiLevelType w:val="multilevel"/>
    <w:tmpl w:val="3BB01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6C36840"/>
    <w:multiLevelType w:val="multilevel"/>
    <w:tmpl w:val="6FB600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6C"/>
    <w:rsid w:val="001E587C"/>
    <w:rsid w:val="003510CC"/>
    <w:rsid w:val="003E420A"/>
    <w:rsid w:val="004002F2"/>
    <w:rsid w:val="005534BD"/>
    <w:rsid w:val="006F6750"/>
    <w:rsid w:val="00752E30"/>
    <w:rsid w:val="0093756C"/>
    <w:rsid w:val="00A6551E"/>
    <w:rsid w:val="00BA4BF7"/>
    <w:rsid w:val="00DA2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6246"/>
  <w15:docId w15:val="{B561562E-0FD2-45C2-9A99-CA33A6CD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C6"/>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pPr>
      <w:spacing w:after="0" w:line="240" w:lineRule="auto"/>
    </w:pPr>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top w:w="15" w:type="dxa"/>
        <w:left w:w="15" w:type="dxa"/>
        <w:bottom w:w="15" w:type="dxa"/>
        <w:right w:w="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top w:w="15" w:type="dxa"/>
        <w:left w:w="15" w:type="dxa"/>
        <w:bottom w:w="15" w:type="dxa"/>
        <w:right w:w="15" w:type="dxa"/>
      </w:tblCellMar>
    </w:tblPr>
  </w:style>
  <w:style w:type="table" w:customStyle="1" w:styleId="a4">
    <w:basedOn w:val="TableNormal5"/>
    <w:pPr>
      <w:spacing w:after="0" w:line="240" w:lineRule="auto"/>
    </w:pPr>
    <w:tblPr>
      <w:tblStyleRowBandSize w:val="1"/>
      <w:tblStyleColBandSize w:val="1"/>
      <w:tblCellMar>
        <w:left w:w="108" w:type="dxa"/>
        <w:right w:w="108" w:type="dxa"/>
      </w:tblCellMar>
    </w:tblPr>
  </w:style>
  <w:style w:type="table" w:customStyle="1" w:styleId="a5">
    <w:basedOn w:val="TableNormal5"/>
    <w:pPr>
      <w:spacing w:after="0" w:line="240" w:lineRule="auto"/>
    </w:pPr>
    <w:tblPr>
      <w:tblStyleRowBandSize w:val="1"/>
      <w:tblStyleColBandSize w:val="1"/>
      <w:tblCellMar>
        <w:left w:w="108" w:type="dxa"/>
        <w:right w:w="108" w:type="dxa"/>
      </w:tblCellMar>
    </w:tblPr>
  </w:style>
  <w:style w:type="table" w:customStyle="1" w:styleId="a6">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7">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8">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9">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b">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c">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d">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e">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f">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f0">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f1">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2">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6">
    <w:basedOn w:val="TableNormal3"/>
    <w:pPr>
      <w:spacing w:after="0" w:line="240" w:lineRule="auto"/>
    </w:pPr>
    <w:tblPr>
      <w:tblStyleRowBandSize w:val="1"/>
      <w:tblStyleColBandSize w:val="1"/>
      <w:tblCellMar>
        <w:top w:w="15" w:type="dxa"/>
        <w:left w:w="115" w:type="dxa"/>
        <w:bottom w:w="15" w:type="dxa"/>
        <w:right w:w="115" w:type="dxa"/>
      </w:tblCellMar>
    </w:tblPr>
  </w:style>
  <w:style w:type="character" w:styleId="Hipervnculovisitado">
    <w:name w:val="FollowedHyperlink"/>
    <w:basedOn w:val="Fuentedeprrafopredeter"/>
    <w:uiPriority w:val="99"/>
    <w:semiHidden/>
    <w:unhideWhenUsed/>
    <w:rsid w:val="002A6E0A"/>
    <w:rPr>
      <w:color w:val="954F72" w:themeColor="followedHyperlink"/>
      <w:u w:val="single"/>
    </w:rPr>
  </w:style>
  <w:style w:type="paragraph" w:customStyle="1" w:styleId="j">
    <w:name w:val="j"/>
    <w:basedOn w:val="Normal"/>
    <w:rsid w:val="000238C0"/>
    <w:pPr>
      <w:spacing w:before="100" w:beforeAutospacing="1" w:after="100" w:afterAutospacing="1" w:line="240" w:lineRule="auto"/>
    </w:pPr>
    <w:rPr>
      <w:rFonts w:ascii="Times New Roman" w:hAnsi="Times New Roman"/>
      <w:sz w:val="24"/>
      <w:szCs w:val="24"/>
      <w:lang w:eastAsia="es-MX"/>
    </w:rPr>
  </w:style>
  <w:style w:type="character" w:customStyle="1" w:styleId="nacep">
    <w:name w:val="n_acep"/>
    <w:basedOn w:val="Fuentedeprrafopredeter"/>
    <w:rsid w:val="000238C0"/>
  </w:style>
  <w:style w:type="table" w:customStyle="1" w:styleId="af7">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8">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9">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c">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d">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e">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f">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f2">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f3">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4">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5">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8">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bajo.edomex.gob.mx/faq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nografias.com/trabajos14/verific-servicios/verific-servicios.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vQbDzY1GtP51X0dDwCOr6cczQ==">CgMxLjAyCWguMWZvYjl0ZTIJaC4zem55c2g3Mg1oLnE5YTVwcXN0NnNvMg5oLmVpNnd6YW51ZDFoYTIJaC40NHNpbmlvMghoLnozMzd5YTIJaC4zajJxcW0zMgloLjJldDkycDAyDmgubnp2bWpxajVqaTdkMg5oLmo0aW9va2gzdWdleTIIaC50eWpjd3Q4AHIhMWZ4MmhIVG9jMkIxenBEQzdCSm5YWHZic2VGcWFZdzhJ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61</Pages>
  <Words>16578</Words>
  <Characters>91182</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2025-05-16T19:27:00Z</cp:lastPrinted>
  <dcterms:created xsi:type="dcterms:W3CDTF">2025-06-02T20:39:00Z</dcterms:created>
  <dcterms:modified xsi:type="dcterms:W3CDTF">2025-06-02T20:39:00Z</dcterms:modified>
</cp:coreProperties>
</file>