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3ED9F72B"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E85FF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E85FF0">
        <w:rPr>
          <w:rFonts w:ascii="Palatino Linotype" w:eastAsia="Palatino Linotype" w:hAnsi="Palatino Linotype" w:cs="Palatino Linotype"/>
          <w:sz w:val="22"/>
          <w:szCs w:val="22"/>
        </w:rPr>
        <w:t xml:space="preserve">tepec, Estado de México, a </w:t>
      </w:r>
      <w:r w:rsidR="00997932" w:rsidRPr="00E85FF0">
        <w:rPr>
          <w:rFonts w:ascii="Palatino Linotype" w:eastAsia="Palatino Linotype" w:hAnsi="Palatino Linotype" w:cs="Palatino Linotype"/>
          <w:sz w:val="22"/>
          <w:szCs w:val="22"/>
        </w:rPr>
        <w:t>diez</w:t>
      </w:r>
      <w:r w:rsidR="00A0077E" w:rsidRPr="00E85FF0">
        <w:rPr>
          <w:rFonts w:ascii="Palatino Linotype" w:eastAsia="Palatino Linotype" w:hAnsi="Palatino Linotype" w:cs="Palatino Linotype"/>
          <w:sz w:val="22"/>
          <w:szCs w:val="22"/>
        </w:rPr>
        <w:t xml:space="preserve"> de diciembre</w:t>
      </w:r>
      <w:r w:rsidRPr="00E85FF0">
        <w:rPr>
          <w:rFonts w:ascii="Palatino Linotype" w:eastAsia="Palatino Linotype" w:hAnsi="Palatino Linotype" w:cs="Palatino Linotype"/>
          <w:sz w:val="22"/>
          <w:szCs w:val="22"/>
        </w:rPr>
        <w:t xml:space="preserve"> de dos mil veinticinco. </w:t>
      </w:r>
    </w:p>
    <w:p w14:paraId="30E0E444" w14:textId="48188CD2" w:rsidR="005A75CA" w:rsidRPr="00E85FF0"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E85FF0">
        <w:rPr>
          <w:rFonts w:ascii="Palatino Linotype" w:eastAsia="Palatino Linotype" w:hAnsi="Palatino Linotype" w:cs="Palatino Linotype"/>
          <w:b/>
          <w:sz w:val="22"/>
          <w:szCs w:val="22"/>
        </w:rPr>
        <w:t>VISTO</w:t>
      </w:r>
      <w:r w:rsidRPr="00E85FF0">
        <w:rPr>
          <w:rFonts w:ascii="Palatino Linotype" w:eastAsia="Palatino Linotype" w:hAnsi="Palatino Linotype" w:cs="Palatino Linotype"/>
          <w:sz w:val="22"/>
          <w:szCs w:val="22"/>
        </w:rPr>
        <w:t xml:space="preserve"> el expediente formado con motivo del recurso de revisión </w:t>
      </w:r>
      <w:r w:rsidR="00A0077E" w:rsidRPr="00E85FF0">
        <w:rPr>
          <w:rFonts w:ascii="Palatino Linotype" w:eastAsia="Palatino Linotype" w:hAnsi="Palatino Linotype" w:cs="Palatino Linotype"/>
          <w:b/>
          <w:sz w:val="22"/>
          <w:szCs w:val="22"/>
        </w:rPr>
        <w:t>1</w:t>
      </w:r>
      <w:r w:rsidR="0058690B" w:rsidRPr="00E85FF0">
        <w:rPr>
          <w:rFonts w:ascii="Palatino Linotype" w:eastAsia="Palatino Linotype" w:hAnsi="Palatino Linotype" w:cs="Palatino Linotype"/>
          <w:b/>
          <w:sz w:val="22"/>
          <w:szCs w:val="22"/>
        </w:rPr>
        <w:t>2</w:t>
      </w:r>
      <w:r w:rsidR="00997932" w:rsidRPr="00E85FF0">
        <w:rPr>
          <w:rFonts w:ascii="Palatino Linotype" w:eastAsia="Palatino Linotype" w:hAnsi="Palatino Linotype" w:cs="Palatino Linotype"/>
          <w:b/>
          <w:sz w:val="22"/>
          <w:szCs w:val="22"/>
        </w:rPr>
        <w:t>654</w:t>
      </w:r>
      <w:r w:rsidRPr="00E85FF0">
        <w:rPr>
          <w:rFonts w:ascii="Palatino Linotype" w:eastAsia="Palatino Linotype" w:hAnsi="Palatino Linotype" w:cs="Palatino Linotype"/>
          <w:b/>
          <w:sz w:val="22"/>
          <w:szCs w:val="22"/>
        </w:rPr>
        <w:t>/INFOEM/IP/RR/2025</w:t>
      </w:r>
      <w:r w:rsidRPr="00E85FF0">
        <w:rPr>
          <w:rFonts w:ascii="Palatino Linotype" w:eastAsia="Palatino Linotype" w:hAnsi="Palatino Linotype" w:cs="Palatino Linotype"/>
          <w:sz w:val="22"/>
          <w:szCs w:val="22"/>
        </w:rPr>
        <w:t>, interpuesto por</w:t>
      </w:r>
      <w:r w:rsidRPr="00E85FF0">
        <w:rPr>
          <w:rFonts w:ascii="Palatino Linotype" w:eastAsia="Palatino Linotype" w:hAnsi="Palatino Linotype" w:cs="Palatino Linotype"/>
          <w:b/>
          <w:sz w:val="22"/>
          <w:szCs w:val="22"/>
        </w:rPr>
        <w:t xml:space="preserve"> </w:t>
      </w:r>
      <w:r w:rsidR="008246EF" w:rsidRPr="008246EF">
        <w:rPr>
          <w:rFonts w:ascii="Palatino Linotype" w:eastAsia="Palatino Linotype" w:hAnsi="Palatino Linotype" w:cs="Palatino Linotype"/>
          <w:b/>
          <w:sz w:val="22"/>
          <w:szCs w:val="22"/>
        </w:rPr>
        <w:t>XXXXXXXXX XXXXXXXX XXXXXXXXX</w:t>
      </w:r>
      <w:r w:rsidRPr="008246EF">
        <w:rPr>
          <w:rFonts w:ascii="Palatino Linotype" w:eastAsia="Palatino Linotype" w:hAnsi="Palatino Linotype" w:cs="Palatino Linotype"/>
          <w:b/>
          <w:sz w:val="22"/>
          <w:szCs w:val="22"/>
        </w:rPr>
        <w:t>,</w:t>
      </w:r>
      <w:bookmarkStart w:id="2" w:name="_GoBack"/>
      <w:bookmarkEnd w:id="2"/>
      <w:r w:rsidRPr="00E85FF0">
        <w:rPr>
          <w:rFonts w:ascii="Palatino Linotype" w:eastAsia="Palatino Linotype" w:hAnsi="Palatino Linotype" w:cs="Palatino Linotype"/>
          <w:sz w:val="22"/>
          <w:szCs w:val="22"/>
        </w:rPr>
        <w:t xml:space="preserve"> en lo sucesivo</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 xml:space="preserve">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xml:space="preserve"> en contra de la falta de respuesta a la solicitud de información con número de folio</w:t>
      </w:r>
      <w:r w:rsidRPr="00E85FF0">
        <w:rPr>
          <w:rFonts w:ascii="Palatino Linotype" w:eastAsia="Palatino Linotype" w:hAnsi="Palatino Linotype" w:cs="Palatino Linotype"/>
          <w:b/>
          <w:sz w:val="22"/>
          <w:szCs w:val="22"/>
        </w:rPr>
        <w:t xml:space="preserve"> </w:t>
      </w:r>
      <w:r w:rsidR="00997932" w:rsidRPr="00E85FF0">
        <w:rPr>
          <w:rFonts w:ascii="Palatino Linotype" w:eastAsia="Palatino Linotype" w:hAnsi="Palatino Linotype" w:cs="Palatino Linotype"/>
          <w:b/>
          <w:sz w:val="22"/>
          <w:szCs w:val="22"/>
        </w:rPr>
        <w:t>00036/DIFCAPULHUAC/IP/2025</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 xml:space="preserve">por parte del </w:t>
      </w:r>
      <w:r w:rsidR="00997932" w:rsidRPr="00E85FF0">
        <w:rPr>
          <w:rFonts w:ascii="Palatino Linotype" w:eastAsia="Palatino Linotype" w:hAnsi="Palatino Linotype" w:cs="Palatino Linotype"/>
          <w:b/>
          <w:sz w:val="22"/>
          <w:szCs w:val="22"/>
        </w:rPr>
        <w:t>Sistema Municipal para el Desarrollo Integral de la Familia de Capulhuac</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 xml:space="preserve">en lo sucesivo el </w:t>
      </w:r>
      <w:r w:rsidRPr="00E85FF0">
        <w:rPr>
          <w:rFonts w:ascii="Palatino Linotype" w:eastAsia="Palatino Linotype" w:hAnsi="Palatino Linotype" w:cs="Palatino Linotype"/>
          <w:b/>
          <w:sz w:val="22"/>
          <w:szCs w:val="22"/>
        </w:rPr>
        <w:t xml:space="preserve">Sujeto Obligado, </w:t>
      </w:r>
      <w:r w:rsidRPr="00E85FF0">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E85FF0" w:rsidRDefault="00E96B90" w:rsidP="00D7204E">
      <w:pPr>
        <w:spacing w:before="240" w:after="240" w:line="360" w:lineRule="auto"/>
        <w:jc w:val="center"/>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I. A N T E C E D E N T E S</w:t>
      </w:r>
    </w:p>
    <w:p w14:paraId="6181BC13" w14:textId="0AA14A65"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E85FF0">
        <w:rPr>
          <w:rFonts w:ascii="Palatino Linotype" w:eastAsia="Palatino Linotype" w:hAnsi="Palatino Linotype" w:cs="Palatino Linotype"/>
          <w:b/>
          <w:sz w:val="22"/>
          <w:szCs w:val="22"/>
        </w:rPr>
        <w:t>1. Solicitud de acceso a la información.</w:t>
      </w:r>
      <w:r w:rsidRPr="00E85FF0">
        <w:rPr>
          <w:rFonts w:ascii="Palatino Linotype" w:eastAsia="Palatino Linotype" w:hAnsi="Palatino Linotype" w:cs="Palatino Linotype"/>
          <w:sz w:val="22"/>
          <w:szCs w:val="22"/>
        </w:rPr>
        <w:t xml:space="preserve"> El </w:t>
      </w:r>
      <w:r w:rsidR="0058690B" w:rsidRPr="00E85FF0">
        <w:rPr>
          <w:rFonts w:ascii="Palatino Linotype" w:eastAsia="Palatino Linotype" w:hAnsi="Palatino Linotype" w:cs="Palatino Linotype"/>
          <w:b/>
          <w:sz w:val="22"/>
          <w:szCs w:val="22"/>
        </w:rPr>
        <w:t>d</w:t>
      </w:r>
      <w:r w:rsidR="00997932" w:rsidRPr="00E85FF0">
        <w:rPr>
          <w:rFonts w:ascii="Palatino Linotype" w:eastAsia="Palatino Linotype" w:hAnsi="Palatino Linotype" w:cs="Palatino Linotype"/>
          <w:b/>
          <w:sz w:val="22"/>
          <w:szCs w:val="22"/>
        </w:rPr>
        <w:t>iez</w:t>
      </w:r>
      <w:r w:rsidR="0058690B" w:rsidRPr="00E85FF0">
        <w:rPr>
          <w:rFonts w:ascii="Palatino Linotype" w:eastAsia="Palatino Linotype" w:hAnsi="Palatino Linotype" w:cs="Palatino Linotype"/>
          <w:b/>
          <w:sz w:val="22"/>
          <w:szCs w:val="22"/>
        </w:rPr>
        <w:t xml:space="preserve"> de octubre </w:t>
      </w:r>
      <w:r w:rsidRPr="00E85FF0">
        <w:rPr>
          <w:rFonts w:ascii="Palatino Linotype" w:eastAsia="Palatino Linotype" w:hAnsi="Palatino Linotype" w:cs="Palatino Linotype"/>
          <w:b/>
          <w:sz w:val="22"/>
          <w:szCs w:val="22"/>
        </w:rPr>
        <w:t>de dos mil veinticinco,</w:t>
      </w:r>
      <w:r w:rsidRPr="00E85FF0">
        <w:rPr>
          <w:rFonts w:ascii="Palatino Linotype" w:eastAsia="Palatino Linotype" w:hAnsi="Palatino Linotype" w:cs="Palatino Linotype"/>
          <w:sz w:val="22"/>
          <w:szCs w:val="22"/>
        </w:rPr>
        <w:t xml:space="preserve"> la parte </w:t>
      </w:r>
      <w:r w:rsidRPr="00E85FF0">
        <w:rPr>
          <w:rFonts w:ascii="Palatino Linotype" w:eastAsia="Palatino Linotype" w:hAnsi="Palatino Linotype" w:cs="Palatino Linotype"/>
          <w:b/>
          <w:sz w:val="22"/>
          <w:szCs w:val="22"/>
        </w:rPr>
        <w:t xml:space="preserve">Recurrente </w:t>
      </w:r>
      <w:r w:rsidRPr="00E85FF0">
        <w:rPr>
          <w:rFonts w:ascii="Palatino Linotype" w:eastAsia="Palatino Linotype" w:hAnsi="Palatino Linotype" w:cs="Palatino Linotype"/>
          <w:sz w:val="22"/>
          <w:szCs w:val="22"/>
        </w:rPr>
        <w:t xml:space="preserve">presentó la solicitud de acceso a la información pública ante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a través del Sistema de Acceso a la Información Mexiquense, en lo subsecuente el </w:t>
      </w:r>
      <w:r w:rsidRPr="00E85FF0">
        <w:rPr>
          <w:rFonts w:ascii="Palatino Linotype" w:eastAsia="Palatino Linotype" w:hAnsi="Palatino Linotype" w:cs="Palatino Linotype"/>
          <w:b/>
          <w:sz w:val="22"/>
          <w:szCs w:val="22"/>
        </w:rPr>
        <w:t>SAIMEX,</w:t>
      </w:r>
      <w:r w:rsidR="0058690B"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mediante la cual requirió lo siguiente:</w:t>
      </w:r>
    </w:p>
    <w:p w14:paraId="49190675" w14:textId="3393F56E" w:rsidR="005A75CA" w:rsidRPr="00E85FF0" w:rsidRDefault="00E96B90" w:rsidP="00D7204E">
      <w:pPr>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i/>
          <w:sz w:val="22"/>
          <w:szCs w:val="22"/>
        </w:rPr>
        <w:t xml:space="preserve"> “</w:t>
      </w:r>
      <w:r w:rsidR="00997932" w:rsidRPr="00E85FF0">
        <w:rPr>
          <w:rFonts w:ascii="Palatino Linotype" w:eastAsia="Palatino Linotype" w:hAnsi="Palatino Linotype" w:cs="Palatino Linotype"/>
          <w:i/>
          <w:sz w:val="22"/>
          <w:szCs w:val="22"/>
        </w:rPr>
        <w:t>Relación de contratos con proveedores del DIFINFORMACION QUE DEBE PORPORCIONAR LA DIRECTORA DEL DIF INFORMACION QUE DEBE PORPORCIONAR LA DIRECTORA DEL DIF</w:t>
      </w:r>
      <w:r w:rsidRPr="00E85FF0">
        <w:rPr>
          <w:rFonts w:ascii="Palatino Linotype" w:eastAsia="Palatino Linotype" w:hAnsi="Palatino Linotype" w:cs="Palatino Linotype"/>
          <w:b/>
          <w:i/>
          <w:sz w:val="22"/>
          <w:szCs w:val="22"/>
        </w:rPr>
        <w:t>”</w:t>
      </w:r>
      <w:r w:rsidRPr="00E85FF0">
        <w:rPr>
          <w:rFonts w:ascii="Palatino Linotype" w:eastAsia="Palatino Linotype" w:hAnsi="Palatino Linotype" w:cs="Palatino Linotype"/>
          <w:i/>
          <w:sz w:val="22"/>
          <w:szCs w:val="22"/>
        </w:rPr>
        <w:t xml:space="preserve"> (sic) </w:t>
      </w:r>
    </w:p>
    <w:p w14:paraId="6019A360"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E85FF0">
        <w:rPr>
          <w:rFonts w:ascii="Palatino Linotype" w:eastAsia="Palatino Linotype" w:hAnsi="Palatino Linotype" w:cs="Palatino Linotype"/>
          <w:b/>
          <w:sz w:val="22"/>
          <w:szCs w:val="22"/>
        </w:rPr>
        <w:t>Modalidad de Entrega:</w:t>
      </w:r>
      <w:r w:rsidRPr="00E85FF0">
        <w:rPr>
          <w:rFonts w:ascii="Palatino Linotype" w:eastAsia="Palatino Linotype" w:hAnsi="Palatino Linotype" w:cs="Palatino Linotype"/>
          <w:sz w:val="22"/>
          <w:szCs w:val="22"/>
        </w:rPr>
        <w:t xml:space="preserve"> a través del</w:t>
      </w:r>
      <w:r w:rsidRPr="00E85FF0">
        <w:rPr>
          <w:rFonts w:ascii="Palatino Linotype" w:eastAsia="Palatino Linotype" w:hAnsi="Palatino Linotype" w:cs="Palatino Linotype"/>
          <w:b/>
          <w:sz w:val="22"/>
          <w:szCs w:val="22"/>
        </w:rPr>
        <w:t xml:space="preserve"> SAIMEX.</w:t>
      </w:r>
    </w:p>
    <w:p w14:paraId="529D70CA" w14:textId="21391CED" w:rsidR="005A75CA" w:rsidRPr="00E85FF0" w:rsidRDefault="00E96B90" w:rsidP="00D7204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 xml:space="preserve">2. Respuesta. </w:t>
      </w:r>
      <w:r w:rsidRPr="00E85FF0">
        <w:rPr>
          <w:rFonts w:ascii="Palatino Linotype" w:eastAsia="Palatino Linotype" w:hAnsi="Palatino Linotype" w:cs="Palatino Linotype"/>
          <w:sz w:val="22"/>
          <w:szCs w:val="22"/>
        </w:rPr>
        <w:t xml:space="preserve">De las constancias que obran en SAIMEX, se observa que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no emitió respuesta a la solicitud de información formulada por la persona solicitante.</w:t>
      </w:r>
    </w:p>
    <w:p w14:paraId="7CFCEA31" w14:textId="0E6E95AB" w:rsidR="005A75CA" w:rsidRPr="00E85FF0" w:rsidRDefault="0058690B" w:rsidP="00D7204E">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lastRenderedPageBreak/>
        <w:t>3</w:t>
      </w:r>
      <w:r w:rsidR="00E96B90" w:rsidRPr="00E85FF0">
        <w:rPr>
          <w:rFonts w:ascii="Palatino Linotype" w:eastAsia="Palatino Linotype" w:hAnsi="Palatino Linotype" w:cs="Palatino Linotype"/>
          <w:b/>
          <w:sz w:val="22"/>
          <w:szCs w:val="22"/>
        </w:rPr>
        <w:t xml:space="preserve">. Interposición del recurso de revisión. </w:t>
      </w:r>
      <w:r w:rsidR="00E96B90" w:rsidRPr="00E85FF0">
        <w:rPr>
          <w:rFonts w:ascii="Palatino Linotype" w:eastAsia="Palatino Linotype" w:hAnsi="Palatino Linotype" w:cs="Palatino Linotype"/>
          <w:sz w:val="22"/>
          <w:szCs w:val="22"/>
        </w:rPr>
        <w:t xml:space="preserve">Inconforme con los términos de la respuesta emitida por parte del </w:t>
      </w:r>
      <w:r w:rsidR="00E96B90" w:rsidRPr="00E85FF0">
        <w:rPr>
          <w:rFonts w:ascii="Palatino Linotype" w:eastAsia="Palatino Linotype" w:hAnsi="Palatino Linotype" w:cs="Palatino Linotype"/>
          <w:b/>
          <w:sz w:val="22"/>
          <w:szCs w:val="22"/>
        </w:rPr>
        <w:t>Sujeto Obligado</w:t>
      </w:r>
      <w:r w:rsidR="00E96B90" w:rsidRPr="00E85FF0">
        <w:rPr>
          <w:rFonts w:ascii="Palatino Linotype" w:eastAsia="Palatino Linotype" w:hAnsi="Palatino Linotype" w:cs="Palatino Linotype"/>
          <w:sz w:val="22"/>
          <w:szCs w:val="22"/>
        </w:rPr>
        <w:t xml:space="preserve">, el </w:t>
      </w:r>
      <w:r w:rsidR="00997932" w:rsidRPr="00E85FF0">
        <w:rPr>
          <w:rFonts w:ascii="Palatino Linotype" w:eastAsia="Palatino Linotype" w:hAnsi="Palatino Linotype" w:cs="Palatino Linotype"/>
          <w:b/>
          <w:sz w:val="22"/>
          <w:szCs w:val="22"/>
        </w:rPr>
        <w:t>cuatro</w:t>
      </w:r>
      <w:r w:rsidRPr="00E85FF0">
        <w:rPr>
          <w:rFonts w:ascii="Palatino Linotype" w:eastAsia="Palatino Linotype" w:hAnsi="Palatino Linotype" w:cs="Palatino Linotype"/>
          <w:b/>
          <w:sz w:val="22"/>
          <w:szCs w:val="22"/>
        </w:rPr>
        <w:t xml:space="preserve"> de noviembre</w:t>
      </w:r>
      <w:r w:rsidR="00C62D06" w:rsidRPr="00E85FF0">
        <w:rPr>
          <w:rFonts w:ascii="Palatino Linotype" w:eastAsia="Palatino Linotype" w:hAnsi="Palatino Linotype" w:cs="Palatino Linotype"/>
          <w:b/>
          <w:sz w:val="22"/>
          <w:szCs w:val="22"/>
        </w:rPr>
        <w:t xml:space="preserve"> </w:t>
      </w:r>
      <w:r w:rsidR="00E96B90" w:rsidRPr="00E85FF0">
        <w:rPr>
          <w:rFonts w:ascii="Palatino Linotype" w:eastAsia="Palatino Linotype" w:hAnsi="Palatino Linotype" w:cs="Palatino Linotype"/>
          <w:b/>
          <w:sz w:val="22"/>
          <w:szCs w:val="22"/>
        </w:rPr>
        <w:t>de dos mil veinticinco,</w:t>
      </w:r>
      <w:r w:rsidR="00E96B90" w:rsidRPr="00E85FF0">
        <w:rPr>
          <w:rFonts w:ascii="Palatino Linotype" w:eastAsia="Palatino Linotype" w:hAnsi="Palatino Linotype" w:cs="Palatino Linotype"/>
          <w:sz w:val="22"/>
          <w:szCs w:val="22"/>
        </w:rPr>
        <w:t xml:space="preserve"> la parte </w:t>
      </w:r>
      <w:r w:rsidR="00E96B90" w:rsidRPr="00E85FF0">
        <w:rPr>
          <w:rFonts w:ascii="Palatino Linotype" w:eastAsia="Palatino Linotype" w:hAnsi="Palatino Linotype" w:cs="Palatino Linotype"/>
          <w:b/>
          <w:sz w:val="22"/>
          <w:szCs w:val="22"/>
        </w:rPr>
        <w:t>Recurrente</w:t>
      </w:r>
      <w:r w:rsidR="00E96B90" w:rsidRPr="00E85FF0">
        <w:rPr>
          <w:rFonts w:ascii="Palatino Linotype" w:eastAsia="Palatino Linotype" w:hAnsi="Palatino Linotype" w:cs="Palatino Linotype"/>
          <w:sz w:val="22"/>
          <w:szCs w:val="22"/>
        </w:rPr>
        <w:t xml:space="preserve"> interpuso el recurso de revisión a través de </w:t>
      </w:r>
      <w:r w:rsidR="00E96B90" w:rsidRPr="00E85FF0">
        <w:rPr>
          <w:rFonts w:ascii="Palatino Linotype" w:eastAsia="Palatino Linotype" w:hAnsi="Palatino Linotype" w:cs="Palatino Linotype"/>
          <w:b/>
          <w:sz w:val="22"/>
          <w:szCs w:val="22"/>
        </w:rPr>
        <w:t xml:space="preserve">SAIMEX, </w:t>
      </w:r>
      <w:r w:rsidR="00E96B90" w:rsidRPr="00E85FF0">
        <w:rPr>
          <w:rFonts w:ascii="Palatino Linotype" w:eastAsia="Palatino Linotype" w:hAnsi="Palatino Linotype" w:cs="Palatino Linotype"/>
          <w:sz w:val="22"/>
          <w:szCs w:val="22"/>
        </w:rPr>
        <w:t>en donde se manifestó de la siguiente manera:</w:t>
      </w:r>
    </w:p>
    <w:p w14:paraId="0DB160D3" w14:textId="77777777" w:rsidR="005A75CA" w:rsidRPr="00E85FF0"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 xml:space="preserve">Acto impugnado: </w:t>
      </w:r>
    </w:p>
    <w:p w14:paraId="68DC3E6A" w14:textId="79EDBDB2" w:rsidR="005A75CA" w:rsidRPr="00E85FF0"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00997932" w:rsidRPr="00E85FF0">
        <w:rPr>
          <w:rFonts w:ascii="Palatino Linotype" w:eastAsia="Palatino Linotype" w:hAnsi="Palatino Linotype" w:cs="Palatino Linotype"/>
          <w:i/>
          <w:sz w:val="22"/>
          <w:szCs w:val="22"/>
        </w:rPr>
        <w:t>no entrego la información solicitada en los plazos legales, ni mucho menos informo o notifico de alguna ampliación de termino</w:t>
      </w:r>
      <w:r w:rsidRPr="00E85FF0">
        <w:rPr>
          <w:rFonts w:ascii="Palatino Linotype" w:eastAsia="Palatino Linotype" w:hAnsi="Palatino Linotype" w:cs="Palatino Linotype"/>
          <w:i/>
          <w:sz w:val="22"/>
          <w:szCs w:val="22"/>
        </w:rPr>
        <w:t>” (sic)</w:t>
      </w:r>
    </w:p>
    <w:p w14:paraId="64535873" w14:textId="77777777" w:rsidR="005A75CA" w:rsidRPr="00E85FF0"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E85FF0">
        <w:rPr>
          <w:rFonts w:ascii="Palatino Linotype" w:eastAsia="Palatino Linotype" w:hAnsi="Palatino Linotype" w:cs="Palatino Linotype"/>
          <w:b/>
          <w:sz w:val="22"/>
          <w:szCs w:val="22"/>
        </w:rPr>
        <w:t>Y, Razones o motivos de inconformidad</w:t>
      </w:r>
      <w:r w:rsidRPr="00E85FF0">
        <w:rPr>
          <w:rFonts w:ascii="Palatino Linotype" w:eastAsia="Palatino Linotype" w:hAnsi="Palatino Linotype" w:cs="Palatino Linotype"/>
          <w:sz w:val="22"/>
          <w:szCs w:val="22"/>
        </w:rPr>
        <w:t>:</w:t>
      </w:r>
    </w:p>
    <w:p w14:paraId="6C751BDA" w14:textId="00BFC005" w:rsidR="005A75CA" w:rsidRPr="00E85FF0"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00997932" w:rsidRPr="00E85FF0">
        <w:rPr>
          <w:rFonts w:ascii="Palatino Linotype" w:eastAsia="Palatino Linotype" w:hAnsi="Palatino Linotype" w:cs="Palatino Linotype"/>
          <w:i/>
          <w:sz w:val="22"/>
          <w:szCs w:val="22"/>
        </w:rPr>
        <w:t>no entrego la información solicitada en los plazos legales, ni mucho menos informo o notifico de alguna ampliación de termino</w:t>
      </w:r>
      <w:r w:rsidRPr="00E85FF0">
        <w:rPr>
          <w:rFonts w:ascii="Palatino Linotype" w:eastAsia="Palatino Linotype" w:hAnsi="Palatino Linotype" w:cs="Palatino Linotype"/>
          <w:i/>
          <w:sz w:val="22"/>
          <w:szCs w:val="22"/>
        </w:rPr>
        <w:t>” (sic)</w:t>
      </w:r>
    </w:p>
    <w:p w14:paraId="63BA5F7F" w14:textId="15120146" w:rsidR="005A75CA" w:rsidRPr="00E85FF0" w:rsidRDefault="0058690B" w:rsidP="00D7204E">
      <w:pPr>
        <w:spacing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4</w:t>
      </w:r>
      <w:r w:rsidR="00E96B90" w:rsidRPr="00E85FF0">
        <w:rPr>
          <w:rFonts w:ascii="Palatino Linotype" w:eastAsia="Palatino Linotype" w:hAnsi="Palatino Linotype" w:cs="Palatino Linotype"/>
          <w:b/>
          <w:sz w:val="22"/>
          <w:szCs w:val="22"/>
        </w:rPr>
        <w:t xml:space="preserve">. Turno. </w:t>
      </w:r>
      <w:r w:rsidR="00E96B90" w:rsidRPr="00E85FF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E85FF0">
        <w:rPr>
          <w:rFonts w:ascii="Palatino Linotype" w:eastAsia="Palatino Linotype" w:hAnsi="Palatino Linotype" w:cs="Palatino Linotype"/>
          <w:b/>
          <w:sz w:val="22"/>
          <w:szCs w:val="22"/>
        </w:rPr>
        <w:t xml:space="preserve">Guadalupe Ramírez Peña, </w:t>
      </w:r>
      <w:r w:rsidR="00E96B90" w:rsidRPr="00E85FF0">
        <w:rPr>
          <w:rFonts w:ascii="Palatino Linotype" w:eastAsia="Palatino Linotype" w:hAnsi="Palatino Linotype" w:cs="Palatino Linotype"/>
          <w:sz w:val="22"/>
          <w:szCs w:val="22"/>
        </w:rPr>
        <w:t>a efecto de que analizara sobre su admisión o su desechamiento.</w:t>
      </w:r>
    </w:p>
    <w:p w14:paraId="7FEE7B27" w14:textId="6DF3AD50" w:rsidR="005A75CA" w:rsidRPr="00E85FF0" w:rsidRDefault="0058690B" w:rsidP="00D7204E">
      <w:pPr>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5</w:t>
      </w:r>
      <w:r w:rsidR="00E96B90" w:rsidRPr="00E85FF0">
        <w:rPr>
          <w:rFonts w:ascii="Palatino Linotype" w:eastAsia="Palatino Linotype" w:hAnsi="Palatino Linotype" w:cs="Palatino Linotype"/>
          <w:b/>
          <w:sz w:val="22"/>
          <w:szCs w:val="22"/>
        </w:rPr>
        <w:t>. Admisión del Recurso de revisión.</w:t>
      </w:r>
      <w:r w:rsidR="00E96B90" w:rsidRPr="00E85FF0">
        <w:rPr>
          <w:rFonts w:ascii="Palatino Linotype" w:eastAsia="Palatino Linotype" w:hAnsi="Palatino Linotype" w:cs="Palatino Linotype"/>
          <w:sz w:val="22"/>
          <w:szCs w:val="22"/>
        </w:rPr>
        <w:t xml:space="preserve"> El</w:t>
      </w:r>
      <w:r w:rsidR="00E96B90" w:rsidRPr="00E85FF0">
        <w:rPr>
          <w:rFonts w:ascii="Palatino Linotype" w:eastAsia="Palatino Linotype" w:hAnsi="Palatino Linotype" w:cs="Palatino Linotype"/>
          <w:b/>
          <w:sz w:val="22"/>
          <w:szCs w:val="22"/>
        </w:rPr>
        <w:t xml:space="preserve"> </w:t>
      </w:r>
      <w:r w:rsidR="00997932" w:rsidRPr="00E85FF0">
        <w:rPr>
          <w:rFonts w:ascii="Palatino Linotype" w:eastAsia="Palatino Linotype" w:hAnsi="Palatino Linotype" w:cs="Palatino Linotype"/>
          <w:b/>
          <w:sz w:val="22"/>
          <w:szCs w:val="22"/>
        </w:rPr>
        <w:t>seis de noviembre</w:t>
      </w:r>
      <w:r w:rsidR="00A0077E" w:rsidRPr="00E85FF0">
        <w:rPr>
          <w:rFonts w:ascii="Palatino Linotype" w:eastAsia="Palatino Linotype" w:hAnsi="Palatino Linotype" w:cs="Palatino Linotype"/>
          <w:b/>
          <w:sz w:val="22"/>
          <w:szCs w:val="22"/>
        </w:rPr>
        <w:t xml:space="preserve"> de dos mil veinticinco</w:t>
      </w:r>
      <w:r w:rsidR="00E96B90" w:rsidRPr="00E85FF0">
        <w:rPr>
          <w:rFonts w:ascii="Palatino Linotype" w:eastAsia="Palatino Linotype" w:hAnsi="Palatino Linotype" w:cs="Palatino Linotype"/>
          <w:b/>
          <w:sz w:val="22"/>
          <w:szCs w:val="22"/>
        </w:rPr>
        <w:t xml:space="preserve">, </w:t>
      </w:r>
      <w:r w:rsidR="00E96B90" w:rsidRPr="00E85FF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E96B90" w:rsidRPr="00E85FF0">
        <w:rPr>
          <w:rFonts w:ascii="Palatino Linotype" w:eastAsia="Palatino Linotype" w:hAnsi="Palatino Linotype" w:cs="Palatino Linotype"/>
          <w:b/>
          <w:sz w:val="22"/>
          <w:szCs w:val="22"/>
        </w:rPr>
        <w:t xml:space="preserve">Sujeto Obligado </w:t>
      </w:r>
      <w:r w:rsidR="00E96B90" w:rsidRPr="00E85FF0">
        <w:rPr>
          <w:rFonts w:ascii="Palatino Linotype" w:eastAsia="Palatino Linotype" w:hAnsi="Palatino Linotype" w:cs="Palatino Linotype"/>
          <w:sz w:val="22"/>
          <w:szCs w:val="22"/>
        </w:rPr>
        <w:t>presentara su informe justificado.</w:t>
      </w:r>
    </w:p>
    <w:p w14:paraId="6A9FD6D9" w14:textId="06E7E80C" w:rsidR="00997932" w:rsidRPr="00E85FF0" w:rsidRDefault="0058690B" w:rsidP="00D7204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E85FF0">
        <w:rPr>
          <w:rFonts w:ascii="Palatino Linotype" w:eastAsia="Palatino Linotype" w:hAnsi="Palatino Linotype" w:cs="Palatino Linotype"/>
          <w:b/>
          <w:sz w:val="22"/>
          <w:szCs w:val="22"/>
        </w:rPr>
        <w:lastRenderedPageBreak/>
        <w:t>6</w:t>
      </w:r>
      <w:r w:rsidR="00E96B90" w:rsidRPr="00E85FF0">
        <w:rPr>
          <w:rFonts w:ascii="Palatino Linotype" w:eastAsia="Palatino Linotype" w:hAnsi="Palatino Linotype" w:cs="Palatino Linotype"/>
          <w:b/>
          <w:sz w:val="22"/>
          <w:szCs w:val="22"/>
        </w:rPr>
        <w:t>. Manifestaciones</w:t>
      </w:r>
      <w:r w:rsidR="00E96B90" w:rsidRPr="00E85FF0">
        <w:rPr>
          <w:rFonts w:ascii="Palatino Linotype" w:eastAsia="Palatino Linotype" w:hAnsi="Palatino Linotype" w:cs="Palatino Linotype"/>
          <w:sz w:val="22"/>
          <w:szCs w:val="22"/>
        </w:rPr>
        <w:t xml:space="preserve">. El </w:t>
      </w:r>
      <w:r w:rsidR="00997932" w:rsidRPr="00E85FF0">
        <w:rPr>
          <w:rFonts w:ascii="Palatino Linotype" w:eastAsia="Palatino Linotype" w:hAnsi="Palatino Linotype" w:cs="Palatino Linotype"/>
          <w:b/>
          <w:sz w:val="22"/>
          <w:szCs w:val="22"/>
        </w:rPr>
        <w:t>veintisiete</w:t>
      </w:r>
      <w:r w:rsidRPr="00E85FF0">
        <w:rPr>
          <w:rFonts w:ascii="Palatino Linotype" w:eastAsia="Palatino Linotype" w:hAnsi="Palatino Linotype" w:cs="Palatino Linotype"/>
          <w:b/>
          <w:sz w:val="22"/>
          <w:szCs w:val="22"/>
        </w:rPr>
        <w:t xml:space="preserve"> de noviembre </w:t>
      </w:r>
      <w:r w:rsidR="00C62D06" w:rsidRPr="00E85FF0">
        <w:rPr>
          <w:rFonts w:ascii="Palatino Linotype" w:eastAsia="Palatino Linotype" w:hAnsi="Palatino Linotype" w:cs="Palatino Linotype"/>
          <w:b/>
          <w:sz w:val="22"/>
          <w:szCs w:val="22"/>
        </w:rPr>
        <w:t>d</w:t>
      </w:r>
      <w:r w:rsidR="00E96B90" w:rsidRPr="00E85FF0">
        <w:rPr>
          <w:rFonts w:ascii="Palatino Linotype" w:eastAsia="Palatino Linotype" w:hAnsi="Palatino Linotype" w:cs="Palatino Linotype"/>
          <w:b/>
          <w:sz w:val="22"/>
          <w:szCs w:val="22"/>
        </w:rPr>
        <w:t xml:space="preserve">e dos mil veinticinco, </w:t>
      </w:r>
      <w:r w:rsidR="00E96B90" w:rsidRPr="00E85FF0">
        <w:rPr>
          <w:rFonts w:ascii="Palatino Linotype" w:eastAsia="Palatino Linotype" w:hAnsi="Palatino Linotype" w:cs="Palatino Linotype"/>
          <w:sz w:val="22"/>
          <w:szCs w:val="22"/>
        </w:rPr>
        <w:t xml:space="preserve">el </w:t>
      </w:r>
      <w:r w:rsidR="00E96B90" w:rsidRPr="00E85FF0">
        <w:rPr>
          <w:rFonts w:ascii="Palatino Linotype" w:eastAsia="Palatino Linotype" w:hAnsi="Palatino Linotype" w:cs="Palatino Linotype"/>
          <w:b/>
          <w:sz w:val="22"/>
          <w:szCs w:val="22"/>
        </w:rPr>
        <w:t>Sujeto Obligado</w:t>
      </w:r>
      <w:r w:rsidR="00E96B90" w:rsidRPr="00E85FF0">
        <w:rPr>
          <w:rFonts w:ascii="Palatino Linotype" w:eastAsia="Palatino Linotype" w:hAnsi="Palatino Linotype" w:cs="Palatino Linotype"/>
          <w:sz w:val="22"/>
          <w:szCs w:val="22"/>
        </w:rPr>
        <w:t xml:space="preserve"> remitió, a través del SAIMEX, </w:t>
      </w:r>
      <w:r w:rsidR="00997932" w:rsidRPr="00E85FF0">
        <w:rPr>
          <w:rFonts w:ascii="Palatino Linotype" w:eastAsia="Palatino Linotype" w:hAnsi="Palatino Linotype" w:cs="Palatino Linotype"/>
          <w:sz w:val="22"/>
          <w:szCs w:val="22"/>
        </w:rPr>
        <w:t>lo siguiente:</w:t>
      </w:r>
    </w:p>
    <w:p w14:paraId="50D06C9A" w14:textId="35D48D7B" w:rsidR="00997932" w:rsidRPr="00E85FF0" w:rsidRDefault="00997932"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 Oficio número SMDIF/UT/086/2025, mediante el cual el Jefe de la Unidad de Transparencia </w:t>
      </w:r>
      <w:r w:rsidR="00FA1156" w:rsidRPr="00E85FF0">
        <w:rPr>
          <w:rFonts w:ascii="Palatino Linotype" w:eastAsia="Palatino Linotype" w:hAnsi="Palatino Linotype" w:cs="Palatino Linotype"/>
          <w:sz w:val="22"/>
          <w:szCs w:val="22"/>
        </w:rPr>
        <w:t xml:space="preserve">refirió anexar el oficio de turno a la Tesorería del Sistema Municipal para el Desarrollo Integral de la Familia, </w:t>
      </w:r>
      <w:r w:rsidR="006B5BE3" w:rsidRPr="00E85FF0">
        <w:rPr>
          <w:rFonts w:ascii="Palatino Linotype" w:eastAsia="Palatino Linotype" w:hAnsi="Palatino Linotype" w:cs="Palatino Linotype"/>
          <w:sz w:val="22"/>
          <w:szCs w:val="22"/>
        </w:rPr>
        <w:t>solicitando la relación de contratos con proveedores del DIF, sin embargo, precisó que hasta el día veinticuatro de noviembre de dos mil veinticinco no se ha recibido respuesta por parte del servidor público habilitado.</w:t>
      </w:r>
    </w:p>
    <w:p w14:paraId="1B040DC9" w14:textId="500FCBB2" w:rsidR="00997932" w:rsidRPr="00E85FF0" w:rsidRDefault="006B5BE3"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Oficio núm</w:t>
      </w:r>
      <w:r w:rsidR="00421F6D" w:rsidRPr="00E85FF0">
        <w:rPr>
          <w:rFonts w:ascii="Palatino Linotype" w:eastAsia="Palatino Linotype" w:hAnsi="Palatino Linotype" w:cs="Palatino Linotype"/>
          <w:sz w:val="22"/>
          <w:szCs w:val="22"/>
        </w:rPr>
        <w:t>ero SMDIFC/058/UT/2025, mediante el cual el Jefe de la Unidad de Transparencia requirió al Tesorero del SMDIF de Capuluac girara sus instrucciones a fin de proporcionar diversa información, entre la que se encuentra la relación de contratos con proveedores.</w:t>
      </w:r>
    </w:p>
    <w:p w14:paraId="228EC591" w14:textId="113A1D72" w:rsidR="00B63576" w:rsidRPr="00E85FF0" w:rsidRDefault="00B278DC" w:rsidP="00837327">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Una vez analizada la información, </w:t>
      </w:r>
      <w:r w:rsidR="005B6BEF" w:rsidRPr="00E85FF0">
        <w:rPr>
          <w:rFonts w:ascii="Palatino Linotype" w:eastAsia="Palatino Linotype" w:hAnsi="Palatino Linotype" w:cs="Palatino Linotype"/>
          <w:sz w:val="22"/>
          <w:szCs w:val="22"/>
        </w:rPr>
        <w:t>únicamente se</w:t>
      </w:r>
      <w:r w:rsidRPr="00E85FF0">
        <w:rPr>
          <w:rFonts w:ascii="Palatino Linotype" w:eastAsia="Palatino Linotype" w:hAnsi="Palatino Linotype" w:cs="Palatino Linotype"/>
          <w:sz w:val="22"/>
          <w:szCs w:val="22"/>
        </w:rPr>
        <w:t xml:space="preserve"> hizo del conocimiento de la persona</w:t>
      </w:r>
      <w:r w:rsidR="005B6BEF" w:rsidRPr="00E85FF0">
        <w:rPr>
          <w:rFonts w:ascii="Palatino Linotype" w:eastAsia="Palatino Linotype" w:hAnsi="Palatino Linotype" w:cs="Palatino Linotype"/>
          <w:sz w:val="22"/>
          <w:szCs w:val="22"/>
        </w:rPr>
        <w:t xml:space="preserve">, </w:t>
      </w:r>
      <w:r w:rsidR="0095701F" w:rsidRPr="00E85FF0">
        <w:rPr>
          <w:rFonts w:ascii="Palatino Linotype" w:eastAsia="Palatino Linotype" w:hAnsi="Palatino Linotype" w:cs="Palatino Linotype"/>
          <w:sz w:val="22"/>
          <w:szCs w:val="22"/>
        </w:rPr>
        <w:t xml:space="preserve">a efecto de que manifestara lo que a su derecho estimara conveniente, </w:t>
      </w:r>
      <w:r w:rsidR="00837327" w:rsidRPr="00E85FF0">
        <w:rPr>
          <w:rFonts w:ascii="Palatino Linotype" w:eastAsia="Palatino Linotype" w:hAnsi="Palatino Linotype" w:cs="Palatino Linotype"/>
          <w:sz w:val="22"/>
          <w:szCs w:val="22"/>
        </w:rPr>
        <w:t>sin embargo, fue omisa en ejercer dicha prerrogativa.</w:t>
      </w:r>
    </w:p>
    <w:p w14:paraId="1A595AE7" w14:textId="367BB30E" w:rsidR="0095701F" w:rsidRPr="00E85FF0" w:rsidRDefault="00837327" w:rsidP="0095701F">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bCs/>
          <w:sz w:val="22"/>
          <w:szCs w:val="22"/>
        </w:rPr>
        <w:t>7</w:t>
      </w:r>
      <w:r w:rsidR="00E96B90" w:rsidRPr="00E85FF0">
        <w:rPr>
          <w:rFonts w:ascii="Palatino Linotype" w:eastAsia="Palatino Linotype" w:hAnsi="Palatino Linotype" w:cs="Palatino Linotype"/>
          <w:sz w:val="22"/>
          <w:szCs w:val="22"/>
        </w:rPr>
        <w:t>.</w:t>
      </w:r>
      <w:r w:rsidR="0095701F" w:rsidRPr="00E85FF0">
        <w:rPr>
          <w:rFonts w:ascii="Palatino Linotype" w:eastAsia="Palatino Linotype" w:hAnsi="Palatino Linotype" w:cs="Palatino Linotype"/>
          <w:b/>
          <w:sz w:val="22"/>
          <w:szCs w:val="22"/>
        </w:rPr>
        <w:t xml:space="preserve"> Cierre de instrucción. </w:t>
      </w:r>
      <w:r w:rsidR="0095701F" w:rsidRPr="00E85FF0">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el</w:t>
      </w:r>
      <w:r w:rsidRPr="00E85FF0">
        <w:rPr>
          <w:rFonts w:ascii="Palatino Linotype" w:eastAsia="Palatino Linotype" w:hAnsi="Palatino Linotype" w:cs="Palatino Linotype"/>
          <w:sz w:val="22"/>
          <w:szCs w:val="22"/>
        </w:rPr>
        <w:t xml:space="preserve"> </w:t>
      </w:r>
      <w:r w:rsidR="00985C3E" w:rsidRPr="00E85FF0">
        <w:rPr>
          <w:rFonts w:ascii="Palatino Linotype" w:eastAsia="Palatino Linotype" w:hAnsi="Palatino Linotype" w:cs="Palatino Linotype"/>
          <w:b/>
          <w:bCs/>
          <w:sz w:val="22"/>
          <w:szCs w:val="22"/>
        </w:rPr>
        <w:t>ocho</w:t>
      </w:r>
      <w:r w:rsidR="00FF4216" w:rsidRPr="00E85FF0">
        <w:rPr>
          <w:rFonts w:ascii="Palatino Linotype" w:eastAsia="Palatino Linotype" w:hAnsi="Palatino Linotype" w:cs="Palatino Linotype"/>
          <w:b/>
          <w:bCs/>
          <w:sz w:val="22"/>
          <w:szCs w:val="22"/>
        </w:rPr>
        <w:t xml:space="preserve"> </w:t>
      </w:r>
      <w:r w:rsidR="0095701F" w:rsidRPr="00E85FF0">
        <w:rPr>
          <w:rFonts w:ascii="Palatino Linotype" w:eastAsia="Palatino Linotype" w:hAnsi="Palatino Linotype" w:cs="Palatino Linotype"/>
          <w:b/>
          <w:sz w:val="22"/>
          <w:szCs w:val="22"/>
        </w:rPr>
        <w:t>de diciembre de dos mil veinticinco</w:t>
      </w:r>
      <w:r w:rsidR="0095701F" w:rsidRPr="00E85FF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E85FF0"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II. C O N S I D E R A N D O S</w:t>
      </w:r>
    </w:p>
    <w:p w14:paraId="591E0DDD" w14:textId="70ECD718"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Primero. Competencia.</w:t>
      </w:r>
      <w:r w:rsidRPr="00E85FF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E85FF0">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E85FF0">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E85FF0">
        <w:rPr>
          <w:rFonts w:ascii="Palatino Linotype" w:eastAsia="Palatino Linotype" w:hAnsi="Palatino Linotype" w:cs="Palatino Linotype"/>
          <w:b/>
          <w:sz w:val="22"/>
          <w:szCs w:val="22"/>
        </w:rPr>
        <w:t xml:space="preserve">Segundo. Oportunidad y Procedibilidad. </w:t>
      </w:r>
      <w:r w:rsidRPr="00E85FF0">
        <w:rPr>
          <w:rFonts w:ascii="Palatino Linotype" w:eastAsia="Palatino Linotype" w:hAnsi="Palatino Linotype" w:cs="Palatino Linotype"/>
          <w:sz w:val="22"/>
          <w:szCs w:val="22"/>
        </w:rPr>
        <w:t>Es de precisar que la</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E85FF0" w:rsidRDefault="00E96B90" w:rsidP="00D7204E">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 xml:space="preserve">Artículo 163. </w:t>
      </w:r>
      <w:r w:rsidRPr="00E85FF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E85FF0" w:rsidRDefault="00E96B90" w:rsidP="00D7204E">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49A851A1" w14:textId="77777777" w:rsidR="005A75CA" w:rsidRPr="00E85FF0" w:rsidRDefault="00E96B90" w:rsidP="00D7204E">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166.</w:t>
      </w:r>
      <w:r w:rsidRPr="00E85FF0">
        <w:rPr>
          <w:rFonts w:ascii="Palatino Linotype" w:eastAsia="Palatino Linotype" w:hAnsi="Palatino Linotype" w:cs="Palatino Linotype"/>
          <w:i/>
          <w:sz w:val="22"/>
          <w:szCs w:val="22"/>
        </w:rPr>
        <w:t xml:space="preserve"> […]</w:t>
      </w:r>
    </w:p>
    <w:p w14:paraId="5950788F" w14:textId="77777777" w:rsidR="005A75CA" w:rsidRPr="00E85FF0" w:rsidRDefault="00E96B90" w:rsidP="00D7204E">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E85FF0" w:rsidRDefault="00E96B90" w:rsidP="00D7204E">
      <w:pPr>
        <w:spacing w:before="240" w:after="240" w:line="360" w:lineRule="auto"/>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sz w:val="22"/>
          <w:szCs w:val="22"/>
        </w:rPr>
        <w:t>Por su parte, el artículo 178 del citado ordenamiento, establece:</w:t>
      </w:r>
    </w:p>
    <w:p w14:paraId="4D8FD504" w14:textId="77777777" w:rsidR="005A75CA" w:rsidRPr="00E85FF0" w:rsidRDefault="00E96B90" w:rsidP="00D7204E">
      <w:pPr>
        <w:spacing w:before="120" w:after="120"/>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 xml:space="preserve">Artículo 178. </w:t>
      </w:r>
      <w:r w:rsidRPr="00E85FF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E85FF0" w:rsidRDefault="00E96B90" w:rsidP="00D7204E">
      <w:pPr>
        <w:spacing w:before="120" w:after="120"/>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E85FF0">
        <w:rPr>
          <w:rFonts w:ascii="Palatino Linotype" w:eastAsia="Palatino Linotype" w:hAnsi="Palatino Linotype" w:cs="Palatino Linotype"/>
          <w:b/>
          <w:sz w:val="22"/>
          <w:szCs w:val="22"/>
        </w:rPr>
        <w:t xml:space="preserve">Sujeto Obligado </w:t>
      </w:r>
      <w:r w:rsidRPr="00E85FF0">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E85FF0">
        <w:rPr>
          <w:rFonts w:ascii="Palatino Linotype" w:eastAsia="Palatino Linotype" w:hAnsi="Palatino Linotype" w:cs="Palatino Linotype"/>
          <w:b/>
          <w:sz w:val="22"/>
          <w:szCs w:val="22"/>
        </w:rPr>
        <w:t xml:space="preserve">Sujeto Obligado </w:t>
      </w:r>
      <w:r w:rsidRPr="00E85FF0">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E85FF0" w:rsidRDefault="00E96B90" w:rsidP="00D7204E">
      <w:pPr>
        <w:spacing w:before="240" w:after="240" w:line="360" w:lineRule="auto"/>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E85FF0" w:rsidRDefault="00E96B90" w:rsidP="00D7204E">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“CRITERIO 0001-15. NEGATIVA FICTA. PLAZO PARA INTERPONER EL RECURSO DE REVISIÓN TRATÁNDOSE DE</w:t>
      </w:r>
      <w:r w:rsidRPr="00E85FF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FE04A86" w14:textId="77777777" w:rsidR="006C72C4" w:rsidRPr="00E85FF0" w:rsidRDefault="006C72C4" w:rsidP="00D7204E">
      <w:pPr>
        <w:spacing w:line="360" w:lineRule="auto"/>
        <w:jc w:val="both"/>
        <w:rPr>
          <w:rFonts w:ascii="Palatino Linotype" w:eastAsia="Palatino Linotype" w:hAnsi="Palatino Linotype" w:cs="Palatino Linotype"/>
          <w:sz w:val="22"/>
          <w:szCs w:val="22"/>
        </w:rPr>
      </w:pPr>
    </w:p>
    <w:p w14:paraId="30081B66" w14:textId="77777777" w:rsidR="00DE0050" w:rsidRPr="00E85FF0" w:rsidRDefault="00DE0050" w:rsidP="00DE0050">
      <w:pPr>
        <w:spacing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B38E422" w14:textId="4DC781BC"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E85FF0" w:rsidRDefault="00E96B90" w:rsidP="00E3627B">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 xml:space="preserve">Artículo 179. </w:t>
      </w:r>
      <w:r w:rsidRPr="00E85FF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E85FF0" w:rsidRDefault="00E96B90" w:rsidP="00E3627B">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108CFBAE" w14:textId="77777777" w:rsidR="005A75CA" w:rsidRPr="00E85FF0" w:rsidRDefault="00E96B90" w:rsidP="00E3627B">
      <w:pPr>
        <w:ind w:left="851" w:right="851"/>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VII. </w:t>
      </w:r>
      <w:r w:rsidRPr="00E85FF0">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E85FF0">
        <w:rPr>
          <w:rFonts w:ascii="Palatino Linotype" w:eastAsia="Palatino Linotype" w:hAnsi="Palatino Linotype" w:cs="Palatino Linotype"/>
          <w:b/>
          <w:sz w:val="22"/>
          <w:szCs w:val="22"/>
        </w:rPr>
        <w:t xml:space="preserve">Recurrente </w:t>
      </w:r>
      <w:r w:rsidRPr="00E85FF0">
        <w:rPr>
          <w:rFonts w:ascii="Palatino Linotype" w:eastAsia="Palatino Linotype" w:hAnsi="Palatino Linotype" w:cs="Palatino Linotype"/>
          <w:sz w:val="22"/>
          <w:szCs w:val="22"/>
        </w:rPr>
        <w:t xml:space="preserve">estime negado el acceso a la información por la falta de respuesta por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en este asunto se actualiza la hipótesis jurídica citada, en atención a que 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xml:space="preserve"> combate falta de trámite por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y expresa motivos de inconformidad en contra de dicha circunstancia.</w:t>
      </w:r>
    </w:p>
    <w:p w14:paraId="12A9D239" w14:textId="77777777" w:rsidR="005A75CA" w:rsidRPr="00E85FF0" w:rsidRDefault="00E96B90" w:rsidP="00D7204E">
      <w:pPr>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 xml:space="preserve">Tercero. Materia de la revisión. </w:t>
      </w:r>
      <w:r w:rsidRPr="00E85FF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85FF0">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E85FF0">
        <w:rPr>
          <w:rFonts w:ascii="Palatino Linotype" w:eastAsia="Palatino Linotype" w:hAnsi="Palatino Linotype" w:cs="Palatino Linotype"/>
          <w:sz w:val="22"/>
          <w:szCs w:val="22"/>
        </w:rPr>
        <w:t xml:space="preserve">de 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o en su defecto, en caso de ser procedente, ordenar la entrega de información.</w:t>
      </w:r>
    </w:p>
    <w:p w14:paraId="17F2A1BC"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E85FF0">
        <w:rPr>
          <w:rFonts w:ascii="Palatino Linotype" w:eastAsia="Palatino Linotype" w:hAnsi="Palatino Linotype" w:cs="Palatino Linotype"/>
          <w:b/>
          <w:sz w:val="22"/>
          <w:szCs w:val="22"/>
        </w:rPr>
        <w:t xml:space="preserve">Cuarto. Estudio del asunto. </w:t>
      </w:r>
      <w:r w:rsidRPr="00E85FF0">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3378A5" w14:textId="77777777" w:rsidR="005A75CA" w:rsidRPr="00E85FF0" w:rsidRDefault="00E96B90" w:rsidP="00D7204E">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4</w:t>
      </w:r>
      <w:r w:rsidRPr="00E85F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A8397F" w14:textId="77777777" w:rsidR="005A75CA" w:rsidRPr="00E85FF0" w:rsidRDefault="00E96B90" w:rsidP="00D7204E">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85F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B271AA" w14:textId="77777777" w:rsidR="005A75CA" w:rsidRPr="00E85FF0" w:rsidRDefault="00E96B90" w:rsidP="00D7204E">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85FF0">
        <w:rPr>
          <w:rFonts w:ascii="Palatino Linotype" w:eastAsia="Palatino Linotype" w:hAnsi="Palatino Linotype" w:cs="Palatino Linotype"/>
          <w:i/>
          <w:sz w:val="22"/>
          <w:szCs w:val="22"/>
        </w:rPr>
        <w:t>.”</w:t>
      </w:r>
    </w:p>
    <w:p w14:paraId="1BBF46E6"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0FAB9E" w14:textId="77777777" w:rsidR="005A75CA" w:rsidRPr="00E85FF0" w:rsidRDefault="00E96B90" w:rsidP="00D7204E">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12.-</w:t>
      </w:r>
      <w:r w:rsidRPr="00E85F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77982" w14:textId="77777777" w:rsidR="005A75CA" w:rsidRPr="00E85FF0" w:rsidRDefault="00E96B90" w:rsidP="00D7204E">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33D310A" w14:textId="77777777" w:rsidR="005A75CA" w:rsidRPr="00E85FF0" w:rsidRDefault="00E96B90" w:rsidP="00D7204E">
      <w:pPr>
        <w:spacing w:before="240" w:after="240" w:line="360" w:lineRule="auto"/>
        <w:ind w:right="-93"/>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8F2B0B" w14:textId="77777777" w:rsidR="005A75CA" w:rsidRPr="00E85FF0" w:rsidRDefault="00E96B90" w:rsidP="00D7204E">
      <w:pPr>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E85FF0">
        <w:rPr>
          <w:rFonts w:ascii="Palatino Linotype" w:eastAsia="Palatino Linotype" w:hAnsi="Palatino Linotype" w:cs="Palatino Linotype"/>
          <w:b/>
          <w:sz w:val="22"/>
          <w:szCs w:val="22"/>
        </w:rPr>
        <w:t xml:space="preserve"> </w:t>
      </w:r>
    </w:p>
    <w:p w14:paraId="187319BE" w14:textId="77777777" w:rsidR="005A75CA" w:rsidRPr="00E85FF0" w:rsidRDefault="00E96B90" w:rsidP="00D7204E">
      <w:pPr>
        <w:spacing w:before="120" w:after="120"/>
        <w:ind w:left="1134"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No existe obligación de elaborar documentos ad hoc para atender las solicitudes de acceso a la información.</w:t>
      </w:r>
      <w:r w:rsidRPr="00E85FF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AF5236" w14:textId="77777777" w:rsidR="005A75CA" w:rsidRPr="00E85FF0" w:rsidRDefault="00E96B90" w:rsidP="00D7204E">
      <w:pPr>
        <w:spacing w:before="120" w:after="12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F1A054" w14:textId="77777777" w:rsidR="005A75CA" w:rsidRPr="00E85FF0" w:rsidRDefault="00E96B90" w:rsidP="00D7204E">
      <w:pPr>
        <w:spacing w:before="120" w:after="12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A0B7FE"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 xml:space="preserve">Artículo 3. </w:t>
      </w:r>
      <w:r w:rsidRPr="00E85FF0">
        <w:rPr>
          <w:rFonts w:ascii="Palatino Linotype" w:eastAsia="Palatino Linotype" w:hAnsi="Palatino Linotype" w:cs="Palatino Linotype"/>
          <w:i/>
          <w:sz w:val="22"/>
          <w:szCs w:val="22"/>
        </w:rPr>
        <w:t>Para los efectos de la presente Ley se entenderá por:</w:t>
      </w:r>
    </w:p>
    <w:p w14:paraId="7ABF6050"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1ADEE37D"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XI. Documento:</w:t>
      </w:r>
      <w:r w:rsidRPr="00E85FF0">
        <w:rPr>
          <w:rFonts w:ascii="Palatino Linotype" w:eastAsia="Palatino Linotype" w:hAnsi="Palatino Linotype" w:cs="Palatino Linotype"/>
          <w:i/>
          <w:sz w:val="22"/>
          <w:szCs w:val="22"/>
        </w:rPr>
        <w:t xml:space="preserve"> Los expedientes, reportes, estudios, actas</w:t>
      </w:r>
      <w:r w:rsidRPr="00E85FF0">
        <w:rPr>
          <w:rFonts w:ascii="Palatino Linotype" w:eastAsia="Palatino Linotype" w:hAnsi="Palatino Linotype" w:cs="Palatino Linotype"/>
          <w:b/>
          <w:i/>
          <w:sz w:val="22"/>
          <w:szCs w:val="22"/>
        </w:rPr>
        <w:t>,</w:t>
      </w:r>
      <w:r w:rsidRPr="00E85F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C9E0CA"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C18FEF"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sz w:val="22"/>
          <w:szCs w:val="22"/>
        </w:rPr>
        <w:t>“</w:t>
      </w:r>
      <w:r w:rsidRPr="00E85FF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85F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B82B0"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9182FD"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5AF0DC"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D716AC" w14:textId="77777777" w:rsidR="005A75CA" w:rsidRPr="00E85FF0" w:rsidRDefault="00E96B90" w:rsidP="00E3627B">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8D6395" w14:textId="77777777" w:rsidR="005A75CA" w:rsidRPr="00E85FF0" w:rsidRDefault="00E96B90" w:rsidP="00D7204E">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20D38"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31EFC3" w14:textId="77777777" w:rsidR="005A75CA" w:rsidRPr="00E85FF0" w:rsidRDefault="00E96B90" w:rsidP="00D7204E">
      <w:pPr>
        <w:spacing w:before="280" w:after="28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xml:space="preserve"> resultan fundados, en virtud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097446F7" w14:textId="01E3112C" w:rsidR="003D4046" w:rsidRPr="00E85FF0" w:rsidRDefault="008178BC" w:rsidP="00BB34F7">
      <w:pPr>
        <w:spacing w:before="120" w:after="120" w:line="360" w:lineRule="auto"/>
        <w:ind w:left="426" w:right="49"/>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sz w:val="22"/>
          <w:szCs w:val="22"/>
        </w:rPr>
        <w:t xml:space="preserve">1. </w:t>
      </w:r>
      <w:r w:rsidR="003D4046" w:rsidRPr="00E85FF0">
        <w:rPr>
          <w:rFonts w:ascii="Palatino Linotype" w:eastAsia="Palatino Linotype" w:hAnsi="Palatino Linotype" w:cs="Palatino Linotype"/>
          <w:iCs/>
          <w:sz w:val="22"/>
          <w:szCs w:val="22"/>
        </w:rPr>
        <w:t>Relación de contratos con proveedores</w:t>
      </w:r>
      <w:r w:rsidR="00AA167F" w:rsidRPr="00E85FF0">
        <w:rPr>
          <w:rFonts w:ascii="Palatino Linotype" w:eastAsia="Palatino Linotype" w:hAnsi="Palatino Linotype" w:cs="Palatino Linotype"/>
          <w:iCs/>
          <w:sz w:val="22"/>
          <w:szCs w:val="22"/>
        </w:rPr>
        <w:t xml:space="preserve"> del DIF</w:t>
      </w:r>
    </w:p>
    <w:p w14:paraId="4C63609A" w14:textId="77777777" w:rsidR="005A75CA" w:rsidRPr="00E85FF0" w:rsidRDefault="00E96B90" w:rsidP="00D7204E">
      <w:pPr>
        <w:spacing w:before="280" w:after="28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Situación que motivó la interposición del recurso de revisión que nos ocupa, donde la persona solicitante alegó medularmente la negativa de la información.</w:t>
      </w:r>
    </w:p>
    <w:p w14:paraId="28EC8DC6" w14:textId="27124518" w:rsidR="00091354" w:rsidRPr="00E85FF0" w:rsidRDefault="00E96B90" w:rsidP="007D142D">
      <w:pPr>
        <w:spacing w:before="240" w:after="240" w:line="360" w:lineRule="auto"/>
        <w:ind w:right="49"/>
        <w:jc w:val="both"/>
        <w:rPr>
          <w:rFonts w:ascii="Palatino Linotype" w:eastAsia="Palatino Linotype" w:hAnsi="Palatino Linotype" w:cs="Palatino Linotype"/>
          <w:bCs/>
          <w:sz w:val="22"/>
          <w:szCs w:val="22"/>
        </w:rPr>
      </w:pPr>
      <w:r w:rsidRPr="00E85FF0">
        <w:rPr>
          <w:rFonts w:ascii="Palatino Linotype" w:eastAsia="Palatino Linotype" w:hAnsi="Palatino Linotype" w:cs="Palatino Linotype"/>
          <w:sz w:val="22"/>
          <w:szCs w:val="22"/>
        </w:rPr>
        <w:t xml:space="preserve">Ahora bien, en la etapa de manifestaciones </w:t>
      </w:r>
      <w:r w:rsidR="00091354" w:rsidRPr="00E85FF0">
        <w:rPr>
          <w:rFonts w:ascii="Palatino Linotype" w:eastAsia="Palatino Linotype" w:hAnsi="Palatino Linotype" w:cs="Palatino Linotype"/>
          <w:sz w:val="22"/>
          <w:szCs w:val="22"/>
        </w:rPr>
        <w:t>el Jefe de la Unidad de Transparencia d</w:t>
      </w: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 xml:space="preserve">Sujeto Obligado </w:t>
      </w:r>
      <w:r w:rsidR="00252329" w:rsidRPr="00E85FF0">
        <w:rPr>
          <w:rFonts w:ascii="Palatino Linotype" w:eastAsia="Palatino Linotype" w:hAnsi="Palatino Linotype" w:cs="Palatino Linotype"/>
          <w:bCs/>
          <w:sz w:val="22"/>
          <w:szCs w:val="22"/>
        </w:rPr>
        <w:t>refirió</w:t>
      </w:r>
      <w:r w:rsidR="00944957" w:rsidRPr="00E85FF0">
        <w:rPr>
          <w:rFonts w:ascii="Palatino Linotype" w:eastAsia="Palatino Linotype" w:hAnsi="Palatino Linotype" w:cs="Palatino Linotype"/>
          <w:bCs/>
          <w:sz w:val="22"/>
          <w:szCs w:val="22"/>
        </w:rPr>
        <w:t xml:space="preserve"> haber solicitado a la persona servidora pública habilitada de la Tesorería del Organismo la información materia de la solicitud, </w:t>
      </w:r>
      <w:r w:rsidR="00252329" w:rsidRPr="00E85FF0">
        <w:rPr>
          <w:rFonts w:ascii="Palatino Linotype" w:eastAsia="Palatino Linotype" w:hAnsi="Palatino Linotype" w:cs="Palatino Linotype"/>
          <w:bCs/>
          <w:sz w:val="22"/>
          <w:szCs w:val="22"/>
        </w:rPr>
        <w:t xml:space="preserve">como acreditó con el oficio número SMDIFC/058/UT/2025, </w:t>
      </w:r>
      <w:r w:rsidR="00944957" w:rsidRPr="00E85FF0">
        <w:rPr>
          <w:rFonts w:ascii="Palatino Linotype" w:eastAsia="Palatino Linotype" w:hAnsi="Palatino Linotype" w:cs="Palatino Linotype"/>
          <w:bCs/>
          <w:sz w:val="22"/>
          <w:szCs w:val="22"/>
        </w:rPr>
        <w:t>sin embargo, esta fue omisa</w:t>
      </w:r>
      <w:r w:rsidR="00252329" w:rsidRPr="00E85FF0">
        <w:rPr>
          <w:rFonts w:ascii="Palatino Linotype" w:eastAsia="Palatino Linotype" w:hAnsi="Palatino Linotype" w:cs="Palatino Linotype"/>
          <w:bCs/>
          <w:sz w:val="22"/>
          <w:szCs w:val="22"/>
        </w:rPr>
        <w:t>.</w:t>
      </w:r>
    </w:p>
    <w:p w14:paraId="1FC261A7" w14:textId="77B6CC1D" w:rsidR="009B2FB9" w:rsidRPr="00E85FF0" w:rsidRDefault="009B2FB9" w:rsidP="009B2FB9">
      <w:pPr>
        <w:spacing w:before="240" w:after="240" w:line="360" w:lineRule="auto"/>
        <w:ind w:right="49"/>
        <w:jc w:val="both"/>
        <w:rPr>
          <w:rFonts w:ascii="Palatino Linotype" w:eastAsia="Palatino Linotype" w:hAnsi="Palatino Linotype" w:cs="Palatino Linotype"/>
          <w:bCs/>
          <w:sz w:val="22"/>
          <w:szCs w:val="22"/>
        </w:rPr>
      </w:pPr>
      <w:r w:rsidRPr="00E85FF0">
        <w:rPr>
          <w:rFonts w:ascii="Palatino Linotype" w:eastAsia="Palatino Linotype" w:hAnsi="Palatino Linotype" w:cs="Palatino Linotype"/>
          <w:bCs/>
          <w:sz w:val="22"/>
          <w:szCs w:val="22"/>
        </w:rPr>
        <w:t>Di</w:t>
      </w:r>
      <w:r w:rsidR="00B11F9E" w:rsidRPr="00E85FF0">
        <w:rPr>
          <w:rFonts w:ascii="Palatino Linotype" w:eastAsia="Palatino Linotype" w:hAnsi="Palatino Linotype" w:cs="Palatino Linotype"/>
          <w:bCs/>
          <w:sz w:val="22"/>
          <w:szCs w:val="22"/>
        </w:rPr>
        <w:t>cha información se hizo del conocimiento de la parte</w:t>
      </w:r>
      <w:r w:rsidR="00B11F9E" w:rsidRPr="00E85FF0">
        <w:rPr>
          <w:rFonts w:ascii="Palatino Linotype" w:eastAsia="Palatino Linotype" w:hAnsi="Palatino Linotype" w:cs="Palatino Linotype"/>
          <w:b/>
          <w:sz w:val="22"/>
          <w:szCs w:val="22"/>
        </w:rPr>
        <w:t xml:space="preserve"> Recurrente </w:t>
      </w:r>
      <w:r w:rsidR="00B01291" w:rsidRPr="00E85FF0">
        <w:rPr>
          <w:rFonts w:ascii="Palatino Linotype" w:eastAsia="Palatino Linotype" w:hAnsi="Palatino Linotype" w:cs="Palatino Linotype"/>
          <w:bCs/>
          <w:sz w:val="22"/>
          <w:szCs w:val="22"/>
        </w:rPr>
        <w:t>con la finalidad de que manifestara lo que a su derecho estimara conveniente, sin embargo, fue omisa en ejercer dicha prerrogativa como se señaló anteriormente.</w:t>
      </w:r>
    </w:p>
    <w:p w14:paraId="1D9936A1" w14:textId="77777777" w:rsidR="00871C8E" w:rsidRPr="00E85FF0" w:rsidRDefault="00871C8E" w:rsidP="00871C8E">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Una vez establecidas las posturas de las partes,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9D17AA9" w14:textId="77777777" w:rsidR="00871C8E" w:rsidRPr="00E85FF0" w:rsidRDefault="00871C8E" w:rsidP="00871C8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45B5367" w14:textId="77777777" w:rsidR="00871C8E" w:rsidRPr="00E85FF0" w:rsidRDefault="00871C8E" w:rsidP="00871C8E">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E9B5E21" w14:textId="77777777" w:rsidR="00871C8E" w:rsidRPr="00E85FF0" w:rsidRDefault="00871C8E" w:rsidP="00871C8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49BEA48" w14:textId="3E54699E" w:rsidR="00252329" w:rsidRPr="00E85FF0" w:rsidRDefault="00871C8E" w:rsidP="00871C8E">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w:t>
      </w:r>
      <w:r w:rsidR="00252329" w:rsidRPr="00E85FF0">
        <w:rPr>
          <w:rFonts w:ascii="Palatino Linotype" w:eastAsia="Palatino Linotype" w:hAnsi="Palatino Linotype" w:cs="Palatino Linotype"/>
          <w:sz w:val="22"/>
          <w:szCs w:val="22"/>
        </w:rPr>
        <w:t>turno la solicitud a la Tesorería del Organismo, como el área competente para conocer de la información que es del interés de la persona solicitante.</w:t>
      </w:r>
    </w:p>
    <w:p w14:paraId="419DC5A9" w14:textId="308D904C" w:rsidR="005F3716" w:rsidRPr="00E85FF0" w:rsidRDefault="003E5305" w:rsidP="00871C8E">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Cabe señalar que de conformidad con el artículo 15 de la Ley que crea los Organismos Públicos Descentralizados de Asistencia Social, de carácter municipal, denominados “Sistemas Municipales para el Desarrollo Integral de la Familia”</w:t>
      </w:r>
      <w:r w:rsidR="005F3716" w:rsidRPr="00E85FF0">
        <w:rPr>
          <w:rFonts w:ascii="Palatino Linotype" w:eastAsia="Palatino Linotype" w:hAnsi="Palatino Linotype" w:cs="Palatino Linotype"/>
          <w:sz w:val="22"/>
          <w:szCs w:val="22"/>
        </w:rPr>
        <w:t>, el tesorero es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asimismo, se le confieren las siguientes atribuciones en su parte conducente:</w:t>
      </w:r>
    </w:p>
    <w:p w14:paraId="74690F0F" w14:textId="77777777" w:rsidR="00AA28D8" w:rsidRPr="00E85FF0" w:rsidRDefault="00AA28D8" w:rsidP="00AA28D8">
      <w:pPr>
        <w:spacing w:before="240" w:after="240" w:line="360" w:lineRule="auto"/>
        <w:ind w:left="284"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I. Administrar los recursos que conforman el patrimonio del organismo de conformidad con lo establecido en las disposiciones legales aplicables; </w:t>
      </w:r>
    </w:p>
    <w:p w14:paraId="1BA76686" w14:textId="455BF8EA" w:rsidR="005F3716" w:rsidRPr="00E85FF0" w:rsidRDefault="00AA28D8" w:rsidP="00AA28D8">
      <w:pPr>
        <w:spacing w:before="240" w:after="240" w:line="360" w:lineRule="auto"/>
        <w:ind w:left="284"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II. Llevar los libros y registros contables, financieros y administrativos de los ingresos, egresos e inventarios;</w:t>
      </w:r>
    </w:p>
    <w:p w14:paraId="1745EDB1" w14:textId="61F2C513" w:rsidR="008E0084" w:rsidRPr="00E85FF0" w:rsidRDefault="00403FFC" w:rsidP="00871C8E">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este sentido, si bien, la </w:t>
      </w:r>
      <w:r w:rsidR="006D4370" w:rsidRPr="00E85FF0">
        <w:rPr>
          <w:rFonts w:ascii="Palatino Linotype" w:eastAsia="Palatino Linotype" w:hAnsi="Palatino Linotype" w:cs="Palatino Linotype"/>
          <w:sz w:val="22"/>
          <w:szCs w:val="22"/>
        </w:rPr>
        <w:t xml:space="preserve">Unidad de Transparencia turnó la solicitud al área competente para contar con la información que es del interés de la persona solicitante, lo cierto es que NO </w:t>
      </w:r>
      <w:r w:rsidR="00A424AD" w:rsidRPr="00E85FF0">
        <w:rPr>
          <w:rFonts w:ascii="Palatino Linotype" w:eastAsia="Palatino Linotype" w:hAnsi="Palatino Linotype" w:cs="Palatino Linotype"/>
          <w:sz w:val="22"/>
          <w:szCs w:val="22"/>
        </w:rPr>
        <w:t xml:space="preserve">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al no haberse pronunciado el </w:t>
      </w:r>
      <w:r w:rsidR="006D4370" w:rsidRPr="00E85FF0">
        <w:rPr>
          <w:rFonts w:ascii="Palatino Linotype" w:eastAsia="Palatino Linotype" w:hAnsi="Palatino Linotype" w:cs="Palatino Linotype"/>
          <w:sz w:val="22"/>
          <w:szCs w:val="22"/>
        </w:rPr>
        <w:t xml:space="preserve">servidor público habilitado de dicha </w:t>
      </w:r>
      <w:r w:rsidR="00A424AD" w:rsidRPr="00E85FF0">
        <w:rPr>
          <w:rFonts w:ascii="Palatino Linotype" w:eastAsia="Palatino Linotype" w:hAnsi="Palatino Linotype" w:cs="Palatino Linotype"/>
          <w:sz w:val="22"/>
          <w:szCs w:val="22"/>
        </w:rPr>
        <w:t>área</w:t>
      </w:r>
      <w:r w:rsidR="00E135F5" w:rsidRPr="00E85FF0">
        <w:rPr>
          <w:rFonts w:ascii="Palatino Linotype" w:eastAsia="Palatino Linotype" w:hAnsi="Palatino Linotype" w:cs="Palatino Linotype"/>
          <w:sz w:val="22"/>
          <w:szCs w:val="22"/>
        </w:rPr>
        <w:t>.</w:t>
      </w:r>
      <w:r w:rsidR="00A424AD" w:rsidRPr="00E85FF0">
        <w:rPr>
          <w:rFonts w:ascii="Palatino Linotype" w:eastAsia="Palatino Linotype" w:hAnsi="Palatino Linotype" w:cs="Palatino Linotype"/>
          <w:sz w:val="22"/>
          <w:szCs w:val="22"/>
        </w:rPr>
        <w:t xml:space="preserve"> </w:t>
      </w:r>
    </w:p>
    <w:p w14:paraId="4EFC4428" w14:textId="108DD053" w:rsidR="00D3676B" w:rsidRPr="00E85FF0" w:rsidRDefault="00BC2E4B" w:rsidP="00D3676B">
      <w:pPr>
        <w:spacing w:before="240" w:after="240" w:line="360" w:lineRule="auto"/>
        <w:ind w:right="51"/>
        <w:jc w:val="both"/>
        <w:rPr>
          <w:rFonts w:ascii="Palatino Linotype" w:eastAsia="Palatino Linotype" w:hAnsi="Palatino Linotype" w:cs="Palatino Linotype"/>
          <w:bCs/>
          <w:sz w:val="22"/>
          <w:szCs w:val="22"/>
        </w:rPr>
      </w:pPr>
      <w:r w:rsidRPr="00E85FF0">
        <w:rPr>
          <w:rFonts w:ascii="Palatino Linotype" w:eastAsia="Palatino Linotype" w:hAnsi="Palatino Linotype" w:cs="Palatino Linotype"/>
          <w:bCs/>
          <w:sz w:val="22"/>
          <w:szCs w:val="22"/>
        </w:rPr>
        <w:t>En tal contexto, toda vez que no ha quedado satisfecho el Derecho de acceso de la persona solicitante, se estima necesario ordenar que, previa búsqueda exhaustiva y razonable</w:t>
      </w:r>
      <w:r w:rsidR="00C84A28" w:rsidRPr="00E85FF0">
        <w:rPr>
          <w:rFonts w:ascii="Palatino Linotype" w:eastAsia="Palatino Linotype" w:hAnsi="Palatino Linotype" w:cs="Palatino Linotype"/>
          <w:bCs/>
          <w:sz w:val="22"/>
          <w:szCs w:val="22"/>
        </w:rPr>
        <w:t xml:space="preserve"> en los archivos del área competente</w:t>
      </w:r>
      <w:r w:rsidRPr="00E85FF0">
        <w:rPr>
          <w:rFonts w:ascii="Palatino Linotype" w:eastAsia="Palatino Linotype" w:hAnsi="Palatino Linotype" w:cs="Palatino Linotype"/>
          <w:bCs/>
          <w:sz w:val="22"/>
          <w:szCs w:val="22"/>
        </w:rPr>
        <w:t>, se haga entrega del o los documentos que den cuenta de lo solicitado, en versión pública de ser procedente, de conformidad con el considerando siguiente.</w:t>
      </w:r>
    </w:p>
    <w:p w14:paraId="2C82C867"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Para efectos de lo anterior, conviene hacer alusión a lo dispuesto en la Ley de Contratación Pública del Estado de México y Municipios, la cual tiene por objeto regular los actos relativos a la </w:t>
      </w:r>
      <w:r w:rsidRPr="00E85FF0">
        <w:rPr>
          <w:rFonts w:ascii="Palatino Linotype" w:eastAsia="Palatino Linotype" w:hAnsi="Palatino Linotype" w:cs="Palatino Linotype"/>
          <w:b/>
          <w:sz w:val="22"/>
          <w:szCs w:val="22"/>
        </w:rPr>
        <w:t>planeación, programación, presupuestación</w:t>
      </w:r>
      <w:r w:rsidRPr="00E85FF0">
        <w:rPr>
          <w:rFonts w:ascii="Palatino Linotype" w:eastAsia="Palatino Linotype" w:hAnsi="Palatino Linotype" w:cs="Palatino Linotype"/>
          <w:sz w:val="22"/>
          <w:szCs w:val="22"/>
        </w:rPr>
        <w:t xml:space="preserve">, ejecución y control de la </w:t>
      </w:r>
      <w:r w:rsidRPr="00E85FF0">
        <w:rPr>
          <w:rFonts w:ascii="Palatino Linotype" w:eastAsia="Palatino Linotype" w:hAnsi="Palatino Linotype" w:cs="Palatino Linotype"/>
          <w:b/>
          <w:sz w:val="22"/>
          <w:szCs w:val="22"/>
        </w:rPr>
        <w:t>adquisición</w:t>
      </w:r>
      <w:r w:rsidRPr="00E85FF0">
        <w:rPr>
          <w:rFonts w:ascii="Palatino Linotype" w:eastAsia="Palatino Linotype" w:hAnsi="Palatino Linotype" w:cs="Palatino Linotype"/>
          <w:sz w:val="22"/>
          <w:szCs w:val="22"/>
        </w:rPr>
        <w:t xml:space="preserve">, enajenación y arrendamiento de bienes, y la </w:t>
      </w:r>
      <w:r w:rsidRPr="00E85FF0">
        <w:rPr>
          <w:rFonts w:ascii="Palatino Linotype" w:eastAsia="Palatino Linotype" w:hAnsi="Palatino Linotype" w:cs="Palatino Linotype"/>
          <w:b/>
          <w:sz w:val="22"/>
          <w:szCs w:val="22"/>
        </w:rPr>
        <w:t>contratación de servicios de cualquier naturaleza, que realicen los Ayuntamientos del Estado</w:t>
      </w:r>
      <w:r w:rsidRPr="00E85FF0">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304ED35D"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4.-</w:t>
      </w:r>
      <w:r w:rsidRPr="00E85FF0">
        <w:rPr>
          <w:rFonts w:ascii="Palatino Linotype" w:eastAsia="Palatino Linotype" w:hAnsi="Palatino Linotype" w:cs="Palatino Linotype"/>
          <w:i/>
          <w:sz w:val="22"/>
          <w:szCs w:val="22"/>
        </w:rPr>
        <w:t xml:space="preserve"> Para los efectos de esta Ley, </w:t>
      </w:r>
      <w:r w:rsidRPr="00E85FF0">
        <w:rPr>
          <w:rFonts w:ascii="Palatino Linotype" w:eastAsia="Palatino Linotype" w:hAnsi="Palatino Linotype" w:cs="Palatino Linotype"/>
          <w:b/>
          <w:i/>
          <w:sz w:val="22"/>
          <w:szCs w:val="22"/>
        </w:rPr>
        <w:t>en las adquisiciones, enajenaciones, arrendamientos y servicios, quedan comprendidos</w:t>
      </w:r>
      <w:r w:rsidRPr="00E85FF0">
        <w:rPr>
          <w:rFonts w:ascii="Palatino Linotype" w:eastAsia="Palatino Linotype" w:hAnsi="Palatino Linotype" w:cs="Palatino Linotype"/>
          <w:i/>
          <w:sz w:val="22"/>
          <w:szCs w:val="22"/>
        </w:rPr>
        <w:t>:</w:t>
      </w:r>
    </w:p>
    <w:p w14:paraId="5B0F5640"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La adquisición de bienes muebles.</w:t>
      </w:r>
    </w:p>
    <w:p w14:paraId="766CA951"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La adquisición de bienes inmuebles, a través de compraventa.</w:t>
      </w:r>
    </w:p>
    <w:p w14:paraId="41A880FC"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La enajenación de bienes muebles e inmuebles.</w:t>
      </w:r>
    </w:p>
    <w:p w14:paraId="7869276C"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IV.</w:t>
      </w:r>
      <w:r w:rsidRPr="00E85FF0">
        <w:rPr>
          <w:rFonts w:ascii="Palatino Linotype" w:eastAsia="Palatino Linotype" w:hAnsi="Palatino Linotype" w:cs="Palatino Linotype"/>
          <w:i/>
          <w:sz w:val="22"/>
          <w:szCs w:val="22"/>
        </w:rPr>
        <w:t xml:space="preserve"> El arrendamiento de bienes muebles e inmuebles. </w:t>
      </w:r>
    </w:p>
    <w:p w14:paraId="751A5F4E"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w:t>
      </w:r>
      <w:r w:rsidRPr="00E85FF0">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0FC723F5"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w:t>
      </w:r>
      <w:r w:rsidRPr="00E85FF0">
        <w:rPr>
          <w:rFonts w:ascii="Palatino Linotype" w:eastAsia="Palatino Linotype" w:hAnsi="Palatino Linotype" w:cs="Palatino Linotype"/>
          <w:i/>
          <w:sz w:val="22"/>
          <w:szCs w:val="22"/>
        </w:rPr>
        <w:t xml:space="preserve"> La contratación de los servicios de reconstrucción y mantenimiento de bienes muebles. </w:t>
      </w:r>
    </w:p>
    <w:p w14:paraId="65BB21C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VII.</w:t>
      </w:r>
      <w:r w:rsidRPr="00E85FF0">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570BBCD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VIII.</w:t>
      </w:r>
      <w:r w:rsidRPr="00E85FF0">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78584D02"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general, otros actos que impliquen la contratación de servicios de cualquier naturaleza</w:t>
      </w:r>
    </w:p>
    <w:p w14:paraId="6E8F3BD0"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26.-</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Las adquisiciones, arrendamientos y servicios se adjudicarán a través de licitaciones públicas</w:t>
      </w:r>
      <w:r w:rsidRPr="00E85FF0">
        <w:rPr>
          <w:rFonts w:ascii="Palatino Linotype" w:eastAsia="Palatino Linotype" w:hAnsi="Palatino Linotype" w:cs="Palatino Linotype"/>
          <w:i/>
          <w:sz w:val="22"/>
          <w:szCs w:val="22"/>
        </w:rPr>
        <w:t xml:space="preserve">, mediante convocatoria pública. </w:t>
      </w:r>
    </w:p>
    <w:p w14:paraId="07F67E98"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27.</w:t>
      </w:r>
      <w:r w:rsidRPr="00E85FF0">
        <w:rPr>
          <w:rFonts w:ascii="Palatino Linotype" w:eastAsia="Palatino Linotype" w:hAnsi="Palatino Linotype" w:cs="Palatino Linotype"/>
          <w:i/>
          <w:sz w:val="22"/>
          <w:szCs w:val="22"/>
        </w:rPr>
        <w:t xml:space="preserve">- La Secretaría, las entidades, los tribunales administrativos y los ayuntamientos podrán </w:t>
      </w:r>
      <w:r w:rsidRPr="00E85FF0">
        <w:rPr>
          <w:rFonts w:ascii="Palatino Linotype" w:eastAsia="Palatino Linotype" w:hAnsi="Palatino Linotype" w:cs="Palatino Linotype"/>
          <w:b/>
          <w:i/>
          <w:sz w:val="22"/>
          <w:szCs w:val="22"/>
        </w:rPr>
        <w:t>adjudicar adquisiciones, arrendamientos y servicios, mediante las excepciones al procedimiento de licitación</w:t>
      </w:r>
      <w:r w:rsidRPr="00E85FF0">
        <w:rPr>
          <w:rFonts w:ascii="Palatino Linotype" w:eastAsia="Palatino Linotype" w:hAnsi="Palatino Linotype" w:cs="Palatino Linotype"/>
          <w:i/>
          <w:sz w:val="22"/>
          <w:szCs w:val="22"/>
        </w:rPr>
        <w:t xml:space="preserve"> que a continuación se señalan:</w:t>
      </w:r>
    </w:p>
    <w:p w14:paraId="16635394"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Invitación restringida.</w:t>
      </w:r>
    </w:p>
    <w:p w14:paraId="7B8A1DBE"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II. </w:t>
      </w:r>
      <w:r w:rsidRPr="00E85FF0">
        <w:rPr>
          <w:rFonts w:ascii="Palatino Linotype" w:eastAsia="Palatino Linotype" w:hAnsi="Palatino Linotype" w:cs="Palatino Linotype"/>
          <w:i/>
          <w:sz w:val="22"/>
          <w:szCs w:val="22"/>
        </w:rPr>
        <w:t>Adjudicación directa.”</w:t>
      </w:r>
    </w:p>
    <w:p w14:paraId="7CA3FF13"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3A7D8240"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7BFA9EF3"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58B0B7FA"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44.-</w:t>
      </w:r>
      <w:r w:rsidRPr="00E85FF0">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0E8EDAA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Se hubiere declarado desierto un procedimiento de licitación, o</w:t>
      </w:r>
    </w:p>
    <w:p w14:paraId="1966CA34"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1767F3B3"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9FCE675"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la invitación deberá especificarse si en el proceso de asignación aplicará la modalidad de subasta inversa.”</w:t>
      </w:r>
    </w:p>
    <w:p w14:paraId="4621D478" w14:textId="77777777" w:rsidR="00FD0FF9" w:rsidRPr="00E85FF0" w:rsidRDefault="00FD0FF9" w:rsidP="00FD0FF9">
      <w:pPr>
        <w:spacing w:before="240" w:after="240"/>
        <w:ind w:right="49"/>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sz w:val="22"/>
          <w:szCs w:val="22"/>
        </w:rPr>
        <w:t>Asimismo, el artículo 46 de la Ley referida, menciona que:</w:t>
      </w:r>
    </w:p>
    <w:p w14:paraId="1AE0E1C1"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b/>
          <w:i/>
          <w:sz w:val="22"/>
          <w:szCs w:val="22"/>
        </w:rPr>
        <w:t>Artículo 46.-</w:t>
      </w:r>
      <w:r w:rsidRPr="00E85FF0">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40415AA4" w14:textId="77777777" w:rsidR="00FD0FF9" w:rsidRPr="00E85FF0" w:rsidRDefault="00FD0FF9" w:rsidP="00FD0FF9">
      <w:pPr>
        <w:spacing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263F21E4" w14:textId="77777777" w:rsidR="00FD0FF9" w:rsidRPr="00E85FF0" w:rsidRDefault="00FD0FF9" w:rsidP="00FD0FF9">
      <w:pPr>
        <w:tabs>
          <w:tab w:val="left" w:pos="7938"/>
        </w:tabs>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48.-</w:t>
      </w:r>
      <w:r w:rsidRPr="00E85FF0">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5F03F946"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367EDD47"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3BFBC762"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451CC53B"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IV.</w:t>
      </w:r>
      <w:r w:rsidRPr="00E85FF0">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BC73EF9"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w:t>
      </w:r>
      <w:r w:rsidRPr="00E85FF0">
        <w:rPr>
          <w:rFonts w:ascii="Palatino Linotype" w:eastAsia="Palatino Linotype" w:hAnsi="Palatino Linotype" w:cs="Palatino Linotype"/>
          <w:i/>
          <w:sz w:val="22"/>
          <w:szCs w:val="22"/>
        </w:rPr>
        <w:t>. Existan circunstancias que puedan provocar pérdidas o costos adicionales importantes al erario.</w:t>
      </w:r>
    </w:p>
    <w:p w14:paraId="25C7CECB"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w:t>
      </w:r>
      <w:r w:rsidRPr="00E85FF0">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7D5510CB"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VII</w:t>
      </w:r>
      <w:r w:rsidRPr="00E85FF0">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43722DC9"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VIII</w:t>
      </w:r>
      <w:r w:rsidRPr="00E85FF0">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0E53638C"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IX</w:t>
      </w:r>
      <w:r w:rsidRPr="00E85FF0">
        <w:rPr>
          <w:rFonts w:ascii="Palatino Linotype" w:eastAsia="Palatino Linotype" w:hAnsi="Palatino Linotype" w:cs="Palatino Linotype"/>
          <w:i/>
          <w:sz w:val="22"/>
          <w:szCs w:val="22"/>
        </w:rPr>
        <w:t>. Se hubiere declarado desierto un procedimiento de invitación restringida.</w:t>
      </w:r>
    </w:p>
    <w:p w14:paraId="301E9813"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w:t>
      </w:r>
      <w:r w:rsidRPr="00E85FF0">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20BCDCCF"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XI</w:t>
      </w:r>
      <w:r w:rsidRPr="00E85FF0">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86FA4C1" w14:textId="77777777" w:rsidR="00FD0FF9" w:rsidRPr="00E85FF0"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XII</w:t>
      </w:r>
      <w:r w:rsidRPr="00E85FF0">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E103264" w14:textId="77777777" w:rsidR="00FD0FF9" w:rsidRPr="00E85FF0" w:rsidRDefault="00FD0FF9" w:rsidP="00FD0FF9">
      <w:pPr>
        <w:tabs>
          <w:tab w:val="left" w:pos="7938"/>
        </w:tabs>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49.-</w:t>
      </w:r>
      <w:r w:rsidRPr="00E85FF0">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0E69FB9A" w14:textId="77777777" w:rsidR="00FD0FF9" w:rsidRPr="00E85FF0" w:rsidRDefault="00FD0FF9" w:rsidP="00FD0FF9">
      <w:pPr>
        <w:tabs>
          <w:tab w:val="left" w:pos="3544"/>
        </w:tabs>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Asimismo,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E85FF0">
        <w:rPr>
          <w:rFonts w:ascii="Palatino Linotype" w:eastAsia="Palatino Linotype" w:hAnsi="Palatino Linotype" w:cs="Palatino Linotype"/>
          <w:b/>
          <w:sz w:val="22"/>
          <w:szCs w:val="22"/>
        </w:rPr>
        <w:t>incluyendo la versión pública</w:t>
      </w: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b/>
          <w:sz w:val="22"/>
          <w:szCs w:val="22"/>
        </w:rPr>
        <w:t>del expediente respectivo</w:t>
      </w:r>
      <w:r w:rsidRPr="00E85FF0">
        <w:rPr>
          <w:rFonts w:ascii="Palatino Linotype" w:eastAsia="Palatino Linotype" w:hAnsi="Palatino Linotype" w:cs="Palatino Linotype"/>
          <w:sz w:val="22"/>
          <w:szCs w:val="22"/>
        </w:rPr>
        <w:t xml:space="preserve"> y </w:t>
      </w:r>
      <w:r w:rsidRPr="00E85FF0">
        <w:rPr>
          <w:rFonts w:ascii="Palatino Linotype" w:eastAsia="Palatino Linotype" w:hAnsi="Palatino Linotype" w:cs="Palatino Linotype"/>
          <w:b/>
          <w:sz w:val="22"/>
          <w:szCs w:val="22"/>
        </w:rPr>
        <w:t>de los contratos celebrados;</w:t>
      </w:r>
      <w:r w:rsidRPr="00E85FF0">
        <w:rPr>
          <w:rFonts w:ascii="Palatino Linotype" w:eastAsia="Palatino Linotype" w:hAnsi="Palatino Linotype" w:cs="Palatino Linotype"/>
          <w:sz w:val="22"/>
          <w:szCs w:val="22"/>
        </w:rPr>
        <w:t xml:space="preserve"> a saber:</w:t>
      </w:r>
    </w:p>
    <w:p w14:paraId="12E5EB2F" w14:textId="77777777" w:rsidR="00FD0FF9" w:rsidRPr="00E85FF0" w:rsidRDefault="00FD0FF9" w:rsidP="00FD0FF9">
      <w:pPr>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92</w:t>
      </w:r>
      <w:r w:rsidRPr="00E85FF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7C324F" w14:textId="77777777" w:rsidR="00FD0FF9" w:rsidRPr="00E85FF0" w:rsidRDefault="00FD0FF9" w:rsidP="00FD0FF9">
      <w:pPr>
        <w:tabs>
          <w:tab w:val="left" w:pos="426"/>
          <w:tab w:val="left" w:pos="2145"/>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i/>
          <w:sz w:val="22"/>
          <w:szCs w:val="22"/>
        </w:rPr>
        <w:tab/>
      </w:r>
    </w:p>
    <w:p w14:paraId="4CA2B812"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XXIX.</w:t>
      </w:r>
      <w:r w:rsidRPr="00E85FF0">
        <w:rPr>
          <w:rFonts w:ascii="Palatino Linotype" w:eastAsia="Palatino Linotype" w:hAnsi="Palatino Linotype" w:cs="Palatino Linotype"/>
          <w:i/>
          <w:sz w:val="22"/>
          <w:szCs w:val="22"/>
        </w:rPr>
        <w:t xml:space="preserve"> La </w:t>
      </w:r>
      <w:r w:rsidRPr="00E85FF0">
        <w:rPr>
          <w:rFonts w:ascii="Palatino Linotype" w:eastAsia="Palatino Linotype" w:hAnsi="Palatino Linotype" w:cs="Palatino Linotype"/>
          <w:b/>
          <w:i/>
          <w:sz w:val="22"/>
          <w:szCs w:val="22"/>
        </w:rPr>
        <w:t>información sobre los procesos y resultados sobre procedimientos de adjudicación directa, invitación restringida y licitación de cualquier naturaleza</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incluyendo la versión pública</w:t>
      </w:r>
      <w:r w:rsidRPr="00E85FF0">
        <w:rPr>
          <w:rFonts w:ascii="Palatino Linotype" w:eastAsia="Palatino Linotype" w:hAnsi="Palatino Linotype" w:cs="Palatino Linotype"/>
          <w:i/>
          <w:sz w:val="22"/>
          <w:szCs w:val="22"/>
        </w:rPr>
        <w:t xml:space="preserve"> del expediente respectivo y </w:t>
      </w:r>
      <w:r w:rsidRPr="00E85FF0">
        <w:rPr>
          <w:rFonts w:ascii="Palatino Linotype" w:eastAsia="Palatino Linotype" w:hAnsi="Palatino Linotype" w:cs="Palatino Linotype"/>
          <w:b/>
          <w:i/>
          <w:sz w:val="22"/>
          <w:szCs w:val="22"/>
        </w:rPr>
        <w:t>de los contratos celebrados</w:t>
      </w:r>
      <w:r w:rsidRPr="00E85FF0">
        <w:rPr>
          <w:rFonts w:ascii="Palatino Linotype" w:eastAsia="Palatino Linotype" w:hAnsi="Palatino Linotype" w:cs="Palatino Linotype"/>
          <w:i/>
          <w:sz w:val="22"/>
          <w:szCs w:val="22"/>
        </w:rPr>
        <w:t>, que deberán contener, por los menos, lo siguiente:</w:t>
      </w:r>
    </w:p>
    <w:p w14:paraId="197C6D4C"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a) De licitaciones públicas o procedimientos de invitación restringida:</w:t>
      </w:r>
    </w:p>
    <w:p w14:paraId="5579BF85"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w:t>
      </w:r>
      <w:r w:rsidRPr="00E85FF0">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3AB53306"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2)</w:t>
      </w:r>
      <w:r w:rsidRPr="00E85FF0">
        <w:rPr>
          <w:rFonts w:ascii="Palatino Linotype" w:eastAsia="Palatino Linotype" w:hAnsi="Palatino Linotype" w:cs="Palatino Linotype"/>
          <w:i/>
          <w:sz w:val="22"/>
          <w:szCs w:val="22"/>
        </w:rPr>
        <w:t xml:space="preserve"> Los nombres de los participantes o invitados;</w:t>
      </w:r>
    </w:p>
    <w:p w14:paraId="5473419F"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3)</w:t>
      </w:r>
      <w:r w:rsidRPr="00E85FF0">
        <w:rPr>
          <w:rFonts w:ascii="Palatino Linotype" w:eastAsia="Palatino Linotype" w:hAnsi="Palatino Linotype" w:cs="Palatino Linotype"/>
          <w:i/>
          <w:sz w:val="22"/>
          <w:szCs w:val="22"/>
        </w:rPr>
        <w:t xml:space="preserve"> El nombre del ganador y las razones que lo justifican;</w:t>
      </w:r>
    </w:p>
    <w:p w14:paraId="64A965CC"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4)</w:t>
      </w:r>
      <w:r w:rsidRPr="00E85FF0">
        <w:rPr>
          <w:rFonts w:ascii="Palatino Linotype" w:eastAsia="Palatino Linotype" w:hAnsi="Palatino Linotype" w:cs="Palatino Linotype"/>
          <w:i/>
          <w:sz w:val="22"/>
          <w:szCs w:val="22"/>
        </w:rPr>
        <w:t xml:space="preserve"> El área solicitante y la responsable de su ejecución;</w:t>
      </w:r>
    </w:p>
    <w:p w14:paraId="51B338AC"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5)</w:t>
      </w:r>
      <w:r w:rsidRPr="00E85FF0">
        <w:rPr>
          <w:rFonts w:ascii="Palatino Linotype" w:eastAsia="Palatino Linotype" w:hAnsi="Palatino Linotype" w:cs="Palatino Linotype"/>
          <w:i/>
          <w:sz w:val="22"/>
          <w:szCs w:val="22"/>
        </w:rPr>
        <w:t xml:space="preserve"> Las convocatorias e invitaciones emitidas; </w:t>
      </w:r>
    </w:p>
    <w:p w14:paraId="6391F819"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6)</w:t>
      </w:r>
      <w:r w:rsidRPr="00E85FF0">
        <w:rPr>
          <w:rFonts w:ascii="Palatino Linotype" w:eastAsia="Palatino Linotype" w:hAnsi="Palatino Linotype" w:cs="Palatino Linotype"/>
          <w:i/>
          <w:sz w:val="22"/>
          <w:szCs w:val="22"/>
        </w:rPr>
        <w:t xml:space="preserve"> Los dictámenes y fallo de adjudicación;</w:t>
      </w:r>
    </w:p>
    <w:p w14:paraId="71E7BA36"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7) </w:t>
      </w:r>
      <w:r w:rsidRPr="00E85FF0">
        <w:rPr>
          <w:rFonts w:ascii="Palatino Linotype" w:eastAsia="Palatino Linotype" w:hAnsi="Palatino Linotype" w:cs="Palatino Linotype"/>
          <w:b/>
          <w:bCs/>
          <w:i/>
          <w:sz w:val="22"/>
          <w:szCs w:val="22"/>
        </w:rPr>
        <w:t xml:space="preserve">El contrato </w:t>
      </w:r>
      <w:r w:rsidRPr="00E85FF0">
        <w:rPr>
          <w:rFonts w:ascii="Palatino Linotype" w:eastAsia="Palatino Linotype" w:hAnsi="Palatino Linotype" w:cs="Palatino Linotype"/>
          <w:i/>
          <w:sz w:val="22"/>
          <w:szCs w:val="22"/>
        </w:rPr>
        <w:t xml:space="preserve">y, en su caso, sus anexos; </w:t>
      </w:r>
    </w:p>
    <w:p w14:paraId="61DF8F5E"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8)</w:t>
      </w:r>
      <w:r w:rsidRPr="00E85FF0">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588BFCC3"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9)</w:t>
      </w:r>
      <w:r w:rsidRPr="00E85FF0">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0D6CA919"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10)</w:t>
      </w:r>
      <w:r w:rsidRPr="00E85FF0">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1C9FD8E9"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11)</w:t>
      </w:r>
      <w:r w:rsidRPr="00E85FF0">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3B51184B"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12)</w:t>
      </w:r>
      <w:r w:rsidRPr="00E85FF0">
        <w:rPr>
          <w:rFonts w:ascii="Palatino Linotype" w:eastAsia="Palatino Linotype" w:hAnsi="Palatino Linotype" w:cs="Palatino Linotype"/>
          <w:i/>
          <w:sz w:val="22"/>
          <w:szCs w:val="22"/>
        </w:rPr>
        <w:t xml:space="preserve"> Los informes de avance físico y financiero sobre las obras o servicios contratados; </w:t>
      </w:r>
    </w:p>
    <w:p w14:paraId="311DD12F"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13)</w:t>
      </w:r>
      <w:r w:rsidRPr="00E85FF0">
        <w:rPr>
          <w:rFonts w:ascii="Palatino Linotype" w:eastAsia="Palatino Linotype" w:hAnsi="Palatino Linotype" w:cs="Palatino Linotype"/>
          <w:i/>
          <w:sz w:val="22"/>
          <w:szCs w:val="22"/>
        </w:rPr>
        <w:t xml:space="preserve"> El convenio de terminación; </w:t>
      </w:r>
    </w:p>
    <w:p w14:paraId="5FEECD0B"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14)</w:t>
      </w:r>
      <w:r w:rsidRPr="00E85FF0">
        <w:rPr>
          <w:rFonts w:ascii="Palatino Linotype" w:eastAsia="Palatino Linotype" w:hAnsi="Palatino Linotype" w:cs="Palatino Linotype"/>
          <w:i/>
          <w:sz w:val="22"/>
          <w:szCs w:val="22"/>
        </w:rPr>
        <w:t xml:space="preserve"> El finiquito.</w:t>
      </w:r>
    </w:p>
    <w:p w14:paraId="673CF815"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 xml:space="preserve">b) De las adjudicaciones directas: </w:t>
      </w:r>
    </w:p>
    <w:p w14:paraId="29063CB6"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w:t>
      </w:r>
      <w:r w:rsidRPr="00E85FF0">
        <w:rPr>
          <w:rFonts w:ascii="Palatino Linotype" w:eastAsia="Palatino Linotype" w:hAnsi="Palatino Linotype" w:cs="Palatino Linotype"/>
          <w:i/>
          <w:sz w:val="22"/>
          <w:szCs w:val="22"/>
        </w:rPr>
        <w:t xml:space="preserve"> La propuesta enviada por el participante; </w:t>
      </w:r>
    </w:p>
    <w:p w14:paraId="6F53C7FD"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2)</w:t>
      </w:r>
      <w:r w:rsidRPr="00E85FF0">
        <w:rPr>
          <w:rFonts w:ascii="Palatino Linotype" w:eastAsia="Palatino Linotype" w:hAnsi="Palatino Linotype" w:cs="Palatino Linotype"/>
          <w:i/>
          <w:sz w:val="22"/>
          <w:szCs w:val="22"/>
        </w:rPr>
        <w:t xml:space="preserve"> Los motivos y fundamentos legales aplicados para llevarla a cabo;</w:t>
      </w:r>
    </w:p>
    <w:p w14:paraId="7C2C25C0"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3)</w:t>
      </w:r>
      <w:r w:rsidRPr="00E85FF0">
        <w:rPr>
          <w:rFonts w:ascii="Palatino Linotype" w:eastAsia="Palatino Linotype" w:hAnsi="Palatino Linotype" w:cs="Palatino Linotype"/>
          <w:i/>
          <w:sz w:val="22"/>
          <w:szCs w:val="22"/>
        </w:rPr>
        <w:t xml:space="preserve"> La autorización del ejercicio de la opción; </w:t>
      </w:r>
    </w:p>
    <w:p w14:paraId="44B125DE"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 xml:space="preserve">4) </w:t>
      </w:r>
      <w:r w:rsidRPr="00E85FF0">
        <w:rPr>
          <w:rFonts w:ascii="Palatino Linotype" w:eastAsia="Palatino Linotype" w:hAnsi="Palatino Linotype" w:cs="Palatino Linotype"/>
          <w:i/>
          <w:sz w:val="22"/>
          <w:szCs w:val="22"/>
        </w:rPr>
        <w:t>En su caso, las cotizaciones consideradas, especificando los nombres de los proveedores y sus montos;</w:t>
      </w:r>
      <w:r w:rsidRPr="00E85FF0">
        <w:rPr>
          <w:rFonts w:ascii="Palatino Linotype" w:eastAsia="Palatino Linotype" w:hAnsi="Palatino Linotype" w:cs="Palatino Linotype"/>
          <w:b/>
          <w:i/>
          <w:sz w:val="22"/>
          <w:szCs w:val="22"/>
        </w:rPr>
        <w:t xml:space="preserve"> </w:t>
      </w:r>
    </w:p>
    <w:p w14:paraId="5B069DDF"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5)</w:t>
      </w:r>
      <w:r w:rsidRPr="00E85FF0">
        <w:rPr>
          <w:rFonts w:ascii="Palatino Linotype" w:eastAsia="Palatino Linotype" w:hAnsi="Palatino Linotype" w:cs="Palatino Linotype"/>
          <w:i/>
          <w:sz w:val="22"/>
          <w:szCs w:val="22"/>
        </w:rPr>
        <w:t xml:space="preserve"> El nombre de la persona física o jurídica colectiva adjudicada; </w:t>
      </w:r>
    </w:p>
    <w:p w14:paraId="27E36741"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6)</w:t>
      </w:r>
      <w:r w:rsidRPr="00E85FF0">
        <w:rPr>
          <w:rFonts w:ascii="Palatino Linotype" w:eastAsia="Palatino Linotype" w:hAnsi="Palatino Linotype" w:cs="Palatino Linotype"/>
          <w:i/>
          <w:sz w:val="22"/>
          <w:szCs w:val="22"/>
        </w:rPr>
        <w:t xml:space="preserve"> La unidad administrativa solicitante y la responsable de su ejecución; </w:t>
      </w:r>
    </w:p>
    <w:p w14:paraId="59FCEA06"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7) </w:t>
      </w:r>
      <w:r w:rsidRPr="00E85FF0">
        <w:rPr>
          <w:rFonts w:ascii="Palatino Linotype" w:eastAsia="Palatino Linotype" w:hAnsi="Palatino Linotype" w:cs="Palatino Linotype"/>
          <w:b/>
          <w:bCs/>
          <w:i/>
          <w:sz w:val="22"/>
          <w:szCs w:val="22"/>
        </w:rPr>
        <w:t>El número, fecha, el monto del contrato</w:t>
      </w:r>
      <w:r w:rsidRPr="00E85FF0">
        <w:rPr>
          <w:rFonts w:ascii="Palatino Linotype" w:eastAsia="Palatino Linotype" w:hAnsi="Palatino Linotype" w:cs="Palatino Linotype"/>
          <w:i/>
          <w:sz w:val="22"/>
          <w:szCs w:val="22"/>
        </w:rPr>
        <w:t xml:space="preserve"> y el plazo de entrega o de ejecución de los servicios u obra; </w:t>
      </w:r>
    </w:p>
    <w:p w14:paraId="56AAD7F9"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8)</w:t>
      </w:r>
      <w:r w:rsidRPr="00E85FF0">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732C4598"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9)</w:t>
      </w:r>
      <w:r w:rsidRPr="00E85FF0">
        <w:rPr>
          <w:rFonts w:ascii="Palatino Linotype" w:eastAsia="Palatino Linotype" w:hAnsi="Palatino Linotype" w:cs="Palatino Linotype"/>
          <w:i/>
          <w:sz w:val="22"/>
          <w:szCs w:val="22"/>
        </w:rPr>
        <w:t xml:space="preserve"> Los informes de avance sobre las obras o servicios contratados; </w:t>
      </w:r>
    </w:p>
    <w:p w14:paraId="0476C5C5"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10)</w:t>
      </w:r>
      <w:r w:rsidRPr="00E85FF0">
        <w:rPr>
          <w:rFonts w:ascii="Palatino Linotype" w:eastAsia="Palatino Linotype" w:hAnsi="Palatino Linotype" w:cs="Palatino Linotype"/>
          <w:i/>
          <w:sz w:val="22"/>
          <w:szCs w:val="22"/>
        </w:rPr>
        <w:t xml:space="preserve"> El convenio de terminación; y </w:t>
      </w:r>
    </w:p>
    <w:p w14:paraId="5B8DB942" w14:textId="77777777" w:rsidR="00FD0FF9" w:rsidRPr="00E85FF0"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11)</w:t>
      </w:r>
      <w:r w:rsidRPr="00E85FF0">
        <w:rPr>
          <w:rFonts w:ascii="Palatino Linotype" w:eastAsia="Palatino Linotype" w:hAnsi="Palatino Linotype" w:cs="Palatino Linotype"/>
          <w:i/>
          <w:sz w:val="22"/>
          <w:szCs w:val="22"/>
        </w:rPr>
        <w:t xml:space="preserve"> El finiquito;”</w:t>
      </w:r>
    </w:p>
    <w:p w14:paraId="6708F6A3"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5DEAA700" w14:textId="1378014B" w:rsidR="00FD0FF9" w:rsidRPr="00E85FF0"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b/>
          <w:sz w:val="22"/>
          <w:szCs w:val="22"/>
        </w:rPr>
        <w:t xml:space="preserve">Licitación pública: </w:t>
      </w:r>
      <w:r w:rsidRPr="00E85FF0">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E159866" w14:textId="782F9F1D" w:rsidR="00FD0FF9" w:rsidRPr="00E85FF0"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b/>
          <w:sz w:val="22"/>
          <w:szCs w:val="22"/>
        </w:rPr>
        <w:t xml:space="preserve">Invitación restringida: </w:t>
      </w:r>
      <w:r w:rsidRPr="00E85FF0">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D843C05" w14:textId="2FB8A2A2" w:rsidR="00FD0FF9" w:rsidRPr="00E85FF0"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b/>
          <w:sz w:val="22"/>
          <w:szCs w:val="22"/>
        </w:rPr>
        <w:t xml:space="preserve">Adjudicaciones directas: </w:t>
      </w:r>
      <w:r w:rsidRPr="00E85FF0">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4FF8A26" w14:textId="77777777" w:rsidR="00FD0FF9" w:rsidRPr="00E85FF0" w:rsidRDefault="00FD0FF9" w:rsidP="00FD0FF9">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E85FF0">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E85FF0">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w:t>
      </w:r>
      <w:r w:rsidRPr="00E85FF0">
        <w:rPr>
          <w:rFonts w:ascii="Palatino Linotype" w:eastAsia="Palatino Linotype" w:hAnsi="Palatino Linotype" w:cs="Palatino Linotype"/>
          <w:b/>
          <w:bCs/>
          <w:sz w:val="22"/>
          <w:szCs w:val="22"/>
        </w:rPr>
        <w:t>además se debe elaborar versión pública los documentos fuente que deban ser publicados</w:t>
      </w:r>
      <w:r w:rsidRPr="00E85FF0">
        <w:rPr>
          <w:rFonts w:ascii="Palatino Linotype" w:eastAsia="Palatino Linotype" w:hAnsi="Palatino Linotype" w:cs="Palatino Linotype"/>
          <w:sz w:val="22"/>
          <w:szCs w:val="22"/>
        </w:rPr>
        <w:t xml:space="preserve"> en este apartado, </w:t>
      </w:r>
      <w:r w:rsidRPr="00E85FF0">
        <w:rPr>
          <w:rFonts w:ascii="Palatino Linotype" w:eastAsia="Palatino Linotype" w:hAnsi="Palatino Linotype" w:cs="Palatino Linotype"/>
          <w:b/>
          <w:bCs/>
          <w:sz w:val="22"/>
          <w:szCs w:val="22"/>
        </w:rPr>
        <w:t>tales como contratos,</w:t>
      </w:r>
      <w:r w:rsidRPr="00E85FF0">
        <w:rPr>
          <w:rFonts w:ascii="Palatino Linotype" w:eastAsia="Palatino Linotype" w:hAnsi="Palatino Linotype" w:cs="Palatino Linotype"/>
          <w:sz w:val="22"/>
          <w:szCs w:val="22"/>
        </w:rPr>
        <w:t xml:space="preserve">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A6390DF"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de oficio, y que por tal motivo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8B9964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18.</w:t>
      </w:r>
      <w:r w:rsidRPr="00E85FF0">
        <w:rPr>
          <w:rFonts w:ascii="Palatino Linotype" w:eastAsia="Palatino Linotype" w:hAnsi="Palatino Linotype" w:cs="Palatino Linotype"/>
          <w:i/>
          <w:sz w:val="22"/>
          <w:szCs w:val="22"/>
        </w:rPr>
        <w:t xml:space="preserve"> Los sujetos obligados </w:t>
      </w:r>
      <w:r w:rsidRPr="00E85FF0">
        <w:rPr>
          <w:rFonts w:ascii="Palatino Linotype" w:eastAsia="Palatino Linotype" w:hAnsi="Palatino Linotype" w:cs="Palatino Linotype"/>
          <w:b/>
          <w:i/>
          <w:sz w:val="22"/>
          <w:szCs w:val="22"/>
        </w:rPr>
        <w:t>deberán documentar todo acto</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que derive del ejercicio de sus facultades, competencias o funciones</w:t>
      </w:r>
      <w:r w:rsidRPr="00E85FF0">
        <w:rPr>
          <w:rFonts w:ascii="Palatino Linotype" w:eastAsia="Palatino Linotype" w:hAnsi="Palatino Linotype" w:cs="Palatino Linotype"/>
          <w:i/>
          <w:sz w:val="22"/>
          <w:szCs w:val="22"/>
        </w:rPr>
        <w:t>, considerando desde su origen la eventual publicidad y reutilización de la información que generen.</w:t>
      </w:r>
    </w:p>
    <w:p w14:paraId="42C6DE69"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624F39F5"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24.</w:t>
      </w:r>
      <w:r w:rsidRPr="00E85FF0">
        <w:rPr>
          <w:rFonts w:ascii="Palatino Linotype" w:eastAsia="Palatino Linotype" w:hAnsi="Palatino Linotype" w:cs="Palatino Linotype"/>
          <w:i/>
          <w:sz w:val="22"/>
          <w:szCs w:val="22"/>
        </w:rPr>
        <w:t xml:space="preserve"> Para el cumplimiento de los objetivos de esta Ley</w:t>
      </w:r>
      <w:r w:rsidRPr="00E85FF0">
        <w:rPr>
          <w:rFonts w:ascii="Palatino Linotype" w:eastAsia="Palatino Linotype" w:hAnsi="Palatino Linotype" w:cs="Palatino Linotype"/>
          <w:b/>
          <w:i/>
          <w:sz w:val="22"/>
          <w:szCs w:val="22"/>
        </w:rPr>
        <w:t>, los sujetos obligados deberán cumplir con las siguientes obligaciones</w:t>
      </w:r>
      <w:r w:rsidRPr="00E85FF0">
        <w:rPr>
          <w:rFonts w:ascii="Palatino Linotype" w:eastAsia="Palatino Linotype" w:hAnsi="Palatino Linotype" w:cs="Palatino Linotype"/>
          <w:i/>
          <w:sz w:val="22"/>
          <w:szCs w:val="22"/>
        </w:rPr>
        <w:t>, según corresponda, de acuerdo a su naturaleza:</w:t>
      </w:r>
    </w:p>
    <w:p w14:paraId="146F67B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10EA86B0"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XXII.</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Documentar todo acto que derive del ejercicio de sus facultades, competencias o funciones</w:t>
      </w:r>
      <w:r w:rsidRPr="00E85FF0">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60C3691E" w14:textId="53E7B607" w:rsidR="00C84A28" w:rsidRPr="00E85FF0" w:rsidRDefault="00FD0FF9" w:rsidP="00FD0FF9">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Corolario a lo anterior, se estima procedente ordenar la entrega de</w:t>
      </w:r>
      <w:r w:rsidR="00C84A28" w:rsidRPr="00E85FF0">
        <w:rPr>
          <w:rFonts w:ascii="Palatino Linotype" w:eastAsia="Palatino Linotype" w:hAnsi="Palatino Linotype" w:cs="Palatino Linotype"/>
          <w:sz w:val="22"/>
          <w:szCs w:val="22"/>
        </w:rPr>
        <w:t>l o los documentos que den cuenta de los contratos celebrados con proveedores, pudiendo ser, de manera enunciativa más no limitativa, los propios contratos.</w:t>
      </w:r>
    </w:p>
    <w:p w14:paraId="3985CCA7" w14:textId="30AEAA52" w:rsidR="00C84A28" w:rsidRPr="00E85FF0" w:rsidRDefault="00C84A28" w:rsidP="00C84A28">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Asimismo, toda vez que la parte </w:t>
      </w:r>
      <w:r w:rsidRPr="00E85FF0">
        <w:rPr>
          <w:rFonts w:ascii="Palatino Linotype" w:eastAsia="Palatino Linotype" w:hAnsi="Palatino Linotype" w:cs="Palatino Linotype"/>
          <w:b/>
          <w:bCs/>
          <w:sz w:val="22"/>
          <w:szCs w:val="22"/>
        </w:rPr>
        <w:t>Recurrente</w:t>
      </w:r>
      <w:r w:rsidRPr="00E85FF0">
        <w:rPr>
          <w:rFonts w:ascii="Palatino Linotype" w:eastAsia="Palatino Linotype" w:hAnsi="Palatino Linotype" w:cs="Palatino Linotype"/>
          <w:sz w:val="22"/>
          <w:szCs w:val="22"/>
        </w:rPr>
        <w:t xml:space="preserve"> fue omisa en señalar el periodo sobre el cual requería la información, es oportuno mencionar que la búsqueda de la información que se ordena, deberá comprender el año inmediato anterior a la presentación de la solicitud, esto es, del </w:t>
      </w:r>
      <w:r w:rsidRPr="00E85FF0">
        <w:rPr>
          <w:rFonts w:ascii="Palatino Linotype" w:eastAsia="Palatino Linotype" w:hAnsi="Palatino Linotype" w:cs="Palatino Linotype"/>
          <w:bCs/>
          <w:sz w:val="22"/>
          <w:szCs w:val="22"/>
        </w:rPr>
        <w:t>diez de octubre de dos mil veinticuatro al diez de octubre de dos mil veinticinco</w:t>
      </w:r>
      <w:r w:rsidRPr="00E85FF0">
        <w:rPr>
          <w:rFonts w:ascii="Palatino Linotype" w:eastAsia="Palatino Linotype" w:hAnsi="Palatino Linotype" w:cs="Palatino Linotype"/>
          <w:sz w:val="22"/>
          <w:szCs w:val="22"/>
        </w:rPr>
        <w:t xml:space="preserve">, de conformidad con el Criterio orientador con clave de control SO/003/2019 emitido por el Pleno del entonces Instituto Nacional de Transparencia Acceso a la Información y Protección de Datos Personales, INAI, el cual es del tenor literal siguiente: </w:t>
      </w:r>
    </w:p>
    <w:p w14:paraId="251AE2C6" w14:textId="5D08F46A" w:rsidR="00C84A28" w:rsidRPr="00E85FF0" w:rsidRDefault="00C84A28" w:rsidP="00C84A28">
      <w:pPr>
        <w:spacing w:before="120" w:after="120"/>
        <w:ind w:left="851" w:right="902"/>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Periodo de búsqueda de la información</w:t>
      </w:r>
      <w:r w:rsidRPr="00E85FF0">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2A28C7BC" w14:textId="5EF4BD39" w:rsidR="005A75CA" w:rsidRPr="00E85FF0" w:rsidRDefault="00FD0FF9" w:rsidP="00C84A28">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 </w:t>
      </w:r>
      <w:r w:rsidR="00E96B90" w:rsidRPr="00E85FF0">
        <w:rPr>
          <w:rFonts w:ascii="Palatino Linotype" w:eastAsia="Palatino Linotype" w:hAnsi="Palatino Linotype" w:cs="Palatino Linotype"/>
          <w:sz w:val="22"/>
          <w:szCs w:val="22"/>
        </w:rPr>
        <w:t>En mérito de todo lo expuesto, ante lo fundado de las razones o motivos de inconformidad hechos valer por la parte</w:t>
      </w:r>
      <w:r w:rsidR="00E96B90" w:rsidRPr="00E85FF0">
        <w:rPr>
          <w:rFonts w:ascii="Palatino Linotype" w:eastAsia="Palatino Linotype" w:hAnsi="Palatino Linotype" w:cs="Palatino Linotype"/>
          <w:b/>
          <w:sz w:val="22"/>
          <w:szCs w:val="22"/>
        </w:rPr>
        <w:t xml:space="preserve"> Recurrente, </w:t>
      </w:r>
      <w:r w:rsidR="00E96B90" w:rsidRPr="00E85FF0">
        <w:rPr>
          <w:rFonts w:ascii="Palatino Linotype" w:eastAsia="Palatino Linotype" w:hAnsi="Palatino Linotype" w:cs="Palatino Linotype"/>
          <w:sz w:val="22"/>
          <w:szCs w:val="22"/>
        </w:rPr>
        <w:t xml:space="preserve">este Instituto estima que lo dable es </w:t>
      </w:r>
      <w:r w:rsidR="00E96B90" w:rsidRPr="00E85FF0">
        <w:rPr>
          <w:rFonts w:ascii="Palatino Linotype" w:eastAsia="Palatino Linotype" w:hAnsi="Palatino Linotype" w:cs="Palatino Linotype"/>
          <w:i/>
          <w:sz w:val="22"/>
          <w:szCs w:val="22"/>
        </w:rPr>
        <w:t>Ordenar</w:t>
      </w:r>
      <w:r w:rsidR="00E96B90" w:rsidRPr="00E85FF0">
        <w:rPr>
          <w:rFonts w:ascii="Palatino Linotype" w:eastAsia="Palatino Linotype" w:hAnsi="Palatino Linotype" w:cs="Palatino Linotype"/>
          <w:sz w:val="22"/>
          <w:szCs w:val="22"/>
        </w:rPr>
        <w:t xml:space="preserve"> al </w:t>
      </w:r>
      <w:r w:rsidR="00E96B90" w:rsidRPr="00E85FF0">
        <w:rPr>
          <w:rFonts w:ascii="Palatino Linotype" w:eastAsia="Palatino Linotype" w:hAnsi="Palatino Linotype" w:cs="Palatino Linotype"/>
          <w:b/>
          <w:sz w:val="22"/>
          <w:szCs w:val="22"/>
        </w:rPr>
        <w:t>Sujeto Obligado</w:t>
      </w:r>
      <w:r w:rsidR="00E96B90" w:rsidRPr="00E85FF0">
        <w:rPr>
          <w:rFonts w:ascii="Palatino Linotype" w:eastAsia="Palatino Linotype" w:hAnsi="Palatino Linotype" w:cs="Palatino Linotype"/>
          <w:sz w:val="22"/>
          <w:szCs w:val="22"/>
        </w:rPr>
        <w:t xml:space="preserve"> atienda la solicitud de acceso a la información en los términos ya precisados.</w:t>
      </w:r>
    </w:p>
    <w:p w14:paraId="79833363"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Finalmente, toda  vez que el presente recurso derivó de la omisión por parte del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en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E85FF0">
        <w:rPr>
          <w:rFonts w:ascii="Palatino Linotype" w:eastAsia="Palatino Linotype" w:hAnsi="Palatino Linotype" w:cs="Palatino Linotype"/>
          <w:b/>
          <w:sz w:val="22"/>
          <w:szCs w:val="22"/>
        </w:rPr>
        <w:t>Secretaría Técnica del Pleno</w:t>
      </w:r>
      <w:r w:rsidRPr="00E85FF0">
        <w:rPr>
          <w:rFonts w:ascii="Palatino Linotype" w:eastAsia="Palatino Linotype" w:hAnsi="Palatino Linotype" w:cs="Palatino Linotype"/>
          <w:sz w:val="22"/>
          <w:szCs w:val="22"/>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41CCA77F" w14:textId="77777777" w:rsidR="00FD0FF9" w:rsidRPr="00E85FF0" w:rsidRDefault="00FD0FF9" w:rsidP="00FD0FF9">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 xml:space="preserve">Quinto. Versión Pública. </w:t>
      </w:r>
      <w:r w:rsidRPr="00E85FF0">
        <w:rPr>
          <w:rFonts w:ascii="Palatino Linotype" w:eastAsia="Palatino Linotype" w:hAnsi="Palatino Linotype" w:cs="Palatino Linotype"/>
          <w:sz w:val="22"/>
          <w:szCs w:val="22"/>
        </w:rPr>
        <w:t>Como fue debidamente apuntado,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3428BA0"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AF366D3"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6BC5D22"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734DA8D5"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sz w:val="22"/>
          <w:szCs w:val="22"/>
        </w:rPr>
        <w:t> </w:t>
      </w: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3.</w:t>
      </w:r>
      <w:r w:rsidRPr="00E85FF0">
        <w:rPr>
          <w:rFonts w:ascii="Palatino Linotype" w:eastAsia="Palatino Linotype" w:hAnsi="Palatino Linotype" w:cs="Palatino Linotype"/>
          <w:i/>
          <w:sz w:val="22"/>
          <w:szCs w:val="22"/>
        </w:rPr>
        <w:t xml:space="preserve"> Para los efectos de la presente Ley se entenderá por:</w:t>
      </w:r>
    </w:p>
    <w:p w14:paraId="0552D829"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563B5C35"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IX. Datos personales</w:t>
      </w:r>
      <w:r w:rsidRPr="00E85FF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E4D49C0"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36132530"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XX. Información clasificada</w:t>
      </w:r>
      <w:r w:rsidRPr="00E85FF0">
        <w:rPr>
          <w:rFonts w:ascii="Palatino Linotype" w:eastAsia="Palatino Linotype" w:hAnsi="Palatino Linotype" w:cs="Palatino Linotype"/>
          <w:i/>
          <w:sz w:val="22"/>
          <w:szCs w:val="22"/>
        </w:rPr>
        <w:t>: Aquella considerada por la presente Ley como reservada o confidencial;</w:t>
      </w:r>
    </w:p>
    <w:p w14:paraId="1786857F"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XXI. Información confidencial</w:t>
      </w:r>
      <w:r w:rsidRPr="00E85FF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BC118F"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2FFA6C2C"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XXXII. Protección de Datos Personales</w:t>
      </w:r>
      <w:r w:rsidRPr="00E85FF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514A9EE"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74C7D00C" w14:textId="77777777" w:rsidR="00FD0FF9" w:rsidRPr="00E85FF0"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XLV. Versión pública</w:t>
      </w:r>
      <w:r w:rsidRPr="00E85FF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0854C3B"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Artículo 6</w:t>
      </w:r>
      <w:r w:rsidRPr="00E85FF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CA2E42"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5B5D3DA4"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91.</w:t>
      </w:r>
      <w:r w:rsidRPr="00E85FF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E85FF0">
        <w:rPr>
          <w:rFonts w:ascii="Palatino Linotype" w:eastAsia="Palatino Linotype" w:hAnsi="Palatino Linotype" w:cs="Palatino Linotype"/>
          <w:i/>
          <w:sz w:val="22"/>
          <w:szCs w:val="22"/>
        </w:rPr>
        <w:br/>
        <w:t>…</w:t>
      </w:r>
    </w:p>
    <w:p w14:paraId="2312A81A"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132.</w:t>
      </w:r>
      <w:r w:rsidRPr="00E85FF0">
        <w:rPr>
          <w:rFonts w:ascii="Palatino Linotype" w:eastAsia="Palatino Linotype" w:hAnsi="Palatino Linotype" w:cs="Palatino Linotype"/>
          <w:i/>
          <w:sz w:val="22"/>
          <w:szCs w:val="22"/>
        </w:rPr>
        <w:t xml:space="preserve"> La clasificación de la información se llevará a cabo en el momento en que:</w:t>
      </w:r>
    </w:p>
    <w:p w14:paraId="1DC7BA0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Se reciba una solicitud de acceso a la información;</w:t>
      </w:r>
    </w:p>
    <w:p w14:paraId="1238441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xml:space="preserve"> Se determine mediante resolución de autoridad competente; o</w:t>
      </w:r>
    </w:p>
    <w:p w14:paraId="1398B38C"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2CB422"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w:t>
      </w:r>
    </w:p>
    <w:p w14:paraId="220777FC"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137.</w:t>
      </w:r>
      <w:r w:rsidRPr="00E85FF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92CD26"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Artículo 143.</w:t>
      </w:r>
      <w:r w:rsidRPr="00E85FF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1D4F30A"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7C7E01"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FFACF1E"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E8B22D"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210840FD"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La </w:t>
      </w:r>
      <w:r w:rsidRPr="00E85FF0">
        <w:rPr>
          <w:rFonts w:ascii="Palatino Linotype" w:eastAsia="Palatino Linotype" w:hAnsi="Palatino Linotype" w:cs="Palatino Linotype"/>
          <w:b/>
          <w:sz w:val="22"/>
          <w:szCs w:val="22"/>
        </w:rPr>
        <w:t>clave de elector</w:t>
      </w:r>
      <w:r w:rsidRPr="00E85FF0">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4B1FF2D"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número de OCR,</w:t>
      </w:r>
      <w:r w:rsidRPr="00E85FF0">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B97564F"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La </w:t>
      </w:r>
      <w:r w:rsidRPr="00E85FF0">
        <w:rPr>
          <w:rFonts w:ascii="Palatino Linotype" w:eastAsia="Palatino Linotype" w:hAnsi="Palatino Linotype" w:cs="Palatino Linotype"/>
          <w:b/>
          <w:sz w:val="22"/>
          <w:szCs w:val="22"/>
        </w:rPr>
        <w:t>clave única del registro de población,</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7D7034C"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Por cuanto hace al </w:t>
      </w:r>
      <w:r w:rsidRPr="00E85FF0">
        <w:rPr>
          <w:rFonts w:ascii="Palatino Linotype" w:eastAsia="Palatino Linotype" w:hAnsi="Palatino Linotype" w:cs="Palatino Linotype"/>
          <w:b/>
          <w:sz w:val="22"/>
          <w:szCs w:val="22"/>
        </w:rPr>
        <w:t xml:space="preserve">Registro Federal de Contribuyentes (RFC) </w:t>
      </w:r>
      <w:r w:rsidRPr="00E85FF0">
        <w:rPr>
          <w:rFonts w:ascii="Palatino Linotype" w:eastAsia="Palatino Linotype" w:hAnsi="Palatino Linotype" w:cs="Palatino Linotype"/>
          <w:sz w:val="22"/>
          <w:szCs w:val="22"/>
        </w:rPr>
        <w:t>y</w:t>
      </w:r>
      <w:r w:rsidRPr="00E85FF0">
        <w:rPr>
          <w:rFonts w:ascii="Palatino Linotype" w:eastAsia="Palatino Linotype" w:hAnsi="Palatino Linotype" w:cs="Palatino Linotype"/>
          <w:b/>
          <w:sz w:val="22"/>
          <w:szCs w:val="22"/>
        </w:rPr>
        <w:t xml:space="preserve"> el domicilio fiscal </w:t>
      </w:r>
      <w:r w:rsidRPr="00E85FF0">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EA631FB"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8D84CF1"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E85FF0">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E85FF0">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D0C7C77"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330F9C93"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“Registro Federal de Contribuyentes (RFC) de personas físicas proveedoras o contratistas. </w:t>
      </w:r>
      <w:r w:rsidRPr="00E85FF0">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8F687D8" w14:textId="77777777" w:rsidR="00FD0FF9" w:rsidRPr="00E85FF0"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domicilio particular</w:t>
      </w:r>
      <w:r w:rsidRPr="00E85FF0">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4C65E82" w14:textId="77777777" w:rsidR="00FD0FF9" w:rsidRPr="00E85FF0"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69247093" w14:textId="77777777" w:rsidR="00FD0FF9" w:rsidRPr="00E85FF0" w:rsidRDefault="00FD0FF9" w:rsidP="00FD0FF9">
      <w:pPr>
        <w:spacing w:before="240" w:after="240" w:line="360" w:lineRule="auto"/>
        <w:ind w:right="-93"/>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5FF9EF4" w14:textId="77777777" w:rsidR="00FD0FF9" w:rsidRPr="00E85FF0" w:rsidRDefault="00FD0FF9" w:rsidP="00FD0FF9">
      <w:pPr>
        <w:spacing w:before="240" w:after="240" w:line="360" w:lineRule="auto"/>
        <w:ind w:right="-93"/>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2A81D188" w14:textId="77777777" w:rsidR="00FD0FF9" w:rsidRPr="00E85FF0" w:rsidRDefault="00FD0FF9" w:rsidP="00FD0FF9">
      <w:pPr>
        <w:spacing w:before="240" w:after="240" w:line="360" w:lineRule="auto"/>
        <w:ind w:right="-93"/>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teléfono particular</w:t>
      </w:r>
      <w:r w:rsidRPr="00E85FF0">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51500E8B" w14:textId="77777777" w:rsidR="00FD0FF9" w:rsidRPr="00E85FF0" w:rsidRDefault="00FD0FF9" w:rsidP="00FD0FF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 xml:space="preserve">correo electrónico particular, </w:t>
      </w:r>
      <w:r w:rsidRPr="00E85FF0">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74AD6EC" w14:textId="77777777" w:rsidR="00FD0FF9" w:rsidRPr="00E85FF0" w:rsidRDefault="00FD0FF9" w:rsidP="00FD0FF9">
      <w:pPr>
        <w:tabs>
          <w:tab w:val="left" w:pos="4962"/>
        </w:tabs>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Por cuanto hace a las </w:t>
      </w:r>
      <w:r w:rsidRPr="00E85FF0">
        <w:rPr>
          <w:rFonts w:ascii="Palatino Linotype" w:eastAsia="Palatino Linotype" w:hAnsi="Palatino Linotype" w:cs="Palatino Linotype"/>
          <w:b/>
          <w:sz w:val="22"/>
          <w:szCs w:val="22"/>
        </w:rPr>
        <w:t>identificaciones oficiales con fotografía de particulares</w:t>
      </w:r>
      <w:r w:rsidRPr="00E85FF0">
        <w:rPr>
          <w:rFonts w:ascii="Palatino Linotype" w:eastAsia="Palatino Linotype" w:hAnsi="Palatino Linotype" w:cs="Palatino Linotype"/>
          <w:sz w:val="22"/>
          <w:szCs w:val="22"/>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5D23C8D7"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El </w:t>
      </w:r>
      <w:r w:rsidRPr="00E85FF0">
        <w:rPr>
          <w:rFonts w:ascii="Palatino Linotype" w:eastAsia="Palatino Linotype" w:hAnsi="Palatino Linotype" w:cs="Palatino Linotype"/>
          <w:b/>
          <w:sz w:val="22"/>
          <w:szCs w:val="22"/>
        </w:rPr>
        <w:t>número de cuenta bancaria</w:t>
      </w:r>
      <w:r w:rsidRPr="00E85FF0">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0DCC748"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0D5F390"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AEDD66B"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147B17E"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Es por esta razón que se debe omitir el o los números de cuentas bancarias de particulares en las versiones públicas que se hagan para ser entregadas.</w:t>
      </w:r>
    </w:p>
    <w:p w14:paraId="66711AD1"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Lo anterior, </w:t>
      </w:r>
      <w:r w:rsidRPr="00E85FF0">
        <w:rPr>
          <w:rFonts w:ascii="Palatino Linotype" w:eastAsia="Palatino Linotype" w:hAnsi="Palatino Linotype" w:cs="Palatino Linotype"/>
          <w:b/>
          <w:sz w:val="22"/>
          <w:szCs w:val="22"/>
        </w:rPr>
        <w:t xml:space="preserve">no es así tratándose de las cuentas bancarias o claves interbancarias de los Sujetos Obligados </w:t>
      </w:r>
      <w:r w:rsidRPr="00E85FF0">
        <w:rPr>
          <w:rFonts w:ascii="Palatino Linotype" w:eastAsia="Palatino Linotype" w:hAnsi="Palatino Linotype" w:cs="Palatino Linotype"/>
          <w:sz w:val="22"/>
          <w:szCs w:val="22"/>
        </w:rPr>
        <w:t>ya que su publicidad cede a la rendición de cuentas al transparentar la forma en que son administrados los recursos públicos.</w:t>
      </w:r>
    </w:p>
    <w:p w14:paraId="1C1EC16F"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62EF7C50"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Cuentas bancarias y/o CLABE interbancaria de personas físicas y morales privadas.</w:t>
      </w:r>
      <w:r w:rsidRPr="00E85FF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8103B9"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E85FF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87890F2"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Relacionado con lo anterior, el </w:t>
      </w:r>
      <w:r w:rsidRPr="00E85FF0">
        <w:rPr>
          <w:rFonts w:ascii="Palatino Linotype" w:eastAsia="Palatino Linotype" w:hAnsi="Palatino Linotype" w:cs="Palatino Linotype"/>
          <w:b/>
          <w:sz w:val="22"/>
          <w:szCs w:val="22"/>
        </w:rPr>
        <w:t>nombre de las personas físicas</w:t>
      </w:r>
      <w:r w:rsidRPr="00E85FF0">
        <w:rPr>
          <w:rFonts w:ascii="Palatino Linotype" w:eastAsia="Palatino Linotype" w:hAnsi="Palatino Linotype" w:cs="Palatino Linotype"/>
          <w:sz w:val="22"/>
          <w:szCs w:val="22"/>
        </w:rPr>
        <w:t xml:space="preserve"> o los </w:t>
      </w:r>
      <w:r w:rsidRPr="00E85FF0">
        <w:rPr>
          <w:rFonts w:ascii="Palatino Linotype" w:eastAsia="Palatino Linotype" w:hAnsi="Palatino Linotype" w:cs="Palatino Linotype"/>
          <w:b/>
          <w:sz w:val="22"/>
          <w:szCs w:val="22"/>
        </w:rPr>
        <w:t>representantes legales de las personas morales</w:t>
      </w:r>
      <w:r w:rsidRPr="00E85FF0">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45D6B5B"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EEC5AEC"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23.</w:t>
      </w:r>
      <w:r w:rsidRPr="00E85FF0">
        <w:rPr>
          <w:rFonts w:ascii="Palatino Linotype" w:eastAsia="Palatino Linotype" w:hAnsi="Palatino Linotype" w:cs="Palatino Linotype"/>
          <w:i/>
          <w:sz w:val="22"/>
          <w:szCs w:val="22"/>
        </w:rPr>
        <w:t xml:space="preserve"> (…)</w:t>
      </w:r>
    </w:p>
    <w:p w14:paraId="4C68F9E8"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4821F4" w14:textId="77777777" w:rsidR="00FD0FF9" w:rsidRPr="00E85FF0" w:rsidRDefault="00FD0FF9" w:rsidP="00FD0FF9">
      <w:pPr>
        <w:spacing w:before="280" w:after="28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44B8453"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“Datos de identificación del representante o apoderado legal.</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 xml:space="preserve">Naturaleza jurídica. </w:t>
      </w:r>
      <w:r w:rsidRPr="00E85FF0">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E85FF0">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E85FF0">
        <w:rPr>
          <w:rFonts w:ascii="Palatino Linotype" w:eastAsia="Palatino Linotype" w:hAnsi="Palatino Linotype" w:cs="Palatino Linotype"/>
          <w:i/>
          <w:sz w:val="22"/>
          <w:szCs w:val="22"/>
        </w:rPr>
        <w:t>.”</w:t>
      </w:r>
    </w:p>
    <w:p w14:paraId="70205990" w14:textId="77777777" w:rsidR="00FD0FF9" w:rsidRPr="00E85FF0" w:rsidRDefault="00FD0FF9" w:rsidP="00FD0FF9">
      <w:pPr>
        <w:spacing w:before="240" w:after="240" w:line="360" w:lineRule="auto"/>
        <w:ind w:right="50"/>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18DB5B"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49.</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Los Comités de Transparencia</w:t>
      </w:r>
      <w:r w:rsidRPr="00E85FF0">
        <w:rPr>
          <w:rFonts w:ascii="Palatino Linotype" w:eastAsia="Palatino Linotype" w:hAnsi="Palatino Linotype" w:cs="Palatino Linotype"/>
          <w:i/>
          <w:sz w:val="22"/>
          <w:szCs w:val="22"/>
        </w:rPr>
        <w:t xml:space="preserve"> tendrán las siguientes atribuciones:</w:t>
      </w:r>
    </w:p>
    <w:p w14:paraId="68A3F73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VIII. Aprobar, modificar o revocar la clasificación de la información</w:t>
      </w:r>
      <w:r w:rsidRPr="00E85FF0">
        <w:rPr>
          <w:rFonts w:ascii="Palatino Linotype" w:eastAsia="Palatino Linotype" w:hAnsi="Palatino Linotype" w:cs="Palatino Linotype"/>
          <w:i/>
          <w:sz w:val="22"/>
          <w:szCs w:val="22"/>
        </w:rPr>
        <w:t>…”</w:t>
      </w:r>
    </w:p>
    <w:p w14:paraId="754FEBEB"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53.</w:t>
      </w:r>
      <w:r w:rsidRPr="00E85FF0">
        <w:rPr>
          <w:rFonts w:ascii="Palatino Linotype" w:eastAsia="Palatino Linotype" w:hAnsi="Palatino Linotype" w:cs="Palatino Linotype"/>
          <w:i/>
          <w:sz w:val="22"/>
          <w:szCs w:val="22"/>
        </w:rPr>
        <w:t xml:space="preserve"> Las </w:t>
      </w:r>
      <w:r w:rsidRPr="00E85FF0">
        <w:rPr>
          <w:rFonts w:ascii="Palatino Linotype" w:eastAsia="Palatino Linotype" w:hAnsi="Palatino Linotype" w:cs="Palatino Linotype"/>
          <w:b/>
          <w:i/>
          <w:sz w:val="22"/>
          <w:szCs w:val="22"/>
        </w:rPr>
        <w:t>Unidades de Transparencia</w:t>
      </w:r>
      <w:r w:rsidRPr="00E85FF0">
        <w:rPr>
          <w:rFonts w:ascii="Palatino Linotype" w:eastAsia="Palatino Linotype" w:hAnsi="Palatino Linotype" w:cs="Palatino Linotype"/>
          <w:i/>
          <w:sz w:val="22"/>
          <w:szCs w:val="22"/>
        </w:rPr>
        <w:t xml:space="preserve"> tendrán las siguientes </w:t>
      </w:r>
      <w:r w:rsidRPr="00E85FF0">
        <w:rPr>
          <w:rFonts w:ascii="Palatino Linotype" w:eastAsia="Palatino Linotype" w:hAnsi="Palatino Linotype" w:cs="Palatino Linotype"/>
          <w:b/>
          <w:i/>
          <w:sz w:val="22"/>
          <w:szCs w:val="22"/>
        </w:rPr>
        <w:t>funciones</w:t>
      </w:r>
      <w:r w:rsidRPr="00E85FF0">
        <w:rPr>
          <w:rFonts w:ascii="Palatino Linotype" w:eastAsia="Palatino Linotype" w:hAnsi="Palatino Linotype" w:cs="Palatino Linotype"/>
          <w:i/>
          <w:sz w:val="22"/>
          <w:szCs w:val="22"/>
        </w:rPr>
        <w:t>:</w:t>
      </w:r>
    </w:p>
    <w:p w14:paraId="161A88A4"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 Presentar ante el Comité, el proyecto de clasificación de información</w:t>
      </w:r>
      <w:r w:rsidRPr="00E85FF0">
        <w:rPr>
          <w:rFonts w:ascii="Palatino Linotype" w:eastAsia="Palatino Linotype" w:hAnsi="Palatino Linotype" w:cs="Palatino Linotype"/>
          <w:i/>
          <w:sz w:val="22"/>
          <w:szCs w:val="22"/>
        </w:rPr>
        <w:t xml:space="preserve">…” </w:t>
      </w:r>
    </w:p>
    <w:p w14:paraId="12F8AF35"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“Artículo 59.</w:t>
      </w:r>
      <w:r w:rsidRPr="00E85FF0">
        <w:rPr>
          <w:rFonts w:ascii="Palatino Linotype" w:eastAsia="Palatino Linotype" w:hAnsi="Palatino Linotype" w:cs="Palatino Linotype"/>
          <w:i/>
          <w:sz w:val="22"/>
          <w:szCs w:val="22"/>
        </w:rPr>
        <w:t xml:space="preserve"> Los </w:t>
      </w:r>
      <w:r w:rsidRPr="00E85FF0">
        <w:rPr>
          <w:rFonts w:ascii="Palatino Linotype" w:eastAsia="Palatino Linotype" w:hAnsi="Palatino Linotype" w:cs="Palatino Linotype"/>
          <w:b/>
          <w:i/>
          <w:sz w:val="22"/>
          <w:szCs w:val="22"/>
        </w:rPr>
        <w:t>servidores públicos habilitados</w:t>
      </w:r>
      <w:r w:rsidRPr="00E85FF0">
        <w:rPr>
          <w:rFonts w:ascii="Palatino Linotype" w:eastAsia="Palatino Linotype" w:hAnsi="Palatino Linotype" w:cs="Palatino Linotype"/>
          <w:i/>
          <w:sz w:val="22"/>
          <w:szCs w:val="22"/>
        </w:rPr>
        <w:t xml:space="preserve"> tendrán las </w:t>
      </w:r>
      <w:r w:rsidRPr="00E85FF0">
        <w:rPr>
          <w:rFonts w:ascii="Palatino Linotype" w:eastAsia="Palatino Linotype" w:hAnsi="Palatino Linotype" w:cs="Palatino Linotype"/>
          <w:b/>
          <w:i/>
          <w:sz w:val="22"/>
          <w:szCs w:val="22"/>
        </w:rPr>
        <w:t>funciones</w:t>
      </w:r>
      <w:r w:rsidRPr="00E85FF0">
        <w:rPr>
          <w:rFonts w:ascii="Palatino Linotype" w:eastAsia="Palatino Linotype" w:hAnsi="Palatino Linotype" w:cs="Palatino Linotype"/>
          <w:i/>
          <w:sz w:val="22"/>
          <w:szCs w:val="22"/>
        </w:rPr>
        <w:t xml:space="preserve"> siguientes:</w:t>
      </w:r>
    </w:p>
    <w:p w14:paraId="69663D7F"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85FF0">
        <w:rPr>
          <w:rFonts w:ascii="Palatino Linotype" w:eastAsia="Palatino Linotype" w:hAnsi="Palatino Linotype" w:cs="Palatino Linotype"/>
          <w:i/>
          <w:sz w:val="22"/>
          <w:szCs w:val="22"/>
        </w:rPr>
        <w:t>, la cual tendrá los fundamentos y argumentos en que se basa dicha propuesta…”</w:t>
      </w:r>
    </w:p>
    <w:p w14:paraId="125228A7"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EE3747"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1CB89DD"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Artículo 149.</w:t>
      </w:r>
      <w:r w:rsidRPr="00E85FF0">
        <w:rPr>
          <w:rFonts w:ascii="Palatino Linotype" w:eastAsia="Palatino Linotype" w:hAnsi="Palatino Linotype" w:cs="Palatino Linotype"/>
          <w:i/>
          <w:sz w:val="22"/>
          <w:szCs w:val="22"/>
        </w:rPr>
        <w:t xml:space="preserve"> El </w:t>
      </w:r>
      <w:r w:rsidRPr="00E85FF0">
        <w:rPr>
          <w:rFonts w:ascii="Palatino Linotype" w:eastAsia="Palatino Linotype" w:hAnsi="Palatino Linotype" w:cs="Palatino Linotype"/>
          <w:b/>
          <w:i/>
          <w:sz w:val="22"/>
          <w:szCs w:val="22"/>
        </w:rPr>
        <w:t>acuerdo que clasifique la información como confidencial</w:t>
      </w:r>
      <w:r w:rsidRPr="00E85FF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874D2DB" w14:textId="77777777" w:rsidR="00FD0FF9" w:rsidRPr="00E85FF0" w:rsidRDefault="00FD0FF9" w:rsidP="00FD0FF9">
      <w:pP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Es decir,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4C9E0DF" w14:textId="77777777" w:rsidR="00FD0FF9" w:rsidRPr="00E85FF0" w:rsidRDefault="00FD0FF9" w:rsidP="00FD0FF9">
      <w:pPr>
        <w:spacing w:before="240" w:after="240" w:line="360" w:lineRule="auto"/>
        <w:ind w:right="49"/>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Atento a lo anterior, cabe señalar que el Comité de Transparencia del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FC47F29"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Segundo.-</w:t>
      </w:r>
      <w:r w:rsidRPr="00E85FF0">
        <w:rPr>
          <w:rFonts w:ascii="Palatino Linotype" w:eastAsia="Palatino Linotype" w:hAnsi="Palatino Linotype" w:cs="Palatino Linotype"/>
          <w:i/>
          <w:sz w:val="22"/>
          <w:szCs w:val="22"/>
        </w:rPr>
        <w:t xml:space="preserve"> Para efectos de los presentes Lineamientos Generales, se entenderá por:</w:t>
      </w:r>
    </w:p>
    <w:p w14:paraId="604F31EB"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XVIII.</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Versión pública:</w:t>
      </w:r>
      <w:r w:rsidRPr="00E85FF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85FF0">
        <w:rPr>
          <w:rFonts w:ascii="Palatino Linotype" w:eastAsia="Palatino Linotype" w:hAnsi="Palatino Linotype" w:cs="Palatino Linotype"/>
          <w:b/>
          <w:i/>
          <w:sz w:val="22"/>
          <w:szCs w:val="22"/>
        </w:rPr>
        <w:t>fundando y motivando la</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reserva o confidencialidad</w:t>
      </w:r>
      <w:r w:rsidRPr="00E85FF0">
        <w:rPr>
          <w:rFonts w:ascii="Palatino Linotype" w:eastAsia="Palatino Linotype" w:hAnsi="Palatino Linotype" w:cs="Palatino Linotype"/>
          <w:i/>
          <w:sz w:val="22"/>
          <w:szCs w:val="22"/>
        </w:rPr>
        <w:t>, a través de la resolución que para tal efecto emita el Comité de Transparencia.</w:t>
      </w:r>
    </w:p>
    <w:p w14:paraId="593ADF1C"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w:t>
      </w:r>
    </w:p>
    <w:p w14:paraId="428E0DBD"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Cuarto.</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Para clasificar la información como</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reservada o</w:t>
      </w:r>
      <w:r w:rsidRPr="00E85FF0">
        <w:rPr>
          <w:rFonts w:ascii="Palatino Linotype" w:eastAsia="Palatino Linotype" w:hAnsi="Palatino Linotype" w:cs="Palatino Linotype"/>
          <w:i/>
          <w:sz w:val="22"/>
          <w:szCs w:val="22"/>
        </w:rPr>
        <w:t xml:space="preserve"> </w:t>
      </w:r>
      <w:r w:rsidRPr="00E85FF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85FF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B1D9F5"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038516"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Quinto.</w:t>
      </w:r>
      <w:r w:rsidRPr="00E85FF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58B36"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Sexto.</w:t>
      </w:r>
      <w:r w:rsidRPr="00E85FF0">
        <w:rPr>
          <w:rFonts w:ascii="Palatino Linotype" w:eastAsia="Palatino Linotype" w:hAnsi="Palatino Linotype" w:cs="Palatino Linotype"/>
          <w:i/>
          <w:sz w:val="22"/>
          <w:szCs w:val="22"/>
        </w:rPr>
        <w:t xml:space="preserve"> Se deroga.</w:t>
      </w:r>
    </w:p>
    <w:p w14:paraId="578A77DF"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Séptimo.</w:t>
      </w:r>
      <w:r w:rsidRPr="00E85FF0">
        <w:rPr>
          <w:rFonts w:ascii="Palatino Linotype" w:eastAsia="Palatino Linotype" w:hAnsi="Palatino Linotype" w:cs="Palatino Linotype"/>
          <w:i/>
          <w:sz w:val="22"/>
          <w:szCs w:val="22"/>
        </w:rPr>
        <w:t xml:space="preserve"> La clasificación de la información se llevará a cabo en el momento en que:</w:t>
      </w:r>
    </w:p>
    <w:p w14:paraId="76259D5F"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Se reciba una solicitud de acceso a la información;</w:t>
      </w:r>
    </w:p>
    <w:p w14:paraId="1C132CEA"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6AED9F6"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EC7AC0"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E85FF0">
        <w:rPr>
          <w:rFonts w:ascii="Palatino Linotype" w:eastAsia="Palatino Linotype" w:hAnsi="Palatino Linotype" w:cs="Palatino Linotype"/>
          <w:sz w:val="22"/>
          <w:szCs w:val="22"/>
        </w:rPr>
        <w:t xml:space="preserve">, </w:t>
      </w:r>
      <w:r w:rsidRPr="00E85FF0">
        <w:rPr>
          <w:rFonts w:ascii="Palatino Linotype" w:eastAsia="Palatino Linotype" w:hAnsi="Palatino Linotype" w:cs="Palatino Linotype"/>
          <w:i/>
          <w:sz w:val="22"/>
          <w:szCs w:val="22"/>
        </w:rPr>
        <w:t>conforme a su naturaleza, si encuadra en una causal de reserva o de confidencialidad.</w:t>
      </w:r>
    </w:p>
    <w:p w14:paraId="372DDD0F"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Octavo.</w:t>
      </w:r>
      <w:r w:rsidRPr="00E85FF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8662F6"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F8F6164"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981410"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Noveno.</w:t>
      </w:r>
      <w:r w:rsidRPr="00E85FF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46A8BE"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Décimo.</w:t>
      </w:r>
      <w:r w:rsidRPr="00E85FF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CC44F7A"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229B59E" w14:textId="77777777" w:rsidR="00FD0FF9" w:rsidRPr="00E85FF0"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Décimo primero.</w:t>
      </w:r>
      <w:r w:rsidRPr="00E85FF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5292E04" w14:textId="77777777" w:rsidR="00FD0FF9" w:rsidRPr="00E85FF0" w:rsidRDefault="00FD0FF9" w:rsidP="00FD0FF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7D70B19"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 “Quincuagésimo. </w:t>
      </w:r>
      <w:r w:rsidRPr="00E85FF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FD19F0A"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Quincuagésimo primero. </w:t>
      </w:r>
      <w:r w:rsidRPr="00E85FF0">
        <w:rPr>
          <w:rFonts w:ascii="Palatino Linotype" w:eastAsia="Palatino Linotype" w:hAnsi="Palatino Linotype" w:cs="Palatino Linotype"/>
          <w:i/>
          <w:sz w:val="22"/>
          <w:szCs w:val="22"/>
        </w:rPr>
        <w:t xml:space="preserve">Toda acta del Comité de Transparencia deberá contener: </w:t>
      </w:r>
    </w:p>
    <w:p w14:paraId="67CF1E1E"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El número de sesión y fecha; </w:t>
      </w:r>
    </w:p>
    <w:p w14:paraId="0FC35CC9"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xml:space="preserve">. El nombre del área que solicitó la clasificación de información; </w:t>
      </w:r>
    </w:p>
    <w:p w14:paraId="54CB5679"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La fundamentación legal y motivación correspondiente; </w:t>
      </w:r>
    </w:p>
    <w:p w14:paraId="17C1366D"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IV</w:t>
      </w:r>
      <w:r w:rsidRPr="00E85FF0">
        <w:rPr>
          <w:rFonts w:ascii="Palatino Linotype" w:eastAsia="Palatino Linotype" w:hAnsi="Palatino Linotype" w:cs="Palatino Linotype"/>
          <w:i/>
          <w:sz w:val="22"/>
          <w:szCs w:val="22"/>
        </w:rPr>
        <w:t xml:space="preserve">. La resolución o resoluciones aprobadas; y </w:t>
      </w:r>
    </w:p>
    <w:p w14:paraId="6A51BE99"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V</w:t>
      </w:r>
      <w:r w:rsidRPr="00E85FF0">
        <w:rPr>
          <w:rFonts w:ascii="Palatino Linotype" w:eastAsia="Palatino Linotype" w:hAnsi="Palatino Linotype" w:cs="Palatino Linotype"/>
          <w:i/>
          <w:sz w:val="22"/>
          <w:szCs w:val="22"/>
        </w:rPr>
        <w:t xml:space="preserve">. La rúbrica o firma digital de cada integrante del Comité de Transparencia. </w:t>
      </w:r>
    </w:p>
    <w:p w14:paraId="5D09ECF7"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0D4A375"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88FB6A4"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Descripción de las partes o secciones reservadas, en caso de clasificación parcial</w:t>
      </w:r>
      <w:r w:rsidRPr="00E85FF0">
        <w:rPr>
          <w:rFonts w:ascii="Palatino Linotype" w:eastAsia="Palatino Linotype" w:hAnsi="Palatino Linotype" w:cs="Palatino Linotype"/>
          <w:b/>
          <w:i/>
          <w:sz w:val="22"/>
          <w:szCs w:val="22"/>
        </w:rPr>
        <w:t xml:space="preserve">; </w:t>
      </w:r>
    </w:p>
    <w:p w14:paraId="1C5E8414"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El periodo por el que mantendrá su clasificación y fecha de expiración; y </w:t>
      </w:r>
    </w:p>
    <w:p w14:paraId="70FDA637"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IV.</w:t>
      </w:r>
      <w:r w:rsidRPr="00E85FF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DDE799A"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EBD8E4" w14:textId="77777777" w:rsidR="00FD0FF9" w:rsidRPr="00E85FF0"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4EC9BC2" w14:textId="77777777" w:rsidR="00FD0FF9" w:rsidRPr="00E85FF0" w:rsidRDefault="00FD0FF9" w:rsidP="00FD0FF9">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4206846"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r w:rsidRPr="00E85FF0">
        <w:rPr>
          <w:rFonts w:ascii="Palatino Linotype" w:eastAsia="Palatino Linotype" w:hAnsi="Palatino Linotype" w:cs="Palatino Linotype"/>
          <w:b/>
          <w:i/>
          <w:sz w:val="22"/>
          <w:szCs w:val="22"/>
        </w:rPr>
        <w:t>Quincuagésimo segundo</w:t>
      </w:r>
      <w:r w:rsidRPr="00E85FF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4D1693"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67FABD"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0B0FBB"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D67686D"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Señalar las personas o instancias autorizadas a acceder a la información clasificada.</w:t>
      </w:r>
    </w:p>
    <w:p w14:paraId="631E0239" w14:textId="77777777" w:rsidR="00FD0FF9" w:rsidRPr="00E85FF0" w:rsidRDefault="00FD0FF9" w:rsidP="00FD0FF9">
      <w:pP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4842BD" w14:textId="77777777" w:rsidR="00FD0FF9" w:rsidRPr="00E85FF0"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w:t>
      </w:r>
    </w:p>
    <w:p w14:paraId="1C351412" w14:textId="77777777" w:rsidR="00FD0FF9" w:rsidRPr="00E85FF0"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 xml:space="preserve">Quincuagésimo cuarto. </w:t>
      </w:r>
      <w:r w:rsidRPr="00E85FF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85FF0">
        <w:rPr>
          <w:rFonts w:ascii="Palatino Linotype" w:eastAsia="Palatino Linotype" w:hAnsi="Palatino Linotype" w:cs="Palatino Linotype"/>
          <w:b/>
          <w:i/>
          <w:sz w:val="22"/>
          <w:szCs w:val="22"/>
        </w:rPr>
        <w:t xml:space="preserve"> </w:t>
      </w:r>
    </w:p>
    <w:p w14:paraId="3B4FADFD"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 xml:space="preserve">Quincuagésimo quinto. </w:t>
      </w:r>
      <w:r w:rsidRPr="00E85FF0">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D28644" w14:textId="77777777" w:rsidR="00FD0FF9" w:rsidRPr="00E85FF0" w:rsidRDefault="00FD0FF9" w:rsidP="00FD0FF9">
      <w:pPr>
        <w:spacing w:before="120" w:after="120"/>
        <w:ind w:left="851" w:right="902"/>
        <w:jc w:val="both"/>
        <w:rPr>
          <w:rFonts w:ascii="Palatino Linotype" w:eastAsia="Palatino Linotype" w:hAnsi="Palatino Linotype" w:cs="Palatino Linotype"/>
          <w:b/>
          <w:i/>
          <w:sz w:val="22"/>
          <w:szCs w:val="22"/>
        </w:rPr>
      </w:pPr>
      <w:r w:rsidRPr="00E85FF0">
        <w:rPr>
          <w:rFonts w:ascii="Palatino Linotype" w:eastAsia="Palatino Linotype" w:hAnsi="Palatino Linotype" w:cs="Palatino Linotype"/>
          <w:b/>
          <w:i/>
          <w:sz w:val="22"/>
          <w:szCs w:val="22"/>
        </w:rPr>
        <w:t>...</w:t>
      </w:r>
    </w:p>
    <w:p w14:paraId="7975EA3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Quincuagésimo séptimo</w:t>
      </w:r>
      <w:r w:rsidRPr="00E85FF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BA74893"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w:t>
      </w:r>
      <w:r w:rsidRPr="00E85FF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B980E5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w:t>
      </w:r>
      <w:r w:rsidRPr="00E85FF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36AD867"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III</w:t>
      </w:r>
      <w:r w:rsidRPr="00E85FF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4FCB51F"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DBD279A" w14:textId="77777777" w:rsidR="00FD0FF9" w:rsidRPr="00E85FF0" w:rsidRDefault="00FD0FF9" w:rsidP="00FD0FF9">
      <w:pPr>
        <w:spacing w:before="120" w:after="120"/>
        <w:ind w:left="851" w:right="902"/>
        <w:jc w:val="both"/>
        <w:rPr>
          <w:rFonts w:ascii="Palatino Linotype" w:eastAsia="Palatino Linotype" w:hAnsi="Palatino Linotype" w:cs="Palatino Linotype"/>
          <w:i/>
          <w:sz w:val="22"/>
          <w:szCs w:val="22"/>
        </w:rPr>
      </w:pPr>
      <w:r w:rsidRPr="00E85FF0">
        <w:rPr>
          <w:rFonts w:ascii="Palatino Linotype" w:eastAsia="Palatino Linotype" w:hAnsi="Palatino Linotype" w:cs="Palatino Linotype"/>
          <w:b/>
          <w:i/>
          <w:sz w:val="22"/>
          <w:szCs w:val="22"/>
        </w:rPr>
        <w:t>Quincuagésimo octavo</w:t>
      </w:r>
      <w:r w:rsidRPr="00E85FF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D424BB3" w14:textId="0D633A59"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sz w:val="22"/>
          <w:szCs w:val="22"/>
        </w:rPr>
        <w:t>Así, con fundamento en lo prescrito en los artículos 5</w:t>
      </w:r>
      <w:r w:rsidR="00FD0FF9" w:rsidRPr="00E85FF0">
        <w:rPr>
          <w:rFonts w:ascii="Palatino Linotype" w:eastAsia="Palatino Linotype" w:hAnsi="Palatino Linotype" w:cs="Palatino Linotype"/>
          <w:sz w:val="22"/>
          <w:szCs w:val="22"/>
        </w:rPr>
        <w:t xml:space="preserve">, </w:t>
      </w:r>
      <w:r w:rsidR="00170F4F" w:rsidRPr="00E85FF0">
        <w:rPr>
          <w:rFonts w:ascii="Palatino Linotype" w:eastAsia="Palatino Linotype" w:hAnsi="Palatino Linotype" w:cs="Palatino Linotype"/>
          <w:sz w:val="22"/>
          <w:szCs w:val="22"/>
        </w:rPr>
        <w:t>párrafos cuadragésimo cuarto, cuadragésimo quinto y cuadragésimo sexto, fracciones IV y V de la Constitución Política del Estado Libre y Soberano de México; transitorio Cuarto del Decreto número 198 de la “LXII” Legislatura del Estado de México</w:t>
      </w:r>
      <w:r w:rsidRPr="00E85FF0">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E85FF0"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III. R E S U E L V E</w:t>
      </w:r>
    </w:p>
    <w:p w14:paraId="4BED30EC" w14:textId="77777777" w:rsidR="005A75CA" w:rsidRPr="00E85FF0" w:rsidRDefault="00E96B90" w:rsidP="00D7204E">
      <w:pPr>
        <w:spacing w:before="240" w:after="240" w:line="360" w:lineRule="auto"/>
        <w:ind w:right="49"/>
        <w:jc w:val="both"/>
        <w:rPr>
          <w:rFonts w:ascii="Palatino Linotype" w:eastAsia="Palatino Linotype" w:hAnsi="Palatino Linotype" w:cs="Palatino Linotype"/>
          <w:sz w:val="22"/>
          <w:szCs w:val="22"/>
        </w:rPr>
      </w:pPr>
      <w:bookmarkStart w:id="9" w:name="_heading=h.1t3h5sf" w:colFirst="0" w:colLast="0"/>
      <w:bookmarkEnd w:id="9"/>
      <w:r w:rsidRPr="00E85FF0">
        <w:rPr>
          <w:rFonts w:ascii="Palatino Linotype" w:eastAsia="Palatino Linotype" w:hAnsi="Palatino Linotype" w:cs="Palatino Linotype"/>
          <w:b/>
          <w:sz w:val="22"/>
          <w:szCs w:val="22"/>
        </w:rPr>
        <w:t xml:space="preserve">Primero. </w:t>
      </w:r>
      <w:r w:rsidRPr="00E85FF0">
        <w:rPr>
          <w:rFonts w:ascii="Palatino Linotype" w:eastAsia="Palatino Linotype" w:hAnsi="Palatino Linotype" w:cs="Palatino Linotype"/>
          <w:sz w:val="22"/>
          <w:szCs w:val="22"/>
        </w:rPr>
        <w:t xml:space="preserve">Resultan </w:t>
      </w:r>
      <w:r w:rsidRPr="00E85FF0">
        <w:rPr>
          <w:rFonts w:ascii="Palatino Linotype" w:eastAsia="Palatino Linotype" w:hAnsi="Palatino Linotype" w:cs="Palatino Linotype"/>
          <w:b/>
          <w:sz w:val="22"/>
          <w:szCs w:val="22"/>
        </w:rPr>
        <w:t>fundados</w:t>
      </w:r>
      <w:r w:rsidRPr="00E85FF0">
        <w:rPr>
          <w:rFonts w:ascii="Palatino Linotype" w:eastAsia="Palatino Linotype" w:hAnsi="Palatino Linotype" w:cs="Palatino Linotype"/>
          <w:sz w:val="22"/>
          <w:szCs w:val="22"/>
        </w:rPr>
        <w:t xml:space="preserve"> los motivos de inconformidad de 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xml:space="preserve">, en términos del Considerando </w:t>
      </w:r>
      <w:r w:rsidRPr="00E85FF0">
        <w:rPr>
          <w:rFonts w:ascii="Palatino Linotype" w:eastAsia="Palatino Linotype" w:hAnsi="Palatino Linotype" w:cs="Palatino Linotype"/>
          <w:b/>
          <w:sz w:val="22"/>
          <w:szCs w:val="22"/>
        </w:rPr>
        <w:t>Cuarto</w:t>
      </w:r>
      <w:r w:rsidRPr="00E85FF0">
        <w:rPr>
          <w:rFonts w:ascii="Palatino Linotype" w:eastAsia="Palatino Linotype" w:hAnsi="Palatino Linotype" w:cs="Palatino Linotype"/>
          <w:sz w:val="22"/>
          <w:szCs w:val="22"/>
        </w:rPr>
        <w:t xml:space="preserve"> de la presente resolución.</w:t>
      </w:r>
    </w:p>
    <w:p w14:paraId="657AB476" w14:textId="632EADE4"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 xml:space="preserve">Segundo. </w:t>
      </w:r>
      <w:r w:rsidRPr="00E85FF0">
        <w:rPr>
          <w:rFonts w:ascii="Palatino Linotype" w:eastAsia="Palatino Linotype" w:hAnsi="Palatino Linotype" w:cs="Palatino Linotype"/>
          <w:sz w:val="22"/>
          <w:szCs w:val="22"/>
        </w:rPr>
        <w:t>Se</w:t>
      </w:r>
      <w:r w:rsidRPr="00E85FF0">
        <w:rPr>
          <w:rFonts w:ascii="Palatino Linotype" w:eastAsia="Palatino Linotype" w:hAnsi="Palatino Linotype" w:cs="Palatino Linotype"/>
          <w:b/>
          <w:sz w:val="22"/>
          <w:szCs w:val="22"/>
        </w:rPr>
        <w:t xml:space="preserve"> Ordena </w:t>
      </w:r>
      <w:r w:rsidRPr="00E85FF0">
        <w:rPr>
          <w:rFonts w:ascii="Palatino Linotype" w:eastAsia="Palatino Linotype" w:hAnsi="Palatino Linotype" w:cs="Palatino Linotype"/>
          <w:sz w:val="22"/>
          <w:szCs w:val="22"/>
        </w:rPr>
        <w:t xml:space="preserve">al </w:t>
      </w:r>
      <w:r w:rsidRPr="00E85FF0">
        <w:rPr>
          <w:rFonts w:ascii="Palatino Linotype" w:eastAsia="Palatino Linotype" w:hAnsi="Palatino Linotype" w:cs="Palatino Linotype"/>
          <w:b/>
          <w:sz w:val="22"/>
          <w:szCs w:val="22"/>
        </w:rPr>
        <w:t xml:space="preserve">Sujeto Obligado </w:t>
      </w:r>
      <w:r w:rsidRPr="00E85FF0">
        <w:rPr>
          <w:rFonts w:ascii="Palatino Linotype" w:eastAsia="Palatino Linotype" w:hAnsi="Palatino Linotype" w:cs="Palatino Linotype"/>
          <w:sz w:val="22"/>
          <w:szCs w:val="22"/>
        </w:rPr>
        <w:t xml:space="preserve">dé trámite a la solicitud de acceso a la información pública </w:t>
      </w:r>
      <w:r w:rsidR="00C84A28" w:rsidRPr="00E85FF0">
        <w:rPr>
          <w:rFonts w:ascii="Palatino Linotype" w:eastAsia="Palatino Linotype" w:hAnsi="Palatino Linotype" w:cs="Palatino Linotype"/>
          <w:b/>
          <w:sz w:val="22"/>
          <w:szCs w:val="22"/>
        </w:rPr>
        <w:t>00036/DIFCAPULHUAC/IP/2025</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 xml:space="preserve">que dio origen al recurso de revisión </w:t>
      </w:r>
      <w:r w:rsidR="00170F4F" w:rsidRPr="00E85FF0">
        <w:rPr>
          <w:rFonts w:ascii="Palatino Linotype" w:eastAsia="Palatino Linotype" w:hAnsi="Palatino Linotype" w:cs="Palatino Linotype"/>
          <w:b/>
          <w:sz w:val="22"/>
          <w:szCs w:val="22"/>
        </w:rPr>
        <w:t>1</w:t>
      </w:r>
      <w:r w:rsidR="00FD0FF9" w:rsidRPr="00E85FF0">
        <w:rPr>
          <w:rFonts w:ascii="Palatino Linotype" w:eastAsia="Palatino Linotype" w:hAnsi="Palatino Linotype" w:cs="Palatino Linotype"/>
          <w:b/>
          <w:sz w:val="22"/>
          <w:szCs w:val="22"/>
        </w:rPr>
        <w:t>2</w:t>
      </w:r>
      <w:r w:rsidR="00C84A28" w:rsidRPr="00E85FF0">
        <w:rPr>
          <w:rFonts w:ascii="Palatino Linotype" w:eastAsia="Palatino Linotype" w:hAnsi="Palatino Linotype" w:cs="Palatino Linotype"/>
          <w:b/>
          <w:sz w:val="22"/>
          <w:szCs w:val="22"/>
        </w:rPr>
        <w:t>654</w:t>
      </w:r>
      <w:r w:rsidR="00170F4F" w:rsidRPr="00E85FF0">
        <w:rPr>
          <w:rFonts w:ascii="Palatino Linotype" w:eastAsia="Palatino Linotype" w:hAnsi="Palatino Linotype" w:cs="Palatino Linotype"/>
          <w:b/>
          <w:sz w:val="22"/>
          <w:szCs w:val="22"/>
        </w:rPr>
        <w:t>/INFOEM/IP/RR/2025</w:t>
      </w:r>
      <w:r w:rsidRPr="00E85FF0">
        <w:rPr>
          <w:rFonts w:ascii="Palatino Linotype" w:eastAsia="Palatino Linotype" w:hAnsi="Palatino Linotype" w:cs="Palatino Linotype"/>
          <w:sz w:val="22"/>
          <w:szCs w:val="22"/>
        </w:rPr>
        <w:t>,</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y</w:t>
      </w:r>
      <w:r w:rsidRPr="00E85FF0">
        <w:rPr>
          <w:rFonts w:ascii="Palatino Linotype" w:eastAsia="Palatino Linotype" w:hAnsi="Palatino Linotype" w:cs="Palatino Linotype"/>
          <w:b/>
          <w:sz w:val="22"/>
          <w:szCs w:val="22"/>
        </w:rPr>
        <w:t xml:space="preserve"> </w:t>
      </w:r>
      <w:r w:rsidRPr="00E85FF0">
        <w:rPr>
          <w:rFonts w:ascii="Palatino Linotype" w:eastAsia="Palatino Linotype" w:hAnsi="Palatino Linotype" w:cs="Palatino Linotype"/>
          <w:sz w:val="22"/>
          <w:szCs w:val="22"/>
        </w:rPr>
        <w:t>en términos de los Considerandos</w:t>
      </w:r>
      <w:r w:rsidRPr="00E85FF0">
        <w:rPr>
          <w:rFonts w:ascii="Palatino Linotype" w:eastAsia="Palatino Linotype" w:hAnsi="Palatino Linotype" w:cs="Palatino Linotype"/>
          <w:b/>
          <w:sz w:val="22"/>
          <w:szCs w:val="22"/>
        </w:rPr>
        <w:t xml:space="preserve"> Cuarto </w:t>
      </w:r>
      <w:r w:rsidRPr="00E85FF0">
        <w:rPr>
          <w:rFonts w:ascii="Palatino Linotype" w:eastAsia="Palatino Linotype" w:hAnsi="Palatino Linotype" w:cs="Palatino Linotype"/>
          <w:sz w:val="22"/>
          <w:szCs w:val="22"/>
        </w:rPr>
        <w:t xml:space="preserve">y </w:t>
      </w:r>
      <w:r w:rsidRPr="00E85FF0">
        <w:rPr>
          <w:rFonts w:ascii="Palatino Linotype" w:eastAsia="Palatino Linotype" w:hAnsi="Palatino Linotype" w:cs="Palatino Linotype"/>
          <w:b/>
          <w:sz w:val="22"/>
          <w:szCs w:val="22"/>
        </w:rPr>
        <w:t>Quinto</w:t>
      </w:r>
      <w:r w:rsidRPr="00E85FF0">
        <w:rPr>
          <w:rFonts w:ascii="Palatino Linotype" w:eastAsia="Palatino Linotype" w:hAnsi="Palatino Linotype" w:cs="Palatino Linotype"/>
          <w:sz w:val="22"/>
          <w:szCs w:val="22"/>
        </w:rPr>
        <w:t xml:space="preserve"> de esta resolución, haga entrega, vía </w:t>
      </w:r>
      <w:r w:rsidRPr="00E85FF0">
        <w:rPr>
          <w:rFonts w:ascii="Palatino Linotype" w:eastAsia="Palatino Linotype" w:hAnsi="Palatino Linotype" w:cs="Palatino Linotype"/>
          <w:b/>
          <w:sz w:val="22"/>
          <w:szCs w:val="22"/>
        </w:rPr>
        <w:t>SAIMEX</w:t>
      </w:r>
      <w:r w:rsidRPr="00E85FF0">
        <w:rPr>
          <w:rFonts w:ascii="Palatino Linotype" w:eastAsia="Palatino Linotype" w:hAnsi="Palatino Linotype" w:cs="Palatino Linotype"/>
          <w:sz w:val="22"/>
          <w:szCs w:val="22"/>
        </w:rPr>
        <w:t>, de lo siguiente:</w:t>
      </w:r>
    </w:p>
    <w:p w14:paraId="01D2688A" w14:textId="4A785AE3" w:rsidR="00FD0FF9" w:rsidRPr="00E85FF0" w:rsidRDefault="00C84A28" w:rsidP="00C84A28">
      <w:pPr>
        <w:pStyle w:val="Prrafodelista"/>
        <w:numPr>
          <w:ilvl w:val="0"/>
          <w:numId w:val="5"/>
        </w:numPr>
        <w:spacing w:before="240" w:after="240" w:line="360" w:lineRule="auto"/>
        <w:ind w:right="49"/>
        <w:jc w:val="both"/>
        <w:rPr>
          <w:rFonts w:ascii="Palatino Linotype" w:eastAsia="Palatino Linotype" w:hAnsi="Palatino Linotype" w:cs="Palatino Linotype"/>
          <w:sz w:val="22"/>
          <w:szCs w:val="22"/>
        </w:rPr>
      </w:pPr>
      <w:bookmarkStart w:id="10" w:name="_heading=h.hnzxsch5gysz" w:colFirst="0" w:colLast="0"/>
      <w:bookmarkEnd w:id="10"/>
      <w:r w:rsidRPr="00E85FF0">
        <w:rPr>
          <w:rFonts w:ascii="Palatino Linotype" w:eastAsia="Palatino Linotype" w:hAnsi="Palatino Linotype" w:cs="Palatino Linotype"/>
          <w:sz w:val="22"/>
          <w:szCs w:val="22"/>
        </w:rPr>
        <w:t>El o los documentos que den cuenta de contratos celebrados con proveedores del diez de octubre de dos mil veinticuatro al diez de octubre de dos mil veinticinco.</w:t>
      </w:r>
    </w:p>
    <w:p w14:paraId="0001342D" w14:textId="77777777" w:rsidR="00FD0FF9" w:rsidRPr="00E85FF0" w:rsidRDefault="00FD0FF9" w:rsidP="00FD0FF9">
      <w:pPr>
        <w:spacing w:before="120" w:after="120"/>
        <w:ind w:left="284"/>
        <w:jc w:val="both"/>
        <w:rPr>
          <w:rFonts w:ascii="Palatino Linotype" w:eastAsia="Palatino Linotype" w:hAnsi="Palatino Linotype" w:cs="Palatino Linotype"/>
          <w:i/>
          <w:sz w:val="20"/>
        </w:rPr>
      </w:pPr>
      <w:r w:rsidRPr="00E85FF0">
        <w:rPr>
          <w:rFonts w:ascii="Palatino Linotype" w:eastAsia="Palatino Linotype" w:hAnsi="Palatino Linotype" w:cs="Palatino Linotype"/>
          <w:i/>
          <w:sz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o de los documentos clasificados en su totalidad,  y se ponga a disposición de la parte </w:t>
      </w:r>
      <w:r w:rsidRPr="00E85FF0">
        <w:rPr>
          <w:rFonts w:ascii="Palatino Linotype" w:eastAsia="Palatino Linotype" w:hAnsi="Palatino Linotype" w:cs="Palatino Linotype"/>
          <w:b/>
          <w:i/>
          <w:sz w:val="20"/>
        </w:rPr>
        <w:t>Recurrente</w:t>
      </w:r>
      <w:r w:rsidRPr="00E85FF0">
        <w:rPr>
          <w:rFonts w:ascii="Palatino Linotype" w:eastAsia="Palatino Linotype" w:hAnsi="Palatino Linotype" w:cs="Palatino Linotype"/>
          <w:i/>
          <w:sz w:val="20"/>
        </w:rPr>
        <w:t>, en términos de los artículos 49, fracción VIII, de la Ley de Transparencia y Acceso a la Información Pública del Estado de México y Municipios.</w:t>
      </w:r>
    </w:p>
    <w:p w14:paraId="5DEC3C58"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 xml:space="preserve">Tercero. Notifíquese, </w:t>
      </w:r>
      <w:r w:rsidRPr="00E85FF0">
        <w:rPr>
          <w:rFonts w:ascii="Palatino Linotype" w:eastAsia="Palatino Linotype" w:hAnsi="Palatino Linotype" w:cs="Palatino Linotype"/>
          <w:sz w:val="22"/>
          <w:szCs w:val="22"/>
        </w:rPr>
        <w:t xml:space="preserve">vía </w:t>
      </w:r>
      <w:r w:rsidRPr="00E85FF0">
        <w:rPr>
          <w:rFonts w:ascii="Palatino Linotype" w:eastAsia="Palatino Linotype" w:hAnsi="Palatino Linotype" w:cs="Palatino Linotype"/>
          <w:b/>
          <w:sz w:val="22"/>
          <w:szCs w:val="22"/>
        </w:rPr>
        <w:t>SAIMEX</w:t>
      </w:r>
      <w:r w:rsidRPr="00E85FF0">
        <w:rPr>
          <w:rFonts w:ascii="Palatino Linotype" w:eastAsia="Palatino Linotype" w:hAnsi="Palatino Linotype" w:cs="Palatino Linotype"/>
          <w:sz w:val="22"/>
          <w:szCs w:val="22"/>
        </w:rPr>
        <w:t xml:space="preserve">, al Titular de la Unidad de Transparencia del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3F62D"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E85FF0">
        <w:rPr>
          <w:rFonts w:ascii="Palatino Linotype" w:eastAsia="Palatino Linotype" w:hAnsi="Palatino Linotype" w:cs="Palatino Linotype"/>
          <w:b/>
          <w:sz w:val="22"/>
          <w:szCs w:val="22"/>
        </w:rPr>
        <w:t xml:space="preserve">Cuarto.  Notifíquese, </w:t>
      </w:r>
      <w:r w:rsidRPr="00E85FF0">
        <w:rPr>
          <w:rFonts w:ascii="Palatino Linotype" w:eastAsia="Palatino Linotype" w:hAnsi="Palatino Linotype" w:cs="Palatino Linotype"/>
          <w:sz w:val="22"/>
          <w:szCs w:val="22"/>
        </w:rPr>
        <w:t xml:space="preserve">vía </w:t>
      </w:r>
      <w:r w:rsidRPr="00E85FF0">
        <w:rPr>
          <w:rFonts w:ascii="Palatino Linotype" w:eastAsia="Palatino Linotype" w:hAnsi="Palatino Linotype" w:cs="Palatino Linotype"/>
          <w:b/>
          <w:sz w:val="22"/>
          <w:szCs w:val="22"/>
        </w:rPr>
        <w:t>SAIMEX</w:t>
      </w:r>
      <w:r w:rsidRPr="00E85FF0">
        <w:rPr>
          <w:rFonts w:ascii="Palatino Linotype" w:eastAsia="Palatino Linotype" w:hAnsi="Palatino Linotype" w:cs="Palatino Linotype"/>
          <w:sz w:val="22"/>
          <w:szCs w:val="22"/>
        </w:rPr>
        <w:t xml:space="preserve"> a la parte </w:t>
      </w:r>
      <w:r w:rsidRPr="00E85FF0">
        <w:rPr>
          <w:rFonts w:ascii="Palatino Linotype" w:eastAsia="Palatino Linotype" w:hAnsi="Palatino Linotype" w:cs="Palatino Linotype"/>
          <w:b/>
          <w:sz w:val="22"/>
          <w:szCs w:val="22"/>
        </w:rPr>
        <w:t>Recurrente</w:t>
      </w:r>
      <w:r w:rsidRPr="00E85FF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0980001" w14:textId="77777777" w:rsidR="005A75CA" w:rsidRPr="00E85FF0" w:rsidRDefault="00E96B90" w:rsidP="00D7204E">
      <w:pPr>
        <w:spacing w:before="240" w:after="240" w:line="360" w:lineRule="auto"/>
        <w:jc w:val="both"/>
        <w:rPr>
          <w:rFonts w:ascii="Palatino Linotype" w:eastAsia="Palatino Linotype" w:hAnsi="Palatino Linotype" w:cs="Palatino Linotype"/>
          <w:sz w:val="22"/>
          <w:szCs w:val="22"/>
        </w:rPr>
      </w:pPr>
      <w:r w:rsidRPr="00E85FF0">
        <w:rPr>
          <w:rFonts w:ascii="Palatino Linotype" w:eastAsia="Palatino Linotype" w:hAnsi="Palatino Linotype" w:cs="Palatino Linotype"/>
          <w:b/>
          <w:sz w:val="22"/>
          <w:szCs w:val="22"/>
        </w:rPr>
        <w:t xml:space="preserve">Quinto. Hágase, </w:t>
      </w:r>
      <w:r w:rsidRPr="00E85FF0">
        <w:rPr>
          <w:rFonts w:ascii="Palatino Linotype" w:eastAsia="Palatino Linotype" w:hAnsi="Palatino Linotype" w:cs="Palatino Linotype"/>
          <w:sz w:val="22"/>
          <w:szCs w:val="22"/>
        </w:rPr>
        <w:t xml:space="preserve">de conocimiento de la parte </w:t>
      </w:r>
      <w:r w:rsidRPr="00E85FF0">
        <w:rPr>
          <w:rFonts w:ascii="Palatino Linotype" w:eastAsia="Palatino Linotype" w:hAnsi="Palatino Linotype" w:cs="Palatino Linotype"/>
          <w:b/>
          <w:sz w:val="22"/>
          <w:szCs w:val="22"/>
        </w:rPr>
        <w:t xml:space="preserve">Recurrente, </w:t>
      </w:r>
      <w:r w:rsidRPr="00E85FF0">
        <w:rPr>
          <w:rFonts w:ascii="Palatino Linotype" w:eastAsia="Palatino Linotype" w:hAnsi="Palatino Linotype" w:cs="Palatino Linotype"/>
          <w:sz w:val="22"/>
          <w:szCs w:val="22"/>
        </w:rPr>
        <w:t xml:space="preserve">que la respuesta que dé el </w:t>
      </w:r>
      <w:r w:rsidRPr="00E85FF0">
        <w:rPr>
          <w:rFonts w:ascii="Palatino Linotype" w:eastAsia="Palatino Linotype" w:hAnsi="Palatino Linotype" w:cs="Palatino Linotype"/>
          <w:b/>
          <w:sz w:val="22"/>
          <w:szCs w:val="22"/>
        </w:rPr>
        <w:t>Sujeto Obligado</w:t>
      </w:r>
      <w:r w:rsidRPr="00E85FF0">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44F02B" w14:textId="77777777" w:rsidR="005A75CA" w:rsidRPr="00E85FF0" w:rsidRDefault="00E96B90" w:rsidP="00D7204E">
      <w:pPr>
        <w:spacing w:before="240" w:after="240" w:line="360" w:lineRule="auto"/>
        <w:jc w:val="both"/>
        <w:rPr>
          <w:rFonts w:ascii="Palatino Linotype" w:eastAsia="Palatino Linotype" w:hAnsi="Palatino Linotype" w:cs="Palatino Linotype"/>
          <w:b/>
          <w:sz w:val="22"/>
          <w:szCs w:val="22"/>
        </w:rPr>
      </w:pPr>
      <w:r w:rsidRPr="00E85FF0">
        <w:rPr>
          <w:rFonts w:ascii="Palatino Linotype" w:eastAsia="Palatino Linotype" w:hAnsi="Palatino Linotype" w:cs="Palatino Linotype"/>
          <w:b/>
          <w:sz w:val="22"/>
          <w:szCs w:val="22"/>
        </w:rPr>
        <w:t>Sexto. Gírese,</w:t>
      </w:r>
      <w:r w:rsidRPr="00E85FF0">
        <w:rPr>
          <w:rFonts w:ascii="Palatino Linotype" w:eastAsia="Palatino Linotype" w:hAnsi="Palatino Linotype" w:cs="Palatino Linotype"/>
          <w:sz w:val="22"/>
          <w:szCs w:val="22"/>
        </w:rPr>
        <w:t xml:space="preserve"> vista a la </w:t>
      </w:r>
      <w:r w:rsidRPr="00E85FF0">
        <w:rPr>
          <w:rFonts w:ascii="Palatino Linotype" w:eastAsia="Palatino Linotype" w:hAnsi="Palatino Linotype" w:cs="Palatino Linotype"/>
          <w:b/>
          <w:sz w:val="22"/>
          <w:szCs w:val="22"/>
        </w:rPr>
        <w:t>Secretaría Técnica del Pleno de este Instituto</w:t>
      </w:r>
      <w:r w:rsidRPr="00E85FF0">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E85FF0">
        <w:rPr>
          <w:rFonts w:ascii="Palatino Linotype" w:eastAsia="Palatino Linotype" w:hAnsi="Palatino Linotype" w:cs="Palatino Linotype"/>
          <w:b/>
          <w:sz w:val="22"/>
          <w:szCs w:val="22"/>
        </w:rPr>
        <w:t xml:space="preserve"> Cuarto </w:t>
      </w:r>
      <w:r w:rsidRPr="00E85FF0">
        <w:rPr>
          <w:rFonts w:ascii="Palatino Linotype" w:eastAsia="Palatino Linotype" w:hAnsi="Palatino Linotype" w:cs="Palatino Linotype"/>
          <w:sz w:val="22"/>
          <w:szCs w:val="22"/>
        </w:rPr>
        <w:t>de la presente resolución.</w:t>
      </w:r>
      <w:r w:rsidRPr="00E85FF0">
        <w:rPr>
          <w:rFonts w:ascii="Palatino Linotype" w:eastAsia="Palatino Linotype" w:hAnsi="Palatino Linotype" w:cs="Palatino Linotype"/>
          <w:b/>
          <w:sz w:val="22"/>
          <w:szCs w:val="22"/>
        </w:rPr>
        <w:t xml:space="preserve"> </w:t>
      </w:r>
    </w:p>
    <w:p w14:paraId="49BE783D" w14:textId="7939A122" w:rsidR="005A75CA" w:rsidRPr="00985C3E" w:rsidRDefault="00E96B90" w:rsidP="00D7204E">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E85FF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4A28" w:rsidRPr="00E85FF0">
        <w:rPr>
          <w:rFonts w:ascii="Palatino Linotype" w:eastAsia="Palatino Linotype" w:hAnsi="Palatino Linotype" w:cs="Palatino Linotype"/>
          <w:sz w:val="22"/>
          <w:szCs w:val="22"/>
        </w:rPr>
        <w:t>CUADRAGÉSIMA CUARTA</w:t>
      </w:r>
      <w:r w:rsidRPr="00E85FF0">
        <w:rPr>
          <w:rFonts w:ascii="Palatino Linotype" w:eastAsia="Palatino Linotype" w:hAnsi="Palatino Linotype" w:cs="Palatino Linotype"/>
          <w:sz w:val="22"/>
          <w:szCs w:val="22"/>
        </w:rPr>
        <w:t xml:space="preserve"> SESIÓN ORDINARIA CELEBRADA EL </w:t>
      </w:r>
      <w:r w:rsidR="00C84A28" w:rsidRPr="00E85FF0">
        <w:rPr>
          <w:rFonts w:ascii="Palatino Linotype" w:eastAsia="Palatino Linotype" w:hAnsi="Palatino Linotype" w:cs="Palatino Linotype"/>
          <w:sz w:val="22"/>
          <w:szCs w:val="22"/>
        </w:rPr>
        <w:t>DIEZ DE DICIEMBRE</w:t>
      </w:r>
      <w:r w:rsidRPr="00E85FF0">
        <w:rPr>
          <w:rFonts w:ascii="Palatino Linotype" w:eastAsia="Palatino Linotype" w:hAnsi="Palatino Linotype" w:cs="Palatino Linotype"/>
          <w:sz w:val="22"/>
          <w:szCs w:val="22"/>
        </w:rPr>
        <w:t xml:space="preserve"> DE DOS MIL VEINTICINCO, ANTE EL SECRETARIO TÉCNICO DEL PLENO ALEXIS TAPIA RAMÍREZ.</w:t>
      </w:r>
    </w:p>
    <w:p w14:paraId="2B17951A"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42BFD139"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53CA5C2F"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153F672B"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3C65AC45"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238EB021"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3407AC65"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256D6055"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985C3E"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1BE99916"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6BA2925E" w14:textId="77777777" w:rsidR="005A75CA" w:rsidRPr="00985C3E" w:rsidRDefault="005A75CA" w:rsidP="00D7204E">
      <w:pPr>
        <w:spacing w:line="360" w:lineRule="auto"/>
        <w:jc w:val="both"/>
        <w:rPr>
          <w:rFonts w:ascii="Palatino Linotype" w:eastAsia="Palatino Linotype" w:hAnsi="Palatino Linotype" w:cs="Palatino Linotype"/>
          <w:sz w:val="22"/>
          <w:szCs w:val="22"/>
        </w:rPr>
      </w:pPr>
    </w:p>
    <w:p w14:paraId="17C11245" w14:textId="3D7A6E0A" w:rsidR="005A75CA" w:rsidRPr="00985C3E" w:rsidRDefault="005A75CA" w:rsidP="00D7204E">
      <w:pPr>
        <w:spacing w:line="360" w:lineRule="auto"/>
        <w:jc w:val="both"/>
        <w:rPr>
          <w:rFonts w:ascii="Palatino Linotype" w:eastAsia="Palatino Linotype" w:hAnsi="Palatino Linotype" w:cs="Palatino Linotype"/>
          <w:sz w:val="22"/>
          <w:szCs w:val="22"/>
        </w:rPr>
      </w:pPr>
    </w:p>
    <w:p w14:paraId="56C32FE7" w14:textId="77777777" w:rsidR="002456A1" w:rsidRPr="00985C3E" w:rsidRDefault="002456A1" w:rsidP="00D7204E">
      <w:pPr>
        <w:spacing w:line="360" w:lineRule="auto"/>
        <w:jc w:val="both"/>
        <w:rPr>
          <w:rFonts w:ascii="Palatino Linotype" w:eastAsia="Palatino Linotype" w:hAnsi="Palatino Linotype" w:cs="Palatino Linotype"/>
          <w:sz w:val="22"/>
          <w:szCs w:val="22"/>
        </w:rPr>
      </w:pPr>
    </w:p>
    <w:p w14:paraId="116A91A3" w14:textId="77777777" w:rsidR="00A0077E" w:rsidRPr="00985C3E" w:rsidRDefault="00A0077E">
      <w:pPr>
        <w:spacing w:line="360" w:lineRule="auto"/>
        <w:jc w:val="both"/>
        <w:rPr>
          <w:rFonts w:ascii="Palatino Linotype" w:eastAsia="Palatino Linotype" w:hAnsi="Palatino Linotype" w:cs="Palatino Linotype"/>
          <w:sz w:val="22"/>
          <w:szCs w:val="22"/>
        </w:rPr>
      </w:pPr>
    </w:p>
    <w:sectPr w:rsidR="00A0077E" w:rsidRPr="00985C3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02198" w14:textId="77777777" w:rsidR="004A620A" w:rsidRDefault="004A620A">
      <w:r>
        <w:separator/>
      </w:r>
    </w:p>
  </w:endnote>
  <w:endnote w:type="continuationSeparator" w:id="0">
    <w:p w14:paraId="1B785F45" w14:textId="77777777" w:rsidR="004A620A" w:rsidRDefault="004A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146BF4E2"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46EF">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46EF">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0C3274EA" w14:textId="77777777" w:rsidR="001267DD" w:rsidRDefault="001267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2791623B"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46E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46EF">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5507642" w14:textId="77777777" w:rsidR="001267DD" w:rsidRDefault="001267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BB4F" w14:textId="77777777" w:rsidR="004A620A" w:rsidRDefault="004A620A">
      <w:r>
        <w:separator/>
      </w:r>
    </w:p>
  </w:footnote>
  <w:footnote w:type="continuationSeparator" w:id="0">
    <w:p w14:paraId="2CF9C176" w14:textId="77777777" w:rsidR="004A620A" w:rsidRDefault="004A6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1267DD" w:rsidRDefault="001267DD">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1267DD" w14:paraId="7D7A7303" w14:textId="77777777">
      <w:tc>
        <w:tcPr>
          <w:tcW w:w="2489" w:type="dxa"/>
        </w:tcPr>
        <w:p w14:paraId="0E742E37"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38B7CE0B" w:rsidR="001267DD" w:rsidRDefault="001267DD" w:rsidP="00FB77D5">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3405BE90">
                <wp:simplePos x="0" y="0"/>
                <wp:positionH relativeFrom="column">
                  <wp:posOffset>-4800600</wp:posOffset>
                </wp:positionH>
                <wp:positionV relativeFrom="paragraph">
                  <wp:posOffset>-641985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1</w:t>
          </w:r>
          <w:r w:rsidR="0058690B">
            <w:rPr>
              <w:rFonts w:ascii="Palatino Linotype" w:eastAsia="Palatino Linotype" w:hAnsi="Palatino Linotype" w:cs="Palatino Linotype"/>
              <w:b/>
              <w:sz w:val="22"/>
              <w:szCs w:val="22"/>
            </w:rPr>
            <w:t>2</w:t>
          </w:r>
          <w:r w:rsidR="00997932">
            <w:rPr>
              <w:rFonts w:ascii="Palatino Linotype" w:eastAsia="Palatino Linotype" w:hAnsi="Palatino Linotype" w:cs="Palatino Linotype"/>
              <w:b/>
              <w:sz w:val="22"/>
              <w:szCs w:val="22"/>
            </w:rPr>
            <w:t>654</w:t>
          </w:r>
          <w:r>
            <w:rPr>
              <w:rFonts w:ascii="Palatino Linotype" w:eastAsia="Palatino Linotype" w:hAnsi="Palatino Linotype" w:cs="Palatino Linotype"/>
              <w:b/>
              <w:sz w:val="22"/>
              <w:szCs w:val="22"/>
            </w:rPr>
            <w:t>/INFOEM/IP/RR/2025</w:t>
          </w:r>
        </w:p>
      </w:tc>
    </w:tr>
    <w:tr w:rsidR="001267DD" w14:paraId="3CD5D37A" w14:textId="77777777">
      <w:trPr>
        <w:trHeight w:val="228"/>
      </w:trPr>
      <w:tc>
        <w:tcPr>
          <w:tcW w:w="2489" w:type="dxa"/>
          <w:vAlign w:val="center"/>
        </w:tcPr>
        <w:p w14:paraId="5D9B266F"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1ECA80CC" w:rsidR="001267DD" w:rsidRDefault="00997932">
          <w:pPr>
            <w:ind w:left="-45" w:right="176"/>
            <w:jc w:val="both"/>
            <w:rPr>
              <w:rFonts w:ascii="Palatino Linotype" w:eastAsia="Palatino Linotype" w:hAnsi="Palatino Linotype" w:cs="Palatino Linotype"/>
              <w:b/>
              <w:sz w:val="22"/>
              <w:szCs w:val="22"/>
            </w:rPr>
          </w:pPr>
          <w:r w:rsidRPr="00997932">
            <w:rPr>
              <w:rFonts w:ascii="Palatino Linotype" w:eastAsia="Palatino Linotype" w:hAnsi="Palatino Linotype" w:cs="Palatino Linotype"/>
              <w:b/>
              <w:sz w:val="22"/>
              <w:szCs w:val="22"/>
            </w:rPr>
            <w:t>Sistema Municipal para el Desarrollo Integral de la Familia de Capulhuac</w:t>
          </w:r>
        </w:p>
      </w:tc>
    </w:tr>
    <w:tr w:rsidR="001267DD" w14:paraId="4A406CF8" w14:textId="77777777">
      <w:tc>
        <w:tcPr>
          <w:tcW w:w="2489" w:type="dxa"/>
          <w:vAlign w:val="center"/>
        </w:tcPr>
        <w:p w14:paraId="721EC51C"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14674" w14:textId="77777777" w:rsidR="001267DD" w:rsidRDefault="001267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1267DD" w:rsidRDefault="001267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267DD" w14:paraId="7EB27161" w14:textId="77777777">
      <w:tc>
        <w:tcPr>
          <w:tcW w:w="2489" w:type="dxa"/>
        </w:tcPr>
        <w:p w14:paraId="31032DEA"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5F57395B" w:rsidR="001267DD" w:rsidRDefault="001267DD"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58690B">
            <w:rPr>
              <w:rFonts w:ascii="Palatino Linotype" w:eastAsia="Palatino Linotype" w:hAnsi="Palatino Linotype" w:cs="Palatino Linotype"/>
              <w:b/>
              <w:sz w:val="22"/>
              <w:szCs w:val="22"/>
            </w:rPr>
            <w:t>2</w:t>
          </w:r>
          <w:r w:rsidR="00997932">
            <w:rPr>
              <w:rFonts w:ascii="Palatino Linotype" w:eastAsia="Palatino Linotype" w:hAnsi="Palatino Linotype" w:cs="Palatino Linotype"/>
              <w:b/>
              <w:sz w:val="22"/>
              <w:szCs w:val="22"/>
            </w:rPr>
            <w:t>654</w:t>
          </w:r>
          <w:r>
            <w:rPr>
              <w:rFonts w:ascii="Palatino Linotype" w:eastAsia="Palatino Linotype" w:hAnsi="Palatino Linotype" w:cs="Palatino Linotype"/>
              <w:b/>
              <w:sz w:val="22"/>
              <w:szCs w:val="22"/>
            </w:rPr>
            <w:t>/INFOEM/IP/RR/2025</w:t>
          </w:r>
        </w:p>
      </w:tc>
    </w:tr>
    <w:tr w:rsidR="001267DD" w14:paraId="3DB6A4A9" w14:textId="77777777">
      <w:tc>
        <w:tcPr>
          <w:tcW w:w="2489" w:type="dxa"/>
        </w:tcPr>
        <w:p w14:paraId="1EB49E8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72DFE7DB" w:rsidR="001267DD" w:rsidRDefault="008246EF" w:rsidP="008246EF">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XXXXXXXXX XXXXXXXX XXXXXXXXX </w:t>
          </w:r>
        </w:p>
      </w:tc>
    </w:tr>
    <w:tr w:rsidR="001267DD" w14:paraId="6C9948E1" w14:textId="77777777">
      <w:trPr>
        <w:trHeight w:val="228"/>
      </w:trPr>
      <w:tc>
        <w:tcPr>
          <w:tcW w:w="2489" w:type="dxa"/>
          <w:vAlign w:val="center"/>
        </w:tcPr>
        <w:p w14:paraId="22D7B39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206847F1" w:rsidR="001267DD" w:rsidRDefault="00997932">
          <w:pPr>
            <w:ind w:left="-45" w:right="176"/>
            <w:jc w:val="both"/>
            <w:rPr>
              <w:rFonts w:ascii="Palatino Linotype" w:eastAsia="Palatino Linotype" w:hAnsi="Palatino Linotype" w:cs="Palatino Linotype"/>
              <w:b/>
              <w:sz w:val="22"/>
              <w:szCs w:val="22"/>
            </w:rPr>
          </w:pPr>
          <w:r w:rsidRPr="00997932">
            <w:rPr>
              <w:rFonts w:ascii="Palatino Linotype" w:eastAsia="Palatino Linotype" w:hAnsi="Palatino Linotype" w:cs="Palatino Linotype"/>
              <w:b/>
              <w:sz w:val="22"/>
              <w:szCs w:val="22"/>
            </w:rPr>
            <w:t>Sistema Municipal para el Desarrollo Integral de la Familia de Capulhuac</w:t>
          </w:r>
        </w:p>
      </w:tc>
    </w:tr>
    <w:tr w:rsidR="001267DD" w14:paraId="2B1C1852" w14:textId="77777777">
      <w:tc>
        <w:tcPr>
          <w:tcW w:w="2489" w:type="dxa"/>
          <w:vAlign w:val="center"/>
        </w:tcPr>
        <w:p w14:paraId="4F8DDCDE"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1267DD" w:rsidRDefault="001267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FB0EAA"/>
    <w:multiLevelType w:val="hybridMultilevel"/>
    <w:tmpl w:val="B03ED44C"/>
    <w:lvl w:ilvl="0" w:tplc="4F08600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2597E"/>
    <w:rsid w:val="0003239B"/>
    <w:rsid w:val="00033F56"/>
    <w:rsid w:val="00055422"/>
    <w:rsid w:val="00062182"/>
    <w:rsid w:val="00075ABA"/>
    <w:rsid w:val="00081B2B"/>
    <w:rsid w:val="00091354"/>
    <w:rsid w:val="000B7422"/>
    <w:rsid w:val="000F4C63"/>
    <w:rsid w:val="00117765"/>
    <w:rsid w:val="001205A1"/>
    <w:rsid w:val="001267DD"/>
    <w:rsid w:val="00133F88"/>
    <w:rsid w:val="00150A37"/>
    <w:rsid w:val="00165B01"/>
    <w:rsid w:val="00170F4F"/>
    <w:rsid w:val="0017599F"/>
    <w:rsid w:val="001952E1"/>
    <w:rsid w:val="001A6841"/>
    <w:rsid w:val="00203F01"/>
    <w:rsid w:val="00213E19"/>
    <w:rsid w:val="002456A1"/>
    <w:rsid w:val="00252329"/>
    <w:rsid w:val="002D3FC3"/>
    <w:rsid w:val="00342B81"/>
    <w:rsid w:val="00394119"/>
    <w:rsid w:val="003D1488"/>
    <w:rsid w:val="003D4046"/>
    <w:rsid w:val="003E5305"/>
    <w:rsid w:val="00403FFC"/>
    <w:rsid w:val="00421F6D"/>
    <w:rsid w:val="00440948"/>
    <w:rsid w:val="004A620A"/>
    <w:rsid w:val="004F41CB"/>
    <w:rsid w:val="00565B39"/>
    <w:rsid w:val="0057455B"/>
    <w:rsid w:val="0058690B"/>
    <w:rsid w:val="005A75CA"/>
    <w:rsid w:val="005B6BEF"/>
    <w:rsid w:val="005F3716"/>
    <w:rsid w:val="00616184"/>
    <w:rsid w:val="00626BB5"/>
    <w:rsid w:val="00635B4A"/>
    <w:rsid w:val="006B5BE3"/>
    <w:rsid w:val="006C5AD6"/>
    <w:rsid w:val="006C72C4"/>
    <w:rsid w:val="006D4370"/>
    <w:rsid w:val="006E0E72"/>
    <w:rsid w:val="007360BF"/>
    <w:rsid w:val="00786F36"/>
    <w:rsid w:val="007D142D"/>
    <w:rsid w:val="007E1455"/>
    <w:rsid w:val="008178BC"/>
    <w:rsid w:val="008246EF"/>
    <w:rsid w:val="00837327"/>
    <w:rsid w:val="008416B3"/>
    <w:rsid w:val="00871C8E"/>
    <w:rsid w:val="008E0084"/>
    <w:rsid w:val="00944957"/>
    <w:rsid w:val="0095701F"/>
    <w:rsid w:val="00985C3E"/>
    <w:rsid w:val="00997932"/>
    <w:rsid w:val="009B2FB9"/>
    <w:rsid w:val="009C67A9"/>
    <w:rsid w:val="00A0077E"/>
    <w:rsid w:val="00A011FF"/>
    <w:rsid w:val="00A16DBC"/>
    <w:rsid w:val="00A3292F"/>
    <w:rsid w:val="00A424AD"/>
    <w:rsid w:val="00A63EAB"/>
    <w:rsid w:val="00A754BF"/>
    <w:rsid w:val="00A77106"/>
    <w:rsid w:val="00A82127"/>
    <w:rsid w:val="00AA167F"/>
    <w:rsid w:val="00AA28D8"/>
    <w:rsid w:val="00AC0437"/>
    <w:rsid w:val="00AE1BCD"/>
    <w:rsid w:val="00B01291"/>
    <w:rsid w:val="00B116E9"/>
    <w:rsid w:val="00B11F9E"/>
    <w:rsid w:val="00B24416"/>
    <w:rsid w:val="00B278DC"/>
    <w:rsid w:val="00B63576"/>
    <w:rsid w:val="00B8367A"/>
    <w:rsid w:val="00BB1D53"/>
    <w:rsid w:val="00BB34F7"/>
    <w:rsid w:val="00BC2E4B"/>
    <w:rsid w:val="00BE57AC"/>
    <w:rsid w:val="00BE6FDF"/>
    <w:rsid w:val="00BF1453"/>
    <w:rsid w:val="00BF27F2"/>
    <w:rsid w:val="00BF4BA8"/>
    <w:rsid w:val="00C14B18"/>
    <w:rsid w:val="00C15A66"/>
    <w:rsid w:val="00C15E24"/>
    <w:rsid w:val="00C62D06"/>
    <w:rsid w:val="00C6372B"/>
    <w:rsid w:val="00C710B0"/>
    <w:rsid w:val="00C84A28"/>
    <w:rsid w:val="00D132EC"/>
    <w:rsid w:val="00D3676B"/>
    <w:rsid w:val="00D535F2"/>
    <w:rsid w:val="00D7204E"/>
    <w:rsid w:val="00DE0050"/>
    <w:rsid w:val="00E120D6"/>
    <w:rsid w:val="00E135F5"/>
    <w:rsid w:val="00E2315B"/>
    <w:rsid w:val="00E3627B"/>
    <w:rsid w:val="00E67226"/>
    <w:rsid w:val="00E83DE2"/>
    <w:rsid w:val="00E85FF0"/>
    <w:rsid w:val="00E96B90"/>
    <w:rsid w:val="00EB5561"/>
    <w:rsid w:val="00F1296D"/>
    <w:rsid w:val="00F4152A"/>
    <w:rsid w:val="00F44777"/>
    <w:rsid w:val="00F5550B"/>
    <w:rsid w:val="00F75F39"/>
    <w:rsid w:val="00F82B96"/>
    <w:rsid w:val="00F93D65"/>
    <w:rsid w:val="00FA1156"/>
    <w:rsid w:val="00FB77D5"/>
    <w:rsid w:val="00FD0FF9"/>
    <w:rsid w:val="00FE6677"/>
    <w:rsid w:val="00FF42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12842</Words>
  <Characters>70634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2025-12-12T17:01:00Z</cp:lastPrinted>
  <dcterms:created xsi:type="dcterms:W3CDTF">2026-01-20T19:18:00Z</dcterms:created>
  <dcterms:modified xsi:type="dcterms:W3CDTF">2026-01-20T19:18:00Z</dcterms:modified>
</cp:coreProperties>
</file>