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5148" w14:textId="1383B655" w:rsidR="00186072" w:rsidRPr="00030063" w:rsidRDefault="00544B28">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03006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D275C2" w:rsidRPr="00030063">
        <w:rPr>
          <w:rFonts w:ascii="Palatino Linotype" w:eastAsia="Palatino Linotype" w:hAnsi="Palatino Linotype" w:cs="Palatino Linotype"/>
        </w:rPr>
        <w:t xml:space="preserve">veinte </w:t>
      </w:r>
      <w:r w:rsidR="009A65BD" w:rsidRPr="00030063">
        <w:rPr>
          <w:rFonts w:ascii="Palatino Linotype" w:eastAsia="Palatino Linotype" w:hAnsi="Palatino Linotype" w:cs="Palatino Linotype"/>
        </w:rPr>
        <w:t>de agosto</w:t>
      </w:r>
      <w:r w:rsidRPr="00030063">
        <w:rPr>
          <w:rFonts w:ascii="Palatino Linotype" w:eastAsia="Palatino Linotype" w:hAnsi="Palatino Linotype" w:cs="Palatino Linotype"/>
        </w:rPr>
        <w:t xml:space="preserve"> de dos mil veinticinco. </w:t>
      </w:r>
    </w:p>
    <w:p w14:paraId="205822E8" w14:textId="2EB2F4C9" w:rsidR="00186072" w:rsidRPr="00030063" w:rsidRDefault="00544B28">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030063">
        <w:rPr>
          <w:rFonts w:ascii="Palatino Linotype" w:eastAsia="Palatino Linotype" w:hAnsi="Palatino Linotype" w:cs="Palatino Linotype"/>
          <w:b/>
        </w:rPr>
        <w:t>VISTO</w:t>
      </w:r>
      <w:r w:rsidRPr="00030063">
        <w:rPr>
          <w:rFonts w:ascii="Palatino Linotype" w:eastAsia="Palatino Linotype" w:hAnsi="Palatino Linotype" w:cs="Palatino Linotype"/>
        </w:rPr>
        <w:t xml:space="preserve"> el expediente formado con motivo del recurso de revisión </w:t>
      </w:r>
      <w:r w:rsidR="00FF33A5" w:rsidRPr="00030063">
        <w:rPr>
          <w:rFonts w:ascii="Palatino Linotype" w:eastAsia="Palatino Linotype" w:hAnsi="Palatino Linotype" w:cs="Palatino Linotype"/>
          <w:b/>
        </w:rPr>
        <w:t>0</w:t>
      </w:r>
      <w:r w:rsidR="00D275C2" w:rsidRPr="00030063">
        <w:rPr>
          <w:rFonts w:ascii="Palatino Linotype" w:eastAsia="Palatino Linotype" w:hAnsi="Palatino Linotype" w:cs="Palatino Linotype"/>
          <w:b/>
        </w:rPr>
        <w:t>6754</w:t>
      </w:r>
      <w:r w:rsidR="00FF33A5" w:rsidRPr="00030063">
        <w:rPr>
          <w:rFonts w:ascii="Palatino Linotype" w:eastAsia="Palatino Linotype" w:hAnsi="Palatino Linotype" w:cs="Palatino Linotype"/>
          <w:b/>
        </w:rPr>
        <w:t>/INFOEM/IP/RR/2025</w:t>
      </w:r>
      <w:r w:rsidRPr="00030063">
        <w:rPr>
          <w:rFonts w:ascii="Palatino Linotype" w:eastAsia="Palatino Linotype" w:hAnsi="Palatino Linotype" w:cs="Palatino Linotype"/>
        </w:rPr>
        <w:t>, interpuesto por</w:t>
      </w:r>
      <w:r w:rsidRPr="00030063">
        <w:rPr>
          <w:rFonts w:ascii="Palatino Linotype" w:eastAsia="Palatino Linotype" w:hAnsi="Palatino Linotype" w:cs="Palatino Linotype"/>
          <w:b/>
        </w:rPr>
        <w:t xml:space="preserve"> </w:t>
      </w:r>
      <w:r w:rsidR="00044704">
        <w:rPr>
          <w:rFonts w:ascii="Palatino Linotype" w:eastAsia="Palatino Linotype" w:hAnsi="Palatino Linotype" w:cs="Palatino Linotype"/>
          <w:b/>
          <w:color w:val="000000"/>
          <w:sz w:val="20"/>
          <w:szCs w:val="20"/>
        </w:rPr>
        <w:t>XXXXX XXXXXX XXXXXXXX</w:t>
      </w:r>
      <w:r w:rsidRPr="00030063">
        <w:rPr>
          <w:rFonts w:ascii="Palatino Linotype" w:eastAsia="Palatino Linotype" w:hAnsi="Palatino Linotype" w:cs="Palatino Linotype"/>
          <w:b/>
        </w:rPr>
        <w:t>,</w:t>
      </w:r>
      <w:r w:rsidRPr="00030063">
        <w:rPr>
          <w:rFonts w:ascii="Palatino Linotype" w:eastAsia="Palatino Linotype" w:hAnsi="Palatino Linotype" w:cs="Palatino Linotype"/>
        </w:rPr>
        <w:t xml:space="preserve"> en lo sucesivo</w:t>
      </w:r>
      <w:r w:rsidRPr="00030063">
        <w:rPr>
          <w:rFonts w:ascii="Palatino Linotype" w:eastAsia="Palatino Linotype" w:hAnsi="Palatino Linotype" w:cs="Palatino Linotype"/>
          <w:b/>
        </w:rPr>
        <w:t xml:space="preserve"> </w:t>
      </w:r>
      <w:r w:rsidRPr="00030063">
        <w:rPr>
          <w:rFonts w:ascii="Palatino Linotype" w:eastAsia="Palatino Linotype" w:hAnsi="Palatino Linotype" w:cs="Palatino Linotype"/>
        </w:rPr>
        <w:t xml:space="preserve">la parte </w:t>
      </w:r>
      <w:r w:rsidRPr="00030063">
        <w:rPr>
          <w:rFonts w:ascii="Palatino Linotype" w:eastAsia="Palatino Linotype" w:hAnsi="Palatino Linotype" w:cs="Palatino Linotype"/>
          <w:b/>
        </w:rPr>
        <w:t>Recurrente,</w:t>
      </w:r>
      <w:r w:rsidRPr="00030063">
        <w:rPr>
          <w:rFonts w:ascii="Palatino Linotype" w:eastAsia="Palatino Linotype" w:hAnsi="Palatino Linotype" w:cs="Palatino Linotype"/>
        </w:rPr>
        <w:t xml:space="preserve"> en contra de la respuesta a la solicitud de información con número de folio</w:t>
      </w:r>
      <w:r w:rsidRPr="00030063">
        <w:rPr>
          <w:rFonts w:ascii="Palatino Linotype" w:eastAsia="Palatino Linotype" w:hAnsi="Palatino Linotype" w:cs="Palatino Linotype"/>
          <w:b/>
        </w:rPr>
        <w:t xml:space="preserve"> </w:t>
      </w:r>
      <w:r w:rsidR="00D275C2" w:rsidRPr="00030063">
        <w:rPr>
          <w:rFonts w:ascii="Palatino Linotype" w:eastAsia="Palatino Linotype" w:hAnsi="Palatino Linotype" w:cs="Palatino Linotype"/>
          <w:b/>
        </w:rPr>
        <w:t>00209/METEPEC/IP/2025</w:t>
      </w:r>
      <w:r w:rsidRPr="00030063">
        <w:rPr>
          <w:rFonts w:ascii="Palatino Linotype" w:eastAsia="Palatino Linotype" w:hAnsi="Palatino Linotype" w:cs="Palatino Linotype"/>
          <w:b/>
        </w:rPr>
        <w:t xml:space="preserve">, </w:t>
      </w:r>
      <w:r w:rsidRPr="00030063">
        <w:rPr>
          <w:rFonts w:ascii="Palatino Linotype" w:eastAsia="Palatino Linotype" w:hAnsi="Palatino Linotype" w:cs="Palatino Linotype"/>
        </w:rPr>
        <w:t xml:space="preserve">por parte del </w:t>
      </w:r>
      <w:r w:rsidR="00D275C2" w:rsidRPr="00030063">
        <w:rPr>
          <w:rFonts w:ascii="Palatino Linotype" w:eastAsia="Palatino Linotype" w:hAnsi="Palatino Linotype" w:cs="Palatino Linotype"/>
          <w:b/>
        </w:rPr>
        <w:t>Ayuntamiento de Metepec</w:t>
      </w:r>
      <w:r w:rsidRPr="00030063">
        <w:rPr>
          <w:rFonts w:ascii="Palatino Linotype" w:eastAsia="Palatino Linotype" w:hAnsi="Palatino Linotype" w:cs="Palatino Linotype"/>
          <w:b/>
        </w:rPr>
        <w:t xml:space="preserve">, </w:t>
      </w:r>
      <w:r w:rsidRPr="00030063">
        <w:rPr>
          <w:rFonts w:ascii="Palatino Linotype" w:eastAsia="Palatino Linotype" w:hAnsi="Palatino Linotype" w:cs="Palatino Linotype"/>
        </w:rPr>
        <w:t xml:space="preserve">en lo sucesivo el </w:t>
      </w:r>
      <w:r w:rsidRPr="00030063">
        <w:rPr>
          <w:rFonts w:ascii="Palatino Linotype" w:eastAsia="Palatino Linotype" w:hAnsi="Palatino Linotype" w:cs="Palatino Linotype"/>
          <w:b/>
        </w:rPr>
        <w:t xml:space="preserve">Sujeto Obligado, </w:t>
      </w:r>
      <w:r w:rsidRPr="00030063">
        <w:rPr>
          <w:rFonts w:ascii="Palatino Linotype" w:eastAsia="Palatino Linotype" w:hAnsi="Palatino Linotype" w:cs="Palatino Linotype"/>
        </w:rPr>
        <w:t xml:space="preserve">se procede a dictar la presente resolución con base en los siguientes: </w:t>
      </w:r>
    </w:p>
    <w:p w14:paraId="703FD98C" w14:textId="77777777" w:rsidR="00186072" w:rsidRPr="00030063" w:rsidRDefault="00544B28">
      <w:pPr>
        <w:spacing w:before="240" w:after="240" w:line="360" w:lineRule="auto"/>
        <w:jc w:val="center"/>
        <w:rPr>
          <w:rFonts w:ascii="Palatino Linotype" w:eastAsia="Palatino Linotype" w:hAnsi="Palatino Linotype" w:cs="Palatino Linotype"/>
          <w:b/>
        </w:rPr>
      </w:pPr>
      <w:r w:rsidRPr="00030063">
        <w:rPr>
          <w:rFonts w:ascii="Palatino Linotype" w:eastAsia="Palatino Linotype" w:hAnsi="Palatino Linotype" w:cs="Palatino Linotype"/>
          <w:b/>
        </w:rPr>
        <w:t>I. A N T E C E D E N T E S</w:t>
      </w:r>
    </w:p>
    <w:p w14:paraId="5C89C3B2" w14:textId="0B844586" w:rsidR="00186072" w:rsidRPr="00030063" w:rsidRDefault="00544B28">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030063">
        <w:rPr>
          <w:rFonts w:ascii="Palatino Linotype" w:eastAsia="Palatino Linotype" w:hAnsi="Palatino Linotype" w:cs="Palatino Linotype"/>
          <w:b/>
        </w:rPr>
        <w:t>1. Solicitud de acceso a la información.</w:t>
      </w:r>
      <w:r w:rsidRPr="00030063">
        <w:rPr>
          <w:rFonts w:ascii="Palatino Linotype" w:eastAsia="Palatino Linotype" w:hAnsi="Palatino Linotype" w:cs="Palatino Linotype"/>
        </w:rPr>
        <w:t xml:space="preserve"> El </w:t>
      </w:r>
      <w:r w:rsidR="00D275C2" w:rsidRPr="00030063">
        <w:rPr>
          <w:rFonts w:ascii="Palatino Linotype" w:eastAsia="Palatino Linotype" w:hAnsi="Palatino Linotype" w:cs="Palatino Linotype"/>
          <w:b/>
        </w:rPr>
        <w:t>ocho de mayo</w:t>
      </w:r>
      <w:r w:rsidRPr="00030063">
        <w:rPr>
          <w:rFonts w:ascii="Palatino Linotype" w:eastAsia="Palatino Linotype" w:hAnsi="Palatino Linotype" w:cs="Palatino Linotype"/>
          <w:b/>
        </w:rPr>
        <w:t xml:space="preserve"> de dos mil veinticinco,</w:t>
      </w:r>
      <w:r w:rsidRPr="00030063">
        <w:rPr>
          <w:rFonts w:ascii="Palatino Linotype" w:eastAsia="Palatino Linotype" w:hAnsi="Palatino Linotype" w:cs="Palatino Linotype"/>
        </w:rPr>
        <w:t xml:space="preserve"> la parte </w:t>
      </w:r>
      <w:r w:rsidRPr="00030063">
        <w:rPr>
          <w:rFonts w:ascii="Palatino Linotype" w:eastAsia="Palatino Linotype" w:hAnsi="Palatino Linotype" w:cs="Palatino Linotype"/>
          <w:b/>
        </w:rPr>
        <w:t xml:space="preserve">Recurrente </w:t>
      </w:r>
      <w:r w:rsidRPr="00030063">
        <w:rPr>
          <w:rFonts w:ascii="Palatino Linotype" w:eastAsia="Palatino Linotype" w:hAnsi="Palatino Linotype" w:cs="Palatino Linotype"/>
        </w:rPr>
        <w:t xml:space="preserve">presentó la solicitud de acceso a la información pública ante el </w:t>
      </w:r>
      <w:r w:rsidRPr="00030063">
        <w:rPr>
          <w:rFonts w:ascii="Palatino Linotype" w:eastAsia="Palatino Linotype" w:hAnsi="Palatino Linotype" w:cs="Palatino Linotype"/>
          <w:b/>
        </w:rPr>
        <w:t>Sujeto Obligado</w:t>
      </w:r>
      <w:r w:rsidRPr="00030063">
        <w:rPr>
          <w:rFonts w:ascii="Palatino Linotype" w:eastAsia="Palatino Linotype" w:hAnsi="Palatino Linotype" w:cs="Palatino Linotype"/>
        </w:rPr>
        <w:t xml:space="preserve">, a través del Sistema de Acceso a la Información Mexiquense, en lo subsecuente el </w:t>
      </w:r>
      <w:r w:rsidRPr="00030063">
        <w:rPr>
          <w:rFonts w:ascii="Palatino Linotype" w:eastAsia="Palatino Linotype" w:hAnsi="Palatino Linotype" w:cs="Palatino Linotype"/>
          <w:b/>
        </w:rPr>
        <w:t>SAIMEX,</w:t>
      </w:r>
      <w:r w:rsidRPr="00030063">
        <w:rPr>
          <w:rFonts w:ascii="Palatino Linotype" w:eastAsia="Palatino Linotype" w:hAnsi="Palatino Linotype" w:cs="Palatino Linotype"/>
        </w:rPr>
        <w:t xml:space="preserve"> mediante la cual requirió lo siguiente:</w:t>
      </w:r>
    </w:p>
    <w:p w14:paraId="2C257CF9" w14:textId="1ED3EBFE" w:rsidR="00186072" w:rsidRPr="00030063" w:rsidRDefault="00544B28">
      <w:pPr>
        <w:spacing w:before="120" w:after="120"/>
        <w:ind w:left="851" w:right="902"/>
        <w:jc w:val="both"/>
        <w:rPr>
          <w:rFonts w:ascii="Palatino Linotype" w:eastAsia="Palatino Linotype" w:hAnsi="Palatino Linotype" w:cs="Palatino Linotype"/>
          <w:b/>
          <w:i/>
          <w:sz w:val="22"/>
          <w:szCs w:val="22"/>
        </w:rPr>
      </w:pPr>
      <w:bookmarkStart w:id="3" w:name="_heading=h.3dy6vkm" w:colFirst="0" w:colLast="0"/>
      <w:bookmarkEnd w:id="3"/>
      <w:r w:rsidRPr="00030063">
        <w:rPr>
          <w:rFonts w:ascii="Palatino Linotype" w:eastAsia="Palatino Linotype" w:hAnsi="Palatino Linotype" w:cs="Palatino Linotype"/>
          <w:i/>
          <w:sz w:val="22"/>
          <w:szCs w:val="22"/>
        </w:rPr>
        <w:t xml:space="preserve"> “</w:t>
      </w:r>
      <w:r w:rsidR="00D275C2" w:rsidRPr="00030063">
        <w:rPr>
          <w:rFonts w:ascii="Palatino Linotype" w:eastAsia="Palatino Linotype" w:hAnsi="Palatino Linotype" w:cs="Palatino Linotype"/>
          <w:i/>
          <w:sz w:val="22"/>
          <w:szCs w:val="22"/>
        </w:rPr>
        <w:t xml:space="preserve">solicito copia simple digitalizada a través del sistema electrónico </w:t>
      </w:r>
      <w:proofErr w:type="spellStart"/>
      <w:r w:rsidR="00D275C2" w:rsidRPr="00030063">
        <w:rPr>
          <w:rFonts w:ascii="Palatino Linotype" w:eastAsia="Palatino Linotype" w:hAnsi="Palatino Linotype" w:cs="Palatino Linotype"/>
          <w:i/>
          <w:sz w:val="22"/>
          <w:szCs w:val="22"/>
        </w:rPr>
        <w:t>saimex</w:t>
      </w:r>
      <w:proofErr w:type="spellEnd"/>
      <w:r w:rsidR="00D275C2" w:rsidRPr="00030063">
        <w:rPr>
          <w:rFonts w:ascii="Palatino Linotype" w:eastAsia="Palatino Linotype" w:hAnsi="Palatino Linotype" w:cs="Palatino Linotype"/>
          <w:i/>
          <w:sz w:val="22"/>
          <w:szCs w:val="22"/>
        </w:rPr>
        <w:t xml:space="preserve"> de los recibos de nómina del presidente municipal, </w:t>
      </w:r>
      <w:proofErr w:type="spellStart"/>
      <w:r w:rsidR="00D275C2" w:rsidRPr="00030063">
        <w:rPr>
          <w:rFonts w:ascii="Palatino Linotype" w:eastAsia="Palatino Linotype" w:hAnsi="Palatino Linotype" w:cs="Palatino Linotype"/>
          <w:i/>
          <w:sz w:val="22"/>
          <w:szCs w:val="22"/>
        </w:rPr>
        <w:t>sindicos</w:t>
      </w:r>
      <w:proofErr w:type="spellEnd"/>
      <w:r w:rsidR="00D275C2" w:rsidRPr="00030063">
        <w:rPr>
          <w:rFonts w:ascii="Palatino Linotype" w:eastAsia="Palatino Linotype" w:hAnsi="Palatino Linotype" w:cs="Palatino Linotype"/>
          <w:i/>
          <w:sz w:val="22"/>
          <w:szCs w:val="22"/>
        </w:rPr>
        <w:t>, regidores y directores de área correspondientes a la segunda quincena del mes de abril de 2025.</w:t>
      </w:r>
      <w:r w:rsidRPr="00030063">
        <w:rPr>
          <w:rFonts w:ascii="Palatino Linotype" w:eastAsia="Palatino Linotype" w:hAnsi="Palatino Linotype" w:cs="Palatino Linotype"/>
          <w:b/>
          <w:i/>
          <w:sz w:val="22"/>
          <w:szCs w:val="22"/>
        </w:rPr>
        <w:t>”</w:t>
      </w:r>
      <w:r w:rsidRPr="00030063">
        <w:rPr>
          <w:rFonts w:ascii="Palatino Linotype" w:eastAsia="Palatino Linotype" w:hAnsi="Palatino Linotype" w:cs="Palatino Linotype"/>
          <w:i/>
          <w:sz w:val="22"/>
          <w:szCs w:val="22"/>
        </w:rPr>
        <w:t xml:space="preserve"> (sic) </w:t>
      </w:r>
    </w:p>
    <w:p w14:paraId="35383938" w14:textId="77777777" w:rsidR="00186072" w:rsidRPr="00030063" w:rsidRDefault="00544B28">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b/>
        </w:rPr>
        <w:t>Modalidad de Entrega:</w:t>
      </w:r>
      <w:r w:rsidRPr="00030063">
        <w:rPr>
          <w:rFonts w:ascii="Palatino Linotype" w:eastAsia="Palatino Linotype" w:hAnsi="Palatino Linotype" w:cs="Palatino Linotype"/>
        </w:rPr>
        <w:t xml:space="preserve"> a través del</w:t>
      </w:r>
      <w:r w:rsidRPr="00030063">
        <w:rPr>
          <w:rFonts w:ascii="Palatino Linotype" w:eastAsia="Palatino Linotype" w:hAnsi="Palatino Linotype" w:cs="Palatino Linotype"/>
          <w:b/>
        </w:rPr>
        <w:t xml:space="preserve"> SAIMEX.</w:t>
      </w:r>
    </w:p>
    <w:p w14:paraId="65490D5D" w14:textId="6FDBB051" w:rsidR="001803D6" w:rsidRPr="00030063" w:rsidRDefault="00544B28" w:rsidP="001803D6">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b/>
        </w:rPr>
        <w:t xml:space="preserve">2. </w:t>
      </w:r>
      <w:r w:rsidR="002357D8" w:rsidRPr="00030063">
        <w:rPr>
          <w:rFonts w:ascii="Palatino Linotype" w:eastAsia="Palatino Linotype" w:hAnsi="Palatino Linotype" w:cs="Palatino Linotype"/>
          <w:b/>
        </w:rPr>
        <w:t>Prórroga</w:t>
      </w:r>
      <w:r w:rsidR="001803D6" w:rsidRPr="00030063">
        <w:rPr>
          <w:rFonts w:ascii="Palatino Linotype" w:eastAsia="Palatino Linotype" w:hAnsi="Palatino Linotype" w:cs="Palatino Linotype"/>
          <w:b/>
        </w:rPr>
        <w:t xml:space="preserve">. </w:t>
      </w:r>
      <w:r w:rsidR="001803D6" w:rsidRPr="00030063">
        <w:rPr>
          <w:rFonts w:ascii="Palatino Linotype" w:eastAsia="Palatino Linotype" w:hAnsi="Palatino Linotype" w:cs="Palatino Linotype"/>
        </w:rPr>
        <w:t xml:space="preserve">El </w:t>
      </w:r>
      <w:r w:rsidR="00D275C2" w:rsidRPr="00030063">
        <w:rPr>
          <w:rFonts w:ascii="Palatino Linotype" w:eastAsia="Palatino Linotype" w:hAnsi="Palatino Linotype" w:cs="Palatino Linotype"/>
          <w:b/>
        </w:rPr>
        <w:t>veintinueve de mayo</w:t>
      </w:r>
      <w:r w:rsidR="001803D6" w:rsidRPr="00030063">
        <w:rPr>
          <w:rFonts w:ascii="Palatino Linotype" w:eastAsia="Palatino Linotype" w:hAnsi="Palatino Linotype" w:cs="Palatino Linotype"/>
          <w:b/>
        </w:rPr>
        <w:t xml:space="preserve"> de dos mil veinticinco, </w:t>
      </w:r>
      <w:r w:rsidR="001803D6" w:rsidRPr="00030063">
        <w:rPr>
          <w:rFonts w:ascii="Palatino Linotype" w:eastAsia="Palatino Linotype" w:hAnsi="Palatino Linotype" w:cs="Palatino Linotype"/>
        </w:rPr>
        <w:t xml:space="preserve">el </w:t>
      </w:r>
      <w:r w:rsidR="001803D6" w:rsidRPr="00030063">
        <w:rPr>
          <w:rFonts w:ascii="Palatino Linotype" w:eastAsia="Palatino Linotype" w:hAnsi="Palatino Linotype" w:cs="Palatino Linotype"/>
          <w:b/>
        </w:rPr>
        <w:t xml:space="preserve">Sujeto Obligado </w:t>
      </w:r>
      <w:r w:rsidR="001803D6" w:rsidRPr="00030063">
        <w:rPr>
          <w:rFonts w:ascii="Palatino Linotype" w:eastAsia="Palatino Linotype" w:hAnsi="Palatino Linotype" w:cs="Palatino Linotype"/>
        </w:rPr>
        <w:t>notificó a la persona solicitante la prórroga para dar respuesta a la solicitud</w:t>
      </w:r>
      <w:r w:rsidR="001803D6" w:rsidRPr="00030063">
        <w:rPr>
          <w:rFonts w:ascii="Palatino Linotype" w:eastAsia="Palatino Linotype" w:hAnsi="Palatino Linotype" w:cs="Palatino Linotype"/>
          <w:b/>
        </w:rPr>
        <w:t>,</w:t>
      </w:r>
      <w:r w:rsidR="001803D6" w:rsidRPr="00030063">
        <w:rPr>
          <w:rFonts w:ascii="Palatino Linotype" w:eastAsia="Palatino Linotype" w:hAnsi="Palatino Linotype" w:cs="Palatino Linotype"/>
        </w:rPr>
        <w:t xml:space="preserve"> medularmente en los siguientes términos:</w:t>
      </w:r>
    </w:p>
    <w:p w14:paraId="1AD72A2E" w14:textId="3FA082FA" w:rsidR="001803D6" w:rsidRPr="00030063" w:rsidRDefault="00D275C2" w:rsidP="001803D6">
      <w:pPr>
        <w:spacing w:before="240" w:after="240"/>
        <w:ind w:left="851" w:right="900"/>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lastRenderedPageBreak/>
        <w:t>SERVIDOR PÚBLICO HABILITADO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Décima Tercera Sesión Extraordinaria. Sin más por el momento quedo a sus órdenes. ATENTAMENTE GERARDO ARTURO OZUNA MARTÍNEZ DIRECTOR DE TRANSPARENCIA Y GOBIERNO ABIERTO</w:t>
      </w:r>
      <w:r w:rsidR="001803D6" w:rsidRPr="00030063">
        <w:rPr>
          <w:rFonts w:ascii="Palatino Linotype" w:eastAsia="Palatino Linotype" w:hAnsi="Palatino Linotype" w:cs="Palatino Linotype"/>
          <w:i/>
          <w:sz w:val="22"/>
          <w:szCs w:val="22"/>
        </w:rPr>
        <w:t>...” (sic)</w:t>
      </w:r>
    </w:p>
    <w:p w14:paraId="44AAF8E6" w14:textId="77777777" w:rsidR="00D275C2" w:rsidRPr="00030063" w:rsidRDefault="00D275C2" w:rsidP="00D275C2">
      <w:pPr>
        <w:spacing w:line="360" w:lineRule="auto"/>
        <w:jc w:val="both"/>
        <w:rPr>
          <w:rFonts w:ascii="Palatino Linotype" w:hAnsi="Palatino Linotype" w:cs="Arial"/>
        </w:rPr>
      </w:pPr>
      <w:r w:rsidRPr="00030063">
        <w:rPr>
          <w:rFonts w:ascii="Palatino Linotype" w:hAnsi="Palatino Linotype" w:cs="Arial"/>
        </w:rPr>
        <w:t xml:space="preserve">Como refiere el </w:t>
      </w:r>
      <w:r w:rsidRPr="00030063">
        <w:rPr>
          <w:rFonts w:ascii="Palatino Linotype" w:hAnsi="Palatino Linotype" w:cs="Arial"/>
          <w:b/>
          <w:bCs/>
        </w:rPr>
        <w:t>Sujeto Obligado</w:t>
      </w:r>
      <w:r w:rsidRPr="00030063">
        <w:rPr>
          <w:rFonts w:ascii="Palatino Linotype" w:hAnsi="Palatino Linotype" w:cs="Arial"/>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48F7EE3D" w14:textId="1504665F" w:rsidR="00186072" w:rsidRPr="00030063" w:rsidRDefault="002357D8">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b/>
        </w:rPr>
        <w:t xml:space="preserve">3. </w:t>
      </w:r>
      <w:r w:rsidR="00544B28" w:rsidRPr="00030063">
        <w:rPr>
          <w:rFonts w:ascii="Palatino Linotype" w:eastAsia="Palatino Linotype" w:hAnsi="Palatino Linotype" w:cs="Palatino Linotype"/>
          <w:b/>
        </w:rPr>
        <w:t xml:space="preserve">Respuesta. </w:t>
      </w:r>
      <w:r w:rsidR="00544B28" w:rsidRPr="00030063">
        <w:rPr>
          <w:rFonts w:ascii="Palatino Linotype" w:eastAsia="Palatino Linotype" w:hAnsi="Palatino Linotype" w:cs="Palatino Linotype"/>
        </w:rPr>
        <w:t xml:space="preserve">El </w:t>
      </w:r>
      <w:r w:rsidR="00D275C2" w:rsidRPr="00030063">
        <w:rPr>
          <w:rFonts w:ascii="Palatino Linotype" w:eastAsia="Palatino Linotype" w:hAnsi="Palatino Linotype" w:cs="Palatino Linotype"/>
          <w:b/>
        </w:rPr>
        <w:t>nueve de junio</w:t>
      </w:r>
      <w:r w:rsidR="00544B28" w:rsidRPr="00030063">
        <w:rPr>
          <w:rFonts w:ascii="Palatino Linotype" w:eastAsia="Palatino Linotype" w:hAnsi="Palatino Linotype" w:cs="Palatino Linotype"/>
          <w:b/>
        </w:rPr>
        <w:t xml:space="preserve"> de dos mil veinticinco,</w:t>
      </w:r>
      <w:r w:rsidR="00544B28" w:rsidRPr="00030063">
        <w:rPr>
          <w:rFonts w:ascii="Palatino Linotype" w:eastAsia="Palatino Linotype" w:hAnsi="Palatino Linotype" w:cs="Palatino Linotype"/>
        </w:rPr>
        <w:t xml:space="preserve"> el </w:t>
      </w:r>
      <w:r w:rsidR="00544B28" w:rsidRPr="00030063">
        <w:rPr>
          <w:rFonts w:ascii="Palatino Linotype" w:eastAsia="Palatino Linotype" w:hAnsi="Palatino Linotype" w:cs="Palatino Linotype"/>
          <w:b/>
        </w:rPr>
        <w:t xml:space="preserve">Sujeto Obligado </w:t>
      </w:r>
      <w:r w:rsidR="00544B28" w:rsidRPr="00030063">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6A7B6C48" w14:textId="11E6AB2A" w:rsidR="00186072" w:rsidRPr="00030063" w:rsidRDefault="00544B28">
      <w:pPr>
        <w:spacing w:before="240" w:after="240"/>
        <w:ind w:left="851"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t>“…</w:t>
      </w:r>
      <w:r w:rsidR="00D275C2" w:rsidRPr="00030063">
        <w:rPr>
          <w:rFonts w:ascii="Palatino Linotype" w:eastAsia="Palatino Linotype" w:hAnsi="Palatino Linotype" w:cs="Palatino Linotype"/>
          <w:i/>
          <w:sz w:val="22"/>
          <w:szCs w:val="22"/>
        </w:rPr>
        <w:t xml:space="preserve">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w:t>
      </w:r>
      <w:r w:rsidR="00D275C2" w:rsidRPr="00030063">
        <w:rPr>
          <w:rFonts w:ascii="Palatino Linotype" w:eastAsia="Palatino Linotype" w:hAnsi="Palatino Linotype" w:cs="Palatino Linotype"/>
          <w:i/>
          <w:sz w:val="22"/>
          <w:szCs w:val="22"/>
        </w:rPr>
        <w:lastRenderedPageBreak/>
        <w:t>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w:t>
      </w:r>
      <w:r w:rsidRPr="00030063">
        <w:rPr>
          <w:rFonts w:ascii="Palatino Linotype" w:eastAsia="Palatino Linotype" w:hAnsi="Palatino Linotype" w:cs="Palatino Linotype"/>
          <w:i/>
          <w:sz w:val="22"/>
          <w:szCs w:val="22"/>
        </w:rPr>
        <w:t>..” (sic)</w:t>
      </w:r>
    </w:p>
    <w:p w14:paraId="1BF5E2FF" w14:textId="77777777" w:rsidR="003A6269" w:rsidRPr="00030063" w:rsidRDefault="00544B28">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El </w:t>
      </w:r>
      <w:r w:rsidRPr="00030063">
        <w:rPr>
          <w:rFonts w:ascii="Palatino Linotype" w:eastAsia="Palatino Linotype" w:hAnsi="Palatino Linotype" w:cs="Palatino Linotype"/>
          <w:b/>
        </w:rPr>
        <w:t xml:space="preserve">Sujeto Obligado </w:t>
      </w:r>
      <w:r w:rsidRPr="00030063">
        <w:rPr>
          <w:rFonts w:ascii="Palatino Linotype" w:eastAsia="Palatino Linotype" w:hAnsi="Palatino Linotype" w:cs="Palatino Linotype"/>
        </w:rPr>
        <w:t xml:space="preserve">adjuntó </w:t>
      </w:r>
      <w:r w:rsidR="003A6269" w:rsidRPr="00030063">
        <w:rPr>
          <w:rFonts w:ascii="Palatino Linotype" w:eastAsia="Palatino Linotype" w:hAnsi="Palatino Linotype" w:cs="Palatino Linotype"/>
        </w:rPr>
        <w:t>lo siguiente:</w:t>
      </w:r>
    </w:p>
    <w:p w14:paraId="6443CAC8" w14:textId="1533ECA3" w:rsidR="003E1EAA" w:rsidRPr="00030063" w:rsidRDefault="003A6269" w:rsidP="009609E5">
      <w:pPr>
        <w:spacing w:before="240" w:after="240" w:line="360" w:lineRule="auto"/>
        <w:ind w:right="49"/>
        <w:jc w:val="both"/>
        <w:rPr>
          <w:rFonts w:ascii="Palatino Linotype" w:eastAsia="Palatino Linotype" w:hAnsi="Palatino Linotype" w:cs="Arial"/>
        </w:rPr>
      </w:pPr>
      <w:r w:rsidRPr="00030063">
        <w:rPr>
          <w:rFonts w:ascii="Palatino Linotype" w:eastAsia="Palatino Linotype" w:hAnsi="Palatino Linotype" w:cs="Palatino Linotype"/>
        </w:rPr>
        <w:t xml:space="preserve">- </w:t>
      </w:r>
      <w:r w:rsidRPr="00030063">
        <w:rPr>
          <w:rFonts w:ascii="Palatino Linotype" w:eastAsia="Palatino Linotype" w:hAnsi="Palatino Linotype" w:cs="Arial"/>
        </w:rPr>
        <w:t>O</w:t>
      </w:r>
      <w:r w:rsidR="00544B28" w:rsidRPr="00030063">
        <w:rPr>
          <w:rFonts w:ascii="Palatino Linotype" w:eastAsia="Palatino Linotype" w:hAnsi="Palatino Linotype" w:cs="Arial"/>
        </w:rPr>
        <w:t xml:space="preserve">ficio número </w:t>
      </w:r>
      <w:r w:rsidR="00BD1489" w:rsidRPr="00030063">
        <w:rPr>
          <w:rFonts w:ascii="Palatino Linotype" w:eastAsia="Palatino Linotype" w:hAnsi="Palatino Linotype" w:cs="Arial"/>
        </w:rPr>
        <w:t>DA/2429/2025</w:t>
      </w:r>
      <w:r w:rsidR="00544B28" w:rsidRPr="00030063">
        <w:rPr>
          <w:rFonts w:ascii="Palatino Linotype" w:eastAsia="Palatino Linotype" w:hAnsi="Palatino Linotype" w:cs="Arial"/>
        </w:rPr>
        <w:t xml:space="preserve">, mediante el cual </w:t>
      </w:r>
      <w:r w:rsidR="00BD1489" w:rsidRPr="00030063">
        <w:rPr>
          <w:rFonts w:ascii="Palatino Linotype" w:eastAsia="Palatino Linotype" w:hAnsi="Palatino Linotype" w:cs="Arial"/>
        </w:rPr>
        <w:t xml:space="preserve">el </w:t>
      </w:r>
      <w:proofErr w:type="gramStart"/>
      <w:r w:rsidR="00BD1489" w:rsidRPr="00030063">
        <w:rPr>
          <w:rFonts w:ascii="Palatino Linotype" w:eastAsia="Palatino Linotype" w:hAnsi="Palatino Linotype" w:cs="Arial"/>
        </w:rPr>
        <w:t>Director</w:t>
      </w:r>
      <w:proofErr w:type="gramEnd"/>
      <w:r w:rsidR="00BD1489" w:rsidRPr="00030063">
        <w:rPr>
          <w:rFonts w:ascii="Palatino Linotype" w:eastAsia="Palatino Linotype" w:hAnsi="Palatino Linotype" w:cs="Arial"/>
        </w:rPr>
        <w:t xml:space="preserve"> de Administración, por conducto de la Subdirección de Recursos Humanos manifestó que la información solicitada constituye una obligación de transparencia común, misma que se encuentra publicada en el portal IPOMEX, fracción VIII A denominada: "Remuneraciones", cuya dirección electrónica proporcionó en formato cerrado, así como el procedimiento para efectos de la consulta.</w:t>
      </w:r>
    </w:p>
    <w:p w14:paraId="51B16DA4" w14:textId="66D625CB" w:rsidR="00186072" w:rsidRPr="00030063" w:rsidRDefault="00A83C12">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b/>
        </w:rPr>
        <w:t>4</w:t>
      </w:r>
      <w:r w:rsidR="00544B28" w:rsidRPr="00030063">
        <w:rPr>
          <w:rFonts w:ascii="Palatino Linotype" w:eastAsia="Palatino Linotype" w:hAnsi="Palatino Linotype" w:cs="Palatino Linotype"/>
          <w:b/>
        </w:rPr>
        <w:t xml:space="preserve">. Interposición del recurso de revisión. </w:t>
      </w:r>
      <w:r w:rsidR="00544B28" w:rsidRPr="00030063">
        <w:rPr>
          <w:rFonts w:ascii="Palatino Linotype" w:eastAsia="Palatino Linotype" w:hAnsi="Palatino Linotype" w:cs="Palatino Linotype"/>
        </w:rPr>
        <w:t xml:space="preserve">Inconforme con los términos de la respuesta emitida por parte del </w:t>
      </w:r>
      <w:r w:rsidR="00544B28" w:rsidRPr="00030063">
        <w:rPr>
          <w:rFonts w:ascii="Palatino Linotype" w:eastAsia="Palatino Linotype" w:hAnsi="Palatino Linotype" w:cs="Palatino Linotype"/>
          <w:b/>
        </w:rPr>
        <w:t>Sujeto Obligado</w:t>
      </w:r>
      <w:r w:rsidR="00544B28" w:rsidRPr="00030063">
        <w:rPr>
          <w:rFonts w:ascii="Palatino Linotype" w:eastAsia="Palatino Linotype" w:hAnsi="Palatino Linotype" w:cs="Palatino Linotype"/>
        </w:rPr>
        <w:t xml:space="preserve">, el </w:t>
      </w:r>
      <w:r w:rsidR="00BD1489" w:rsidRPr="00030063">
        <w:rPr>
          <w:rFonts w:ascii="Palatino Linotype" w:eastAsia="Palatino Linotype" w:hAnsi="Palatino Linotype" w:cs="Palatino Linotype"/>
          <w:b/>
        </w:rPr>
        <w:t>diez de junio</w:t>
      </w:r>
      <w:r w:rsidR="00544B28" w:rsidRPr="00030063">
        <w:rPr>
          <w:rFonts w:ascii="Palatino Linotype" w:eastAsia="Palatino Linotype" w:hAnsi="Palatino Linotype" w:cs="Palatino Linotype"/>
          <w:b/>
        </w:rPr>
        <w:t xml:space="preserve"> de dos mil veinticinco,</w:t>
      </w:r>
      <w:r w:rsidR="00544B28" w:rsidRPr="00030063">
        <w:rPr>
          <w:rFonts w:ascii="Palatino Linotype" w:eastAsia="Palatino Linotype" w:hAnsi="Palatino Linotype" w:cs="Palatino Linotype"/>
        </w:rPr>
        <w:t xml:space="preserve"> la parte </w:t>
      </w:r>
      <w:r w:rsidR="00544B28" w:rsidRPr="00030063">
        <w:rPr>
          <w:rFonts w:ascii="Palatino Linotype" w:eastAsia="Palatino Linotype" w:hAnsi="Palatino Linotype" w:cs="Palatino Linotype"/>
          <w:b/>
        </w:rPr>
        <w:t>Recurrente</w:t>
      </w:r>
      <w:r w:rsidR="00544B28" w:rsidRPr="00030063">
        <w:rPr>
          <w:rFonts w:ascii="Palatino Linotype" w:eastAsia="Palatino Linotype" w:hAnsi="Palatino Linotype" w:cs="Palatino Linotype"/>
        </w:rPr>
        <w:t xml:space="preserve"> interpuso el recurso de revisión a través de </w:t>
      </w:r>
      <w:r w:rsidR="00544B28" w:rsidRPr="00030063">
        <w:rPr>
          <w:rFonts w:ascii="Palatino Linotype" w:eastAsia="Palatino Linotype" w:hAnsi="Palatino Linotype" w:cs="Palatino Linotype"/>
          <w:b/>
        </w:rPr>
        <w:t xml:space="preserve">SAIMEX, </w:t>
      </w:r>
      <w:r w:rsidR="00544B28" w:rsidRPr="00030063">
        <w:rPr>
          <w:rFonts w:ascii="Palatino Linotype" w:eastAsia="Palatino Linotype" w:hAnsi="Palatino Linotype" w:cs="Palatino Linotype"/>
        </w:rPr>
        <w:t>en donde se manifestó de la siguiente manera:</w:t>
      </w:r>
    </w:p>
    <w:p w14:paraId="1EC80C57" w14:textId="77777777" w:rsidR="00186072" w:rsidRPr="00030063" w:rsidRDefault="00544B28">
      <w:pPr>
        <w:spacing w:before="240" w:after="240" w:line="360" w:lineRule="auto"/>
        <w:ind w:right="49"/>
        <w:jc w:val="both"/>
        <w:rPr>
          <w:rFonts w:ascii="Palatino Linotype" w:eastAsia="Palatino Linotype" w:hAnsi="Palatino Linotype" w:cs="Palatino Linotype"/>
          <w:b/>
        </w:rPr>
      </w:pPr>
      <w:r w:rsidRPr="00030063">
        <w:rPr>
          <w:rFonts w:ascii="Palatino Linotype" w:eastAsia="Palatino Linotype" w:hAnsi="Palatino Linotype" w:cs="Palatino Linotype"/>
          <w:b/>
        </w:rPr>
        <w:t xml:space="preserve">Acto impugnado: </w:t>
      </w:r>
    </w:p>
    <w:p w14:paraId="7B8E1E53" w14:textId="6B3673B4" w:rsidR="00186072" w:rsidRPr="00030063" w:rsidRDefault="00544B28">
      <w:pPr>
        <w:tabs>
          <w:tab w:val="left" w:pos="2745"/>
        </w:tabs>
        <w:spacing w:before="240" w:after="240"/>
        <w:ind w:left="851" w:right="900"/>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t>“</w:t>
      </w:r>
      <w:r w:rsidR="00BD1489" w:rsidRPr="00030063">
        <w:rPr>
          <w:rFonts w:ascii="Palatino Linotype" w:eastAsia="Palatino Linotype" w:hAnsi="Palatino Linotype" w:cs="Palatino Linotype"/>
          <w:i/>
          <w:sz w:val="22"/>
          <w:szCs w:val="22"/>
        </w:rPr>
        <w:t>RESPUESTA A LA SOLICITUD 00209/METEPEC/IP/2025</w:t>
      </w:r>
      <w:r w:rsidRPr="00030063">
        <w:rPr>
          <w:rFonts w:ascii="Palatino Linotype" w:eastAsia="Palatino Linotype" w:hAnsi="Palatino Linotype" w:cs="Palatino Linotype"/>
          <w:i/>
          <w:sz w:val="22"/>
          <w:szCs w:val="22"/>
        </w:rPr>
        <w:t>” (sic)</w:t>
      </w:r>
    </w:p>
    <w:p w14:paraId="162E4340" w14:textId="77777777" w:rsidR="00186072" w:rsidRPr="00030063" w:rsidRDefault="00544B28">
      <w:pPr>
        <w:spacing w:line="360" w:lineRule="auto"/>
        <w:jc w:val="both"/>
        <w:rPr>
          <w:rFonts w:ascii="Palatino Linotype" w:eastAsia="Palatino Linotype" w:hAnsi="Palatino Linotype" w:cs="Palatino Linotype"/>
        </w:rPr>
      </w:pPr>
      <w:bookmarkStart w:id="4" w:name="_heading=h.30j0zll" w:colFirst="0" w:colLast="0"/>
      <w:bookmarkEnd w:id="4"/>
      <w:r w:rsidRPr="00030063">
        <w:rPr>
          <w:rFonts w:ascii="Palatino Linotype" w:eastAsia="Palatino Linotype" w:hAnsi="Palatino Linotype" w:cs="Palatino Linotype"/>
          <w:b/>
        </w:rPr>
        <w:t>Y, Razones o motivos de inconformidad</w:t>
      </w:r>
      <w:r w:rsidRPr="00030063">
        <w:rPr>
          <w:rFonts w:ascii="Palatino Linotype" w:eastAsia="Palatino Linotype" w:hAnsi="Palatino Linotype" w:cs="Palatino Linotype"/>
        </w:rPr>
        <w:t>:</w:t>
      </w:r>
    </w:p>
    <w:p w14:paraId="07D6B3B6" w14:textId="583CFFFB" w:rsidR="00186072" w:rsidRPr="00030063" w:rsidRDefault="00544B28">
      <w:pPr>
        <w:tabs>
          <w:tab w:val="left" w:pos="2745"/>
        </w:tabs>
        <w:spacing w:before="240" w:after="240"/>
        <w:ind w:left="851" w:right="900"/>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t>“</w:t>
      </w:r>
      <w:r w:rsidR="00BD1489" w:rsidRPr="00030063">
        <w:rPr>
          <w:rFonts w:ascii="Palatino Linotype" w:eastAsia="Palatino Linotype" w:hAnsi="Palatino Linotype" w:cs="Palatino Linotype"/>
          <w:i/>
          <w:sz w:val="22"/>
          <w:szCs w:val="22"/>
        </w:rPr>
        <w:t xml:space="preserve">La información que emite el sujeto obligado como respuesta a la presente solicitud no corresponde a la información pedida. Las ligas electrónicas que proporciona no contienen las copias simples </w:t>
      </w:r>
      <w:proofErr w:type="spellStart"/>
      <w:r w:rsidR="00BD1489" w:rsidRPr="00030063">
        <w:rPr>
          <w:rFonts w:ascii="Palatino Linotype" w:eastAsia="Palatino Linotype" w:hAnsi="Palatino Linotype" w:cs="Palatino Linotype"/>
          <w:i/>
          <w:sz w:val="22"/>
          <w:szCs w:val="22"/>
        </w:rPr>
        <w:t>digitalixzadas</w:t>
      </w:r>
      <w:proofErr w:type="spellEnd"/>
      <w:r w:rsidR="00BD1489" w:rsidRPr="00030063">
        <w:rPr>
          <w:rFonts w:ascii="Palatino Linotype" w:eastAsia="Palatino Linotype" w:hAnsi="Palatino Linotype" w:cs="Palatino Linotype"/>
          <w:i/>
          <w:sz w:val="22"/>
          <w:szCs w:val="22"/>
        </w:rPr>
        <w:t xml:space="preserve"> de los recibos de nómina de los servidores públicos, tal como se solicitó por esta vía de acceso a la información pública. Por lo anterior, solicito se revoque la respuesta del sujeto obligado y se ordene la entrega de la información solicitada en los términos exactos establecidos en la petición.</w:t>
      </w:r>
      <w:r w:rsidRPr="00030063">
        <w:rPr>
          <w:rFonts w:ascii="Palatino Linotype" w:eastAsia="Palatino Linotype" w:hAnsi="Palatino Linotype" w:cs="Palatino Linotype"/>
          <w:i/>
          <w:sz w:val="22"/>
          <w:szCs w:val="22"/>
        </w:rPr>
        <w:t>” (sic)</w:t>
      </w:r>
    </w:p>
    <w:p w14:paraId="52B90F34" w14:textId="2BE4DFCF" w:rsidR="00186072" w:rsidRPr="00030063" w:rsidRDefault="00A83C12">
      <w:pPr>
        <w:spacing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b/>
        </w:rPr>
        <w:lastRenderedPageBreak/>
        <w:t>5</w:t>
      </w:r>
      <w:r w:rsidR="00544B28" w:rsidRPr="00030063">
        <w:rPr>
          <w:rFonts w:ascii="Palatino Linotype" w:eastAsia="Palatino Linotype" w:hAnsi="Palatino Linotype" w:cs="Palatino Linotype"/>
          <w:b/>
        </w:rPr>
        <w:t xml:space="preserve">. Turno. </w:t>
      </w:r>
      <w:r w:rsidR="00544B28" w:rsidRPr="0003006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544B28" w:rsidRPr="00030063">
        <w:rPr>
          <w:rFonts w:ascii="Palatino Linotype" w:eastAsia="Palatino Linotype" w:hAnsi="Palatino Linotype" w:cs="Palatino Linotype"/>
          <w:b/>
        </w:rPr>
        <w:t xml:space="preserve">Guadalupe Ramírez Peña, </w:t>
      </w:r>
      <w:r w:rsidR="00544B28" w:rsidRPr="00030063">
        <w:rPr>
          <w:rFonts w:ascii="Palatino Linotype" w:eastAsia="Palatino Linotype" w:hAnsi="Palatino Linotype" w:cs="Palatino Linotype"/>
        </w:rPr>
        <w:t xml:space="preserve">a efecto de que analizara sobre su admisión o su </w:t>
      </w:r>
      <w:proofErr w:type="spellStart"/>
      <w:r w:rsidR="00544B28" w:rsidRPr="00030063">
        <w:rPr>
          <w:rFonts w:ascii="Palatino Linotype" w:eastAsia="Palatino Linotype" w:hAnsi="Palatino Linotype" w:cs="Palatino Linotype"/>
        </w:rPr>
        <w:t>desechamiento</w:t>
      </w:r>
      <w:proofErr w:type="spellEnd"/>
      <w:r w:rsidR="00544B28" w:rsidRPr="00030063">
        <w:rPr>
          <w:rFonts w:ascii="Palatino Linotype" w:eastAsia="Palatino Linotype" w:hAnsi="Palatino Linotype" w:cs="Palatino Linotype"/>
        </w:rPr>
        <w:t>.</w:t>
      </w:r>
    </w:p>
    <w:p w14:paraId="20891FAD" w14:textId="00999875" w:rsidR="00186072" w:rsidRPr="00030063" w:rsidRDefault="00A83C12">
      <w:pPr>
        <w:spacing w:before="240" w:after="240" w:line="360" w:lineRule="auto"/>
        <w:jc w:val="both"/>
        <w:rPr>
          <w:rFonts w:ascii="Palatino Linotype" w:eastAsia="Palatino Linotype" w:hAnsi="Palatino Linotype" w:cs="Palatino Linotype"/>
          <w:b/>
        </w:rPr>
      </w:pPr>
      <w:r w:rsidRPr="00030063">
        <w:rPr>
          <w:rFonts w:ascii="Palatino Linotype" w:eastAsia="Palatino Linotype" w:hAnsi="Palatino Linotype" w:cs="Palatino Linotype"/>
          <w:b/>
        </w:rPr>
        <w:t>6</w:t>
      </w:r>
      <w:r w:rsidR="00544B28" w:rsidRPr="00030063">
        <w:rPr>
          <w:rFonts w:ascii="Palatino Linotype" w:eastAsia="Palatino Linotype" w:hAnsi="Palatino Linotype" w:cs="Palatino Linotype"/>
          <w:b/>
        </w:rPr>
        <w:t>. Admisión del Recurso de revisión.</w:t>
      </w:r>
      <w:r w:rsidR="00544B28" w:rsidRPr="00030063">
        <w:rPr>
          <w:rFonts w:ascii="Palatino Linotype" w:eastAsia="Palatino Linotype" w:hAnsi="Palatino Linotype" w:cs="Palatino Linotype"/>
        </w:rPr>
        <w:t xml:space="preserve"> El</w:t>
      </w:r>
      <w:r w:rsidR="00340A3C" w:rsidRPr="00030063">
        <w:rPr>
          <w:rFonts w:ascii="Palatino Linotype" w:eastAsia="Palatino Linotype" w:hAnsi="Palatino Linotype" w:cs="Palatino Linotype"/>
          <w:b/>
        </w:rPr>
        <w:t xml:space="preserve"> </w:t>
      </w:r>
      <w:r w:rsidR="00BD1489" w:rsidRPr="00030063">
        <w:rPr>
          <w:rFonts w:ascii="Palatino Linotype" w:eastAsia="Palatino Linotype" w:hAnsi="Palatino Linotype" w:cs="Palatino Linotype"/>
          <w:b/>
        </w:rPr>
        <w:t>trece de junio</w:t>
      </w:r>
      <w:r w:rsidR="00544B28" w:rsidRPr="00030063">
        <w:rPr>
          <w:rFonts w:ascii="Palatino Linotype" w:eastAsia="Palatino Linotype" w:hAnsi="Palatino Linotype" w:cs="Palatino Linotype"/>
          <w:b/>
        </w:rPr>
        <w:t xml:space="preserve"> de dos mil veinticinco, </w:t>
      </w:r>
      <w:r w:rsidR="00544B28" w:rsidRPr="0003006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544B28" w:rsidRPr="00030063">
        <w:rPr>
          <w:rFonts w:ascii="Palatino Linotype" w:eastAsia="Palatino Linotype" w:hAnsi="Palatino Linotype" w:cs="Palatino Linotype"/>
          <w:b/>
        </w:rPr>
        <w:t xml:space="preserve">Sujeto Obligado </w:t>
      </w:r>
      <w:r w:rsidR="00544B28" w:rsidRPr="00030063">
        <w:rPr>
          <w:rFonts w:ascii="Palatino Linotype" w:eastAsia="Palatino Linotype" w:hAnsi="Palatino Linotype" w:cs="Palatino Linotype"/>
        </w:rPr>
        <w:t>presentara su informe justificado.</w:t>
      </w:r>
    </w:p>
    <w:p w14:paraId="0B3CD9E2" w14:textId="1448CD34" w:rsidR="00AE2643" w:rsidRPr="00030063" w:rsidRDefault="00AD0CEA" w:rsidP="00A83C12">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030063">
        <w:rPr>
          <w:rFonts w:ascii="Palatino Linotype" w:eastAsia="Palatino Linotype" w:hAnsi="Palatino Linotype" w:cs="Palatino Linotype"/>
          <w:b/>
        </w:rPr>
        <w:t>7</w:t>
      </w:r>
      <w:r w:rsidR="00544B28" w:rsidRPr="00030063">
        <w:rPr>
          <w:rFonts w:ascii="Palatino Linotype" w:eastAsia="Palatino Linotype" w:hAnsi="Palatino Linotype" w:cs="Palatino Linotype"/>
          <w:b/>
        </w:rPr>
        <w:t>. Manifestaciones</w:t>
      </w:r>
      <w:r w:rsidR="00544B28" w:rsidRPr="00030063">
        <w:rPr>
          <w:rFonts w:ascii="Palatino Linotype" w:eastAsia="Palatino Linotype" w:hAnsi="Palatino Linotype" w:cs="Palatino Linotype"/>
        </w:rPr>
        <w:t xml:space="preserve">. </w:t>
      </w:r>
      <w:r w:rsidR="00BD1489" w:rsidRPr="00030063">
        <w:rPr>
          <w:rFonts w:ascii="Palatino Linotype" w:eastAsia="Palatino Linotype" w:hAnsi="Palatino Linotype" w:cs="Palatino Linotype"/>
        </w:rPr>
        <w:t xml:space="preserve">El </w:t>
      </w:r>
      <w:r w:rsidR="00BD1489" w:rsidRPr="00030063">
        <w:rPr>
          <w:rFonts w:ascii="Palatino Linotype" w:eastAsia="Palatino Linotype" w:hAnsi="Palatino Linotype" w:cs="Palatino Linotype"/>
          <w:b/>
          <w:bCs/>
        </w:rPr>
        <w:t xml:space="preserve">veintitrés de junio de dos mil veinticinco, </w:t>
      </w:r>
      <w:r w:rsidR="00BD1489" w:rsidRPr="00030063">
        <w:rPr>
          <w:rFonts w:ascii="Palatino Linotype" w:eastAsia="Palatino Linotype" w:hAnsi="Palatino Linotype" w:cs="Palatino Linotype"/>
        </w:rPr>
        <w:t xml:space="preserve">el </w:t>
      </w:r>
      <w:r w:rsidR="00BD1489" w:rsidRPr="00030063">
        <w:rPr>
          <w:rFonts w:ascii="Palatino Linotype" w:eastAsia="Palatino Linotype" w:hAnsi="Palatino Linotype" w:cs="Palatino Linotype"/>
          <w:b/>
        </w:rPr>
        <w:t>Sujeto Obligado</w:t>
      </w:r>
      <w:r w:rsidR="00BD1489" w:rsidRPr="00030063">
        <w:rPr>
          <w:rFonts w:ascii="Palatino Linotype" w:eastAsia="Palatino Linotype" w:hAnsi="Palatino Linotype" w:cs="Palatino Linotype"/>
        </w:rPr>
        <w:t xml:space="preserve"> remitió, a través del SAIMEX, lo siguiente:</w:t>
      </w:r>
    </w:p>
    <w:p w14:paraId="0FD3DE13" w14:textId="248ACBCC" w:rsidR="00EB60A4" w:rsidRPr="00030063" w:rsidRDefault="00EB60A4" w:rsidP="00EB60A4">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 Oficio número DTYGA/MET/615/2025, mediante el cual el Titular de la Unidad de Transparencia y Acceso a la Información Pública hace del conocimiento del servidor público habilitado de la Dirección de Administración, la interposición del recurso de revisión, para efectos de que remita contestación al mismo.</w:t>
      </w:r>
    </w:p>
    <w:p w14:paraId="7173FC6C" w14:textId="7144CCC6" w:rsidR="00EB60A4" w:rsidRPr="00030063" w:rsidRDefault="00EB60A4" w:rsidP="00EB60A4">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  Oficio número DA/2825/2025, mediante el cual el </w:t>
      </w:r>
      <w:proofErr w:type="gramStart"/>
      <w:r w:rsidRPr="00030063">
        <w:rPr>
          <w:rFonts w:ascii="Palatino Linotype" w:eastAsia="Palatino Linotype" w:hAnsi="Palatino Linotype" w:cs="Palatino Linotype"/>
        </w:rPr>
        <w:t>Director</w:t>
      </w:r>
      <w:proofErr w:type="gramEnd"/>
      <w:r w:rsidRPr="00030063">
        <w:rPr>
          <w:rFonts w:ascii="Palatino Linotype" w:eastAsia="Palatino Linotype" w:hAnsi="Palatino Linotype" w:cs="Palatino Linotype"/>
        </w:rPr>
        <w:t xml:space="preserve"> de Administración confirmó la respuesta emitida en primera instancia. </w:t>
      </w:r>
    </w:p>
    <w:p w14:paraId="574B71C0" w14:textId="77777777" w:rsidR="00EB60A4" w:rsidRPr="00030063" w:rsidRDefault="00EB60A4" w:rsidP="00EB60A4">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lastRenderedPageBreak/>
        <w:t>Una vez analizada la información, se hizo del conocimiento de la persona solicitante a efecto de que manifestara lo que a su derecho estimara conveniente, siendo omisa en ejercer dicha prerrogativa.</w:t>
      </w:r>
    </w:p>
    <w:p w14:paraId="1F09FD0F" w14:textId="006F14CC" w:rsidR="00BD1489" w:rsidRPr="00030063" w:rsidRDefault="00EB60A4" w:rsidP="00A83C12">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El </w:t>
      </w:r>
      <w:r w:rsidRPr="00030063">
        <w:rPr>
          <w:rFonts w:ascii="Palatino Linotype" w:eastAsia="Palatino Linotype" w:hAnsi="Palatino Linotype" w:cs="Palatino Linotype"/>
          <w:b/>
          <w:bCs/>
        </w:rPr>
        <w:t>doce de agosto de dos mil veinticinco</w:t>
      </w:r>
      <w:r w:rsidRPr="00030063">
        <w:rPr>
          <w:rFonts w:ascii="Palatino Linotype" w:eastAsia="Palatino Linotype" w:hAnsi="Palatino Linotype" w:cs="Palatino Linotype"/>
        </w:rPr>
        <w:t xml:space="preserve">, la parte </w:t>
      </w:r>
      <w:r w:rsidRPr="00030063">
        <w:rPr>
          <w:rFonts w:ascii="Palatino Linotype" w:eastAsia="Palatino Linotype" w:hAnsi="Palatino Linotype" w:cs="Palatino Linotype"/>
          <w:b/>
          <w:bCs/>
        </w:rPr>
        <w:t xml:space="preserve">Recurrente </w:t>
      </w:r>
      <w:r w:rsidRPr="00030063">
        <w:rPr>
          <w:rFonts w:ascii="Palatino Linotype" w:eastAsia="Palatino Linotype" w:hAnsi="Palatino Linotype" w:cs="Palatino Linotype"/>
        </w:rPr>
        <w:t>remitió sus manifestaciones a través de SAIMEX, en los siguientes términos:</w:t>
      </w:r>
    </w:p>
    <w:p w14:paraId="41D89BED" w14:textId="3FB63C86" w:rsidR="00EB60A4" w:rsidRPr="00030063" w:rsidRDefault="00EB60A4" w:rsidP="00EB60A4">
      <w:pPr>
        <w:spacing w:before="120" w:after="120"/>
        <w:ind w:left="851" w:right="902"/>
        <w:jc w:val="both"/>
        <w:rPr>
          <w:rFonts w:ascii="Palatino Linotype" w:eastAsia="Palatino Linotype" w:hAnsi="Palatino Linotype" w:cs="Palatino Linotype"/>
          <w:i/>
          <w:iCs/>
        </w:rPr>
      </w:pPr>
      <w:r w:rsidRPr="00030063">
        <w:rPr>
          <w:rFonts w:ascii="Palatino Linotype" w:eastAsia="Palatino Linotype" w:hAnsi="Palatino Linotype" w:cs="Palatino Linotype"/>
          <w:i/>
          <w:iCs/>
        </w:rPr>
        <w:t>“PERSISTE LA NEGATIVA DEL SUJETO OBLIGADO A HACER ENTREGA DE LA INFORMACIÓN SOLICITADA DE MANERA PUNTUAL Y ESPECÍFICA.” (sic)</w:t>
      </w:r>
    </w:p>
    <w:p w14:paraId="6A9E5E5E" w14:textId="156C7673" w:rsidR="00EB60A4" w:rsidRPr="00030063" w:rsidRDefault="00AD0CEA" w:rsidP="00EB60A4">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b/>
        </w:rPr>
        <w:t>8</w:t>
      </w:r>
      <w:r w:rsidR="00544B28" w:rsidRPr="00030063">
        <w:rPr>
          <w:rFonts w:ascii="Palatino Linotype" w:eastAsia="Palatino Linotype" w:hAnsi="Palatino Linotype" w:cs="Palatino Linotype"/>
          <w:b/>
        </w:rPr>
        <w:t>.</w:t>
      </w:r>
      <w:r w:rsidR="00EB60A4" w:rsidRPr="00030063">
        <w:rPr>
          <w:rFonts w:ascii="Palatino Linotype" w:eastAsia="Palatino Linotype" w:hAnsi="Palatino Linotype" w:cs="Palatino Linotype"/>
          <w:b/>
        </w:rPr>
        <w:t xml:space="preserve"> Ampliación del término para resolver</w:t>
      </w:r>
      <w:r w:rsidR="00EB60A4" w:rsidRPr="00030063">
        <w:rPr>
          <w:rFonts w:ascii="Palatino Linotype" w:eastAsia="Palatino Linotype" w:hAnsi="Palatino Linotype" w:cs="Palatino Linotype"/>
        </w:rPr>
        <w:t xml:space="preserve">. El </w:t>
      </w:r>
      <w:r w:rsidR="00EB60A4" w:rsidRPr="00030063">
        <w:rPr>
          <w:rFonts w:ascii="Palatino Linotype" w:eastAsia="Palatino Linotype" w:hAnsi="Palatino Linotype" w:cs="Palatino Linotype"/>
          <w:b/>
        </w:rPr>
        <w:t>catorce de agosto de dos mil veinticinco</w:t>
      </w:r>
      <w:r w:rsidR="00EB60A4" w:rsidRPr="00030063">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r w:rsidR="00EC6B1B" w:rsidRPr="00030063">
        <w:rPr>
          <w:rFonts w:ascii="Palatino Linotype" w:eastAsia="Palatino Linotype" w:hAnsi="Palatino Linotype" w:cs="Palatino Linotype"/>
        </w:rPr>
        <w:t xml:space="preserve"> </w:t>
      </w:r>
    </w:p>
    <w:p w14:paraId="024A1404" w14:textId="77777777" w:rsidR="00EB60A4" w:rsidRPr="00030063" w:rsidRDefault="00AD0CEA">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b/>
        </w:rPr>
        <w:t>9</w:t>
      </w:r>
      <w:r w:rsidR="00544B28" w:rsidRPr="00030063">
        <w:rPr>
          <w:rFonts w:ascii="Palatino Linotype" w:eastAsia="Palatino Linotype" w:hAnsi="Palatino Linotype" w:cs="Palatino Linotype"/>
        </w:rPr>
        <w:t xml:space="preserve">. </w:t>
      </w:r>
      <w:r w:rsidR="00EB60A4" w:rsidRPr="00030063">
        <w:rPr>
          <w:rFonts w:ascii="Palatino Linotype" w:eastAsia="Palatino Linotype" w:hAnsi="Palatino Linotype" w:cs="Palatino Linotype"/>
          <w:b/>
        </w:rPr>
        <w:t xml:space="preserve">Cierre de instrucción. </w:t>
      </w:r>
      <w:r w:rsidR="00EB60A4" w:rsidRPr="00030063">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EB60A4" w:rsidRPr="00030063">
        <w:rPr>
          <w:rFonts w:ascii="Palatino Linotype" w:eastAsia="Palatino Linotype" w:hAnsi="Palatino Linotype" w:cs="Palatino Linotype"/>
          <w:b/>
        </w:rPr>
        <w:t>quince de agosto de dos mil veinticinco</w:t>
      </w:r>
      <w:r w:rsidR="00EB60A4" w:rsidRPr="0003006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07D466B" w14:textId="77777777" w:rsidR="00186072" w:rsidRPr="00030063" w:rsidRDefault="00544B28">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49B2EF1" w14:textId="77777777" w:rsidR="00B87058" w:rsidRPr="00030063" w:rsidRDefault="00B87058">
      <w:pPr>
        <w:spacing w:before="240" w:after="240" w:line="360" w:lineRule="auto"/>
        <w:jc w:val="both"/>
        <w:rPr>
          <w:rFonts w:ascii="Palatino Linotype" w:eastAsia="Palatino Linotype" w:hAnsi="Palatino Linotype" w:cs="Palatino Linotype"/>
        </w:rPr>
      </w:pPr>
    </w:p>
    <w:p w14:paraId="5FC4795D" w14:textId="77777777" w:rsidR="00B87058" w:rsidRPr="00030063" w:rsidRDefault="00B87058">
      <w:pPr>
        <w:spacing w:before="240" w:after="240" w:line="360" w:lineRule="auto"/>
        <w:jc w:val="both"/>
        <w:rPr>
          <w:rFonts w:ascii="Palatino Linotype" w:eastAsia="Palatino Linotype" w:hAnsi="Palatino Linotype" w:cs="Palatino Linotype"/>
        </w:rPr>
      </w:pPr>
    </w:p>
    <w:p w14:paraId="51033E6D" w14:textId="77777777" w:rsidR="00186072" w:rsidRPr="00030063" w:rsidRDefault="00544B28">
      <w:pPr>
        <w:widowControl w:val="0"/>
        <w:spacing w:before="240" w:after="240" w:line="360" w:lineRule="auto"/>
        <w:jc w:val="center"/>
        <w:rPr>
          <w:rFonts w:ascii="Palatino Linotype" w:eastAsia="Palatino Linotype" w:hAnsi="Palatino Linotype" w:cs="Palatino Linotype"/>
          <w:b/>
        </w:rPr>
      </w:pPr>
      <w:r w:rsidRPr="00030063">
        <w:rPr>
          <w:rFonts w:ascii="Palatino Linotype" w:eastAsia="Palatino Linotype" w:hAnsi="Palatino Linotype" w:cs="Palatino Linotype"/>
          <w:b/>
        </w:rPr>
        <w:lastRenderedPageBreak/>
        <w:t>II. C O N S I D E R A N D O S</w:t>
      </w:r>
    </w:p>
    <w:p w14:paraId="047EC759" w14:textId="77777777" w:rsidR="00186072" w:rsidRPr="00030063" w:rsidRDefault="00544B28">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b/>
        </w:rPr>
        <w:t>Primero. Competencia.</w:t>
      </w:r>
      <w:r w:rsidRPr="0003006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EB25C74" w14:textId="77777777" w:rsidR="00186072" w:rsidRPr="00030063" w:rsidRDefault="00544B28">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030063">
        <w:rPr>
          <w:rFonts w:ascii="Palatino Linotype" w:eastAsia="Palatino Linotype" w:hAnsi="Palatino Linotype" w:cs="Palatino Linotype"/>
          <w:b/>
        </w:rPr>
        <w:t>Segundo. Oportunidad y Procedibilidad del Recurso de Revisión</w:t>
      </w:r>
      <w:r w:rsidRPr="0003006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B918DAD" w14:textId="2FEAE288" w:rsidR="00186072" w:rsidRPr="00030063" w:rsidRDefault="00544B28">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030063">
        <w:rPr>
          <w:rFonts w:ascii="Palatino Linotype" w:eastAsia="Palatino Linotype" w:hAnsi="Palatino Linotype" w:cs="Palatino Linotype"/>
          <w:b/>
        </w:rPr>
        <w:t xml:space="preserve">Sujeto Obligado </w:t>
      </w:r>
      <w:r w:rsidRPr="00030063">
        <w:rPr>
          <w:rFonts w:ascii="Palatino Linotype" w:eastAsia="Palatino Linotype" w:hAnsi="Palatino Linotype" w:cs="Palatino Linotype"/>
        </w:rPr>
        <w:t xml:space="preserve">remitió la respuesta a la solicitud de información el día </w:t>
      </w:r>
      <w:r w:rsidR="00A436D9" w:rsidRPr="00030063">
        <w:rPr>
          <w:rFonts w:ascii="Palatino Linotype" w:eastAsia="Palatino Linotype" w:hAnsi="Palatino Linotype" w:cs="Palatino Linotype"/>
          <w:b/>
        </w:rPr>
        <w:t>nueve de junio</w:t>
      </w:r>
      <w:r w:rsidR="00AD0CEA" w:rsidRPr="00030063">
        <w:rPr>
          <w:rFonts w:ascii="Palatino Linotype" w:eastAsia="Palatino Linotype" w:hAnsi="Palatino Linotype" w:cs="Palatino Linotype"/>
          <w:b/>
        </w:rPr>
        <w:t xml:space="preserve"> de dos mil veinticinco</w:t>
      </w:r>
      <w:r w:rsidRPr="00030063">
        <w:rPr>
          <w:rFonts w:ascii="Palatino Linotype" w:eastAsia="Palatino Linotype" w:hAnsi="Palatino Linotype" w:cs="Palatino Linotype"/>
          <w:b/>
        </w:rPr>
        <w:t xml:space="preserve">, </w:t>
      </w:r>
      <w:r w:rsidRPr="00030063">
        <w:rPr>
          <w:rFonts w:ascii="Palatino Linotype" w:eastAsia="Palatino Linotype" w:hAnsi="Palatino Linotype" w:cs="Palatino Linotype"/>
        </w:rPr>
        <w:t xml:space="preserve">mientras que el recurso de revisión interpuesto por la parte </w:t>
      </w:r>
      <w:r w:rsidRPr="00030063">
        <w:rPr>
          <w:rFonts w:ascii="Palatino Linotype" w:eastAsia="Palatino Linotype" w:hAnsi="Palatino Linotype" w:cs="Palatino Linotype"/>
          <w:b/>
        </w:rPr>
        <w:t xml:space="preserve">Recurrente, </w:t>
      </w:r>
      <w:r w:rsidRPr="00030063">
        <w:rPr>
          <w:rFonts w:ascii="Palatino Linotype" w:eastAsia="Palatino Linotype" w:hAnsi="Palatino Linotype" w:cs="Palatino Linotype"/>
        </w:rPr>
        <w:t>se tuvo por presentado el día</w:t>
      </w:r>
      <w:r w:rsidRPr="00030063">
        <w:rPr>
          <w:rFonts w:ascii="Palatino Linotype" w:eastAsia="Palatino Linotype" w:hAnsi="Palatino Linotype" w:cs="Palatino Linotype"/>
          <w:b/>
        </w:rPr>
        <w:t xml:space="preserve"> </w:t>
      </w:r>
      <w:r w:rsidR="00A436D9" w:rsidRPr="00030063">
        <w:rPr>
          <w:rFonts w:ascii="Palatino Linotype" w:eastAsia="Palatino Linotype" w:hAnsi="Palatino Linotype" w:cs="Palatino Linotype"/>
          <w:b/>
        </w:rPr>
        <w:t>diez de junio</w:t>
      </w:r>
      <w:r w:rsidRPr="00030063">
        <w:rPr>
          <w:rFonts w:ascii="Palatino Linotype" w:eastAsia="Palatino Linotype" w:hAnsi="Palatino Linotype" w:cs="Palatino Linotype"/>
          <w:b/>
        </w:rPr>
        <w:t xml:space="preserve"> de dos mil veinticinco, </w:t>
      </w:r>
      <w:r w:rsidRPr="00030063">
        <w:rPr>
          <w:rFonts w:ascii="Palatino Linotype" w:eastAsia="Palatino Linotype" w:hAnsi="Palatino Linotype" w:cs="Palatino Linotype"/>
        </w:rPr>
        <w:t>esto es, al</w:t>
      </w:r>
      <w:r w:rsidR="00DD6932" w:rsidRPr="00030063">
        <w:rPr>
          <w:rFonts w:ascii="Palatino Linotype" w:eastAsia="Palatino Linotype" w:hAnsi="Palatino Linotype" w:cs="Palatino Linotype"/>
        </w:rPr>
        <w:t xml:space="preserve"> </w:t>
      </w:r>
      <w:r w:rsidR="00A436D9" w:rsidRPr="00030063">
        <w:rPr>
          <w:rFonts w:ascii="Palatino Linotype" w:eastAsia="Palatino Linotype" w:hAnsi="Palatino Linotype" w:cs="Palatino Linotype"/>
        </w:rPr>
        <w:lastRenderedPageBreak/>
        <w:t>siguiente</w:t>
      </w:r>
      <w:r w:rsidR="000545F6" w:rsidRPr="00030063">
        <w:rPr>
          <w:rFonts w:ascii="Palatino Linotype" w:eastAsia="Palatino Linotype" w:hAnsi="Palatino Linotype" w:cs="Palatino Linotype"/>
        </w:rPr>
        <w:t xml:space="preserve"> día </w:t>
      </w:r>
      <w:r w:rsidRPr="00030063">
        <w:rPr>
          <w:rFonts w:ascii="Palatino Linotype" w:eastAsia="Palatino Linotype" w:hAnsi="Palatino Linotype" w:cs="Palatino Linotype"/>
        </w:rPr>
        <w:t>hábil posterior a aquel en el que tuvo conocimiento de la respuesta impugnada. En este sentido, se concluye que el presente recurso de revisión se encuentra dentro de los márgenes temporales previstos en las disposiciones legales referidas.</w:t>
      </w:r>
    </w:p>
    <w:p w14:paraId="054432D6" w14:textId="4859167D" w:rsidR="00DD6932" w:rsidRPr="00030063" w:rsidRDefault="00DD6932" w:rsidP="00DD6932">
      <w:pPr>
        <w:pBdr>
          <w:top w:val="nil"/>
          <w:left w:val="nil"/>
          <w:bottom w:val="nil"/>
          <w:right w:val="nil"/>
          <w:between w:val="nil"/>
        </w:pBdr>
        <w:spacing w:line="360" w:lineRule="auto"/>
        <w:ind w:right="-147"/>
        <w:jc w:val="both"/>
        <w:rPr>
          <w:rFonts w:ascii="Palatino Linotype" w:eastAsia="Palatino Linotype" w:hAnsi="Palatino Linotype" w:cs="Palatino Linotype"/>
        </w:rPr>
      </w:pPr>
      <w:bookmarkStart w:id="7" w:name="_heading=h.3znysh7" w:colFirst="0" w:colLast="0"/>
      <w:bookmarkEnd w:id="7"/>
      <w:r w:rsidRPr="00030063">
        <w:rPr>
          <w:rFonts w:ascii="Palatino Linotype" w:eastAsia="Palatino Linotype" w:hAnsi="Palatino Linotype" w:cs="Palatino Linotype"/>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00A436D9" w:rsidRPr="00030063">
        <w:rPr>
          <w:rFonts w:ascii="Palatino Linotype" w:eastAsia="Palatino Linotype" w:hAnsi="Palatino Linotype" w:cs="Palatino Linotype"/>
          <w:bCs/>
        </w:rPr>
        <w:t>el</w:t>
      </w:r>
      <w:r w:rsidRPr="00030063">
        <w:rPr>
          <w:rFonts w:ascii="Palatino Linotype" w:eastAsia="Palatino Linotype" w:hAnsi="Palatino Linotype" w:cs="Palatino Linotype"/>
        </w:rPr>
        <w:t xml:space="preserve"> </w:t>
      </w:r>
      <w:r w:rsidRPr="00030063">
        <w:rPr>
          <w:rFonts w:ascii="Palatino Linotype" w:eastAsia="Palatino Linotype" w:hAnsi="Palatino Linotype" w:cs="Palatino Linotype"/>
          <w:b/>
        </w:rPr>
        <w:t>SAIMEX</w:t>
      </w:r>
      <w:r w:rsidRPr="00030063">
        <w:rPr>
          <w:rFonts w:ascii="Palatino Linotype" w:eastAsia="Palatino Linotype" w:hAnsi="Palatino Linotype" w:cs="Palatino Linotype"/>
        </w:rPr>
        <w:t>.</w:t>
      </w:r>
    </w:p>
    <w:p w14:paraId="69738EFD" w14:textId="4433CB24" w:rsidR="00186072" w:rsidRPr="00030063" w:rsidRDefault="00544B28">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Finalmente, se advierte que resulta procedente la interposición del recurso, según lo manifestado por la parte </w:t>
      </w:r>
      <w:r w:rsidRPr="00030063">
        <w:rPr>
          <w:rFonts w:ascii="Palatino Linotype" w:eastAsia="Palatino Linotype" w:hAnsi="Palatino Linotype" w:cs="Palatino Linotype"/>
          <w:b/>
        </w:rPr>
        <w:t>Recurrente</w:t>
      </w:r>
      <w:r w:rsidRPr="00030063">
        <w:rPr>
          <w:rFonts w:ascii="Palatino Linotype" w:eastAsia="Palatino Linotype" w:hAnsi="Palatino Linotype" w:cs="Palatino Linotype"/>
        </w:rPr>
        <w:t xml:space="preserve"> en sus motivos de inconformidad, de acuerdo al artículo 179, fracción </w:t>
      </w:r>
      <w:r w:rsidR="00A436D9" w:rsidRPr="00030063">
        <w:rPr>
          <w:rFonts w:ascii="Palatino Linotype" w:eastAsia="Palatino Linotype" w:hAnsi="Palatino Linotype" w:cs="Palatino Linotype"/>
        </w:rPr>
        <w:t>VI</w:t>
      </w:r>
      <w:r w:rsidRPr="00030063">
        <w:rPr>
          <w:rFonts w:ascii="Palatino Linotype" w:eastAsia="Palatino Linotype" w:hAnsi="Palatino Linotype" w:cs="Palatino Linotype"/>
        </w:rPr>
        <w:t xml:space="preserve"> del ordenamiento legal citado, que a la letra dice: </w:t>
      </w:r>
    </w:p>
    <w:p w14:paraId="1141607F" w14:textId="77777777" w:rsidR="00186072" w:rsidRPr="00030063" w:rsidRDefault="00544B28">
      <w:pPr>
        <w:tabs>
          <w:tab w:val="left" w:pos="7938"/>
        </w:tabs>
        <w:spacing w:before="120" w:after="120"/>
        <w:ind w:left="851"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t>“</w:t>
      </w:r>
      <w:r w:rsidRPr="00030063">
        <w:rPr>
          <w:rFonts w:ascii="Palatino Linotype" w:eastAsia="Palatino Linotype" w:hAnsi="Palatino Linotype" w:cs="Palatino Linotype"/>
          <w:b/>
          <w:i/>
          <w:sz w:val="22"/>
          <w:szCs w:val="22"/>
        </w:rPr>
        <w:t>Artículo 179.</w:t>
      </w:r>
      <w:r w:rsidRPr="0003006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41FA0C9" w14:textId="77777777" w:rsidR="000545F6" w:rsidRPr="00030063" w:rsidRDefault="000545F6">
      <w:pPr>
        <w:tabs>
          <w:tab w:val="left" w:pos="7938"/>
        </w:tabs>
        <w:spacing w:before="120" w:after="120"/>
        <w:ind w:left="1134" w:right="900"/>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t>...</w:t>
      </w:r>
    </w:p>
    <w:p w14:paraId="1C67FEC9" w14:textId="7CF929A1" w:rsidR="00186072" w:rsidRPr="00030063" w:rsidRDefault="00A436D9">
      <w:pPr>
        <w:tabs>
          <w:tab w:val="left" w:pos="7938"/>
        </w:tabs>
        <w:spacing w:before="120" w:after="120"/>
        <w:ind w:left="1134" w:right="900"/>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b/>
          <w:i/>
          <w:sz w:val="22"/>
          <w:szCs w:val="22"/>
        </w:rPr>
        <w:t xml:space="preserve">VI. </w:t>
      </w:r>
      <w:r w:rsidRPr="00030063">
        <w:rPr>
          <w:rFonts w:ascii="Palatino Linotype" w:eastAsia="Palatino Linotype" w:hAnsi="Palatino Linotype" w:cs="Palatino Linotype"/>
          <w:bCs/>
          <w:i/>
          <w:sz w:val="22"/>
          <w:szCs w:val="22"/>
        </w:rPr>
        <w:t>La entrega de información que no corresponda con lo solicitado</w:t>
      </w:r>
      <w:r w:rsidR="004973F1" w:rsidRPr="00030063">
        <w:rPr>
          <w:rFonts w:ascii="Palatino Linotype" w:eastAsia="Palatino Linotype" w:hAnsi="Palatino Linotype" w:cs="Palatino Linotype"/>
          <w:bCs/>
          <w:i/>
          <w:sz w:val="22"/>
          <w:szCs w:val="22"/>
        </w:rPr>
        <w:t>;</w:t>
      </w:r>
      <w:r w:rsidR="000545F6" w:rsidRPr="00030063">
        <w:rPr>
          <w:rFonts w:ascii="Palatino Linotype" w:eastAsia="Palatino Linotype" w:hAnsi="Palatino Linotype" w:cs="Palatino Linotype"/>
          <w:i/>
          <w:sz w:val="22"/>
          <w:szCs w:val="22"/>
        </w:rPr>
        <w:t>”</w:t>
      </w:r>
    </w:p>
    <w:p w14:paraId="5CA62E99" w14:textId="77777777" w:rsidR="00186072" w:rsidRPr="00030063" w:rsidRDefault="00544B28">
      <w:pPr>
        <w:spacing w:before="240" w:after="240" w:line="360" w:lineRule="auto"/>
        <w:jc w:val="both"/>
        <w:rPr>
          <w:rFonts w:ascii="Palatino Linotype" w:eastAsia="Palatino Linotype" w:hAnsi="Palatino Linotype" w:cs="Palatino Linotype"/>
          <w:b/>
        </w:rPr>
      </w:pPr>
      <w:r w:rsidRPr="00030063">
        <w:rPr>
          <w:rFonts w:ascii="Palatino Linotype" w:eastAsia="Palatino Linotype" w:hAnsi="Palatino Linotype" w:cs="Palatino Linotype"/>
          <w:b/>
        </w:rPr>
        <w:t xml:space="preserve">Tercero. Materia de la revisión. </w:t>
      </w:r>
      <w:r w:rsidRPr="0003006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030063">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030063">
        <w:rPr>
          <w:rFonts w:ascii="Palatino Linotype" w:eastAsia="Palatino Linotype" w:hAnsi="Palatino Linotype" w:cs="Palatino Linotype"/>
        </w:rPr>
        <w:t xml:space="preserve">de la parte </w:t>
      </w:r>
      <w:r w:rsidRPr="00030063">
        <w:rPr>
          <w:rFonts w:ascii="Palatino Linotype" w:eastAsia="Palatino Linotype" w:hAnsi="Palatino Linotype" w:cs="Palatino Linotype"/>
          <w:b/>
        </w:rPr>
        <w:t>Recurrente</w:t>
      </w:r>
      <w:r w:rsidRPr="00030063">
        <w:rPr>
          <w:rFonts w:ascii="Palatino Linotype" w:eastAsia="Palatino Linotype" w:hAnsi="Palatino Linotype" w:cs="Palatino Linotype"/>
        </w:rPr>
        <w:t>, o en su defecto, en caso de ser procedente, ordenar la entrega de información.</w:t>
      </w:r>
    </w:p>
    <w:p w14:paraId="6E568BA8" w14:textId="77777777" w:rsidR="00186072" w:rsidRPr="00030063" w:rsidRDefault="00544B28">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030063">
        <w:rPr>
          <w:rFonts w:ascii="Palatino Linotype" w:eastAsia="Palatino Linotype" w:hAnsi="Palatino Linotype" w:cs="Palatino Linotype"/>
          <w:b/>
        </w:rPr>
        <w:lastRenderedPageBreak/>
        <w:t xml:space="preserve">Cuarto. Estudio del asunto. </w:t>
      </w:r>
      <w:r w:rsidRPr="00030063">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9389157" w14:textId="77777777" w:rsidR="00186072" w:rsidRPr="00030063" w:rsidRDefault="00544B28">
      <w:pPr>
        <w:spacing w:before="120" w:after="120"/>
        <w:ind w:left="851"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t>“</w:t>
      </w:r>
      <w:r w:rsidRPr="00030063">
        <w:rPr>
          <w:rFonts w:ascii="Palatino Linotype" w:eastAsia="Palatino Linotype" w:hAnsi="Palatino Linotype" w:cs="Palatino Linotype"/>
          <w:b/>
          <w:i/>
          <w:sz w:val="22"/>
          <w:szCs w:val="22"/>
        </w:rPr>
        <w:t>Artículo 4</w:t>
      </w:r>
      <w:r w:rsidRPr="0003006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A2C59E5" w14:textId="77777777" w:rsidR="00186072" w:rsidRPr="00030063" w:rsidRDefault="00544B28">
      <w:pPr>
        <w:spacing w:before="120" w:after="120"/>
        <w:ind w:left="851"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3006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281953B" w14:textId="77777777" w:rsidR="00186072" w:rsidRPr="00030063" w:rsidRDefault="00544B28">
      <w:pPr>
        <w:spacing w:before="120" w:after="120"/>
        <w:ind w:left="851"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30063">
        <w:rPr>
          <w:rFonts w:ascii="Palatino Linotype" w:eastAsia="Palatino Linotype" w:hAnsi="Palatino Linotype" w:cs="Palatino Linotype"/>
          <w:i/>
          <w:sz w:val="22"/>
          <w:szCs w:val="22"/>
        </w:rPr>
        <w:t>.”</w:t>
      </w:r>
    </w:p>
    <w:p w14:paraId="7046FFFA" w14:textId="77777777" w:rsidR="00186072" w:rsidRPr="00030063" w:rsidRDefault="00544B28">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sidRPr="00030063">
        <w:rPr>
          <w:rFonts w:ascii="Palatino Linotype" w:eastAsia="Palatino Linotype" w:hAnsi="Palatino Linotype" w:cs="Palatino Linotype"/>
        </w:rPr>
        <w:lastRenderedPageBreak/>
        <w:t>Transparencia y Acceso a la Información Pública del Estado de México y Municipios, que a la letra dice:</w:t>
      </w:r>
    </w:p>
    <w:p w14:paraId="6ED70A49" w14:textId="77777777" w:rsidR="00186072" w:rsidRPr="00030063" w:rsidRDefault="00544B28">
      <w:pPr>
        <w:spacing w:before="120" w:after="120"/>
        <w:ind w:left="851"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b/>
          <w:i/>
          <w:sz w:val="22"/>
          <w:szCs w:val="22"/>
        </w:rPr>
        <w:t>“Artículo 12.-</w:t>
      </w:r>
      <w:r w:rsidRPr="0003006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AB28516" w14:textId="77777777" w:rsidR="00186072" w:rsidRPr="00030063" w:rsidRDefault="00544B28">
      <w:pPr>
        <w:spacing w:before="120" w:after="120"/>
        <w:ind w:left="851"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30063">
        <w:rPr>
          <w:rFonts w:ascii="Palatino Linotype" w:eastAsia="Palatino Linotype" w:hAnsi="Palatino Linotype" w:cs="Palatino Linotype"/>
          <w:i/>
          <w:sz w:val="22"/>
          <w:szCs w:val="22"/>
        </w:rPr>
        <w:t xml:space="preserve">. </w:t>
      </w:r>
      <w:r w:rsidRPr="0003006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3DA86C7E" w14:textId="77777777" w:rsidR="00186072" w:rsidRPr="00030063" w:rsidRDefault="00544B28">
      <w:pPr>
        <w:spacing w:before="240" w:after="240" w:line="360" w:lineRule="auto"/>
        <w:ind w:right="-93"/>
        <w:jc w:val="both"/>
        <w:rPr>
          <w:rFonts w:ascii="Palatino Linotype" w:eastAsia="Palatino Linotype" w:hAnsi="Palatino Linotype" w:cs="Palatino Linotype"/>
        </w:rPr>
      </w:pPr>
      <w:r w:rsidRPr="00030063">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156ECE7" w14:textId="77777777" w:rsidR="00186072" w:rsidRPr="00030063" w:rsidRDefault="00544B28">
      <w:pPr>
        <w:spacing w:before="240" w:after="240" w:line="360" w:lineRule="auto"/>
        <w:jc w:val="both"/>
        <w:rPr>
          <w:rFonts w:ascii="Palatino Linotype" w:eastAsia="Palatino Linotype" w:hAnsi="Palatino Linotype" w:cs="Palatino Linotype"/>
          <w:b/>
        </w:rPr>
      </w:pPr>
      <w:r w:rsidRPr="00030063">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030063">
        <w:rPr>
          <w:rFonts w:ascii="Palatino Linotype" w:eastAsia="Palatino Linotype" w:hAnsi="Palatino Linotype" w:cs="Palatino Linotype"/>
        </w:rPr>
        <w:t>que</w:t>
      </w:r>
      <w:proofErr w:type="gramEnd"/>
      <w:r w:rsidRPr="00030063">
        <w:rPr>
          <w:rFonts w:ascii="Palatino Linotype" w:eastAsia="Palatino Linotype" w:hAnsi="Palatino Linotype" w:cs="Palatino Linotype"/>
        </w:rPr>
        <w:t xml:space="preserve"> por rubro y texto, dispone lo siguiente:</w:t>
      </w:r>
      <w:r w:rsidRPr="00030063">
        <w:rPr>
          <w:rFonts w:ascii="Palatino Linotype" w:eastAsia="Palatino Linotype" w:hAnsi="Palatino Linotype" w:cs="Palatino Linotype"/>
          <w:b/>
        </w:rPr>
        <w:t xml:space="preserve"> </w:t>
      </w:r>
    </w:p>
    <w:p w14:paraId="7ECB0632" w14:textId="77777777" w:rsidR="00186072" w:rsidRPr="00030063" w:rsidRDefault="00544B28">
      <w:pPr>
        <w:spacing w:before="120" w:after="120"/>
        <w:ind w:left="1134"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t xml:space="preserve"> “</w:t>
      </w:r>
      <w:r w:rsidRPr="00030063">
        <w:rPr>
          <w:rFonts w:ascii="Palatino Linotype" w:eastAsia="Palatino Linotype" w:hAnsi="Palatino Linotype" w:cs="Palatino Linotype"/>
          <w:b/>
          <w:i/>
          <w:sz w:val="22"/>
          <w:szCs w:val="22"/>
        </w:rPr>
        <w:t>No existe obligación de elaborar documentos ad hoc para atender las solicitudes de acceso a la información.</w:t>
      </w:r>
      <w:r w:rsidRPr="0003006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w:t>
      </w:r>
      <w:r w:rsidRPr="00030063">
        <w:rPr>
          <w:rFonts w:ascii="Palatino Linotype" w:eastAsia="Palatino Linotype" w:hAnsi="Palatino Linotype" w:cs="Palatino Linotype"/>
          <w:i/>
          <w:sz w:val="22"/>
          <w:szCs w:val="22"/>
        </w:rPr>
        <w:lastRenderedPageBreak/>
        <w:t xml:space="preserve">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DB9B9C7" w14:textId="77777777" w:rsidR="00186072" w:rsidRPr="00030063" w:rsidRDefault="00544B28">
      <w:pPr>
        <w:spacing w:before="120" w:after="12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918F835" w14:textId="77777777" w:rsidR="00186072" w:rsidRPr="00030063" w:rsidRDefault="00544B28">
      <w:pPr>
        <w:spacing w:before="120" w:after="12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DF6FF30" w14:textId="77777777" w:rsidR="00186072" w:rsidRPr="00030063" w:rsidRDefault="00544B28">
      <w:pPr>
        <w:spacing w:before="120" w:after="120"/>
        <w:ind w:left="851"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t>“</w:t>
      </w:r>
      <w:r w:rsidRPr="00030063">
        <w:rPr>
          <w:rFonts w:ascii="Palatino Linotype" w:eastAsia="Palatino Linotype" w:hAnsi="Palatino Linotype" w:cs="Palatino Linotype"/>
          <w:b/>
          <w:i/>
          <w:sz w:val="22"/>
          <w:szCs w:val="22"/>
        </w:rPr>
        <w:t xml:space="preserve">Artículo 3. </w:t>
      </w:r>
      <w:r w:rsidRPr="00030063">
        <w:rPr>
          <w:rFonts w:ascii="Palatino Linotype" w:eastAsia="Palatino Linotype" w:hAnsi="Palatino Linotype" w:cs="Palatino Linotype"/>
          <w:i/>
          <w:sz w:val="22"/>
          <w:szCs w:val="22"/>
        </w:rPr>
        <w:t>Para los efectos de la presente Ley se entenderá por:</w:t>
      </w:r>
    </w:p>
    <w:p w14:paraId="07A8D0E6" w14:textId="77777777" w:rsidR="00186072" w:rsidRPr="00030063" w:rsidRDefault="00544B28">
      <w:pPr>
        <w:spacing w:before="120" w:after="120"/>
        <w:ind w:left="1134"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t>…</w:t>
      </w:r>
    </w:p>
    <w:p w14:paraId="7262AFCA" w14:textId="77777777" w:rsidR="00186072" w:rsidRPr="00030063" w:rsidRDefault="00544B28">
      <w:pPr>
        <w:spacing w:before="120" w:after="120"/>
        <w:ind w:left="1134"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b/>
          <w:i/>
          <w:sz w:val="22"/>
          <w:szCs w:val="22"/>
        </w:rPr>
        <w:t>XI. Documento:</w:t>
      </w:r>
      <w:r w:rsidRPr="00030063">
        <w:rPr>
          <w:rFonts w:ascii="Palatino Linotype" w:eastAsia="Palatino Linotype" w:hAnsi="Palatino Linotype" w:cs="Palatino Linotype"/>
          <w:i/>
          <w:sz w:val="22"/>
          <w:szCs w:val="22"/>
        </w:rPr>
        <w:t xml:space="preserve"> Los expedientes, reportes, estudios, actas</w:t>
      </w:r>
      <w:r w:rsidRPr="00030063">
        <w:rPr>
          <w:rFonts w:ascii="Palatino Linotype" w:eastAsia="Palatino Linotype" w:hAnsi="Palatino Linotype" w:cs="Palatino Linotype"/>
          <w:b/>
          <w:i/>
          <w:sz w:val="22"/>
          <w:szCs w:val="22"/>
        </w:rPr>
        <w:t>,</w:t>
      </w:r>
      <w:r w:rsidRPr="0003006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030063">
        <w:rPr>
          <w:rFonts w:ascii="Palatino Linotype" w:eastAsia="Palatino Linotype" w:hAnsi="Palatino Linotype" w:cs="Palatino Linotype"/>
          <w:i/>
          <w:sz w:val="22"/>
          <w:szCs w:val="22"/>
        </w:rPr>
        <w:lastRenderedPageBreak/>
        <w:t xml:space="preserve">sin importar su fuente o fecha de elaboración. Los documentos podrán estar en cualquier medio, sea escrito, impreso, sonoro, visual, electrónico, informático u holográfico…” </w:t>
      </w:r>
    </w:p>
    <w:p w14:paraId="4EFEC6FA" w14:textId="77777777" w:rsidR="00186072" w:rsidRPr="00030063" w:rsidRDefault="00544B28">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F24428F" w14:textId="77777777" w:rsidR="00186072" w:rsidRPr="00030063" w:rsidRDefault="00544B28">
      <w:pPr>
        <w:spacing w:before="120" w:after="120"/>
        <w:ind w:left="851"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b/>
          <w:sz w:val="22"/>
          <w:szCs w:val="22"/>
        </w:rPr>
        <w:t>“</w:t>
      </w:r>
      <w:r w:rsidRPr="0003006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3006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1A2457" w14:textId="77777777" w:rsidR="00186072" w:rsidRPr="00030063" w:rsidRDefault="00544B28">
      <w:pPr>
        <w:spacing w:before="120" w:after="120"/>
        <w:ind w:left="851"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t xml:space="preserve">En </w:t>
      </w:r>
      <w:proofErr w:type="gramStart"/>
      <w:r w:rsidRPr="00030063">
        <w:rPr>
          <w:rFonts w:ascii="Palatino Linotype" w:eastAsia="Palatino Linotype" w:hAnsi="Palatino Linotype" w:cs="Palatino Linotype"/>
          <w:i/>
          <w:sz w:val="22"/>
          <w:szCs w:val="22"/>
        </w:rPr>
        <w:t>consecuencia</w:t>
      </w:r>
      <w:proofErr w:type="gramEnd"/>
      <w:r w:rsidRPr="00030063">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EF106E0" w14:textId="77777777" w:rsidR="00186072" w:rsidRPr="00030063" w:rsidRDefault="00544B28">
      <w:pPr>
        <w:spacing w:before="120" w:after="120"/>
        <w:ind w:left="1134"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t xml:space="preserve">1) Que se trate de información registrada en cualquier soporte documental, </w:t>
      </w:r>
      <w:proofErr w:type="gramStart"/>
      <w:r w:rsidRPr="00030063">
        <w:rPr>
          <w:rFonts w:ascii="Palatino Linotype" w:eastAsia="Palatino Linotype" w:hAnsi="Palatino Linotype" w:cs="Palatino Linotype"/>
          <w:i/>
          <w:sz w:val="22"/>
          <w:szCs w:val="22"/>
        </w:rPr>
        <w:t>que</w:t>
      </w:r>
      <w:proofErr w:type="gramEnd"/>
      <w:r w:rsidRPr="00030063">
        <w:rPr>
          <w:rFonts w:ascii="Palatino Linotype" w:eastAsia="Palatino Linotype" w:hAnsi="Palatino Linotype" w:cs="Palatino Linotype"/>
          <w:i/>
          <w:sz w:val="22"/>
          <w:szCs w:val="22"/>
        </w:rPr>
        <w:t xml:space="preserve"> en ejercicio de las atribuciones conferidas, sea generada por los Sujetos Obligados;</w:t>
      </w:r>
    </w:p>
    <w:p w14:paraId="7FA1C771" w14:textId="77777777" w:rsidR="00186072" w:rsidRPr="00030063" w:rsidRDefault="00544B28">
      <w:pPr>
        <w:spacing w:before="120" w:after="120"/>
        <w:ind w:left="1134"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t xml:space="preserve">2) Que se trate de información registrada en cualquier soporte documental, </w:t>
      </w:r>
      <w:proofErr w:type="gramStart"/>
      <w:r w:rsidRPr="00030063">
        <w:rPr>
          <w:rFonts w:ascii="Palatino Linotype" w:eastAsia="Palatino Linotype" w:hAnsi="Palatino Linotype" w:cs="Palatino Linotype"/>
          <w:i/>
          <w:sz w:val="22"/>
          <w:szCs w:val="22"/>
        </w:rPr>
        <w:t>que</w:t>
      </w:r>
      <w:proofErr w:type="gramEnd"/>
      <w:r w:rsidRPr="00030063">
        <w:rPr>
          <w:rFonts w:ascii="Palatino Linotype" w:eastAsia="Palatino Linotype" w:hAnsi="Palatino Linotype" w:cs="Palatino Linotype"/>
          <w:i/>
          <w:sz w:val="22"/>
          <w:szCs w:val="22"/>
        </w:rPr>
        <w:t xml:space="preserve"> en ejercicio de las atribuciones conferidas, sea administrada por los Sujetos Obligados, y</w:t>
      </w:r>
    </w:p>
    <w:p w14:paraId="7C6D34DB" w14:textId="77777777" w:rsidR="00186072" w:rsidRPr="00030063" w:rsidRDefault="00544B28">
      <w:pPr>
        <w:spacing w:before="120" w:after="120"/>
        <w:ind w:left="1134" w:right="902"/>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t xml:space="preserve">3) Que se trate de información registrada en cualquier soporte documental, </w:t>
      </w:r>
      <w:proofErr w:type="gramStart"/>
      <w:r w:rsidRPr="00030063">
        <w:rPr>
          <w:rFonts w:ascii="Palatino Linotype" w:eastAsia="Palatino Linotype" w:hAnsi="Palatino Linotype" w:cs="Palatino Linotype"/>
          <w:i/>
          <w:sz w:val="22"/>
          <w:szCs w:val="22"/>
        </w:rPr>
        <w:t>que</w:t>
      </w:r>
      <w:proofErr w:type="gramEnd"/>
      <w:r w:rsidRPr="00030063">
        <w:rPr>
          <w:rFonts w:ascii="Palatino Linotype" w:eastAsia="Palatino Linotype" w:hAnsi="Palatino Linotype" w:cs="Palatino Linotype"/>
          <w:i/>
          <w:sz w:val="22"/>
          <w:szCs w:val="22"/>
        </w:rPr>
        <w:t xml:space="preserve"> en ejercicio de las atribuciones conferidas, se encuentre en posesión de los Sujetos Obligados.”</w:t>
      </w:r>
    </w:p>
    <w:p w14:paraId="0491AAAD" w14:textId="77777777" w:rsidR="00186072" w:rsidRPr="00030063" w:rsidRDefault="00544B28">
      <w:pPr>
        <w:spacing w:before="240" w:after="240" w:line="360" w:lineRule="auto"/>
        <w:ind w:right="51"/>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w:t>
      </w:r>
      <w:r w:rsidRPr="00030063">
        <w:rPr>
          <w:rFonts w:ascii="Palatino Linotype" w:eastAsia="Palatino Linotype" w:hAnsi="Palatino Linotype" w:cs="Palatino Linotype"/>
        </w:rPr>
        <w:lastRenderedPageBreak/>
        <w:t>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34D5EBA" w14:textId="77777777" w:rsidR="00186072" w:rsidRPr="00030063" w:rsidRDefault="00544B28">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4D924D9" w14:textId="77777777" w:rsidR="00D96CAD" w:rsidRPr="00030063" w:rsidRDefault="00D96CAD" w:rsidP="00D96CAD">
      <w:pPr>
        <w:spacing w:before="240" w:after="240" w:line="360" w:lineRule="auto"/>
        <w:ind w:right="51"/>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030063">
        <w:rPr>
          <w:rFonts w:ascii="Palatino Linotype" w:eastAsia="Palatino Linotype" w:hAnsi="Palatino Linotype" w:cs="Palatino Linotype"/>
          <w:b/>
        </w:rPr>
        <w:t>Recurrente</w:t>
      </w:r>
      <w:r w:rsidRPr="00030063">
        <w:rPr>
          <w:rFonts w:ascii="Palatino Linotype" w:eastAsia="Palatino Linotype" w:hAnsi="Palatino Linotype" w:cs="Palatino Linotype"/>
        </w:rPr>
        <w:t xml:space="preserve"> requirió al </w:t>
      </w:r>
      <w:r w:rsidRPr="00030063">
        <w:rPr>
          <w:rFonts w:ascii="Palatino Linotype" w:eastAsia="Palatino Linotype" w:hAnsi="Palatino Linotype" w:cs="Palatino Linotype"/>
          <w:b/>
        </w:rPr>
        <w:t xml:space="preserve">Sujeto Obligado </w:t>
      </w:r>
      <w:r w:rsidRPr="00030063">
        <w:rPr>
          <w:rFonts w:ascii="Palatino Linotype" w:eastAsia="Palatino Linotype" w:hAnsi="Palatino Linotype" w:cs="Palatino Linotype"/>
        </w:rPr>
        <w:t>le proporcione, información consistente en lo siguiente:</w:t>
      </w:r>
    </w:p>
    <w:p w14:paraId="312D1431" w14:textId="239C26E2" w:rsidR="00D96CAD" w:rsidRPr="00030063" w:rsidRDefault="00D96CAD" w:rsidP="00D530AF">
      <w:pPr>
        <w:spacing w:before="240" w:after="240" w:line="360" w:lineRule="auto"/>
        <w:ind w:left="284"/>
        <w:jc w:val="both"/>
        <w:rPr>
          <w:rFonts w:ascii="Palatino Linotype" w:eastAsia="Palatino Linotype" w:hAnsi="Palatino Linotype" w:cs="Palatino Linotype"/>
          <w:b/>
        </w:rPr>
      </w:pPr>
      <w:r w:rsidRPr="00030063">
        <w:rPr>
          <w:rFonts w:ascii="Palatino Linotype" w:eastAsia="Palatino Linotype" w:hAnsi="Palatino Linotype" w:cs="Palatino Linotype"/>
        </w:rPr>
        <w:t xml:space="preserve">1. </w:t>
      </w:r>
      <w:r w:rsidRPr="00030063">
        <w:rPr>
          <w:rFonts w:ascii="Palatino Linotype" w:eastAsia="Palatino Linotype" w:hAnsi="Palatino Linotype" w:cs="Palatino Linotype"/>
          <w:b/>
          <w:bCs/>
          <w:u w:val="single"/>
        </w:rPr>
        <w:t>Recibos de nómina</w:t>
      </w:r>
      <w:r w:rsidR="00D530AF" w:rsidRPr="00030063">
        <w:rPr>
          <w:rFonts w:ascii="Palatino Linotype" w:eastAsia="Palatino Linotype" w:hAnsi="Palatino Linotype" w:cs="Palatino Linotype"/>
        </w:rPr>
        <w:t xml:space="preserve"> de la segunda quincena de abril de dos mil veinticinco</w:t>
      </w:r>
      <w:r w:rsidRPr="00030063">
        <w:rPr>
          <w:rFonts w:ascii="Palatino Linotype" w:eastAsia="Palatino Linotype" w:hAnsi="Palatino Linotype" w:cs="Palatino Linotype"/>
        </w:rPr>
        <w:t xml:space="preserve"> del presidente municipal, </w:t>
      </w:r>
      <w:r w:rsidR="00D530AF" w:rsidRPr="00030063">
        <w:rPr>
          <w:rFonts w:ascii="Palatino Linotype" w:eastAsia="Palatino Linotype" w:hAnsi="Palatino Linotype" w:cs="Palatino Linotype"/>
        </w:rPr>
        <w:t>síndicos</w:t>
      </w:r>
      <w:r w:rsidRPr="00030063">
        <w:rPr>
          <w:rFonts w:ascii="Palatino Linotype" w:eastAsia="Palatino Linotype" w:hAnsi="Palatino Linotype" w:cs="Palatino Linotype"/>
        </w:rPr>
        <w:t>, regidores y directores de área</w:t>
      </w:r>
      <w:r w:rsidR="00D530AF" w:rsidRPr="00030063">
        <w:rPr>
          <w:rFonts w:ascii="Palatino Linotype" w:eastAsia="Palatino Linotype" w:hAnsi="Palatino Linotype" w:cs="Palatino Linotype"/>
        </w:rPr>
        <w:t>.</w:t>
      </w:r>
    </w:p>
    <w:p w14:paraId="0080BC3D" w14:textId="04CC2F54" w:rsidR="00D530AF" w:rsidRPr="00030063" w:rsidRDefault="004A77CD" w:rsidP="00616B12">
      <w:pPr>
        <w:spacing w:before="240" w:after="240" w:line="360" w:lineRule="auto"/>
        <w:ind w:right="49"/>
        <w:jc w:val="both"/>
        <w:rPr>
          <w:rFonts w:ascii="Palatino Linotype" w:eastAsia="Palatino Linotype" w:hAnsi="Palatino Linotype" w:cs="Arial"/>
        </w:rPr>
      </w:pPr>
      <w:r w:rsidRPr="00030063">
        <w:rPr>
          <w:rFonts w:ascii="Palatino Linotype" w:eastAsia="Palatino Linotype" w:hAnsi="Palatino Linotype" w:cs="Palatino Linotype"/>
        </w:rPr>
        <w:t xml:space="preserve">En respuesta, la Unidad de Transparencia por conducto de </w:t>
      </w:r>
      <w:r w:rsidRPr="00030063">
        <w:rPr>
          <w:rFonts w:ascii="Palatino Linotype" w:eastAsia="Palatino Linotype" w:hAnsi="Palatino Linotype" w:cs="Arial"/>
        </w:rPr>
        <w:t xml:space="preserve">Subdirección de Recursos Humanos de la Dirección de Administración manifestó que la información solicitada constituye una obligación de transparencia común, misma que se </w:t>
      </w:r>
      <w:r w:rsidRPr="00030063">
        <w:rPr>
          <w:rFonts w:ascii="Palatino Linotype" w:eastAsia="Palatino Linotype" w:hAnsi="Palatino Linotype" w:cs="Arial"/>
        </w:rPr>
        <w:lastRenderedPageBreak/>
        <w:t>encuentra publicada en el portal IPOMEX, fracción VIII A denominada: "Remuneraciones", cuya dirección electrónica proporcionó en formato cerrado, así como el procedimiento para efectos de la consulta, como se ilustra a continuación para mejor referencia:</w:t>
      </w:r>
    </w:p>
    <w:p w14:paraId="4A69F4DB" w14:textId="3D6E4A9E" w:rsidR="004A77CD" w:rsidRPr="00030063" w:rsidRDefault="004A77CD" w:rsidP="00B72211">
      <w:pPr>
        <w:spacing w:before="240" w:after="240" w:line="360" w:lineRule="auto"/>
        <w:ind w:right="49"/>
        <w:jc w:val="center"/>
        <w:rPr>
          <w:rFonts w:ascii="Palatino Linotype" w:eastAsia="Palatino Linotype" w:hAnsi="Palatino Linotype" w:cs="Palatino Linotype"/>
        </w:rPr>
      </w:pPr>
      <w:r w:rsidRPr="00030063">
        <w:rPr>
          <w:noProof/>
        </w:rPr>
        <w:drawing>
          <wp:inline distT="0" distB="0" distL="0" distR="0" wp14:anchorId="4B3159EA" wp14:editId="21087689">
            <wp:extent cx="4860000" cy="3478106"/>
            <wp:effectExtent l="0" t="0" r="0" b="8255"/>
            <wp:docPr id="4709748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74863" name=""/>
                    <pic:cNvPicPr/>
                  </pic:nvPicPr>
                  <pic:blipFill>
                    <a:blip r:embed="rId8"/>
                    <a:stretch>
                      <a:fillRect/>
                    </a:stretch>
                  </pic:blipFill>
                  <pic:spPr>
                    <a:xfrm>
                      <a:off x="0" y="0"/>
                      <a:ext cx="4860000" cy="3478106"/>
                    </a:xfrm>
                    <a:prstGeom prst="rect">
                      <a:avLst/>
                    </a:prstGeom>
                  </pic:spPr>
                </pic:pic>
              </a:graphicData>
            </a:graphic>
          </wp:inline>
        </w:drawing>
      </w:r>
    </w:p>
    <w:p w14:paraId="33D23569" w14:textId="056F0499" w:rsidR="00B72211" w:rsidRPr="00030063" w:rsidRDefault="00B72211" w:rsidP="00B72211">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Al no estar conforme con los términos de la respuesta proporcionada por el </w:t>
      </w:r>
      <w:r w:rsidRPr="00030063">
        <w:rPr>
          <w:rFonts w:ascii="Palatino Linotype" w:eastAsia="Palatino Linotype" w:hAnsi="Palatino Linotype" w:cs="Palatino Linotype"/>
          <w:b/>
        </w:rPr>
        <w:t xml:space="preserve">Sujeto Obligado, </w:t>
      </w:r>
      <w:r w:rsidRPr="00030063">
        <w:rPr>
          <w:rFonts w:ascii="Palatino Linotype" w:eastAsia="Palatino Linotype" w:hAnsi="Palatino Linotype" w:cs="Palatino Linotype"/>
        </w:rPr>
        <w:t>la persona solicitante interpuso el recurso de revisión que se resuelve, mediante el cual alegó, en lo medular, que la información proporcionada no corresponde con la información peticionada, en virtud de que las ligas electrónicas no contienen las copias simples digitalizadas de los recibos de nómina de los servidores públicos tal y como se solicitó.</w:t>
      </w:r>
    </w:p>
    <w:p w14:paraId="29583EB2" w14:textId="55B7F870" w:rsidR="00B72211" w:rsidRPr="00030063" w:rsidRDefault="00B72211" w:rsidP="00B72211">
      <w:pPr>
        <w:spacing w:before="240" w:after="240" w:line="360" w:lineRule="auto"/>
        <w:jc w:val="both"/>
        <w:rPr>
          <w:rFonts w:ascii="Palatino Linotype" w:eastAsia="Palatino Linotype" w:hAnsi="Palatino Linotype" w:cs="Palatino Linotype"/>
          <w:bCs/>
        </w:rPr>
      </w:pPr>
      <w:r w:rsidRPr="00030063">
        <w:rPr>
          <w:rFonts w:ascii="Palatino Linotype" w:eastAsia="Palatino Linotype" w:hAnsi="Palatino Linotype" w:cs="Palatino Linotype"/>
        </w:rPr>
        <w:lastRenderedPageBreak/>
        <w:t xml:space="preserve">Durante el periodo de manifestaciones el </w:t>
      </w:r>
      <w:r w:rsidRPr="00030063">
        <w:rPr>
          <w:rFonts w:ascii="Palatino Linotype" w:eastAsia="Palatino Linotype" w:hAnsi="Palatino Linotype" w:cs="Palatino Linotype"/>
          <w:b/>
        </w:rPr>
        <w:t xml:space="preserve">Sujeto Obligado </w:t>
      </w:r>
      <w:r w:rsidRPr="00030063">
        <w:rPr>
          <w:rFonts w:ascii="Palatino Linotype" w:eastAsia="Palatino Linotype" w:hAnsi="Palatino Linotype" w:cs="Palatino Linotype"/>
        </w:rPr>
        <w:t xml:space="preserve">ratificó en lo sustancial la respuesta emitida en primera instancia, mientras que la parte </w:t>
      </w:r>
      <w:r w:rsidRPr="00030063">
        <w:rPr>
          <w:rFonts w:ascii="Palatino Linotype" w:eastAsia="Palatino Linotype" w:hAnsi="Palatino Linotype" w:cs="Palatino Linotype"/>
          <w:b/>
        </w:rPr>
        <w:t xml:space="preserve">Recurrente </w:t>
      </w:r>
      <w:r w:rsidRPr="00030063">
        <w:rPr>
          <w:rFonts w:ascii="Palatino Linotype" w:eastAsia="Palatino Linotype" w:hAnsi="Palatino Linotype" w:cs="Palatino Linotype"/>
          <w:bCs/>
        </w:rPr>
        <w:t xml:space="preserve">reiteró que la negativa en la entrega de la información solicitada de manera puntual y específica persistía. </w:t>
      </w:r>
    </w:p>
    <w:p w14:paraId="09DB7881" w14:textId="77777777" w:rsidR="00B72211" w:rsidRPr="00030063" w:rsidRDefault="00B72211" w:rsidP="00B72211">
      <w:pPr>
        <w:spacing w:before="280" w:after="28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030063">
        <w:rPr>
          <w:rFonts w:ascii="Palatino Linotype" w:eastAsia="Palatino Linotype" w:hAnsi="Palatino Linotype" w:cs="Palatino Linotype"/>
          <w:b/>
        </w:rPr>
        <w:t xml:space="preserve">Sujeto Obligado, </w:t>
      </w:r>
      <w:r w:rsidRPr="00030063">
        <w:rPr>
          <w:rFonts w:ascii="Palatino Linotype" w:eastAsia="Palatino Linotype" w:hAnsi="Palatino Linotype" w:cs="Palatino Linotype"/>
        </w:rPr>
        <w:t xml:space="preserve">en contraposición con el motivo de inconformidad alegado por la parte </w:t>
      </w:r>
      <w:r w:rsidRPr="00030063">
        <w:rPr>
          <w:rFonts w:ascii="Palatino Linotype" w:eastAsia="Palatino Linotype" w:hAnsi="Palatino Linotype" w:cs="Palatino Linotype"/>
          <w:b/>
        </w:rPr>
        <w:t xml:space="preserve">Recurrente, </w:t>
      </w:r>
      <w:r w:rsidRPr="00030063">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32465B9" w14:textId="4A7F794F" w:rsidR="00616B12" w:rsidRPr="00030063" w:rsidRDefault="00765BF5" w:rsidP="00616B12">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bCs/>
        </w:rPr>
        <w:t xml:space="preserve">En este sentido, </w:t>
      </w:r>
      <w:r w:rsidR="00616B12" w:rsidRPr="00030063">
        <w:rPr>
          <w:rFonts w:ascii="Palatino Linotype" w:eastAsia="Palatino Linotype" w:hAnsi="Palatino Linotype" w:cs="Palatino Linotype"/>
        </w:rPr>
        <w:t>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465F3BCE" w14:textId="77777777" w:rsidR="00616B12" w:rsidRPr="00030063" w:rsidRDefault="00616B12" w:rsidP="00616B12">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4E862042" w14:textId="77777777" w:rsidR="00616B12" w:rsidRPr="00030063" w:rsidRDefault="00616B12" w:rsidP="00616B12">
      <w:pPr>
        <w:spacing w:before="240" w:after="240" w:line="360" w:lineRule="auto"/>
        <w:ind w:right="51"/>
        <w:jc w:val="both"/>
        <w:rPr>
          <w:rFonts w:ascii="Palatino Linotype" w:eastAsia="Palatino Linotype" w:hAnsi="Palatino Linotype" w:cs="Palatino Linotype"/>
        </w:rPr>
      </w:pPr>
      <w:r w:rsidRPr="00030063">
        <w:rPr>
          <w:rFonts w:ascii="Palatino Linotype" w:eastAsia="Palatino Linotype" w:hAnsi="Palatino Linotype" w:cs="Palatino Linotype"/>
        </w:rPr>
        <w:lastRenderedPageBreak/>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0A905654" w14:textId="77777777" w:rsidR="00616B12" w:rsidRPr="00030063" w:rsidRDefault="00616B12" w:rsidP="00616B12">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E4C7987" w14:textId="0BF4C41D" w:rsidR="00616B12" w:rsidRPr="00030063" w:rsidRDefault="00616B12" w:rsidP="00D06F13">
      <w:pPr>
        <w:spacing w:before="280" w:after="28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w:t>
      </w:r>
      <w:r w:rsidRPr="00030063">
        <w:rPr>
          <w:rFonts w:ascii="Palatino Linotype" w:eastAsia="Palatino Linotype" w:hAnsi="Palatino Linotype" w:cs="Palatino Linotype"/>
        </w:rPr>
        <w:lastRenderedPageBreak/>
        <w:t xml:space="preserve">Transparencia, turnó la solicitud de información a </w:t>
      </w:r>
      <w:r w:rsidR="004973F1" w:rsidRPr="00030063">
        <w:rPr>
          <w:rFonts w:ascii="Palatino Linotype" w:eastAsia="Palatino Linotype" w:hAnsi="Palatino Linotype" w:cs="Palatino Linotype"/>
        </w:rPr>
        <w:t>la Dirección de Administración</w:t>
      </w:r>
      <w:r w:rsidR="00F116C2" w:rsidRPr="00030063">
        <w:rPr>
          <w:rFonts w:ascii="Palatino Linotype" w:eastAsia="Palatino Linotype" w:hAnsi="Palatino Linotype" w:cs="Palatino Linotype"/>
        </w:rPr>
        <w:t xml:space="preserve"> </w:t>
      </w:r>
      <w:r w:rsidRPr="00030063">
        <w:rPr>
          <w:rFonts w:ascii="Palatino Linotype" w:eastAsia="Palatino Linotype" w:hAnsi="Palatino Linotype" w:cs="Palatino Linotype"/>
        </w:rPr>
        <w:t>como la</w:t>
      </w:r>
      <w:r w:rsidR="00F116C2" w:rsidRPr="00030063">
        <w:rPr>
          <w:rFonts w:ascii="Palatino Linotype" w:eastAsia="Palatino Linotype" w:hAnsi="Palatino Linotype" w:cs="Palatino Linotype"/>
        </w:rPr>
        <w:t xml:space="preserve"> dependencia competente</w:t>
      </w:r>
      <w:r w:rsidRPr="00030063">
        <w:rPr>
          <w:rFonts w:ascii="Palatino Linotype" w:eastAsia="Palatino Linotype" w:hAnsi="Palatino Linotype" w:cs="Palatino Linotype"/>
        </w:rPr>
        <w:t xml:space="preserve"> para conocer de la información que es del interés de la persona solicitante.</w:t>
      </w:r>
    </w:p>
    <w:p w14:paraId="59BB63F0" w14:textId="524E2A8D" w:rsidR="002B7146" w:rsidRPr="00030063" w:rsidRDefault="00616B12" w:rsidP="00F41AEF">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Como sustento a lo anterior, es oportuno mencionar que</w:t>
      </w:r>
      <w:r w:rsidR="00F116C2" w:rsidRPr="00030063">
        <w:rPr>
          <w:rFonts w:ascii="Palatino Linotype" w:eastAsia="Palatino Linotype" w:hAnsi="Palatino Linotype" w:cs="Palatino Linotype"/>
        </w:rPr>
        <w:t xml:space="preserve"> de conformidad con</w:t>
      </w:r>
      <w:r w:rsidR="002B7146" w:rsidRPr="00030063">
        <w:rPr>
          <w:rFonts w:ascii="Palatino Linotype" w:eastAsia="Palatino Linotype" w:hAnsi="Palatino Linotype" w:cs="Palatino Linotype"/>
        </w:rPr>
        <w:t xml:space="preserve"> artículo 3.97 del Código de Reglamentación Municipal de Metepec la Dirección de Administración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w:t>
      </w:r>
    </w:p>
    <w:p w14:paraId="2E7464AE" w14:textId="1D558E81" w:rsidR="002B7146" w:rsidRPr="00030063" w:rsidRDefault="00FC304C" w:rsidP="00F41AEF">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Entre las atribuciones que se le confieren a la Dirección de Administración, se encuentra la de coordinar, dirigir, evaluar y autorizar los programas, procesos y procedimientos para la elaboración y distribución oportuna de la nómina para el pago del personal que labora en el gobierno y la administración municipal, en</w:t>
      </w:r>
      <w:r w:rsidR="00184B52" w:rsidRPr="00030063">
        <w:rPr>
          <w:rFonts w:ascii="Palatino Linotype" w:eastAsia="Palatino Linotype" w:hAnsi="Palatino Linotype" w:cs="Palatino Linotype"/>
        </w:rPr>
        <w:t xml:space="preserve"> términos d</w:t>
      </w:r>
      <w:r w:rsidRPr="00030063">
        <w:rPr>
          <w:rFonts w:ascii="Palatino Linotype" w:eastAsia="Palatino Linotype" w:hAnsi="Palatino Linotype" w:cs="Palatino Linotype"/>
        </w:rPr>
        <w:t xml:space="preserve">el </w:t>
      </w:r>
      <w:r w:rsidR="00184B52" w:rsidRPr="00030063">
        <w:rPr>
          <w:rFonts w:ascii="Palatino Linotype" w:eastAsia="Palatino Linotype" w:hAnsi="Palatino Linotype" w:cs="Palatino Linotype"/>
        </w:rPr>
        <w:t>artículo 3.98,</w:t>
      </w:r>
      <w:r w:rsidRPr="00030063">
        <w:rPr>
          <w:rFonts w:ascii="Palatino Linotype" w:eastAsia="Palatino Linotype" w:hAnsi="Palatino Linotype" w:cs="Palatino Linotype"/>
        </w:rPr>
        <w:t xml:space="preserve"> fracción XX del Código de Reglamentación Municipal.</w:t>
      </w:r>
    </w:p>
    <w:p w14:paraId="5FF14799" w14:textId="7F9E6342" w:rsidR="00184B52" w:rsidRPr="00030063" w:rsidRDefault="00184B52" w:rsidP="00F41AEF">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Asimismo, no obsta mencionar que la Dirección de Administración se auxilia para el cumplimiento de dicha atribución del Departamento de Nómina adscrito a la Subdirección de Recursos Humanos, como se desprende de los artículos 3.99, fracción I; 3.100, fracción VI; 3.101, fracción II; y 3.103, fracciones VII, VIII y XIV del Código de Reglamentación municipal, a saber:</w:t>
      </w:r>
    </w:p>
    <w:p w14:paraId="7F7953DF" w14:textId="006A5416"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i/>
          <w:iCs/>
          <w:sz w:val="22"/>
          <w:szCs w:val="22"/>
        </w:rPr>
        <w:t>“</w:t>
      </w:r>
      <w:r w:rsidRPr="00030063">
        <w:rPr>
          <w:rFonts w:ascii="Palatino Linotype" w:eastAsia="Palatino Linotype" w:hAnsi="Palatino Linotype" w:cs="Palatino Linotype"/>
          <w:b/>
          <w:bCs/>
          <w:i/>
          <w:iCs/>
          <w:sz w:val="22"/>
          <w:szCs w:val="22"/>
        </w:rPr>
        <w:t>Artículo 3.99</w:t>
      </w:r>
      <w:r w:rsidRPr="00030063">
        <w:rPr>
          <w:rFonts w:ascii="Palatino Linotype" w:eastAsia="Palatino Linotype" w:hAnsi="Palatino Linotype" w:cs="Palatino Linotype"/>
          <w:i/>
          <w:iCs/>
          <w:sz w:val="22"/>
          <w:szCs w:val="22"/>
        </w:rPr>
        <w:t xml:space="preserve">. Para el cumplimiento de sus atribuciones y facultades la Dirección de Administración, contará con: </w:t>
      </w:r>
    </w:p>
    <w:p w14:paraId="15D8289F" w14:textId="2EE417FF"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b/>
          <w:bCs/>
          <w:i/>
          <w:iCs/>
          <w:sz w:val="22"/>
          <w:szCs w:val="22"/>
        </w:rPr>
        <w:t>I.</w:t>
      </w:r>
      <w:r w:rsidRPr="00030063">
        <w:rPr>
          <w:rFonts w:ascii="Palatino Linotype" w:eastAsia="Palatino Linotype" w:hAnsi="Palatino Linotype" w:cs="Palatino Linotype"/>
          <w:i/>
          <w:iCs/>
          <w:sz w:val="22"/>
          <w:szCs w:val="22"/>
        </w:rPr>
        <w:t xml:space="preserve"> Subdirección de Recursos Humanos;</w:t>
      </w:r>
    </w:p>
    <w:p w14:paraId="2FDB2618" w14:textId="716B423C"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i/>
          <w:iCs/>
          <w:sz w:val="22"/>
          <w:szCs w:val="22"/>
        </w:rPr>
        <w:t>...</w:t>
      </w:r>
    </w:p>
    <w:p w14:paraId="2F199C0F" w14:textId="653F6F21"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b/>
          <w:bCs/>
          <w:i/>
          <w:iCs/>
          <w:sz w:val="22"/>
          <w:szCs w:val="22"/>
        </w:rPr>
        <w:lastRenderedPageBreak/>
        <w:t>Artículo 3.100.</w:t>
      </w:r>
      <w:r w:rsidRPr="00030063">
        <w:rPr>
          <w:rFonts w:ascii="Palatino Linotype" w:eastAsia="Palatino Linotype" w:hAnsi="Palatino Linotype" w:cs="Palatino Linotype"/>
          <w:i/>
          <w:iCs/>
          <w:sz w:val="22"/>
          <w:szCs w:val="22"/>
        </w:rPr>
        <w:t xml:space="preserve"> La Subdirección de Recursos Humanos, tiene las siguientes atribuciones:</w:t>
      </w:r>
    </w:p>
    <w:p w14:paraId="35E6C1BB" w14:textId="7C467E05"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i/>
          <w:iCs/>
          <w:sz w:val="22"/>
          <w:szCs w:val="22"/>
        </w:rPr>
        <w:t>...</w:t>
      </w:r>
    </w:p>
    <w:p w14:paraId="18CEAC4B" w14:textId="3C6F7339"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b/>
          <w:bCs/>
          <w:i/>
          <w:iCs/>
          <w:sz w:val="22"/>
          <w:szCs w:val="22"/>
        </w:rPr>
        <w:t>VI</w:t>
      </w:r>
      <w:r w:rsidRPr="00030063">
        <w:rPr>
          <w:rFonts w:ascii="Palatino Linotype" w:eastAsia="Palatino Linotype" w:hAnsi="Palatino Linotype" w:cs="Palatino Linotype"/>
          <w:i/>
          <w:iCs/>
          <w:sz w:val="22"/>
          <w:szCs w:val="22"/>
        </w:rPr>
        <w:t>. Verificar la correcta aplicación en los pagos que se generen por concepto de sueldos y prestaciones, tanto en la elaboración de la nómina como pagos mediante recibo, por concepto de liquidaciones y finiquitos, como cualquier pago realizado por cualquier vía, y que se aplique a través del capítulo 1000;</w:t>
      </w:r>
    </w:p>
    <w:p w14:paraId="737D7DDA" w14:textId="3B49438B"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i/>
          <w:iCs/>
          <w:sz w:val="22"/>
          <w:szCs w:val="22"/>
        </w:rPr>
        <w:t>...</w:t>
      </w:r>
    </w:p>
    <w:p w14:paraId="129A2EC9" w14:textId="2460E84F"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b/>
          <w:bCs/>
          <w:i/>
          <w:iCs/>
          <w:sz w:val="22"/>
          <w:szCs w:val="22"/>
        </w:rPr>
        <w:t>Artículo 3.101</w:t>
      </w:r>
      <w:r w:rsidRPr="00030063">
        <w:rPr>
          <w:rFonts w:ascii="Palatino Linotype" w:eastAsia="Palatino Linotype" w:hAnsi="Palatino Linotype" w:cs="Palatino Linotype"/>
          <w:i/>
          <w:iCs/>
          <w:sz w:val="22"/>
          <w:szCs w:val="22"/>
        </w:rPr>
        <w:t>. Para el eficiente ejercicio de sus funciones, la Subdirección de Recursos Humanos, se auxiliará de las siguientes unidades administrativas:</w:t>
      </w:r>
    </w:p>
    <w:p w14:paraId="4BA8B498" w14:textId="225FF810"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i/>
          <w:iCs/>
          <w:sz w:val="22"/>
          <w:szCs w:val="22"/>
        </w:rPr>
        <w:t>...</w:t>
      </w:r>
    </w:p>
    <w:p w14:paraId="0D59E573" w14:textId="7437CE23"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b/>
          <w:bCs/>
          <w:i/>
          <w:iCs/>
          <w:sz w:val="22"/>
          <w:szCs w:val="22"/>
        </w:rPr>
        <w:t>II</w:t>
      </w:r>
      <w:r w:rsidRPr="00030063">
        <w:rPr>
          <w:rFonts w:ascii="Palatino Linotype" w:eastAsia="Palatino Linotype" w:hAnsi="Palatino Linotype" w:cs="Palatino Linotype"/>
          <w:i/>
          <w:iCs/>
          <w:sz w:val="22"/>
          <w:szCs w:val="22"/>
        </w:rPr>
        <w:t>. Departamento de Nómina.</w:t>
      </w:r>
    </w:p>
    <w:p w14:paraId="48E42945" w14:textId="61A9A778"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i/>
          <w:iCs/>
          <w:sz w:val="22"/>
          <w:szCs w:val="22"/>
        </w:rPr>
        <w:t>...</w:t>
      </w:r>
    </w:p>
    <w:p w14:paraId="159B1861" w14:textId="551767B8"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b/>
          <w:bCs/>
          <w:i/>
          <w:iCs/>
          <w:sz w:val="22"/>
          <w:szCs w:val="22"/>
        </w:rPr>
        <w:t>Artículo 3.103</w:t>
      </w:r>
      <w:r w:rsidRPr="00030063">
        <w:rPr>
          <w:rFonts w:ascii="Palatino Linotype" w:eastAsia="Palatino Linotype" w:hAnsi="Palatino Linotype" w:cs="Palatino Linotype"/>
          <w:i/>
          <w:iCs/>
          <w:sz w:val="22"/>
          <w:szCs w:val="22"/>
        </w:rPr>
        <w:t>. El Departamento de Nómina, tiene las siguientes atribuciones:</w:t>
      </w:r>
    </w:p>
    <w:p w14:paraId="2C19D2AD" w14:textId="29BC4CC5"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i/>
          <w:iCs/>
          <w:sz w:val="22"/>
          <w:szCs w:val="22"/>
        </w:rPr>
        <w:t>...</w:t>
      </w:r>
    </w:p>
    <w:p w14:paraId="3FB14069" w14:textId="59BC2F59"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b/>
          <w:bCs/>
          <w:i/>
          <w:iCs/>
          <w:sz w:val="22"/>
          <w:szCs w:val="22"/>
        </w:rPr>
        <w:t>VII.</w:t>
      </w:r>
      <w:r w:rsidRPr="00030063">
        <w:rPr>
          <w:rFonts w:ascii="Palatino Linotype" w:eastAsia="Palatino Linotype" w:hAnsi="Palatino Linotype" w:cs="Palatino Linotype"/>
          <w:i/>
          <w:iCs/>
          <w:sz w:val="22"/>
          <w:szCs w:val="22"/>
        </w:rPr>
        <w:t xml:space="preserve"> Generar y validar el archivo para el timbrado de los recibos de nómina, que cumplen con los requisitos que establece el Servicio de Administración Tributaria; </w:t>
      </w:r>
      <w:r w:rsidRPr="00030063">
        <w:rPr>
          <w:rFonts w:ascii="Palatino Linotype" w:eastAsia="Palatino Linotype" w:hAnsi="Palatino Linotype" w:cs="Palatino Linotype"/>
          <w:b/>
          <w:bCs/>
          <w:i/>
          <w:iCs/>
          <w:sz w:val="22"/>
          <w:szCs w:val="22"/>
        </w:rPr>
        <w:t>VIII</w:t>
      </w:r>
      <w:r w:rsidRPr="00030063">
        <w:rPr>
          <w:rFonts w:ascii="Palatino Linotype" w:eastAsia="Palatino Linotype" w:hAnsi="Palatino Linotype" w:cs="Palatino Linotype"/>
          <w:i/>
          <w:iCs/>
          <w:sz w:val="22"/>
          <w:szCs w:val="22"/>
        </w:rPr>
        <w:t>. Realizar el timbrado de los archivos XML y la generación del archivo en formato PDF de los recibos de nómina para su impresión;</w:t>
      </w:r>
    </w:p>
    <w:p w14:paraId="209AD8FE" w14:textId="63CA38E9"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i/>
          <w:iCs/>
          <w:sz w:val="22"/>
          <w:szCs w:val="22"/>
        </w:rPr>
        <w:t>...</w:t>
      </w:r>
    </w:p>
    <w:p w14:paraId="014AA03B" w14:textId="1E29A5FE" w:rsidR="00184B52" w:rsidRPr="00030063" w:rsidRDefault="00184B52" w:rsidP="00184B52">
      <w:pPr>
        <w:spacing w:before="120" w:after="120"/>
        <w:ind w:left="851" w:right="902"/>
        <w:jc w:val="both"/>
        <w:rPr>
          <w:rFonts w:ascii="Palatino Linotype" w:eastAsia="Palatino Linotype" w:hAnsi="Palatino Linotype" w:cs="Palatino Linotype"/>
          <w:i/>
          <w:iCs/>
          <w:sz w:val="22"/>
          <w:szCs w:val="22"/>
        </w:rPr>
      </w:pPr>
      <w:r w:rsidRPr="00030063">
        <w:rPr>
          <w:rFonts w:ascii="Palatino Linotype" w:eastAsia="Palatino Linotype" w:hAnsi="Palatino Linotype" w:cs="Palatino Linotype"/>
          <w:b/>
          <w:bCs/>
          <w:i/>
          <w:iCs/>
          <w:sz w:val="22"/>
          <w:szCs w:val="22"/>
        </w:rPr>
        <w:t>XIV</w:t>
      </w:r>
      <w:r w:rsidRPr="00030063">
        <w:rPr>
          <w:rFonts w:ascii="Palatino Linotype" w:eastAsia="Palatino Linotype" w:hAnsi="Palatino Linotype" w:cs="Palatino Linotype"/>
          <w:i/>
          <w:iCs/>
          <w:sz w:val="22"/>
          <w:szCs w:val="22"/>
        </w:rPr>
        <w:t>. Llevar a cabo la digitalización de los recibos y listados de nómina y enviar a la Tesorería Municipal, para que esta a su vez, de cumplimiento a las disposiciones que establecen las autoridades correspondientes.”</w:t>
      </w:r>
    </w:p>
    <w:p w14:paraId="085B63ED" w14:textId="2692E17B" w:rsidR="00D748CF" w:rsidRPr="00030063" w:rsidRDefault="00D748CF" w:rsidP="00D748CF">
      <w:pPr>
        <w:tabs>
          <w:tab w:val="left" w:pos="3544"/>
        </w:tabs>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Con base en lo previo, se colige que la Dirección de Administración, cuenta competencia para conocer de la información que es del interés de la persona solicitante, 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w:t>
      </w:r>
      <w:r w:rsidRPr="00030063">
        <w:rPr>
          <w:rFonts w:ascii="Palatino Linotype" w:eastAsia="Palatino Linotype" w:hAnsi="Palatino Linotype" w:cs="Palatino Linotype"/>
        </w:rPr>
        <w:lastRenderedPageBreak/>
        <w:t>rapidez, gratuidad del procedimiento, auxilio y orientación a las personas solicitantes con el fin de otorgar la protección más amplia de este derecho.</w:t>
      </w:r>
    </w:p>
    <w:p w14:paraId="07CD0D11" w14:textId="77777777" w:rsidR="002776EC" w:rsidRPr="00030063" w:rsidRDefault="002776EC" w:rsidP="002776EC">
      <w:pPr>
        <w:spacing w:before="240" w:after="240" w:line="360" w:lineRule="auto"/>
        <w:ind w:right="51"/>
        <w:jc w:val="both"/>
        <w:rPr>
          <w:rFonts w:ascii="Palatino Linotype" w:eastAsia="Palatino Linotype" w:hAnsi="Palatino Linotype" w:cs="Palatino Linotype"/>
        </w:rPr>
      </w:pPr>
      <w:r w:rsidRPr="00030063">
        <w:rPr>
          <w:rFonts w:ascii="Palatino Linotype" w:eastAsia="Palatino Linotype" w:hAnsi="Palatino Linotype" w:cs="Palatino Linotype"/>
        </w:rPr>
        <w:t>En este sentido, recordemos que en atención a la solicitud el servidor público habilitado manifestó que la información que es del interés de la persona solicitante versa sobre una obligación de transparencia, la cual se encuentra prevista en el artículo 92, fracción VIII de la Ley de Transparencia y Acceso a la Información Pública del Estado de México y Municipios, a saber:</w:t>
      </w:r>
    </w:p>
    <w:p w14:paraId="607AFEDE" w14:textId="77777777" w:rsidR="002776EC" w:rsidRPr="00030063" w:rsidRDefault="002776EC" w:rsidP="002776EC">
      <w:pPr>
        <w:spacing w:before="240" w:after="240"/>
        <w:ind w:left="851" w:right="900"/>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i/>
          <w:sz w:val="22"/>
          <w:szCs w:val="22"/>
        </w:rPr>
        <w:t>“</w:t>
      </w:r>
      <w:r w:rsidRPr="00030063">
        <w:rPr>
          <w:rFonts w:ascii="Palatino Linotype" w:eastAsia="Palatino Linotype" w:hAnsi="Palatino Linotype" w:cs="Palatino Linotype"/>
          <w:b/>
          <w:i/>
          <w:sz w:val="22"/>
          <w:szCs w:val="22"/>
        </w:rPr>
        <w:t>Artículo 92</w:t>
      </w:r>
      <w:r w:rsidRPr="00030063">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990859B" w14:textId="77777777" w:rsidR="002776EC" w:rsidRPr="00030063" w:rsidRDefault="002776EC" w:rsidP="002776EC">
      <w:pPr>
        <w:spacing w:before="240" w:after="240"/>
        <w:ind w:left="1134" w:right="900"/>
        <w:jc w:val="both"/>
        <w:rPr>
          <w:rFonts w:ascii="Palatino Linotype" w:eastAsia="Palatino Linotype" w:hAnsi="Palatino Linotype" w:cs="Palatino Linotype"/>
          <w:b/>
          <w:i/>
          <w:sz w:val="22"/>
          <w:szCs w:val="22"/>
        </w:rPr>
      </w:pPr>
      <w:r w:rsidRPr="00030063">
        <w:rPr>
          <w:rFonts w:ascii="Palatino Linotype" w:eastAsia="Palatino Linotype" w:hAnsi="Palatino Linotype" w:cs="Palatino Linotype"/>
          <w:b/>
          <w:i/>
          <w:sz w:val="22"/>
          <w:szCs w:val="22"/>
        </w:rPr>
        <w:t>…</w:t>
      </w:r>
    </w:p>
    <w:p w14:paraId="686267EB" w14:textId="77777777" w:rsidR="002776EC" w:rsidRPr="00030063" w:rsidRDefault="002776EC" w:rsidP="002776EC">
      <w:pPr>
        <w:spacing w:before="240" w:after="240"/>
        <w:ind w:left="1134" w:right="900"/>
        <w:jc w:val="both"/>
        <w:rPr>
          <w:rFonts w:ascii="Palatino Linotype" w:eastAsia="Palatino Linotype" w:hAnsi="Palatino Linotype" w:cs="Palatino Linotype"/>
          <w:i/>
          <w:sz w:val="22"/>
          <w:szCs w:val="22"/>
        </w:rPr>
      </w:pPr>
      <w:r w:rsidRPr="00030063">
        <w:rPr>
          <w:rFonts w:ascii="Palatino Linotype" w:eastAsia="Palatino Linotype" w:hAnsi="Palatino Linotype" w:cs="Palatino Linotype"/>
          <w:b/>
          <w:i/>
          <w:sz w:val="22"/>
          <w:szCs w:val="22"/>
        </w:rPr>
        <w:t>VIII</w:t>
      </w:r>
      <w:r w:rsidRPr="00030063">
        <w:rPr>
          <w:rFonts w:ascii="Palatino Linotype" w:eastAsia="Palatino Linotype" w:hAnsi="Palatino Linotype" w:cs="Palatino Linotype"/>
          <w:i/>
          <w:sz w:val="22"/>
          <w:szCs w:val="22"/>
        </w:rPr>
        <w:t xml:space="preserve">. </w:t>
      </w:r>
      <w:r w:rsidRPr="00030063">
        <w:rPr>
          <w:rFonts w:ascii="Palatino Linotype" w:eastAsia="Palatino Linotype" w:hAnsi="Palatino Linotype" w:cs="Palatino Linotype"/>
          <w:b/>
          <w:i/>
          <w:sz w:val="22"/>
          <w:szCs w:val="22"/>
        </w:rPr>
        <w:t>La remuneración bruta y neta de todos los servidores públicos</w:t>
      </w:r>
      <w:r w:rsidRPr="00030063">
        <w:rPr>
          <w:rFonts w:ascii="Palatino Linotype" w:eastAsia="Palatino Linotype" w:hAnsi="Palatino Linotype" w:cs="Palatino Linotype"/>
          <w:i/>
          <w:sz w:val="22"/>
          <w:szCs w:val="22"/>
        </w:rPr>
        <w:t xml:space="preserve"> de base o de confianza, de </w:t>
      </w:r>
      <w:r w:rsidRPr="00030063">
        <w:rPr>
          <w:rFonts w:ascii="Palatino Linotype" w:eastAsia="Palatino Linotype" w:hAnsi="Palatino Linotype" w:cs="Palatino Linotype"/>
          <w:b/>
          <w:i/>
          <w:sz w:val="22"/>
          <w:szCs w:val="22"/>
        </w:rPr>
        <w:t>todas las percepciones</w:t>
      </w:r>
      <w:r w:rsidRPr="00030063">
        <w:rPr>
          <w:rFonts w:ascii="Palatino Linotype" w:eastAsia="Palatino Linotype" w:hAnsi="Palatino Linotype" w:cs="Palatino Linotype"/>
          <w:i/>
          <w:sz w:val="22"/>
          <w:szCs w:val="22"/>
        </w:rPr>
        <w:t xml:space="preserve">, incluyendo </w:t>
      </w:r>
      <w:r w:rsidRPr="00030063">
        <w:rPr>
          <w:rFonts w:ascii="Palatino Linotype" w:eastAsia="Palatino Linotype" w:hAnsi="Palatino Linotype" w:cs="Palatino Linotype"/>
          <w:b/>
          <w:i/>
          <w:sz w:val="22"/>
          <w:szCs w:val="22"/>
        </w:rPr>
        <w:t>sueldos, prestaciones, gratificaciones, primas, comisiones, dietas, bonos, estímulos, ingresos y sistemas de compensación</w:t>
      </w:r>
      <w:r w:rsidRPr="00030063">
        <w:rPr>
          <w:rFonts w:ascii="Palatino Linotype" w:eastAsia="Palatino Linotype" w:hAnsi="Palatino Linotype" w:cs="Palatino Linotype"/>
          <w:i/>
          <w:sz w:val="22"/>
          <w:szCs w:val="22"/>
        </w:rPr>
        <w:t>, señalando la periodicidad de dicha remuneración;”</w:t>
      </w:r>
    </w:p>
    <w:p w14:paraId="18B13519" w14:textId="1E21D574" w:rsidR="002776EC" w:rsidRPr="00030063" w:rsidRDefault="002776EC" w:rsidP="00F41AEF">
      <w:pPr>
        <w:spacing w:before="240" w:after="240" w:line="360" w:lineRule="auto"/>
        <w:ind w:right="49"/>
        <w:jc w:val="both"/>
        <w:rPr>
          <w:rFonts w:ascii="Palatino Linotype" w:eastAsia="Calibri" w:hAnsi="Palatino Linotype" w:cs="Arial"/>
        </w:rPr>
      </w:pPr>
      <w:r w:rsidRPr="00030063">
        <w:rPr>
          <w:rFonts w:ascii="Palatino Linotype" w:eastAsia="Calibri" w:hAnsi="Palatino Linotype" w:cs="Arial"/>
        </w:rPr>
        <w:t xml:space="preserve">Como se logra vislumbrar, la Ley de Transparencia y Acceso a la Información Pública del Estado de México y Municipios hace referencia de manera específica a que los Sujetos Obligados deben hacer pública la información relativa a la remuneración que perciben todos sus servidores públicos, así como de todas las percepciones que integran su sueldo o salario, en los respectivos medios electrónicos, siendo en el caso de la entidad a través del portal de Información Pública de Oficio Mexiquense, IPOMEX, cuya dirección electrónica fue proporcionada por el </w:t>
      </w:r>
      <w:r w:rsidRPr="00030063">
        <w:rPr>
          <w:rFonts w:ascii="Palatino Linotype" w:eastAsia="Calibri" w:hAnsi="Palatino Linotype" w:cs="Arial"/>
          <w:b/>
          <w:bCs/>
        </w:rPr>
        <w:t>Sujeto Obligado</w:t>
      </w:r>
      <w:r w:rsidR="007E7704" w:rsidRPr="00030063">
        <w:rPr>
          <w:rFonts w:ascii="Palatino Linotype" w:eastAsia="Calibri" w:hAnsi="Palatino Linotype" w:cs="Arial"/>
        </w:rPr>
        <w:t xml:space="preserve"> para efectos de la consulta.</w:t>
      </w:r>
    </w:p>
    <w:p w14:paraId="2920FA8F" w14:textId="125C1428" w:rsidR="002460F6" w:rsidRPr="00030063" w:rsidRDefault="002460F6" w:rsidP="002460F6">
      <w:pPr>
        <w:tabs>
          <w:tab w:val="left" w:pos="1140"/>
        </w:tabs>
        <w:spacing w:before="240" w:after="240" w:line="360" w:lineRule="auto"/>
        <w:jc w:val="both"/>
        <w:rPr>
          <w:rFonts w:ascii="Palatino Linotype" w:eastAsia="Palatino Linotype" w:hAnsi="Palatino Linotype" w:cs="Palatino Linotype"/>
        </w:rPr>
      </w:pPr>
      <w:r w:rsidRPr="00030063">
        <w:rPr>
          <w:rFonts w:ascii="Palatino Linotype" w:eastAsia="Calibri" w:hAnsi="Palatino Linotype" w:cs="Arial"/>
        </w:rPr>
        <w:lastRenderedPageBreak/>
        <w:t>Cabe señalar que dicha liga se proporcionó a través de un documento digitalizado en formato cerrado</w:t>
      </w:r>
      <w:r w:rsidRPr="00030063">
        <w:rPr>
          <w:rFonts w:ascii="Palatino Linotype" w:eastAsia="Palatino Linotype" w:hAnsi="Palatino Linotype" w:cs="Palatino Linotype"/>
        </w:rPr>
        <w:t xml:space="preserve"> que no permit</w:t>
      </w:r>
      <w:r w:rsidR="00B87058" w:rsidRPr="00030063">
        <w:rPr>
          <w:rFonts w:ascii="Palatino Linotype" w:eastAsia="Palatino Linotype" w:hAnsi="Palatino Linotype" w:cs="Palatino Linotype"/>
        </w:rPr>
        <w:t xml:space="preserve">e </w:t>
      </w:r>
      <w:r w:rsidRPr="00030063">
        <w:rPr>
          <w:rFonts w:ascii="Palatino Linotype" w:eastAsia="Palatino Linotype" w:hAnsi="Palatino Linotype" w:cs="Palatino Linotype"/>
        </w:rPr>
        <w:t xml:space="preserve">editar, modificar o procesar su contenido, es decir, no permite la reutilización de la información o la interoperabilidad de la misma, requiere que la liga electrónica sea capturada carácter por carácter, tarea que se dificulta en gran medida ya que al componerse de diversos caracteres, es decir, letras, números, signos, espacios, etcétera, existe una gran probabilidad de cometer errores en la captura, lo cual implicaría invariablemente la imposibilidad de acceder a la información, por lo que se le insta 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w:t>
      </w:r>
      <w:r w:rsidRPr="00030063">
        <w:rPr>
          <w:rFonts w:ascii="Palatino Linotype" w:eastAsia="Palatino Linotype" w:hAnsi="Palatino Linotype" w:cs="Palatino Linotype"/>
          <w:b/>
          <w:u w:val="single"/>
        </w:rPr>
        <w:t>preferentemente a través de enlaces o hipervínculos, que permitan la conexión directa a la página o sitio en el que se aloja la información, al dar clic al mismo</w:t>
      </w:r>
      <w:r w:rsidRPr="00030063">
        <w:rPr>
          <w:rFonts w:ascii="Palatino Linotype" w:eastAsia="Palatino Linotype" w:hAnsi="Palatino Linotype" w:cs="Palatino Linotype"/>
        </w:rPr>
        <w:t>, con la finalidad de asegurar el acceso a la información que es de su interés.</w:t>
      </w:r>
    </w:p>
    <w:p w14:paraId="53B8ACAC" w14:textId="280FD24C" w:rsidR="002460F6" w:rsidRPr="00030063" w:rsidRDefault="002460F6" w:rsidP="002460F6">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No obstante, de la lectura del motivo de inconformidad hecho valer por la parte </w:t>
      </w:r>
      <w:r w:rsidRPr="00030063">
        <w:rPr>
          <w:rFonts w:ascii="Palatino Linotype" w:eastAsia="Palatino Linotype" w:hAnsi="Palatino Linotype" w:cs="Palatino Linotype"/>
          <w:b/>
        </w:rPr>
        <w:t>Recurrente</w:t>
      </w:r>
      <w:r w:rsidRPr="00030063">
        <w:rPr>
          <w:rFonts w:ascii="Palatino Linotype" w:eastAsia="Palatino Linotype" w:hAnsi="Palatino Linotype" w:cs="Palatino Linotype"/>
        </w:rPr>
        <w:t xml:space="preserve"> se advierte que esta accedió a dicha</w:t>
      </w:r>
      <w:r w:rsidR="00F94318" w:rsidRPr="00030063">
        <w:rPr>
          <w:rFonts w:ascii="Palatino Linotype" w:eastAsia="Palatino Linotype" w:hAnsi="Palatino Linotype" w:cs="Palatino Linotype"/>
        </w:rPr>
        <w:t xml:space="preserve"> </w:t>
      </w:r>
      <w:r w:rsidRPr="00030063">
        <w:rPr>
          <w:rFonts w:ascii="Palatino Linotype" w:eastAsia="Palatino Linotype" w:hAnsi="Palatino Linotype" w:cs="Palatino Linotype"/>
        </w:rPr>
        <w:t>ligas, sin embargo, estas no contienen la información que solicitó.</w:t>
      </w:r>
    </w:p>
    <w:p w14:paraId="0AA15BBE" w14:textId="77777777" w:rsidR="00F94318" w:rsidRPr="00030063" w:rsidRDefault="00F94318" w:rsidP="00F94318">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En este tenor, conviene traer a colación el artículo 161 de la Ley de Transparencia y Acceso a la Información Pública del Estado de México y Municipios</w:t>
      </w:r>
      <w:r w:rsidRPr="00030063">
        <w:rPr>
          <w:rFonts w:ascii="Palatino Linotype" w:eastAsia="Palatino Linotype" w:hAnsi="Palatino Linotype" w:cs="Palatino Linotype"/>
          <w:i/>
        </w:rPr>
        <w:t xml:space="preserve">, </w:t>
      </w:r>
      <w:r w:rsidRPr="00030063">
        <w:rPr>
          <w:rFonts w:ascii="Palatino Linotype" w:eastAsia="Palatino Linotype" w:hAnsi="Palatino Linotype" w:cs="Palatino Linotype"/>
        </w:rPr>
        <w:t xml:space="preserve">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w:t>
      </w:r>
      <w:r w:rsidRPr="00030063">
        <w:rPr>
          <w:rFonts w:ascii="Palatino Linotype" w:eastAsia="Palatino Linotype" w:hAnsi="Palatino Linotype" w:cs="Palatino Linotype"/>
        </w:rPr>
        <w:lastRenderedPageBreak/>
        <w:t>saber al solicitante como podrá consultar, reproducir o adquirir la información, en un plazo no mayor a cinco días hábiles, comprendiendo:</w:t>
      </w:r>
    </w:p>
    <w:p w14:paraId="6B493F65" w14:textId="77777777" w:rsidR="00F94318" w:rsidRPr="00030063" w:rsidRDefault="00F94318" w:rsidP="00F94318">
      <w:pPr>
        <w:spacing w:before="120" w:after="120" w:line="276" w:lineRule="auto"/>
        <w:ind w:left="284" w:right="51"/>
        <w:jc w:val="both"/>
        <w:rPr>
          <w:rFonts w:ascii="Palatino Linotype" w:eastAsia="Palatino Linotype" w:hAnsi="Palatino Linotype" w:cs="Palatino Linotype"/>
        </w:rPr>
      </w:pPr>
      <w:r w:rsidRPr="00030063">
        <w:rPr>
          <w:rFonts w:ascii="Palatino Linotype" w:eastAsia="Palatino Linotype" w:hAnsi="Palatino Linotype" w:cs="Palatino Linotype"/>
        </w:rPr>
        <w:t>a) La fuente</w:t>
      </w:r>
    </w:p>
    <w:p w14:paraId="7411E872" w14:textId="77777777" w:rsidR="00F94318" w:rsidRPr="00030063" w:rsidRDefault="00F94318" w:rsidP="00F94318">
      <w:pPr>
        <w:spacing w:before="120" w:after="120" w:line="276" w:lineRule="auto"/>
        <w:ind w:left="284" w:right="51"/>
        <w:jc w:val="both"/>
        <w:rPr>
          <w:rFonts w:ascii="Palatino Linotype" w:eastAsia="Palatino Linotype" w:hAnsi="Palatino Linotype" w:cs="Palatino Linotype"/>
        </w:rPr>
      </w:pPr>
      <w:r w:rsidRPr="00030063">
        <w:rPr>
          <w:rFonts w:ascii="Palatino Linotype" w:eastAsia="Palatino Linotype" w:hAnsi="Palatino Linotype" w:cs="Palatino Linotype"/>
        </w:rPr>
        <w:t>b) El lugar y</w:t>
      </w:r>
    </w:p>
    <w:p w14:paraId="6E0F46D6" w14:textId="77777777" w:rsidR="00F94318" w:rsidRPr="00030063" w:rsidRDefault="00F94318" w:rsidP="00F94318">
      <w:pPr>
        <w:spacing w:before="120" w:after="120" w:line="276" w:lineRule="auto"/>
        <w:ind w:left="284" w:right="51"/>
        <w:jc w:val="both"/>
        <w:rPr>
          <w:rFonts w:ascii="Palatino Linotype" w:eastAsia="Palatino Linotype" w:hAnsi="Palatino Linotype" w:cs="Palatino Linotype"/>
        </w:rPr>
      </w:pPr>
      <w:r w:rsidRPr="00030063">
        <w:rPr>
          <w:rFonts w:ascii="Palatino Linotype" w:eastAsia="Palatino Linotype" w:hAnsi="Palatino Linotype" w:cs="Palatino Linotype"/>
        </w:rPr>
        <w:t>c) La forma</w:t>
      </w:r>
    </w:p>
    <w:p w14:paraId="5B1D6F75" w14:textId="77777777" w:rsidR="00F94318" w:rsidRPr="00030063" w:rsidRDefault="00F94318" w:rsidP="00F94318">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Asimismo, se establece que la fuente de la información deberá ser:</w:t>
      </w:r>
    </w:p>
    <w:p w14:paraId="1349D51E" w14:textId="77777777" w:rsidR="00F94318" w:rsidRPr="00030063" w:rsidRDefault="00F94318" w:rsidP="00F94318">
      <w:pPr>
        <w:spacing w:before="120" w:after="120" w:line="276" w:lineRule="auto"/>
        <w:ind w:left="284" w:right="51"/>
        <w:jc w:val="both"/>
        <w:rPr>
          <w:rFonts w:ascii="Palatino Linotype" w:eastAsia="Palatino Linotype" w:hAnsi="Palatino Linotype" w:cs="Palatino Linotype"/>
        </w:rPr>
      </w:pPr>
      <w:r w:rsidRPr="00030063">
        <w:rPr>
          <w:rFonts w:ascii="Palatino Linotype" w:eastAsia="Palatino Linotype" w:hAnsi="Palatino Linotype" w:cs="Palatino Linotype"/>
        </w:rPr>
        <w:t>a) Precisa</w:t>
      </w:r>
    </w:p>
    <w:p w14:paraId="12818BCF" w14:textId="77777777" w:rsidR="00F94318" w:rsidRPr="00030063" w:rsidRDefault="00F94318" w:rsidP="00F94318">
      <w:pPr>
        <w:spacing w:before="120" w:after="120" w:line="276" w:lineRule="auto"/>
        <w:ind w:left="284" w:right="51"/>
        <w:jc w:val="both"/>
        <w:rPr>
          <w:rFonts w:ascii="Palatino Linotype" w:eastAsia="Palatino Linotype" w:hAnsi="Palatino Linotype" w:cs="Palatino Linotype"/>
        </w:rPr>
      </w:pPr>
      <w:r w:rsidRPr="00030063">
        <w:rPr>
          <w:rFonts w:ascii="Palatino Linotype" w:eastAsia="Palatino Linotype" w:hAnsi="Palatino Linotype" w:cs="Palatino Linotype"/>
        </w:rPr>
        <w:t>b) Concreta</w:t>
      </w:r>
    </w:p>
    <w:p w14:paraId="0EDD489D" w14:textId="77777777" w:rsidR="00F94318" w:rsidRPr="00030063" w:rsidRDefault="00F94318" w:rsidP="00F94318">
      <w:pPr>
        <w:spacing w:before="120" w:after="120" w:line="276" w:lineRule="auto"/>
        <w:ind w:left="284" w:right="51"/>
        <w:jc w:val="both"/>
        <w:rPr>
          <w:rFonts w:ascii="Palatino Linotype" w:eastAsia="Palatino Linotype" w:hAnsi="Palatino Linotype" w:cs="Palatino Linotype"/>
        </w:rPr>
      </w:pPr>
      <w:r w:rsidRPr="00030063">
        <w:rPr>
          <w:rFonts w:ascii="Palatino Linotype" w:eastAsia="Palatino Linotype" w:hAnsi="Palatino Linotype" w:cs="Palatino Linotype"/>
        </w:rPr>
        <w:t>c) Y no debe implicar que el solicitante realice una búsqueda en toda la información que se encuentre disponible.</w:t>
      </w:r>
    </w:p>
    <w:p w14:paraId="5A375C4A" w14:textId="77777777" w:rsidR="00F94318" w:rsidRPr="00030063" w:rsidRDefault="00F94318" w:rsidP="00F94318">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Imperativos legales que establecen el procedimiento que deben seguir los Sujetos Obligados para que pueda tomarse como válida su orientación sobre la forma en que puede consultar la información requerida.</w:t>
      </w:r>
    </w:p>
    <w:p w14:paraId="18DC7800" w14:textId="227DE519" w:rsidR="00F94318" w:rsidRPr="00030063" w:rsidRDefault="00F94318" w:rsidP="00F94318">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Por consiguiente, este Organismo Garante procedió a realizar la consulta de la información a través de las ligas electrónicas proporcionadas por el </w:t>
      </w:r>
      <w:r w:rsidRPr="00030063">
        <w:rPr>
          <w:rFonts w:ascii="Palatino Linotype" w:eastAsia="Palatino Linotype" w:hAnsi="Palatino Linotype" w:cs="Palatino Linotype"/>
          <w:b/>
        </w:rPr>
        <w:t>Sujeto Obligado</w:t>
      </w:r>
      <w:r w:rsidRPr="00030063">
        <w:rPr>
          <w:rFonts w:ascii="Palatino Linotype" w:eastAsia="Palatino Linotype" w:hAnsi="Palatino Linotype" w:cs="Palatino Linotype"/>
        </w:rPr>
        <w:t>, obteniendo lo siguiente:</w:t>
      </w:r>
    </w:p>
    <w:p w14:paraId="44E6D7DD" w14:textId="5C10F043" w:rsidR="00E75463" w:rsidRPr="00030063" w:rsidRDefault="00E75463" w:rsidP="00F94318">
      <w:pPr>
        <w:spacing w:before="240" w:after="240" w:line="360" w:lineRule="auto"/>
        <w:jc w:val="both"/>
        <w:rPr>
          <w:rFonts w:ascii="Palatino Linotype" w:eastAsia="Palatino Linotype" w:hAnsi="Palatino Linotype" w:cs="Palatino Linotype"/>
        </w:rPr>
      </w:pPr>
      <w:r w:rsidRPr="00030063">
        <w:rPr>
          <w:noProof/>
        </w:rPr>
        <w:lastRenderedPageBreak/>
        <w:drawing>
          <wp:inline distT="0" distB="0" distL="0" distR="0" wp14:anchorId="10DE1C46" wp14:editId="7EAB23EF">
            <wp:extent cx="5612130" cy="3551555"/>
            <wp:effectExtent l="0" t="0" r="7620" b="0"/>
            <wp:docPr id="7020707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70737" name=""/>
                    <pic:cNvPicPr/>
                  </pic:nvPicPr>
                  <pic:blipFill>
                    <a:blip r:embed="rId9"/>
                    <a:stretch>
                      <a:fillRect/>
                    </a:stretch>
                  </pic:blipFill>
                  <pic:spPr>
                    <a:xfrm>
                      <a:off x="0" y="0"/>
                      <a:ext cx="5612130" cy="3551555"/>
                    </a:xfrm>
                    <a:prstGeom prst="rect">
                      <a:avLst/>
                    </a:prstGeom>
                  </pic:spPr>
                </pic:pic>
              </a:graphicData>
            </a:graphic>
          </wp:inline>
        </w:drawing>
      </w:r>
    </w:p>
    <w:p w14:paraId="23087D42" w14:textId="77777777" w:rsidR="00E75463" w:rsidRPr="00030063" w:rsidRDefault="00F116C2" w:rsidP="00F41AEF">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 </w:t>
      </w:r>
    </w:p>
    <w:p w14:paraId="2ED539C9" w14:textId="6F39A998" w:rsidR="00E75463" w:rsidRPr="00030063" w:rsidRDefault="00E75463" w:rsidP="00F41AEF">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Como </w:t>
      </w:r>
      <w:r w:rsidR="00B87058" w:rsidRPr="00030063">
        <w:rPr>
          <w:rFonts w:ascii="Palatino Linotype" w:eastAsia="Palatino Linotype" w:hAnsi="Palatino Linotype" w:cs="Palatino Linotype"/>
        </w:rPr>
        <w:t>se observa,</w:t>
      </w:r>
      <w:r w:rsidRPr="00030063">
        <w:rPr>
          <w:rFonts w:ascii="Palatino Linotype" w:eastAsia="Palatino Linotype" w:hAnsi="Palatino Linotype" w:cs="Palatino Linotype"/>
        </w:rPr>
        <w:t xml:space="preserve"> la liga electrónica </w:t>
      </w:r>
      <w:r w:rsidR="00B87058" w:rsidRPr="00030063">
        <w:rPr>
          <w:rFonts w:ascii="Palatino Linotype" w:eastAsia="Palatino Linotype" w:hAnsi="Palatino Linotype" w:cs="Palatino Linotype"/>
        </w:rPr>
        <w:t xml:space="preserve">proporcionada </w:t>
      </w:r>
      <w:r w:rsidRPr="00030063">
        <w:rPr>
          <w:rFonts w:ascii="Palatino Linotype" w:eastAsia="Palatino Linotype" w:hAnsi="Palatino Linotype" w:cs="Palatino Linotype"/>
        </w:rPr>
        <w:t xml:space="preserve">dirige a la información relativa a las remuneraciones de los servidores públicos, sin embargo, es preciso mencionar que </w:t>
      </w:r>
      <w:r w:rsidRPr="00030063">
        <w:rPr>
          <w:rFonts w:ascii="Palatino Linotype" w:eastAsia="Palatino Linotype" w:hAnsi="Palatino Linotype" w:cs="Palatino Linotype"/>
          <w:b/>
          <w:bCs/>
          <w:u w:val="single"/>
        </w:rPr>
        <w:t>NO contiene el recibo de nómina digitalizado</w:t>
      </w:r>
      <w:r w:rsidRPr="00030063">
        <w:rPr>
          <w:rFonts w:ascii="Palatino Linotype" w:eastAsia="Palatino Linotype" w:hAnsi="Palatino Linotype" w:cs="Palatino Linotype"/>
        </w:rPr>
        <w:t xml:space="preserve">, como refirió la parte </w:t>
      </w:r>
      <w:r w:rsidRPr="00030063">
        <w:rPr>
          <w:rFonts w:ascii="Palatino Linotype" w:eastAsia="Palatino Linotype" w:hAnsi="Palatino Linotype" w:cs="Palatino Linotype"/>
          <w:b/>
          <w:bCs/>
        </w:rPr>
        <w:t xml:space="preserve">Recurrente, </w:t>
      </w:r>
      <w:r w:rsidRPr="00030063">
        <w:rPr>
          <w:rFonts w:ascii="Palatino Linotype" w:eastAsia="Palatino Linotype" w:hAnsi="Palatino Linotype" w:cs="Palatino Linotype"/>
        </w:rPr>
        <w:t>en virtud de que la publicación de esta información se realiza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cuyos criterios adjetivos de formato, los cuales</w:t>
      </w:r>
      <w:r w:rsidRPr="00030063">
        <w:t xml:space="preserve"> </w:t>
      </w:r>
      <w:r w:rsidRPr="00030063">
        <w:rPr>
          <w:rFonts w:ascii="Palatino Linotype" w:eastAsia="Palatino Linotype" w:hAnsi="Palatino Linotype" w:cs="Palatino Linotype"/>
        </w:rPr>
        <w:t xml:space="preserve">incluyen todos los campos </w:t>
      </w:r>
      <w:r w:rsidRPr="00030063">
        <w:rPr>
          <w:rFonts w:ascii="Palatino Linotype" w:eastAsia="Palatino Linotype" w:hAnsi="Palatino Linotype" w:cs="Palatino Linotype"/>
        </w:rPr>
        <w:lastRenderedPageBreak/>
        <w:t>especificados en los criterios sustantivos de contenido, se insertan a continuación para mejor referencia:</w:t>
      </w:r>
    </w:p>
    <w:p w14:paraId="29707660" w14:textId="63CB4FE1" w:rsidR="00941F49" w:rsidRPr="00030063" w:rsidRDefault="00E75463" w:rsidP="00F41AEF">
      <w:pPr>
        <w:spacing w:before="240" w:after="240" w:line="360" w:lineRule="auto"/>
        <w:ind w:right="49"/>
        <w:jc w:val="both"/>
        <w:rPr>
          <w:noProof/>
        </w:rPr>
      </w:pPr>
      <w:r w:rsidRPr="00030063">
        <w:rPr>
          <w:noProof/>
        </w:rPr>
        <w:drawing>
          <wp:inline distT="0" distB="0" distL="0" distR="0" wp14:anchorId="48F4029E" wp14:editId="0EF70465">
            <wp:extent cx="5612130" cy="3000375"/>
            <wp:effectExtent l="0" t="0" r="7620" b="9525"/>
            <wp:docPr id="4902255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25542" name=""/>
                    <pic:cNvPicPr/>
                  </pic:nvPicPr>
                  <pic:blipFill>
                    <a:blip r:embed="rId10"/>
                    <a:stretch>
                      <a:fillRect/>
                    </a:stretch>
                  </pic:blipFill>
                  <pic:spPr>
                    <a:xfrm>
                      <a:off x="0" y="0"/>
                      <a:ext cx="5612130" cy="3000375"/>
                    </a:xfrm>
                    <a:prstGeom prst="rect">
                      <a:avLst/>
                    </a:prstGeom>
                  </pic:spPr>
                </pic:pic>
              </a:graphicData>
            </a:graphic>
          </wp:inline>
        </w:drawing>
      </w:r>
      <w:r w:rsidRPr="00030063">
        <w:rPr>
          <w:noProof/>
        </w:rPr>
        <w:t xml:space="preserve"> </w:t>
      </w:r>
      <w:r w:rsidR="00941F49" w:rsidRPr="00030063">
        <w:rPr>
          <w:noProof/>
        </w:rPr>
        <w:drawing>
          <wp:inline distT="0" distB="0" distL="0" distR="0" wp14:anchorId="34202CF4" wp14:editId="26FD4BF5">
            <wp:extent cx="5610860" cy="3721396"/>
            <wp:effectExtent l="0" t="0" r="8890" b="0"/>
            <wp:docPr id="552488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88552" name=""/>
                    <pic:cNvPicPr/>
                  </pic:nvPicPr>
                  <pic:blipFill rotWithShape="1">
                    <a:blip r:embed="rId11"/>
                    <a:srcRect b="28058"/>
                    <a:stretch>
                      <a:fillRect/>
                    </a:stretch>
                  </pic:blipFill>
                  <pic:spPr bwMode="auto">
                    <a:xfrm>
                      <a:off x="0" y="0"/>
                      <a:ext cx="5612130" cy="3722238"/>
                    </a:xfrm>
                    <a:prstGeom prst="rect">
                      <a:avLst/>
                    </a:prstGeom>
                    <a:ln>
                      <a:noFill/>
                    </a:ln>
                    <a:extLst>
                      <a:ext uri="{53640926-AAD7-44D8-BBD7-CCE9431645EC}">
                        <a14:shadowObscured xmlns:a14="http://schemas.microsoft.com/office/drawing/2010/main"/>
                      </a:ext>
                    </a:extLst>
                  </pic:spPr>
                </pic:pic>
              </a:graphicData>
            </a:graphic>
          </wp:inline>
        </w:drawing>
      </w:r>
    </w:p>
    <w:p w14:paraId="145F7DF6" w14:textId="5ADE9F73" w:rsidR="00E75463" w:rsidRPr="00030063" w:rsidRDefault="00E75463" w:rsidP="00F41AEF">
      <w:pPr>
        <w:spacing w:before="240" w:after="240" w:line="360" w:lineRule="auto"/>
        <w:ind w:right="49"/>
        <w:jc w:val="both"/>
        <w:rPr>
          <w:noProof/>
        </w:rPr>
      </w:pPr>
      <w:r w:rsidRPr="00030063">
        <w:rPr>
          <w:noProof/>
        </w:rPr>
        <w:lastRenderedPageBreak/>
        <w:drawing>
          <wp:inline distT="0" distB="0" distL="0" distR="0" wp14:anchorId="378E36CE" wp14:editId="5B567D3E">
            <wp:extent cx="5610816" cy="1260859"/>
            <wp:effectExtent l="0" t="0" r="0" b="0"/>
            <wp:docPr id="1118862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88552" name=""/>
                    <pic:cNvPicPr/>
                  </pic:nvPicPr>
                  <pic:blipFill rotWithShape="1">
                    <a:blip r:embed="rId11"/>
                    <a:srcRect t="75625"/>
                    <a:stretch>
                      <a:fillRect/>
                    </a:stretch>
                  </pic:blipFill>
                  <pic:spPr bwMode="auto">
                    <a:xfrm>
                      <a:off x="0" y="0"/>
                      <a:ext cx="5612130" cy="1261154"/>
                    </a:xfrm>
                    <a:prstGeom prst="rect">
                      <a:avLst/>
                    </a:prstGeom>
                    <a:ln>
                      <a:noFill/>
                    </a:ln>
                    <a:extLst>
                      <a:ext uri="{53640926-AAD7-44D8-BBD7-CCE9431645EC}">
                        <a14:shadowObscured xmlns:a14="http://schemas.microsoft.com/office/drawing/2010/main"/>
                      </a:ext>
                    </a:extLst>
                  </pic:spPr>
                </pic:pic>
              </a:graphicData>
            </a:graphic>
          </wp:inline>
        </w:drawing>
      </w:r>
      <w:r w:rsidRPr="00030063">
        <w:rPr>
          <w:noProof/>
        </w:rPr>
        <w:t xml:space="preserve"> </w:t>
      </w:r>
      <w:r w:rsidRPr="00030063">
        <w:rPr>
          <w:noProof/>
        </w:rPr>
        <w:drawing>
          <wp:inline distT="0" distB="0" distL="0" distR="0" wp14:anchorId="3C80CDD8" wp14:editId="4018DA97">
            <wp:extent cx="5612130" cy="1289050"/>
            <wp:effectExtent l="0" t="0" r="7620" b="6350"/>
            <wp:docPr id="3663059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05912" name=""/>
                    <pic:cNvPicPr/>
                  </pic:nvPicPr>
                  <pic:blipFill>
                    <a:blip r:embed="rId12"/>
                    <a:stretch>
                      <a:fillRect/>
                    </a:stretch>
                  </pic:blipFill>
                  <pic:spPr>
                    <a:xfrm>
                      <a:off x="0" y="0"/>
                      <a:ext cx="5612130" cy="1289050"/>
                    </a:xfrm>
                    <a:prstGeom prst="rect">
                      <a:avLst/>
                    </a:prstGeom>
                  </pic:spPr>
                </pic:pic>
              </a:graphicData>
            </a:graphic>
          </wp:inline>
        </w:drawing>
      </w:r>
      <w:r w:rsidRPr="00030063">
        <w:rPr>
          <w:noProof/>
        </w:rPr>
        <w:t xml:space="preserve"> </w:t>
      </w:r>
      <w:r w:rsidRPr="00030063">
        <w:rPr>
          <w:noProof/>
        </w:rPr>
        <w:drawing>
          <wp:inline distT="0" distB="0" distL="0" distR="0" wp14:anchorId="046B4985" wp14:editId="6971F9E9">
            <wp:extent cx="5612130" cy="3231515"/>
            <wp:effectExtent l="0" t="0" r="7620" b="6985"/>
            <wp:docPr id="14184480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448018" name=""/>
                    <pic:cNvPicPr/>
                  </pic:nvPicPr>
                  <pic:blipFill>
                    <a:blip r:embed="rId13"/>
                    <a:stretch>
                      <a:fillRect/>
                    </a:stretch>
                  </pic:blipFill>
                  <pic:spPr>
                    <a:xfrm>
                      <a:off x="0" y="0"/>
                      <a:ext cx="5612130" cy="3231515"/>
                    </a:xfrm>
                    <a:prstGeom prst="rect">
                      <a:avLst/>
                    </a:prstGeom>
                  </pic:spPr>
                </pic:pic>
              </a:graphicData>
            </a:graphic>
          </wp:inline>
        </w:drawing>
      </w:r>
    </w:p>
    <w:p w14:paraId="456308C6" w14:textId="5CFA28DD" w:rsidR="00941F49" w:rsidRPr="00030063" w:rsidRDefault="00941F49" w:rsidP="00F41AEF">
      <w:pPr>
        <w:spacing w:before="240" w:after="240" w:line="360" w:lineRule="auto"/>
        <w:ind w:right="49"/>
        <w:jc w:val="both"/>
        <w:rPr>
          <w:rFonts w:ascii="Palatino Linotype" w:hAnsi="Palatino Linotype"/>
          <w:noProof/>
        </w:rPr>
      </w:pPr>
      <w:r w:rsidRPr="00030063">
        <w:rPr>
          <w:rFonts w:ascii="Palatino Linotype" w:hAnsi="Palatino Linotype"/>
          <w:noProof/>
        </w:rPr>
        <w:t xml:space="preserve">En esta linea de pensamiento se colige que el </w:t>
      </w:r>
      <w:r w:rsidRPr="00030063">
        <w:rPr>
          <w:rFonts w:ascii="Palatino Linotype" w:hAnsi="Palatino Linotype"/>
          <w:b/>
          <w:bCs/>
          <w:noProof/>
        </w:rPr>
        <w:t xml:space="preserve">Sujeto Obligado </w:t>
      </w:r>
      <w:r w:rsidRPr="00030063">
        <w:rPr>
          <w:rFonts w:ascii="Palatino Linotype" w:hAnsi="Palatino Linotype"/>
          <w:noProof/>
        </w:rPr>
        <w:t xml:space="preserve">no garantizó el Derecho Humano de acceso a la información de la parte </w:t>
      </w:r>
      <w:r w:rsidR="00A5503C" w:rsidRPr="00030063">
        <w:rPr>
          <w:rFonts w:ascii="Palatino Linotype" w:hAnsi="Palatino Linotype"/>
          <w:b/>
          <w:bCs/>
          <w:noProof/>
        </w:rPr>
        <w:t xml:space="preserve">Recurrente </w:t>
      </w:r>
      <w:r w:rsidR="00A5503C" w:rsidRPr="00030063">
        <w:rPr>
          <w:rFonts w:ascii="Palatino Linotype" w:hAnsi="Palatino Linotype"/>
          <w:noProof/>
        </w:rPr>
        <w:t xml:space="preserve">al no haber hecho entrega de los documentos que fueron requeridos, y para tales efectos, es </w:t>
      </w:r>
      <w:r w:rsidR="00A5503C" w:rsidRPr="00030063">
        <w:rPr>
          <w:rFonts w:ascii="Palatino Linotype" w:hAnsi="Palatino Linotype"/>
          <w:noProof/>
        </w:rPr>
        <w:lastRenderedPageBreak/>
        <w:t>necesario que haga entrega del soporte documental correspondiente en versión pública de conformudad con el considerando siguiente.</w:t>
      </w:r>
    </w:p>
    <w:p w14:paraId="60726A71" w14:textId="122C1D5D" w:rsidR="00D305F0" w:rsidRPr="00030063" w:rsidRDefault="00A5503C" w:rsidP="00D305F0">
      <w:pPr>
        <w:spacing w:before="240" w:after="240" w:line="360" w:lineRule="auto"/>
        <w:ind w:right="49"/>
        <w:jc w:val="both"/>
        <w:rPr>
          <w:rFonts w:ascii="Palatino Linotype" w:eastAsia="Palatino Linotype" w:hAnsi="Palatino Linotype" w:cs="Palatino Linotype"/>
        </w:rPr>
      </w:pPr>
      <w:r w:rsidRPr="00030063">
        <w:rPr>
          <w:rFonts w:ascii="Palatino Linotype" w:hAnsi="Palatino Linotype"/>
          <w:noProof/>
        </w:rPr>
        <w:t>Además, no debe perderse de vista que la persona solicitante requirió, especificamente, los recibos de nominaa de los integrantes del cabiddo así como los directores de area</w:t>
      </w:r>
      <w:r w:rsidR="00B87058" w:rsidRPr="00030063">
        <w:rPr>
          <w:rFonts w:ascii="Palatino Linotype" w:hAnsi="Palatino Linotype"/>
          <w:noProof/>
        </w:rPr>
        <w:t>,</w:t>
      </w:r>
      <w:r w:rsidRPr="00030063">
        <w:rPr>
          <w:rFonts w:ascii="Palatino Linotype" w:hAnsi="Palatino Linotype"/>
          <w:noProof/>
        </w:rPr>
        <w:t xml:space="preserve"> de la segunda queincena de abril de dos mil veinticinco,</w:t>
      </w:r>
      <w:r w:rsidR="00D305F0" w:rsidRPr="00030063">
        <w:rPr>
          <w:rFonts w:ascii="Palatino Linotype" w:hAnsi="Palatino Linotype"/>
          <w:noProof/>
        </w:rPr>
        <w:t xml:space="preserve"> </w:t>
      </w:r>
      <w:r w:rsidR="00D305F0" w:rsidRPr="00030063">
        <w:rPr>
          <w:rFonts w:ascii="Palatino Linotype" w:eastAsia="Palatino Linotype" w:hAnsi="Palatino Linotype" w:cs="Palatino Linotype"/>
        </w:rPr>
        <w:t>por lo que conviene referir que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"recibos o comprobantes de pago", los cuales constituyen un instrumento mediante el cual el sujeto obligado acredita las remuneraciones al personal y, que de acuerdo al uso implantado en la colectividad se denominan "recibos de nómina".</w:t>
      </w:r>
    </w:p>
    <w:p w14:paraId="206A64F8" w14:textId="77777777" w:rsidR="00D305F0" w:rsidRPr="00030063" w:rsidRDefault="00D305F0" w:rsidP="00D305F0">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A efecto de robustecer lo anterior, es preciso hacer alusión, en primera instancia, a lo establecido en las normas de carácter general del Manual Único de Contabilidad Gubernamental para las Dependencias y Entidades Públicas del Gobierno y Municipios del Estado de México</w:t>
      </w:r>
      <w:r w:rsidRPr="00030063">
        <w:rPr>
          <w:rFonts w:ascii="Palatino Linotype" w:eastAsia="Palatino Linotype" w:hAnsi="Palatino Linotype" w:cs="Palatino Linotype"/>
          <w:i/>
        </w:rPr>
        <w:t xml:space="preserve">,  </w:t>
      </w:r>
      <w:r w:rsidRPr="00030063">
        <w:rPr>
          <w:rFonts w:ascii="Palatino Linotype" w:eastAsia="Palatino Linotype" w:hAnsi="Palatino Linotype" w:cs="Palatino Linotype"/>
        </w:rPr>
        <w:t xml:space="preserve">en donde se señala que el Régimen Fiscal para las entidades públicas es el correspondiente a </w:t>
      </w:r>
      <w:r w:rsidRPr="00030063">
        <w:rPr>
          <w:rFonts w:ascii="Palatino Linotype" w:eastAsia="Palatino Linotype" w:hAnsi="Palatino Linotype" w:cs="Palatino Linotype"/>
          <w:i/>
        </w:rPr>
        <w:t xml:space="preserve">personas morales con fines no lucrativos, </w:t>
      </w:r>
      <w:r w:rsidRPr="00030063">
        <w:rPr>
          <w:rFonts w:ascii="Palatino Linotype" w:eastAsia="Palatino Linotype" w:hAnsi="Palatino Linotype" w:cs="Palatino Linotype"/>
        </w:rPr>
        <w:t>y en segundo lugar remitirnos al párrafo séptimo del artículo 86 del Título III del Régimen de las Personas Morales con fines no lucrativos, de la Ley del Impuesto Sobre la Renta</w:t>
      </w:r>
      <w:r w:rsidRPr="00030063">
        <w:rPr>
          <w:rFonts w:ascii="Palatino Linotype" w:eastAsia="Palatino Linotype" w:hAnsi="Palatino Linotype" w:cs="Palatino Linotype"/>
          <w:i/>
        </w:rPr>
        <w:t xml:space="preserve">, </w:t>
      </w:r>
      <w:r w:rsidRPr="00030063">
        <w:rPr>
          <w:rFonts w:ascii="Palatino Linotype" w:eastAsia="Palatino Linotype" w:hAnsi="Palatino Linotype" w:cs="Palatino Linotype"/>
        </w:rPr>
        <w:t>que a la letra señala lo siguiente:</w:t>
      </w:r>
    </w:p>
    <w:p w14:paraId="2CB0317F" w14:textId="77777777" w:rsidR="00D305F0" w:rsidRPr="00030063" w:rsidRDefault="00D305F0" w:rsidP="00D305F0">
      <w:pPr>
        <w:spacing w:before="120" w:after="120"/>
        <w:ind w:left="851" w:right="902"/>
        <w:jc w:val="both"/>
        <w:rPr>
          <w:rFonts w:ascii="Palatino Linotype" w:eastAsia="Palatino Linotype" w:hAnsi="Palatino Linotype" w:cs="Palatino Linotype"/>
          <w:b/>
          <w:i/>
          <w:sz w:val="22"/>
        </w:rPr>
      </w:pPr>
      <w:r w:rsidRPr="00030063">
        <w:rPr>
          <w:rFonts w:ascii="Palatino Linotype" w:eastAsia="Palatino Linotype" w:hAnsi="Palatino Linotype" w:cs="Palatino Linotype"/>
          <w:sz w:val="22"/>
        </w:rPr>
        <w:t xml:space="preserve"> </w:t>
      </w:r>
      <w:r w:rsidRPr="00030063">
        <w:rPr>
          <w:rFonts w:ascii="Palatino Linotype" w:eastAsia="Palatino Linotype" w:hAnsi="Palatino Linotype" w:cs="Palatino Linotype"/>
          <w:b/>
          <w:i/>
          <w:sz w:val="22"/>
        </w:rPr>
        <w:t>“</w:t>
      </w:r>
      <w:proofErr w:type="gramStart"/>
      <w:r w:rsidRPr="00030063">
        <w:rPr>
          <w:rFonts w:ascii="Palatino Linotype" w:eastAsia="Palatino Linotype" w:hAnsi="Palatino Linotype" w:cs="Palatino Linotype"/>
          <w:b/>
          <w:i/>
          <w:sz w:val="22"/>
        </w:rPr>
        <w:t>Artículo.-</w:t>
      </w:r>
      <w:proofErr w:type="gramEnd"/>
      <w:r w:rsidRPr="00030063">
        <w:rPr>
          <w:rFonts w:ascii="Palatino Linotype" w:eastAsia="Palatino Linotype" w:hAnsi="Palatino Linotype" w:cs="Palatino Linotype"/>
          <w:b/>
          <w:i/>
          <w:sz w:val="22"/>
        </w:rPr>
        <w:t xml:space="preserve"> 86 </w:t>
      </w:r>
    </w:p>
    <w:p w14:paraId="7E679FD6" w14:textId="77777777" w:rsidR="00D305F0" w:rsidRPr="00030063" w:rsidRDefault="00D305F0" w:rsidP="00D305F0">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w:t>
      </w:r>
    </w:p>
    <w:p w14:paraId="686BD89D" w14:textId="77777777" w:rsidR="00D305F0" w:rsidRPr="00030063" w:rsidRDefault="00D305F0" w:rsidP="00D305F0">
      <w:pPr>
        <w:spacing w:before="120" w:after="120"/>
        <w:ind w:left="851" w:right="902"/>
        <w:jc w:val="both"/>
        <w:rPr>
          <w:rFonts w:ascii="Palatino Linotype" w:eastAsia="Palatino Linotype" w:hAnsi="Palatino Linotype" w:cs="Palatino Linotype"/>
          <w:sz w:val="22"/>
        </w:rPr>
      </w:pPr>
      <w:r w:rsidRPr="00030063">
        <w:rPr>
          <w:rFonts w:ascii="Palatino Linotype" w:eastAsia="Palatino Linotype" w:hAnsi="Palatino Linotype" w:cs="Palatino Linotype"/>
          <w:i/>
          <w:sz w:val="22"/>
        </w:rPr>
        <w:t xml:space="preserve">Los partidos y asociaciones políticas, legalmente reconocidos, la Federación, las entidades federativas, </w:t>
      </w:r>
      <w:r w:rsidRPr="00030063">
        <w:rPr>
          <w:rFonts w:ascii="Palatino Linotype" w:eastAsia="Palatino Linotype" w:hAnsi="Palatino Linotype" w:cs="Palatino Linotype"/>
          <w:b/>
          <w:i/>
          <w:sz w:val="22"/>
        </w:rPr>
        <w:t>los municipios</w:t>
      </w:r>
      <w:r w:rsidRPr="00030063">
        <w:rPr>
          <w:rFonts w:ascii="Palatino Linotype" w:eastAsia="Palatino Linotype" w:hAnsi="Palatino Linotype" w:cs="Palatino Linotype"/>
          <w:i/>
          <w:sz w:val="22"/>
        </w:rPr>
        <w:t xml:space="preserve"> y las instituciones que por Ley estén </w:t>
      </w:r>
      <w:r w:rsidRPr="00030063">
        <w:rPr>
          <w:rFonts w:ascii="Palatino Linotype" w:eastAsia="Palatino Linotype" w:hAnsi="Palatino Linotype" w:cs="Palatino Linotype"/>
          <w:i/>
          <w:sz w:val="22"/>
        </w:rPr>
        <w:lastRenderedPageBreak/>
        <w:t xml:space="preserve">obligadas a entregar al Gobierno Federal el importe íntegro de su remanente de operación y los organismos descentralizados que no tributen conforme al Título II de esta Ley </w:t>
      </w:r>
      <w:r w:rsidRPr="00030063">
        <w:rPr>
          <w:rFonts w:ascii="Palatino Linotype" w:eastAsia="Palatino Linotype" w:hAnsi="Palatino Linotype" w:cs="Palatino Linotype"/>
          <w:b/>
          <w:i/>
          <w:sz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030063">
        <w:rPr>
          <w:rFonts w:ascii="Palatino Linotype" w:eastAsia="Palatino Linotype" w:hAnsi="Palatino Linotype" w:cs="Palatino Linotype"/>
          <w:i/>
          <w:sz w:val="22"/>
        </w:rPr>
        <w:t xml:space="preserve"> para efectos de la legislación laboral a que se refieren los artículos 132 fracciones VII y VIII, y 804 primer párrafo fracciones II y IV de la Ley Federal del Trabajo…</w:t>
      </w:r>
      <w:r w:rsidRPr="00030063">
        <w:rPr>
          <w:rFonts w:ascii="Palatino Linotype" w:eastAsia="Palatino Linotype" w:hAnsi="Palatino Linotype" w:cs="Palatino Linotype"/>
          <w:sz w:val="22"/>
        </w:rPr>
        <w:t xml:space="preserve">” </w:t>
      </w:r>
    </w:p>
    <w:p w14:paraId="0C61F341" w14:textId="77777777" w:rsidR="00D305F0" w:rsidRPr="00030063" w:rsidRDefault="00D305F0" w:rsidP="00D305F0">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Del precepto citado, se advierte que los municipios al ser entes públicos se encuentran constreñidos a expedir y entregar los </w:t>
      </w:r>
      <w:r w:rsidRPr="00030063">
        <w:rPr>
          <w:rFonts w:ascii="Palatino Linotype" w:eastAsia="Palatino Linotype" w:hAnsi="Palatino Linotype" w:cs="Palatino Linotype"/>
          <w:b/>
        </w:rPr>
        <w:t xml:space="preserve">comprobantes fiscales correspondientes a las personas que reciban pagos por conceptos de salarios, </w:t>
      </w:r>
      <w:r w:rsidRPr="00030063">
        <w:rPr>
          <w:rFonts w:ascii="Palatino Linotype" w:eastAsia="Palatino Linotype" w:hAnsi="Palatino Linotype" w:cs="Palatino Linotype"/>
        </w:rPr>
        <w:t xml:space="preserve">mismos que pueden ser utilizados como </w:t>
      </w:r>
      <w:r w:rsidRPr="00030063">
        <w:rPr>
          <w:rFonts w:ascii="Palatino Linotype" w:eastAsia="Palatino Linotype" w:hAnsi="Palatino Linotype" w:cs="Palatino Linotype"/>
          <w:b/>
        </w:rPr>
        <w:t>constancia o</w:t>
      </w:r>
      <w:r w:rsidRPr="00030063">
        <w:rPr>
          <w:rFonts w:ascii="Palatino Linotype" w:eastAsia="Palatino Linotype" w:hAnsi="Palatino Linotype" w:cs="Palatino Linotype"/>
        </w:rPr>
        <w:t xml:space="preserve"> </w:t>
      </w:r>
      <w:r w:rsidRPr="00030063">
        <w:rPr>
          <w:rFonts w:ascii="Palatino Linotype" w:eastAsia="Palatino Linotype" w:hAnsi="Palatino Linotype" w:cs="Palatino Linotype"/>
          <w:b/>
        </w:rPr>
        <w:t>recibo de pago</w:t>
      </w:r>
      <w:r w:rsidRPr="00030063">
        <w:rPr>
          <w:rFonts w:ascii="Palatino Linotype" w:eastAsia="Palatino Linotype" w:hAnsi="Palatino Linotype" w:cs="Palatino Linotype"/>
        </w:rPr>
        <w:t>.</w:t>
      </w:r>
    </w:p>
    <w:p w14:paraId="24BDAD87" w14:textId="77777777" w:rsidR="00D305F0" w:rsidRPr="00030063" w:rsidRDefault="00D305F0" w:rsidP="00D305F0">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1BB6CE44" w14:textId="77777777" w:rsidR="00D305F0" w:rsidRPr="00030063" w:rsidRDefault="00D305F0" w:rsidP="00D305F0">
      <w:pPr>
        <w:tabs>
          <w:tab w:val="left" w:pos="9072"/>
        </w:tabs>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“ARTÍCULO 220 K.-</w:t>
      </w:r>
      <w:r w:rsidRPr="00030063">
        <w:rPr>
          <w:rFonts w:ascii="Palatino Linotype" w:eastAsia="Palatino Linotype" w:hAnsi="Palatino Linotype" w:cs="Palatino Linotype"/>
          <w:i/>
          <w:sz w:val="22"/>
        </w:rPr>
        <w:t xml:space="preserve"> La institución o dependencia pública tiene la obligación de conservar y exhibir en el proceso los documentos que a continuación se precisan:</w:t>
      </w:r>
    </w:p>
    <w:p w14:paraId="4F13BF59" w14:textId="77777777" w:rsidR="00D305F0" w:rsidRPr="00030063" w:rsidRDefault="00D305F0" w:rsidP="00D305F0">
      <w:pPr>
        <w:tabs>
          <w:tab w:val="left" w:pos="9072"/>
        </w:tabs>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w:t>
      </w:r>
    </w:p>
    <w:p w14:paraId="43A09F76" w14:textId="77777777" w:rsidR="00D305F0" w:rsidRPr="00030063" w:rsidRDefault="00D305F0" w:rsidP="00D305F0">
      <w:pPr>
        <w:tabs>
          <w:tab w:val="left" w:pos="9072"/>
        </w:tabs>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II</w:t>
      </w:r>
      <w:r w:rsidRPr="00030063">
        <w:rPr>
          <w:rFonts w:ascii="Palatino Linotype" w:eastAsia="Palatino Linotype" w:hAnsi="Palatino Linotype" w:cs="Palatino Linotype"/>
          <w:i/>
          <w:sz w:val="22"/>
        </w:rPr>
        <w:t>. Recibos de pagos de salarios o las constancias documentales del pago de salario cuando sea por depósito o mediante información electrónica;</w:t>
      </w:r>
    </w:p>
    <w:p w14:paraId="04123B73" w14:textId="77777777" w:rsidR="00D305F0" w:rsidRPr="00030063" w:rsidRDefault="00D305F0" w:rsidP="00D305F0">
      <w:pPr>
        <w:tabs>
          <w:tab w:val="left" w:pos="9072"/>
        </w:tabs>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w:t>
      </w:r>
    </w:p>
    <w:p w14:paraId="4A7F6C7D" w14:textId="77777777" w:rsidR="00D305F0" w:rsidRPr="00030063" w:rsidRDefault="00D305F0" w:rsidP="00D305F0">
      <w:pPr>
        <w:tabs>
          <w:tab w:val="left" w:pos="9072"/>
        </w:tabs>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IV</w:t>
      </w:r>
      <w:r w:rsidRPr="00030063">
        <w:rPr>
          <w:rFonts w:ascii="Palatino Linotype" w:eastAsia="Palatino Linotype" w:hAnsi="Palatino Linotype" w:cs="Palatino Linotype"/>
          <w:i/>
          <w:sz w:val="22"/>
        </w:rPr>
        <w:t>. Recibos o las constancias de depósito o del medio de información magnética o electrónica que sean utilizadas para el pago de salarios, prima vacacional, aguinaldo y demás prestaciones establecidas en la presente ley; y…</w:t>
      </w:r>
    </w:p>
    <w:p w14:paraId="1571DCB7" w14:textId="77777777" w:rsidR="00D305F0" w:rsidRPr="00030063" w:rsidRDefault="00D305F0" w:rsidP="00D305F0">
      <w:pPr>
        <w:tabs>
          <w:tab w:val="left" w:pos="9072"/>
        </w:tabs>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C2D2222" w14:textId="77777777" w:rsidR="00D305F0" w:rsidRPr="00030063" w:rsidRDefault="00D305F0" w:rsidP="00D305F0">
      <w:pPr>
        <w:tabs>
          <w:tab w:val="left" w:pos="9072"/>
        </w:tabs>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A836164" w14:textId="77777777" w:rsidR="00D305F0" w:rsidRPr="00030063" w:rsidRDefault="00D305F0" w:rsidP="00D305F0">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El incumplimiento por lo dispuesto por este artículo, establecerá la presunción de ser ciertos los hechos que el actor exprese en su demanda, en relación con tales documentos, salvo prueba en contrario.”</w:t>
      </w:r>
    </w:p>
    <w:p w14:paraId="1D3C40E0" w14:textId="77777777" w:rsidR="00D305F0" w:rsidRPr="00030063" w:rsidRDefault="00D305F0" w:rsidP="00D305F0">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Sobre la base del precepto legal citado, se advierte que </w:t>
      </w:r>
      <w:r w:rsidRPr="00030063">
        <w:rPr>
          <w:rFonts w:ascii="Palatino Linotype" w:eastAsia="Palatino Linotype" w:hAnsi="Palatino Linotype" w:cs="Palatino Linotype"/>
          <w:i/>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030063">
        <w:rPr>
          <w:rFonts w:ascii="Palatino Linotype" w:eastAsia="Palatino Linotype" w:hAnsi="Palatino Linotype" w:cs="Palatino Linotype"/>
        </w:rPr>
        <w:t>.</w:t>
      </w:r>
    </w:p>
    <w:p w14:paraId="2B919B7B" w14:textId="77777777" w:rsidR="00D305F0" w:rsidRPr="00030063" w:rsidRDefault="00D305F0" w:rsidP="00D305F0">
      <w:pPr>
        <w:spacing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Por tanto, los recibos de nómina o comprobantes digitales por concepto de nómina tienen como objetivo presentar la información del pago de las remuneraciones de cada uno de los servidores públicos de la entidad fiscalizable de que se trate correspondiente a un periodo determinado.</w:t>
      </w:r>
    </w:p>
    <w:p w14:paraId="0C0689D0" w14:textId="66FB8958" w:rsidR="00D305F0" w:rsidRPr="00030063" w:rsidRDefault="00D305F0" w:rsidP="00D305F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Por tal razón resulta dable ordenar, previa búsqueda exhaustiva y razonable, se haga entrega de los recibos de nómina de los integrantes del cabildo y los directores de área </w:t>
      </w:r>
      <w:r w:rsidR="00EC6B1B" w:rsidRPr="00030063">
        <w:rPr>
          <w:rFonts w:ascii="Palatino Linotype" w:eastAsia="Palatino Linotype" w:hAnsi="Palatino Linotype" w:cs="Palatino Linotype"/>
        </w:rPr>
        <w:t xml:space="preserve">correspondiente a </w:t>
      </w:r>
      <w:r w:rsidRPr="00030063">
        <w:rPr>
          <w:rFonts w:ascii="Palatino Linotype" w:eastAsia="Palatino Linotype" w:hAnsi="Palatino Linotype" w:cs="Palatino Linotype"/>
        </w:rPr>
        <w:t>la segunda quincena de abril de dos mil veinticinco, en los términos del considerando siguiente.</w:t>
      </w:r>
    </w:p>
    <w:p w14:paraId="6A679C52" w14:textId="693EAFE8" w:rsidR="008C264D" w:rsidRPr="00030063" w:rsidRDefault="008C264D" w:rsidP="008C264D">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Finalmente, no pasa desapercibido que la parte</w:t>
      </w:r>
      <w:r w:rsidRPr="00030063">
        <w:rPr>
          <w:rFonts w:ascii="Palatino Linotype" w:eastAsia="Palatino Linotype" w:hAnsi="Palatino Linotype" w:cs="Palatino Linotype"/>
          <w:b/>
        </w:rPr>
        <w:t xml:space="preserve"> Recurrente</w:t>
      </w:r>
      <w:r w:rsidRPr="00030063">
        <w:rPr>
          <w:rFonts w:ascii="Palatino Linotype" w:eastAsia="Palatino Linotype" w:hAnsi="Palatino Linotype" w:cs="Palatino Linotype"/>
        </w:rPr>
        <w:t xml:space="preserve">, dentro del texto de su solicitud, hizo referencia a que requería la información en copias simples </w:t>
      </w:r>
      <w:r w:rsidRPr="00030063">
        <w:rPr>
          <w:rFonts w:ascii="Palatino Linotype" w:eastAsia="Palatino Linotype" w:hAnsi="Palatino Linotype" w:cs="Palatino Linotype"/>
        </w:rPr>
        <w:lastRenderedPageBreak/>
        <w:t xml:space="preserve">digitalizadas, por lo que se precisa que en el caso particular no es necesario que el </w:t>
      </w:r>
      <w:r w:rsidRPr="00030063">
        <w:rPr>
          <w:rFonts w:ascii="Palatino Linotype" w:eastAsia="Palatino Linotype" w:hAnsi="Palatino Linotype" w:cs="Palatino Linotype"/>
          <w:b/>
        </w:rPr>
        <w:t>Sujeto Obligado</w:t>
      </w:r>
      <w:r w:rsidRPr="00030063">
        <w:rPr>
          <w:rFonts w:ascii="Palatino Linotype" w:eastAsia="Palatino Linotype" w:hAnsi="Palatino Linotype" w:cs="Palatino Linotype"/>
        </w:rPr>
        <w:t xml:space="preserve"> realice una reproducción física de la información que conserva en sus archivos, basta con hacer entrega a través de SAIMEX de aquellos documentos en formato electrónico, y en su caso, la digitalización o escaneo de aquella que se encuentre en medio físico.</w:t>
      </w:r>
    </w:p>
    <w:p w14:paraId="23E4F47F" w14:textId="77777777" w:rsidR="008C264D" w:rsidRPr="00030063" w:rsidRDefault="008C264D" w:rsidP="008C264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Ya que la entrega de la información a través de SAIMEX, hace las veces de la entrega de copias simples, puesto que, al tratarse de documentos electrónico o digitalizado, cuentan con la característica de ser descargables a cualquier equipo de cómputo para su libre manipulación, es decir, si la información se encuentra en documentos electrónicos, estos se pueden descargar de manera fácil y sencilla a un equipo de cómputo para que, posteriormente por cuenta de la persona solicitante, sea transferido a los dispositivos de almacenamiento que desee, o en su caso, </w:t>
      </w:r>
      <w:r w:rsidRPr="00030063">
        <w:rPr>
          <w:rFonts w:ascii="Palatino Linotype" w:eastAsia="Palatino Linotype" w:hAnsi="Palatino Linotype" w:cs="Palatino Linotype"/>
          <w:b/>
        </w:rPr>
        <w:t>sea impreso, lo que se configura como copia simple</w:t>
      </w:r>
      <w:r w:rsidRPr="00030063">
        <w:rPr>
          <w:rFonts w:ascii="Palatino Linotype" w:eastAsia="Palatino Linotype" w:hAnsi="Palatino Linotype" w:cs="Palatino Linotype"/>
        </w:rPr>
        <w:t>; de lo anterior, tenemos que, al ser entregado de forma digital o electrónica a través del SAIMEX, como es el caso, la persona solicitante puede hacer uso de la información a su libre elección.</w:t>
      </w:r>
    </w:p>
    <w:p w14:paraId="4BAE062C" w14:textId="07E29E11" w:rsidR="007B3B24" w:rsidRPr="00030063" w:rsidRDefault="007B3B24" w:rsidP="007B3B2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De lo hasta aquí expuesto, se concluye que los motivos de inconformidad de la parte </w:t>
      </w:r>
      <w:r w:rsidRPr="00030063">
        <w:rPr>
          <w:rFonts w:ascii="Palatino Linotype" w:eastAsia="Palatino Linotype" w:hAnsi="Palatino Linotype" w:cs="Palatino Linotype"/>
          <w:b/>
        </w:rPr>
        <w:t xml:space="preserve">Recurrente </w:t>
      </w:r>
      <w:r w:rsidRPr="00030063">
        <w:rPr>
          <w:rFonts w:ascii="Palatino Linotype" w:eastAsia="Palatino Linotype" w:hAnsi="Palatino Linotype" w:cs="Palatino Linotype"/>
        </w:rPr>
        <w:t xml:space="preserve">devienen fundados, siendo procedente </w:t>
      </w:r>
      <w:r w:rsidRPr="00030063">
        <w:rPr>
          <w:rFonts w:ascii="Palatino Linotype" w:eastAsia="Palatino Linotype" w:hAnsi="Palatino Linotype" w:cs="Palatino Linotype"/>
          <w:i/>
        </w:rPr>
        <w:t xml:space="preserve">Revocar </w:t>
      </w:r>
      <w:r w:rsidRPr="00030063">
        <w:rPr>
          <w:rFonts w:ascii="Palatino Linotype" w:eastAsia="Palatino Linotype" w:hAnsi="Palatino Linotype" w:cs="Palatino Linotype"/>
        </w:rPr>
        <w:t xml:space="preserve">la respuesta proporcionada por el </w:t>
      </w:r>
      <w:r w:rsidRPr="00030063">
        <w:rPr>
          <w:rFonts w:ascii="Palatino Linotype" w:eastAsia="Palatino Linotype" w:hAnsi="Palatino Linotype" w:cs="Palatino Linotype"/>
          <w:b/>
        </w:rPr>
        <w:t xml:space="preserve">Sujeto Obligado </w:t>
      </w:r>
      <w:r w:rsidRPr="00030063">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00BAF2AE" w14:textId="77777777" w:rsidR="008C264D" w:rsidRPr="00030063" w:rsidRDefault="008C264D" w:rsidP="008C264D">
      <w:pPr>
        <w:spacing w:before="240" w:after="240" w:line="360" w:lineRule="auto"/>
        <w:ind w:right="51"/>
        <w:jc w:val="both"/>
        <w:rPr>
          <w:rFonts w:ascii="Palatino Linotype" w:eastAsia="Palatino Linotype" w:hAnsi="Palatino Linotype" w:cs="Palatino Linotype"/>
        </w:rPr>
      </w:pPr>
      <w:r w:rsidRPr="00030063">
        <w:rPr>
          <w:rFonts w:ascii="Palatino Linotype" w:eastAsia="Palatino Linotype" w:hAnsi="Palatino Linotype" w:cs="Palatino Linotype"/>
          <w:b/>
        </w:rPr>
        <w:t xml:space="preserve">Quinto. Versión Pública. </w:t>
      </w:r>
      <w:r w:rsidRPr="00030063">
        <w:rPr>
          <w:rFonts w:ascii="Palatino Linotype" w:eastAsia="Palatino Linotype" w:hAnsi="Palatino Linotype" w:cs="Palatino Linotype"/>
        </w:rPr>
        <w:t>Como fue debidamente apuntado, el </w:t>
      </w:r>
      <w:r w:rsidRPr="00030063">
        <w:rPr>
          <w:rFonts w:ascii="Palatino Linotype" w:eastAsia="Palatino Linotype" w:hAnsi="Palatino Linotype" w:cs="Palatino Linotype"/>
          <w:b/>
        </w:rPr>
        <w:t>Sujeto Obligado</w:t>
      </w:r>
      <w:r w:rsidRPr="00030063">
        <w:rPr>
          <w:rFonts w:ascii="Palatino Linotype" w:eastAsia="Palatino Linotype" w:hAnsi="Palatino Linotype" w:cs="Palatino Linotype"/>
        </w:rPr>
        <w:t xml:space="preserve"> debe satisfacer la solicitud de acceso a la información; sin embargo, dada la naturaleza de la información de la cual se ordena su entrega, deberá hacerse en </w:t>
      </w:r>
      <w:r w:rsidRPr="00030063">
        <w:rPr>
          <w:rFonts w:ascii="Palatino Linotype" w:eastAsia="Palatino Linotype" w:hAnsi="Palatino Linotype" w:cs="Palatino Linotype"/>
        </w:rPr>
        <w:lastRenderedPageBreak/>
        <w:t>versión pública, toda vez que en los documentos que se ordenan, existe la posibilidad de que obren datos que son considerados confidenciales, cuyo acceso debe ser restringido que deben testarse al momento de la versión pública, atento a lo siguiente:</w:t>
      </w:r>
    </w:p>
    <w:p w14:paraId="1EFC9B09" w14:textId="77777777" w:rsidR="008C264D" w:rsidRPr="00030063" w:rsidRDefault="008C264D" w:rsidP="008C264D">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BD466FC" w14:textId="77777777" w:rsidR="008C264D" w:rsidRPr="00030063" w:rsidRDefault="008C264D" w:rsidP="008C264D">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E7FB828" w14:textId="77777777" w:rsidR="008C264D" w:rsidRPr="00030063" w:rsidRDefault="008C264D" w:rsidP="008C264D">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04C8E08E" w14:textId="77777777" w:rsidR="008C264D" w:rsidRPr="00030063" w:rsidRDefault="008C264D" w:rsidP="008C264D">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sz w:val="22"/>
        </w:rPr>
        <w:t> </w:t>
      </w:r>
      <w:r w:rsidRPr="00030063">
        <w:rPr>
          <w:rFonts w:ascii="Palatino Linotype" w:eastAsia="Palatino Linotype" w:hAnsi="Palatino Linotype" w:cs="Palatino Linotype"/>
          <w:i/>
          <w:sz w:val="22"/>
        </w:rPr>
        <w:t>“</w:t>
      </w:r>
      <w:r w:rsidRPr="00030063">
        <w:rPr>
          <w:rFonts w:ascii="Palatino Linotype" w:eastAsia="Palatino Linotype" w:hAnsi="Palatino Linotype" w:cs="Palatino Linotype"/>
          <w:b/>
          <w:i/>
          <w:sz w:val="22"/>
        </w:rPr>
        <w:t>Artículo 3.</w:t>
      </w:r>
      <w:r w:rsidRPr="00030063">
        <w:rPr>
          <w:rFonts w:ascii="Palatino Linotype" w:eastAsia="Palatino Linotype" w:hAnsi="Palatino Linotype" w:cs="Palatino Linotype"/>
          <w:i/>
          <w:sz w:val="22"/>
        </w:rPr>
        <w:t xml:space="preserve"> Para los efectos de la presente Ley se entenderá por:</w:t>
      </w:r>
    </w:p>
    <w:p w14:paraId="295B4B2E" w14:textId="77777777" w:rsidR="008C264D" w:rsidRPr="00030063" w:rsidRDefault="008C264D" w:rsidP="008C264D">
      <w:pPr>
        <w:tabs>
          <w:tab w:val="left" w:pos="1276"/>
        </w:tabs>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w:t>
      </w:r>
    </w:p>
    <w:p w14:paraId="2E5FE1E7" w14:textId="77777777" w:rsidR="008C264D" w:rsidRPr="00030063" w:rsidRDefault="008C264D" w:rsidP="008C264D">
      <w:pPr>
        <w:tabs>
          <w:tab w:val="left" w:pos="1276"/>
        </w:tabs>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IX. Datos personales</w:t>
      </w:r>
      <w:r w:rsidRPr="00030063">
        <w:rPr>
          <w:rFonts w:ascii="Palatino Linotype" w:eastAsia="Palatino Linotype" w:hAnsi="Palatino Linotype" w:cs="Palatino Linotype"/>
          <w:i/>
          <w:sz w:val="22"/>
        </w:rPr>
        <w:t>: La información concerniente a una persona, identificada o identificable según lo dispuesto por la Ley de Protección de Datos Personales del Estado de México;</w:t>
      </w:r>
    </w:p>
    <w:p w14:paraId="2F6A2B9E" w14:textId="77777777" w:rsidR="008C264D" w:rsidRPr="00030063" w:rsidRDefault="008C264D" w:rsidP="008C264D">
      <w:pPr>
        <w:tabs>
          <w:tab w:val="left" w:pos="1276"/>
        </w:tabs>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w:t>
      </w:r>
    </w:p>
    <w:p w14:paraId="171817EE" w14:textId="77777777" w:rsidR="008C264D" w:rsidRPr="00030063" w:rsidRDefault="008C264D" w:rsidP="008C264D">
      <w:pPr>
        <w:tabs>
          <w:tab w:val="left" w:pos="1276"/>
        </w:tabs>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XX. Información clasificada</w:t>
      </w:r>
      <w:r w:rsidRPr="00030063">
        <w:rPr>
          <w:rFonts w:ascii="Palatino Linotype" w:eastAsia="Palatino Linotype" w:hAnsi="Palatino Linotype" w:cs="Palatino Linotype"/>
          <w:i/>
          <w:sz w:val="22"/>
        </w:rPr>
        <w:t>: Aquella considerada por la presente Ley como reservada o confidencial;</w:t>
      </w:r>
    </w:p>
    <w:p w14:paraId="125ABC89" w14:textId="77777777" w:rsidR="008C264D" w:rsidRPr="00030063" w:rsidRDefault="008C264D" w:rsidP="008C264D">
      <w:pPr>
        <w:tabs>
          <w:tab w:val="left" w:pos="1276"/>
        </w:tabs>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lastRenderedPageBreak/>
        <w:t>XXI. Información confidencial</w:t>
      </w:r>
      <w:r w:rsidRPr="00030063">
        <w:rPr>
          <w:rFonts w:ascii="Palatino Linotype" w:eastAsia="Palatino Linotype" w:hAnsi="Palatino Linotype" w:cs="Palatino Linotype"/>
          <w:i/>
          <w:sz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FF9AA7" w14:textId="77777777" w:rsidR="008C264D" w:rsidRPr="00030063" w:rsidRDefault="008C264D" w:rsidP="008C264D">
      <w:pPr>
        <w:tabs>
          <w:tab w:val="left" w:pos="1276"/>
        </w:tabs>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w:t>
      </w:r>
    </w:p>
    <w:p w14:paraId="11DCCC11" w14:textId="77777777" w:rsidR="008C264D" w:rsidRPr="00030063" w:rsidRDefault="008C264D" w:rsidP="008C264D">
      <w:pPr>
        <w:tabs>
          <w:tab w:val="left" w:pos="1276"/>
        </w:tabs>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XXXII. Protección de Datos Personales</w:t>
      </w:r>
      <w:r w:rsidRPr="00030063">
        <w:rPr>
          <w:rFonts w:ascii="Palatino Linotype" w:eastAsia="Palatino Linotype" w:hAnsi="Palatino Linotype" w:cs="Palatino Linotype"/>
          <w:i/>
          <w:sz w:val="22"/>
        </w:rPr>
        <w:t>: Derecho humano que tutela la privacidad de datos personales en poder de los sujetos obligados y sujetos particulares;</w:t>
      </w:r>
    </w:p>
    <w:p w14:paraId="5E8D6205" w14:textId="77777777" w:rsidR="008C264D" w:rsidRPr="00030063" w:rsidRDefault="008C264D" w:rsidP="008C264D">
      <w:pPr>
        <w:tabs>
          <w:tab w:val="left" w:pos="1276"/>
        </w:tabs>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w:t>
      </w:r>
    </w:p>
    <w:p w14:paraId="70F63C58" w14:textId="77777777" w:rsidR="008C264D" w:rsidRPr="00030063" w:rsidRDefault="008C264D" w:rsidP="008C264D">
      <w:pPr>
        <w:tabs>
          <w:tab w:val="left" w:pos="1276"/>
        </w:tabs>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XLV. Versión pública</w:t>
      </w:r>
      <w:r w:rsidRPr="00030063">
        <w:rPr>
          <w:rFonts w:ascii="Palatino Linotype" w:eastAsia="Palatino Linotype" w:hAnsi="Palatino Linotype" w:cs="Palatino Linotype"/>
          <w:i/>
          <w:sz w:val="22"/>
        </w:rPr>
        <w:t>: Documento en el que se elimine, suprime o borra la información clasificada como reservada o confidencial para permitir su acceso.</w:t>
      </w:r>
    </w:p>
    <w:p w14:paraId="3175F6B4" w14:textId="77777777" w:rsidR="008C264D" w:rsidRPr="00030063" w:rsidRDefault="008C264D" w:rsidP="008C264D">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 Artículo 6</w:t>
      </w:r>
      <w:r w:rsidRPr="00030063">
        <w:rPr>
          <w:rFonts w:ascii="Palatino Linotype" w:eastAsia="Palatino Linotype" w:hAnsi="Palatino Linotype" w:cs="Palatino Linotype"/>
          <w:i/>
          <w:sz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5861F40" w14:textId="77777777" w:rsidR="008C264D" w:rsidRPr="00030063" w:rsidRDefault="008C264D" w:rsidP="008C264D">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w:t>
      </w:r>
    </w:p>
    <w:p w14:paraId="55699525" w14:textId="77777777" w:rsidR="008C264D" w:rsidRPr="00030063" w:rsidRDefault="008C264D" w:rsidP="008C264D">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Artículo 91.</w:t>
      </w:r>
      <w:r w:rsidRPr="00030063">
        <w:rPr>
          <w:rFonts w:ascii="Palatino Linotype" w:eastAsia="Palatino Linotype" w:hAnsi="Palatino Linotype" w:cs="Palatino Linotype"/>
          <w:i/>
          <w:sz w:val="22"/>
        </w:rPr>
        <w:t xml:space="preserve"> El acceso a la información pública será restringido excepcionalmente, cuando ésta sea clasificada como reservada o confidencial.</w:t>
      </w:r>
      <w:r w:rsidRPr="00030063">
        <w:rPr>
          <w:rFonts w:ascii="Palatino Linotype" w:eastAsia="Palatino Linotype" w:hAnsi="Palatino Linotype" w:cs="Palatino Linotype"/>
          <w:i/>
          <w:sz w:val="22"/>
        </w:rPr>
        <w:br/>
        <w:t>…</w:t>
      </w:r>
    </w:p>
    <w:p w14:paraId="4E8B7D70" w14:textId="77777777" w:rsidR="008C264D" w:rsidRPr="00030063" w:rsidRDefault="008C264D" w:rsidP="008C264D">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Artículo 132.</w:t>
      </w:r>
      <w:r w:rsidRPr="00030063">
        <w:rPr>
          <w:rFonts w:ascii="Palatino Linotype" w:eastAsia="Palatino Linotype" w:hAnsi="Palatino Linotype" w:cs="Palatino Linotype"/>
          <w:i/>
          <w:sz w:val="22"/>
        </w:rPr>
        <w:t xml:space="preserve"> La clasificación de la información se llevará a cabo en el momento en que:</w:t>
      </w:r>
    </w:p>
    <w:p w14:paraId="58581916"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w:t>
      </w:r>
      <w:r w:rsidRPr="00030063">
        <w:rPr>
          <w:rFonts w:ascii="Palatino Linotype" w:eastAsia="Palatino Linotype" w:hAnsi="Palatino Linotype" w:cs="Palatino Linotype"/>
          <w:i/>
          <w:sz w:val="22"/>
        </w:rPr>
        <w:t>. Se reciba una solicitud de acceso a la información;</w:t>
      </w:r>
    </w:p>
    <w:p w14:paraId="46C7544F"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II.</w:t>
      </w:r>
      <w:r w:rsidRPr="00030063">
        <w:rPr>
          <w:rFonts w:ascii="Palatino Linotype" w:eastAsia="Palatino Linotype" w:hAnsi="Palatino Linotype" w:cs="Palatino Linotype"/>
          <w:i/>
          <w:sz w:val="22"/>
        </w:rPr>
        <w:t xml:space="preserve"> Se determine mediante resolución de autoridad competente; o</w:t>
      </w:r>
    </w:p>
    <w:p w14:paraId="67FA2314"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III.</w:t>
      </w:r>
      <w:r w:rsidRPr="00030063">
        <w:rPr>
          <w:rFonts w:ascii="Palatino Linotype" w:eastAsia="Palatino Linotype" w:hAnsi="Palatino Linotype" w:cs="Palatino Linotype"/>
          <w:i/>
          <w:sz w:val="22"/>
        </w:rPr>
        <w:t xml:space="preserve"> Se generen versiones públicas para dar cumplimiento a las obligaciones de transparencia previstas en esta Ley.</w:t>
      </w:r>
    </w:p>
    <w:p w14:paraId="0220A1F1" w14:textId="77777777" w:rsidR="008C264D" w:rsidRPr="00030063" w:rsidRDefault="008C264D" w:rsidP="008C264D">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w:t>
      </w:r>
    </w:p>
    <w:p w14:paraId="38F14EB4" w14:textId="77777777" w:rsidR="008C264D" w:rsidRPr="00030063" w:rsidRDefault="008C264D" w:rsidP="008C264D">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Artículo 137.</w:t>
      </w:r>
      <w:r w:rsidRPr="00030063">
        <w:rPr>
          <w:rFonts w:ascii="Palatino Linotype" w:eastAsia="Palatino Linotype" w:hAnsi="Palatino Linotype" w:cs="Palatino Linotype"/>
          <w:i/>
          <w:sz w:val="22"/>
        </w:rPr>
        <w:t xml:space="preserve"> Cuando un mismo medio, impreso o electrónico, contenga información pública y reservada o confidencial, la Unidad de Transparencia para efectos de atender una solicitud de información, deberán elaborar una versión </w:t>
      </w:r>
      <w:r w:rsidRPr="00030063">
        <w:rPr>
          <w:rFonts w:ascii="Palatino Linotype" w:eastAsia="Palatino Linotype" w:hAnsi="Palatino Linotype" w:cs="Palatino Linotype"/>
          <w:i/>
          <w:sz w:val="22"/>
        </w:rPr>
        <w:lastRenderedPageBreak/>
        <w:t>pública en la que se testen las partes o secciones clasificadas, indicando su contenido de manera genérica y fundando y motivando su clasificación.</w:t>
      </w:r>
    </w:p>
    <w:p w14:paraId="1C65130E" w14:textId="77777777" w:rsidR="008C264D" w:rsidRPr="00030063" w:rsidRDefault="008C264D" w:rsidP="008C264D">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 Artículo 143.</w:t>
      </w:r>
      <w:r w:rsidRPr="00030063">
        <w:rPr>
          <w:rFonts w:ascii="Palatino Linotype" w:eastAsia="Palatino Linotype" w:hAnsi="Palatino Linotype" w:cs="Palatino Linotype"/>
          <w:i/>
          <w:sz w:val="22"/>
        </w:rPr>
        <w:t xml:space="preserve"> Para los efectos de esta Ley se considera información confidencial, la clasificada como tal, de manera permanente, por su naturaleza, cuando:</w:t>
      </w:r>
    </w:p>
    <w:p w14:paraId="6C98CB63"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w:t>
      </w:r>
      <w:r w:rsidRPr="00030063">
        <w:rPr>
          <w:rFonts w:ascii="Palatino Linotype" w:eastAsia="Palatino Linotype" w:hAnsi="Palatino Linotype" w:cs="Palatino Linotype"/>
          <w:i/>
          <w:sz w:val="22"/>
        </w:rPr>
        <w:t xml:space="preserve"> Se refiera a la información privada y los datos personales concernientes a una persona física o jurídico colectiva identificada o identificable...”</w:t>
      </w:r>
    </w:p>
    <w:p w14:paraId="3CBF83DC" w14:textId="77777777" w:rsidR="008C264D" w:rsidRPr="00030063" w:rsidRDefault="008C264D" w:rsidP="008C264D">
      <w:pPr>
        <w:spacing w:before="240" w:after="240" w:line="360" w:lineRule="auto"/>
        <w:ind w:right="50"/>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030063">
        <w:rPr>
          <w:rFonts w:ascii="Palatino Linotype" w:eastAsia="Palatino Linotype" w:hAnsi="Palatino Linotype" w:cs="Palatino Linotype"/>
          <w:b/>
        </w:rPr>
        <w:t>Sujeto Obligado</w:t>
      </w:r>
      <w:r w:rsidRPr="00030063">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A32622B" w14:textId="77777777" w:rsidR="008C264D" w:rsidRPr="00030063" w:rsidRDefault="008C264D" w:rsidP="008C264D">
      <w:pPr>
        <w:spacing w:before="240" w:after="240" w:line="360" w:lineRule="auto"/>
        <w:ind w:right="50"/>
        <w:jc w:val="both"/>
        <w:rPr>
          <w:rFonts w:ascii="Palatino Linotype" w:eastAsia="Palatino Linotype" w:hAnsi="Palatino Linotype" w:cs="Palatino Linotype"/>
        </w:rPr>
      </w:pPr>
      <w:r w:rsidRPr="00030063">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9ECDDE5"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030063">
        <w:rPr>
          <w:rFonts w:ascii="Palatino Linotype" w:eastAsia="Palatino Linotype" w:hAnsi="Palatino Linotype" w:cs="Palatino Linotype"/>
          <w:b/>
        </w:rPr>
        <w:t>Sujeto Obligado</w:t>
      </w:r>
      <w:r w:rsidRPr="00030063">
        <w:rPr>
          <w:rFonts w:ascii="Palatino Linotype" w:eastAsia="Palatino Linotype" w:hAnsi="Palatino Linotype" w:cs="Palatino Linotype"/>
        </w:rPr>
        <w:t xml:space="preserve"> derivado del ejercicio de sus atribuciones, tal como </w:t>
      </w:r>
      <w:r w:rsidRPr="00030063">
        <w:rPr>
          <w:rFonts w:ascii="Palatino Linotype" w:eastAsia="Palatino Linotype" w:hAnsi="Palatino Linotype" w:cs="Palatino Linotype"/>
        </w:rPr>
        <w:lastRenderedPageBreak/>
        <w:t xml:space="preserve">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030063">
        <w:rPr>
          <w:rFonts w:ascii="Palatino Linotype" w:eastAsia="Palatino Linotype" w:hAnsi="Palatino Linotype" w:cs="Palatino Linotype"/>
          <w:b/>
        </w:rPr>
        <w:t>Registro Federal de Contribuyentes</w:t>
      </w:r>
      <w:r w:rsidRPr="00030063">
        <w:rPr>
          <w:rFonts w:ascii="Palatino Linotype" w:eastAsia="Palatino Linotype" w:hAnsi="Palatino Linotype" w:cs="Palatino Linotype"/>
        </w:rPr>
        <w:t xml:space="preserve"> (RFC), la </w:t>
      </w:r>
      <w:r w:rsidRPr="00030063">
        <w:rPr>
          <w:rFonts w:ascii="Palatino Linotype" w:eastAsia="Palatino Linotype" w:hAnsi="Palatino Linotype" w:cs="Palatino Linotype"/>
          <w:b/>
        </w:rPr>
        <w:t>Clave Única de Registro de Población</w:t>
      </w:r>
      <w:r w:rsidRPr="00030063">
        <w:rPr>
          <w:rFonts w:ascii="Palatino Linotype" w:eastAsia="Palatino Linotype" w:hAnsi="Palatino Linotype" w:cs="Palatino Linotype"/>
        </w:rPr>
        <w:t xml:space="preserve"> (CURP), la </w:t>
      </w:r>
      <w:r w:rsidRPr="00030063">
        <w:rPr>
          <w:rFonts w:ascii="Palatino Linotype" w:eastAsia="Palatino Linotype" w:hAnsi="Palatino Linotype" w:cs="Palatino Linotype"/>
          <w:b/>
        </w:rPr>
        <w:t>Clave de cualquier tipo de seguridad social</w:t>
      </w:r>
      <w:r w:rsidRPr="00030063">
        <w:rPr>
          <w:rFonts w:ascii="Palatino Linotype" w:eastAsia="Palatino Linotype" w:hAnsi="Palatino Linotype" w:cs="Palatino Linotype"/>
        </w:rPr>
        <w:t xml:space="preserve"> (ISSEMYM, u otros), los </w:t>
      </w:r>
      <w:r w:rsidRPr="00030063">
        <w:rPr>
          <w:rFonts w:ascii="Palatino Linotype" w:eastAsia="Palatino Linotype" w:hAnsi="Palatino Linotype" w:cs="Palatino Linotype"/>
          <w:b/>
        </w:rPr>
        <w:t>números de cuentas bancarias</w:t>
      </w:r>
      <w:r w:rsidRPr="00030063">
        <w:rPr>
          <w:rFonts w:ascii="Palatino Linotype" w:eastAsia="Palatino Linotype" w:hAnsi="Palatino Linotype" w:cs="Palatino Linotype"/>
        </w:rPr>
        <w:t xml:space="preserve">, claves estandarizadas – interbancarias - (CLABES) y de tarjetas, los </w:t>
      </w:r>
      <w:r w:rsidRPr="00030063">
        <w:rPr>
          <w:rFonts w:ascii="Palatino Linotype" w:eastAsia="Palatino Linotype" w:hAnsi="Palatino Linotype" w:cs="Palatino Linotype"/>
          <w:b/>
        </w:rPr>
        <w:t>préstamos o descuentos</w:t>
      </w:r>
      <w:r w:rsidRPr="00030063">
        <w:rPr>
          <w:rFonts w:ascii="Palatino Linotype" w:eastAsia="Palatino Linotype" w:hAnsi="Palatino Linotype" w:cs="Palatino Linotype"/>
        </w:rPr>
        <w:t xml:space="preserve"> que se le hagan a la persona y que no tengan relación con los impuestos o la cuota por seguridad social, el</w:t>
      </w:r>
      <w:r w:rsidRPr="00030063">
        <w:rPr>
          <w:rFonts w:ascii="Palatino Linotype" w:eastAsia="Palatino Linotype" w:hAnsi="Palatino Linotype" w:cs="Palatino Linotype"/>
          <w:b/>
        </w:rPr>
        <w:t xml:space="preserve"> número de empleado, </w:t>
      </w:r>
      <w:r w:rsidRPr="00030063">
        <w:rPr>
          <w:rFonts w:ascii="Palatino Linotype" w:eastAsia="Palatino Linotype" w:hAnsi="Palatino Linotype" w:cs="Palatino Linotype"/>
        </w:rPr>
        <w:t xml:space="preserve">y, de ser el caso, el </w:t>
      </w:r>
      <w:r w:rsidRPr="00030063">
        <w:rPr>
          <w:rFonts w:ascii="Palatino Linotype" w:eastAsia="Palatino Linotype" w:hAnsi="Palatino Linotype" w:cs="Palatino Linotype"/>
          <w:b/>
        </w:rPr>
        <w:t>folio fiscal</w:t>
      </w:r>
      <w:r w:rsidRPr="00030063">
        <w:rPr>
          <w:rFonts w:ascii="Palatino Linotype" w:eastAsia="Palatino Linotype" w:hAnsi="Palatino Linotype" w:cs="Palatino Linotype"/>
        </w:rPr>
        <w:t xml:space="preserve">, la </w:t>
      </w:r>
      <w:r w:rsidRPr="00030063">
        <w:rPr>
          <w:rFonts w:ascii="Palatino Linotype" w:eastAsia="Palatino Linotype" w:hAnsi="Palatino Linotype" w:cs="Palatino Linotype"/>
          <w:b/>
        </w:rPr>
        <w:t xml:space="preserve">cadena original, </w:t>
      </w:r>
      <w:r w:rsidRPr="00030063">
        <w:rPr>
          <w:rFonts w:ascii="Palatino Linotype" w:eastAsia="Palatino Linotype" w:hAnsi="Palatino Linotype" w:cs="Palatino Linotype"/>
        </w:rPr>
        <w:t>los</w:t>
      </w:r>
      <w:r w:rsidRPr="00030063">
        <w:rPr>
          <w:rFonts w:ascii="Palatino Linotype" w:eastAsia="Palatino Linotype" w:hAnsi="Palatino Linotype" w:cs="Palatino Linotype"/>
          <w:b/>
        </w:rPr>
        <w:t xml:space="preserve"> códigos bidimensionales o códigos QR,</w:t>
      </w:r>
      <w:r w:rsidRPr="00030063">
        <w:rPr>
          <w:rFonts w:ascii="Palatino Linotype" w:eastAsia="Palatino Linotype" w:hAnsi="Palatino Linotype" w:cs="Palatino Linotype"/>
        </w:rPr>
        <w:t xml:space="preserve"> y cualquier información de carácter fiscal.</w:t>
      </w:r>
    </w:p>
    <w:p w14:paraId="2F095E9A" w14:textId="77777777" w:rsidR="008C264D" w:rsidRPr="00030063" w:rsidRDefault="008C264D" w:rsidP="008C264D">
      <w:pPr>
        <w:spacing w:before="240" w:after="240" w:line="360" w:lineRule="auto"/>
        <w:ind w:right="50"/>
        <w:jc w:val="both"/>
        <w:rPr>
          <w:rFonts w:ascii="Palatino Linotype" w:eastAsia="Palatino Linotype" w:hAnsi="Palatino Linotype" w:cs="Palatino Linotype"/>
        </w:rPr>
      </w:pPr>
      <w:r w:rsidRPr="00030063">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57F0D91"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Por cuanto hace al </w:t>
      </w:r>
      <w:r w:rsidRPr="00030063">
        <w:rPr>
          <w:rFonts w:ascii="Palatino Linotype" w:eastAsia="Palatino Linotype" w:hAnsi="Palatino Linotype" w:cs="Palatino Linotype"/>
          <w:b/>
        </w:rPr>
        <w:t>Registro Federal de Contribuyentes, RFC,</w:t>
      </w:r>
      <w:r w:rsidRPr="00030063">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030063">
        <w:rPr>
          <w:rFonts w:ascii="Palatino Linotype" w:eastAsia="Palatino Linotype" w:hAnsi="Palatino Linotype" w:cs="Palatino Linotype"/>
        </w:rPr>
        <w:t>homoclave</w:t>
      </w:r>
      <w:proofErr w:type="spellEnd"/>
      <w:r w:rsidRPr="00030063">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4638426D"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75925C3" w14:textId="287845F0" w:rsidR="008C264D" w:rsidRPr="00030063" w:rsidRDefault="008C264D" w:rsidP="008C264D">
      <w:pPr>
        <w:spacing w:before="240" w:after="240" w:line="360" w:lineRule="auto"/>
        <w:jc w:val="both"/>
        <w:rPr>
          <w:rFonts w:ascii="Palatino Linotype" w:eastAsia="Palatino Linotype" w:hAnsi="Palatino Linotype" w:cs="Palatino Linotype"/>
        </w:rPr>
      </w:pPr>
      <w:bookmarkStart w:id="9" w:name="_heading=h.26in1rg" w:colFirst="0" w:colLast="0"/>
      <w:bookmarkEnd w:id="9"/>
      <w:r w:rsidRPr="00030063">
        <w:rPr>
          <w:rFonts w:ascii="Palatino Linotype" w:eastAsia="Palatino Linotype" w:hAnsi="Palatino Linotype" w:cs="Palatino Linotype"/>
        </w:rPr>
        <w:t xml:space="preserve">Lo anterior es compartido por el </w:t>
      </w:r>
      <w:r w:rsidR="00EC6B1B" w:rsidRPr="00030063">
        <w:rPr>
          <w:rFonts w:ascii="Palatino Linotype" w:eastAsia="Palatino Linotype" w:hAnsi="Palatino Linotype" w:cs="Palatino Linotype"/>
        </w:rPr>
        <w:t xml:space="preserve">entonces </w:t>
      </w:r>
      <w:r w:rsidRPr="00030063">
        <w:rPr>
          <w:rFonts w:ascii="Palatino Linotype" w:eastAsia="Palatino Linotype" w:hAnsi="Palatino Linotype" w:cs="Palatino Linotype"/>
        </w:rPr>
        <w:t xml:space="preserve">Instituto Nacional de Transparencia, Acceso a la Información y Protección de Datos Personales, INAI, a través del Criterio </w:t>
      </w:r>
      <w:r w:rsidR="00EC6B1B" w:rsidRPr="00030063">
        <w:rPr>
          <w:rFonts w:ascii="Palatino Linotype" w:eastAsia="Palatino Linotype" w:hAnsi="Palatino Linotype" w:cs="Palatino Linotype"/>
        </w:rPr>
        <w:t xml:space="preserve">orientador </w:t>
      </w:r>
      <w:r w:rsidRPr="00030063">
        <w:rPr>
          <w:rFonts w:ascii="Palatino Linotype" w:eastAsia="Palatino Linotype" w:hAnsi="Palatino Linotype" w:cs="Palatino Linotype"/>
        </w:rPr>
        <w:t>de interpretación con clave de control SO/019/2017, el cual es del tenor literal siguiente:</w:t>
      </w:r>
    </w:p>
    <w:p w14:paraId="320AA5B3" w14:textId="77777777" w:rsidR="008C264D" w:rsidRPr="00030063" w:rsidRDefault="008C264D" w:rsidP="008C264D">
      <w:pPr>
        <w:ind w:left="851"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 xml:space="preserve"> “Registro Federal de Contribuyentes (RFC) de personas físicas</w:t>
      </w:r>
      <w:r w:rsidRPr="00030063">
        <w:rPr>
          <w:rFonts w:ascii="Palatino Linotype" w:eastAsia="Palatino Linotype" w:hAnsi="Palatino Linotype" w:cs="Palatino Linotype"/>
          <w:i/>
          <w:sz w:val="22"/>
        </w:rPr>
        <w:t>. El RFC es una clave de carácter fiscal, única e irrepetible, que permite identificar al titular, su edad y fecha de nacimiento, por lo que es un dato personal de carácter confidencial.”</w:t>
      </w:r>
    </w:p>
    <w:p w14:paraId="5D83813E" w14:textId="77777777" w:rsidR="008C264D" w:rsidRPr="00030063" w:rsidRDefault="008C264D" w:rsidP="008C264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030063">
        <w:rPr>
          <w:rFonts w:ascii="Palatino Linotype" w:eastAsia="Palatino Linotype" w:hAnsi="Palatino Linotype" w:cs="Palatino Linotype"/>
        </w:rPr>
        <w:t>homoclave</w:t>
      </w:r>
      <w:proofErr w:type="spellEnd"/>
      <w:r w:rsidRPr="00030063">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90210BA" w14:textId="77777777" w:rsidR="008C264D" w:rsidRPr="00030063" w:rsidRDefault="008C264D" w:rsidP="008C264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De igual manera la </w:t>
      </w:r>
      <w:r w:rsidRPr="00030063">
        <w:rPr>
          <w:rFonts w:ascii="Palatino Linotype" w:eastAsia="Palatino Linotype" w:hAnsi="Palatino Linotype" w:cs="Palatino Linotype"/>
          <w:b/>
        </w:rPr>
        <w:t>Clave Única de Registro de Población</w:t>
      </w:r>
      <w:r w:rsidRPr="00030063">
        <w:rPr>
          <w:rFonts w:ascii="Palatino Linotype" w:eastAsia="Palatino Linotype" w:hAnsi="Palatino Linotype" w:cs="Palatino Linotype"/>
        </w:rPr>
        <w:t xml:space="preserve">, </w:t>
      </w:r>
      <w:r w:rsidRPr="00030063">
        <w:rPr>
          <w:rFonts w:ascii="Palatino Linotype" w:eastAsia="Palatino Linotype" w:hAnsi="Palatino Linotype" w:cs="Palatino Linotype"/>
          <w:b/>
        </w:rPr>
        <w:t>CURP,</w:t>
      </w:r>
      <w:r w:rsidRPr="00030063">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w:t>
      </w:r>
      <w:r w:rsidRPr="00030063">
        <w:rPr>
          <w:rFonts w:ascii="Palatino Linotype" w:eastAsia="Palatino Linotype" w:hAnsi="Palatino Linotype" w:cs="Palatino Linotype"/>
        </w:rPr>
        <w:lastRenderedPageBreak/>
        <w:t>únicamente le conciernen a un particular como son su fecha de nacimiento, su nombre, sus apellidos y su lugar de nacimiento; información que permite distinguirlo del resto de los habitantes, por tal motivo, se considera que es de carácter confidencial.</w:t>
      </w:r>
    </w:p>
    <w:p w14:paraId="7F4863F1" w14:textId="77777777" w:rsidR="008C264D" w:rsidRPr="00030063" w:rsidRDefault="008C264D" w:rsidP="008C264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Argumento que es compartido por el Instituto Nacional de Transparencia, Acceso a la Información y Protección de Datos Personales, INAI, conforme al Criterio de interpretación con Clave de control SO/018/2017, el cual refiere:</w:t>
      </w:r>
    </w:p>
    <w:p w14:paraId="172F137B" w14:textId="77777777" w:rsidR="008C264D" w:rsidRPr="00030063" w:rsidRDefault="008C264D" w:rsidP="008C264D">
      <w:pPr>
        <w:ind w:left="851" w:right="851"/>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 xml:space="preserve"> “Clave Única de Registro de Población (CURP). </w:t>
      </w:r>
      <w:r w:rsidRPr="00030063">
        <w:rPr>
          <w:rFonts w:ascii="Palatino Linotype" w:eastAsia="Palatino Linotype" w:hAnsi="Palatino Linotype" w:cs="Palatino Linotype"/>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40B2423"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Por lo que respecta a la </w:t>
      </w:r>
      <w:r w:rsidRPr="00030063">
        <w:rPr>
          <w:rFonts w:ascii="Palatino Linotype" w:eastAsia="Palatino Linotype" w:hAnsi="Palatino Linotype" w:cs="Palatino Linotype"/>
          <w:b/>
        </w:rPr>
        <w:t>clave de seguridad social</w:t>
      </w:r>
      <w:r w:rsidRPr="00030063">
        <w:rPr>
          <w:rFonts w:ascii="Palatino Linotype" w:eastAsia="Palatino Linotype" w:hAnsi="Palatino Linotype" w:cs="Palatino Linotype"/>
        </w:rPr>
        <w:t>, en virtud de que su divulgación no aporta a la transparencia o a la rendición de cuentas y sí provoca una transgresión a la vida privada e intimidad de la persona, esta información también resulta ser de carácter confidencial.</w:t>
      </w:r>
    </w:p>
    <w:p w14:paraId="3A760D02"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Respecto de los </w:t>
      </w:r>
      <w:r w:rsidRPr="00030063">
        <w:rPr>
          <w:rFonts w:ascii="Palatino Linotype" w:eastAsia="Palatino Linotype" w:hAnsi="Palatino Linotype" w:cs="Palatino Linotype"/>
          <w:b/>
        </w:rPr>
        <w:t>números de cuentas bancari</w:t>
      </w:r>
      <w:r w:rsidRPr="00030063">
        <w:rPr>
          <w:rFonts w:ascii="Palatino Linotype" w:eastAsia="Palatino Linotype" w:hAnsi="Palatino Linotype" w:cs="Palatino Linotype"/>
        </w:rPr>
        <w:t xml:space="preserve">as, </w:t>
      </w:r>
      <w:r w:rsidRPr="00030063">
        <w:rPr>
          <w:rFonts w:ascii="Palatino Linotype" w:eastAsia="Palatino Linotype" w:hAnsi="Palatino Linotype" w:cs="Palatino Linotype"/>
          <w:b/>
        </w:rPr>
        <w:t>claves estandarizadas –interbancarias- (CLABES) y de tarjetas</w:t>
      </w:r>
      <w:r w:rsidRPr="00030063">
        <w:rPr>
          <w:rFonts w:ascii="Palatino Linotype" w:eastAsia="Palatino Linotype" w:hAnsi="Palatino Linotype" w:cs="Palatino Linotype"/>
        </w:rPr>
        <w:t>, el Pleno de este Instituto ha determinado que esa información debe clasificarse como confidencial, y elaborarse una versión pública en la que se teste la misma.</w:t>
      </w:r>
    </w:p>
    <w:p w14:paraId="5DDDEBB4"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Igualmente, resulta importante destacar que el número de cuenta bancaria de las personas físicas es información que sólo su titular o personas autorizadas poseen para el acceso o consulta de información patrimonial, o para la realización de </w:t>
      </w:r>
      <w:r w:rsidRPr="00030063">
        <w:rPr>
          <w:rFonts w:ascii="Palatino Linotype" w:eastAsia="Palatino Linotype" w:hAnsi="Palatino Linotype" w:cs="Palatino Linotype"/>
        </w:rPr>
        <w:lastRenderedPageBreak/>
        <w:t>operaciones bancarias de diversa naturaleza, por lo que la difusión pública del mismo facilitaría la afectación al patrimonio del titular de la cuenta.</w:t>
      </w:r>
    </w:p>
    <w:p w14:paraId="25A83A66"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1D52502" w14:textId="77777777" w:rsidR="008C264D" w:rsidRPr="00030063" w:rsidRDefault="008C264D" w:rsidP="008C264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28F9A248"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0BD374DC" w14:textId="291FD65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Lo argumentado encuentra sustento en los Criterios de interpretación con Clave de control SO/010/2017 y SO/011/2017, emitidos por el Instituto Nacional de Transparencia, Acceso a la Información y Protección de Datos Personales, INAI, que llevan por rubro y texto los siguientes:</w:t>
      </w:r>
    </w:p>
    <w:p w14:paraId="4A36C116" w14:textId="77777777" w:rsidR="008C264D" w:rsidRPr="00030063" w:rsidRDefault="008C264D" w:rsidP="008C264D">
      <w:pPr>
        <w:spacing w:before="240" w:after="240"/>
        <w:ind w:left="851"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w:t>
      </w:r>
      <w:r w:rsidRPr="00030063">
        <w:rPr>
          <w:rFonts w:ascii="Palatino Linotype" w:eastAsia="Palatino Linotype" w:hAnsi="Palatino Linotype" w:cs="Palatino Linotype"/>
          <w:b/>
          <w:i/>
          <w:sz w:val="22"/>
        </w:rPr>
        <w:t>Cuentas bancarias y/o CLABE interbancaria de personas físicas y morales privadas.</w:t>
      </w:r>
      <w:r w:rsidRPr="00030063">
        <w:rPr>
          <w:rFonts w:ascii="Palatino Linotype" w:eastAsia="Palatino Linotype" w:hAnsi="Palatino Linotype" w:cs="Palatino Linotype"/>
          <w:i/>
          <w:sz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19A466E" w14:textId="77777777" w:rsidR="008C264D" w:rsidRPr="00030063" w:rsidRDefault="008C264D" w:rsidP="008C264D">
      <w:pPr>
        <w:spacing w:before="240" w:after="240"/>
        <w:ind w:left="851"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lastRenderedPageBreak/>
        <w:t>“Cuentas bancarias y/o CLABE interbancaria de sujetos obligados que reciben y/o transfieren recursos públicos, son información pública.</w:t>
      </w:r>
      <w:r w:rsidRPr="00030063">
        <w:rPr>
          <w:rFonts w:ascii="Palatino Linotype" w:eastAsia="Palatino Linotype" w:hAnsi="Palatino Linotype" w:cs="Palatino Linotype"/>
          <w:i/>
          <w:sz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68CB0D9" w14:textId="77777777" w:rsidR="008C264D" w:rsidRPr="00030063" w:rsidRDefault="008C264D" w:rsidP="008C264D">
      <w:pPr>
        <w:spacing w:before="240" w:after="240" w:line="360" w:lineRule="auto"/>
        <w:jc w:val="both"/>
        <w:rPr>
          <w:rFonts w:ascii="Palatino Linotype" w:eastAsia="Palatino Linotype" w:hAnsi="Palatino Linotype" w:cs="Palatino Linotype"/>
        </w:rPr>
      </w:pPr>
      <w:bookmarkStart w:id="10" w:name="_heading=h.35nkun2" w:colFirst="0" w:colLast="0"/>
      <w:bookmarkEnd w:id="10"/>
      <w:r w:rsidRPr="00030063">
        <w:rPr>
          <w:rFonts w:ascii="Palatino Linotype" w:eastAsia="Palatino Linotype" w:hAnsi="Palatino Linotype" w:cs="Palatino Linotype"/>
        </w:rPr>
        <w:t xml:space="preserve">Por cuanto hace a los </w:t>
      </w:r>
      <w:r w:rsidRPr="00030063">
        <w:rPr>
          <w:rFonts w:ascii="Palatino Linotype" w:eastAsia="Palatino Linotype" w:hAnsi="Palatino Linotype" w:cs="Palatino Linotype"/>
          <w:b/>
        </w:rPr>
        <w:t>préstamos o descuentos de carácter personal</w:t>
      </w:r>
      <w:r w:rsidRPr="00030063">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5E6921DD"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0244FB7F" w14:textId="77777777" w:rsidR="008C264D" w:rsidRPr="00030063" w:rsidRDefault="008C264D" w:rsidP="008C264D">
      <w:pPr>
        <w:spacing w:before="120" w:after="120"/>
        <w:ind w:left="851" w:right="900"/>
        <w:jc w:val="both"/>
        <w:rPr>
          <w:rFonts w:ascii="Palatino Linotype" w:eastAsia="Palatino Linotype" w:hAnsi="Palatino Linotype" w:cs="Palatino Linotype"/>
          <w:b/>
          <w:i/>
          <w:sz w:val="22"/>
        </w:rPr>
      </w:pPr>
      <w:bookmarkStart w:id="11" w:name="_heading=h.1ksv4uv" w:colFirst="0" w:colLast="0"/>
      <w:bookmarkEnd w:id="11"/>
      <w:r w:rsidRPr="00030063">
        <w:rPr>
          <w:rFonts w:ascii="Palatino Linotype" w:eastAsia="Palatino Linotype" w:hAnsi="Palatino Linotype" w:cs="Palatino Linotype"/>
          <w:b/>
          <w:i/>
          <w:sz w:val="22"/>
        </w:rPr>
        <w:t xml:space="preserve">“ARTÍCULO 84. </w:t>
      </w:r>
      <w:r w:rsidRPr="00030063">
        <w:rPr>
          <w:rFonts w:ascii="Palatino Linotype" w:eastAsia="Palatino Linotype" w:hAnsi="Palatino Linotype" w:cs="Palatino Linotype"/>
          <w:i/>
          <w:sz w:val="22"/>
        </w:rPr>
        <w:t>Sólo podrán hacerse retenciones, descuentos o deducciones al sueldo de los servidores públicos por concepto de:</w:t>
      </w:r>
    </w:p>
    <w:p w14:paraId="2B70F34E"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w:t>
      </w:r>
      <w:r w:rsidRPr="00030063">
        <w:rPr>
          <w:rFonts w:ascii="Palatino Linotype" w:eastAsia="Palatino Linotype" w:hAnsi="Palatino Linotype" w:cs="Palatino Linotype"/>
          <w:i/>
          <w:sz w:val="22"/>
        </w:rPr>
        <w:t xml:space="preserve"> Gravámenes fiscales relacionados con el sueldo;</w:t>
      </w:r>
    </w:p>
    <w:p w14:paraId="2732CBB6"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II.</w:t>
      </w:r>
      <w:r w:rsidRPr="00030063">
        <w:rPr>
          <w:rFonts w:ascii="Palatino Linotype" w:eastAsia="Palatino Linotype" w:hAnsi="Palatino Linotype" w:cs="Palatino Linotype"/>
          <w:i/>
          <w:sz w:val="22"/>
        </w:rPr>
        <w:t xml:space="preserve"> Deudas contraídas con las instituciones públicas o dependencias por concepto de anticipos de sueldo, pagos hechos con exceso, errores o pérdidas debidamente comprobados;</w:t>
      </w:r>
    </w:p>
    <w:p w14:paraId="62BDBD76"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III.</w:t>
      </w:r>
      <w:r w:rsidRPr="00030063">
        <w:rPr>
          <w:rFonts w:ascii="Palatino Linotype" w:eastAsia="Palatino Linotype" w:hAnsi="Palatino Linotype" w:cs="Palatino Linotype"/>
          <w:i/>
          <w:sz w:val="22"/>
        </w:rPr>
        <w:t xml:space="preserve"> </w:t>
      </w:r>
      <w:r w:rsidRPr="00030063">
        <w:rPr>
          <w:rFonts w:ascii="Palatino Linotype" w:eastAsia="Palatino Linotype" w:hAnsi="Palatino Linotype" w:cs="Palatino Linotype"/>
          <w:b/>
          <w:i/>
          <w:sz w:val="22"/>
        </w:rPr>
        <w:t>Cuotas sindicales</w:t>
      </w:r>
      <w:r w:rsidRPr="00030063">
        <w:rPr>
          <w:rFonts w:ascii="Palatino Linotype" w:eastAsia="Palatino Linotype" w:hAnsi="Palatino Linotype" w:cs="Palatino Linotype"/>
          <w:i/>
          <w:sz w:val="22"/>
        </w:rPr>
        <w:t>;</w:t>
      </w:r>
    </w:p>
    <w:p w14:paraId="241A487D"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IV.</w:t>
      </w:r>
      <w:r w:rsidRPr="00030063">
        <w:rPr>
          <w:rFonts w:ascii="Palatino Linotype" w:eastAsia="Palatino Linotype" w:hAnsi="Palatino Linotype" w:cs="Palatino Linotype"/>
          <w:i/>
          <w:sz w:val="22"/>
        </w:rPr>
        <w:t xml:space="preserve"> Cuotas de aportación a fondos para la constitución de cooperativas y de cajas de ahorro, siempre que el servidor público hubiese manifestado previamente, de manera expresa, su conformidad;</w:t>
      </w:r>
    </w:p>
    <w:p w14:paraId="1F5B971D"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V.</w:t>
      </w:r>
      <w:r w:rsidRPr="00030063">
        <w:rPr>
          <w:rFonts w:ascii="Palatino Linotype" w:eastAsia="Palatino Linotype" w:hAnsi="Palatino Linotype" w:cs="Palatino Linotype"/>
          <w:i/>
          <w:sz w:val="22"/>
        </w:rPr>
        <w:t xml:space="preserve"> Descuentos ordenados por el Instituto de Seguridad Social del Estado de México y Municipios, con motivo de cuotas y obligaciones contraídas con éste por los servidores públicos;</w:t>
      </w:r>
    </w:p>
    <w:p w14:paraId="17C0F3C0"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VI.</w:t>
      </w:r>
      <w:r w:rsidRPr="00030063">
        <w:rPr>
          <w:rFonts w:ascii="Palatino Linotype" w:eastAsia="Palatino Linotype" w:hAnsi="Palatino Linotype" w:cs="Palatino Linotype"/>
          <w:i/>
          <w:sz w:val="22"/>
        </w:rPr>
        <w:t xml:space="preserve"> Obligaciones a cargo del servidor público con las que haya consentido, derivadas de la adquisición o del uso de habitaciones consideradas como de interés social;</w:t>
      </w:r>
    </w:p>
    <w:p w14:paraId="6053D9C6"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VII.</w:t>
      </w:r>
      <w:r w:rsidRPr="00030063">
        <w:rPr>
          <w:rFonts w:ascii="Palatino Linotype" w:eastAsia="Palatino Linotype" w:hAnsi="Palatino Linotype" w:cs="Palatino Linotype"/>
          <w:i/>
          <w:sz w:val="22"/>
        </w:rPr>
        <w:t xml:space="preserve"> Faltas de puntualidad o de asistencia injustificadas;</w:t>
      </w:r>
    </w:p>
    <w:p w14:paraId="0BD676A5"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VIII. Pensiones alimenticias ordenadas por la autoridad judicial;</w:t>
      </w:r>
      <w:r w:rsidRPr="00030063">
        <w:rPr>
          <w:rFonts w:ascii="Palatino Linotype" w:eastAsia="Palatino Linotype" w:hAnsi="Palatino Linotype" w:cs="Palatino Linotype"/>
          <w:i/>
          <w:sz w:val="22"/>
        </w:rPr>
        <w:t xml:space="preserve"> o</w:t>
      </w:r>
    </w:p>
    <w:p w14:paraId="3D925921" w14:textId="77777777" w:rsidR="008C264D" w:rsidRPr="00030063" w:rsidRDefault="008C264D" w:rsidP="008C264D">
      <w:pPr>
        <w:spacing w:before="120" w:after="120"/>
        <w:ind w:left="1134" w:right="902"/>
        <w:jc w:val="both"/>
        <w:rPr>
          <w:rFonts w:ascii="Palatino Linotype" w:eastAsia="Palatino Linotype" w:hAnsi="Palatino Linotype" w:cs="Palatino Linotype"/>
          <w:b/>
          <w:i/>
          <w:sz w:val="22"/>
        </w:rPr>
      </w:pPr>
      <w:r w:rsidRPr="00030063">
        <w:rPr>
          <w:rFonts w:ascii="Palatino Linotype" w:eastAsia="Palatino Linotype" w:hAnsi="Palatino Linotype" w:cs="Palatino Linotype"/>
          <w:b/>
          <w:i/>
          <w:sz w:val="22"/>
        </w:rPr>
        <w:t>IX. Cualquier otro convenido con instituciones de servicios y aceptado por el servidor público.</w:t>
      </w:r>
    </w:p>
    <w:p w14:paraId="327221E1" w14:textId="77777777" w:rsidR="008C264D" w:rsidRPr="00030063" w:rsidRDefault="008C264D" w:rsidP="008C264D">
      <w:pPr>
        <w:spacing w:before="120" w:after="120"/>
        <w:ind w:left="851"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lastRenderedPageBreak/>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5F8A74E0"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5DB2A1CB"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De este modo, los </w:t>
      </w:r>
      <w:r w:rsidRPr="00030063">
        <w:rPr>
          <w:rFonts w:ascii="Palatino Linotype" w:eastAsia="Palatino Linotype" w:hAnsi="Palatino Linotype" w:cs="Palatino Linotype"/>
          <w:b/>
        </w:rPr>
        <w:t>descuentos o deducciones por cuotas sindicales</w:t>
      </w:r>
      <w:r w:rsidRPr="00030063">
        <w:rPr>
          <w:rFonts w:ascii="Palatino Linotype" w:eastAsia="Palatino Linotype" w:hAnsi="Palatino Linotype" w:cs="Palatino Linotype"/>
        </w:rPr>
        <w:t xml:space="preserve">, </w:t>
      </w:r>
      <w:r w:rsidRPr="00030063">
        <w:rPr>
          <w:rFonts w:ascii="Palatino Linotype" w:eastAsia="Palatino Linotype" w:hAnsi="Palatino Linotype" w:cs="Palatino Linotype"/>
          <w:b/>
        </w:rPr>
        <w:t>pensiones alimenticias</w:t>
      </w:r>
      <w:r w:rsidRPr="00030063">
        <w:rPr>
          <w:rFonts w:ascii="Palatino Linotype" w:eastAsia="Palatino Linotype" w:hAnsi="Palatino Linotype" w:cs="Palatino Linotype"/>
        </w:rPr>
        <w:t xml:space="preserve"> o </w:t>
      </w:r>
      <w:r w:rsidRPr="00030063">
        <w:rPr>
          <w:rFonts w:ascii="Palatino Linotype" w:eastAsia="Palatino Linotype" w:hAnsi="Palatino Linotype" w:cs="Palatino Linotype"/>
          <w:b/>
        </w:rPr>
        <w:t>créditos adquiridos con instituciones privadas</w:t>
      </w:r>
      <w:r w:rsidRPr="00030063">
        <w:rPr>
          <w:rFonts w:ascii="Palatino Linotype" w:eastAsia="Palatino Linotype" w:hAnsi="Palatino Linotype" w:cs="Palatino Linotype"/>
        </w:rPr>
        <w:t xml:space="preserve">, entre otros que no se relacionen con el gasto público, al revelar parte de las decisiones que adopta una persona respecto del uso y destino de su remuneración salarial, lo cual incide en la manera en que se integra su patrimonio, </w:t>
      </w:r>
      <w:r w:rsidRPr="00030063">
        <w:rPr>
          <w:rFonts w:ascii="Palatino Linotype" w:eastAsia="Palatino Linotype" w:hAnsi="Palatino Linotype" w:cs="Palatino Linotype"/>
          <w:b/>
        </w:rPr>
        <w:t>es información que no es de carácter público, sino que constituye información confidencial</w:t>
      </w:r>
      <w:r w:rsidRPr="00030063">
        <w:rPr>
          <w:rFonts w:ascii="Palatino Linotype" w:eastAsia="Palatino Linotype" w:hAnsi="Palatino Linotype" w:cs="Palatino Linotype"/>
        </w:rPr>
        <w:t xml:space="preserve"> en virtud de que corresponde con decisiones personales, y por tanto, se debe clasificar.</w:t>
      </w:r>
    </w:p>
    <w:p w14:paraId="28F5E295" w14:textId="0222C0FB" w:rsidR="008C264D" w:rsidRPr="00030063" w:rsidRDefault="008C264D" w:rsidP="008C264D">
      <w:pPr>
        <w:pBdr>
          <w:top w:val="nil"/>
          <w:left w:val="nil"/>
          <w:bottom w:val="nil"/>
          <w:right w:val="nil"/>
          <w:between w:val="nil"/>
        </w:pBdr>
        <w:spacing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Las claves y conceptos de los descuentos personales guardan también la misma naturaleza que los importes, ya que</w:t>
      </w:r>
      <w:r w:rsidR="00B87058" w:rsidRPr="00030063">
        <w:rPr>
          <w:rFonts w:ascii="Palatino Linotype" w:eastAsia="Palatino Linotype" w:hAnsi="Palatino Linotype" w:cs="Palatino Linotype"/>
        </w:rPr>
        <w:t xml:space="preserve">, </w:t>
      </w:r>
      <w:r w:rsidRPr="00030063">
        <w:rPr>
          <w:rFonts w:ascii="Palatino Linotype" w:eastAsia="Palatino Linotype" w:hAnsi="Palatino Linotype" w:cs="Palatino Linotype"/>
        </w:rPr>
        <w:t>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7C022EF0" w14:textId="77777777" w:rsidR="008C264D" w:rsidRPr="00030063" w:rsidRDefault="008C264D" w:rsidP="008C264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lastRenderedPageBreak/>
        <w:t>En conclusión, la información relacionada con los préstamos o descuentos de carácter personal, en virtud de no tener relación con la prestación del servicio y al no involucrar instituciones públicas, se consideran datos confidenciales.</w:t>
      </w:r>
    </w:p>
    <w:p w14:paraId="7ACFB1F5"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Con relación al </w:t>
      </w:r>
      <w:r w:rsidRPr="00030063">
        <w:rPr>
          <w:rFonts w:ascii="Palatino Linotype" w:eastAsia="Palatino Linotype" w:hAnsi="Palatino Linotype" w:cs="Palatino Linotype"/>
          <w:b/>
        </w:rPr>
        <w:t>número de empleado</w:t>
      </w:r>
      <w:r w:rsidRPr="00030063">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030063">
        <w:rPr>
          <w:rFonts w:ascii="Palatino Linotype" w:eastAsia="Palatino Linotype" w:hAnsi="Palatino Linotype" w:cs="Palatino Linotype"/>
          <w:vertAlign w:val="superscript"/>
        </w:rPr>
        <w:footnoteReference w:id="1"/>
      </w:r>
      <w:r w:rsidRPr="00030063">
        <w:rPr>
          <w:rFonts w:ascii="Palatino Linotype" w:eastAsia="Palatino Linotype" w:hAnsi="Palatino Linotype" w:cs="Palatino Linotype"/>
        </w:rPr>
        <w:t>.</w:t>
      </w:r>
    </w:p>
    <w:p w14:paraId="0CEAFF1D"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de interpretación con Clave de control SO/006/2019, que indica lo siguiente:</w:t>
      </w:r>
    </w:p>
    <w:p w14:paraId="2E49BFCC" w14:textId="77777777" w:rsidR="008C264D" w:rsidRPr="00030063" w:rsidRDefault="008C264D" w:rsidP="008C264D">
      <w:pPr>
        <w:tabs>
          <w:tab w:val="left" w:pos="7655"/>
        </w:tabs>
        <w:spacing w:before="240" w:after="240"/>
        <w:ind w:left="993" w:right="99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 xml:space="preserve">“Número de empleado. </w:t>
      </w:r>
      <w:r w:rsidRPr="00030063">
        <w:rPr>
          <w:rFonts w:ascii="Palatino Linotype" w:eastAsia="Palatino Linotype" w:hAnsi="Palatino Linotype" w:cs="Palatino Linotype"/>
          <w:i/>
          <w:sz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E4FBACB"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w:t>
      </w:r>
      <w:r w:rsidRPr="00030063">
        <w:rPr>
          <w:rFonts w:ascii="Palatino Linotype" w:eastAsia="Palatino Linotype" w:hAnsi="Palatino Linotype" w:cs="Palatino Linotype"/>
        </w:rPr>
        <w:lastRenderedPageBreak/>
        <w:t xml:space="preserve">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030063">
        <w:rPr>
          <w:rFonts w:ascii="Palatino Linotype" w:eastAsia="Palatino Linotype" w:hAnsi="Palatino Linotype" w:cs="Palatino Linotype"/>
          <w:b/>
        </w:rPr>
        <w:t>Sujeto Obligado</w:t>
      </w:r>
      <w:r w:rsidRPr="00030063">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3BDD4BD"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b/>
        </w:rPr>
        <w:t>De la información fiscal</w:t>
      </w:r>
      <w:r w:rsidRPr="00030063">
        <w:rPr>
          <w:rFonts w:ascii="Palatino Linotype" w:eastAsia="Palatino Linotype" w:hAnsi="Palatino Linotype" w:cs="Palatino Linotype"/>
        </w:rPr>
        <w:t xml:space="preserve">: </w:t>
      </w:r>
    </w:p>
    <w:p w14:paraId="14972C15"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La </w:t>
      </w:r>
      <w:r w:rsidRPr="00030063">
        <w:rPr>
          <w:rFonts w:ascii="Palatino Linotype" w:eastAsia="Palatino Linotype" w:hAnsi="Palatino Linotype" w:cs="Palatino Linotype"/>
          <w:b/>
        </w:rPr>
        <w:t>Cadena Original</w:t>
      </w:r>
      <w:r w:rsidRPr="00030063">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030063">
        <w:rPr>
          <w:rFonts w:ascii="Palatino Linotype" w:eastAsia="Palatino Linotype" w:hAnsi="Palatino Linotype" w:cs="Palatino Linotype"/>
          <w:b/>
        </w:rPr>
        <w:t>SUJETO OBLIGADO</w:t>
      </w:r>
      <w:r w:rsidRPr="00030063">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0682D7CE"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Los </w:t>
      </w:r>
      <w:r w:rsidRPr="00030063">
        <w:rPr>
          <w:rFonts w:ascii="Palatino Linotype" w:eastAsia="Palatino Linotype" w:hAnsi="Palatino Linotype" w:cs="Palatino Linotype"/>
          <w:b/>
        </w:rPr>
        <w:t>códigos bidimensionales</w:t>
      </w:r>
      <w:r w:rsidRPr="00030063">
        <w:rPr>
          <w:rFonts w:ascii="Palatino Linotype" w:eastAsia="Palatino Linotype" w:hAnsi="Palatino Linotype" w:cs="Palatino Linotype"/>
        </w:rPr>
        <w:t xml:space="preserve"> o </w:t>
      </w:r>
      <w:r w:rsidRPr="00030063">
        <w:rPr>
          <w:rFonts w:ascii="Palatino Linotype" w:eastAsia="Palatino Linotype" w:hAnsi="Palatino Linotype" w:cs="Palatino Linotype"/>
          <w:b/>
        </w:rPr>
        <w:t xml:space="preserve">códigos QR, </w:t>
      </w:r>
      <w:r w:rsidRPr="00030063">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030063">
        <w:rPr>
          <w:rFonts w:ascii="Palatino Linotype" w:eastAsia="Palatino Linotype" w:hAnsi="Palatino Linotype" w:cs="Palatino Linotype"/>
          <w:b/>
        </w:rPr>
        <w:t>Sujeto Obligado</w:t>
      </w:r>
      <w:r w:rsidRPr="00030063">
        <w:rPr>
          <w:rFonts w:ascii="Palatino Linotype" w:eastAsia="Palatino Linotype" w:hAnsi="Palatino Linotype" w:cs="Palatino Linotype"/>
        </w:rPr>
        <w:t xml:space="preserve"> analizar dicha circunstancia con la finalidad de determinar si se actualiza algún supuesto de confidencialidad.</w:t>
      </w:r>
    </w:p>
    <w:p w14:paraId="649DB9D3"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lastRenderedPageBreak/>
        <w:t xml:space="preserve">En tal sentido, si derivado del análisis efectuado por el </w:t>
      </w:r>
      <w:r w:rsidRPr="00030063">
        <w:rPr>
          <w:rFonts w:ascii="Palatino Linotype" w:eastAsia="Palatino Linotype" w:hAnsi="Palatino Linotype" w:cs="Palatino Linotype"/>
          <w:b/>
        </w:rPr>
        <w:t>Sujeto Obligado</w:t>
      </w:r>
      <w:r w:rsidRPr="00030063">
        <w:rPr>
          <w:rFonts w:ascii="Palatino Linotype" w:eastAsia="Palatino Linotype" w:hAnsi="Palatino Linotype" w:cs="Palatino Linotype"/>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11EEB224" w14:textId="77777777" w:rsidR="008C264D" w:rsidRPr="00030063" w:rsidRDefault="008C264D" w:rsidP="008C264D">
      <w:pPr>
        <w:spacing w:before="240" w:after="240" w:line="360" w:lineRule="auto"/>
        <w:ind w:right="50"/>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030063">
        <w:rPr>
          <w:rFonts w:ascii="Palatino Linotype" w:eastAsia="Palatino Linotype" w:hAnsi="Palatino Linotype" w:cs="Palatino Linotype"/>
        </w:rPr>
        <w:t>Responsable</w:t>
      </w:r>
      <w:proofErr w:type="gramEnd"/>
      <w:r w:rsidRPr="00030063">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0D34C46E" w14:textId="77777777" w:rsidR="008C264D" w:rsidRPr="00030063" w:rsidRDefault="008C264D" w:rsidP="008C264D">
      <w:pPr>
        <w:spacing w:before="120" w:after="120"/>
        <w:ind w:left="851"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“Artículo 49.</w:t>
      </w:r>
      <w:r w:rsidRPr="00030063">
        <w:rPr>
          <w:rFonts w:ascii="Palatino Linotype" w:eastAsia="Palatino Linotype" w:hAnsi="Palatino Linotype" w:cs="Palatino Linotype"/>
          <w:i/>
          <w:sz w:val="22"/>
        </w:rPr>
        <w:t xml:space="preserve"> </w:t>
      </w:r>
      <w:r w:rsidRPr="00030063">
        <w:rPr>
          <w:rFonts w:ascii="Palatino Linotype" w:eastAsia="Palatino Linotype" w:hAnsi="Palatino Linotype" w:cs="Palatino Linotype"/>
          <w:b/>
          <w:i/>
          <w:sz w:val="22"/>
        </w:rPr>
        <w:t>Los Comités de Transparencia</w:t>
      </w:r>
      <w:r w:rsidRPr="00030063">
        <w:rPr>
          <w:rFonts w:ascii="Palatino Linotype" w:eastAsia="Palatino Linotype" w:hAnsi="Palatino Linotype" w:cs="Palatino Linotype"/>
          <w:i/>
          <w:sz w:val="22"/>
        </w:rPr>
        <w:t xml:space="preserve"> tendrán las siguientes atribuciones:</w:t>
      </w:r>
    </w:p>
    <w:p w14:paraId="3C607006" w14:textId="77777777" w:rsidR="008C264D" w:rsidRPr="00030063" w:rsidRDefault="008C264D" w:rsidP="008C264D">
      <w:pPr>
        <w:spacing w:before="120" w:after="120"/>
        <w:ind w:left="1134"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VIII. Aprobar, modificar o revocar la clasificación de la información</w:t>
      </w:r>
      <w:r w:rsidRPr="00030063">
        <w:rPr>
          <w:rFonts w:ascii="Palatino Linotype" w:eastAsia="Palatino Linotype" w:hAnsi="Palatino Linotype" w:cs="Palatino Linotype"/>
          <w:i/>
          <w:sz w:val="22"/>
        </w:rPr>
        <w:t>…”</w:t>
      </w:r>
    </w:p>
    <w:p w14:paraId="5AB67BA2" w14:textId="77777777" w:rsidR="008C264D" w:rsidRPr="00030063" w:rsidRDefault="008C264D" w:rsidP="008C264D">
      <w:pPr>
        <w:spacing w:before="120" w:after="120"/>
        <w:ind w:left="851"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w:t>
      </w:r>
      <w:r w:rsidRPr="00030063">
        <w:rPr>
          <w:rFonts w:ascii="Palatino Linotype" w:eastAsia="Palatino Linotype" w:hAnsi="Palatino Linotype" w:cs="Palatino Linotype"/>
          <w:b/>
          <w:i/>
          <w:sz w:val="22"/>
        </w:rPr>
        <w:t>Artículo 53.</w:t>
      </w:r>
      <w:r w:rsidRPr="00030063">
        <w:rPr>
          <w:rFonts w:ascii="Palatino Linotype" w:eastAsia="Palatino Linotype" w:hAnsi="Palatino Linotype" w:cs="Palatino Linotype"/>
          <w:i/>
          <w:sz w:val="22"/>
        </w:rPr>
        <w:t xml:space="preserve"> Las </w:t>
      </w:r>
      <w:r w:rsidRPr="00030063">
        <w:rPr>
          <w:rFonts w:ascii="Palatino Linotype" w:eastAsia="Palatino Linotype" w:hAnsi="Palatino Linotype" w:cs="Palatino Linotype"/>
          <w:b/>
          <w:i/>
          <w:sz w:val="22"/>
        </w:rPr>
        <w:t>Unidades de Transparencia</w:t>
      </w:r>
      <w:r w:rsidRPr="00030063">
        <w:rPr>
          <w:rFonts w:ascii="Palatino Linotype" w:eastAsia="Palatino Linotype" w:hAnsi="Palatino Linotype" w:cs="Palatino Linotype"/>
          <w:i/>
          <w:sz w:val="22"/>
        </w:rPr>
        <w:t xml:space="preserve"> tendrán las siguientes </w:t>
      </w:r>
      <w:r w:rsidRPr="00030063">
        <w:rPr>
          <w:rFonts w:ascii="Palatino Linotype" w:eastAsia="Palatino Linotype" w:hAnsi="Palatino Linotype" w:cs="Palatino Linotype"/>
          <w:b/>
          <w:i/>
          <w:sz w:val="22"/>
        </w:rPr>
        <w:t>funciones</w:t>
      </w:r>
      <w:r w:rsidRPr="00030063">
        <w:rPr>
          <w:rFonts w:ascii="Palatino Linotype" w:eastAsia="Palatino Linotype" w:hAnsi="Palatino Linotype" w:cs="Palatino Linotype"/>
          <w:i/>
          <w:sz w:val="22"/>
        </w:rPr>
        <w:t>:</w:t>
      </w:r>
    </w:p>
    <w:p w14:paraId="25B1CD72" w14:textId="77777777" w:rsidR="008C264D" w:rsidRPr="00030063" w:rsidRDefault="008C264D" w:rsidP="008C264D">
      <w:pPr>
        <w:spacing w:before="120" w:after="120"/>
        <w:ind w:left="1134"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X. Presentar ante el Comité, el proyecto de clasificación de información</w:t>
      </w:r>
      <w:r w:rsidRPr="00030063">
        <w:rPr>
          <w:rFonts w:ascii="Palatino Linotype" w:eastAsia="Palatino Linotype" w:hAnsi="Palatino Linotype" w:cs="Palatino Linotype"/>
          <w:i/>
          <w:sz w:val="22"/>
        </w:rPr>
        <w:t xml:space="preserve">…” </w:t>
      </w:r>
    </w:p>
    <w:p w14:paraId="31234EDB" w14:textId="77777777" w:rsidR="008C264D" w:rsidRPr="00030063" w:rsidRDefault="008C264D" w:rsidP="008C264D">
      <w:pPr>
        <w:spacing w:before="120" w:after="120"/>
        <w:ind w:left="851"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“Artículo 59.</w:t>
      </w:r>
      <w:r w:rsidRPr="00030063">
        <w:rPr>
          <w:rFonts w:ascii="Palatino Linotype" w:eastAsia="Palatino Linotype" w:hAnsi="Palatino Linotype" w:cs="Palatino Linotype"/>
          <w:i/>
          <w:sz w:val="22"/>
        </w:rPr>
        <w:t xml:space="preserve"> Los </w:t>
      </w:r>
      <w:r w:rsidRPr="00030063">
        <w:rPr>
          <w:rFonts w:ascii="Palatino Linotype" w:eastAsia="Palatino Linotype" w:hAnsi="Palatino Linotype" w:cs="Palatino Linotype"/>
          <w:b/>
          <w:i/>
          <w:sz w:val="22"/>
        </w:rPr>
        <w:t>servidores públicos habilitados</w:t>
      </w:r>
      <w:r w:rsidRPr="00030063">
        <w:rPr>
          <w:rFonts w:ascii="Palatino Linotype" w:eastAsia="Palatino Linotype" w:hAnsi="Palatino Linotype" w:cs="Palatino Linotype"/>
          <w:i/>
          <w:sz w:val="22"/>
        </w:rPr>
        <w:t xml:space="preserve"> tendrán las </w:t>
      </w:r>
      <w:r w:rsidRPr="00030063">
        <w:rPr>
          <w:rFonts w:ascii="Palatino Linotype" w:eastAsia="Palatino Linotype" w:hAnsi="Palatino Linotype" w:cs="Palatino Linotype"/>
          <w:b/>
          <w:i/>
          <w:sz w:val="22"/>
        </w:rPr>
        <w:t>funciones</w:t>
      </w:r>
      <w:r w:rsidRPr="00030063">
        <w:rPr>
          <w:rFonts w:ascii="Palatino Linotype" w:eastAsia="Palatino Linotype" w:hAnsi="Palatino Linotype" w:cs="Palatino Linotype"/>
          <w:i/>
          <w:sz w:val="22"/>
        </w:rPr>
        <w:t xml:space="preserve"> siguientes:</w:t>
      </w:r>
    </w:p>
    <w:p w14:paraId="3294E321" w14:textId="77777777" w:rsidR="008C264D" w:rsidRPr="00030063" w:rsidRDefault="008C264D" w:rsidP="008C264D">
      <w:pPr>
        <w:spacing w:before="120" w:after="120"/>
        <w:ind w:left="1134"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lastRenderedPageBreak/>
        <w:t>V. Integrar y presentar al responsable de la Unidad de Transparencia la propuesta de clasificación de información</w:t>
      </w:r>
      <w:r w:rsidRPr="00030063">
        <w:rPr>
          <w:rFonts w:ascii="Palatino Linotype" w:eastAsia="Palatino Linotype" w:hAnsi="Palatino Linotype" w:cs="Palatino Linotype"/>
          <w:i/>
          <w:sz w:val="22"/>
        </w:rPr>
        <w:t>, la cual tendrá los fundamentos y argumentos en que se basa dicha propuesta…”</w:t>
      </w:r>
    </w:p>
    <w:p w14:paraId="14DA2BFA"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0D5D823"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76D160AC" w14:textId="77777777" w:rsidR="008C264D" w:rsidRPr="00030063" w:rsidRDefault="008C264D" w:rsidP="008C264D">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w:t>
      </w:r>
      <w:r w:rsidRPr="00030063">
        <w:rPr>
          <w:rFonts w:ascii="Palatino Linotype" w:eastAsia="Palatino Linotype" w:hAnsi="Palatino Linotype" w:cs="Palatino Linotype"/>
          <w:b/>
          <w:i/>
          <w:sz w:val="22"/>
        </w:rPr>
        <w:t>Artículo 149.</w:t>
      </w:r>
      <w:r w:rsidRPr="00030063">
        <w:rPr>
          <w:rFonts w:ascii="Palatino Linotype" w:eastAsia="Palatino Linotype" w:hAnsi="Palatino Linotype" w:cs="Palatino Linotype"/>
          <w:i/>
          <w:sz w:val="22"/>
        </w:rPr>
        <w:t xml:space="preserve"> El </w:t>
      </w:r>
      <w:r w:rsidRPr="00030063">
        <w:rPr>
          <w:rFonts w:ascii="Palatino Linotype" w:eastAsia="Palatino Linotype" w:hAnsi="Palatino Linotype" w:cs="Palatino Linotype"/>
          <w:b/>
          <w:i/>
          <w:sz w:val="22"/>
        </w:rPr>
        <w:t>acuerdo que clasifique la información como confidencial</w:t>
      </w:r>
      <w:r w:rsidRPr="00030063">
        <w:rPr>
          <w:rFonts w:ascii="Palatino Linotype" w:eastAsia="Palatino Linotype" w:hAnsi="Palatino Linotype" w:cs="Palatino Linotype"/>
          <w:i/>
          <w:sz w:val="22"/>
        </w:rPr>
        <w:t xml:space="preserve"> deberá contener un razonamiento lógico en el que demuestre que la información se encuentra en alguna o algunas de las hipótesis previstas en la presente Ley.” </w:t>
      </w:r>
    </w:p>
    <w:p w14:paraId="59769BE5" w14:textId="77777777" w:rsidR="008C264D" w:rsidRPr="00030063" w:rsidRDefault="008C264D" w:rsidP="008C264D">
      <w:pPr>
        <w:spacing w:before="240" w:after="240" w:line="360" w:lineRule="auto"/>
        <w:ind w:right="51"/>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Es decir, el </w:t>
      </w:r>
      <w:r w:rsidRPr="00030063">
        <w:rPr>
          <w:rFonts w:ascii="Palatino Linotype" w:eastAsia="Palatino Linotype" w:hAnsi="Palatino Linotype" w:cs="Palatino Linotype"/>
          <w:b/>
        </w:rPr>
        <w:t>Sujeto Obligado</w:t>
      </w:r>
      <w:r w:rsidRPr="00030063">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w:t>
      </w:r>
      <w:r w:rsidRPr="00030063">
        <w:rPr>
          <w:rFonts w:ascii="Palatino Linotype" w:eastAsia="Palatino Linotype" w:hAnsi="Palatino Linotype" w:cs="Palatino Linotype"/>
        </w:rPr>
        <w:lastRenderedPageBreak/>
        <w:t>versión pública de la documentación entregada se estaría violentando el derecho de acceso a la información de la persona solicitante.</w:t>
      </w:r>
    </w:p>
    <w:p w14:paraId="3647924F" w14:textId="77777777" w:rsidR="008C264D" w:rsidRPr="00030063" w:rsidRDefault="008C264D" w:rsidP="008C264D">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030063">
        <w:rPr>
          <w:rFonts w:ascii="Palatino Linotype" w:eastAsia="Palatino Linotype" w:hAnsi="Palatino Linotype" w:cs="Palatino Linotype"/>
        </w:rPr>
        <w:t xml:space="preserve">Asimismo, respecto a las formalidades que deberá llevar el acuerdo de clasificación que deberá emitir el </w:t>
      </w:r>
      <w:r w:rsidRPr="00030063">
        <w:rPr>
          <w:rFonts w:ascii="Palatino Linotype" w:eastAsia="Palatino Linotype" w:hAnsi="Palatino Linotype" w:cs="Palatino Linotype"/>
          <w:b/>
        </w:rPr>
        <w:t>Sujeto Obligado</w:t>
      </w:r>
      <w:r w:rsidRPr="00030063">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2C4ACAC" w14:textId="77777777" w:rsidR="008C264D" w:rsidRPr="00030063" w:rsidRDefault="008C264D" w:rsidP="008C264D">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 xml:space="preserve"> “Quincuagésimo. </w:t>
      </w:r>
      <w:r w:rsidRPr="00030063">
        <w:rPr>
          <w:rFonts w:ascii="Palatino Linotype" w:eastAsia="Palatino Linotype" w:hAnsi="Palatino Linotype" w:cs="Palatino Linotype"/>
          <w:i/>
          <w:sz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E2149BA" w14:textId="77777777" w:rsidR="008C264D" w:rsidRPr="00030063" w:rsidRDefault="008C264D" w:rsidP="008C264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 xml:space="preserve">Quincuagésimo primero. </w:t>
      </w:r>
      <w:r w:rsidRPr="00030063">
        <w:rPr>
          <w:rFonts w:ascii="Palatino Linotype" w:eastAsia="Palatino Linotype" w:hAnsi="Palatino Linotype" w:cs="Palatino Linotype"/>
          <w:i/>
          <w:sz w:val="22"/>
        </w:rPr>
        <w:t xml:space="preserve">Toda acta del Comité de Transparencia deberá contener: </w:t>
      </w:r>
    </w:p>
    <w:p w14:paraId="5E165F87" w14:textId="77777777" w:rsidR="008C264D" w:rsidRPr="00030063" w:rsidRDefault="008C264D" w:rsidP="008C26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w:t>
      </w:r>
      <w:r w:rsidRPr="00030063">
        <w:rPr>
          <w:rFonts w:ascii="Palatino Linotype" w:eastAsia="Palatino Linotype" w:hAnsi="Palatino Linotype" w:cs="Palatino Linotype"/>
          <w:i/>
          <w:sz w:val="22"/>
        </w:rPr>
        <w:t xml:space="preserve"> El número de sesión y fecha; </w:t>
      </w:r>
    </w:p>
    <w:p w14:paraId="1B5B9ABB" w14:textId="77777777" w:rsidR="008C264D" w:rsidRPr="00030063" w:rsidRDefault="008C264D" w:rsidP="008C26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II</w:t>
      </w:r>
      <w:r w:rsidRPr="00030063">
        <w:rPr>
          <w:rFonts w:ascii="Palatino Linotype" w:eastAsia="Palatino Linotype" w:hAnsi="Palatino Linotype" w:cs="Palatino Linotype"/>
          <w:i/>
          <w:sz w:val="22"/>
        </w:rPr>
        <w:t xml:space="preserve">. El nombre del área que solicitó la clasificación de información; </w:t>
      </w:r>
    </w:p>
    <w:p w14:paraId="244BC5DC" w14:textId="77777777" w:rsidR="008C264D" w:rsidRPr="00030063" w:rsidRDefault="008C264D" w:rsidP="008C26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III</w:t>
      </w:r>
      <w:r w:rsidRPr="00030063">
        <w:rPr>
          <w:rFonts w:ascii="Palatino Linotype" w:eastAsia="Palatino Linotype" w:hAnsi="Palatino Linotype" w:cs="Palatino Linotype"/>
          <w:i/>
          <w:sz w:val="22"/>
        </w:rPr>
        <w:t xml:space="preserve">. La fundamentación legal y motivación correspondiente; </w:t>
      </w:r>
    </w:p>
    <w:p w14:paraId="09F25F2B" w14:textId="77777777" w:rsidR="008C264D" w:rsidRPr="00030063" w:rsidRDefault="008C264D" w:rsidP="008C26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IV</w:t>
      </w:r>
      <w:r w:rsidRPr="00030063">
        <w:rPr>
          <w:rFonts w:ascii="Palatino Linotype" w:eastAsia="Palatino Linotype" w:hAnsi="Palatino Linotype" w:cs="Palatino Linotype"/>
          <w:i/>
          <w:sz w:val="22"/>
        </w:rPr>
        <w:t xml:space="preserve">. La resolución o resoluciones aprobadas; y </w:t>
      </w:r>
    </w:p>
    <w:p w14:paraId="3239AAB8" w14:textId="77777777" w:rsidR="008C264D" w:rsidRPr="00030063" w:rsidRDefault="008C264D" w:rsidP="008C26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V</w:t>
      </w:r>
      <w:r w:rsidRPr="00030063">
        <w:rPr>
          <w:rFonts w:ascii="Palatino Linotype" w:eastAsia="Palatino Linotype" w:hAnsi="Palatino Linotype" w:cs="Palatino Linotype"/>
          <w:i/>
          <w:sz w:val="22"/>
        </w:rPr>
        <w:t xml:space="preserve">. La rúbrica o firma digital de cada integrante del Comité de Transparencia. </w:t>
      </w:r>
    </w:p>
    <w:p w14:paraId="6957343A" w14:textId="77777777" w:rsidR="008C264D" w:rsidRPr="00030063" w:rsidRDefault="008C264D" w:rsidP="008C264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 xml:space="preserve">Las resoluciones del Comité en las que se haya determinado confirmar o modificar la clasificación de información pública como reservada, deberán incluir, cuando menos: </w:t>
      </w:r>
    </w:p>
    <w:p w14:paraId="517B77AD" w14:textId="77777777" w:rsidR="008C264D" w:rsidRPr="00030063" w:rsidRDefault="008C264D" w:rsidP="008C26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w:t>
      </w:r>
      <w:r w:rsidRPr="00030063">
        <w:rPr>
          <w:rFonts w:ascii="Palatino Linotype" w:eastAsia="Palatino Linotype" w:hAnsi="Palatino Linotype" w:cs="Palatino Linotype"/>
          <w:i/>
          <w:sz w:val="22"/>
        </w:rPr>
        <w:t xml:space="preserve"> Los motivos y razonamientos que sustenten la confirmación o modificación de la prueba de daño;</w:t>
      </w:r>
    </w:p>
    <w:p w14:paraId="08AB0330" w14:textId="77777777" w:rsidR="008C264D" w:rsidRPr="00030063" w:rsidRDefault="008C264D" w:rsidP="008C264D">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rPr>
      </w:pPr>
      <w:r w:rsidRPr="00030063">
        <w:rPr>
          <w:rFonts w:ascii="Palatino Linotype" w:eastAsia="Palatino Linotype" w:hAnsi="Palatino Linotype" w:cs="Palatino Linotype"/>
          <w:b/>
          <w:i/>
          <w:sz w:val="22"/>
        </w:rPr>
        <w:t>II</w:t>
      </w:r>
      <w:r w:rsidRPr="00030063">
        <w:rPr>
          <w:rFonts w:ascii="Palatino Linotype" w:eastAsia="Palatino Linotype" w:hAnsi="Palatino Linotype" w:cs="Palatino Linotype"/>
          <w:i/>
          <w:sz w:val="22"/>
        </w:rPr>
        <w:t>. Descripción de las partes o secciones reservadas, en caso de clasificación parcial</w:t>
      </w:r>
      <w:r w:rsidRPr="00030063">
        <w:rPr>
          <w:rFonts w:ascii="Palatino Linotype" w:eastAsia="Palatino Linotype" w:hAnsi="Palatino Linotype" w:cs="Palatino Linotype"/>
          <w:b/>
          <w:i/>
          <w:sz w:val="22"/>
        </w:rPr>
        <w:t xml:space="preserve">; </w:t>
      </w:r>
    </w:p>
    <w:p w14:paraId="23A60C06" w14:textId="77777777" w:rsidR="008C264D" w:rsidRPr="00030063" w:rsidRDefault="008C264D" w:rsidP="008C26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III.</w:t>
      </w:r>
      <w:r w:rsidRPr="00030063">
        <w:rPr>
          <w:rFonts w:ascii="Palatino Linotype" w:eastAsia="Palatino Linotype" w:hAnsi="Palatino Linotype" w:cs="Palatino Linotype"/>
          <w:i/>
          <w:sz w:val="22"/>
        </w:rPr>
        <w:t xml:space="preserve"> El periodo por el que mantendrá su clasificación y fecha de expiración; y </w:t>
      </w:r>
    </w:p>
    <w:p w14:paraId="342815E0" w14:textId="77777777" w:rsidR="008C264D" w:rsidRPr="00030063" w:rsidRDefault="008C264D" w:rsidP="008C264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IV.</w:t>
      </w:r>
      <w:r w:rsidRPr="00030063">
        <w:rPr>
          <w:rFonts w:ascii="Palatino Linotype" w:eastAsia="Palatino Linotype" w:hAnsi="Palatino Linotype" w:cs="Palatino Linotype"/>
          <w:i/>
          <w:sz w:val="22"/>
        </w:rPr>
        <w:t xml:space="preserve"> El nombre del titular y área encargada de realizar la versión pública del documento, en su caso. </w:t>
      </w:r>
    </w:p>
    <w:p w14:paraId="00DC0819" w14:textId="77777777" w:rsidR="008C264D" w:rsidRPr="00030063" w:rsidRDefault="008C264D" w:rsidP="008C264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lastRenderedPageBreak/>
        <w:t xml:space="preserve">En los casos en que se clasifique la información como reservada siempre se entregará o anexará la prueba de daño con la respuesta al solicitante. </w:t>
      </w:r>
    </w:p>
    <w:p w14:paraId="142F52C5" w14:textId="77777777" w:rsidR="008C264D" w:rsidRPr="00030063" w:rsidRDefault="008C264D" w:rsidP="008C264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En los casos de resoluciones del Comité de Transparencia en las que se confirme la clasificación de información confidencial solo se deberán de identificar los tipos de datos protegidos, de conformidad con el lineamiento trigésimo octavo.</w:t>
      </w:r>
    </w:p>
    <w:p w14:paraId="7686FF12" w14:textId="77777777" w:rsidR="008C264D" w:rsidRPr="00030063" w:rsidRDefault="008C264D" w:rsidP="008C264D">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3F44106" w14:textId="77777777" w:rsidR="008C264D" w:rsidRPr="00030063" w:rsidRDefault="008C264D" w:rsidP="008C264D">
      <w:pPr>
        <w:spacing w:before="120" w:after="120"/>
        <w:ind w:left="851"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w:t>
      </w:r>
      <w:r w:rsidRPr="00030063">
        <w:rPr>
          <w:rFonts w:ascii="Palatino Linotype" w:eastAsia="Palatino Linotype" w:hAnsi="Palatino Linotype" w:cs="Palatino Linotype"/>
          <w:b/>
          <w:i/>
          <w:sz w:val="22"/>
        </w:rPr>
        <w:t>Quincuagésimo segundo</w:t>
      </w:r>
      <w:r w:rsidRPr="00030063">
        <w:rPr>
          <w:rFonts w:ascii="Palatino Linotype" w:eastAsia="Palatino Linotype" w:hAnsi="Palatino Linotype" w:cs="Palatino Linotype"/>
          <w:i/>
          <w:sz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C6F5F91" w14:textId="77777777" w:rsidR="008C264D" w:rsidRPr="00030063" w:rsidRDefault="008C264D" w:rsidP="008C264D">
      <w:pPr>
        <w:spacing w:before="120" w:after="120"/>
        <w:ind w:left="851"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 xml:space="preserve">En el caso específico de la clasificación y elaboración de versiones públicas de documentos que contengan información confidencial, las áreas de los sujetos obligados deberán: </w:t>
      </w:r>
    </w:p>
    <w:p w14:paraId="17B21618" w14:textId="77777777" w:rsidR="008C264D" w:rsidRPr="00030063" w:rsidRDefault="008C264D" w:rsidP="008C264D">
      <w:pPr>
        <w:spacing w:before="120" w:after="120"/>
        <w:ind w:left="1134"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w:t>
      </w:r>
      <w:r w:rsidRPr="00030063">
        <w:rPr>
          <w:rFonts w:ascii="Palatino Linotype" w:eastAsia="Palatino Linotype" w:hAnsi="Palatino Linotype" w:cs="Palatino Linotype"/>
          <w:i/>
          <w:sz w:val="22"/>
        </w:rPr>
        <w:t xml:space="preserve"> Fijar la fecha en que se elaboró la versión pública y la fecha en la cual el Comité de Transparencia confirmó dicha versión;</w:t>
      </w:r>
    </w:p>
    <w:p w14:paraId="26065716" w14:textId="77777777" w:rsidR="008C264D" w:rsidRPr="00030063" w:rsidRDefault="008C264D" w:rsidP="008C264D">
      <w:pPr>
        <w:spacing w:before="120" w:after="120"/>
        <w:ind w:left="1134"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II.</w:t>
      </w:r>
      <w:r w:rsidRPr="00030063">
        <w:rPr>
          <w:rFonts w:ascii="Palatino Linotype" w:eastAsia="Palatino Linotype" w:hAnsi="Palatino Linotype" w:cs="Palatino Linotype"/>
          <w:i/>
          <w:sz w:val="22"/>
        </w:rPr>
        <w:t xml:space="preserve"> Señalar dentro del documento el tipo de información confidencial que fue testada en cada caso específico, de conformidad con el lineamiento trigésimo octavo; y</w:t>
      </w:r>
    </w:p>
    <w:p w14:paraId="5C479B97" w14:textId="77777777" w:rsidR="008C264D" w:rsidRPr="00030063" w:rsidRDefault="008C264D" w:rsidP="008C264D">
      <w:pPr>
        <w:spacing w:before="120" w:after="120"/>
        <w:ind w:left="1134"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III.</w:t>
      </w:r>
      <w:r w:rsidRPr="00030063">
        <w:rPr>
          <w:rFonts w:ascii="Palatino Linotype" w:eastAsia="Palatino Linotype" w:hAnsi="Palatino Linotype" w:cs="Palatino Linotype"/>
          <w:i/>
          <w:sz w:val="22"/>
        </w:rPr>
        <w:t xml:space="preserve"> Señalar las personas o instancias autorizadas a acceder a la información clasificada.</w:t>
      </w:r>
    </w:p>
    <w:p w14:paraId="4228DD53" w14:textId="77777777" w:rsidR="008C264D" w:rsidRPr="00030063" w:rsidRDefault="008C264D" w:rsidP="008C264D">
      <w:pPr>
        <w:spacing w:before="120" w:after="120"/>
        <w:ind w:left="851"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En los documentos de difusión electrónica, señalar en la primera hoja y en el nombre del archivo, que la versión pública corresponde a un documento que contiene información confidencial.”</w:t>
      </w:r>
    </w:p>
    <w:p w14:paraId="34BFA174" w14:textId="77777777" w:rsidR="008C264D" w:rsidRPr="00030063" w:rsidRDefault="008C264D" w:rsidP="008C264D">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w:t>
      </w:r>
    </w:p>
    <w:p w14:paraId="36A1B2FC" w14:textId="77777777" w:rsidR="008C264D" w:rsidRPr="00030063" w:rsidRDefault="008C264D" w:rsidP="008C264D">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rPr>
      </w:pPr>
      <w:r w:rsidRPr="00030063">
        <w:rPr>
          <w:rFonts w:ascii="Palatino Linotype" w:eastAsia="Palatino Linotype" w:hAnsi="Palatino Linotype" w:cs="Palatino Linotype"/>
          <w:b/>
          <w:i/>
          <w:sz w:val="22"/>
        </w:rPr>
        <w:t xml:space="preserve">Quincuagésimo cuarto. </w:t>
      </w:r>
      <w:r w:rsidRPr="00030063">
        <w:rPr>
          <w:rFonts w:ascii="Palatino Linotype" w:eastAsia="Palatino Linotype" w:hAnsi="Palatino Linotype" w:cs="Palatino Linotype"/>
          <w:i/>
          <w:sz w:val="22"/>
        </w:rPr>
        <w:t xml:space="preserve">Cuando el Comité de Transparencia confirme la clasificación de documentos reservados y/o confidenciales, sea total o parcialmente; se deberá anexar al expediente la resolución que determinó la </w:t>
      </w:r>
      <w:r w:rsidRPr="00030063">
        <w:rPr>
          <w:rFonts w:ascii="Palatino Linotype" w:eastAsia="Palatino Linotype" w:hAnsi="Palatino Linotype" w:cs="Palatino Linotype"/>
          <w:i/>
          <w:sz w:val="22"/>
        </w:rPr>
        <w:lastRenderedPageBreak/>
        <w:t>clasificación o, en su defecto, identificar en la carátula del expediente del cual formen parte, la fecha y sesión del Comité de Transparencia en la que se confirmó dicha clasificación.</w:t>
      </w:r>
      <w:r w:rsidRPr="00030063">
        <w:rPr>
          <w:rFonts w:ascii="Palatino Linotype" w:eastAsia="Palatino Linotype" w:hAnsi="Palatino Linotype" w:cs="Palatino Linotype"/>
          <w:b/>
          <w:i/>
          <w:sz w:val="22"/>
        </w:rPr>
        <w:t xml:space="preserve"> </w:t>
      </w:r>
    </w:p>
    <w:p w14:paraId="745C5133" w14:textId="77777777" w:rsidR="008C264D" w:rsidRPr="00030063" w:rsidRDefault="008C264D" w:rsidP="008C264D">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 xml:space="preserve">Quincuagésimo quinto. </w:t>
      </w:r>
      <w:r w:rsidRPr="00030063">
        <w:rPr>
          <w:rFonts w:ascii="Palatino Linotype" w:eastAsia="Palatino Linotype" w:hAnsi="Palatino Linotype" w:cs="Palatino Linotype"/>
          <w:i/>
          <w:sz w:val="22"/>
        </w:rPr>
        <w:t xml:space="preserve">Cada área del sujeto obligado podrá designar formalmente a una o más personas como responsables del </w:t>
      </w:r>
      <w:proofErr w:type="spellStart"/>
      <w:r w:rsidRPr="00030063">
        <w:rPr>
          <w:rFonts w:ascii="Palatino Linotype" w:eastAsia="Palatino Linotype" w:hAnsi="Palatino Linotype" w:cs="Palatino Linotype"/>
          <w:i/>
          <w:sz w:val="22"/>
        </w:rPr>
        <w:t>testado</w:t>
      </w:r>
      <w:proofErr w:type="spellEnd"/>
      <w:r w:rsidRPr="00030063">
        <w:rPr>
          <w:rFonts w:ascii="Palatino Linotype" w:eastAsia="Palatino Linotype" w:hAnsi="Palatino Linotype" w:cs="Palatino Linotype"/>
          <w:i/>
          <w:sz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4A401B3" w14:textId="77777777" w:rsidR="008C264D" w:rsidRPr="00030063" w:rsidRDefault="008C264D" w:rsidP="008C264D">
      <w:pPr>
        <w:spacing w:before="120" w:after="120"/>
        <w:ind w:left="851" w:right="902"/>
        <w:jc w:val="both"/>
        <w:rPr>
          <w:rFonts w:ascii="Palatino Linotype" w:eastAsia="Palatino Linotype" w:hAnsi="Palatino Linotype" w:cs="Palatino Linotype"/>
          <w:b/>
          <w:i/>
          <w:sz w:val="22"/>
        </w:rPr>
      </w:pPr>
      <w:r w:rsidRPr="00030063">
        <w:rPr>
          <w:rFonts w:ascii="Palatino Linotype" w:eastAsia="Palatino Linotype" w:hAnsi="Palatino Linotype" w:cs="Palatino Linotype"/>
          <w:b/>
          <w:i/>
          <w:sz w:val="22"/>
        </w:rPr>
        <w:t>...</w:t>
      </w:r>
    </w:p>
    <w:p w14:paraId="72E1E05A" w14:textId="77777777" w:rsidR="008C264D" w:rsidRPr="00030063" w:rsidRDefault="008C264D" w:rsidP="008C264D">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Quincuagésimo séptimo</w:t>
      </w:r>
      <w:r w:rsidRPr="00030063">
        <w:rPr>
          <w:rFonts w:ascii="Palatino Linotype" w:eastAsia="Palatino Linotype" w:hAnsi="Palatino Linotype" w:cs="Palatino Linotype"/>
          <w:i/>
          <w:sz w:val="22"/>
        </w:rPr>
        <w:t xml:space="preserve">. Se considera, en principio, como información pública y no podrá omitirse de las versiones públicas la siguiente: </w:t>
      </w:r>
    </w:p>
    <w:p w14:paraId="5E68E2F7"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w:t>
      </w:r>
      <w:r w:rsidRPr="00030063">
        <w:rPr>
          <w:rFonts w:ascii="Palatino Linotype" w:eastAsia="Palatino Linotype" w:hAnsi="Palatino Linotype" w:cs="Palatino Linotype"/>
          <w:i/>
          <w:sz w:val="22"/>
        </w:rPr>
        <w:t xml:space="preserve">. La relativa a las Obligaciones de Transparencia que contempla el Título V de la Ley General y las demás disposiciones legales aplicables; </w:t>
      </w:r>
    </w:p>
    <w:p w14:paraId="78D80ABF"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II.</w:t>
      </w:r>
      <w:r w:rsidRPr="00030063">
        <w:rPr>
          <w:rFonts w:ascii="Palatino Linotype" w:eastAsia="Palatino Linotype" w:hAnsi="Palatino Linotype" w:cs="Palatino Linotype"/>
          <w:i/>
          <w:sz w:val="22"/>
        </w:rPr>
        <w:t xml:space="preserve"> El nombre de los integrantes de los sujetos obligados en los documentos, y sus firmas autógrafas o digitales, cuando sean utilizados en el ejercicio de las facultades conferidas para el desempeño del servicio público, y</w:t>
      </w:r>
    </w:p>
    <w:p w14:paraId="13214C9B" w14:textId="77777777" w:rsidR="008C264D" w:rsidRPr="00030063" w:rsidRDefault="008C264D" w:rsidP="008C264D">
      <w:pPr>
        <w:spacing w:before="120" w:after="120"/>
        <w:ind w:left="1134"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III</w:t>
      </w:r>
      <w:r w:rsidRPr="00030063">
        <w:rPr>
          <w:rFonts w:ascii="Palatino Linotype" w:eastAsia="Palatino Linotype" w:hAnsi="Palatino Linotype" w:cs="Palatino Linotype"/>
          <w:i/>
          <w:sz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F849CAA" w14:textId="77777777" w:rsidR="008C264D" w:rsidRPr="00030063" w:rsidRDefault="008C264D" w:rsidP="008C264D">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i/>
          <w:sz w:val="22"/>
        </w:rPr>
        <w:t xml:space="preserve">Lo anterior, siempre y cuando no se acredite alguna causal de clasificación, prevista en las leyes o en los tratados internacionales suscritas por el Estado mexicano.  </w:t>
      </w:r>
    </w:p>
    <w:p w14:paraId="1D7B151B" w14:textId="77777777" w:rsidR="008C264D" w:rsidRPr="00030063" w:rsidRDefault="008C264D" w:rsidP="008C264D">
      <w:pPr>
        <w:spacing w:before="120" w:after="120"/>
        <w:ind w:left="851" w:right="902"/>
        <w:jc w:val="both"/>
        <w:rPr>
          <w:rFonts w:ascii="Palatino Linotype" w:eastAsia="Palatino Linotype" w:hAnsi="Palatino Linotype" w:cs="Palatino Linotype"/>
          <w:i/>
          <w:sz w:val="22"/>
        </w:rPr>
      </w:pPr>
      <w:r w:rsidRPr="00030063">
        <w:rPr>
          <w:rFonts w:ascii="Palatino Linotype" w:eastAsia="Palatino Linotype" w:hAnsi="Palatino Linotype" w:cs="Palatino Linotype"/>
          <w:b/>
          <w:i/>
          <w:sz w:val="22"/>
        </w:rPr>
        <w:t>Quincuagésimo octavo</w:t>
      </w:r>
      <w:r w:rsidRPr="00030063">
        <w:rPr>
          <w:rFonts w:ascii="Palatino Linotype" w:eastAsia="Palatino Linotype" w:hAnsi="Palatino Linotype" w:cs="Palatino Linotype"/>
          <w:i/>
          <w:sz w:val="22"/>
        </w:rPr>
        <w:t>. Los sujetos obligados garantizarán que los sistemas o medios empleados para eliminar la información en las versiones públicas sean irreversibles, de tal forma que no permitan su recuperación o la visualización de la misma.”</w:t>
      </w:r>
    </w:p>
    <w:p w14:paraId="01755C33" w14:textId="774B1D11" w:rsidR="00186072" w:rsidRPr="00030063" w:rsidRDefault="00544B28">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0E5EC97A" w14:textId="77777777" w:rsidR="00186072" w:rsidRPr="00030063" w:rsidRDefault="00544B2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30063">
        <w:rPr>
          <w:rFonts w:ascii="Palatino Linotype" w:eastAsia="Palatino Linotype" w:hAnsi="Palatino Linotype" w:cs="Palatino Linotype"/>
          <w:b/>
        </w:rPr>
        <w:lastRenderedPageBreak/>
        <w:t>III. R E S U E L V E</w:t>
      </w:r>
    </w:p>
    <w:p w14:paraId="65640298" w14:textId="782AA243" w:rsidR="00186072" w:rsidRPr="00030063" w:rsidRDefault="00544B28">
      <w:pPr>
        <w:spacing w:before="240" w:after="240" w:line="360" w:lineRule="auto"/>
        <w:jc w:val="both"/>
        <w:rPr>
          <w:rFonts w:ascii="Palatino Linotype" w:eastAsia="Palatino Linotype" w:hAnsi="Palatino Linotype" w:cs="Palatino Linotype"/>
        </w:rPr>
      </w:pPr>
      <w:bookmarkStart w:id="12" w:name="_heading=h.1t3h5sf" w:colFirst="0" w:colLast="0"/>
      <w:bookmarkEnd w:id="12"/>
      <w:r w:rsidRPr="00030063">
        <w:rPr>
          <w:rFonts w:ascii="Palatino Linotype" w:eastAsia="Palatino Linotype" w:hAnsi="Palatino Linotype" w:cs="Palatino Linotype"/>
          <w:b/>
        </w:rPr>
        <w:t xml:space="preserve">Primero. </w:t>
      </w:r>
      <w:r w:rsidRPr="00030063">
        <w:rPr>
          <w:rFonts w:ascii="Palatino Linotype" w:eastAsia="Palatino Linotype" w:hAnsi="Palatino Linotype" w:cs="Palatino Linotype"/>
        </w:rPr>
        <w:t>Resultan</w:t>
      </w:r>
      <w:r w:rsidRPr="00030063">
        <w:rPr>
          <w:rFonts w:ascii="Palatino Linotype" w:eastAsia="Palatino Linotype" w:hAnsi="Palatino Linotype" w:cs="Palatino Linotype"/>
          <w:b/>
        </w:rPr>
        <w:t xml:space="preserve"> fundadas</w:t>
      </w:r>
      <w:r w:rsidRPr="00030063">
        <w:rPr>
          <w:rFonts w:ascii="Palatino Linotype" w:eastAsia="Palatino Linotype" w:hAnsi="Palatino Linotype" w:cs="Palatino Linotype"/>
        </w:rPr>
        <w:t xml:space="preserve"> las razones o motivos de inconformidad hechos valer por la parte</w:t>
      </w:r>
      <w:r w:rsidRPr="00030063">
        <w:rPr>
          <w:rFonts w:ascii="Palatino Linotype" w:eastAsia="Palatino Linotype" w:hAnsi="Palatino Linotype" w:cs="Palatino Linotype"/>
          <w:b/>
        </w:rPr>
        <w:t xml:space="preserve"> Recurrente</w:t>
      </w:r>
      <w:r w:rsidRPr="00030063">
        <w:rPr>
          <w:rFonts w:ascii="Palatino Linotype" w:eastAsia="Palatino Linotype" w:hAnsi="Palatino Linotype" w:cs="Palatino Linotype"/>
        </w:rPr>
        <w:t xml:space="preserve"> en el recurso de revisión </w:t>
      </w:r>
      <w:r w:rsidRPr="00030063">
        <w:rPr>
          <w:rFonts w:ascii="Palatino Linotype" w:eastAsia="Palatino Linotype" w:hAnsi="Palatino Linotype" w:cs="Palatino Linotype"/>
          <w:b/>
        </w:rPr>
        <w:t>0</w:t>
      </w:r>
      <w:r w:rsidR="008C264D" w:rsidRPr="00030063">
        <w:rPr>
          <w:rFonts w:ascii="Palatino Linotype" w:eastAsia="Palatino Linotype" w:hAnsi="Palatino Linotype" w:cs="Palatino Linotype"/>
          <w:b/>
        </w:rPr>
        <w:t>6754</w:t>
      </w:r>
      <w:r w:rsidRPr="00030063">
        <w:rPr>
          <w:rFonts w:ascii="Palatino Linotype" w:eastAsia="Palatino Linotype" w:hAnsi="Palatino Linotype" w:cs="Palatino Linotype"/>
          <w:b/>
        </w:rPr>
        <w:t>/INFOEM/IP/RR/2025</w:t>
      </w:r>
      <w:r w:rsidRPr="00030063">
        <w:rPr>
          <w:rFonts w:ascii="Palatino Linotype" w:eastAsia="Palatino Linotype" w:hAnsi="Palatino Linotype" w:cs="Palatino Linotype"/>
        </w:rPr>
        <w:t xml:space="preserve">; por lo que, en términos del </w:t>
      </w:r>
      <w:r w:rsidRPr="00030063">
        <w:rPr>
          <w:rFonts w:ascii="Palatino Linotype" w:eastAsia="Palatino Linotype" w:hAnsi="Palatino Linotype" w:cs="Palatino Linotype"/>
          <w:b/>
        </w:rPr>
        <w:t>Considerando</w:t>
      </w:r>
      <w:r w:rsidRPr="00030063">
        <w:rPr>
          <w:rFonts w:ascii="Palatino Linotype" w:eastAsia="Palatino Linotype" w:hAnsi="Palatino Linotype" w:cs="Palatino Linotype"/>
        </w:rPr>
        <w:t xml:space="preserve"> </w:t>
      </w:r>
      <w:r w:rsidRPr="00030063">
        <w:rPr>
          <w:rFonts w:ascii="Palatino Linotype" w:eastAsia="Palatino Linotype" w:hAnsi="Palatino Linotype" w:cs="Palatino Linotype"/>
          <w:b/>
        </w:rPr>
        <w:t xml:space="preserve">Cuarto </w:t>
      </w:r>
      <w:r w:rsidRPr="00030063">
        <w:rPr>
          <w:rFonts w:ascii="Palatino Linotype" w:eastAsia="Palatino Linotype" w:hAnsi="Palatino Linotype" w:cs="Palatino Linotype"/>
        </w:rPr>
        <w:t xml:space="preserve">de esta resolución, se </w:t>
      </w:r>
      <w:r w:rsidR="008C264D" w:rsidRPr="00030063">
        <w:rPr>
          <w:rFonts w:ascii="Palatino Linotype" w:eastAsia="Palatino Linotype" w:hAnsi="Palatino Linotype" w:cs="Palatino Linotype"/>
          <w:b/>
        </w:rPr>
        <w:t>Revoc</w:t>
      </w:r>
      <w:r w:rsidRPr="00030063">
        <w:rPr>
          <w:rFonts w:ascii="Palatino Linotype" w:eastAsia="Palatino Linotype" w:hAnsi="Palatino Linotype" w:cs="Palatino Linotype"/>
          <w:b/>
        </w:rPr>
        <w:t>a</w:t>
      </w:r>
      <w:r w:rsidRPr="00030063">
        <w:rPr>
          <w:rFonts w:ascii="Palatino Linotype" w:eastAsia="Palatino Linotype" w:hAnsi="Palatino Linotype" w:cs="Palatino Linotype"/>
        </w:rPr>
        <w:t xml:space="preserve"> la respuesta emitida por el </w:t>
      </w:r>
      <w:r w:rsidRPr="00030063">
        <w:rPr>
          <w:rFonts w:ascii="Palatino Linotype" w:eastAsia="Palatino Linotype" w:hAnsi="Palatino Linotype" w:cs="Palatino Linotype"/>
          <w:b/>
        </w:rPr>
        <w:t xml:space="preserve">Sujeto Obligado. </w:t>
      </w:r>
    </w:p>
    <w:p w14:paraId="48C46C2E" w14:textId="3235E474" w:rsidR="00186072" w:rsidRPr="00030063" w:rsidRDefault="00544B28">
      <w:pPr>
        <w:spacing w:before="240" w:after="240" w:line="360" w:lineRule="auto"/>
        <w:ind w:right="49"/>
        <w:jc w:val="both"/>
        <w:rPr>
          <w:rFonts w:ascii="Palatino Linotype" w:eastAsia="Palatino Linotype" w:hAnsi="Palatino Linotype" w:cs="Palatino Linotype"/>
        </w:rPr>
      </w:pPr>
      <w:r w:rsidRPr="00030063">
        <w:rPr>
          <w:rFonts w:ascii="Palatino Linotype" w:eastAsia="Palatino Linotype" w:hAnsi="Palatino Linotype" w:cs="Palatino Linotype"/>
          <w:b/>
        </w:rPr>
        <w:t xml:space="preserve">Segundo. </w:t>
      </w:r>
      <w:r w:rsidRPr="00030063">
        <w:rPr>
          <w:rFonts w:ascii="Palatino Linotype" w:eastAsia="Palatino Linotype" w:hAnsi="Palatino Linotype" w:cs="Palatino Linotype"/>
        </w:rPr>
        <w:t xml:space="preserve">Se </w:t>
      </w:r>
      <w:r w:rsidRPr="00030063">
        <w:rPr>
          <w:rFonts w:ascii="Palatino Linotype" w:eastAsia="Palatino Linotype" w:hAnsi="Palatino Linotype" w:cs="Palatino Linotype"/>
          <w:b/>
        </w:rPr>
        <w:t xml:space="preserve">Ordena </w:t>
      </w:r>
      <w:r w:rsidRPr="00030063">
        <w:rPr>
          <w:rFonts w:ascii="Palatino Linotype" w:eastAsia="Palatino Linotype" w:hAnsi="Palatino Linotype" w:cs="Palatino Linotype"/>
        </w:rPr>
        <w:t xml:space="preserve">al </w:t>
      </w:r>
      <w:r w:rsidRPr="00030063">
        <w:rPr>
          <w:rFonts w:ascii="Palatino Linotype" w:eastAsia="Palatino Linotype" w:hAnsi="Palatino Linotype" w:cs="Palatino Linotype"/>
          <w:b/>
        </w:rPr>
        <w:t xml:space="preserve">Sujeto Obligado, </w:t>
      </w:r>
      <w:r w:rsidRPr="00030063">
        <w:rPr>
          <w:rFonts w:ascii="Palatino Linotype" w:eastAsia="Palatino Linotype" w:hAnsi="Palatino Linotype" w:cs="Palatino Linotype"/>
        </w:rPr>
        <w:t xml:space="preserve">en términos de los </w:t>
      </w:r>
      <w:r w:rsidRPr="00030063">
        <w:rPr>
          <w:rFonts w:ascii="Palatino Linotype" w:eastAsia="Palatino Linotype" w:hAnsi="Palatino Linotype" w:cs="Palatino Linotype"/>
          <w:b/>
        </w:rPr>
        <w:t>Considerandos</w:t>
      </w:r>
      <w:r w:rsidRPr="00030063">
        <w:rPr>
          <w:rFonts w:ascii="Palatino Linotype" w:eastAsia="Palatino Linotype" w:hAnsi="Palatino Linotype" w:cs="Palatino Linotype"/>
        </w:rPr>
        <w:t xml:space="preserve"> </w:t>
      </w:r>
      <w:r w:rsidRPr="00030063">
        <w:rPr>
          <w:rFonts w:ascii="Palatino Linotype" w:eastAsia="Palatino Linotype" w:hAnsi="Palatino Linotype" w:cs="Palatino Linotype"/>
          <w:b/>
        </w:rPr>
        <w:t xml:space="preserve">Cuarto </w:t>
      </w:r>
      <w:r w:rsidRPr="00030063">
        <w:rPr>
          <w:rFonts w:ascii="Palatino Linotype" w:eastAsia="Palatino Linotype" w:hAnsi="Palatino Linotype" w:cs="Palatino Linotype"/>
        </w:rPr>
        <w:t xml:space="preserve">y </w:t>
      </w:r>
      <w:r w:rsidRPr="00030063">
        <w:rPr>
          <w:rFonts w:ascii="Palatino Linotype" w:eastAsia="Palatino Linotype" w:hAnsi="Palatino Linotype" w:cs="Palatino Linotype"/>
          <w:b/>
        </w:rPr>
        <w:t xml:space="preserve">Quinto </w:t>
      </w:r>
      <w:r w:rsidRPr="00030063">
        <w:rPr>
          <w:rFonts w:ascii="Palatino Linotype" w:eastAsia="Palatino Linotype" w:hAnsi="Palatino Linotype" w:cs="Palatino Linotype"/>
        </w:rPr>
        <w:t xml:space="preserve">de esta resolución, haga entrega, vía </w:t>
      </w:r>
      <w:r w:rsidRPr="00030063">
        <w:rPr>
          <w:rFonts w:ascii="Palatino Linotype" w:eastAsia="Palatino Linotype" w:hAnsi="Palatino Linotype" w:cs="Palatino Linotype"/>
          <w:b/>
        </w:rPr>
        <w:t>SAIMEX</w:t>
      </w:r>
      <w:r w:rsidRPr="00030063">
        <w:rPr>
          <w:rFonts w:ascii="Palatino Linotype" w:eastAsia="Palatino Linotype" w:hAnsi="Palatino Linotype" w:cs="Palatino Linotype"/>
        </w:rPr>
        <w:t>,</w:t>
      </w:r>
      <w:r w:rsidR="008C264D" w:rsidRPr="00030063">
        <w:rPr>
          <w:rFonts w:ascii="Palatino Linotype" w:eastAsia="Palatino Linotype" w:hAnsi="Palatino Linotype" w:cs="Palatino Linotype"/>
        </w:rPr>
        <w:t xml:space="preserve"> previa búsqueda exhaustiva y razonable,</w:t>
      </w:r>
      <w:r w:rsidRPr="00030063">
        <w:rPr>
          <w:rFonts w:ascii="Palatino Linotype" w:eastAsia="Palatino Linotype" w:hAnsi="Palatino Linotype" w:cs="Palatino Linotype"/>
        </w:rPr>
        <w:t xml:space="preserve"> </w:t>
      </w:r>
      <w:r w:rsidR="008C264D" w:rsidRPr="00030063">
        <w:rPr>
          <w:rFonts w:ascii="Palatino Linotype" w:eastAsia="Palatino Linotype" w:hAnsi="Palatino Linotype" w:cs="Palatino Linotype"/>
        </w:rPr>
        <w:t xml:space="preserve">en versión pública </w:t>
      </w:r>
      <w:r w:rsidRPr="00030063">
        <w:rPr>
          <w:rFonts w:ascii="Palatino Linotype" w:eastAsia="Palatino Linotype" w:hAnsi="Palatino Linotype" w:cs="Palatino Linotype"/>
        </w:rPr>
        <w:t>de lo siguiente:</w:t>
      </w:r>
    </w:p>
    <w:p w14:paraId="1D432F8A" w14:textId="26D2CCAE" w:rsidR="00102198" w:rsidRPr="00030063" w:rsidRDefault="00102198" w:rsidP="007F38DC">
      <w:pPr>
        <w:spacing w:before="240" w:after="240" w:line="360" w:lineRule="auto"/>
        <w:ind w:left="284" w:right="49"/>
        <w:jc w:val="both"/>
        <w:rPr>
          <w:rFonts w:ascii="Palatino Linotype" w:eastAsia="Palatino Linotype" w:hAnsi="Palatino Linotype" w:cs="Palatino Linotype"/>
        </w:rPr>
      </w:pPr>
      <w:bookmarkStart w:id="13" w:name="_heading=h.1fob9te" w:colFirst="0" w:colLast="0"/>
      <w:bookmarkEnd w:id="13"/>
      <w:r w:rsidRPr="00030063">
        <w:rPr>
          <w:rFonts w:ascii="Palatino Linotype" w:eastAsia="Palatino Linotype" w:hAnsi="Palatino Linotype" w:cs="Palatino Linotype"/>
        </w:rPr>
        <w:t>1.</w:t>
      </w:r>
      <w:r w:rsidR="00644B09" w:rsidRPr="00030063">
        <w:rPr>
          <w:rFonts w:ascii="Palatino Linotype" w:eastAsia="Palatino Linotype" w:hAnsi="Palatino Linotype" w:cs="Palatino Linotype"/>
        </w:rPr>
        <w:t xml:space="preserve"> </w:t>
      </w:r>
      <w:r w:rsidR="009A65BD" w:rsidRPr="00030063">
        <w:rPr>
          <w:rFonts w:ascii="Palatino Linotype" w:eastAsia="Palatino Linotype" w:hAnsi="Palatino Linotype" w:cs="Palatino Linotype"/>
        </w:rPr>
        <w:t xml:space="preserve">Recibos de nómina </w:t>
      </w:r>
      <w:r w:rsidR="008C264D" w:rsidRPr="00030063">
        <w:rPr>
          <w:rFonts w:ascii="Palatino Linotype" w:eastAsia="Palatino Linotype" w:hAnsi="Palatino Linotype" w:cs="Palatino Linotype"/>
        </w:rPr>
        <w:t>de los integrantes del cabildo y los directores de área</w:t>
      </w:r>
      <w:r w:rsidR="00EC6B1B" w:rsidRPr="00030063">
        <w:rPr>
          <w:rFonts w:ascii="Palatino Linotype" w:eastAsia="Palatino Linotype" w:hAnsi="Palatino Linotype" w:cs="Palatino Linotype"/>
        </w:rPr>
        <w:t>, correspondientes a la</w:t>
      </w:r>
      <w:r w:rsidR="008C264D" w:rsidRPr="00030063">
        <w:rPr>
          <w:rFonts w:ascii="Palatino Linotype" w:eastAsia="Palatino Linotype" w:hAnsi="Palatino Linotype" w:cs="Palatino Linotype"/>
        </w:rPr>
        <w:t xml:space="preserve"> segunda quincena de abril de dos mil veinticinco.</w:t>
      </w:r>
    </w:p>
    <w:p w14:paraId="0CEAECA8" w14:textId="77777777" w:rsidR="00186072" w:rsidRPr="00030063" w:rsidRDefault="00544B28" w:rsidP="007F38DC">
      <w:pPr>
        <w:spacing w:before="120" w:after="120"/>
        <w:ind w:left="284"/>
        <w:jc w:val="both"/>
        <w:rPr>
          <w:rFonts w:ascii="Palatino Linotype" w:eastAsia="Palatino Linotype" w:hAnsi="Palatino Linotype" w:cs="Palatino Linotype"/>
          <w:i/>
          <w:sz w:val="20"/>
          <w:szCs w:val="20"/>
        </w:rPr>
      </w:pPr>
      <w:r w:rsidRPr="00030063">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430AF3C8" w14:textId="77777777" w:rsidR="00186072" w:rsidRPr="00030063" w:rsidRDefault="00544B28">
      <w:pPr>
        <w:spacing w:before="240" w:after="240" w:line="360" w:lineRule="auto"/>
        <w:jc w:val="both"/>
        <w:rPr>
          <w:rFonts w:ascii="Palatino Linotype" w:eastAsia="Palatino Linotype" w:hAnsi="Palatino Linotype" w:cs="Palatino Linotype"/>
        </w:rPr>
      </w:pPr>
      <w:bookmarkStart w:id="14" w:name="_heading=h.hnzxsch5gysz" w:colFirst="0" w:colLast="0"/>
      <w:bookmarkEnd w:id="14"/>
      <w:r w:rsidRPr="00030063">
        <w:rPr>
          <w:rFonts w:ascii="Palatino Linotype" w:eastAsia="Palatino Linotype" w:hAnsi="Palatino Linotype" w:cs="Palatino Linotype"/>
          <w:b/>
        </w:rPr>
        <w:t xml:space="preserve">Tercero. Notifíquese, </w:t>
      </w:r>
      <w:r w:rsidRPr="00030063">
        <w:rPr>
          <w:rFonts w:ascii="Palatino Linotype" w:eastAsia="Palatino Linotype" w:hAnsi="Palatino Linotype" w:cs="Palatino Linotype"/>
        </w:rPr>
        <w:t xml:space="preserve">vía </w:t>
      </w:r>
      <w:r w:rsidRPr="00030063">
        <w:rPr>
          <w:rFonts w:ascii="Palatino Linotype" w:eastAsia="Palatino Linotype" w:hAnsi="Palatino Linotype" w:cs="Palatino Linotype"/>
          <w:b/>
        </w:rPr>
        <w:t>SAIMEX</w:t>
      </w:r>
      <w:r w:rsidRPr="00030063">
        <w:rPr>
          <w:rFonts w:ascii="Palatino Linotype" w:eastAsia="Palatino Linotype" w:hAnsi="Palatino Linotype" w:cs="Palatino Linotype"/>
        </w:rPr>
        <w:t xml:space="preserve">, al Titular de la Unidad de Transparencia del </w:t>
      </w:r>
      <w:r w:rsidRPr="00030063">
        <w:rPr>
          <w:rFonts w:ascii="Palatino Linotype" w:eastAsia="Palatino Linotype" w:hAnsi="Palatino Linotype" w:cs="Palatino Linotype"/>
          <w:b/>
        </w:rPr>
        <w:t>Sujeto Obligado,</w:t>
      </w:r>
      <w:r w:rsidRPr="00030063">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371F91" w14:textId="77777777" w:rsidR="00186072" w:rsidRPr="00030063" w:rsidRDefault="00544B28">
      <w:pPr>
        <w:spacing w:before="240" w:after="240" w:line="360" w:lineRule="auto"/>
        <w:jc w:val="both"/>
        <w:rPr>
          <w:rFonts w:ascii="Palatino Linotype" w:eastAsia="Palatino Linotype" w:hAnsi="Palatino Linotype" w:cs="Palatino Linotype"/>
        </w:rPr>
      </w:pPr>
      <w:r w:rsidRPr="00030063">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030063">
        <w:rPr>
          <w:rFonts w:ascii="Palatino Linotype" w:eastAsia="Palatino Linotype" w:hAnsi="Palatino Linotype" w:cs="Palatino Linotype"/>
          <w:b/>
        </w:rPr>
        <w:t>Sujeto Obligado</w:t>
      </w:r>
      <w:r w:rsidRPr="00030063">
        <w:rPr>
          <w:rFonts w:ascii="Palatino Linotype" w:eastAsia="Palatino Linotype" w:hAnsi="Palatino Linotype" w:cs="Palatino Linotype"/>
        </w:rPr>
        <w:t xml:space="preserve"> de manera fundada y motivada, podrá solicitar una ampliación de plazo para el cumplimiento de la presente resolución.</w:t>
      </w:r>
    </w:p>
    <w:p w14:paraId="5BC2C455" w14:textId="77777777" w:rsidR="00186072" w:rsidRPr="00030063" w:rsidRDefault="00544B28">
      <w:pPr>
        <w:spacing w:before="240" w:after="240" w:line="360" w:lineRule="auto"/>
        <w:jc w:val="both"/>
        <w:rPr>
          <w:rFonts w:ascii="Palatino Linotype" w:eastAsia="Palatino Linotype" w:hAnsi="Palatino Linotype" w:cs="Palatino Linotype"/>
        </w:rPr>
      </w:pPr>
      <w:bookmarkStart w:id="15" w:name="_heading=h.ot3qq6vxa08f" w:colFirst="0" w:colLast="0"/>
      <w:bookmarkEnd w:id="15"/>
      <w:r w:rsidRPr="00030063">
        <w:rPr>
          <w:rFonts w:ascii="Palatino Linotype" w:eastAsia="Palatino Linotype" w:hAnsi="Palatino Linotype" w:cs="Palatino Linotype"/>
          <w:b/>
        </w:rPr>
        <w:t xml:space="preserve">Cuarto.  Notifíquese, </w:t>
      </w:r>
      <w:r w:rsidRPr="00030063">
        <w:rPr>
          <w:rFonts w:ascii="Palatino Linotype" w:eastAsia="Palatino Linotype" w:hAnsi="Palatino Linotype" w:cs="Palatino Linotype"/>
        </w:rPr>
        <w:t xml:space="preserve">vía </w:t>
      </w:r>
      <w:r w:rsidRPr="00030063">
        <w:rPr>
          <w:rFonts w:ascii="Palatino Linotype" w:eastAsia="Palatino Linotype" w:hAnsi="Palatino Linotype" w:cs="Palatino Linotype"/>
          <w:b/>
        </w:rPr>
        <w:t>SAIMEX</w:t>
      </w:r>
      <w:r w:rsidRPr="00030063">
        <w:rPr>
          <w:rFonts w:ascii="Palatino Linotype" w:eastAsia="Palatino Linotype" w:hAnsi="Palatino Linotype" w:cs="Palatino Linotype"/>
        </w:rPr>
        <w:t xml:space="preserve"> a la parte </w:t>
      </w:r>
      <w:r w:rsidRPr="00030063">
        <w:rPr>
          <w:rFonts w:ascii="Palatino Linotype" w:eastAsia="Palatino Linotype" w:hAnsi="Palatino Linotype" w:cs="Palatino Linotype"/>
          <w:b/>
        </w:rPr>
        <w:t>Recurrente</w:t>
      </w:r>
      <w:r w:rsidRPr="0003006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9F2D5BB" w14:textId="5234CF42" w:rsidR="00186072" w:rsidRPr="006417A8" w:rsidRDefault="00544B28">
      <w:pPr>
        <w:tabs>
          <w:tab w:val="left" w:pos="8647"/>
        </w:tabs>
        <w:spacing w:before="240" w:after="240" w:line="360" w:lineRule="auto"/>
        <w:ind w:right="51"/>
        <w:jc w:val="both"/>
        <w:rPr>
          <w:rFonts w:ascii="Palatino Linotype" w:eastAsia="Palatino Linotype" w:hAnsi="Palatino Linotype" w:cs="Palatino Linotype"/>
        </w:rPr>
      </w:pPr>
      <w:bookmarkStart w:id="16" w:name="_heading=h.lnxbz9" w:colFirst="0" w:colLast="0"/>
      <w:bookmarkEnd w:id="16"/>
      <w:r w:rsidRPr="0003006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497F0F" w:rsidRPr="00030063">
        <w:rPr>
          <w:rFonts w:ascii="Palatino Linotype" w:eastAsia="Palatino Linotype" w:hAnsi="Palatino Linotype" w:cs="Palatino Linotype"/>
        </w:rPr>
        <w:t xml:space="preserve"> </w:t>
      </w:r>
      <w:r w:rsidR="00497F0F" w:rsidRPr="00030063">
        <w:rPr>
          <w:rFonts w:ascii="Palatino Linotype" w:eastAsia="Palatino Linotype" w:hAnsi="Palatino Linotype" w:cs="Palatino Linotype"/>
          <w:sz w:val="22"/>
          <w:szCs w:val="22"/>
        </w:rPr>
        <w:t>(AUSENCIA JUSTIFICADA)</w:t>
      </w:r>
      <w:r w:rsidRPr="00030063">
        <w:rPr>
          <w:rFonts w:ascii="Palatino Linotype" w:eastAsia="Palatino Linotype" w:hAnsi="Palatino Linotype" w:cs="Palatino Linotype"/>
        </w:rPr>
        <w:t xml:space="preserve">, MARÍA DEL ROSARIO MEJÍA AYALA, SHARON CRISTINA MORALES MARTÍNEZ, LUIS GUSTAVO PARRA NORIEGA, Y GUADALUPE RAMÍREZ PEÑA, EN LA VIGÉSIMA </w:t>
      </w:r>
      <w:r w:rsidR="00D275C2" w:rsidRPr="00030063">
        <w:rPr>
          <w:rFonts w:ascii="Palatino Linotype" w:eastAsia="Palatino Linotype" w:hAnsi="Palatino Linotype" w:cs="Palatino Linotype"/>
        </w:rPr>
        <w:t>NOVENA</w:t>
      </w:r>
      <w:r w:rsidR="009A65BD" w:rsidRPr="00030063">
        <w:rPr>
          <w:rFonts w:ascii="Palatino Linotype" w:eastAsia="Palatino Linotype" w:hAnsi="Palatino Linotype" w:cs="Palatino Linotype"/>
        </w:rPr>
        <w:t xml:space="preserve"> </w:t>
      </w:r>
      <w:r w:rsidRPr="00030063">
        <w:rPr>
          <w:rFonts w:ascii="Palatino Linotype" w:eastAsia="Palatino Linotype" w:hAnsi="Palatino Linotype" w:cs="Palatino Linotype"/>
        </w:rPr>
        <w:t xml:space="preserve">SESIÓN ORDINARIA CELEBRADA EL </w:t>
      </w:r>
      <w:r w:rsidR="00D275C2" w:rsidRPr="00030063">
        <w:rPr>
          <w:rFonts w:ascii="Palatino Linotype" w:eastAsia="Palatino Linotype" w:hAnsi="Palatino Linotype" w:cs="Palatino Linotype"/>
        </w:rPr>
        <w:t>VEINTE</w:t>
      </w:r>
      <w:r w:rsidR="002C4747" w:rsidRPr="00030063">
        <w:rPr>
          <w:rFonts w:ascii="Palatino Linotype" w:eastAsia="Palatino Linotype" w:hAnsi="Palatino Linotype" w:cs="Palatino Linotype"/>
        </w:rPr>
        <w:t xml:space="preserve"> DE </w:t>
      </w:r>
      <w:r w:rsidR="009A65BD" w:rsidRPr="00030063">
        <w:rPr>
          <w:rFonts w:ascii="Palatino Linotype" w:eastAsia="Palatino Linotype" w:hAnsi="Palatino Linotype" w:cs="Palatino Linotype"/>
        </w:rPr>
        <w:t xml:space="preserve">AGOSTO </w:t>
      </w:r>
      <w:r w:rsidRPr="00030063">
        <w:rPr>
          <w:rFonts w:ascii="Palatino Linotype" w:eastAsia="Palatino Linotype" w:hAnsi="Palatino Linotype" w:cs="Palatino Linotype"/>
        </w:rPr>
        <w:t>DE DOS MIL VEINTICINCO, ANTE EL SECRETARIO TÉCNICO DEL PLENO ALEXIS TAPIA RAMÍREZ.</w:t>
      </w:r>
    </w:p>
    <w:p w14:paraId="53FE5381" w14:textId="77777777" w:rsidR="00186072" w:rsidRPr="006417A8" w:rsidRDefault="00186072">
      <w:pPr>
        <w:spacing w:line="360" w:lineRule="auto"/>
        <w:jc w:val="both"/>
        <w:rPr>
          <w:rFonts w:ascii="Palatino Linotype" w:eastAsia="Palatino Linotype" w:hAnsi="Palatino Linotype" w:cs="Palatino Linotype"/>
        </w:rPr>
      </w:pPr>
    </w:p>
    <w:p w14:paraId="5ED65D45" w14:textId="77777777" w:rsidR="00186072" w:rsidRPr="006417A8" w:rsidRDefault="00186072">
      <w:pPr>
        <w:spacing w:line="360" w:lineRule="auto"/>
        <w:jc w:val="center"/>
        <w:rPr>
          <w:rFonts w:ascii="Palatino Linotype" w:eastAsia="Palatino Linotype" w:hAnsi="Palatino Linotype" w:cs="Palatino Linotype"/>
        </w:rPr>
      </w:pPr>
    </w:p>
    <w:p w14:paraId="60C4FF00" w14:textId="77777777" w:rsidR="00186072" w:rsidRPr="006417A8" w:rsidRDefault="00186072">
      <w:pPr>
        <w:spacing w:line="360" w:lineRule="auto"/>
        <w:jc w:val="both"/>
        <w:rPr>
          <w:rFonts w:ascii="Palatino Linotype" w:eastAsia="Palatino Linotype" w:hAnsi="Palatino Linotype" w:cs="Palatino Linotype"/>
        </w:rPr>
      </w:pPr>
    </w:p>
    <w:p w14:paraId="0077822A" w14:textId="77777777" w:rsidR="00186072" w:rsidRPr="006417A8" w:rsidRDefault="00186072">
      <w:pPr>
        <w:spacing w:line="360" w:lineRule="auto"/>
        <w:jc w:val="both"/>
        <w:rPr>
          <w:rFonts w:ascii="Palatino Linotype" w:eastAsia="Palatino Linotype" w:hAnsi="Palatino Linotype" w:cs="Palatino Linotype"/>
        </w:rPr>
      </w:pPr>
    </w:p>
    <w:p w14:paraId="03C92C99" w14:textId="77777777" w:rsidR="00186072" w:rsidRPr="006417A8" w:rsidRDefault="00186072">
      <w:pPr>
        <w:spacing w:line="360" w:lineRule="auto"/>
        <w:jc w:val="both"/>
        <w:rPr>
          <w:rFonts w:ascii="Palatino Linotype" w:eastAsia="Palatino Linotype" w:hAnsi="Palatino Linotype" w:cs="Palatino Linotype"/>
        </w:rPr>
      </w:pPr>
    </w:p>
    <w:p w14:paraId="57C0AAEB" w14:textId="77777777" w:rsidR="00186072" w:rsidRPr="006417A8" w:rsidRDefault="00186072">
      <w:pPr>
        <w:spacing w:line="360" w:lineRule="auto"/>
        <w:jc w:val="both"/>
        <w:rPr>
          <w:rFonts w:ascii="Palatino Linotype" w:eastAsia="Palatino Linotype" w:hAnsi="Palatino Linotype" w:cs="Palatino Linotype"/>
        </w:rPr>
      </w:pPr>
    </w:p>
    <w:p w14:paraId="1569EDB2" w14:textId="77777777" w:rsidR="00186072" w:rsidRPr="006417A8" w:rsidRDefault="00186072">
      <w:pPr>
        <w:spacing w:line="360" w:lineRule="auto"/>
        <w:jc w:val="both"/>
        <w:rPr>
          <w:rFonts w:ascii="Palatino Linotype" w:eastAsia="Palatino Linotype" w:hAnsi="Palatino Linotype" w:cs="Palatino Linotype"/>
        </w:rPr>
      </w:pPr>
    </w:p>
    <w:p w14:paraId="1BD0849B" w14:textId="77777777" w:rsidR="00186072" w:rsidRPr="006417A8" w:rsidRDefault="00186072">
      <w:pPr>
        <w:spacing w:line="360" w:lineRule="auto"/>
        <w:jc w:val="both"/>
        <w:rPr>
          <w:rFonts w:ascii="Palatino Linotype" w:eastAsia="Palatino Linotype" w:hAnsi="Palatino Linotype" w:cs="Palatino Linotype"/>
        </w:rPr>
      </w:pPr>
    </w:p>
    <w:p w14:paraId="297BF7F7" w14:textId="77777777" w:rsidR="00186072" w:rsidRPr="006417A8" w:rsidRDefault="00186072">
      <w:pPr>
        <w:spacing w:line="360" w:lineRule="auto"/>
        <w:jc w:val="both"/>
        <w:rPr>
          <w:rFonts w:ascii="Palatino Linotype" w:eastAsia="Palatino Linotype" w:hAnsi="Palatino Linotype" w:cs="Palatino Linotype"/>
        </w:rPr>
      </w:pPr>
    </w:p>
    <w:p w14:paraId="13E4876A" w14:textId="77777777" w:rsidR="00186072" w:rsidRPr="006417A8" w:rsidRDefault="00186072">
      <w:pPr>
        <w:spacing w:line="360" w:lineRule="auto"/>
        <w:jc w:val="both"/>
        <w:rPr>
          <w:rFonts w:ascii="Palatino Linotype" w:eastAsia="Palatino Linotype" w:hAnsi="Palatino Linotype" w:cs="Palatino Linotype"/>
        </w:rPr>
      </w:pPr>
    </w:p>
    <w:p w14:paraId="412BA854" w14:textId="77777777" w:rsidR="00186072" w:rsidRPr="006417A8" w:rsidRDefault="00186072">
      <w:pPr>
        <w:spacing w:line="360" w:lineRule="auto"/>
        <w:jc w:val="both"/>
        <w:rPr>
          <w:rFonts w:ascii="Palatino Linotype" w:eastAsia="Palatino Linotype" w:hAnsi="Palatino Linotype" w:cs="Palatino Linotype"/>
        </w:rPr>
      </w:pPr>
    </w:p>
    <w:p w14:paraId="42E5688C" w14:textId="77777777" w:rsidR="00186072" w:rsidRPr="006417A8" w:rsidRDefault="00186072">
      <w:pPr>
        <w:spacing w:line="360" w:lineRule="auto"/>
        <w:jc w:val="both"/>
        <w:rPr>
          <w:rFonts w:ascii="Palatino Linotype" w:eastAsia="Palatino Linotype" w:hAnsi="Palatino Linotype" w:cs="Palatino Linotype"/>
        </w:rPr>
      </w:pPr>
    </w:p>
    <w:p w14:paraId="75E88804" w14:textId="77777777" w:rsidR="00186072" w:rsidRPr="006417A8" w:rsidRDefault="00186072">
      <w:pPr>
        <w:spacing w:line="360" w:lineRule="auto"/>
        <w:jc w:val="both"/>
        <w:rPr>
          <w:rFonts w:ascii="Palatino Linotype" w:eastAsia="Palatino Linotype" w:hAnsi="Palatino Linotype" w:cs="Palatino Linotype"/>
        </w:rPr>
      </w:pPr>
    </w:p>
    <w:p w14:paraId="317F6A8D" w14:textId="77777777" w:rsidR="00C643BD" w:rsidRPr="006417A8" w:rsidRDefault="00C643BD">
      <w:pPr>
        <w:spacing w:line="360" w:lineRule="auto"/>
        <w:jc w:val="both"/>
        <w:rPr>
          <w:rFonts w:ascii="Palatino Linotype" w:eastAsia="Palatino Linotype" w:hAnsi="Palatino Linotype" w:cs="Palatino Linotype"/>
        </w:rPr>
      </w:pPr>
    </w:p>
    <w:p w14:paraId="00277A5E" w14:textId="77777777" w:rsidR="00C643BD" w:rsidRPr="006417A8" w:rsidRDefault="00C643BD">
      <w:pPr>
        <w:spacing w:line="360" w:lineRule="auto"/>
        <w:jc w:val="both"/>
        <w:rPr>
          <w:rFonts w:ascii="Palatino Linotype" w:eastAsia="Palatino Linotype" w:hAnsi="Palatino Linotype" w:cs="Palatino Linotype"/>
        </w:rPr>
      </w:pPr>
    </w:p>
    <w:p w14:paraId="058E2525" w14:textId="77777777" w:rsidR="00C643BD" w:rsidRPr="006417A8" w:rsidRDefault="00C643BD">
      <w:pPr>
        <w:spacing w:line="360" w:lineRule="auto"/>
        <w:jc w:val="both"/>
        <w:rPr>
          <w:rFonts w:ascii="Palatino Linotype" w:eastAsia="Palatino Linotype" w:hAnsi="Palatino Linotype" w:cs="Palatino Linotype"/>
        </w:rPr>
      </w:pPr>
    </w:p>
    <w:p w14:paraId="3933AA60" w14:textId="77777777" w:rsidR="00C643BD" w:rsidRPr="006417A8" w:rsidRDefault="00C643BD">
      <w:pPr>
        <w:spacing w:line="360" w:lineRule="auto"/>
        <w:jc w:val="both"/>
        <w:rPr>
          <w:rFonts w:ascii="Palatino Linotype" w:eastAsia="Palatino Linotype" w:hAnsi="Palatino Linotype" w:cs="Palatino Linotype"/>
        </w:rPr>
      </w:pPr>
    </w:p>
    <w:p w14:paraId="0E1BF3FD" w14:textId="77777777" w:rsidR="00C643BD" w:rsidRPr="006417A8" w:rsidRDefault="00C643BD">
      <w:pPr>
        <w:spacing w:line="360" w:lineRule="auto"/>
        <w:jc w:val="both"/>
        <w:rPr>
          <w:rFonts w:ascii="Palatino Linotype" w:eastAsia="Palatino Linotype" w:hAnsi="Palatino Linotype" w:cs="Palatino Linotype"/>
        </w:rPr>
      </w:pPr>
    </w:p>
    <w:p w14:paraId="616BECB4" w14:textId="77777777" w:rsidR="00C643BD" w:rsidRPr="006417A8" w:rsidRDefault="00C643BD">
      <w:pPr>
        <w:spacing w:line="360" w:lineRule="auto"/>
        <w:jc w:val="both"/>
        <w:rPr>
          <w:rFonts w:ascii="Palatino Linotype" w:eastAsia="Palatino Linotype" w:hAnsi="Palatino Linotype" w:cs="Palatino Linotype"/>
        </w:rPr>
      </w:pPr>
    </w:p>
    <w:p w14:paraId="04648D49" w14:textId="77777777" w:rsidR="00C643BD" w:rsidRPr="006417A8" w:rsidRDefault="00C643BD">
      <w:pPr>
        <w:spacing w:line="360" w:lineRule="auto"/>
        <w:jc w:val="both"/>
        <w:rPr>
          <w:rFonts w:ascii="Palatino Linotype" w:eastAsia="Palatino Linotype" w:hAnsi="Palatino Linotype" w:cs="Palatino Linotype"/>
        </w:rPr>
      </w:pPr>
    </w:p>
    <w:p w14:paraId="208CDF78" w14:textId="77777777" w:rsidR="00C643BD" w:rsidRPr="006417A8" w:rsidRDefault="00C643BD">
      <w:pPr>
        <w:spacing w:line="360" w:lineRule="auto"/>
        <w:jc w:val="both"/>
        <w:rPr>
          <w:rFonts w:ascii="Palatino Linotype" w:eastAsia="Palatino Linotype" w:hAnsi="Palatino Linotype" w:cs="Palatino Linotype"/>
        </w:rPr>
      </w:pPr>
    </w:p>
    <w:p w14:paraId="5765D00A" w14:textId="77777777" w:rsidR="00C643BD" w:rsidRPr="006417A8" w:rsidRDefault="00C643BD">
      <w:pPr>
        <w:spacing w:line="360" w:lineRule="auto"/>
        <w:jc w:val="both"/>
        <w:rPr>
          <w:rFonts w:ascii="Palatino Linotype" w:eastAsia="Palatino Linotype" w:hAnsi="Palatino Linotype" w:cs="Palatino Linotype"/>
        </w:rPr>
      </w:pPr>
    </w:p>
    <w:p w14:paraId="74B6F464" w14:textId="77777777" w:rsidR="00186072" w:rsidRPr="006417A8" w:rsidRDefault="00186072">
      <w:pPr>
        <w:spacing w:line="360" w:lineRule="auto"/>
        <w:jc w:val="both"/>
        <w:rPr>
          <w:rFonts w:ascii="Palatino Linotype" w:eastAsia="Palatino Linotype" w:hAnsi="Palatino Linotype" w:cs="Palatino Linotype"/>
        </w:rPr>
      </w:pPr>
    </w:p>
    <w:p w14:paraId="29CA92BF" w14:textId="77777777" w:rsidR="00186072" w:rsidRPr="006417A8" w:rsidRDefault="00186072">
      <w:pPr>
        <w:spacing w:line="360" w:lineRule="auto"/>
        <w:jc w:val="both"/>
        <w:rPr>
          <w:rFonts w:ascii="Palatino Linotype" w:eastAsia="Palatino Linotype" w:hAnsi="Palatino Linotype" w:cs="Palatino Linotype"/>
        </w:rPr>
      </w:pPr>
    </w:p>
    <w:p w14:paraId="5B6C6AF3" w14:textId="77777777" w:rsidR="00186072" w:rsidRPr="006417A8" w:rsidRDefault="00186072">
      <w:pPr>
        <w:spacing w:line="360" w:lineRule="auto"/>
        <w:jc w:val="both"/>
        <w:rPr>
          <w:rFonts w:ascii="Palatino Linotype" w:eastAsia="Palatino Linotype" w:hAnsi="Palatino Linotype" w:cs="Palatino Linotype"/>
        </w:rPr>
      </w:pPr>
    </w:p>
    <w:p w14:paraId="694FC3A4" w14:textId="77777777" w:rsidR="00186072" w:rsidRPr="006417A8" w:rsidRDefault="00186072">
      <w:pPr>
        <w:spacing w:line="360" w:lineRule="auto"/>
        <w:jc w:val="both"/>
        <w:rPr>
          <w:rFonts w:ascii="Palatino Linotype" w:eastAsia="Palatino Linotype" w:hAnsi="Palatino Linotype" w:cs="Palatino Linotype"/>
        </w:rPr>
      </w:pPr>
    </w:p>
    <w:p w14:paraId="341162D7" w14:textId="77777777" w:rsidR="00186072" w:rsidRPr="006417A8" w:rsidRDefault="00186072">
      <w:pPr>
        <w:spacing w:line="360" w:lineRule="auto"/>
        <w:jc w:val="both"/>
        <w:rPr>
          <w:rFonts w:ascii="Palatino Linotype" w:eastAsia="Palatino Linotype" w:hAnsi="Palatino Linotype" w:cs="Palatino Linotype"/>
        </w:rPr>
      </w:pPr>
    </w:p>
    <w:p w14:paraId="1A099A0A" w14:textId="77777777" w:rsidR="00186072" w:rsidRPr="006417A8" w:rsidRDefault="00186072">
      <w:pPr>
        <w:spacing w:line="360" w:lineRule="auto"/>
        <w:jc w:val="both"/>
        <w:rPr>
          <w:rFonts w:ascii="Palatino Linotype" w:eastAsia="Palatino Linotype" w:hAnsi="Palatino Linotype" w:cs="Palatino Linotype"/>
        </w:rPr>
      </w:pPr>
    </w:p>
    <w:p w14:paraId="7D67337E" w14:textId="77777777" w:rsidR="00186072" w:rsidRPr="006417A8" w:rsidRDefault="00186072">
      <w:pPr>
        <w:spacing w:line="360" w:lineRule="auto"/>
        <w:jc w:val="both"/>
        <w:rPr>
          <w:rFonts w:ascii="Palatino Linotype" w:eastAsia="Palatino Linotype" w:hAnsi="Palatino Linotype" w:cs="Palatino Linotype"/>
        </w:rPr>
      </w:pPr>
    </w:p>
    <w:sectPr w:rsidR="00186072" w:rsidRPr="006417A8">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882E" w14:textId="77777777" w:rsidR="00CA7BFA" w:rsidRDefault="00CA7BFA">
      <w:r>
        <w:separator/>
      </w:r>
    </w:p>
  </w:endnote>
  <w:endnote w:type="continuationSeparator" w:id="0">
    <w:p w14:paraId="59138906" w14:textId="77777777" w:rsidR="00CA7BFA" w:rsidRDefault="00CA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235F" w14:textId="77777777" w:rsidR="001634A8" w:rsidRDefault="001634A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30063">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30063">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076ECB08" w14:textId="77777777" w:rsidR="001634A8" w:rsidRDefault="001634A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1EE3" w14:textId="77777777" w:rsidR="001634A8" w:rsidRDefault="001634A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3006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30063">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26D3A4D6" w14:textId="77777777" w:rsidR="001634A8" w:rsidRDefault="001634A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6AE3" w14:textId="77777777" w:rsidR="00CA7BFA" w:rsidRDefault="00CA7BFA">
      <w:r>
        <w:separator/>
      </w:r>
    </w:p>
  </w:footnote>
  <w:footnote w:type="continuationSeparator" w:id="0">
    <w:p w14:paraId="167C0DFB" w14:textId="77777777" w:rsidR="00CA7BFA" w:rsidRDefault="00CA7BFA">
      <w:r>
        <w:continuationSeparator/>
      </w:r>
    </w:p>
  </w:footnote>
  <w:footnote w:id="1">
    <w:p w14:paraId="15E55D4A" w14:textId="77777777" w:rsidR="008C264D" w:rsidRDefault="008C264D" w:rsidP="008C264D">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0AE0" w14:textId="77777777" w:rsidR="001634A8" w:rsidRDefault="001634A8">
    <w:pPr>
      <w:rPr>
        <w:rFonts w:ascii="Cambria" w:eastAsia="Cambria" w:hAnsi="Cambria" w:cs="Cambria"/>
        <w:color w:val="000000"/>
      </w:rPr>
    </w:pPr>
    <w:r>
      <w:rPr>
        <w:noProof/>
      </w:rPr>
      <w:drawing>
        <wp:anchor distT="0" distB="0" distL="0" distR="0" simplePos="0" relativeHeight="251658240" behindDoc="1" locked="0" layoutInCell="1" hidden="0" allowOverlap="1" wp14:anchorId="14C36BF7" wp14:editId="28119D67">
          <wp:simplePos x="0" y="0"/>
          <wp:positionH relativeFrom="column">
            <wp:posOffset>-1080092</wp:posOffset>
          </wp:positionH>
          <wp:positionV relativeFrom="paragraph">
            <wp:posOffset>-488263</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8"/>
      <w:tblW w:w="5953" w:type="dxa"/>
      <w:tblInd w:w="3261" w:type="dxa"/>
      <w:tblLayout w:type="fixed"/>
      <w:tblLook w:val="0400" w:firstRow="0" w:lastRow="0" w:firstColumn="0" w:lastColumn="0" w:noHBand="0" w:noVBand="1"/>
    </w:tblPr>
    <w:tblGrid>
      <w:gridCol w:w="2489"/>
      <w:gridCol w:w="3464"/>
    </w:tblGrid>
    <w:tr w:rsidR="001634A8" w14:paraId="64EDBD72" w14:textId="77777777">
      <w:tc>
        <w:tcPr>
          <w:tcW w:w="2489" w:type="dxa"/>
        </w:tcPr>
        <w:p w14:paraId="627CE533" w14:textId="77777777" w:rsidR="001634A8" w:rsidRDefault="0016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C71CDB6" w14:textId="7071DE4A" w:rsidR="001634A8" w:rsidRDefault="001634A8" w:rsidP="00F00F9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F552AA">
            <w:rPr>
              <w:rFonts w:ascii="Palatino Linotype" w:eastAsia="Palatino Linotype" w:hAnsi="Palatino Linotype" w:cs="Palatino Linotype"/>
              <w:b/>
              <w:sz w:val="22"/>
              <w:szCs w:val="22"/>
            </w:rPr>
            <w:t>6754</w:t>
          </w:r>
          <w:r>
            <w:rPr>
              <w:rFonts w:ascii="Palatino Linotype" w:eastAsia="Palatino Linotype" w:hAnsi="Palatino Linotype" w:cs="Palatino Linotype"/>
              <w:b/>
              <w:sz w:val="22"/>
              <w:szCs w:val="22"/>
            </w:rPr>
            <w:t>/INFOEM/IP/RR/2025</w:t>
          </w:r>
        </w:p>
      </w:tc>
    </w:tr>
    <w:tr w:rsidR="001634A8" w14:paraId="1EF906EB" w14:textId="77777777">
      <w:trPr>
        <w:trHeight w:val="228"/>
      </w:trPr>
      <w:tc>
        <w:tcPr>
          <w:tcW w:w="2489" w:type="dxa"/>
          <w:vAlign w:val="center"/>
        </w:tcPr>
        <w:p w14:paraId="0F89A1D9" w14:textId="77777777" w:rsidR="001634A8" w:rsidRDefault="0016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E12B6BC" w14:textId="067F80B4" w:rsidR="001634A8" w:rsidRDefault="00F552AA" w:rsidP="00F552AA">
          <w:pPr>
            <w:ind w:left="-45" w:right="176"/>
            <w:jc w:val="both"/>
            <w:rPr>
              <w:rFonts w:ascii="Palatino Linotype" w:eastAsia="Palatino Linotype" w:hAnsi="Palatino Linotype" w:cs="Palatino Linotype"/>
              <w:b/>
              <w:sz w:val="22"/>
              <w:szCs w:val="22"/>
            </w:rPr>
          </w:pPr>
          <w:r w:rsidRPr="00F552AA">
            <w:rPr>
              <w:rFonts w:ascii="Palatino Linotype" w:eastAsia="Palatino Linotype" w:hAnsi="Palatino Linotype" w:cs="Palatino Linotype"/>
              <w:b/>
              <w:sz w:val="22"/>
              <w:szCs w:val="22"/>
            </w:rPr>
            <w:t>Ayuntamiento de Metepec</w:t>
          </w:r>
        </w:p>
      </w:tc>
    </w:tr>
    <w:tr w:rsidR="001634A8" w14:paraId="7BDD1934" w14:textId="77777777">
      <w:tc>
        <w:tcPr>
          <w:tcW w:w="2489" w:type="dxa"/>
          <w:vAlign w:val="center"/>
        </w:tcPr>
        <w:p w14:paraId="528B16D3" w14:textId="77777777" w:rsidR="001634A8" w:rsidRDefault="001634A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CF771FF" w14:textId="77777777" w:rsidR="001634A8" w:rsidRDefault="001634A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C1CCA5D" w14:textId="77777777" w:rsidR="001634A8" w:rsidRDefault="001634A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67EE" w14:textId="77777777" w:rsidR="001634A8" w:rsidRDefault="001634A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6D03483" wp14:editId="3C7B52FE">
          <wp:simplePos x="0" y="0"/>
          <wp:positionH relativeFrom="page">
            <wp:align>left</wp:align>
          </wp:positionH>
          <wp:positionV relativeFrom="paragraph">
            <wp:posOffset>-369893</wp:posOffset>
          </wp:positionV>
          <wp:extent cx="7809865" cy="10165715"/>
          <wp:effectExtent l="0" t="0" r="635" b="6985"/>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9"/>
      <w:tblW w:w="5953" w:type="dxa"/>
      <w:tblInd w:w="3261" w:type="dxa"/>
      <w:tblLayout w:type="fixed"/>
      <w:tblLook w:val="0400" w:firstRow="0" w:lastRow="0" w:firstColumn="0" w:lastColumn="0" w:noHBand="0" w:noVBand="1"/>
    </w:tblPr>
    <w:tblGrid>
      <w:gridCol w:w="2489"/>
      <w:gridCol w:w="3464"/>
    </w:tblGrid>
    <w:tr w:rsidR="001634A8" w14:paraId="46880F3A" w14:textId="77777777">
      <w:tc>
        <w:tcPr>
          <w:tcW w:w="2489" w:type="dxa"/>
        </w:tcPr>
        <w:p w14:paraId="1EB5D813" w14:textId="77777777" w:rsidR="001634A8" w:rsidRDefault="0016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12F16BC" w14:textId="3D6918BB" w:rsidR="001634A8" w:rsidRDefault="001634A8" w:rsidP="00F00F9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F552AA">
            <w:rPr>
              <w:rFonts w:ascii="Palatino Linotype" w:eastAsia="Palatino Linotype" w:hAnsi="Palatino Linotype" w:cs="Palatino Linotype"/>
              <w:b/>
              <w:sz w:val="22"/>
              <w:szCs w:val="22"/>
            </w:rPr>
            <w:t>6754</w:t>
          </w:r>
          <w:r>
            <w:rPr>
              <w:rFonts w:ascii="Palatino Linotype" w:eastAsia="Palatino Linotype" w:hAnsi="Palatino Linotype" w:cs="Palatino Linotype"/>
              <w:b/>
              <w:sz w:val="22"/>
              <w:szCs w:val="22"/>
            </w:rPr>
            <w:t>/INFOEM/IP/RR/2025</w:t>
          </w:r>
        </w:p>
      </w:tc>
    </w:tr>
    <w:tr w:rsidR="001634A8" w14:paraId="6F08065E" w14:textId="77777777">
      <w:tc>
        <w:tcPr>
          <w:tcW w:w="2489" w:type="dxa"/>
        </w:tcPr>
        <w:p w14:paraId="6CBCF13E" w14:textId="77777777" w:rsidR="001634A8" w:rsidRDefault="0016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77FDB2D" w14:textId="64C88C9E" w:rsidR="001634A8" w:rsidRPr="00581A42" w:rsidRDefault="00044704" w:rsidP="00FF33A5">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color w:val="000000"/>
              <w:sz w:val="20"/>
              <w:szCs w:val="20"/>
            </w:rPr>
            <w:t>XXXXX XXXXXX XXXXXXXX</w:t>
          </w:r>
        </w:p>
      </w:tc>
    </w:tr>
    <w:tr w:rsidR="001634A8" w14:paraId="47F246BA" w14:textId="77777777">
      <w:trPr>
        <w:trHeight w:val="228"/>
      </w:trPr>
      <w:tc>
        <w:tcPr>
          <w:tcW w:w="2489" w:type="dxa"/>
          <w:vAlign w:val="center"/>
        </w:tcPr>
        <w:p w14:paraId="21E926C2" w14:textId="77777777" w:rsidR="001634A8" w:rsidRDefault="0016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8809574" w14:textId="2A679940" w:rsidR="001634A8" w:rsidRDefault="00F552AA">
          <w:pPr>
            <w:ind w:left="-45" w:right="176"/>
            <w:jc w:val="both"/>
            <w:rPr>
              <w:rFonts w:ascii="Palatino Linotype" w:eastAsia="Palatino Linotype" w:hAnsi="Palatino Linotype" w:cs="Palatino Linotype"/>
              <w:b/>
              <w:sz w:val="22"/>
              <w:szCs w:val="22"/>
            </w:rPr>
          </w:pPr>
          <w:r w:rsidRPr="00F552AA">
            <w:rPr>
              <w:rFonts w:ascii="Palatino Linotype" w:eastAsia="Palatino Linotype" w:hAnsi="Palatino Linotype" w:cs="Palatino Linotype"/>
              <w:b/>
              <w:sz w:val="22"/>
              <w:szCs w:val="22"/>
            </w:rPr>
            <w:t>Ayuntamiento de Metepec</w:t>
          </w:r>
        </w:p>
      </w:tc>
    </w:tr>
    <w:tr w:rsidR="001634A8" w14:paraId="29E51848" w14:textId="77777777">
      <w:tc>
        <w:tcPr>
          <w:tcW w:w="2489" w:type="dxa"/>
          <w:vAlign w:val="center"/>
        </w:tcPr>
        <w:p w14:paraId="34902144" w14:textId="77777777" w:rsidR="001634A8" w:rsidRDefault="001634A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859036D" w14:textId="77777777" w:rsidR="001634A8" w:rsidRDefault="001634A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4E15806" w14:textId="77777777" w:rsidR="001634A8" w:rsidRDefault="001634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0F24AD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ED54AE"/>
    <w:multiLevelType w:val="multilevel"/>
    <w:tmpl w:val="A68E4A54"/>
    <w:lvl w:ilvl="0">
      <w:start w:val="1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FD392F"/>
    <w:multiLevelType w:val="multilevel"/>
    <w:tmpl w:val="E9D2DE3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573984"/>
    <w:multiLevelType w:val="multilevel"/>
    <w:tmpl w:val="794E1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5644371"/>
    <w:multiLevelType w:val="multilevel"/>
    <w:tmpl w:val="ECB6B78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72"/>
    <w:rsid w:val="0000042E"/>
    <w:rsid w:val="00030063"/>
    <w:rsid w:val="000377E3"/>
    <w:rsid w:val="00044704"/>
    <w:rsid w:val="00045CA8"/>
    <w:rsid w:val="000545F6"/>
    <w:rsid w:val="00065021"/>
    <w:rsid w:val="00070304"/>
    <w:rsid w:val="00083BE6"/>
    <w:rsid w:val="000864B5"/>
    <w:rsid w:val="0008712C"/>
    <w:rsid w:val="00096834"/>
    <w:rsid w:val="000A6CC0"/>
    <w:rsid w:val="000B1ED7"/>
    <w:rsid w:val="000B2DEA"/>
    <w:rsid w:val="000D36A6"/>
    <w:rsid w:val="000E3CA5"/>
    <w:rsid w:val="000E3D6C"/>
    <w:rsid w:val="000E4BD8"/>
    <w:rsid w:val="000F4246"/>
    <w:rsid w:val="000F763E"/>
    <w:rsid w:val="00102198"/>
    <w:rsid w:val="0011479D"/>
    <w:rsid w:val="00121FC6"/>
    <w:rsid w:val="00162117"/>
    <w:rsid w:val="001634A8"/>
    <w:rsid w:val="001803D6"/>
    <w:rsid w:val="00184B52"/>
    <w:rsid w:val="00186072"/>
    <w:rsid w:val="00193351"/>
    <w:rsid w:val="001B57A7"/>
    <w:rsid w:val="001D2E0C"/>
    <w:rsid w:val="001E6E98"/>
    <w:rsid w:val="002136B1"/>
    <w:rsid w:val="00214451"/>
    <w:rsid w:val="00224D4D"/>
    <w:rsid w:val="002357D8"/>
    <w:rsid w:val="002460F6"/>
    <w:rsid w:val="002504C7"/>
    <w:rsid w:val="002702BE"/>
    <w:rsid w:val="002776EC"/>
    <w:rsid w:val="00290C18"/>
    <w:rsid w:val="002B7146"/>
    <w:rsid w:val="002C029C"/>
    <w:rsid w:val="002C4747"/>
    <w:rsid w:val="002C52E7"/>
    <w:rsid w:val="002D7A5C"/>
    <w:rsid w:val="00302E11"/>
    <w:rsid w:val="003330B1"/>
    <w:rsid w:val="003366CB"/>
    <w:rsid w:val="00340A3C"/>
    <w:rsid w:val="0036617E"/>
    <w:rsid w:val="00366A1F"/>
    <w:rsid w:val="0039571B"/>
    <w:rsid w:val="003A6269"/>
    <w:rsid w:val="003D4151"/>
    <w:rsid w:val="003D6E40"/>
    <w:rsid w:val="003D7E61"/>
    <w:rsid w:val="003E1EAA"/>
    <w:rsid w:val="004013E7"/>
    <w:rsid w:val="00406AB9"/>
    <w:rsid w:val="00417113"/>
    <w:rsid w:val="00422A7E"/>
    <w:rsid w:val="00446333"/>
    <w:rsid w:val="00446CC7"/>
    <w:rsid w:val="00454036"/>
    <w:rsid w:val="004973F1"/>
    <w:rsid w:val="00497F0F"/>
    <w:rsid w:val="004A6D85"/>
    <w:rsid w:val="004A77CD"/>
    <w:rsid w:val="004C586C"/>
    <w:rsid w:val="004F4689"/>
    <w:rsid w:val="00544B28"/>
    <w:rsid w:val="005626F9"/>
    <w:rsid w:val="00574360"/>
    <w:rsid w:val="00581A42"/>
    <w:rsid w:val="0059420C"/>
    <w:rsid w:val="005D0C86"/>
    <w:rsid w:val="005D7DCB"/>
    <w:rsid w:val="005E4E4C"/>
    <w:rsid w:val="005E6A1E"/>
    <w:rsid w:val="0060034F"/>
    <w:rsid w:val="00603B9C"/>
    <w:rsid w:val="00604834"/>
    <w:rsid w:val="006062E2"/>
    <w:rsid w:val="00616B12"/>
    <w:rsid w:val="00622420"/>
    <w:rsid w:val="00640C44"/>
    <w:rsid w:val="006417A8"/>
    <w:rsid w:val="00644B09"/>
    <w:rsid w:val="006A4112"/>
    <w:rsid w:val="006B0A6C"/>
    <w:rsid w:val="006B1911"/>
    <w:rsid w:val="006F6A62"/>
    <w:rsid w:val="0070600E"/>
    <w:rsid w:val="00722851"/>
    <w:rsid w:val="00722C93"/>
    <w:rsid w:val="00734DD7"/>
    <w:rsid w:val="00765BF5"/>
    <w:rsid w:val="00772601"/>
    <w:rsid w:val="007755B5"/>
    <w:rsid w:val="007811B1"/>
    <w:rsid w:val="00793E24"/>
    <w:rsid w:val="007A687D"/>
    <w:rsid w:val="007B3B24"/>
    <w:rsid w:val="007C5229"/>
    <w:rsid w:val="007E7704"/>
    <w:rsid w:val="007F38DC"/>
    <w:rsid w:val="008033C2"/>
    <w:rsid w:val="008044A1"/>
    <w:rsid w:val="0082443A"/>
    <w:rsid w:val="00834C2D"/>
    <w:rsid w:val="00851B0C"/>
    <w:rsid w:val="008523BA"/>
    <w:rsid w:val="00866E98"/>
    <w:rsid w:val="008A229E"/>
    <w:rsid w:val="008A7722"/>
    <w:rsid w:val="008B17D3"/>
    <w:rsid w:val="008B2995"/>
    <w:rsid w:val="008B5E47"/>
    <w:rsid w:val="008C264D"/>
    <w:rsid w:val="00902334"/>
    <w:rsid w:val="00927D10"/>
    <w:rsid w:val="00933FF8"/>
    <w:rsid w:val="00935489"/>
    <w:rsid w:val="00941F49"/>
    <w:rsid w:val="0094285C"/>
    <w:rsid w:val="00957DD7"/>
    <w:rsid w:val="009609E5"/>
    <w:rsid w:val="00990375"/>
    <w:rsid w:val="00991D32"/>
    <w:rsid w:val="009A65BD"/>
    <w:rsid w:val="009D06B0"/>
    <w:rsid w:val="009D4874"/>
    <w:rsid w:val="009E3F3D"/>
    <w:rsid w:val="00A2392B"/>
    <w:rsid w:val="00A35841"/>
    <w:rsid w:val="00A436D9"/>
    <w:rsid w:val="00A5503C"/>
    <w:rsid w:val="00A55B1F"/>
    <w:rsid w:val="00A600F0"/>
    <w:rsid w:val="00A81F21"/>
    <w:rsid w:val="00A83C12"/>
    <w:rsid w:val="00AA69C7"/>
    <w:rsid w:val="00AB64A5"/>
    <w:rsid w:val="00AD0CEA"/>
    <w:rsid w:val="00AE24DB"/>
    <w:rsid w:val="00AE2643"/>
    <w:rsid w:val="00B015B8"/>
    <w:rsid w:val="00B25925"/>
    <w:rsid w:val="00B666C5"/>
    <w:rsid w:val="00B67E2B"/>
    <w:rsid w:val="00B72211"/>
    <w:rsid w:val="00B84203"/>
    <w:rsid w:val="00B86116"/>
    <w:rsid w:val="00B87058"/>
    <w:rsid w:val="00BB3988"/>
    <w:rsid w:val="00BC0A69"/>
    <w:rsid w:val="00BD1489"/>
    <w:rsid w:val="00BE40AD"/>
    <w:rsid w:val="00BF2D78"/>
    <w:rsid w:val="00C059D1"/>
    <w:rsid w:val="00C06D68"/>
    <w:rsid w:val="00C25E77"/>
    <w:rsid w:val="00C31B34"/>
    <w:rsid w:val="00C35C53"/>
    <w:rsid w:val="00C376F9"/>
    <w:rsid w:val="00C57B3E"/>
    <w:rsid w:val="00C643BD"/>
    <w:rsid w:val="00CA3CCC"/>
    <w:rsid w:val="00CA7BFA"/>
    <w:rsid w:val="00CC227C"/>
    <w:rsid w:val="00CD703E"/>
    <w:rsid w:val="00D050F9"/>
    <w:rsid w:val="00D06F13"/>
    <w:rsid w:val="00D275C2"/>
    <w:rsid w:val="00D305F0"/>
    <w:rsid w:val="00D37829"/>
    <w:rsid w:val="00D459DA"/>
    <w:rsid w:val="00D530AF"/>
    <w:rsid w:val="00D55253"/>
    <w:rsid w:val="00D73B15"/>
    <w:rsid w:val="00D748CF"/>
    <w:rsid w:val="00D76912"/>
    <w:rsid w:val="00D83680"/>
    <w:rsid w:val="00D86275"/>
    <w:rsid w:val="00D96CAD"/>
    <w:rsid w:val="00DC5A77"/>
    <w:rsid w:val="00DD3924"/>
    <w:rsid w:val="00DD6932"/>
    <w:rsid w:val="00DE3914"/>
    <w:rsid w:val="00DF4823"/>
    <w:rsid w:val="00E275BD"/>
    <w:rsid w:val="00E30542"/>
    <w:rsid w:val="00E4560E"/>
    <w:rsid w:val="00E53193"/>
    <w:rsid w:val="00E7446D"/>
    <w:rsid w:val="00E75463"/>
    <w:rsid w:val="00E77448"/>
    <w:rsid w:val="00EA6D47"/>
    <w:rsid w:val="00EB60A4"/>
    <w:rsid w:val="00EC6B1B"/>
    <w:rsid w:val="00ED0D49"/>
    <w:rsid w:val="00EF224F"/>
    <w:rsid w:val="00F00F96"/>
    <w:rsid w:val="00F11647"/>
    <w:rsid w:val="00F116C2"/>
    <w:rsid w:val="00F21513"/>
    <w:rsid w:val="00F37A21"/>
    <w:rsid w:val="00F41AEF"/>
    <w:rsid w:val="00F52180"/>
    <w:rsid w:val="00F552AA"/>
    <w:rsid w:val="00F76B9D"/>
    <w:rsid w:val="00F77B55"/>
    <w:rsid w:val="00F81841"/>
    <w:rsid w:val="00F82444"/>
    <w:rsid w:val="00F84390"/>
    <w:rsid w:val="00F94318"/>
    <w:rsid w:val="00FB23F4"/>
    <w:rsid w:val="00FC304C"/>
    <w:rsid w:val="00FC4A5A"/>
    <w:rsid w:val="00FD0858"/>
    <w:rsid w:val="00FD0C60"/>
    <w:rsid w:val="00FF33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900664"/>
  <w15:docId w15:val="{FD7F6AB0-CA79-4CE2-837B-D562301E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0"/>
    <w:tblPr>
      <w:tblStyleRowBandSize w:val="1"/>
      <w:tblStyleColBandSize w:val="1"/>
      <w:tblCellMar>
        <w:left w:w="115" w:type="dxa"/>
        <w:right w:w="115" w:type="dxa"/>
      </w:tblCellMar>
    </w:tblPr>
  </w:style>
  <w:style w:type="table" w:customStyle="1" w:styleId="a0">
    <w:basedOn w:val="TableNormalf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0"/>
    <w:tblPr>
      <w:tblStyleRowBandSize w:val="1"/>
      <w:tblStyleColBandSize w:val="1"/>
      <w:tblCellMar>
        <w:left w:w="115" w:type="dxa"/>
        <w:right w:w="115" w:type="dxa"/>
      </w:tblCellMar>
    </w:tblPr>
  </w:style>
  <w:style w:type="table" w:customStyle="1" w:styleId="a2">
    <w:basedOn w:val="TableNormalf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
    <w:tblPr>
      <w:tblStyleRowBandSize w:val="1"/>
      <w:tblStyleColBandSize w:val="1"/>
      <w:tblCellMar>
        <w:left w:w="115" w:type="dxa"/>
        <w:right w:w="115" w:type="dxa"/>
      </w:tblCellMar>
    </w:tblPr>
  </w:style>
  <w:style w:type="table" w:customStyle="1" w:styleId="a4">
    <w:basedOn w:val="TableNormalf"/>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e"/>
    <w:tblPr>
      <w:tblStyleRowBandSize w:val="1"/>
      <w:tblStyleColBandSize w:val="1"/>
      <w:tblCellMar>
        <w:left w:w="108" w:type="dxa"/>
        <w:right w:w="108" w:type="dxa"/>
      </w:tblCellMar>
    </w:tblPr>
  </w:style>
  <w:style w:type="table" w:customStyle="1" w:styleId="a6">
    <w:basedOn w:val="TableNormale"/>
    <w:tblPr>
      <w:tblStyleRowBandSize w:val="1"/>
      <w:tblStyleColBandSize w:val="1"/>
      <w:tblCellMar>
        <w:left w:w="108" w:type="dxa"/>
        <w:right w:w="108" w:type="dxa"/>
      </w:tblCellMar>
    </w:tblPr>
  </w:style>
  <w:style w:type="table" w:customStyle="1" w:styleId="a7">
    <w:basedOn w:val="TableNormale"/>
    <w:tblPr>
      <w:tblStyleRowBandSize w:val="1"/>
      <w:tblStyleColBandSize w:val="1"/>
      <w:tblCellMar>
        <w:left w:w="108" w:type="dxa"/>
        <w:right w:w="108" w:type="dxa"/>
      </w:tblCellMar>
    </w:tblPr>
  </w:style>
  <w:style w:type="table" w:customStyle="1" w:styleId="a8">
    <w:basedOn w:val="TableNormale"/>
    <w:tblPr>
      <w:tblStyleRowBandSize w:val="1"/>
      <w:tblStyleColBandSize w:val="1"/>
      <w:tblCellMar>
        <w:left w:w="108" w:type="dxa"/>
        <w:right w:w="108" w:type="dxa"/>
      </w:tblCellMar>
    </w:tblPr>
  </w:style>
  <w:style w:type="table" w:customStyle="1" w:styleId="a9">
    <w:basedOn w:val="TableNormale"/>
    <w:tblPr>
      <w:tblStyleRowBandSize w:val="1"/>
      <w:tblStyleColBandSize w:val="1"/>
      <w:tblCellMar>
        <w:left w:w="108" w:type="dxa"/>
        <w:right w:w="108" w:type="dxa"/>
      </w:tblCellMar>
    </w:tblPr>
  </w:style>
  <w:style w:type="table" w:customStyle="1" w:styleId="aa">
    <w:basedOn w:val="TableNormale"/>
    <w:tblPr>
      <w:tblStyleRowBandSize w:val="1"/>
      <w:tblStyleColBandSize w:val="1"/>
      <w:tblCellMar>
        <w:left w:w="115" w:type="dxa"/>
        <w:right w:w="115" w:type="dxa"/>
      </w:tblCellMar>
    </w:tblPr>
  </w:style>
  <w:style w:type="table" w:customStyle="1" w:styleId="ab">
    <w:basedOn w:val="TableNormale"/>
    <w:tblPr>
      <w:tblStyleRowBandSize w:val="1"/>
      <w:tblStyleColBandSize w:val="1"/>
      <w:tblCellMar>
        <w:left w:w="115" w:type="dxa"/>
        <w:right w:w="115" w:type="dxa"/>
      </w:tblCellMar>
    </w:tblPr>
  </w:style>
  <w:style w:type="table" w:customStyle="1" w:styleId="ac">
    <w:basedOn w:val="TableNormald"/>
    <w:tblPr>
      <w:tblStyleRowBandSize w:val="1"/>
      <w:tblStyleColBandSize w:val="1"/>
      <w:tblCellMar>
        <w:left w:w="108" w:type="dxa"/>
        <w:right w:w="108" w:type="dxa"/>
      </w:tblCellMar>
    </w:tblPr>
  </w:style>
  <w:style w:type="table" w:customStyle="1" w:styleId="ad">
    <w:basedOn w:val="TableNormald"/>
    <w:tblPr>
      <w:tblStyleRowBandSize w:val="1"/>
      <w:tblStyleColBandSize w:val="1"/>
      <w:tblCellMar>
        <w:left w:w="115" w:type="dxa"/>
        <w:right w:w="115" w:type="dxa"/>
      </w:tblCellMar>
    </w:tblPr>
  </w:style>
  <w:style w:type="table" w:customStyle="1" w:styleId="ae">
    <w:basedOn w:val="TableNormald"/>
    <w:tblPr>
      <w:tblStyleRowBandSize w:val="1"/>
      <w:tblStyleColBandSize w:val="1"/>
      <w:tblCellMar>
        <w:left w:w="115" w:type="dxa"/>
        <w:right w:w="115" w:type="dxa"/>
      </w:tblCellMar>
    </w:tblPr>
  </w:style>
  <w:style w:type="table" w:customStyle="1" w:styleId="af">
    <w:basedOn w:val="TableNormalc"/>
    <w:tblPr>
      <w:tblStyleRowBandSize w:val="1"/>
      <w:tblStyleColBandSize w:val="1"/>
      <w:tblCellMar>
        <w:left w:w="115" w:type="dxa"/>
        <w:right w:w="115" w:type="dxa"/>
      </w:tblCellMar>
    </w:tblPr>
  </w:style>
  <w:style w:type="table" w:customStyle="1" w:styleId="af0">
    <w:basedOn w:val="TableNormalc"/>
    <w:tblPr>
      <w:tblStyleRowBandSize w:val="1"/>
      <w:tblStyleColBandSize w:val="1"/>
      <w:tblCellMar>
        <w:left w:w="115" w:type="dxa"/>
        <w:right w:w="115" w:type="dxa"/>
      </w:tblCellMar>
    </w:tblPr>
  </w:style>
  <w:style w:type="table" w:customStyle="1" w:styleId="af1">
    <w:basedOn w:val="TableNormalc"/>
    <w:tblPr>
      <w:tblStyleRowBandSize w:val="1"/>
      <w:tblStyleColBandSize w:val="1"/>
      <w:tblCellMar>
        <w:left w:w="115" w:type="dxa"/>
        <w:right w:w="115" w:type="dxa"/>
      </w:tblCellMar>
    </w:tblPr>
  </w:style>
  <w:style w:type="table" w:customStyle="1" w:styleId="af2">
    <w:basedOn w:val="TableNormalb"/>
    <w:tblPr>
      <w:tblStyleRowBandSize w:val="1"/>
      <w:tblStyleColBandSize w:val="1"/>
      <w:tblCellMar>
        <w:left w:w="115" w:type="dxa"/>
        <w:right w:w="115" w:type="dxa"/>
      </w:tblCellMar>
    </w:tblPr>
  </w:style>
  <w:style w:type="table" w:customStyle="1" w:styleId="af3">
    <w:basedOn w:val="TableNormalb"/>
    <w:tblPr>
      <w:tblStyleRowBandSize w:val="1"/>
      <w:tblStyleColBandSize w:val="1"/>
      <w:tblCellMar>
        <w:left w:w="115" w:type="dxa"/>
        <w:right w:w="115" w:type="dxa"/>
      </w:tblCellMar>
    </w:tblPr>
  </w:style>
  <w:style w:type="table" w:customStyle="1" w:styleId="af4">
    <w:basedOn w:val="TableNormala"/>
    <w:tblPr>
      <w:tblStyleRowBandSize w:val="1"/>
      <w:tblStyleColBandSize w:val="1"/>
      <w:tblCellMar>
        <w:left w:w="115" w:type="dxa"/>
        <w:right w:w="115" w:type="dxa"/>
      </w:tblCellMar>
    </w:tblPr>
  </w:style>
  <w:style w:type="table" w:customStyle="1" w:styleId="af5">
    <w:basedOn w:val="TableNormala"/>
    <w:tblPr>
      <w:tblStyleRowBandSize w:val="1"/>
      <w:tblStyleColBandSize w:val="1"/>
      <w:tblCellMar>
        <w:left w:w="115" w:type="dxa"/>
        <w:right w:w="115" w:type="dxa"/>
      </w:tblCellMar>
    </w:tblPr>
  </w:style>
  <w:style w:type="table" w:customStyle="1" w:styleId="af6">
    <w:basedOn w:val="TableNormal9"/>
    <w:tblPr>
      <w:tblStyleRowBandSize w:val="1"/>
      <w:tblStyleColBandSize w:val="1"/>
      <w:tblCellMar>
        <w:left w:w="115" w:type="dxa"/>
        <w:right w:w="115" w:type="dxa"/>
      </w:tblCellMar>
    </w:tblPr>
  </w:style>
  <w:style w:type="table" w:customStyle="1" w:styleId="af7">
    <w:basedOn w:val="TableNormal9"/>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8"/>
    <w:tblPr>
      <w:tblStyleRowBandSize w:val="1"/>
      <w:tblStyleColBandSize w:val="1"/>
      <w:tblCellMar>
        <w:left w:w="115" w:type="dxa"/>
        <w:right w:w="115" w:type="dxa"/>
      </w:tblCellMar>
    </w:tblPr>
  </w:style>
  <w:style w:type="table" w:customStyle="1" w:styleId="af9">
    <w:basedOn w:val="TableNormal8"/>
    <w:tblPr>
      <w:tblStyleRowBandSize w:val="1"/>
      <w:tblStyleColBandSize w:val="1"/>
      <w:tblCellMar>
        <w:left w:w="115" w:type="dxa"/>
        <w:right w:w="115" w:type="dxa"/>
      </w:tblCellMar>
    </w:tblPr>
  </w:style>
  <w:style w:type="table" w:customStyle="1" w:styleId="afa">
    <w:basedOn w:val="TableNormal7"/>
    <w:tblPr>
      <w:tblStyleRowBandSize w:val="1"/>
      <w:tblStyleColBandSize w:val="1"/>
      <w:tblCellMar>
        <w:left w:w="115" w:type="dxa"/>
        <w:right w:w="115" w:type="dxa"/>
      </w:tblCellMar>
    </w:tblPr>
  </w:style>
  <w:style w:type="table" w:customStyle="1" w:styleId="afb">
    <w:basedOn w:val="TableNormal7"/>
    <w:tblPr>
      <w:tblStyleRowBandSize w:val="1"/>
      <w:tblStyleColBandSize w:val="1"/>
      <w:tblCellMar>
        <w:left w:w="115" w:type="dxa"/>
        <w:right w:w="115" w:type="dxa"/>
      </w:tblCellMar>
    </w:tblPr>
  </w:style>
  <w:style w:type="table" w:customStyle="1" w:styleId="afc">
    <w:basedOn w:val="TableNormal6"/>
    <w:tblPr>
      <w:tblStyleRowBandSize w:val="1"/>
      <w:tblStyleColBandSize w:val="1"/>
      <w:tblCellMar>
        <w:left w:w="115" w:type="dxa"/>
        <w:right w:w="115" w:type="dxa"/>
      </w:tblCellMar>
    </w:tblPr>
  </w:style>
  <w:style w:type="table" w:customStyle="1" w:styleId="afd">
    <w:basedOn w:val="TableNormal6"/>
    <w:tblPr>
      <w:tblStyleRowBandSize w:val="1"/>
      <w:tblStyleColBandSize w:val="1"/>
      <w:tblCellMar>
        <w:left w:w="115" w:type="dxa"/>
        <w:right w:w="115"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left w:w="115" w:type="dxa"/>
        <w:right w:w="115" w:type="dxa"/>
      </w:tblCellMar>
    </w:tblPr>
  </w:style>
  <w:style w:type="table" w:customStyle="1" w:styleId="aff0">
    <w:basedOn w:val="TableNormal4"/>
    <w:tblPr>
      <w:tblStyleRowBandSize w:val="1"/>
      <w:tblStyleColBandSize w:val="1"/>
      <w:tblCellMar>
        <w:left w:w="115" w:type="dxa"/>
        <w:right w:w="115" w:type="dxa"/>
      </w:tblCellMar>
    </w:tblPr>
  </w:style>
  <w:style w:type="table" w:customStyle="1" w:styleId="aff1">
    <w:basedOn w:val="TableNormal4"/>
    <w:tblPr>
      <w:tblStyleRowBandSize w:val="1"/>
      <w:tblStyleColBandSize w:val="1"/>
      <w:tblCellMar>
        <w:left w:w="115" w:type="dxa"/>
        <w:right w:w="115" w:type="dxa"/>
      </w:tblCellMar>
    </w:tblPr>
  </w:style>
  <w:style w:type="table" w:customStyle="1" w:styleId="aff2">
    <w:basedOn w:val="TableNormal3"/>
    <w:tblPr>
      <w:tblStyleRowBandSize w:val="1"/>
      <w:tblStyleColBandSize w:val="1"/>
      <w:tblCellMar>
        <w:left w:w="115" w:type="dxa"/>
        <w:right w:w="115" w:type="dxa"/>
      </w:tblCellMar>
    </w:tblPr>
  </w:style>
  <w:style w:type="table" w:customStyle="1" w:styleId="aff3">
    <w:basedOn w:val="TableNormal3"/>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paragraph" w:styleId="Lista">
    <w:name w:val="List"/>
    <w:basedOn w:val="Normal"/>
    <w:uiPriority w:val="99"/>
    <w:unhideWhenUsed/>
    <w:rsid w:val="00941F49"/>
    <w:pPr>
      <w:ind w:left="283" w:hanging="283"/>
      <w:contextualSpacing/>
    </w:pPr>
  </w:style>
  <w:style w:type="paragraph" w:styleId="Lista2">
    <w:name w:val="List 2"/>
    <w:basedOn w:val="Normal"/>
    <w:uiPriority w:val="99"/>
    <w:unhideWhenUsed/>
    <w:rsid w:val="00941F49"/>
    <w:pPr>
      <w:ind w:left="566" w:hanging="283"/>
      <w:contextualSpacing/>
    </w:pPr>
  </w:style>
  <w:style w:type="paragraph" w:styleId="Lista3">
    <w:name w:val="List 3"/>
    <w:basedOn w:val="Normal"/>
    <w:uiPriority w:val="99"/>
    <w:unhideWhenUsed/>
    <w:rsid w:val="00941F49"/>
    <w:pPr>
      <w:ind w:left="849" w:hanging="283"/>
      <w:contextualSpacing/>
    </w:pPr>
  </w:style>
  <w:style w:type="paragraph" w:styleId="Listaconvietas2">
    <w:name w:val="List Bullet 2"/>
    <w:basedOn w:val="Normal"/>
    <w:uiPriority w:val="99"/>
    <w:unhideWhenUsed/>
    <w:rsid w:val="00941F49"/>
    <w:pPr>
      <w:numPr>
        <w:numId w:val="6"/>
      </w:numPr>
      <w:contextualSpacing/>
    </w:pPr>
  </w:style>
  <w:style w:type="paragraph" w:styleId="Continuarlista">
    <w:name w:val="List Continue"/>
    <w:basedOn w:val="Normal"/>
    <w:uiPriority w:val="99"/>
    <w:unhideWhenUsed/>
    <w:rsid w:val="00941F49"/>
    <w:pPr>
      <w:spacing w:after="120"/>
      <w:ind w:left="283"/>
      <w:contextualSpacing/>
    </w:pPr>
  </w:style>
  <w:style w:type="paragraph" w:styleId="Textoindependiente">
    <w:name w:val="Body Text"/>
    <w:basedOn w:val="Normal"/>
    <w:link w:val="TextoindependienteCar"/>
    <w:uiPriority w:val="99"/>
    <w:unhideWhenUsed/>
    <w:rsid w:val="00941F49"/>
    <w:pPr>
      <w:spacing w:after="120"/>
    </w:pPr>
  </w:style>
  <w:style w:type="character" w:customStyle="1" w:styleId="TextoindependienteCar">
    <w:name w:val="Texto independiente Car"/>
    <w:basedOn w:val="Fuentedeprrafopredeter"/>
    <w:link w:val="Textoindependiente"/>
    <w:uiPriority w:val="99"/>
    <w:rsid w:val="00941F49"/>
  </w:style>
  <w:style w:type="paragraph" w:styleId="Sangradetextonormal">
    <w:name w:val="Body Text Indent"/>
    <w:basedOn w:val="Normal"/>
    <w:link w:val="SangradetextonormalCar"/>
    <w:uiPriority w:val="99"/>
    <w:unhideWhenUsed/>
    <w:rsid w:val="00941F49"/>
    <w:pPr>
      <w:spacing w:after="120"/>
      <w:ind w:left="283"/>
    </w:pPr>
  </w:style>
  <w:style w:type="character" w:customStyle="1" w:styleId="SangradetextonormalCar">
    <w:name w:val="Sangría de texto normal Car"/>
    <w:basedOn w:val="Fuentedeprrafopredeter"/>
    <w:link w:val="Sangradetextonormal"/>
    <w:uiPriority w:val="99"/>
    <w:rsid w:val="00941F49"/>
  </w:style>
  <w:style w:type="paragraph" w:styleId="Textoindependienteprimerasangra2">
    <w:name w:val="Body Text First Indent 2"/>
    <w:basedOn w:val="Sangradetextonormal"/>
    <w:link w:val="Textoindependienteprimerasangra2Car"/>
    <w:uiPriority w:val="99"/>
    <w:unhideWhenUsed/>
    <w:rsid w:val="00941F4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1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025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1TGs+yFBCFVlxzt532qTLIzJg==">CgMxLjAyCWguM3JkY3JqbjIOaC5kYWozajJ4bzZxNjYyCGguZ2pkZ3hzMgloLjNkeTZ2a20yCWguMzBqMHpsbDIJaC4yczhleW8xMghoLnR5amN3dDIJaC4zem55c2g3MgloLjJldDkycDAyCWguMXQzaDVzZjIJaC4xZm9iOXRlMg5oLmhuenhzY2g1Z3lzejIOaC5vdDNxcTZ2eGEwOGYyCGgubG54Yno5OAByITFpNEN2WDIyMExYcVB3c211UXVOS2x3M1pFWXV5ZUxO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11369</Words>
  <Characters>62533</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2025-08-22T19:43:00Z</cp:lastPrinted>
  <dcterms:created xsi:type="dcterms:W3CDTF">2025-09-04T23:43:00Z</dcterms:created>
  <dcterms:modified xsi:type="dcterms:W3CDTF">2025-09-04T23:43:00Z</dcterms:modified>
</cp:coreProperties>
</file>