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19D6" w14:textId="3034B1FC" w:rsidR="004309A2" w:rsidRDefault="00871098" w:rsidP="004309A2">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07D06">
        <w:rPr>
          <w:rFonts w:ascii="Palatino Linotype" w:hAnsi="Palatino Linotype" w:cs="Arial"/>
          <w:color w:val="000000"/>
          <w:lang w:val="es-MX" w:eastAsia="es-MX"/>
        </w:rPr>
        <w:t>veinte</w:t>
      </w:r>
      <w:r w:rsidR="0009050D">
        <w:rPr>
          <w:rFonts w:ascii="Palatino Linotype" w:hAnsi="Palatino Linotype" w:cs="Arial"/>
          <w:color w:val="000000"/>
          <w:lang w:val="es-MX" w:eastAsia="es-MX"/>
        </w:rPr>
        <w:t xml:space="preserve"> de marzo</w:t>
      </w:r>
      <w:r w:rsidR="007237B8" w:rsidRPr="006A240A">
        <w:rPr>
          <w:rFonts w:ascii="Palatino Linotype" w:hAnsi="Palatino Linotype" w:cs="Arial"/>
          <w:color w:val="000000"/>
          <w:lang w:val="es-MX" w:eastAsia="es-MX"/>
        </w:rPr>
        <w:t xml:space="preserve"> </w:t>
      </w:r>
      <w:r w:rsidR="008A0D74">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dos mil veinti</w:t>
      </w:r>
      <w:r w:rsidR="0009050D">
        <w:rPr>
          <w:rFonts w:ascii="Palatino Linotype" w:hAnsi="Palatino Linotype" w:cs="Arial"/>
          <w:color w:val="000000"/>
          <w:lang w:val="es-MX" w:eastAsia="es-MX"/>
        </w:rPr>
        <w:t>cinco</w:t>
      </w:r>
      <w:r w:rsidR="0029071C" w:rsidRPr="006A240A">
        <w:rPr>
          <w:rFonts w:ascii="Palatino Linotype" w:hAnsi="Palatino Linotype" w:cs="Arial"/>
          <w:color w:val="000000"/>
          <w:lang w:val="es-MX" w:eastAsia="es-MX"/>
        </w:rPr>
        <w:t>.</w:t>
      </w:r>
    </w:p>
    <w:p w14:paraId="32E6B3FE" w14:textId="77777777" w:rsidR="007D645B" w:rsidRPr="006A240A" w:rsidRDefault="007D645B" w:rsidP="007D645B">
      <w:pPr>
        <w:pStyle w:val="Sinespaciado"/>
        <w:rPr>
          <w:lang w:eastAsia="es-MX"/>
        </w:rPr>
      </w:pPr>
    </w:p>
    <w:p w14:paraId="18792ADD" w14:textId="13A4425A"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7D645B" w:rsidRPr="007D645B">
        <w:rPr>
          <w:rFonts w:ascii="Palatino Linotype" w:eastAsiaTheme="minorHAnsi" w:hAnsi="Palatino Linotype" w:cs="Arial"/>
          <w:b/>
          <w:lang w:val="es-MX" w:eastAsia="en-US"/>
        </w:rPr>
        <w:t>0</w:t>
      </w:r>
      <w:r w:rsidR="00C07D06">
        <w:rPr>
          <w:rFonts w:ascii="Palatino Linotype" w:eastAsiaTheme="minorHAnsi" w:hAnsi="Palatino Linotype" w:cs="Arial"/>
          <w:b/>
          <w:lang w:val="es-MX" w:eastAsia="en-US"/>
        </w:rPr>
        <w:t>101</w:t>
      </w:r>
      <w:r w:rsidR="00DD62C0">
        <w:rPr>
          <w:rFonts w:ascii="Palatino Linotype" w:eastAsiaTheme="minorHAnsi" w:hAnsi="Palatino Linotype" w:cs="Arial"/>
          <w:b/>
          <w:lang w:val="es-MX" w:eastAsia="en-US"/>
        </w:rPr>
        <w:t>0</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B14416" w:rsidRPr="00B14416">
        <w:rPr>
          <w:rFonts w:ascii="Palatino Linotype" w:hAnsi="Palatino Linotype" w:cs="Arial"/>
        </w:rPr>
        <w:t>por un particular que al momento de ingresar la solicitud de información e interponer el recurso de revisión, no señaló nombre o seudónimo con</w:t>
      </w:r>
      <w:r w:rsidR="00B14416">
        <w:rPr>
          <w:rFonts w:ascii="Palatino Linotype" w:hAnsi="Palatino Linotype" w:cs="Arial"/>
        </w:rPr>
        <w:t xml:space="preserve">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 xml:space="preserve">Ayuntamiento de </w:t>
      </w:r>
      <w:r w:rsidR="00B14416">
        <w:rPr>
          <w:rFonts w:ascii="Palatino Linotype" w:eastAsiaTheme="minorHAnsi" w:hAnsi="Palatino Linotype" w:cs="Arial"/>
          <w:b/>
          <w:lang w:val="es-MX" w:eastAsia="en-US"/>
        </w:rPr>
        <w:t>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5D167B00" w14:textId="77777777" w:rsidR="007D645B" w:rsidRPr="007D645B" w:rsidRDefault="007D645B" w:rsidP="007D645B">
      <w:pPr>
        <w:pStyle w:val="Sinespaciado"/>
        <w:rPr>
          <w:rFonts w:eastAsiaTheme="minorHAnsi"/>
          <w:lang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186A9E7" w14:textId="377E4A61" w:rsidR="007D645B" w:rsidRDefault="0029071C" w:rsidP="0027342B">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A22F90">
        <w:rPr>
          <w:rFonts w:ascii="Palatino Linotype" w:eastAsiaTheme="minorHAnsi" w:hAnsi="Palatino Linotype" w:cs="Arial"/>
          <w:szCs w:val="22"/>
          <w:lang w:val="es-MX" w:eastAsia="en-US"/>
        </w:rPr>
        <w:t>dieciséis</w:t>
      </w:r>
      <w:r w:rsidR="00B14416">
        <w:rPr>
          <w:rFonts w:ascii="Palatino Linotype" w:eastAsiaTheme="minorHAnsi" w:hAnsi="Palatino Linotype" w:cs="Arial"/>
          <w:szCs w:val="22"/>
          <w:lang w:val="es-MX" w:eastAsia="en-US"/>
        </w:rPr>
        <w:t xml:space="preserve"> de enero de dos mil veinticinco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A22F90" w:rsidRPr="00A22F90">
        <w:rPr>
          <w:rFonts w:ascii="Palatino Linotype" w:eastAsiaTheme="minorHAnsi" w:hAnsi="Palatino Linotype" w:cs="Arial"/>
          <w:b/>
          <w:szCs w:val="22"/>
          <w:lang w:val="es-MX" w:eastAsia="en-US"/>
        </w:rPr>
        <w:t>00327/TOLUCA/IP/2025</w:t>
      </w:r>
      <w:r w:rsidRPr="006A240A">
        <w:rPr>
          <w:rFonts w:ascii="Palatino Linotype" w:eastAsiaTheme="minorHAnsi" w:hAnsi="Palatino Linotype" w:cs="Arial"/>
          <w:szCs w:val="22"/>
          <w:lang w:val="es-MX" w:eastAsia="en-US"/>
        </w:rPr>
        <w:t>, mediante la cual solicitó lo siguiente:</w:t>
      </w:r>
    </w:p>
    <w:p w14:paraId="0ABB0306" w14:textId="77777777" w:rsidR="0027342B" w:rsidRPr="0027342B" w:rsidRDefault="0027342B" w:rsidP="00B14416">
      <w:pPr>
        <w:pStyle w:val="Sinespaciado"/>
        <w:rPr>
          <w:rFonts w:eastAsiaTheme="minorHAnsi"/>
          <w:lang w:eastAsia="en-US"/>
        </w:rPr>
      </w:pPr>
    </w:p>
    <w:p w14:paraId="5F3F1F59" w14:textId="5C4BE692" w:rsidR="00377DDD" w:rsidRDefault="0029071C" w:rsidP="003C3071">
      <w:pPr>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A22F90" w:rsidRPr="00A22F90">
        <w:rPr>
          <w:rFonts w:ascii="Palatino Linotype" w:hAnsi="Palatino Linotype"/>
          <w:i/>
          <w:sz w:val="22"/>
          <w:szCs w:val="20"/>
          <w:lang w:val="es-MX" w:eastAsia="es-MX"/>
        </w:rPr>
        <w:t xml:space="preserve">Se solicita el estado financiero de </w:t>
      </w:r>
      <w:proofErr w:type="spellStart"/>
      <w:r w:rsidR="00A22F90" w:rsidRPr="00A22F90">
        <w:rPr>
          <w:rFonts w:ascii="Palatino Linotype" w:hAnsi="Palatino Linotype"/>
          <w:i/>
          <w:sz w:val="22"/>
          <w:szCs w:val="20"/>
          <w:lang w:val="es-MX" w:eastAsia="es-MX"/>
        </w:rPr>
        <w:t>como</w:t>
      </w:r>
      <w:proofErr w:type="spellEnd"/>
      <w:r w:rsidR="00A22F90" w:rsidRPr="00A22F90">
        <w:rPr>
          <w:rFonts w:ascii="Palatino Linotype" w:hAnsi="Palatino Linotype"/>
          <w:i/>
          <w:sz w:val="22"/>
          <w:szCs w:val="20"/>
          <w:lang w:val="es-MX" w:eastAsia="es-MX"/>
        </w:rPr>
        <w:t xml:space="preserve"> se </w:t>
      </w:r>
      <w:proofErr w:type="spellStart"/>
      <w:r w:rsidR="00A22F90" w:rsidRPr="00A22F90">
        <w:rPr>
          <w:rFonts w:ascii="Palatino Linotype" w:hAnsi="Palatino Linotype"/>
          <w:i/>
          <w:sz w:val="22"/>
          <w:szCs w:val="20"/>
          <w:lang w:val="es-MX" w:eastAsia="es-MX"/>
        </w:rPr>
        <w:t>recibio</w:t>
      </w:r>
      <w:proofErr w:type="spellEnd"/>
      <w:r w:rsidR="00A22F90" w:rsidRPr="00A22F90">
        <w:rPr>
          <w:rFonts w:ascii="Palatino Linotype" w:hAnsi="Palatino Linotype"/>
          <w:i/>
          <w:sz w:val="22"/>
          <w:szCs w:val="20"/>
          <w:lang w:val="es-MX" w:eastAsia="es-MX"/>
        </w:rPr>
        <w:t xml:space="preserve"> el Ayuntamiento en enero</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3A941F80" w14:textId="77777777" w:rsidR="0027342B" w:rsidRPr="0027342B" w:rsidRDefault="0027342B" w:rsidP="00B14416">
      <w:pPr>
        <w:pStyle w:val="Sinespaciado"/>
      </w:pPr>
    </w:p>
    <w:p w14:paraId="43AD7BFC" w14:textId="470417E3" w:rsidR="007D645B"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08C7227" w14:textId="77777777" w:rsidR="00B14416" w:rsidRPr="003C3071" w:rsidRDefault="00B14416" w:rsidP="00B14416">
      <w:pPr>
        <w:pStyle w:val="Sinespaciado"/>
        <w:rPr>
          <w:rFonts w:eastAsiaTheme="minorHAnsi"/>
          <w:sz w:val="28"/>
          <w:szCs w:val="28"/>
          <w:lang w:eastAsia="en-US"/>
        </w:rPr>
      </w:pPr>
    </w:p>
    <w:p w14:paraId="717A4484" w14:textId="4F23FAB8"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7D645B" w:rsidRPr="009A6B97">
        <w:rPr>
          <w:rFonts w:ascii="Palatino Linotype" w:eastAsiaTheme="minorHAnsi" w:hAnsi="Palatino Linotype" w:cs="Arial"/>
          <w:b/>
          <w:sz w:val="28"/>
          <w:lang w:val="es-MX" w:eastAsia="en-US"/>
        </w:rPr>
        <w:t xml:space="preserve">O. De la respuesta del Sujeto Obligado. </w:t>
      </w:r>
    </w:p>
    <w:p w14:paraId="7AA37136" w14:textId="1D4F18F8"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A22F90">
        <w:rPr>
          <w:rFonts w:ascii="Palatino Linotype" w:eastAsiaTheme="minorHAnsi" w:hAnsi="Palatino Linotype" w:cs="Arial"/>
          <w:lang w:val="es-MX" w:eastAsia="en-US"/>
        </w:rPr>
        <w:t>siete</w:t>
      </w:r>
      <w:r w:rsidR="00B14416">
        <w:rPr>
          <w:rFonts w:ascii="Palatino Linotype" w:eastAsiaTheme="minorHAnsi" w:hAnsi="Palatino Linotype" w:cs="Arial"/>
          <w:lang w:val="es-MX" w:eastAsia="en-US"/>
        </w:rPr>
        <w:t xml:space="preserve"> de </w:t>
      </w:r>
      <w:proofErr w:type="gramStart"/>
      <w:r w:rsidR="00B14416">
        <w:rPr>
          <w:rFonts w:ascii="Palatino Linotype" w:eastAsiaTheme="minorHAnsi" w:hAnsi="Palatino Linotype" w:cs="Arial"/>
          <w:lang w:val="es-MX" w:eastAsia="en-US"/>
        </w:rPr>
        <w:t>febrero</w:t>
      </w:r>
      <w:proofErr w:type="gramEnd"/>
      <w:r w:rsidR="00B14416">
        <w:rPr>
          <w:rFonts w:ascii="Palatino Linotype" w:eastAsiaTheme="minorHAnsi" w:hAnsi="Palatino Linotype" w:cs="Arial"/>
          <w:lang w:val="es-MX" w:eastAsia="en-US"/>
        </w:rPr>
        <w:t xml:space="preserve"> de dos mil veinticinco</w:t>
      </w:r>
      <w:r w:rsidRPr="009A6B97">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emitió la respuesta en los siguientes términos:</w:t>
      </w:r>
    </w:p>
    <w:p w14:paraId="6B3B2F28" w14:textId="77777777" w:rsidR="007D645B" w:rsidRPr="009A6B97" w:rsidRDefault="007D645B" w:rsidP="007D645B">
      <w:pPr>
        <w:rPr>
          <w:lang w:val="es-MX"/>
        </w:rPr>
      </w:pPr>
    </w:p>
    <w:p w14:paraId="01F3DBD5" w14:textId="77777777" w:rsidR="00A22F90" w:rsidRPr="00A22F90" w:rsidRDefault="007D645B" w:rsidP="00A22F90">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A22F90" w:rsidRPr="00A22F9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BF5F91" w14:textId="77777777" w:rsidR="00A22F90" w:rsidRDefault="00A22F90" w:rsidP="00A22F90">
      <w:pPr>
        <w:spacing w:line="276" w:lineRule="auto"/>
        <w:ind w:left="567" w:right="567"/>
        <w:jc w:val="both"/>
        <w:rPr>
          <w:rFonts w:ascii="Palatino Linotype" w:hAnsi="Palatino Linotype"/>
          <w:i/>
          <w:sz w:val="22"/>
          <w:szCs w:val="22"/>
          <w:lang w:val="es-MX" w:eastAsia="es-MX"/>
        </w:rPr>
      </w:pPr>
    </w:p>
    <w:p w14:paraId="03453281" w14:textId="13E588D7" w:rsidR="00A22F90" w:rsidRPr="00A22F90" w:rsidRDefault="00A22F90" w:rsidP="00A22F90">
      <w:pPr>
        <w:spacing w:line="276" w:lineRule="auto"/>
        <w:ind w:left="567" w:right="567"/>
        <w:jc w:val="both"/>
        <w:rPr>
          <w:rFonts w:ascii="Palatino Linotype" w:hAnsi="Palatino Linotype"/>
          <w:i/>
          <w:sz w:val="22"/>
          <w:szCs w:val="22"/>
          <w:lang w:val="es-MX" w:eastAsia="es-MX"/>
        </w:rPr>
      </w:pPr>
      <w:r w:rsidRPr="00A22F90">
        <w:rPr>
          <w:rFonts w:ascii="Palatino Linotype" w:hAnsi="Palatino Linotype"/>
          <w:i/>
          <w:sz w:val="22"/>
          <w:szCs w:val="22"/>
          <w:lang w:val="es-MX" w:eastAsia="es-MX"/>
        </w:rPr>
        <w:t>En atención a la solicitud con folio 0327/TOLUCA/IP/2025, me permito adjuntar al presente la respuesta correspondiente. Sin más por el momento, reciba un saludo.</w:t>
      </w:r>
    </w:p>
    <w:p w14:paraId="24A2C829" w14:textId="77777777" w:rsidR="00A22F90" w:rsidRDefault="00A22F90" w:rsidP="00A22F90">
      <w:pPr>
        <w:spacing w:line="276" w:lineRule="auto"/>
        <w:ind w:left="567" w:right="567"/>
        <w:jc w:val="both"/>
        <w:rPr>
          <w:rFonts w:ascii="Palatino Linotype" w:hAnsi="Palatino Linotype"/>
          <w:i/>
          <w:sz w:val="22"/>
          <w:szCs w:val="22"/>
          <w:lang w:val="es-MX" w:eastAsia="es-MX"/>
        </w:rPr>
      </w:pPr>
    </w:p>
    <w:p w14:paraId="10AF3438" w14:textId="51C8EFC2" w:rsidR="00A22F90" w:rsidRPr="00A22F90" w:rsidRDefault="00A22F90" w:rsidP="00A22F90">
      <w:pPr>
        <w:spacing w:line="276" w:lineRule="auto"/>
        <w:ind w:left="567" w:right="567"/>
        <w:jc w:val="both"/>
        <w:rPr>
          <w:rFonts w:ascii="Palatino Linotype" w:hAnsi="Palatino Linotype"/>
          <w:i/>
          <w:sz w:val="22"/>
          <w:szCs w:val="22"/>
          <w:lang w:val="es-MX" w:eastAsia="es-MX"/>
        </w:rPr>
      </w:pPr>
      <w:r w:rsidRPr="00A22F90">
        <w:rPr>
          <w:rFonts w:ascii="Palatino Linotype" w:hAnsi="Palatino Linotype"/>
          <w:i/>
          <w:sz w:val="22"/>
          <w:szCs w:val="22"/>
          <w:lang w:val="es-MX" w:eastAsia="es-MX"/>
        </w:rPr>
        <w:t>ATENTAMENTE</w:t>
      </w:r>
    </w:p>
    <w:p w14:paraId="53D4F058" w14:textId="2C72F90B" w:rsidR="007D645B" w:rsidRPr="009A6B97" w:rsidRDefault="00A22F90" w:rsidP="00A22F90">
      <w:pPr>
        <w:spacing w:line="276" w:lineRule="auto"/>
        <w:ind w:left="567" w:right="567"/>
        <w:jc w:val="both"/>
        <w:rPr>
          <w:rFonts w:ascii="Palatino Linotype" w:hAnsi="Palatino Linotype"/>
          <w:i/>
          <w:sz w:val="22"/>
          <w:szCs w:val="22"/>
          <w:lang w:val="es-MX" w:eastAsia="es-MX"/>
        </w:rPr>
      </w:pPr>
      <w:r w:rsidRPr="00A22F90">
        <w:rPr>
          <w:rFonts w:ascii="Palatino Linotype" w:hAnsi="Palatino Linotype"/>
          <w:i/>
          <w:sz w:val="22"/>
          <w:szCs w:val="22"/>
          <w:lang w:val="es-MX" w:eastAsia="es-MX"/>
        </w:rPr>
        <w:t xml:space="preserve">Dr. </w:t>
      </w:r>
      <w:proofErr w:type="spellStart"/>
      <w:r w:rsidRPr="00A22F90">
        <w:rPr>
          <w:rFonts w:ascii="Palatino Linotype" w:hAnsi="Palatino Linotype"/>
          <w:i/>
          <w:sz w:val="22"/>
          <w:szCs w:val="22"/>
          <w:lang w:val="es-MX" w:eastAsia="es-MX"/>
        </w:rPr>
        <w:t>Nahum</w:t>
      </w:r>
      <w:proofErr w:type="spellEnd"/>
      <w:r w:rsidRPr="00A22F90">
        <w:rPr>
          <w:rFonts w:ascii="Palatino Linotype" w:hAnsi="Palatino Linotype"/>
          <w:i/>
          <w:sz w:val="22"/>
          <w:szCs w:val="22"/>
          <w:lang w:val="es-MX" w:eastAsia="es-MX"/>
        </w:rPr>
        <w:t xml:space="preserve"> Miguel Mendoza Morales</w:t>
      </w:r>
      <w:r w:rsidR="007D645B" w:rsidRPr="009A6B97">
        <w:rPr>
          <w:rFonts w:ascii="Palatino Linotype" w:hAnsi="Palatino Linotype"/>
          <w:i/>
          <w:sz w:val="22"/>
          <w:szCs w:val="22"/>
          <w:lang w:val="es-MX" w:eastAsia="es-MX"/>
        </w:rPr>
        <w:t>” (Sic).</w:t>
      </w:r>
    </w:p>
    <w:p w14:paraId="2B153B28" w14:textId="77777777" w:rsidR="007D645B" w:rsidRPr="00386D38" w:rsidRDefault="007D645B" w:rsidP="007D645B">
      <w:pPr>
        <w:ind w:right="567"/>
        <w:jc w:val="both"/>
        <w:rPr>
          <w:rFonts w:ascii="Palatino Linotype" w:hAnsi="Palatino Linotype"/>
          <w:i/>
          <w:sz w:val="14"/>
          <w:szCs w:val="22"/>
          <w:lang w:val="es-MX" w:eastAsia="es-MX"/>
        </w:rPr>
      </w:pPr>
    </w:p>
    <w:p w14:paraId="688B498B" w14:textId="77777777" w:rsidR="007D645B" w:rsidRPr="009A6B97" w:rsidRDefault="007D645B" w:rsidP="007D645B">
      <w:pPr>
        <w:pStyle w:val="Sinespaciado"/>
        <w:rPr>
          <w:lang w:eastAsia="es-MX"/>
        </w:rPr>
      </w:pPr>
    </w:p>
    <w:p w14:paraId="57BBB84B" w14:textId="2A0582E1"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3C3071">
        <w:rPr>
          <w:rFonts w:ascii="Palatino Linotype" w:eastAsiaTheme="minorHAnsi" w:hAnsi="Palatino Linotype" w:cs="Arial"/>
          <w:lang w:val="es-MX" w:eastAsia="en-US"/>
        </w:rPr>
        <w:t xml:space="preserve">el </w:t>
      </w:r>
      <w:r w:rsidRPr="00386D38">
        <w:rPr>
          <w:rFonts w:ascii="Palatino Linotype" w:eastAsiaTheme="minorHAnsi" w:hAnsi="Palatino Linotype" w:cs="Arial"/>
          <w:lang w:val="es-MX" w:eastAsia="en-US"/>
        </w:rPr>
        <w:t xml:space="preserve">archivo electrónico denominado </w:t>
      </w:r>
      <w:r w:rsidRPr="00386D38">
        <w:rPr>
          <w:rFonts w:ascii="Palatino Linotype" w:eastAsiaTheme="minorHAnsi" w:hAnsi="Palatino Linotype" w:cs="Arial"/>
          <w:i/>
          <w:lang w:val="es-MX" w:eastAsia="en-US"/>
        </w:rPr>
        <w:t>“</w:t>
      </w:r>
      <w:r w:rsidR="00A22F90" w:rsidRPr="00A22F90">
        <w:rPr>
          <w:rFonts w:ascii="Palatino Linotype" w:eastAsiaTheme="minorHAnsi" w:hAnsi="Palatino Linotype" w:cs="Arial"/>
          <w:i/>
          <w:lang w:val="es-MX" w:eastAsia="en-US"/>
        </w:rPr>
        <w:t>RESPUESTA 0327. 2025</w:t>
      </w:r>
      <w:proofErr w:type="gramStart"/>
      <w:r w:rsidR="00A22F90" w:rsidRPr="00A22F90">
        <w:rPr>
          <w:rFonts w:ascii="Palatino Linotype" w:eastAsiaTheme="minorHAnsi" w:hAnsi="Palatino Linotype" w:cs="Arial"/>
          <w:i/>
          <w:lang w:val="es-MX" w:eastAsia="en-US"/>
        </w:rPr>
        <w:t>.pdf</w:t>
      </w:r>
      <w:proofErr w:type="gramEnd"/>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D645B" w:rsidRPr="009A6B97">
        <w:rPr>
          <w:rFonts w:ascii="Palatino Linotype" w:eastAsiaTheme="minorHAnsi" w:hAnsi="Palatino Linotype" w:cs="Arial"/>
          <w:b/>
          <w:sz w:val="28"/>
          <w:lang w:val="es-MX" w:eastAsia="en-US"/>
        </w:rPr>
        <w:t>O. Del recurso de revisión.</w:t>
      </w:r>
    </w:p>
    <w:p w14:paraId="475931F5" w14:textId="70A76C88"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B14416">
        <w:rPr>
          <w:rFonts w:ascii="Palatino Linotype" w:eastAsiaTheme="minorHAnsi" w:hAnsi="Palatino Linotype" w:cs="Arial"/>
          <w:lang w:val="es-MX" w:eastAsia="en-US"/>
        </w:rPr>
        <w:t>diez de febrero</w:t>
      </w:r>
      <w:r w:rsidRPr="009A6B97">
        <w:rPr>
          <w:rFonts w:ascii="Palatino Linotype" w:eastAsiaTheme="minorHAnsi" w:hAnsi="Palatino Linotype" w:cs="Arial"/>
          <w:lang w:val="es-MX" w:eastAsia="en-US"/>
        </w:rPr>
        <w:t xml:space="preserve"> de do</w:t>
      </w:r>
      <w:r w:rsidR="00B14416">
        <w:rPr>
          <w:rFonts w:ascii="Palatino Linotype" w:eastAsiaTheme="minorHAnsi" w:hAnsi="Palatino Linotype" w:cs="Arial"/>
          <w:lang w:val="es-MX" w:eastAsia="en-US"/>
        </w:rPr>
        <w:t>s mil veinticinco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3C3071">
        <w:rPr>
          <w:rFonts w:ascii="Palatino Linotype" w:eastAsiaTheme="minorHAnsi" w:hAnsi="Palatino Linotype" w:cs="Arial"/>
          <w:b/>
          <w:bCs/>
          <w:lang w:val="es-MX" w:eastAsia="es-MX"/>
        </w:rPr>
        <w:t>101</w:t>
      </w:r>
      <w:r w:rsidR="00A22F90">
        <w:rPr>
          <w:rFonts w:ascii="Palatino Linotype" w:eastAsiaTheme="minorHAnsi" w:hAnsi="Palatino Linotype" w:cs="Arial"/>
          <w:b/>
          <w:bCs/>
          <w:lang w:val="es-MX" w:eastAsia="es-MX"/>
        </w:rPr>
        <w:t>0</w:t>
      </w:r>
      <w:r w:rsidRPr="009A6B97">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9A6B97">
        <w:rPr>
          <w:rFonts w:ascii="Palatino Linotype" w:eastAsiaTheme="minorHAnsi" w:hAnsi="Palatino Linotype" w:cs="Arial"/>
          <w:lang w:val="es-MX" w:eastAsia="en-US"/>
        </w:rPr>
        <w:t>, en el cual aduce, las siguientes manifestaciones:</w:t>
      </w:r>
    </w:p>
    <w:p w14:paraId="451EF501" w14:textId="77777777" w:rsidR="007D645B" w:rsidRPr="009A6B97" w:rsidRDefault="007D645B" w:rsidP="007D645B">
      <w:pPr>
        <w:rPr>
          <w:lang w:val="es-MX"/>
        </w:rPr>
      </w:pPr>
    </w:p>
    <w:p w14:paraId="4567D74F" w14:textId="6F7A6C5C" w:rsidR="007D645B" w:rsidRPr="0057280C" w:rsidRDefault="007D645B" w:rsidP="00B14416">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A22F90" w:rsidRPr="00A22F90">
        <w:rPr>
          <w:rFonts w:ascii="Palatino Linotype" w:eastAsiaTheme="minorHAnsi" w:hAnsi="Palatino Linotype" w:cstheme="minorBidi"/>
          <w:i/>
          <w:color w:val="000000"/>
          <w:sz w:val="22"/>
          <w:szCs w:val="22"/>
          <w:lang w:val="es-MX" w:eastAsia="en-US"/>
        </w:rPr>
        <w:t>No entrega dicen que no tienen información</w:t>
      </w:r>
      <w:r w:rsidRPr="0057280C">
        <w:rPr>
          <w:rFonts w:ascii="Palatino Linotype" w:eastAsiaTheme="minorHAnsi" w:hAnsi="Palatino Linotype" w:cstheme="minorBidi"/>
          <w:i/>
          <w:color w:val="000000"/>
          <w:sz w:val="22"/>
          <w:szCs w:val="22"/>
          <w:lang w:val="es-MX" w:eastAsia="en-US"/>
        </w:rPr>
        <w:t>” (Sic).</w:t>
      </w:r>
    </w:p>
    <w:p w14:paraId="3BBBBFDA" w14:textId="77777777" w:rsidR="007D645B" w:rsidRPr="009A6B97" w:rsidRDefault="007D645B" w:rsidP="007D645B">
      <w:pPr>
        <w:spacing w:line="276" w:lineRule="auto"/>
        <w:ind w:left="284"/>
        <w:jc w:val="both"/>
        <w:rPr>
          <w:rFonts w:ascii="Palatino Linotype" w:hAnsi="Palatino Linotype"/>
          <w:i/>
          <w:sz w:val="22"/>
          <w:szCs w:val="22"/>
          <w:lang w:val="es-MX" w:eastAsia="es-MX"/>
        </w:rPr>
      </w:pPr>
    </w:p>
    <w:p w14:paraId="3C99B748" w14:textId="71947219" w:rsidR="007D645B" w:rsidRPr="0057280C" w:rsidRDefault="007D645B" w:rsidP="00B14416">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A22F90" w:rsidRPr="00A22F90">
        <w:rPr>
          <w:rFonts w:ascii="Palatino Linotype" w:eastAsiaTheme="minorHAnsi" w:hAnsi="Palatino Linotype" w:cstheme="minorBidi"/>
          <w:i/>
          <w:color w:val="000000"/>
          <w:sz w:val="22"/>
          <w:szCs w:val="22"/>
          <w:lang w:val="es-MX" w:eastAsia="en-US"/>
        </w:rPr>
        <w:t>Negativa de la información</w:t>
      </w:r>
      <w:r w:rsidRPr="0057280C">
        <w:rPr>
          <w:rFonts w:ascii="Palatino Linotype" w:eastAsiaTheme="minorHAnsi" w:hAnsi="Palatino Linotype" w:cstheme="minorBidi"/>
          <w:i/>
          <w:color w:val="000000"/>
          <w:sz w:val="22"/>
          <w:szCs w:val="22"/>
          <w:lang w:val="es-MX" w:eastAsia="en-US"/>
        </w:rPr>
        <w:t>” (Sic)</w:t>
      </w:r>
    </w:p>
    <w:p w14:paraId="0CF62488" w14:textId="77777777" w:rsidR="00DB55A6" w:rsidRPr="00DB55A6"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7D645B" w:rsidRPr="009A6B97">
        <w:rPr>
          <w:rFonts w:ascii="Palatino Linotype" w:eastAsiaTheme="minorHAnsi" w:hAnsi="Palatino Linotype" w:cs="Arial"/>
          <w:b/>
          <w:sz w:val="28"/>
          <w:lang w:val="es-MX" w:eastAsia="en-US"/>
        </w:rPr>
        <w:t>TO. Del turno del recurso de revisión.</w:t>
      </w:r>
    </w:p>
    <w:p w14:paraId="572BF66E" w14:textId="4E7BE6F5"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C3071">
        <w:rPr>
          <w:rFonts w:ascii="Palatino Linotype" w:eastAsiaTheme="minorHAnsi" w:hAnsi="Palatino Linotype" w:cs="Arial"/>
          <w:lang w:val="es-MX" w:eastAsia="en-US"/>
        </w:rPr>
        <w:t>diecisiete</w:t>
      </w:r>
      <w:r w:rsidR="00B14416">
        <w:rPr>
          <w:rFonts w:ascii="Palatino Linotype" w:eastAsiaTheme="minorHAnsi" w:hAnsi="Palatino Linotype" w:cs="Arial"/>
          <w:lang w:val="es-MX" w:eastAsia="en-US"/>
        </w:rPr>
        <w:t xml:space="preserve"> de febrero</w:t>
      </w:r>
      <w:r w:rsidR="0057280C">
        <w:rPr>
          <w:rFonts w:ascii="Palatino Linotype" w:eastAsiaTheme="minorHAnsi" w:hAnsi="Palatino Linotype" w:cs="Arial"/>
          <w:lang w:val="es-MX" w:eastAsia="en-US"/>
        </w:rPr>
        <w:t xml:space="preserve"> de dos </w:t>
      </w:r>
      <w:r w:rsidR="0057280C">
        <w:rPr>
          <w:rFonts w:ascii="Palatino Linotype" w:eastAsiaTheme="minorHAnsi" w:hAnsi="Palatino Linotype" w:cs="Arial"/>
          <w:lang w:val="es-MX" w:eastAsia="en-US"/>
        </w:rPr>
        <w:lastRenderedPageBreak/>
        <w:t>mil veintic</w:t>
      </w:r>
      <w:r w:rsidR="00B14416">
        <w:rPr>
          <w:rFonts w:ascii="Palatino Linotype" w:eastAsiaTheme="minorHAnsi" w:hAnsi="Palatino Linotype" w:cs="Arial"/>
          <w:lang w:val="es-MX" w:eastAsia="en-US"/>
        </w:rPr>
        <w:t>inco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9A6B97"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7D645B" w:rsidRPr="009A6B97">
        <w:rPr>
          <w:rFonts w:ascii="Palatino Linotype" w:eastAsiaTheme="minorHAnsi" w:hAnsi="Palatino Linotype" w:cs="Arial"/>
          <w:b/>
          <w:sz w:val="28"/>
          <w:lang w:val="es-MX" w:eastAsia="en-US"/>
        </w:rPr>
        <w:t>TO. De la etapa de manifestaciones y/o alegatos.</w:t>
      </w:r>
    </w:p>
    <w:p w14:paraId="114E3931" w14:textId="2B7AFA02" w:rsidR="00B14416" w:rsidRDefault="007D645B" w:rsidP="00B1441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en fecha veinti</w:t>
      </w:r>
      <w:r w:rsidR="003C3071">
        <w:rPr>
          <w:rFonts w:ascii="Palatino Linotype" w:eastAsiaTheme="minorHAnsi" w:hAnsi="Palatino Linotype" w:cs="Arial"/>
          <w:lang w:val="es-MX" w:eastAsia="en-US"/>
        </w:rPr>
        <w:t xml:space="preserve">séis </w:t>
      </w:r>
      <w:r w:rsidR="00B14416">
        <w:rPr>
          <w:rFonts w:ascii="Palatino Linotype" w:eastAsiaTheme="minorHAnsi" w:hAnsi="Palatino Linotype" w:cs="Arial"/>
          <w:lang w:val="es-MX" w:eastAsia="en-US"/>
        </w:rPr>
        <w:t xml:space="preserve">de febrero de dos mil veinticinco, el </w:t>
      </w:r>
      <w:r w:rsidR="00B14416" w:rsidRPr="00374FE7">
        <w:rPr>
          <w:rFonts w:ascii="Palatino Linotype" w:eastAsiaTheme="minorHAnsi" w:hAnsi="Palatino Linotype" w:cs="Arial"/>
          <w:b/>
          <w:lang w:val="es-MX" w:eastAsia="en-US"/>
        </w:rPr>
        <w:t>Sujeto Obligado</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remitió </w:t>
      </w:r>
      <w:r w:rsidR="00B14416" w:rsidRPr="00374FE7">
        <w:rPr>
          <w:rFonts w:ascii="Palatino Linotype" w:eastAsiaTheme="minorHAnsi" w:hAnsi="Palatino Linotype" w:cs="Arial"/>
          <w:lang w:val="es-MX" w:eastAsia="en-US"/>
        </w:rPr>
        <w:t>su informe justificado</w:t>
      </w:r>
      <w:r w:rsidR="00B14416">
        <w:rPr>
          <w:rFonts w:ascii="Palatino Linotype" w:eastAsiaTheme="minorHAnsi" w:hAnsi="Palatino Linotype" w:cs="Arial"/>
          <w:lang w:val="es-MX" w:eastAsia="en-US"/>
        </w:rPr>
        <w:t xml:space="preserve"> mediante </w:t>
      </w:r>
      <w:r w:rsidR="00A22F90">
        <w:rPr>
          <w:rFonts w:ascii="Palatino Linotype" w:eastAsiaTheme="minorHAnsi" w:hAnsi="Palatino Linotype" w:cs="Arial"/>
          <w:lang w:val="es-MX" w:eastAsia="en-US"/>
        </w:rPr>
        <w:t>el</w:t>
      </w:r>
      <w:r w:rsidR="00B14416">
        <w:rPr>
          <w:rFonts w:ascii="Palatino Linotype" w:eastAsiaTheme="minorHAnsi" w:hAnsi="Palatino Linotype" w:cs="Arial"/>
          <w:lang w:val="es-MX" w:eastAsia="en-US"/>
        </w:rPr>
        <w:t xml:space="preserve"> archivo electrónico denominado </w:t>
      </w:r>
      <w:r w:rsidR="00B14416" w:rsidRPr="009A7B69">
        <w:rPr>
          <w:rFonts w:ascii="Palatino Linotype" w:eastAsiaTheme="minorHAnsi" w:hAnsi="Palatino Linotype" w:cs="Arial"/>
          <w:i/>
          <w:iCs/>
          <w:lang w:val="es-MX" w:eastAsia="en-US"/>
        </w:rPr>
        <w:t>“</w:t>
      </w:r>
      <w:r w:rsidR="00A22F90" w:rsidRPr="00A22F90">
        <w:rPr>
          <w:rFonts w:ascii="Palatino Linotype" w:eastAsiaTheme="minorHAnsi" w:hAnsi="Palatino Linotype" w:cs="Arial"/>
          <w:i/>
          <w:iCs/>
          <w:lang w:val="es-MX" w:eastAsia="en-US"/>
        </w:rPr>
        <w:t>RR-1010-2025.pdf</w:t>
      </w:r>
      <w:r w:rsidR="00B14416" w:rsidRPr="009A7B69">
        <w:rPr>
          <w:rFonts w:ascii="Palatino Linotype" w:eastAsiaTheme="minorHAnsi" w:hAnsi="Palatino Linotype" w:cs="Arial"/>
          <w:i/>
          <w:iCs/>
          <w:lang w:val="es-MX" w:eastAsia="en-US"/>
        </w:rPr>
        <w:t>”</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mismo que se pus</w:t>
      </w:r>
      <w:r w:rsidR="00A22F90">
        <w:rPr>
          <w:rFonts w:ascii="Palatino Linotype" w:eastAsiaTheme="minorHAnsi" w:hAnsi="Palatino Linotype" w:cs="Arial"/>
          <w:lang w:val="es-MX" w:eastAsia="en-US"/>
        </w:rPr>
        <w:t>o</w:t>
      </w:r>
      <w:r w:rsidR="00B14416">
        <w:rPr>
          <w:rFonts w:ascii="Palatino Linotype" w:eastAsiaTheme="minorHAnsi" w:hAnsi="Palatino Linotype" w:cs="Arial"/>
          <w:lang w:val="es-MX" w:eastAsia="en-US"/>
        </w:rPr>
        <w:t xml:space="preserve"> a la vista del particular, mediante Acuerdo de fecha veinti</w:t>
      </w:r>
      <w:r w:rsidR="003C3071">
        <w:rPr>
          <w:rFonts w:ascii="Palatino Linotype" w:eastAsiaTheme="minorHAnsi" w:hAnsi="Palatino Linotype" w:cs="Arial"/>
          <w:lang w:val="es-MX" w:eastAsia="en-US"/>
        </w:rPr>
        <w:t>siete</w:t>
      </w:r>
      <w:r w:rsidR="00B14416">
        <w:rPr>
          <w:rFonts w:ascii="Palatino Linotype" w:eastAsiaTheme="minorHAnsi" w:hAnsi="Palatino Linotype" w:cs="Arial"/>
          <w:lang w:val="es-MX" w:eastAsia="en-US"/>
        </w:rPr>
        <w:t xml:space="preserve"> </w:t>
      </w:r>
      <w:r w:rsidR="00F306AC">
        <w:rPr>
          <w:rFonts w:ascii="Palatino Linotype" w:eastAsiaTheme="minorHAnsi" w:hAnsi="Palatino Linotype" w:cs="Arial"/>
          <w:lang w:val="es-MX" w:eastAsia="en-US"/>
        </w:rPr>
        <w:t>de</w:t>
      </w:r>
      <w:r w:rsidR="00A22F90">
        <w:rPr>
          <w:rFonts w:ascii="Palatino Linotype" w:eastAsiaTheme="minorHAnsi" w:hAnsi="Palatino Linotype" w:cs="Arial"/>
          <w:lang w:val="es-MX" w:eastAsia="en-US"/>
        </w:rPr>
        <w:t>l mismo mes y año</w:t>
      </w:r>
      <w:r w:rsidR="00B14416">
        <w:rPr>
          <w:rFonts w:ascii="Palatino Linotype" w:eastAsiaTheme="minorHAnsi" w:hAnsi="Palatino Linotype" w:cs="Arial"/>
          <w:lang w:val="es-MX" w:eastAsia="en-US"/>
        </w:rPr>
        <w:t xml:space="preserve">; </w:t>
      </w:r>
      <w:r w:rsidR="00B14416" w:rsidRPr="00374FE7">
        <w:rPr>
          <w:rFonts w:ascii="Palatino Linotype" w:eastAsiaTheme="minorHAnsi" w:hAnsi="Palatino Linotype" w:cs="Arial"/>
          <w:lang w:val="es-MX" w:eastAsia="en-US"/>
        </w:rPr>
        <w:t xml:space="preserve">asimismo, se aprecia que la parte </w:t>
      </w:r>
      <w:r w:rsidR="00B14416" w:rsidRPr="00374FE7">
        <w:rPr>
          <w:rFonts w:ascii="Palatino Linotype" w:eastAsiaTheme="minorHAnsi" w:hAnsi="Palatino Linotype" w:cs="Arial"/>
          <w:b/>
          <w:lang w:val="es-MX" w:eastAsia="en-US"/>
        </w:rPr>
        <w:t>Recurrente</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no</w:t>
      </w:r>
      <w:r w:rsidR="00B14416" w:rsidRPr="00374FE7">
        <w:rPr>
          <w:rFonts w:ascii="Palatino Linotype" w:eastAsiaTheme="minorHAnsi" w:hAnsi="Palatino Linotype" w:cs="Arial"/>
          <w:lang w:val="es-MX" w:eastAsia="en-US"/>
        </w:rPr>
        <w:t xml:space="preserve"> realizó alegatos, ni ofreció pruebas o manifestaciones</w:t>
      </w:r>
      <w:r w:rsidR="00F306AC">
        <w:rPr>
          <w:rFonts w:ascii="Palatino Linotype" w:eastAsiaTheme="minorHAnsi" w:hAnsi="Palatino Linotype" w:cs="Arial"/>
          <w:lang w:val="es-MX" w:eastAsia="en-US"/>
        </w:rPr>
        <w:t>.</w:t>
      </w:r>
    </w:p>
    <w:p w14:paraId="4D3C4757" w14:textId="4E60749F" w:rsidR="0057280C" w:rsidRPr="00714A67" w:rsidRDefault="0057280C" w:rsidP="00714A67">
      <w:pPr>
        <w:spacing w:line="360" w:lineRule="auto"/>
        <w:jc w:val="both"/>
        <w:rPr>
          <w:rFonts w:ascii="Palatino Linotype" w:eastAsiaTheme="minorHAnsi" w:hAnsi="Palatino Linotype" w:cs="Arial"/>
          <w:noProof/>
          <w:lang w:val="es-MX" w:eastAsia="es-MX"/>
        </w:rPr>
      </w:pPr>
    </w:p>
    <w:p w14:paraId="18FBE5C6" w14:textId="5AE89385" w:rsidR="007D645B" w:rsidRPr="009A6B97" w:rsidRDefault="00B14416"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7D645B" w:rsidRPr="009A6B97">
        <w:rPr>
          <w:rFonts w:ascii="Palatino Linotype" w:eastAsiaTheme="minorHAnsi" w:hAnsi="Palatino Linotype" w:cs="Arial"/>
          <w:b/>
          <w:sz w:val="28"/>
          <w:lang w:val="es-MX" w:eastAsia="en-US"/>
        </w:rPr>
        <w:t>O. Del cierre de instrucción.</w:t>
      </w:r>
      <w:r w:rsidR="007D645B" w:rsidRPr="009A6B97">
        <w:rPr>
          <w:rFonts w:ascii="Palatino Linotype" w:eastAsiaTheme="minorHAnsi" w:hAnsi="Palatino Linotype" w:cs="Arial"/>
          <w:b/>
          <w:sz w:val="28"/>
          <w:lang w:val="es-MX" w:eastAsia="en-US"/>
        </w:rPr>
        <w:tab/>
      </w:r>
    </w:p>
    <w:p w14:paraId="12AA9CFF" w14:textId="6D8D7A35"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3C3071">
        <w:rPr>
          <w:rFonts w:ascii="Palatino Linotype" w:eastAsiaTheme="minorHAnsi" w:hAnsi="Palatino Linotype" w:cs="Arial"/>
          <w:lang w:val="es-MX" w:eastAsia="en-US"/>
        </w:rPr>
        <w:t xml:space="preserve">seis </w:t>
      </w:r>
      <w:r w:rsidR="00B14416">
        <w:rPr>
          <w:rFonts w:ascii="Palatino Linotype" w:eastAsiaTheme="minorHAnsi" w:hAnsi="Palatino Linotype" w:cs="Arial"/>
          <w:lang w:val="es-MX" w:eastAsia="en-US"/>
        </w:rPr>
        <w:t>de marzo</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43144346"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Pr>
          <w:rFonts w:ascii="Palatino Linotype" w:eastAsiaTheme="minorHAnsi" w:hAnsi="Palatino Linotype" w:cs="Arial"/>
          <w:lang w:val="es-MX" w:eastAsia="en-US"/>
        </w:rPr>
        <w:t>,</w:t>
      </w:r>
      <w:r w:rsidRPr="006A240A">
        <w:rPr>
          <w:rFonts w:ascii="Palatino Linotype" w:eastAsiaTheme="minorHAnsi" w:hAnsi="Palatino Linotype" w:cs="Arial"/>
          <w:lang w:val="es-MX" w:eastAsia="en-US"/>
        </w:rPr>
        <w:t xml:space="preserve"> de la Constitución Política de los Estados Unidos Mexicanos; 5, párrafos trigésimo </w:t>
      </w:r>
      <w:r w:rsidR="00714A67">
        <w:rPr>
          <w:rFonts w:ascii="Palatino Linotype" w:eastAsiaTheme="minorHAnsi" w:hAnsi="Palatino Linotype" w:cs="Arial"/>
          <w:lang w:val="es-MX" w:eastAsia="en-US"/>
        </w:rPr>
        <w:t>tercero</w:t>
      </w:r>
      <w:r w:rsidRPr="006A240A">
        <w:rPr>
          <w:rFonts w:ascii="Palatino Linotype" w:eastAsiaTheme="minorHAnsi" w:hAnsi="Palatino Linotype" w:cs="Arial"/>
          <w:lang w:val="es-MX" w:eastAsia="en-US"/>
        </w:rPr>
        <w:t xml:space="preserve"> y trigésimo </w:t>
      </w:r>
      <w:r w:rsidR="00714A67">
        <w:rPr>
          <w:rFonts w:ascii="Palatino Linotype" w:eastAsiaTheme="minorHAnsi" w:hAnsi="Palatino Linotype" w:cs="Arial"/>
          <w:lang w:val="es-MX" w:eastAsia="en-US"/>
        </w:rPr>
        <w:t>cuarto</w:t>
      </w:r>
      <w:r w:rsidRPr="006A240A">
        <w:rPr>
          <w:rFonts w:ascii="Palatino Linotype" w:eastAsiaTheme="minorHAnsi" w:hAnsi="Palatino Linotype" w:cs="Arial"/>
          <w:lang w:val="es-MX" w:eastAsia="en-US"/>
        </w:rPr>
        <w:t xml:space="preserve">, fracciones </w:t>
      </w:r>
      <w:r w:rsidRPr="006A240A">
        <w:rPr>
          <w:rFonts w:ascii="Palatino Linotype" w:eastAsiaTheme="minorHAnsi" w:hAnsi="Palatino Linotype" w:cs="Arial"/>
          <w:lang w:val="es-MX" w:eastAsia="en-US"/>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DECA309" w14:textId="77777777" w:rsidR="00CA15F8" w:rsidRDefault="00CA15F8" w:rsidP="0029071C">
      <w:pPr>
        <w:autoSpaceDE w:val="0"/>
        <w:autoSpaceDN w:val="0"/>
        <w:adjustRightInd w:val="0"/>
        <w:spacing w:line="360" w:lineRule="auto"/>
        <w:jc w:val="both"/>
        <w:rPr>
          <w:rFonts w:ascii="Palatino Linotype" w:eastAsiaTheme="minorHAnsi" w:hAnsi="Palatino Linotype" w:cs="Arial"/>
          <w:lang w:val="es-MX" w:eastAsia="en-US"/>
        </w:rPr>
      </w:pPr>
    </w:p>
    <w:p w14:paraId="5F9C9402" w14:textId="77777777" w:rsidR="00CA15F8" w:rsidRPr="00965CDC"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4E6E9F8" w14:textId="77777777" w:rsidR="00CA15F8" w:rsidRPr="00965CDC"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p>
    <w:p w14:paraId="79AA8F61" w14:textId="485EEF9B" w:rsidR="00CA15F8" w:rsidRPr="00965CDC"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D0CEFB1" w14:textId="77777777" w:rsidR="00B14416" w:rsidRPr="00913034" w:rsidRDefault="00B14416" w:rsidP="00B14416">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lastRenderedPageBreak/>
        <w:t>TERCERO. Cuestiones de previo y especial pronunciamiento</w:t>
      </w:r>
      <w:r w:rsidRPr="00913034">
        <w:rPr>
          <w:rFonts w:ascii="Palatino Linotype" w:hAnsi="Palatino Linotype" w:cs="Arial"/>
          <w:b/>
        </w:rPr>
        <w:t>.</w:t>
      </w:r>
    </w:p>
    <w:p w14:paraId="74545F1F" w14:textId="77777777" w:rsidR="00B14416" w:rsidRPr="00913034" w:rsidRDefault="00B14416" w:rsidP="00B14416">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3D211FC"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26FDF5FB" w14:textId="77777777" w:rsidR="00B14416" w:rsidRPr="00913034" w:rsidRDefault="00B14416" w:rsidP="00B14416">
      <w:pPr>
        <w:rPr>
          <w:lang w:val="es-MX"/>
        </w:rPr>
      </w:pPr>
    </w:p>
    <w:p w14:paraId="77D26AFB"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E5F265A"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34F3E9D"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221C07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w:t>
      </w:r>
      <w:r w:rsidRPr="00913034">
        <w:rPr>
          <w:rFonts w:ascii="Palatino Linotype" w:hAnsi="Palatino Linotype"/>
        </w:rPr>
        <w:lastRenderedPageBreak/>
        <w:t>que en estricto sentido, no se colmarían los requisitos establecidos en el citado artículo 180, de la Ley de Transparencia.</w:t>
      </w:r>
    </w:p>
    <w:p w14:paraId="3FEC17D8"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D366211" w14:textId="77777777" w:rsidR="00CA15F8" w:rsidRPr="00803913" w:rsidRDefault="00CA15F8"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A240A"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w:t>
      </w:r>
      <w:r w:rsidRPr="006A240A">
        <w:rPr>
          <w:rFonts w:ascii="Palatino Linotype" w:eastAsiaTheme="minorHAnsi" w:hAnsi="Palatino Linotype" w:cs="Arial"/>
          <w:lang w:val="es-MX" w:eastAsia="en-U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2F8D1936"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lastRenderedPageBreak/>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6A240A" w:rsidRDefault="00B14416"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lastRenderedPageBreak/>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22357606" w14:textId="77777777" w:rsidR="00DB55A6" w:rsidRPr="006A240A" w:rsidRDefault="00DB55A6" w:rsidP="0029071C">
      <w:pPr>
        <w:spacing w:line="360" w:lineRule="auto"/>
        <w:ind w:right="141"/>
        <w:jc w:val="both"/>
        <w:rPr>
          <w:rFonts w:ascii="Palatino Linotype" w:eastAsiaTheme="minorHAnsi" w:hAnsi="Palatino Linotype" w:cstheme="minorBidi"/>
          <w:lang w:val="es-MX" w:eastAsia="es-MX"/>
        </w:rPr>
      </w:pPr>
    </w:p>
    <w:p w14:paraId="12E5E9BD" w14:textId="77777777" w:rsidR="00227FAE" w:rsidRDefault="0029071C" w:rsidP="00803913">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t>REQUERIMIENTOS SOLICITADOS:</w:t>
      </w:r>
      <w:r w:rsidR="00A26BD8" w:rsidRPr="00197B1A">
        <w:rPr>
          <w:rFonts w:ascii="Palatino Linotype" w:eastAsiaTheme="minorHAnsi" w:hAnsi="Palatino Linotype" w:cstheme="minorBidi"/>
          <w:b/>
          <w:szCs w:val="22"/>
          <w:lang w:val="es-MX" w:eastAsia="es-MX"/>
        </w:rPr>
        <w:t xml:space="preserve"> </w:t>
      </w:r>
      <w:bookmarkStart w:id="1" w:name="_Hlk154664839"/>
      <w:bookmarkStart w:id="2" w:name="_Hlk157530401"/>
      <w:bookmarkStart w:id="3" w:name="_Hlk159263742"/>
    </w:p>
    <w:p w14:paraId="5E32F75F" w14:textId="4DDE3557" w:rsidR="003C3071" w:rsidRDefault="00A22F90" w:rsidP="007659E9">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E</w:t>
      </w:r>
      <w:r w:rsidRPr="00A22F90">
        <w:rPr>
          <w:rFonts w:ascii="Palatino Linotype" w:eastAsiaTheme="minorHAnsi" w:hAnsi="Palatino Linotype" w:cstheme="minorBidi"/>
          <w:szCs w:val="22"/>
          <w:lang w:val="es-MX" w:eastAsia="es-MX"/>
        </w:rPr>
        <w:t>l estado financiero de cómo se recibió el Ayuntamiento en enero</w:t>
      </w:r>
      <w:r w:rsidR="003C3071">
        <w:rPr>
          <w:rFonts w:ascii="Palatino Linotype" w:eastAsiaTheme="minorHAnsi" w:hAnsi="Palatino Linotype" w:cstheme="minorBidi"/>
          <w:szCs w:val="22"/>
          <w:lang w:val="es-MX" w:eastAsia="es-MX"/>
        </w:rPr>
        <w:t>.</w:t>
      </w:r>
    </w:p>
    <w:bookmarkEnd w:id="1"/>
    <w:bookmarkEnd w:id="2"/>
    <w:bookmarkEnd w:id="3"/>
    <w:p w14:paraId="19624DE1" w14:textId="77777777" w:rsidR="00714A67" w:rsidRDefault="00714A67" w:rsidP="00737A9B">
      <w:pPr>
        <w:spacing w:line="360" w:lineRule="auto"/>
        <w:ind w:right="49"/>
        <w:jc w:val="both"/>
        <w:rPr>
          <w:rFonts w:ascii="Palatino Linotype" w:eastAsiaTheme="minorHAnsi" w:hAnsi="Palatino Linotype" w:cstheme="minorBidi"/>
          <w:lang w:val="es-MX" w:eastAsia="es-MX"/>
        </w:rPr>
      </w:pPr>
    </w:p>
    <w:p w14:paraId="46F4A268" w14:textId="417C1B60" w:rsidR="007659E9" w:rsidRPr="006B1080" w:rsidRDefault="0029071C" w:rsidP="00DC7ADE">
      <w:pPr>
        <w:spacing w:line="360" w:lineRule="auto"/>
        <w:ind w:right="49"/>
        <w:jc w:val="both"/>
        <w:rPr>
          <w:rFonts w:ascii="Palatino Linotype" w:hAnsi="Palatino Linotype" w:cs="Arial"/>
          <w:u w:val="single"/>
        </w:rPr>
      </w:pPr>
      <w:r w:rsidRPr="00737A9B">
        <w:rPr>
          <w:rFonts w:ascii="Palatino Linotype" w:eastAsiaTheme="minorHAnsi" w:hAnsi="Palatino Linotype" w:cstheme="minorBidi"/>
          <w:lang w:val="es-MX" w:eastAsia="es-MX"/>
        </w:rPr>
        <w:t>Atento a la solicitud de información</w:t>
      </w:r>
      <w:r w:rsidR="00561D99">
        <w:rPr>
          <w:rFonts w:ascii="Palatino Linotype" w:eastAsiaTheme="minorHAnsi" w:hAnsi="Palatino Linotype" w:cstheme="minorBidi"/>
          <w:lang w:val="es-MX" w:eastAsia="es-MX"/>
        </w:rPr>
        <w:t xml:space="preserve"> el </w:t>
      </w:r>
      <w:r w:rsidRPr="00737A9B">
        <w:rPr>
          <w:rFonts w:ascii="Palatino Linotype" w:eastAsiaTheme="minorHAnsi" w:hAnsi="Palatino Linotype" w:cstheme="minorBidi"/>
          <w:b/>
          <w:lang w:val="es-MX" w:eastAsia="es-MX"/>
        </w:rPr>
        <w:t>Sujeto Obligado</w:t>
      </w:r>
      <w:r w:rsidRPr="00737A9B">
        <w:rPr>
          <w:rFonts w:ascii="Palatino Linotype" w:eastAsiaTheme="minorHAnsi" w:hAnsi="Palatino Linotype" w:cstheme="minorBidi"/>
          <w:lang w:val="es-MX" w:eastAsia="es-MX"/>
        </w:rPr>
        <w:t>, emitió su respuesta</w:t>
      </w:r>
      <w:r w:rsidR="002A45F3">
        <w:rPr>
          <w:rFonts w:ascii="Palatino Linotype" w:eastAsiaTheme="minorHAnsi" w:hAnsi="Palatino Linotype" w:cstheme="minorBidi"/>
          <w:lang w:val="es-MX" w:eastAsia="es-MX"/>
        </w:rPr>
        <w:t xml:space="preserve"> a través del </w:t>
      </w:r>
      <w:r w:rsidR="00561D99">
        <w:rPr>
          <w:rFonts w:ascii="Palatino Linotype" w:eastAsiaTheme="minorHAnsi" w:hAnsi="Palatino Linotype" w:cstheme="minorBidi"/>
          <w:lang w:val="es-MX" w:eastAsia="es-MX"/>
        </w:rPr>
        <w:t xml:space="preserve">oficio de fecha </w:t>
      </w:r>
      <w:r w:rsidR="00406218">
        <w:rPr>
          <w:rFonts w:ascii="Palatino Linotype" w:eastAsiaTheme="minorHAnsi" w:hAnsi="Palatino Linotype" w:cstheme="minorBidi"/>
          <w:lang w:val="es-MX" w:eastAsia="es-MX"/>
        </w:rPr>
        <w:t>siete</w:t>
      </w:r>
      <w:r w:rsidR="00561D99">
        <w:rPr>
          <w:rFonts w:ascii="Palatino Linotype" w:eastAsiaTheme="minorHAnsi" w:hAnsi="Palatino Linotype" w:cstheme="minorBidi"/>
          <w:lang w:val="es-MX" w:eastAsia="es-MX"/>
        </w:rPr>
        <w:t xml:space="preserve"> de febrero de dos mil veinticinco, firmado por el Titular de la Unidad de Transparencia,</w:t>
      </w:r>
      <w:r w:rsidR="00056A58">
        <w:rPr>
          <w:rFonts w:ascii="Palatino Linotype" w:eastAsiaTheme="minorHAnsi" w:hAnsi="Palatino Linotype" w:cstheme="minorBidi"/>
          <w:lang w:val="es-MX" w:eastAsia="es-MX"/>
        </w:rPr>
        <w:t xml:space="preserve"> en el que</w:t>
      </w:r>
      <w:r w:rsidR="00561D99">
        <w:rPr>
          <w:rFonts w:ascii="Palatino Linotype" w:eastAsiaTheme="minorHAnsi" w:hAnsi="Palatino Linotype" w:cstheme="minorBidi"/>
          <w:lang w:val="es-MX" w:eastAsia="es-MX"/>
        </w:rPr>
        <w:t xml:space="preserve"> indicó que, </w:t>
      </w:r>
      <w:bookmarkStart w:id="4" w:name="_Hlk192003368"/>
      <w:r w:rsidR="00561D99">
        <w:rPr>
          <w:rFonts w:ascii="Palatino Linotype" w:eastAsiaTheme="minorHAnsi" w:hAnsi="Palatino Linotype" w:cstheme="minorBidi"/>
          <w:lang w:val="es-MX" w:eastAsia="es-MX"/>
        </w:rPr>
        <w:t xml:space="preserve">la </w:t>
      </w:r>
      <w:r w:rsidR="00344D8A" w:rsidRPr="00344D8A">
        <w:rPr>
          <w:rFonts w:ascii="Palatino Linotype" w:eastAsiaTheme="minorHAnsi" w:hAnsi="Palatino Linotype" w:cstheme="minorBidi"/>
          <w:b/>
          <w:bCs/>
          <w:lang w:val="es-MX" w:eastAsia="es-MX"/>
        </w:rPr>
        <w:t>Tesorería Municipal</w:t>
      </w:r>
      <w:r w:rsidR="00DC7ADE">
        <w:rPr>
          <w:rFonts w:ascii="Palatino Linotype" w:eastAsiaTheme="minorHAnsi" w:hAnsi="Palatino Linotype" w:cstheme="minorBidi"/>
          <w:lang w:val="es-MX" w:eastAsia="es-MX"/>
        </w:rPr>
        <w:t xml:space="preserve">, </w:t>
      </w:r>
      <w:bookmarkStart w:id="5" w:name="_Hlk191987492"/>
      <w:r w:rsidR="00DC7ADE">
        <w:rPr>
          <w:rFonts w:ascii="Palatino Linotype" w:eastAsiaTheme="minorHAnsi" w:hAnsi="Palatino Linotype" w:cstheme="minorBidi"/>
          <w:lang w:val="es-MX" w:eastAsia="es-MX"/>
        </w:rPr>
        <w:t>informó que</w:t>
      </w:r>
      <w:r w:rsidR="00344D8A">
        <w:rPr>
          <w:rFonts w:ascii="Palatino Linotype" w:eastAsiaTheme="minorHAnsi" w:hAnsi="Palatino Linotype" w:cstheme="minorBidi"/>
          <w:lang w:val="es-MX" w:eastAsia="es-MX"/>
        </w:rPr>
        <w:t>, conforme a las atribuciones establecidas en los artículos 3.19 y 3.20 del Código Reglamentario Municipal de Toluca y numeral 202010000 del Manual de Organización de la Tesorería Municipal de Toluca, comunicó que, la información solicitada se encuentra en proceso de integración.</w:t>
      </w:r>
      <w:r w:rsidR="00561D99" w:rsidRPr="006B1080">
        <w:rPr>
          <w:rFonts w:ascii="Palatino Linotype" w:eastAsiaTheme="minorHAnsi" w:hAnsi="Palatino Linotype" w:cstheme="minorBidi"/>
          <w:u w:val="single"/>
          <w:lang w:val="es-MX" w:eastAsia="es-MX"/>
        </w:rPr>
        <w:t xml:space="preserve"> </w:t>
      </w:r>
    </w:p>
    <w:bookmarkEnd w:id="4"/>
    <w:bookmarkEnd w:id="5"/>
    <w:p w14:paraId="5D3DA30A" w14:textId="77777777" w:rsidR="00683574" w:rsidRPr="006B1080" w:rsidRDefault="00683574" w:rsidP="00572099">
      <w:pPr>
        <w:spacing w:line="360" w:lineRule="auto"/>
        <w:ind w:right="141"/>
        <w:jc w:val="both"/>
        <w:rPr>
          <w:rFonts w:ascii="Palatino Linotype" w:eastAsiaTheme="minorHAnsi" w:hAnsi="Palatino Linotype" w:cs="Arial"/>
          <w:bCs/>
          <w:lang w:eastAsia="en-US"/>
        </w:rPr>
      </w:pPr>
    </w:p>
    <w:p w14:paraId="4194A689" w14:textId="16AB7B16" w:rsidR="00572099" w:rsidRPr="006A240A" w:rsidRDefault="00E11B18" w:rsidP="00344D8A">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Es así que derivado de la respuesta emitida por</w:t>
      </w:r>
      <w:r w:rsidR="006B1080">
        <w:rPr>
          <w:rFonts w:ascii="Palatino Linotype" w:eastAsiaTheme="minorHAnsi" w:hAnsi="Palatino Linotype" w:cs="Arial"/>
          <w:bCs/>
          <w:lang w:val="es-MX" w:eastAsia="en-US"/>
        </w:rPr>
        <w:t xml:space="preserve"> el </w:t>
      </w:r>
      <w:r w:rsidRPr="006A240A">
        <w:rPr>
          <w:rFonts w:ascii="Palatino Linotype" w:eastAsiaTheme="minorHAnsi" w:hAnsi="Palatino Linotype" w:cs="Arial"/>
          <w:b/>
          <w:bCs/>
          <w:lang w:val="es-MX" w:eastAsia="en-US"/>
        </w:rPr>
        <w:t>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w:t>
      </w:r>
      <w:r w:rsidR="00344D8A">
        <w:rPr>
          <w:rFonts w:ascii="Palatino Linotype" w:eastAsiaTheme="minorHAnsi" w:hAnsi="Palatino Linotype" w:cs="Arial"/>
          <w:bCs/>
          <w:lang w:val="es-MX" w:eastAsia="en-US"/>
        </w:rPr>
        <w:t xml:space="preserv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344D8A" w:rsidRPr="00344D8A">
        <w:rPr>
          <w:rFonts w:ascii="Palatino Linotype" w:eastAsiaTheme="minorHAnsi" w:hAnsi="Palatino Linotype" w:cs="Arial"/>
          <w:i/>
          <w:lang w:val="es-MX" w:eastAsia="en-US"/>
        </w:rPr>
        <w:t>Negativa de la información</w:t>
      </w:r>
      <w:r w:rsidRPr="006A240A">
        <w:rPr>
          <w:rFonts w:ascii="Palatino Linotype" w:eastAsiaTheme="minorHAnsi" w:hAnsi="Palatino Linotype" w:cs="Arial"/>
          <w:bCs/>
          <w:i/>
          <w:lang w:val="es-MX" w:eastAsia="en-US"/>
        </w:rPr>
        <w:t>” (Sic).</w:t>
      </w:r>
    </w:p>
    <w:p w14:paraId="128451AB" w14:textId="77777777" w:rsidR="006B1080" w:rsidRPr="006B1080" w:rsidRDefault="006B1080" w:rsidP="008A12CF">
      <w:pPr>
        <w:tabs>
          <w:tab w:val="left" w:pos="709"/>
        </w:tabs>
        <w:spacing w:line="360" w:lineRule="auto"/>
        <w:contextualSpacing/>
        <w:jc w:val="both"/>
        <w:rPr>
          <w:rFonts w:ascii="Palatino Linotype" w:hAnsi="Palatino Linotype" w:cs="Arial"/>
        </w:rPr>
      </w:pPr>
    </w:p>
    <w:p w14:paraId="29BC1B60" w14:textId="520EB115" w:rsidR="0017779C" w:rsidRDefault="00056A58" w:rsidP="00344D8A">
      <w:pPr>
        <w:tabs>
          <w:tab w:val="left" w:pos="709"/>
        </w:tabs>
        <w:spacing w:line="360" w:lineRule="auto"/>
        <w:contextualSpacing/>
        <w:jc w:val="both"/>
        <w:rPr>
          <w:rFonts w:ascii="Palatino Linotype" w:hAnsi="Palatino Linotype" w:cs="Arial"/>
          <w:lang w:val="es-ES_tradnl"/>
        </w:rPr>
      </w:pPr>
      <w:r w:rsidRPr="006B1080">
        <w:rPr>
          <w:rFonts w:ascii="Palatino Linotype" w:hAnsi="Palatino Linotype" w:cs="Arial"/>
          <w:lang w:val="es-ES_tradnl"/>
        </w:rPr>
        <w:t xml:space="preserve">Por lo que, en la etapa de manifestaciones, el </w:t>
      </w:r>
      <w:r w:rsidRPr="006B1080">
        <w:rPr>
          <w:rFonts w:ascii="Palatino Linotype" w:hAnsi="Palatino Linotype" w:cs="Arial"/>
          <w:b/>
          <w:lang w:val="es-ES_tradnl"/>
        </w:rPr>
        <w:t>Sujeto Obligado</w:t>
      </w:r>
      <w:r w:rsidRPr="006B1080">
        <w:rPr>
          <w:rFonts w:ascii="Palatino Linotype" w:hAnsi="Palatino Linotype" w:cs="Arial"/>
          <w:lang w:val="es-ES_tradnl"/>
        </w:rPr>
        <w:t xml:space="preserve"> </w:t>
      </w:r>
      <w:r w:rsidR="00EE49B2" w:rsidRPr="006B1080">
        <w:rPr>
          <w:rFonts w:ascii="Palatino Linotype" w:hAnsi="Palatino Linotype" w:cs="Arial"/>
          <w:lang w:val="es-ES_tradnl"/>
        </w:rPr>
        <w:t xml:space="preserve">a través del </w:t>
      </w:r>
      <w:bookmarkStart w:id="6" w:name="_Hlk191987931"/>
      <w:proofErr w:type="spellStart"/>
      <w:r w:rsidR="00344D8A">
        <w:rPr>
          <w:rFonts w:ascii="Palatino Linotype" w:hAnsi="Palatino Linotype" w:cs="Arial"/>
          <w:lang w:val="es-ES_tradnl"/>
        </w:rPr>
        <w:t>del</w:t>
      </w:r>
      <w:proofErr w:type="spellEnd"/>
      <w:r w:rsidR="00344D8A">
        <w:rPr>
          <w:rFonts w:ascii="Palatino Linotype" w:hAnsi="Palatino Linotype" w:cs="Arial"/>
          <w:lang w:val="es-ES_tradnl"/>
        </w:rPr>
        <w:t xml:space="preserve"> oficio de fecha veintiséis de febrero de dos mil veinticinco, firmado por el Titular de la Unidad de Transparencia, confirmó su respuesta. </w:t>
      </w:r>
    </w:p>
    <w:bookmarkEnd w:id="6"/>
    <w:p w14:paraId="2CA5D280" w14:textId="77777777" w:rsidR="00056A58"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lastRenderedPageBreak/>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FEE417A" w14:textId="77777777" w:rsidR="00F306AC" w:rsidRPr="006A240A" w:rsidRDefault="00F306AC" w:rsidP="008A12CF">
      <w:pPr>
        <w:tabs>
          <w:tab w:val="left" w:pos="709"/>
        </w:tabs>
        <w:spacing w:line="360" w:lineRule="auto"/>
        <w:contextualSpacing/>
        <w:jc w:val="both"/>
        <w:rPr>
          <w:rFonts w:ascii="Palatino Linotype" w:hAnsi="Palatino Linotype" w:cs="Arial"/>
          <w:lang w:val="es-ES_tradn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3425E3C4" w14:textId="77777777" w:rsidR="00376422" w:rsidRPr="006A240A"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lastRenderedPageBreak/>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w:t>
      </w:r>
      <w:r w:rsidRPr="006A240A">
        <w:rPr>
          <w:rFonts w:ascii="Palatino Linotype" w:hAnsi="Palatino Linotype" w:cs="Arial"/>
          <w:i/>
          <w:iCs/>
          <w:color w:val="222222"/>
          <w:sz w:val="22"/>
          <w:lang w:eastAsia="es-MX"/>
        </w:rPr>
        <w:lastRenderedPageBreak/>
        <w:t>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5A4306C8"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75607A">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17779C">
        <w:rPr>
          <w:rFonts w:ascii="Palatino Linotype" w:eastAsiaTheme="minorHAnsi" w:hAnsi="Palatino Linotype" w:cs="Arial"/>
          <w:szCs w:val="22"/>
          <w:lang w:val="es-MX" w:eastAsia="en-US"/>
        </w:rPr>
        <w:t xml:space="preserve"> e informe justificado, </w:t>
      </w:r>
      <w:r w:rsidRPr="006A240A">
        <w:rPr>
          <w:rFonts w:ascii="Palatino Linotype" w:eastAsiaTheme="minorHAnsi" w:hAnsi="Palatino Linotype" w:cs="Arial"/>
          <w:szCs w:val="22"/>
          <w:lang w:val="es-MX" w:eastAsia="en-US"/>
        </w:rPr>
        <w:t>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2B7D57FD" w14:textId="77777777" w:rsidR="0017779C"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17779C">
        <w:rPr>
          <w:rFonts w:ascii="Palatino Linotype" w:eastAsiaTheme="minorHAnsi" w:hAnsi="Palatino Linotype" w:cs="Arial"/>
          <w:bCs/>
          <w:lang w:val="es-MX" w:eastAsia="en-US"/>
        </w:rPr>
        <w:t>el ahora Recurrente se adolece de lo siguiente:</w:t>
      </w:r>
    </w:p>
    <w:p w14:paraId="5E86A77C" w14:textId="77777777" w:rsidR="0017779C" w:rsidRDefault="0017779C" w:rsidP="00CE6A53">
      <w:pPr>
        <w:spacing w:line="360" w:lineRule="auto"/>
        <w:ind w:right="49"/>
        <w:jc w:val="both"/>
        <w:rPr>
          <w:rFonts w:ascii="Palatino Linotype" w:eastAsiaTheme="minorHAnsi" w:hAnsi="Palatino Linotype" w:cs="Arial"/>
          <w:bCs/>
          <w:lang w:val="es-MX" w:eastAsia="en-US"/>
        </w:rPr>
      </w:pPr>
    </w:p>
    <w:p w14:paraId="76A3333F" w14:textId="180FEB85" w:rsidR="00344D8A" w:rsidRPr="00344D8A" w:rsidRDefault="00344D8A" w:rsidP="00CE6A53">
      <w:pPr>
        <w:pStyle w:val="Prrafodelista"/>
        <w:numPr>
          <w:ilvl w:val="0"/>
          <w:numId w:val="25"/>
        </w:numPr>
        <w:spacing w:line="360" w:lineRule="auto"/>
        <w:ind w:right="49"/>
        <w:jc w:val="both"/>
        <w:rPr>
          <w:rFonts w:ascii="Palatino Linotype" w:eastAsiaTheme="minorHAnsi" w:hAnsi="Palatino Linotype" w:cs="Arial"/>
          <w:bCs/>
          <w:lang w:val="es-MX" w:eastAsia="en-US"/>
        </w:rPr>
      </w:pPr>
      <w:r w:rsidRPr="00344D8A">
        <w:rPr>
          <w:rFonts w:ascii="Palatino Linotype" w:eastAsiaTheme="minorHAnsi" w:hAnsi="Palatino Linotype" w:cs="Arial"/>
          <w:bCs/>
          <w:lang w:val="es-MX" w:eastAsia="en-US"/>
        </w:rPr>
        <w:t>Negativa de la información</w:t>
      </w:r>
      <w:r w:rsidR="0017779C">
        <w:rPr>
          <w:rFonts w:ascii="Palatino Linotype" w:eastAsiaTheme="minorHAnsi" w:hAnsi="Palatino Linotype" w:cs="Arial"/>
          <w:bCs/>
          <w:lang w:val="es-MX" w:eastAsia="en-US"/>
        </w:rPr>
        <w:t>.</w:t>
      </w:r>
    </w:p>
    <w:p w14:paraId="4A06A51B" w14:textId="4EC4DCD8" w:rsidR="00344D8A" w:rsidRDefault="00737A9B" w:rsidP="00EF59E0">
      <w:pPr>
        <w:spacing w:line="360" w:lineRule="auto"/>
        <w:ind w:right="49"/>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lastRenderedPageBreak/>
        <w:t xml:space="preserve">Así que, retomando la respuesta emitida por parte del </w:t>
      </w:r>
      <w:r w:rsidRPr="00B7320F">
        <w:rPr>
          <w:rFonts w:ascii="Palatino Linotype" w:eastAsiaTheme="minorHAnsi" w:hAnsi="Palatino Linotype" w:cstheme="minorBidi"/>
          <w:b/>
          <w:bCs/>
          <w:lang w:val="es-MX" w:eastAsia="es-MX"/>
        </w:rPr>
        <w:t>Sujeto Obligado</w:t>
      </w:r>
      <w:r w:rsidRPr="00B7320F">
        <w:rPr>
          <w:rFonts w:ascii="Palatino Linotype" w:eastAsiaTheme="minorHAnsi" w:hAnsi="Palatino Linotype" w:cstheme="minorBidi"/>
          <w:lang w:val="es-MX" w:eastAsia="es-MX"/>
        </w:rPr>
        <w:t>,</w:t>
      </w:r>
      <w:r>
        <w:rPr>
          <w:rFonts w:ascii="Palatino Linotype" w:eastAsiaTheme="minorHAnsi" w:hAnsi="Palatino Linotype" w:cs="Arial"/>
          <w:bCs/>
          <w:lang w:val="es-MX" w:eastAsia="en-US"/>
        </w:rPr>
        <w:t xml:space="preserve"> </w:t>
      </w:r>
      <w:r w:rsidR="00344D8A" w:rsidRPr="00344D8A">
        <w:rPr>
          <w:rFonts w:ascii="Palatino Linotype" w:eastAsiaTheme="minorHAnsi" w:hAnsi="Palatino Linotype" w:cstheme="minorBidi"/>
          <w:lang w:val="es-MX" w:eastAsia="es-MX"/>
        </w:rPr>
        <w:t>la Tesorería Municipal, informó que, la información solicitada se encuentra en proceso de integración.</w:t>
      </w:r>
    </w:p>
    <w:p w14:paraId="053CEC14" w14:textId="77777777" w:rsidR="00344D8A" w:rsidRDefault="00344D8A" w:rsidP="00EF59E0">
      <w:pPr>
        <w:spacing w:line="360" w:lineRule="auto"/>
        <w:ind w:right="49"/>
        <w:jc w:val="both"/>
        <w:rPr>
          <w:rFonts w:ascii="Palatino Linotype" w:hAnsi="Palatino Linotype" w:cs="Arial"/>
        </w:rPr>
      </w:pPr>
    </w:p>
    <w:p w14:paraId="375E0350" w14:textId="3E8A715B" w:rsidR="004514F1" w:rsidRPr="009B0627" w:rsidRDefault="004514F1" w:rsidP="004514F1">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sidR="00344D8A">
        <w:rPr>
          <w:rFonts w:ascii="Palatino Linotype" w:hAnsi="Palatino Linotype" w:cs="Tahoma"/>
          <w:b/>
          <w:bCs/>
          <w:szCs w:val="22"/>
          <w:lang w:val="es-MX"/>
        </w:rPr>
        <w:t>Tesorería Municipal</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2CB1DF84" w14:textId="77777777" w:rsidR="004514F1" w:rsidRPr="009B0627" w:rsidRDefault="004514F1" w:rsidP="004514F1">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3ED8A16C" w14:textId="77777777" w:rsidR="004514F1" w:rsidRPr="009B0627" w:rsidRDefault="004514F1" w:rsidP="004514F1">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7B5773E" w14:textId="77777777" w:rsidR="004514F1" w:rsidRPr="009B0627" w:rsidRDefault="004514F1" w:rsidP="004514F1">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27AC322F" w14:textId="77777777" w:rsidR="004514F1" w:rsidRPr="009B0627" w:rsidRDefault="004514F1" w:rsidP="004514F1">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0DF272" w14:textId="77777777" w:rsidR="004514F1" w:rsidRPr="009B0627" w:rsidRDefault="004514F1" w:rsidP="004514F1">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761AA9D2" w14:textId="1BB8CC46" w:rsidR="004514F1" w:rsidRDefault="004514F1" w:rsidP="00246DC1">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w:t>
      </w:r>
      <w:r w:rsidR="00DC5B5A">
        <w:rPr>
          <w:rFonts w:ascii="Palatino Linotype" w:hAnsi="Palatino Linotype" w:cs="Tahoma"/>
          <w:bCs/>
          <w:szCs w:val="22"/>
          <w:lang w:val="es-MX"/>
        </w:rPr>
        <w:t xml:space="preserve">nuevamente el </w:t>
      </w:r>
      <w:r w:rsidR="00DC5B5A" w:rsidRPr="00DC5B5A">
        <w:rPr>
          <w:rFonts w:ascii="Palatino Linotype" w:hAnsi="Palatino Linotype" w:cs="Tahoma"/>
          <w:b/>
          <w:bCs/>
          <w:szCs w:val="22"/>
          <w:lang w:val="es-MX"/>
        </w:rPr>
        <w:t>Código Reglamentario Municipal de Toluca</w:t>
      </w:r>
      <w:r w:rsidR="00246DC1" w:rsidRPr="00246DC1">
        <w:rPr>
          <w:rFonts w:ascii="Palatino Linotype" w:hAnsi="Palatino Linotype" w:cs="Tahoma"/>
          <w:b/>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w:t>
      </w:r>
      <w:r w:rsidRPr="009B0627">
        <w:rPr>
          <w:rFonts w:ascii="Palatino Linotype" w:hAnsi="Palatino Linotype" w:cs="Tahoma"/>
          <w:bCs/>
          <w:szCs w:val="22"/>
          <w:lang w:val="es-MX"/>
        </w:rPr>
        <w:lastRenderedPageBreak/>
        <w:t>de sus funciones, contará con diversas unidades administrativas, entre otras las siguientes:</w:t>
      </w:r>
    </w:p>
    <w:p w14:paraId="2893EB47" w14:textId="77777777" w:rsidR="00CA15F8" w:rsidRDefault="00CA15F8" w:rsidP="00CA15F8">
      <w:pPr>
        <w:spacing w:line="360" w:lineRule="auto"/>
        <w:jc w:val="both"/>
        <w:rPr>
          <w:rFonts w:ascii="Palatino Linotype" w:hAnsi="Palatino Linotype"/>
          <w:sz w:val="22"/>
          <w:szCs w:val="20"/>
          <w:lang w:val="es-MX"/>
        </w:rPr>
      </w:pPr>
    </w:p>
    <w:p w14:paraId="7ABF839A" w14:textId="405E3E5E" w:rsidR="00344D8A" w:rsidRPr="004979F8" w:rsidRDefault="00CA15F8" w:rsidP="004979F8">
      <w:pPr>
        <w:ind w:left="567" w:right="567"/>
        <w:contextualSpacing/>
        <w:jc w:val="center"/>
        <w:rPr>
          <w:rFonts w:ascii="Palatino Linotype" w:hAnsi="Palatino Linotype"/>
          <w:b/>
          <w:bCs/>
          <w:i/>
          <w:kern w:val="28"/>
          <w:sz w:val="22"/>
          <w:szCs w:val="56"/>
          <w:lang w:val="es-MX"/>
        </w:rPr>
      </w:pPr>
      <w:r w:rsidRPr="00CA15F8">
        <w:rPr>
          <w:rFonts w:ascii="Palatino Linotype" w:hAnsi="Palatino Linotype"/>
          <w:i/>
          <w:kern w:val="28"/>
          <w:sz w:val="22"/>
          <w:szCs w:val="56"/>
          <w:lang w:val="es-MX"/>
        </w:rPr>
        <w:t>“</w:t>
      </w:r>
      <w:r w:rsidR="00344D8A" w:rsidRPr="004979F8">
        <w:rPr>
          <w:rFonts w:ascii="Palatino Linotype" w:hAnsi="Palatino Linotype"/>
          <w:b/>
          <w:bCs/>
          <w:i/>
          <w:kern w:val="28"/>
          <w:sz w:val="22"/>
          <w:szCs w:val="56"/>
          <w:lang w:val="es-MX"/>
        </w:rPr>
        <w:t>SECCIÓN TERCERA</w:t>
      </w:r>
    </w:p>
    <w:p w14:paraId="2028ABAD" w14:textId="7A8B632D" w:rsidR="00344D8A" w:rsidRPr="004979F8" w:rsidRDefault="00344D8A" w:rsidP="004979F8">
      <w:pPr>
        <w:ind w:left="567" w:right="567"/>
        <w:contextualSpacing/>
        <w:jc w:val="center"/>
        <w:rPr>
          <w:rFonts w:ascii="Palatino Linotype" w:hAnsi="Palatino Linotype"/>
          <w:b/>
          <w:bCs/>
          <w:i/>
          <w:kern w:val="28"/>
          <w:sz w:val="22"/>
          <w:szCs w:val="56"/>
          <w:lang w:val="es-MX"/>
        </w:rPr>
      </w:pPr>
      <w:r w:rsidRPr="004979F8">
        <w:rPr>
          <w:rFonts w:ascii="Palatino Linotype" w:hAnsi="Palatino Linotype"/>
          <w:b/>
          <w:bCs/>
          <w:i/>
          <w:kern w:val="28"/>
          <w:sz w:val="22"/>
          <w:szCs w:val="56"/>
          <w:lang w:val="es-MX"/>
        </w:rPr>
        <w:t>DE LA TESORERÍA MUNICIPAL</w:t>
      </w:r>
    </w:p>
    <w:p w14:paraId="19111BA5" w14:textId="77777777" w:rsidR="004979F8" w:rsidRPr="00344D8A" w:rsidRDefault="004979F8" w:rsidP="00344D8A">
      <w:pPr>
        <w:ind w:left="567" w:right="567"/>
        <w:contextualSpacing/>
        <w:jc w:val="both"/>
        <w:rPr>
          <w:rFonts w:ascii="Palatino Linotype" w:hAnsi="Palatino Linotype"/>
          <w:i/>
          <w:kern w:val="28"/>
          <w:sz w:val="22"/>
          <w:szCs w:val="56"/>
          <w:lang w:val="es-MX"/>
        </w:rPr>
      </w:pPr>
    </w:p>
    <w:p w14:paraId="534ED8A6" w14:textId="77777777" w:rsidR="00344D8A" w:rsidRPr="00344D8A" w:rsidRDefault="00344D8A" w:rsidP="00344D8A">
      <w:pPr>
        <w:ind w:left="567" w:right="567"/>
        <w:contextualSpacing/>
        <w:jc w:val="both"/>
        <w:rPr>
          <w:rFonts w:ascii="Palatino Linotype" w:hAnsi="Palatino Linotype"/>
          <w:i/>
          <w:kern w:val="28"/>
          <w:sz w:val="22"/>
          <w:szCs w:val="56"/>
          <w:lang w:val="es-MX"/>
        </w:rPr>
      </w:pPr>
      <w:r w:rsidRPr="004979F8">
        <w:rPr>
          <w:rFonts w:ascii="Palatino Linotype" w:hAnsi="Palatino Linotype"/>
          <w:b/>
          <w:bCs/>
          <w:i/>
          <w:kern w:val="28"/>
          <w:sz w:val="22"/>
          <w:szCs w:val="56"/>
          <w:lang w:val="es-MX"/>
        </w:rPr>
        <w:t>Artículo 3.19.</w:t>
      </w:r>
      <w:r w:rsidRPr="00344D8A">
        <w:rPr>
          <w:rFonts w:ascii="Palatino Linotype" w:hAnsi="Palatino Linotype"/>
          <w:i/>
          <w:kern w:val="28"/>
          <w:sz w:val="22"/>
          <w:szCs w:val="56"/>
          <w:lang w:val="es-MX"/>
        </w:rPr>
        <w:t xml:space="preserve"> La o el titular de la Tesorería Municipal tendrá las siguientes atribuciones: </w:t>
      </w:r>
    </w:p>
    <w:p w14:paraId="1FF3DD12" w14:textId="2D5BAD86" w:rsidR="00344D8A"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I. Coordinar la orientación técnica a los contribuyentes en el cumplimiento de sus obligaciones fiscales, el calendario de aplicación de las disposiciones tributarias y los procedimientos para su debida observancia; </w:t>
      </w:r>
    </w:p>
    <w:p w14:paraId="12DA391D" w14:textId="6974BD19" w:rsidR="00344D8A" w:rsidRPr="00344D8A" w:rsidRDefault="00344D8A" w:rsidP="00344D8A">
      <w:pPr>
        <w:ind w:left="567" w:right="567"/>
        <w:contextualSpacing/>
        <w:jc w:val="both"/>
        <w:rPr>
          <w:rFonts w:ascii="Palatino Linotype" w:hAnsi="Palatino Linotype"/>
          <w:i/>
          <w:kern w:val="28"/>
          <w:sz w:val="22"/>
          <w:szCs w:val="56"/>
          <w:lang w:val="es-MX"/>
        </w:rPr>
      </w:pPr>
    </w:p>
    <w:p w14:paraId="280DD37E" w14:textId="311CB2EA" w:rsidR="00344D8A"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II. Administrar, instrumentar, planear, implementar y supervisar la operación y desarrollo de la actividad catastral para la inscripción o actualización de la información de los predios en el Padrón Catastral Municipal y en el Sistema Integral de Información Catastral conforme a las disposiciones aplicables en la materia; </w:t>
      </w:r>
    </w:p>
    <w:p w14:paraId="58CDDB16" w14:textId="357752BB" w:rsidR="00344D8A" w:rsidRPr="00344D8A" w:rsidRDefault="00344D8A" w:rsidP="00344D8A">
      <w:pPr>
        <w:ind w:left="567" w:right="567"/>
        <w:contextualSpacing/>
        <w:jc w:val="both"/>
        <w:rPr>
          <w:rFonts w:ascii="Palatino Linotype" w:hAnsi="Palatino Linotype"/>
          <w:i/>
          <w:kern w:val="28"/>
          <w:sz w:val="22"/>
          <w:szCs w:val="56"/>
          <w:lang w:val="es-MX"/>
        </w:rPr>
      </w:pPr>
    </w:p>
    <w:p w14:paraId="598A4146" w14:textId="35088E8E" w:rsidR="00344D8A"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III. Aplicar el procedimiento administrativo de ejecución para recuperar y/o cancelar los créditos fiscales, cuentas incobrables y cuentas incosteables; </w:t>
      </w:r>
    </w:p>
    <w:p w14:paraId="6C5AB4C1" w14:textId="27F6F83E" w:rsidR="00344D8A" w:rsidRPr="00344D8A" w:rsidRDefault="00344D8A" w:rsidP="00344D8A">
      <w:pPr>
        <w:ind w:left="567" w:right="567"/>
        <w:contextualSpacing/>
        <w:jc w:val="both"/>
        <w:rPr>
          <w:rFonts w:ascii="Palatino Linotype" w:hAnsi="Palatino Linotype"/>
          <w:i/>
          <w:kern w:val="28"/>
          <w:sz w:val="22"/>
          <w:szCs w:val="56"/>
          <w:lang w:val="es-MX"/>
        </w:rPr>
      </w:pPr>
    </w:p>
    <w:p w14:paraId="1BDDA373" w14:textId="2451A55F" w:rsidR="00344D8A"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IV. Emitir las políticas que en materia de ejercicio presupuestal sean de observancia por las dependencias municipales; </w:t>
      </w:r>
    </w:p>
    <w:p w14:paraId="6ED5412D" w14:textId="20D441E7" w:rsidR="00344D8A" w:rsidRPr="00344D8A" w:rsidRDefault="00344D8A" w:rsidP="00344D8A">
      <w:pPr>
        <w:ind w:left="567" w:right="567"/>
        <w:contextualSpacing/>
        <w:jc w:val="both"/>
        <w:rPr>
          <w:rFonts w:ascii="Palatino Linotype" w:hAnsi="Palatino Linotype"/>
          <w:i/>
          <w:kern w:val="28"/>
          <w:sz w:val="22"/>
          <w:szCs w:val="56"/>
          <w:lang w:val="es-MX"/>
        </w:rPr>
      </w:pPr>
    </w:p>
    <w:p w14:paraId="4398AC04" w14:textId="3527AA9A" w:rsidR="00344D8A"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V. Proponer las disposiciones de racionalidad, austeridad y disciplina presupuestales; </w:t>
      </w:r>
    </w:p>
    <w:p w14:paraId="06325F4D" w14:textId="530BEEEB" w:rsidR="00344D8A" w:rsidRPr="00344D8A" w:rsidRDefault="00344D8A" w:rsidP="00344D8A">
      <w:pPr>
        <w:ind w:left="567" w:right="567"/>
        <w:contextualSpacing/>
        <w:jc w:val="both"/>
        <w:rPr>
          <w:rFonts w:ascii="Palatino Linotype" w:hAnsi="Palatino Linotype"/>
          <w:i/>
          <w:kern w:val="28"/>
          <w:sz w:val="22"/>
          <w:szCs w:val="56"/>
          <w:lang w:val="es-MX"/>
        </w:rPr>
      </w:pPr>
    </w:p>
    <w:p w14:paraId="18BB3078" w14:textId="11BC1DF2" w:rsidR="00344D8A"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VI. </w:t>
      </w:r>
      <w:r w:rsidR="004979F8" w:rsidRPr="00344D8A">
        <w:rPr>
          <w:rFonts w:ascii="Palatino Linotype" w:hAnsi="Palatino Linotype"/>
          <w:i/>
          <w:kern w:val="28"/>
          <w:sz w:val="22"/>
          <w:szCs w:val="56"/>
          <w:lang w:val="es-MX"/>
        </w:rPr>
        <w:t xml:space="preserve">Otorgar suficiencia presupuestal a las solicitudes de adquisiciones y servicios, así como las ampliaciones del monto del gasto operativo de las dependencias y organismos auxiliares; </w:t>
      </w:r>
    </w:p>
    <w:p w14:paraId="557EBB81" w14:textId="603F2A28" w:rsidR="00344D8A" w:rsidRPr="00344D8A" w:rsidRDefault="00344D8A" w:rsidP="00344D8A">
      <w:pPr>
        <w:ind w:left="567" w:right="567"/>
        <w:contextualSpacing/>
        <w:jc w:val="both"/>
        <w:rPr>
          <w:rFonts w:ascii="Palatino Linotype" w:hAnsi="Palatino Linotype"/>
          <w:i/>
          <w:kern w:val="28"/>
          <w:sz w:val="22"/>
          <w:szCs w:val="56"/>
          <w:lang w:val="es-MX"/>
        </w:rPr>
      </w:pPr>
    </w:p>
    <w:p w14:paraId="61258251" w14:textId="78D57FA3" w:rsidR="004979F8"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VII. </w:t>
      </w:r>
      <w:r w:rsidR="004979F8" w:rsidRPr="00344D8A">
        <w:rPr>
          <w:rFonts w:ascii="Palatino Linotype" w:hAnsi="Palatino Linotype"/>
          <w:i/>
          <w:kern w:val="28"/>
          <w:sz w:val="22"/>
          <w:szCs w:val="56"/>
          <w:lang w:val="es-MX"/>
        </w:rPr>
        <w:t>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79EC15FB" w14:textId="26B65BB4" w:rsidR="00344D8A" w:rsidRPr="00344D8A" w:rsidRDefault="00344D8A" w:rsidP="00344D8A">
      <w:pPr>
        <w:ind w:left="567" w:right="567"/>
        <w:contextualSpacing/>
        <w:jc w:val="both"/>
        <w:rPr>
          <w:rFonts w:ascii="Palatino Linotype" w:hAnsi="Palatino Linotype"/>
          <w:i/>
          <w:kern w:val="28"/>
          <w:sz w:val="22"/>
          <w:szCs w:val="56"/>
          <w:lang w:val="es-MX"/>
        </w:rPr>
      </w:pPr>
    </w:p>
    <w:p w14:paraId="363F8444" w14:textId="77777777" w:rsidR="004979F8" w:rsidRPr="00344D8A" w:rsidRDefault="00344D8A" w:rsidP="004979F8">
      <w:pPr>
        <w:ind w:left="567" w:right="567"/>
        <w:contextualSpacing/>
        <w:jc w:val="both"/>
        <w:rPr>
          <w:rFonts w:ascii="Palatino Linotype" w:hAnsi="Palatino Linotype"/>
          <w:i/>
          <w:kern w:val="28"/>
          <w:sz w:val="22"/>
          <w:szCs w:val="56"/>
          <w:lang w:val="es-MX"/>
        </w:rPr>
      </w:pPr>
      <w:r w:rsidRPr="00344D8A">
        <w:rPr>
          <w:rFonts w:ascii="Palatino Linotype" w:hAnsi="Palatino Linotype"/>
          <w:i/>
          <w:kern w:val="28"/>
          <w:sz w:val="22"/>
          <w:szCs w:val="56"/>
          <w:lang w:val="es-MX"/>
        </w:rPr>
        <w:t xml:space="preserve">VIII. </w:t>
      </w:r>
      <w:r w:rsidR="004979F8" w:rsidRPr="00344D8A">
        <w:rPr>
          <w:rFonts w:ascii="Palatino Linotype" w:hAnsi="Palatino Linotype"/>
          <w:i/>
          <w:kern w:val="28"/>
          <w:sz w:val="22"/>
          <w:szCs w:val="56"/>
          <w:lang w:val="es-MX"/>
        </w:rPr>
        <w:t xml:space="preserve">Coadyuvar con el presidente municipal en los juicios de carácter fiscal que se ventilen ante cualquier tribunal, cuando tenga interés la hacienda pública municipal, así como en la tramitación de los recursos administrativos de inconformidad en materia fiscal que interpongan los contribuyentes; </w:t>
      </w:r>
    </w:p>
    <w:p w14:paraId="71144161" w14:textId="3DC20224" w:rsidR="00344D8A" w:rsidRPr="00344D8A" w:rsidRDefault="00344D8A" w:rsidP="004979F8">
      <w:pPr>
        <w:ind w:left="567" w:right="567"/>
        <w:contextualSpacing/>
        <w:jc w:val="both"/>
        <w:rPr>
          <w:rFonts w:ascii="Palatino Linotype" w:hAnsi="Palatino Linotype"/>
          <w:i/>
          <w:kern w:val="28"/>
          <w:sz w:val="22"/>
          <w:szCs w:val="56"/>
          <w:lang w:val="es-MX"/>
        </w:rPr>
      </w:pPr>
    </w:p>
    <w:p w14:paraId="6046CC76" w14:textId="77777777" w:rsidR="004979F8" w:rsidRDefault="00344D8A" w:rsidP="00344D8A">
      <w:pPr>
        <w:ind w:left="567" w:right="567"/>
        <w:contextualSpacing/>
        <w:jc w:val="both"/>
        <w:rPr>
          <w:rFonts w:ascii="Palatino Linotype" w:hAnsi="Palatino Linotype"/>
          <w:i/>
          <w:kern w:val="28"/>
          <w:sz w:val="22"/>
          <w:szCs w:val="56"/>
        </w:rPr>
      </w:pPr>
      <w:r w:rsidRPr="00344D8A">
        <w:rPr>
          <w:rFonts w:ascii="Palatino Linotype" w:hAnsi="Palatino Linotype"/>
          <w:i/>
          <w:kern w:val="28"/>
          <w:sz w:val="22"/>
          <w:szCs w:val="56"/>
          <w:lang w:val="es-MX"/>
        </w:rPr>
        <w:t xml:space="preserve">IX. </w:t>
      </w:r>
      <w:r w:rsidR="004979F8" w:rsidRPr="00344D8A">
        <w:rPr>
          <w:rFonts w:ascii="Palatino Linotype" w:hAnsi="Palatino Linotype"/>
          <w:i/>
          <w:kern w:val="28"/>
          <w:sz w:val="22"/>
          <w:szCs w:val="56"/>
          <w:lang w:val="es-MX"/>
        </w:rPr>
        <w:t>Administrar, instrumentar, planear, implementar y supervisar la operación y desarrollo de la actividad catastral para la inscripción o actualización de la</w:t>
      </w:r>
      <w:r w:rsidR="004979F8">
        <w:rPr>
          <w:rFonts w:ascii="Palatino Linotype" w:hAnsi="Palatino Linotype"/>
          <w:i/>
          <w:kern w:val="28"/>
          <w:sz w:val="22"/>
          <w:szCs w:val="56"/>
          <w:lang w:val="es-MX"/>
        </w:rPr>
        <w:t xml:space="preserve"> </w:t>
      </w:r>
      <w:r w:rsidR="004979F8" w:rsidRPr="004979F8">
        <w:rPr>
          <w:rFonts w:ascii="Palatino Linotype" w:hAnsi="Palatino Linotype"/>
          <w:i/>
          <w:kern w:val="28"/>
          <w:sz w:val="22"/>
          <w:szCs w:val="56"/>
        </w:rPr>
        <w:t xml:space="preserve">información de los predios </w:t>
      </w:r>
      <w:r w:rsidR="004979F8" w:rsidRPr="004979F8">
        <w:rPr>
          <w:rFonts w:ascii="Palatino Linotype" w:hAnsi="Palatino Linotype"/>
          <w:i/>
          <w:kern w:val="28"/>
          <w:sz w:val="22"/>
          <w:szCs w:val="56"/>
        </w:rPr>
        <w:lastRenderedPageBreak/>
        <w:t>en el Padrón Catastral Municipal y en el Sistema Integral de Información Catastral conforme a las disposiciones aplicables en la materia;</w:t>
      </w:r>
    </w:p>
    <w:p w14:paraId="4B8B6350" w14:textId="77777777" w:rsidR="004979F8" w:rsidRDefault="004979F8" w:rsidP="00344D8A">
      <w:pPr>
        <w:ind w:left="567" w:right="567"/>
        <w:contextualSpacing/>
        <w:jc w:val="both"/>
        <w:rPr>
          <w:rFonts w:ascii="Palatino Linotype" w:hAnsi="Palatino Linotype"/>
          <w:i/>
          <w:kern w:val="28"/>
          <w:sz w:val="22"/>
          <w:szCs w:val="56"/>
        </w:rPr>
      </w:pPr>
    </w:p>
    <w:p w14:paraId="0F48126B" w14:textId="38A4EFC3"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 xml:space="preserve"> X. Corroborar que se lleve a cabo la debida garantía del interés fiscal, cuando así lo determinen las disposiciones legales; Hacer efectivos los depósitos, fianzas, títulos de crédito y en general cualquier garantía o derecho otorgado para garantizar el interés fiscal, incluyendo el adeudo de intereses o de los accesorios legales generados por pago extemporáneo;</w:t>
      </w:r>
    </w:p>
    <w:p w14:paraId="382AAC78" w14:textId="77777777" w:rsidR="004979F8" w:rsidRDefault="004979F8" w:rsidP="00344D8A">
      <w:pPr>
        <w:ind w:left="567" w:right="567"/>
        <w:contextualSpacing/>
        <w:jc w:val="both"/>
        <w:rPr>
          <w:rFonts w:ascii="Palatino Linotype" w:hAnsi="Palatino Linotype"/>
          <w:i/>
          <w:kern w:val="28"/>
          <w:sz w:val="22"/>
          <w:szCs w:val="56"/>
        </w:rPr>
      </w:pPr>
    </w:p>
    <w:p w14:paraId="5C74E8F1" w14:textId="59CEC15F"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XI. Ejercer en el ámbito de su competencia las atribuciones derivadas del sistema estatal de coordinación hacendaria, así como de los convenios y acuerdos que se celebren en el marco del propio sistema;</w:t>
      </w:r>
    </w:p>
    <w:p w14:paraId="78A25307" w14:textId="77777777" w:rsidR="004979F8" w:rsidRDefault="004979F8" w:rsidP="00344D8A">
      <w:pPr>
        <w:ind w:left="567" w:right="567"/>
        <w:contextualSpacing/>
        <w:jc w:val="both"/>
        <w:rPr>
          <w:rFonts w:ascii="Palatino Linotype" w:hAnsi="Palatino Linotype"/>
          <w:i/>
          <w:kern w:val="28"/>
          <w:sz w:val="22"/>
          <w:szCs w:val="56"/>
        </w:rPr>
      </w:pPr>
    </w:p>
    <w:p w14:paraId="406DC7D1" w14:textId="53D816C6"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XII. Determinar, liquidar, recaudar, fiscalizar y administrar las contribuciones, aprovechamientos, los productos y en general, todos los ingresos municipales cualquiera que sea su naturaleza, en los términos de los ordenamientos jurídicos aplicables;</w:t>
      </w:r>
    </w:p>
    <w:p w14:paraId="7D3F60BD" w14:textId="77777777" w:rsidR="004979F8" w:rsidRDefault="004979F8" w:rsidP="00344D8A">
      <w:pPr>
        <w:ind w:left="567" w:right="567"/>
        <w:contextualSpacing/>
        <w:jc w:val="both"/>
        <w:rPr>
          <w:rFonts w:ascii="Palatino Linotype" w:hAnsi="Palatino Linotype"/>
          <w:i/>
          <w:kern w:val="28"/>
          <w:sz w:val="22"/>
          <w:szCs w:val="56"/>
        </w:rPr>
      </w:pPr>
    </w:p>
    <w:p w14:paraId="25C7D6F4" w14:textId="6863D593"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XIII. Vigilar que se recauden los ingresos por los distintos conceptos impositivos que señala el Presupuesto y la Ley de Ingresos para el ejercicio fiscal del año en curso;</w:t>
      </w:r>
    </w:p>
    <w:p w14:paraId="5B6C808D" w14:textId="77777777" w:rsidR="004979F8" w:rsidRDefault="004979F8" w:rsidP="00344D8A">
      <w:pPr>
        <w:ind w:left="567" w:right="567"/>
        <w:contextualSpacing/>
        <w:jc w:val="both"/>
        <w:rPr>
          <w:rFonts w:ascii="Palatino Linotype" w:hAnsi="Palatino Linotype"/>
          <w:i/>
          <w:kern w:val="28"/>
          <w:sz w:val="22"/>
          <w:szCs w:val="56"/>
        </w:rPr>
      </w:pPr>
    </w:p>
    <w:p w14:paraId="299DA2F1" w14:textId="34695AEB"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XIV. Enunciar la política financiera y crediticia del Municipio; Proponer al Ayuntamiento los presupuestos de ingresos y egresos los cuales deberán ser elaborados y etiquetados con perspectiva de género, informar de su ejercicio y sugerir las modificaciones, en caso necesario;</w:t>
      </w:r>
    </w:p>
    <w:p w14:paraId="6708E793" w14:textId="77777777" w:rsidR="004979F8" w:rsidRDefault="004979F8" w:rsidP="00344D8A">
      <w:pPr>
        <w:ind w:left="567" w:right="567"/>
        <w:contextualSpacing/>
        <w:jc w:val="both"/>
        <w:rPr>
          <w:rFonts w:ascii="Palatino Linotype" w:hAnsi="Palatino Linotype"/>
          <w:i/>
          <w:kern w:val="28"/>
          <w:sz w:val="22"/>
          <w:szCs w:val="56"/>
        </w:rPr>
      </w:pPr>
    </w:p>
    <w:p w14:paraId="29EE1206" w14:textId="4E137C05"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XV. Emitir los criterios y políticas para la aplicación de los ordenamientos fiscales, así como resolver las diferencias que se susciten en la interpretación de los mismos, en términos de lo que dispone el Código Financiero;</w:t>
      </w:r>
    </w:p>
    <w:p w14:paraId="7781E33E" w14:textId="77777777" w:rsidR="004979F8" w:rsidRDefault="004979F8" w:rsidP="00344D8A">
      <w:pPr>
        <w:ind w:left="567" w:right="567"/>
        <w:contextualSpacing/>
        <w:jc w:val="both"/>
        <w:rPr>
          <w:rFonts w:ascii="Palatino Linotype" w:hAnsi="Palatino Linotype"/>
          <w:i/>
          <w:kern w:val="28"/>
          <w:sz w:val="22"/>
          <w:szCs w:val="56"/>
        </w:rPr>
      </w:pPr>
    </w:p>
    <w:p w14:paraId="11A3AE77" w14:textId="287E42E7"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XVI. Vigilar el cumplimiento de las disposiciones legales de carácter fiscal, aplicables en el ámbito municipal; Autorizar y verificar la reasignación de recursos presupuestarios a otros programas sociales prioritarios mediante el dictamen correspondiente, en conjunto con la Unidad de Información, Planeación, Programación y Evaluación, informando de ello al Ayuntamiento;</w:t>
      </w:r>
    </w:p>
    <w:p w14:paraId="556E69BC" w14:textId="77777777" w:rsidR="004979F8" w:rsidRDefault="004979F8" w:rsidP="00344D8A">
      <w:pPr>
        <w:ind w:left="567" w:right="567"/>
        <w:contextualSpacing/>
        <w:jc w:val="both"/>
        <w:rPr>
          <w:rFonts w:ascii="Palatino Linotype" w:hAnsi="Palatino Linotype"/>
          <w:i/>
          <w:kern w:val="28"/>
          <w:sz w:val="22"/>
          <w:szCs w:val="56"/>
        </w:rPr>
      </w:pPr>
    </w:p>
    <w:p w14:paraId="0040B93E" w14:textId="3A0E5C7A"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XVII. Administrar los estacionamientos de propiedad municipal, en términos de lo que dispone el Capítulo Octavo del Título Sexto de este Código;</w:t>
      </w:r>
    </w:p>
    <w:p w14:paraId="7DBF5322" w14:textId="77777777" w:rsidR="004979F8" w:rsidRDefault="004979F8" w:rsidP="00344D8A">
      <w:pPr>
        <w:ind w:left="567" w:right="567"/>
        <w:contextualSpacing/>
        <w:jc w:val="both"/>
        <w:rPr>
          <w:rFonts w:ascii="Palatino Linotype" w:hAnsi="Palatino Linotype"/>
          <w:i/>
          <w:kern w:val="28"/>
          <w:sz w:val="22"/>
          <w:szCs w:val="56"/>
        </w:rPr>
      </w:pPr>
    </w:p>
    <w:p w14:paraId="3538FA4D" w14:textId="73DD9EBC"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XVIII. Elaborar y resguardar los padrones de contribuyentes del municipio de Toluca;</w:t>
      </w:r>
    </w:p>
    <w:p w14:paraId="095C5568" w14:textId="77777777" w:rsidR="004979F8" w:rsidRDefault="004979F8" w:rsidP="00344D8A">
      <w:pPr>
        <w:ind w:left="567" w:right="567"/>
        <w:contextualSpacing/>
        <w:jc w:val="both"/>
        <w:rPr>
          <w:rFonts w:ascii="Palatino Linotype" w:hAnsi="Palatino Linotype"/>
          <w:i/>
          <w:kern w:val="28"/>
          <w:sz w:val="22"/>
          <w:szCs w:val="56"/>
        </w:rPr>
      </w:pPr>
    </w:p>
    <w:p w14:paraId="6DF7AD0C" w14:textId="229EBA2E"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lastRenderedPageBreak/>
        <w:t>XIX. Dar a conocer a las dependencias que conforman la administración pública municipal, conjuntamente con la Unidad de Información, Planeación, Programación y Evaluación, la información necesaria para la formulación del Presupuesto de Egresos Municipal, en observancia a la normatividad aplicable;</w:t>
      </w:r>
    </w:p>
    <w:p w14:paraId="1825041F" w14:textId="77777777" w:rsidR="004979F8" w:rsidRDefault="004979F8" w:rsidP="00344D8A">
      <w:pPr>
        <w:ind w:left="567" w:right="567"/>
        <w:contextualSpacing/>
        <w:jc w:val="both"/>
        <w:rPr>
          <w:rFonts w:ascii="Palatino Linotype" w:hAnsi="Palatino Linotype"/>
          <w:i/>
          <w:kern w:val="28"/>
          <w:sz w:val="22"/>
          <w:szCs w:val="56"/>
        </w:rPr>
      </w:pPr>
    </w:p>
    <w:p w14:paraId="66425F56" w14:textId="0EF5C478"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XX. Analizar las solicitudes de asignación presupuestaria entregadas por las áreas y, en su caso emitir las notificaciones correspondientes;</w:t>
      </w:r>
    </w:p>
    <w:p w14:paraId="4CF3ED82" w14:textId="77777777" w:rsidR="004979F8" w:rsidRDefault="004979F8" w:rsidP="00344D8A">
      <w:pPr>
        <w:ind w:left="567" w:right="567"/>
        <w:contextualSpacing/>
        <w:jc w:val="both"/>
        <w:rPr>
          <w:rFonts w:ascii="Palatino Linotype" w:hAnsi="Palatino Linotype"/>
          <w:i/>
          <w:kern w:val="28"/>
          <w:sz w:val="22"/>
          <w:szCs w:val="56"/>
        </w:rPr>
      </w:pPr>
    </w:p>
    <w:p w14:paraId="70F95453" w14:textId="746C2122" w:rsidR="004979F8" w:rsidRDefault="004979F8" w:rsidP="00344D8A">
      <w:pPr>
        <w:ind w:left="567" w:right="567"/>
        <w:contextualSpacing/>
        <w:jc w:val="both"/>
        <w:rPr>
          <w:rFonts w:ascii="Palatino Linotype" w:hAnsi="Palatino Linotype"/>
          <w:b/>
          <w:bCs/>
          <w:i/>
          <w:kern w:val="28"/>
          <w:sz w:val="22"/>
          <w:szCs w:val="56"/>
          <w:u w:val="single"/>
        </w:rPr>
      </w:pPr>
      <w:r w:rsidRPr="004979F8">
        <w:rPr>
          <w:rFonts w:ascii="Palatino Linotype" w:hAnsi="Palatino Linotype"/>
          <w:i/>
          <w:kern w:val="28"/>
          <w:sz w:val="22"/>
          <w:szCs w:val="56"/>
        </w:rPr>
        <w:t xml:space="preserve">XXI. </w:t>
      </w:r>
      <w:r w:rsidRPr="004979F8">
        <w:rPr>
          <w:rFonts w:ascii="Palatino Linotype" w:hAnsi="Palatino Linotype"/>
          <w:b/>
          <w:bCs/>
          <w:i/>
          <w:kern w:val="28"/>
          <w:sz w:val="22"/>
          <w:szCs w:val="56"/>
          <w:u w:val="single"/>
        </w:rPr>
        <w:t xml:space="preserve">Presentar ante el Ayuntamiento </w:t>
      </w:r>
      <w:bookmarkStart w:id="7" w:name="_Hlk192003930"/>
      <w:r w:rsidRPr="004979F8">
        <w:rPr>
          <w:rFonts w:ascii="Palatino Linotype" w:hAnsi="Palatino Linotype"/>
          <w:b/>
          <w:bCs/>
          <w:i/>
          <w:kern w:val="28"/>
          <w:sz w:val="22"/>
          <w:szCs w:val="56"/>
          <w:u w:val="single"/>
        </w:rPr>
        <w:t>el informe anual de las finanzas públicas</w:t>
      </w:r>
      <w:bookmarkEnd w:id="7"/>
      <w:r w:rsidRPr="004979F8">
        <w:rPr>
          <w:rFonts w:ascii="Palatino Linotype" w:hAnsi="Palatino Linotype"/>
          <w:b/>
          <w:bCs/>
          <w:i/>
          <w:kern w:val="28"/>
          <w:sz w:val="22"/>
          <w:szCs w:val="56"/>
          <w:u w:val="single"/>
        </w:rPr>
        <w:t>;</w:t>
      </w:r>
    </w:p>
    <w:p w14:paraId="159A02FB" w14:textId="77777777" w:rsidR="004979F8" w:rsidRDefault="004979F8" w:rsidP="00344D8A">
      <w:pPr>
        <w:ind w:left="567" w:right="567"/>
        <w:contextualSpacing/>
        <w:jc w:val="both"/>
        <w:rPr>
          <w:rFonts w:ascii="Palatino Linotype" w:hAnsi="Palatino Linotype"/>
          <w:i/>
          <w:kern w:val="28"/>
          <w:sz w:val="22"/>
          <w:szCs w:val="56"/>
        </w:rPr>
      </w:pPr>
    </w:p>
    <w:p w14:paraId="29F918AD" w14:textId="0A0083C3"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XXII. Expedir copias certificadas de los documentos que corroboren el pago de las obligaciones fiscales y documentación presentada ante el Órgano Superior de Fiscalización del Estado de México;</w:t>
      </w:r>
    </w:p>
    <w:p w14:paraId="1EE60236" w14:textId="77777777" w:rsidR="004979F8" w:rsidRDefault="004979F8" w:rsidP="00344D8A">
      <w:pPr>
        <w:ind w:left="567" w:right="567"/>
        <w:contextualSpacing/>
        <w:jc w:val="both"/>
        <w:rPr>
          <w:rFonts w:ascii="Palatino Linotype" w:hAnsi="Palatino Linotype"/>
          <w:i/>
          <w:kern w:val="28"/>
          <w:sz w:val="22"/>
          <w:szCs w:val="56"/>
        </w:rPr>
      </w:pPr>
    </w:p>
    <w:p w14:paraId="7A2CB74A" w14:textId="7F9FF3B6" w:rsidR="004979F8" w:rsidRDefault="004979F8" w:rsidP="00344D8A">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XXIII. Pagar la nómina mediante depósito bancario o bajo la modalidad convenida por el Sindicato que mayor seguridad brinde a las y los servidores públicos en días y horas hábiles, en el lugar más cercano al centro de trabajo del servidor público los días quince y último de cada mes o el día hábil inmediato anterior, si no fueran laborables esas fechas;</w:t>
      </w:r>
    </w:p>
    <w:p w14:paraId="19F6C2B1" w14:textId="77777777" w:rsidR="004979F8" w:rsidRDefault="004979F8" w:rsidP="00344D8A">
      <w:pPr>
        <w:ind w:left="567" w:right="567"/>
        <w:contextualSpacing/>
        <w:jc w:val="both"/>
        <w:rPr>
          <w:rFonts w:ascii="Palatino Linotype" w:hAnsi="Palatino Linotype"/>
          <w:i/>
          <w:kern w:val="28"/>
          <w:sz w:val="22"/>
          <w:szCs w:val="56"/>
        </w:rPr>
      </w:pPr>
    </w:p>
    <w:p w14:paraId="361AB54E" w14:textId="0BDF1D11" w:rsidR="00CA15F8" w:rsidRPr="004979F8" w:rsidRDefault="004979F8" w:rsidP="004979F8">
      <w:pPr>
        <w:ind w:left="567" w:right="567"/>
        <w:contextualSpacing/>
        <w:jc w:val="both"/>
        <w:rPr>
          <w:rFonts w:ascii="Palatino Linotype" w:hAnsi="Palatino Linotype"/>
          <w:i/>
          <w:kern w:val="28"/>
          <w:sz w:val="22"/>
          <w:szCs w:val="56"/>
        </w:rPr>
      </w:pPr>
      <w:r w:rsidRPr="004979F8">
        <w:rPr>
          <w:rFonts w:ascii="Palatino Linotype" w:hAnsi="Palatino Linotype"/>
          <w:i/>
          <w:kern w:val="28"/>
          <w:sz w:val="22"/>
          <w:szCs w:val="56"/>
        </w:rPr>
        <w:t>XXIV. Los Delegados Administrativos de cada dependencia o unidad administrativa son los responsables de acudir a la Dirección de Recursos Humanos a recoger la nómina para que la den a firma a los servidores públicos, asimismo, regresarla</w:t>
      </w:r>
      <w:r>
        <w:rPr>
          <w:rFonts w:ascii="Palatino Linotype" w:hAnsi="Palatino Linotype"/>
          <w:i/>
          <w:kern w:val="28"/>
          <w:sz w:val="22"/>
          <w:szCs w:val="56"/>
        </w:rPr>
        <w:t xml:space="preserve"> </w:t>
      </w:r>
      <w:r w:rsidRPr="004979F8">
        <w:rPr>
          <w:rFonts w:ascii="Palatino Linotype" w:hAnsi="Palatino Linotype"/>
          <w:i/>
          <w:kern w:val="28"/>
          <w:sz w:val="22"/>
          <w:szCs w:val="56"/>
        </w:rPr>
        <w:t>dentro de los tres días hábiles siguientes a la Dirección de Recursos Humanos debidamente firmada por quienes debieron hacerlo</w:t>
      </w:r>
      <w:r>
        <w:rPr>
          <w:rFonts w:ascii="Palatino Linotype" w:hAnsi="Palatino Linotype"/>
          <w:i/>
          <w:kern w:val="28"/>
          <w:sz w:val="22"/>
          <w:szCs w:val="56"/>
        </w:rPr>
        <w:t>.</w:t>
      </w:r>
      <w:r w:rsidR="00CA15F8" w:rsidRPr="00CA15F8">
        <w:rPr>
          <w:rFonts w:ascii="Palatino Linotype" w:hAnsi="Palatino Linotype"/>
          <w:i/>
          <w:kern w:val="28"/>
          <w:sz w:val="22"/>
          <w:szCs w:val="56"/>
          <w:lang w:val="es-MX"/>
        </w:rPr>
        <w:t>”</w:t>
      </w:r>
    </w:p>
    <w:p w14:paraId="39AA5418" w14:textId="77777777" w:rsidR="00CA15F8" w:rsidRPr="00CA15F8" w:rsidRDefault="00CA15F8" w:rsidP="00CA15F8">
      <w:pPr>
        <w:spacing w:line="360" w:lineRule="auto"/>
        <w:jc w:val="both"/>
        <w:rPr>
          <w:rFonts w:ascii="Palatino Linotype" w:hAnsi="Palatino Linotype"/>
          <w:sz w:val="22"/>
          <w:szCs w:val="20"/>
          <w:lang w:val="es-MX"/>
        </w:rPr>
      </w:pPr>
    </w:p>
    <w:p w14:paraId="10580533" w14:textId="57E64136" w:rsidR="00CA15F8" w:rsidRDefault="00CA15F8" w:rsidP="00CA15F8">
      <w:pPr>
        <w:spacing w:line="360" w:lineRule="auto"/>
        <w:jc w:val="both"/>
        <w:rPr>
          <w:rFonts w:ascii="Palatino Linotype" w:hAnsi="Palatino Linotype"/>
          <w:szCs w:val="22"/>
          <w:lang w:val="es-MX"/>
        </w:rPr>
      </w:pPr>
      <w:r w:rsidRPr="00CA15F8">
        <w:rPr>
          <w:rFonts w:ascii="Palatino Linotype" w:hAnsi="Palatino Linotype"/>
          <w:szCs w:val="22"/>
          <w:lang w:val="es-MX"/>
        </w:rPr>
        <w:t xml:space="preserve">Del precepto antes citado se puede observar que la </w:t>
      </w:r>
      <w:r w:rsidR="004979F8">
        <w:rPr>
          <w:rFonts w:ascii="Palatino Linotype" w:hAnsi="Palatino Linotype"/>
          <w:szCs w:val="22"/>
          <w:lang w:val="es-MX"/>
        </w:rPr>
        <w:t>Tesorería Municipal</w:t>
      </w:r>
      <w:r w:rsidRPr="00CA15F8">
        <w:rPr>
          <w:rFonts w:ascii="Palatino Linotype" w:hAnsi="Palatino Linotype"/>
          <w:szCs w:val="22"/>
          <w:lang w:val="es-MX"/>
        </w:rPr>
        <w:t xml:space="preserve"> cuenta con facultades para llevar a cabo las gestiones de</w:t>
      </w:r>
      <w:r w:rsidR="004979F8" w:rsidRPr="004979F8">
        <w:rPr>
          <w:rFonts w:ascii="Palatino Linotype" w:hAnsi="Palatino Linotype"/>
          <w:szCs w:val="22"/>
          <w:lang w:val="es-MX"/>
        </w:rPr>
        <w:t>l informe anual de las finanzas públicas</w:t>
      </w:r>
      <w:r w:rsidRPr="00CA15F8">
        <w:rPr>
          <w:rFonts w:ascii="Palatino Linotype" w:hAnsi="Palatino Linotype"/>
          <w:szCs w:val="22"/>
          <w:lang w:val="es-MX"/>
        </w:rPr>
        <w:t xml:space="preserve">, entre otras. </w:t>
      </w:r>
    </w:p>
    <w:p w14:paraId="5B36868D" w14:textId="77777777" w:rsidR="004979F8" w:rsidRDefault="004979F8" w:rsidP="004514F1">
      <w:pPr>
        <w:spacing w:line="360" w:lineRule="auto"/>
        <w:jc w:val="both"/>
        <w:rPr>
          <w:rFonts w:ascii="Palatino Linotype" w:hAnsi="Palatino Linotype"/>
          <w:szCs w:val="22"/>
          <w:lang w:val="es-MX"/>
        </w:rPr>
      </w:pPr>
    </w:p>
    <w:p w14:paraId="7D807B4B" w14:textId="0F376551" w:rsidR="004514F1" w:rsidRDefault="004514F1" w:rsidP="004514F1">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Así se logra vislumbrar que</w:t>
      </w:r>
      <w:r w:rsidR="008E28B2">
        <w:rPr>
          <w:rFonts w:ascii="Palatino Linotype" w:hAnsi="Palatino Linotype" w:cs="Tahoma"/>
          <w:bCs/>
          <w:iCs/>
          <w:szCs w:val="22"/>
          <w:lang w:val="es-MX"/>
        </w:rPr>
        <w:t>,</w:t>
      </w:r>
      <w:r w:rsidRPr="00781106">
        <w:rPr>
          <w:rFonts w:ascii="Palatino Linotype" w:hAnsi="Palatino Linotype" w:cs="Tahoma"/>
          <w:bCs/>
          <w:iCs/>
          <w:szCs w:val="22"/>
          <w:lang w:val="es-MX"/>
        </w:rPr>
        <w:t xml:space="preserv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w:t>
      </w:r>
      <w:r w:rsidRPr="00B80EA6">
        <w:rPr>
          <w:rFonts w:ascii="Palatino Linotype" w:hAnsi="Palatino Linotype" w:cs="Tahoma"/>
          <w:bCs/>
          <w:iCs/>
          <w:szCs w:val="22"/>
          <w:lang w:val="es-MX"/>
        </w:rPr>
        <w:t>cumplió</w:t>
      </w:r>
      <w:r w:rsidRPr="00781106">
        <w:rPr>
          <w:rFonts w:ascii="Palatino Linotype" w:hAnsi="Palatino Linotype" w:cs="Tahoma"/>
          <w:bCs/>
          <w:iCs/>
          <w:szCs w:val="22"/>
          <w:lang w:val="es-MX"/>
        </w:rPr>
        <w:t xml:space="preserve"> con el procedimiento de búsqueda establecido en el artículo 162 de la Ley de Transparencia y Acceso a la Información Pública del Estado de México y Municipios, </w:t>
      </w:r>
      <w:r w:rsidR="00140E1B">
        <w:rPr>
          <w:rFonts w:ascii="Palatino Linotype" w:hAnsi="Palatino Linotype" w:cs="Tahoma"/>
          <w:bCs/>
          <w:iCs/>
          <w:szCs w:val="22"/>
          <w:lang w:val="es-MX"/>
        </w:rPr>
        <w:t>ya que, no</w:t>
      </w:r>
      <w:r w:rsidRPr="00781106">
        <w:rPr>
          <w:rFonts w:ascii="Palatino Linotype" w:hAnsi="Palatino Linotype" w:cs="Tahoma"/>
          <w:bCs/>
          <w:iCs/>
          <w:szCs w:val="22"/>
          <w:lang w:val="es-MX"/>
        </w:rPr>
        <w:t xml:space="preserve"> turnó </w:t>
      </w:r>
      <w:r>
        <w:rPr>
          <w:rFonts w:ascii="Palatino Linotype" w:hAnsi="Palatino Linotype" w:cs="Tahoma"/>
          <w:bCs/>
          <w:iCs/>
          <w:szCs w:val="22"/>
          <w:lang w:val="es-MX"/>
        </w:rPr>
        <w:t>la solicitud de información al</w:t>
      </w:r>
      <w:r w:rsidR="00140E1B">
        <w:rPr>
          <w:rFonts w:ascii="Palatino Linotype" w:hAnsi="Palatino Linotype" w:cs="Tahoma"/>
          <w:bCs/>
          <w:iCs/>
          <w:szCs w:val="22"/>
          <w:lang w:val="es-MX"/>
        </w:rPr>
        <w:t xml:space="preserve">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xml:space="preserve">, ello atendiendo que, el </w:t>
      </w:r>
      <w:r w:rsidRPr="00DB0639">
        <w:rPr>
          <w:rFonts w:ascii="Palatino Linotype" w:eastAsia="Calibri" w:hAnsi="Palatino Linotype"/>
          <w:lang w:val="es-ES_tradnl"/>
        </w:rPr>
        <w:lastRenderedPageBreak/>
        <w:t>estudio de la fuente obligacional se realiza con la finalidad de determinar si éste se encuentra obligado a generarla, poseerla o administrarla en ejercicio de sus atribuciones, pero en los casos en que</w:t>
      </w:r>
      <w:r w:rsidR="00EF59E0">
        <w:rPr>
          <w:rFonts w:ascii="Palatino Linotype" w:eastAsia="Calibri" w:hAnsi="Palatino Linotype"/>
          <w:lang w:val="es-ES_tradnl"/>
        </w:rPr>
        <w:t>,</w:t>
      </w:r>
      <w:r w:rsidRPr="00DB0639">
        <w:rPr>
          <w:rFonts w:ascii="Palatino Linotype" w:eastAsia="Calibri" w:hAnsi="Palatino Linotype"/>
          <w:lang w:val="es-ES_tradnl"/>
        </w:rPr>
        <w:t xml:space="preserve"> de la respuesta acepta o bien otorga indicios de que cuenta con ella, seria ocioso delimitar las norma jurídica que determine si cuenta con ella o no.</w:t>
      </w:r>
    </w:p>
    <w:p w14:paraId="3957CB1D" w14:textId="77777777" w:rsidR="00B80EA6" w:rsidRDefault="00B80EA6" w:rsidP="004514F1">
      <w:pPr>
        <w:spacing w:line="360" w:lineRule="auto"/>
        <w:jc w:val="both"/>
        <w:rPr>
          <w:rFonts w:ascii="Palatino Linotype" w:eastAsia="Calibri" w:hAnsi="Palatino Linotype"/>
          <w:lang w:val="es-ES_tradnl"/>
        </w:rPr>
      </w:pPr>
    </w:p>
    <w:p w14:paraId="6E577790" w14:textId="323F20DB" w:rsidR="004979F8" w:rsidRPr="004979F8" w:rsidRDefault="00B80EA6" w:rsidP="004979F8">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Ahora bien, </w:t>
      </w:r>
      <w:r w:rsidR="004979F8" w:rsidRPr="004979F8">
        <w:rPr>
          <w:rFonts w:ascii="Palatino Linotype" w:eastAsia="Palatino Linotype" w:hAnsi="Palatino Linotype" w:cs="Palatino Linotype"/>
        </w:rPr>
        <w:t xml:space="preserve">sobre la naturaleza de la información solicitada, </w:t>
      </w:r>
      <w:r w:rsidR="004979F8" w:rsidRPr="004979F8">
        <w:rPr>
          <w:rFonts w:ascii="Palatino Linotype" w:eastAsia="Palatino Linotype" w:hAnsi="Palatino Linotype" w:cs="Palatino Linotype"/>
          <w:color w:val="0A0909"/>
        </w:rPr>
        <w:t xml:space="preserve">la Ley de Disciplina Financiera de las Entidades Federativas y los Municipios, refiere que: </w:t>
      </w:r>
    </w:p>
    <w:p w14:paraId="2C92C52D" w14:textId="77777777" w:rsidR="004979F8" w:rsidRPr="004979F8" w:rsidRDefault="004979F8" w:rsidP="004979F8">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p>
    <w:p w14:paraId="15A31E8D" w14:textId="77777777" w:rsidR="004979F8" w:rsidRPr="004979F8" w:rsidRDefault="004979F8" w:rsidP="004979F8">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4979F8">
        <w:rPr>
          <w:rFonts w:ascii="Palatino Linotype" w:eastAsia="Palatino Linotype" w:hAnsi="Palatino Linotype" w:cs="Palatino Linotype"/>
          <w:i/>
          <w:sz w:val="22"/>
          <w:szCs w:val="22"/>
        </w:rPr>
        <w:t>“</w:t>
      </w:r>
      <w:r w:rsidRPr="004979F8">
        <w:rPr>
          <w:rFonts w:ascii="Palatino Linotype" w:eastAsia="Palatino Linotype" w:hAnsi="Palatino Linotype" w:cs="Palatino Linotype"/>
          <w:b/>
          <w:bCs/>
          <w:i/>
          <w:color w:val="000000"/>
          <w:sz w:val="22"/>
          <w:szCs w:val="22"/>
        </w:rPr>
        <w:t>Artículo 4.-</w:t>
      </w:r>
      <w:r w:rsidRPr="004979F8">
        <w:rPr>
          <w:rFonts w:ascii="Palatino Linotype" w:eastAsia="Palatino Linotype" w:hAnsi="Palatino Linotype" w:cs="Palatino Linotype"/>
          <w:i/>
          <w:color w:val="000000"/>
          <w:sz w:val="22"/>
          <w:szCs w:val="22"/>
        </w:rPr>
        <w:t xml:space="preserve"> El Consejo Nacional de Armonización Contable, en los términos de la Ley General de Contabilidad Gubernamental, emitirá las normas contables necesarias para asegurar su congruencia con la presente Ley, incluyendo los criterios a seguir para la elaboración y presentación homogénea de la información financiera referida en la misma.</w:t>
      </w:r>
      <w:r w:rsidRPr="004979F8">
        <w:rPr>
          <w:rFonts w:ascii="Palatino Linotype" w:eastAsia="Palatino Linotype" w:hAnsi="Palatino Linotype" w:cs="Palatino Linotype"/>
          <w:i/>
          <w:sz w:val="22"/>
          <w:szCs w:val="22"/>
        </w:rPr>
        <w:t>”</w:t>
      </w:r>
    </w:p>
    <w:p w14:paraId="2DD7BA7A" w14:textId="77777777" w:rsidR="004979F8" w:rsidRPr="004979F8" w:rsidRDefault="004979F8" w:rsidP="004979F8">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p>
    <w:p w14:paraId="18C60CBF" w14:textId="3ADC48DA" w:rsidR="004979F8" w:rsidRDefault="004979F8" w:rsidP="004979F8">
      <w:pPr>
        <w:spacing w:line="360" w:lineRule="auto"/>
        <w:ind w:right="49"/>
        <w:jc w:val="both"/>
        <w:rPr>
          <w:rFonts w:ascii="Palatino Linotype" w:eastAsia="Palatino Linotype" w:hAnsi="Palatino Linotype" w:cs="Palatino Linotype"/>
        </w:rPr>
      </w:pPr>
      <w:r w:rsidRPr="004979F8">
        <w:rPr>
          <w:rFonts w:ascii="Palatino Linotype" w:eastAsia="Palatino Linotype" w:hAnsi="Palatino Linotype" w:cs="Palatino Linotype"/>
        </w:rPr>
        <w:t xml:space="preserve">Al respecto, el artículo 4°, fracciones XII y XVIII de la Ley General de Contabilidad Gubernamental, establece que es obligación de los Ayuntamientos presentar mediante reportes, informes, estados y notas la información financiera referente a la información presupuestaria y contable expresada en unidades monetarias, sobre las transacciones que realiza y los eventos económicos identificables y cuantificables que lo afectan, expresando su situación financiera, los resultados de su operación y los cambios en su patrimonio. </w:t>
      </w:r>
    </w:p>
    <w:p w14:paraId="4A35FDAD" w14:textId="77777777" w:rsidR="004979F8" w:rsidRPr="004979F8" w:rsidRDefault="004979F8" w:rsidP="004979F8">
      <w:pPr>
        <w:spacing w:line="360" w:lineRule="auto"/>
        <w:ind w:right="49"/>
        <w:jc w:val="both"/>
        <w:rPr>
          <w:rFonts w:ascii="Palatino Linotype" w:eastAsia="Palatino Linotype" w:hAnsi="Palatino Linotype" w:cs="Palatino Linotype"/>
        </w:rPr>
      </w:pPr>
    </w:p>
    <w:p w14:paraId="00E3C87E" w14:textId="77777777"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t>Es necesario traer a colación el artículo 4 fracción XVIII, de la Ley General de Contabilidad Gubernamental, que indica:</w:t>
      </w:r>
    </w:p>
    <w:p w14:paraId="3D8F39BA" w14:textId="77777777" w:rsidR="004979F8" w:rsidRPr="004979F8" w:rsidRDefault="004979F8" w:rsidP="004979F8">
      <w:pPr>
        <w:spacing w:line="360" w:lineRule="auto"/>
        <w:jc w:val="both"/>
        <w:rPr>
          <w:rFonts w:ascii="Palatino Linotype" w:eastAsia="Palatino Linotype" w:hAnsi="Palatino Linotype" w:cs="Palatino Linotype"/>
        </w:rPr>
      </w:pPr>
    </w:p>
    <w:p w14:paraId="3AA67801" w14:textId="77777777" w:rsidR="004979F8" w:rsidRPr="004979F8" w:rsidRDefault="004979F8" w:rsidP="004979F8">
      <w:pPr>
        <w:ind w:left="851" w:right="899"/>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r w:rsidRPr="004979F8">
        <w:rPr>
          <w:rFonts w:ascii="Palatino Linotype" w:eastAsia="Palatino Linotype" w:hAnsi="Palatino Linotype" w:cs="Palatino Linotype"/>
          <w:b/>
          <w:bCs/>
          <w:i/>
          <w:sz w:val="22"/>
          <w:szCs w:val="22"/>
        </w:rPr>
        <w:t>Artículo 4.-</w:t>
      </w:r>
      <w:r w:rsidRPr="004979F8">
        <w:rPr>
          <w:rFonts w:ascii="Palatino Linotype" w:eastAsia="Palatino Linotype" w:hAnsi="Palatino Linotype" w:cs="Palatino Linotype"/>
          <w:i/>
          <w:sz w:val="22"/>
          <w:szCs w:val="22"/>
        </w:rPr>
        <w:t xml:space="preserve"> Para efectos de esta Ley se entenderá por:</w:t>
      </w:r>
    </w:p>
    <w:p w14:paraId="1F567EBB" w14:textId="77777777" w:rsidR="004979F8" w:rsidRPr="004979F8" w:rsidRDefault="004979F8" w:rsidP="004979F8">
      <w:pPr>
        <w:ind w:left="851" w:right="899"/>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p>
    <w:p w14:paraId="54488088" w14:textId="77777777" w:rsidR="004979F8" w:rsidRPr="004979F8" w:rsidRDefault="004979F8" w:rsidP="004979F8">
      <w:pPr>
        <w:ind w:left="851" w:right="899"/>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b/>
          <w:i/>
          <w:sz w:val="22"/>
          <w:szCs w:val="22"/>
        </w:rPr>
        <w:lastRenderedPageBreak/>
        <w:t>XVIII.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r w:rsidRPr="004979F8">
        <w:rPr>
          <w:rFonts w:ascii="Palatino Linotype" w:eastAsia="Palatino Linotype" w:hAnsi="Palatino Linotype" w:cs="Palatino Linotype"/>
          <w:i/>
          <w:sz w:val="22"/>
          <w:szCs w:val="22"/>
        </w:rPr>
        <w:t xml:space="preserve">…” </w:t>
      </w:r>
    </w:p>
    <w:p w14:paraId="7C77CEE0" w14:textId="77777777" w:rsidR="004979F8" w:rsidRPr="004979F8" w:rsidRDefault="004979F8" w:rsidP="004979F8">
      <w:pPr>
        <w:spacing w:line="360" w:lineRule="auto"/>
        <w:jc w:val="both"/>
        <w:rPr>
          <w:rFonts w:ascii="Palatino Linotype" w:eastAsia="Palatino Linotype" w:hAnsi="Palatino Linotype" w:cs="Palatino Linotype"/>
        </w:rPr>
      </w:pPr>
    </w:p>
    <w:p w14:paraId="1B484FAE" w14:textId="1EE74C6E"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t xml:space="preserve">Luego entonces, podemos decir que la información financiera es el reporte anual que debe realizar el </w:t>
      </w:r>
      <w:r w:rsidRPr="004979F8">
        <w:rPr>
          <w:rFonts w:ascii="Palatino Linotype" w:eastAsia="Palatino Linotype" w:hAnsi="Palatino Linotype" w:cs="Palatino Linotype"/>
          <w:b/>
        </w:rPr>
        <w:t>Sujeto Obligado</w:t>
      </w:r>
      <w:r w:rsidRPr="004979F8">
        <w:rPr>
          <w:rFonts w:ascii="Palatino Linotype" w:eastAsia="Palatino Linotype" w:hAnsi="Palatino Linotype" w:cs="Palatino Linotype"/>
        </w:rPr>
        <w:t>, de todas sus operaciones, transacciones, ingresos, egresos, etcétera, al Órgano de Superior de Fiscalización del Estado de México, para su verificación, lo anterior en términos de lo señalado por el artículo 8 fracción XIV de la Ley de Fiscalización del Estado de México, que indica lo siguiente:</w:t>
      </w:r>
    </w:p>
    <w:p w14:paraId="402573B1" w14:textId="77777777" w:rsidR="004979F8" w:rsidRPr="004979F8" w:rsidRDefault="004979F8" w:rsidP="004979F8">
      <w:pPr>
        <w:spacing w:line="360" w:lineRule="auto"/>
        <w:jc w:val="both"/>
        <w:rPr>
          <w:rFonts w:ascii="Palatino Linotype" w:eastAsia="Palatino Linotype" w:hAnsi="Palatino Linotype" w:cs="Palatino Linotype"/>
        </w:rPr>
      </w:pPr>
    </w:p>
    <w:p w14:paraId="77D430F4" w14:textId="77777777" w:rsidR="004979F8" w:rsidRPr="004979F8" w:rsidRDefault="004979F8" w:rsidP="004979F8">
      <w:pPr>
        <w:ind w:left="851" w:right="899"/>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r w:rsidRPr="004979F8">
        <w:rPr>
          <w:rFonts w:ascii="Palatino Linotype" w:eastAsia="Palatino Linotype" w:hAnsi="Palatino Linotype" w:cs="Palatino Linotype"/>
          <w:b/>
          <w:bCs/>
          <w:i/>
          <w:sz w:val="22"/>
          <w:szCs w:val="22"/>
        </w:rPr>
        <w:t>Artículo 8.-</w:t>
      </w:r>
      <w:r w:rsidRPr="004979F8">
        <w:rPr>
          <w:rFonts w:ascii="Palatino Linotype" w:eastAsia="Palatino Linotype" w:hAnsi="Palatino Linotype" w:cs="Palatino Linotype"/>
          <w:i/>
          <w:sz w:val="22"/>
          <w:szCs w:val="22"/>
        </w:rPr>
        <w:t xml:space="preserve"> El Órgano Superior tendrá las siguientes atribuciones:</w:t>
      </w:r>
    </w:p>
    <w:p w14:paraId="2266F0CF" w14:textId="77777777" w:rsidR="004979F8" w:rsidRPr="004979F8" w:rsidRDefault="004979F8" w:rsidP="004979F8">
      <w:pPr>
        <w:ind w:left="851" w:right="899"/>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p>
    <w:p w14:paraId="62310BE4" w14:textId="77777777" w:rsidR="004979F8" w:rsidRPr="004979F8" w:rsidRDefault="004979F8" w:rsidP="004979F8">
      <w:pPr>
        <w:ind w:left="851" w:right="899"/>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b/>
          <w:bCs/>
          <w:i/>
          <w:sz w:val="22"/>
          <w:szCs w:val="22"/>
        </w:rPr>
        <w:t>XIV.</w:t>
      </w:r>
      <w:r w:rsidRPr="004979F8">
        <w:rPr>
          <w:rFonts w:ascii="Palatino Linotype" w:eastAsia="Palatino Linotype" w:hAnsi="Palatino Linotype" w:cs="Palatino Linotype"/>
          <w:i/>
          <w:sz w:val="22"/>
          <w:szCs w:val="22"/>
        </w:rPr>
        <w:t xml:space="preserve"> Verificar que las cuentas públicas, los informes trimestrales y la información económica, financiera y, en su caso, la deuda pública, se hayan presentado de conformidad con lo dispuesto en la Ley General de Contabilidad Gubernamental, la Ley de Disciplina Financiera de las Entidades Federativas y los Municipios, y demás disposiciones aplicables…”(Sic)</w:t>
      </w:r>
    </w:p>
    <w:p w14:paraId="0EA209BD" w14:textId="77777777" w:rsidR="004979F8" w:rsidRPr="004979F8" w:rsidRDefault="004979F8" w:rsidP="004979F8">
      <w:pPr>
        <w:spacing w:line="360" w:lineRule="auto"/>
        <w:ind w:right="49"/>
        <w:jc w:val="both"/>
        <w:rPr>
          <w:rFonts w:ascii="Palatino Linotype" w:eastAsia="Palatino Linotype" w:hAnsi="Palatino Linotype" w:cs="Palatino Linotype"/>
          <w:color w:val="000000"/>
        </w:rPr>
      </w:pPr>
    </w:p>
    <w:p w14:paraId="795C5E50" w14:textId="63E1C609" w:rsidR="004979F8" w:rsidRPr="004979F8" w:rsidRDefault="004979F8" w:rsidP="004979F8">
      <w:pPr>
        <w:spacing w:line="360" w:lineRule="auto"/>
        <w:ind w:right="49"/>
        <w:jc w:val="both"/>
        <w:rPr>
          <w:rFonts w:ascii="Palatino Linotype" w:eastAsia="Palatino Linotype" w:hAnsi="Palatino Linotype" w:cs="Palatino Linotype"/>
          <w:color w:val="000000"/>
        </w:rPr>
      </w:pPr>
      <w:r w:rsidRPr="004979F8">
        <w:rPr>
          <w:rFonts w:ascii="Palatino Linotype" w:eastAsia="Palatino Linotype" w:hAnsi="Palatino Linotype" w:cs="Palatino Linotype"/>
          <w:color w:val="000000"/>
        </w:rPr>
        <w:t xml:space="preserve">Asimismo, el ordenamiento legal referido con antelación señala en su artículo 8, fracción XI, que el Órgano Superior de Fiscalización del Estado de México, tiene como una de sus atribuciones el de emitir los Lineamientos </w:t>
      </w:r>
      <w:r w:rsidRPr="004979F8">
        <w:rPr>
          <w:rFonts w:ascii="Palatino Linotype" w:eastAsia="Palatino Linotype" w:hAnsi="Palatino Linotype" w:cs="Palatino Linotype"/>
        </w:rPr>
        <w:t>Integración del Informe Trimestral de los Sujetos de Fiscalización Municipales para el Ejercicio Fiscal 2024</w:t>
      </w:r>
      <w:r w:rsidRPr="004979F8">
        <w:rPr>
          <w:rFonts w:ascii="Palatino Linotype" w:eastAsia="Palatino Linotype" w:hAnsi="Palatino Linotype" w:cs="Palatino Linotype"/>
          <w:color w:val="000000"/>
        </w:rPr>
        <w:t>, como así se advierte a continuación:</w:t>
      </w:r>
    </w:p>
    <w:p w14:paraId="679B2E47" w14:textId="77777777" w:rsidR="004979F8" w:rsidRPr="004979F8" w:rsidRDefault="004979F8" w:rsidP="004979F8">
      <w:pPr>
        <w:spacing w:line="360" w:lineRule="auto"/>
        <w:ind w:right="49"/>
        <w:jc w:val="both"/>
        <w:rPr>
          <w:rFonts w:ascii="Palatino Linotype" w:eastAsia="Palatino Linotype" w:hAnsi="Palatino Linotype" w:cs="Palatino Linotype"/>
          <w:color w:val="000000"/>
        </w:rPr>
      </w:pPr>
    </w:p>
    <w:p w14:paraId="474B4684" w14:textId="77777777" w:rsidR="004979F8" w:rsidRPr="004979F8" w:rsidRDefault="004979F8" w:rsidP="004979F8">
      <w:pPr>
        <w:ind w:left="851" w:right="851"/>
        <w:jc w:val="both"/>
        <w:rPr>
          <w:i/>
          <w:sz w:val="22"/>
          <w:szCs w:val="22"/>
        </w:rPr>
      </w:pPr>
      <w:r w:rsidRPr="004979F8">
        <w:rPr>
          <w:rFonts w:ascii="Palatino Linotype" w:eastAsia="Palatino Linotype" w:hAnsi="Palatino Linotype" w:cs="Palatino Linotype"/>
          <w:b/>
          <w:i/>
          <w:sz w:val="22"/>
          <w:szCs w:val="22"/>
        </w:rPr>
        <w:t xml:space="preserve">“Artículo 8. </w:t>
      </w:r>
      <w:r w:rsidRPr="004979F8">
        <w:rPr>
          <w:rFonts w:ascii="Palatino Linotype" w:eastAsia="Palatino Linotype" w:hAnsi="Palatino Linotype" w:cs="Palatino Linotype"/>
          <w:i/>
          <w:sz w:val="22"/>
          <w:szCs w:val="22"/>
        </w:rPr>
        <w:t>El Órgano Superior tendrá las siguientes atribuciones:</w:t>
      </w:r>
    </w:p>
    <w:p w14:paraId="2DDCFEEF" w14:textId="77777777" w:rsidR="004979F8" w:rsidRPr="004979F8" w:rsidRDefault="004979F8" w:rsidP="004979F8">
      <w:pPr>
        <w:ind w:left="851"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p>
    <w:p w14:paraId="122CED85" w14:textId="77777777" w:rsidR="004979F8" w:rsidRPr="004979F8" w:rsidRDefault="004979F8" w:rsidP="004979F8">
      <w:pPr>
        <w:ind w:left="851" w:right="851"/>
        <w:jc w:val="both"/>
        <w:rPr>
          <w:rFonts w:ascii="Palatino Linotype" w:eastAsia="Palatino Linotype" w:hAnsi="Palatino Linotype" w:cs="Palatino Linotype"/>
          <w:b/>
          <w:i/>
          <w:sz w:val="22"/>
          <w:szCs w:val="22"/>
        </w:rPr>
      </w:pPr>
      <w:r w:rsidRPr="004979F8">
        <w:rPr>
          <w:rFonts w:ascii="Palatino Linotype" w:eastAsia="Palatino Linotype" w:hAnsi="Palatino Linotype" w:cs="Palatino Linotype"/>
          <w:b/>
          <w:i/>
          <w:sz w:val="22"/>
          <w:szCs w:val="22"/>
        </w:rPr>
        <w:t>XI. Establecer los lineamientos</w:t>
      </w:r>
      <w:r w:rsidRPr="004979F8">
        <w:rPr>
          <w:rFonts w:ascii="Palatino Linotype" w:eastAsia="Palatino Linotype" w:hAnsi="Palatino Linotype" w:cs="Palatino Linotype"/>
          <w:i/>
          <w:sz w:val="22"/>
          <w:szCs w:val="22"/>
        </w:rPr>
        <w:t xml:space="preserve">, criterios, procedimientos, métodos y sistemas </w:t>
      </w:r>
      <w:r w:rsidRPr="004979F8">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sidRPr="004979F8">
        <w:rPr>
          <w:rFonts w:ascii="Palatino Linotype" w:eastAsia="Palatino Linotype" w:hAnsi="Palatino Linotype" w:cs="Palatino Linotype"/>
          <w:i/>
          <w:sz w:val="22"/>
          <w:szCs w:val="22"/>
        </w:rPr>
        <w:t>…</w:t>
      </w:r>
      <w:r w:rsidRPr="004979F8">
        <w:rPr>
          <w:rFonts w:ascii="Palatino Linotype" w:eastAsia="Palatino Linotype" w:hAnsi="Palatino Linotype" w:cs="Palatino Linotype"/>
          <w:color w:val="000000"/>
          <w:sz w:val="22"/>
          <w:szCs w:val="22"/>
        </w:rPr>
        <w:t xml:space="preserve">” </w:t>
      </w:r>
      <w:r w:rsidRPr="004979F8">
        <w:rPr>
          <w:rFonts w:ascii="Palatino Linotype" w:eastAsia="Palatino Linotype" w:hAnsi="Palatino Linotype" w:cs="Palatino Linotype"/>
          <w:sz w:val="22"/>
          <w:szCs w:val="22"/>
        </w:rPr>
        <w:t>(</w:t>
      </w:r>
      <w:r w:rsidRPr="004979F8">
        <w:rPr>
          <w:rFonts w:ascii="Palatino Linotype" w:eastAsia="Palatino Linotype" w:hAnsi="Palatino Linotype" w:cs="Palatino Linotype"/>
          <w:i/>
          <w:sz w:val="22"/>
          <w:szCs w:val="22"/>
        </w:rPr>
        <w:t>Sic)</w:t>
      </w:r>
    </w:p>
    <w:p w14:paraId="1213A4F2" w14:textId="77777777"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lastRenderedPageBreak/>
        <w:t>Dentro de los cuales ubicamos en su módulo uno, los Estados Financieros, como se advierte en las siguientes imágenes sustraídas de dichos lineamientos:</w:t>
      </w:r>
    </w:p>
    <w:p w14:paraId="2C658A46" w14:textId="7F5AE9D0" w:rsidR="004979F8" w:rsidRPr="004979F8" w:rsidRDefault="004979F8" w:rsidP="004979F8">
      <w:pPr>
        <w:spacing w:line="360" w:lineRule="auto"/>
        <w:jc w:val="both"/>
        <w:rPr>
          <w:rFonts w:ascii="Palatino Linotype" w:eastAsia="Palatino Linotype" w:hAnsi="Palatino Linotype" w:cs="Palatino Linotype"/>
          <w:color w:val="FF0000"/>
        </w:rPr>
      </w:pPr>
    </w:p>
    <w:p w14:paraId="4E767AFE" w14:textId="77777777" w:rsidR="004979F8" w:rsidRPr="004979F8" w:rsidRDefault="004979F8" w:rsidP="004979F8">
      <w:pPr>
        <w:spacing w:line="360" w:lineRule="auto"/>
        <w:jc w:val="both"/>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393F16F6" wp14:editId="4460BFD9">
            <wp:extent cx="5612130" cy="608330"/>
            <wp:effectExtent l="0" t="0" r="0" b="0"/>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612130" cy="608330"/>
                    </a:xfrm>
                    <a:prstGeom prst="rect">
                      <a:avLst/>
                    </a:prstGeom>
                    <a:ln/>
                  </pic:spPr>
                </pic:pic>
              </a:graphicData>
            </a:graphic>
          </wp:inline>
        </w:drawing>
      </w:r>
    </w:p>
    <w:p w14:paraId="32593AC4" w14:textId="77777777" w:rsidR="004979F8" w:rsidRPr="004979F8" w:rsidRDefault="004979F8" w:rsidP="004979F8">
      <w:pPr>
        <w:spacing w:line="360" w:lineRule="auto"/>
        <w:jc w:val="both"/>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4EACB190" wp14:editId="5224B0F6">
            <wp:extent cx="5612130" cy="593090"/>
            <wp:effectExtent l="0" t="0" r="0" b="0"/>
            <wp:docPr id="6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5612130" cy="593090"/>
                    </a:xfrm>
                    <a:prstGeom prst="rect">
                      <a:avLst/>
                    </a:prstGeom>
                    <a:ln/>
                  </pic:spPr>
                </pic:pic>
              </a:graphicData>
            </a:graphic>
          </wp:inline>
        </w:drawing>
      </w:r>
    </w:p>
    <w:p w14:paraId="24303889" w14:textId="77777777" w:rsidR="004979F8" w:rsidRPr="004979F8" w:rsidRDefault="004979F8" w:rsidP="004979F8">
      <w:pPr>
        <w:spacing w:line="360" w:lineRule="auto"/>
        <w:jc w:val="both"/>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64A5AA6D" wp14:editId="4288085D">
            <wp:extent cx="5612130" cy="610870"/>
            <wp:effectExtent l="0" t="0" r="0" b="0"/>
            <wp:docPr id="6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rcRect/>
                    <a:stretch>
                      <a:fillRect/>
                    </a:stretch>
                  </pic:blipFill>
                  <pic:spPr>
                    <a:xfrm>
                      <a:off x="0" y="0"/>
                      <a:ext cx="5612130" cy="610870"/>
                    </a:xfrm>
                    <a:prstGeom prst="rect">
                      <a:avLst/>
                    </a:prstGeom>
                    <a:ln/>
                  </pic:spPr>
                </pic:pic>
              </a:graphicData>
            </a:graphic>
          </wp:inline>
        </w:drawing>
      </w:r>
    </w:p>
    <w:p w14:paraId="68F5B69C" w14:textId="77777777" w:rsidR="004979F8" w:rsidRPr="004979F8" w:rsidRDefault="004979F8" w:rsidP="004979F8">
      <w:pPr>
        <w:spacing w:line="360" w:lineRule="auto"/>
        <w:jc w:val="both"/>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77B5BFC8" wp14:editId="128B605B">
            <wp:extent cx="5612130" cy="534670"/>
            <wp:effectExtent l="0" t="0" r="0" b="0"/>
            <wp:docPr id="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5612130" cy="534670"/>
                    </a:xfrm>
                    <a:prstGeom prst="rect">
                      <a:avLst/>
                    </a:prstGeom>
                    <a:ln/>
                  </pic:spPr>
                </pic:pic>
              </a:graphicData>
            </a:graphic>
          </wp:inline>
        </w:drawing>
      </w:r>
    </w:p>
    <w:p w14:paraId="356B6C85" w14:textId="77777777" w:rsidR="004979F8" w:rsidRPr="004979F8" w:rsidRDefault="004979F8" w:rsidP="004979F8">
      <w:pPr>
        <w:spacing w:line="360" w:lineRule="auto"/>
        <w:jc w:val="center"/>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07FC50EA" wp14:editId="75B8C9EA">
            <wp:extent cx="3834130" cy="866775"/>
            <wp:effectExtent l="0" t="0" r="0" b="0"/>
            <wp:docPr id="6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834130" cy="866775"/>
                    </a:xfrm>
                    <a:prstGeom prst="rect">
                      <a:avLst/>
                    </a:prstGeom>
                    <a:ln/>
                  </pic:spPr>
                </pic:pic>
              </a:graphicData>
            </a:graphic>
          </wp:inline>
        </w:drawing>
      </w:r>
    </w:p>
    <w:p w14:paraId="752EE8BB" w14:textId="77777777" w:rsidR="004979F8" w:rsidRPr="004979F8" w:rsidRDefault="004979F8" w:rsidP="004979F8">
      <w:pPr>
        <w:spacing w:line="360" w:lineRule="auto"/>
        <w:jc w:val="center"/>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4D271CF4" wp14:editId="708E9BB9">
            <wp:extent cx="5612130" cy="788670"/>
            <wp:effectExtent l="0" t="0" r="0" b="0"/>
            <wp:docPr id="6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5612130" cy="788670"/>
                    </a:xfrm>
                    <a:prstGeom prst="rect">
                      <a:avLst/>
                    </a:prstGeom>
                    <a:ln/>
                  </pic:spPr>
                </pic:pic>
              </a:graphicData>
            </a:graphic>
          </wp:inline>
        </w:drawing>
      </w:r>
    </w:p>
    <w:p w14:paraId="23A3338A" w14:textId="77777777" w:rsidR="004979F8" w:rsidRPr="004979F8" w:rsidRDefault="004979F8" w:rsidP="004979F8">
      <w:pPr>
        <w:spacing w:line="360" w:lineRule="auto"/>
        <w:jc w:val="center"/>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29F8F54E" wp14:editId="0016340B">
            <wp:extent cx="5612130" cy="1390650"/>
            <wp:effectExtent l="76200" t="76200" r="140970" b="133350"/>
            <wp:docPr id="6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5612130" cy="13906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46FCF44C" w14:textId="77777777" w:rsidR="004979F8" w:rsidRPr="004979F8" w:rsidRDefault="004979F8" w:rsidP="004979F8">
      <w:pPr>
        <w:spacing w:line="360" w:lineRule="auto"/>
        <w:jc w:val="center"/>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lastRenderedPageBreak/>
        <w:drawing>
          <wp:inline distT="0" distB="0" distL="0" distR="0" wp14:anchorId="20C53233" wp14:editId="15D0A352">
            <wp:extent cx="5612130" cy="1174750"/>
            <wp:effectExtent l="76200" t="76200" r="140970" b="139700"/>
            <wp:docPr id="7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5612130" cy="11747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134E62B" w14:textId="77777777" w:rsidR="004979F8" w:rsidRPr="004979F8" w:rsidRDefault="004979F8" w:rsidP="004979F8">
      <w:pPr>
        <w:spacing w:line="360" w:lineRule="auto"/>
        <w:jc w:val="center"/>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166FE454" wp14:editId="5D973511">
            <wp:extent cx="5612130" cy="1162050"/>
            <wp:effectExtent l="0" t="0" r="0" b="0"/>
            <wp:docPr id="7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5612130" cy="1162050"/>
                    </a:xfrm>
                    <a:prstGeom prst="rect">
                      <a:avLst/>
                    </a:prstGeom>
                    <a:ln/>
                  </pic:spPr>
                </pic:pic>
              </a:graphicData>
            </a:graphic>
          </wp:inline>
        </w:drawing>
      </w:r>
    </w:p>
    <w:p w14:paraId="156EE24E" w14:textId="77777777" w:rsidR="004979F8" w:rsidRPr="004979F8" w:rsidRDefault="004979F8" w:rsidP="004979F8">
      <w:pPr>
        <w:spacing w:line="360" w:lineRule="auto"/>
        <w:jc w:val="center"/>
        <w:rPr>
          <w:rFonts w:ascii="Palatino Linotype" w:eastAsia="Palatino Linotype" w:hAnsi="Palatino Linotype" w:cs="Palatino Linotype"/>
          <w:color w:val="FF0000"/>
        </w:rPr>
      </w:pPr>
      <w:r w:rsidRPr="004979F8">
        <w:rPr>
          <w:rFonts w:ascii="Palatino Linotype" w:eastAsia="Palatino Linotype" w:hAnsi="Palatino Linotype" w:cs="Palatino Linotype"/>
          <w:noProof/>
          <w:color w:val="FF0000"/>
          <w:lang w:val="es-MX" w:eastAsia="es-MX"/>
        </w:rPr>
        <w:drawing>
          <wp:inline distT="0" distB="0" distL="0" distR="0" wp14:anchorId="0CDBC31E" wp14:editId="65D905A0">
            <wp:extent cx="5612130" cy="1047750"/>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612130" cy="1047750"/>
                    </a:xfrm>
                    <a:prstGeom prst="rect">
                      <a:avLst/>
                    </a:prstGeom>
                    <a:ln/>
                  </pic:spPr>
                </pic:pic>
              </a:graphicData>
            </a:graphic>
          </wp:inline>
        </w:drawing>
      </w:r>
    </w:p>
    <w:p w14:paraId="59EC865A" w14:textId="77777777" w:rsidR="004979F8" w:rsidRPr="004979F8" w:rsidRDefault="004979F8" w:rsidP="004979F8">
      <w:pPr>
        <w:spacing w:line="360" w:lineRule="auto"/>
        <w:jc w:val="center"/>
        <w:rPr>
          <w:rFonts w:ascii="Palatino Linotype" w:eastAsia="Palatino Linotype" w:hAnsi="Palatino Linotype" w:cs="Palatino Linotype"/>
          <w:color w:val="FF0000"/>
        </w:rPr>
      </w:pPr>
    </w:p>
    <w:p w14:paraId="61EB177D" w14:textId="77777777"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t xml:space="preserve">Además, de acuerdo a los formatos establecidos por el Consejo Nacional de Armonización Contable (CONAC), para los Estado Financieros, el cual puede ser consultado en la siguiente página electrónica: </w:t>
      </w:r>
      <w:hyperlink r:id="rId18">
        <w:r w:rsidRPr="004979F8">
          <w:rPr>
            <w:rFonts w:ascii="Palatino Linotype" w:eastAsia="Palatino Linotype" w:hAnsi="Palatino Linotype" w:cs="Palatino Linotype"/>
            <w:color w:val="0000FF"/>
            <w:u w:val="single"/>
          </w:rPr>
          <w:t>https://www.conac.gob.mx/es/CONAC/Normatividad_Vigente</w:t>
        </w:r>
      </w:hyperlink>
      <w:r w:rsidRPr="004979F8">
        <w:rPr>
          <w:rFonts w:ascii="Palatino Linotype" w:eastAsia="Palatino Linotype" w:hAnsi="Palatino Linotype" w:cs="Palatino Linotype"/>
        </w:rPr>
        <w:t>, para mayor referencia, se observa que contemplan los siguientes:</w:t>
      </w:r>
    </w:p>
    <w:p w14:paraId="12F10CBA" w14:textId="77777777"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noProof/>
          <w:lang w:val="es-MX" w:eastAsia="es-MX"/>
        </w:rPr>
        <w:lastRenderedPageBreak/>
        <w:drawing>
          <wp:inline distT="0" distB="0" distL="0" distR="0" wp14:anchorId="51B9C003" wp14:editId="1FDA914B">
            <wp:extent cx="5611836" cy="6154309"/>
            <wp:effectExtent l="0" t="0" r="8255" b="0"/>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630384" cy="6174650"/>
                    </a:xfrm>
                    <a:prstGeom prst="rect">
                      <a:avLst/>
                    </a:prstGeom>
                    <a:ln/>
                  </pic:spPr>
                </pic:pic>
              </a:graphicData>
            </a:graphic>
          </wp:inline>
        </w:drawing>
      </w:r>
    </w:p>
    <w:p w14:paraId="4481E7C7" w14:textId="77777777"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noProof/>
          <w:lang w:val="es-MX" w:eastAsia="es-MX"/>
        </w:rPr>
        <w:lastRenderedPageBreak/>
        <w:drawing>
          <wp:inline distT="0" distB="0" distL="0" distR="0" wp14:anchorId="77F5C055" wp14:editId="1867C1F7">
            <wp:extent cx="5555590" cy="5828306"/>
            <wp:effectExtent l="0" t="0" r="7620" b="127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574305" cy="5847940"/>
                    </a:xfrm>
                    <a:prstGeom prst="rect">
                      <a:avLst/>
                    </a:prstGeom>
                    <a:ln/>
                  </pic:spPr>
                </pic:pic>
              </a:graphicData>
            </a:graphic>
          </wp:inline>
        </w:drawing>
      </w:r>
    </w:p>
    <w:p w14:paraId="46A59D93" w14:textId="77777777" w:rsidR="004979F8" w:rsidRPr="004979F8" w:rsidRDefault="004979F8" w:rsidP="004979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t xml:space="preserve">Luego entonces en su conjunto, dentro de los Estados Financieros, se contemplan los formatos de Estado de Actividades, Estado de Flujos de Efectivo, Estado Analítico del Ejercicio del Presupuesto de Egresos, Estado Analítico de Ingresos, Estado de Cambios en la Situación Financiera, Balanzas de Comprobación Acumulada y Detallada. </w:t>
      </w:r>
    </w:p>
    <w:p w14:paraId="5A9AF9E6" w14:textId="77777777" w:rsidR="004979F8" w:rsidRPr="004979F8" w:rsidRDefault="004979F8" w:rsidP="004979F8">
      <w:pPr>
        <w:spacing w:line="360" w:lineRule="auto"/>
        <w:jc w:val="both"/>
        <w:rPr>
          <w:rFonts w:ascii="Palatino Linotype" w:eastAsia="Palatino Linotype" w:hAnsi="Palatino Linotype" w:cs="Palatino Linotype"/>
        </w:rPr>
      </w:pPr>
    </w:p>
    <w:p w14:paraId="12EEFB10" w14:textId="77777777" w:rsidR="006233F8" w:rsidRDefault="004979F8" w:rsidP="006233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lastRenderedPageBreak/>
        <w:t xml:space="preserve">Ahora bien, si bien es cierto que el particular requirió los Estados Financieros debidamente autorizados en el que deberán integrarse el estado de posición financiera, balanza de comprobación, estado de actividades, flujo de efectivo, estado de ingresos y egresos, estado comparativo de egresos, estado comparativo de ingresos, avance presupuestal de egresos, disponibilidad de flujo de efectivo, estado de cambios en el capital, balanza de comprobación detallada; sin embargo, conforme a lo señalado anteriormente, los Estados Financieros contemplan diversos formatos que en su conjunto dan cuenta de la información financiera del Ayuntamiento de </w:t>
      </w:r>
      <w:r w:rsidR="006233F8">
        <w:rPr>
          <w:rFonts w:ascii="Palatino Linotype" w:eastAsia="Palatino Linotype" w:hAnsi="Palatino Linotype" w:cs="Palatino Linotype"/>
        </w:rPr>
        <w:t>Toluca</w:t>
      </w:r>
      <w:r w:rsidRPr="004979F8">
        <w:rPr>
          <w:rFonts w:ascii="Palatino Linotype" w:eastAsia="Palatino Linotype" w:hAnsi="Palatino Linotype" w:cs="Palatino Linotype"/>
        </w:rPr>
        <w:t xml:space="preserve"> respecto del ejercicio fiscal correspondiente.</w:t>
      </w:r>
    </w:p>
    <w:p w14:paraId="4346E1FF" w14:textId="77777777" w:rsidR="006233F8" w:rsidRDefault="006233F8" w:rsidP="006233F8">
      <w:pPr>
        <w:spacing w:line="360" w:lineRule="auto"/>
        <w:jc w:val="both"/>
        <w:rPr>
          <w:rFonts w:ascii="Palatino Linotype" w:eastAsia="Palatino Linotype" w:hAnsi="Palatino Linotype" w:cs="Palatino Linotype"/>
        </w:rPr>
      </w:pPr>
    </w:p>
    <w:p w14:paraId="38073A3E" w14:textId="75226342" w:rsidR="004979F8" w:rsidRPr="004979F8" w:rsidRDefault="004979F8" w:rsidP="006233F8">
      <w:pPr>
        <w:spacing w:line="360" w:lineRule="auto"/>
        <w:jc w:val="both"/>
        <w:rPr>
          <w:rFonts w:ascii="Palatino Linotype" w:eastAsia="Palatino Linotype" w:hAnsi="Palatino Linotype" w:cs="Palatino Linotype"/>
        </w:rPr>
      </w:pPr>
      <w:r w:rsidRPr="004979F8">
        <w:rPr>
          <w:rFonts w:ascii="Palatino Linotype" w:eastAsia="Palatino Linotype" w:hAnsi="Palatino Linotype" w:cs="Palatino Linotype"/>
        </w:rPr>
        <w:t xml:space="preserve">Precisado a lo anterior, regresando a la respuesta del </w:t>
      </w:r>
      <w:r w:rsidRPr="004979F8">
        <w:rPr>
          <w:rFonts w:ascii="Palatino Linotype" w:eastAsia="Palatino Linotype" w:hAnsi="Palatino Linotype" w:cs="Palatino Linotype"/>
          <w:b/>
        </w:rPr>
        <w:t xml:space="preserve">Sujeto Obligado, </w:t>
      </w:r>
      <w:r w:rsidRPr="004979F8">
        <w:rPr>
          <w:rFonts w:ascii="Palatino Linotype" w:eastAsia="Palatino Linotype" w:hAnsi="Palatino Linotype" w:cs="Palatino Linotype"/>
          <w:color w:val="000000"/>
        </w:rPr>
        <w:t xml:space="preserve">si bien esta fue proporcionada por el Tesorero Municipal que en términos de lo señalado por el </w:t>
      </w:r>
      <w:r w:rsidRPr="004979F8">
        <w:rPr>
          <w:rFonts w:ascii="Palatino Linotype" w:eastAsia="Palatino Linotype" w:hAnsi="Palatino Linotype" w:cs="Palatino Linotype"/>
        </w:rPr>
        <w:t>artículo 95 fracciones IV, VI y XI de la Ley Orgánica Municipal del Estado de México, que señala:</w:t>
      </w:r>
    </w:p>
    <w:p w14:paraId="085232B2"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b/>
          <w:bCs/>
          <w:i/>
          <w:sz w:val="22"/>
          <w:szCs w:val="22"/>
        </w:rPr>
        <w:t>Artículo 95.-</w:t>
      </w:r>
      <w:r w:rsidRPr="004979F8">
        <w:rPr>
          <w:rFonts w:ascii="Palatino Linotype" w:eastAsia="Palatino Linotype" w:hAnsi="Palatino Linotype" w:cs="Palatino Linotype"/>
          <w:i/>
          <w:sz w:val="22"/>
          <w:szCs w:val="22"/>
        </w:rPr>
        <w:t xml:space="preserve"> Son atribuciones del tesorero municipal:</w:t>
      </w:r>
    </w:p>
    <w:p w14:paraId="546F85CB"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p>
    <w:p w14:paraId="556CA040"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IV. Llevar los registros contables, financieros y administrativos de los ingresos, egresos, e inventarios.</w:t>
      </w:r>
    </w:p>
    <w:p w14:paraId="434C997B"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p>
    <w:p w14:paraId="6CA8E28A"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VI. Presentar anualmente al ayuntamiento un informe de la situación contable financiera de la Tesorería Municipal</w:t>
      </w:r>
    </w:p>
    <w:p w14:paraId="2607C6B0"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w:t>
      </w:r>
    </w:p>
    <w:p w14:paraId="135E1FD6" w14:textId="77777777" w:rsidR="004979F8" w:rsidRPr="004979F8" w:rsidRDefault="004979F8" w:rsidP="004979F8">
      <w:pPr>
        <w:ind w:left="596" w:right="851"/>
        <w:jc w:val="both"/>
        <w:rPr>
          <w:rFonts w:ascii="Palatino Linotype" w:eastAsia="Palatino Linotype" w:hAnsi="Palatino Linotype" w:cs="Palatino Linotype"/>
          <w:i/>
          <w:sz w:val="22"/>
          <w:szCs w:val="22"/>
        </w:rPr>
      </w:pPr>
      <w:r w:rsidRPr="004979F8">
        <w:rPr>
          <w:rFonts w:ascii="Palatino Linotype" w:eastAsia="Palatino Linotype" w:hAnsi="Palatino Linotype" w:cs="Palatino Linotype"/>
          <w:i/>
          <w:sz w:val="22"/>
          <w:szCs w:val="22"/>
        </w:rPr>
        <w:t>XI. Proponer la política de ingresos de la tesorería municipal…” (Sic)</w:t>
      </w:r>
    </w:p>
    <w:p w14:paraId="462877E9" w14:textId="77777777" w:rsidR="004979F8" w:rsidRPr="004D61E4" w:rsidRDefault="004979F8" w:rsidP="004979F8">
      <w:pPr>
        <w:spacing w:line="360" w:lineRule="auto"/>
        <w:jc w:val="both"/>
        <w:rPr>
          <w:rFonts w:ascii="Palatino Linotype" w:hAnsi="Palatino Linotype" w:cs="Arial"/>
          <w:lang w:eastAsia="es-MX"/>
        </w:rPr>
      </w:pPr>
    </w:p>
    <w:p w14:paraId="37F6F67F" w14:textId="08FA319B" w:rsidR="004D61E4" w:rsidRDefault="006233F8" w:rsidP="006233F8">
      <w:pPr>
        <w:spacing w:line="360" w:lineRule="auto"/>
        <w:jc w:val="both"/>
        <w:rPr>
          <w:rFonts w:ascii="Palatino Linotype" w:hAnsi="Palatino Linotype" w:cs="Tahoma"/>
          <w:bCs/>
          <w:iCs/>
        </w:rPr>
      </w:pPr>
      <w:r>
        <w:rPr>
          <w:rFonts w:ascii="Palatino Linotype" w:hAnsi="Palatino Linotype" w:cs="Tahoma"/>
          <w:bCs/>
          <w:iCs/>
        </w:rPr>
        <w:t xml:space="preserve">Asimismo, dicha información se considera como Obligación de Transparencia común, de conformidad con el artículo 92, fracción </w:t>
      </w:r>
      <w:r w:rsidRPr="006233F8">
        <w:rPr>
          <w:rFonts w:ascii="Palatino Linotype" w:hAnsi="Palatino Linotype" w:cs="Tahoma"/>
          <w:bCs/>
          <w:iCs/>
        </w:rPr>
        <w:t>XXXV</w:t>
      </w:r>
      <w:r>
        <w:rPr>
          <w:rFonts w:ascii="Palatino Linotype" w:hAnsi="Palatino Linotype" w:cs="Tahoma"/>
          <w:bCs/>
          <w:iCs/>
        </w:rPr>
        <w:t xml:space="preserve">, de la </w:t>
      </w:r>
      <w:r w:rsidRPr="006233F8">
        <w:rPr>
          <w:rFonts w:ascii="Palatino Linotype" w:hAnsi="Palatino Linotype" w:cs="Tahoma"/>
          <w:bCs/>
          <w:iCs/>
        </w:rPr>
        <w:t xml:space="preserve">Ley </w:t>
      </w:r>
      <w:r>
        <w:rPr>
          <w:rFonts w:ascii="Palatino Linotype" w:hAnsi="Palatino Linotype" w:cs="Tahoma"/>
          <w:bCs/>
          <w:iCs/>
        </w:rPr>
        <w:t>d</w:t>
      </w:r>
      <w:r w:rsidRPr="006233F8">
        <w:rPr>
          <w:rFonts w:ascii="Palatino Linotype" w:hAnsi="Palatino Linotype" w:cs="Tahoma"/>
          <w:bCs/>
          <w:iCs/>
        </w:rPr>
        <w:t xml:space="preserve">e Transparencia </w:t>
      </w:r>
      <w:r>
        <w:rPr>
          <w:rFonts w:ascii="Palatino Linotype" w:hAnsi="Palatino Linotype" w:cs="Tahoma"/>
          <w:bCs/>
          <w:iCs/>
        </w:rPr>
        <w:t>y</w:t>
      </w:r>
      <w:r w:rsidRPr="006233F8">
        <w:rPr>
          <w:rFonts w:ascii="Palatino Linotype" w:hAnsi="Palatino Linotype" w:cs="Tahoma"/>
          <w:bCs/>
          <w:iCs/>
        </w:rPr>
        <w:t xml:space="preserve"> Acceso a la Información Pública </w:t>
      </w:r>
      <w:r>
        <w:rPr>
          <w:rFonts w:ascii="Palatino Linotype" w:hAnsi="Palatino Linotype" w:cs="Tahoma"/>
          <w:bCs/>
          <w:iCs/>
        </w:rPr>
        <w:t>d</w:t>
      </w:r>
      <w:r w:rsidRPr="006233F8">
        <w:rPr>
          <w:rFonts w:ascii="Palatino Linotype" w:hAnsi="Palatino Linotype" w:cs="Tahoma"/>
          <w:bCs/>
          <w:iCs/>
        </w:rPr>
        <w:t xml:space="preserve">el Estado </w:t>
      </w:r>
      <w:r>
        <w:rPr>
          <w:rFonts w:ascii="Palatino Linotype" w:hAnsi="Palatino Linotype" w:cs="Tahoma"/>
          <w:bCs/>
          <w:iCs/>
        </w:rPr>
        <w:t>d</w:t>
      </w:r>
      <w:r w:rsidRPr="006233F8">
        <w:rPr>
          <w:rFonts w:ascii="Palatino Linotype" w:hAnsi="Palatino Linotype" w:cs="Tahoma"/>
          <w:bCs/>
          <w:iCs/>
        </w:rPr>
        <w:t xml:space="preserve">e México </w:t>
      </w:r>
      <w:r>
        <w:rPr>
          <w:rFonts w:ascii="Palatino Linotype" w:hAnsi="Palatino Linotype" w:cs="Tahoma"/>
          <w:bCs/>
          <w:iCs/>
        </w:rPr>
        <w:t>y</w:t>
      </w:r>
      <w:r w:rsidRPr="006233F8">
        <w:rPr>
          <w:rFonts w:ascii="Palatino Linotype" w:hAnsi="Palatino Linotype" w:cs="Tahoma"/>
          <w:bCs/>
          <w:iCs/>
        </w:rPr>
        <w:t xml:space="preserve"> Municipios</w:t>
      </w:r>
      <w:r w:rsidR="00A664DC">
        <w:rPr>
          <w:rFonts w:ascii="Palatino Linotype" w:hAnsi="Palatino Linotype" w:cs="Tahoma"/>
          <w:bCs/>
          <w:iCs/>
        </w:rPr>
        <w:t>, de conformidad con lo siguiente:</w:t>
      </w:r>
    </w:p>
    <w:p w14:paraId="1F843886" w14:textId="77777777" w:rsidR="006233F8" w:rsidRDefault="006233F8" w:rsidP="004D61E4">
      <w:pPr>
        <w:spacing w:line="360" w:lineRule="auto"/>
        <w:jc w:val="both"/>
        <w:rPr>
          <w:rFonts w:ascii="Palatino Linotype" w:hAnsi="Palatino Linotype" w:cs="Tahoma"/>
          <w:bCs/>
          <w:iCs/>
        </w:rPr>
      </w:pPr>
    </w:p>
    <w:p w14:paraId="45ABE367" w14:textId="53DBBD36" w:rsidR="006233F8" w:rsidRPr="006233F8" w:rsidRDefault="006233F8" w:rsidP="006233F8">
      <w:pPr>
        <w:ind w:left="567" w:right="616"/>
        <w:jc w:val="center"/>
        <w:rPr>
          <w:rFonts w:ascii="Palatino Linotype" w:hAnsi="Palatino Linotype" w:cs="Tahoma"/>
          <w:b/>
          <w:i/>
          <w:sz w:val="22"/>
          <w:szCs w:val="22"/>
        </w:rPr>
      </w:pPr>
      <w:r w:rsidRPr="006233F8">
        <w:rPr>
          <w:rFonts w:ascii="Palatino Linotype" w:hAnsi="Palatino Linotype" w:cs="Tahoma"/>
          <w:b/>
          <w:i/>
          <w:sz w:val="22"/>
          <w:szCs w:val="22"/>
        </w:rPr>
        <w:lastRenderedPageBreak/>
        <w:t>Capítulo II</w:t>
      </w:r>
    </w:p>
    <w:p w14:paraId="1CDC8B61" w14:textId="2FF6AA91" w:rsidR="006233F8" w:rsidRPr="006233F8" w:rsidRDefault="006233F8" w:rsidP="006233F8">
      <w:pPr>
        <w:ind w:left="567" w:right="616"/>
        <w:jc w:val="center"/>
        <w:rPr>
          <w:rFonts w:ascii="Palatino Linotype" w:hAnsi="Palatino Linotype" w:cs="Tahoma"/>
          <w:b/>
          <w:i/>
          <w:sz w:val="22"/>
          <w:szCs w:val="22"/>
        </w:rPr>
      </w:pPr>
      <w:r w:rsidRPr="006233F8">
        <w:rPr>
          <w:rFonts w:ascii="Palatino Linotype" w:hAnsi="Palatino Linotype" w:cs="Tahoma"/>
          <w:b/>
          <w:i/>
          <w:sz w:val="22"/>
          <w:szCs w:val="22"/>
        </w:rPr>
        <w:t>De las Obligaciones de Transparencia Comunes</w:t>
      </w:r>
    </w:p>
    <w:p w14:paraId="260325F2" w14:textId="6E3FB3AB" w:rsidR="006233F8" w:rsidRPr="006233F8" w:rsidRDefault="006233F8" w:rsidP="006233F8">
      <w:pPr>
        <w:ind w:left="567" w:right="616"/>
        <w:jc w:val="both"/>
        <w:rPr>
          <w:rFonts w:ascii="Palatino Linotype" w:hAnsi="Palatino Linotype" w:cs="Tahoma"/>
          <w:bCs/>
          <w:i/>
          <w:sz w:val="22"/>
          <w:szCs w:val="22"/>
        </w:rPr>
      </w:pPr>
      <w:r w:rsidRPr="006233F8">
        <w:rPr>
          <w:rFonts w:ascii="Palatino Linotype" w:hAnsi="Palatino Linotype" w:cs="Tahoma"/>
          <w:b/>
          <w:i/>
          <w:sz w:val="22"/>
          <w:szCs w:val="22"/>
        </w:rPr>
        <w:t xml:space="preserve">Artículo 92. </w:t>
      </w:r>
      <w:r w:rsidRPr="006233F8">
        <w:rPr>
          <w:rFonts w:ascii="Palatino Linotype" w:hAnsi="Palatino Linotype" w:cs="Tahoma"/>
          <w:bCs/>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1EA223B" w14:textId="37DEA0C2" w:rsidR="006233F8" w:rsidRPr="006233F8" w:rsidRDefault="006233F8" w:rsidP="006233F8">
      <w:pPr>
        <w:ind w:left="567" w:right="616"/>
        <w:jc w:val="both"/>
        <w:rPr>
          <w:rFonts w:ascii="Palatino Linotype" w:hAnsi="Palatino Linotype" w:cs="Tahoma"/>
          <w:bCs/>
          <w:i/>
          <w:sz w:val="22"/>
          <w:szCs w:val="22"/>
        </w:rPr>
      </w:pPr>
      <w:r w:rsidRPr="006233F8">
        <w:rPr>
          <w:rFonts w:ascii="Palatino Linotype" w:hAnsi="Palatino Linotype" w:cs="Tahoma"/>
          <w:bCs/>
          <w:i/>
          <w:sz w:val="22"/>
          <w:szCs w:val="22"/>
        </w:rPr>
        <w:t>(…)</w:t>
      </w:r>
    </w:p>
    <w:p w14:paraId="7A7411F0" w14:textId="1E4EB92F" w:rsidR="006233F8" w:rsidRPr="006233F8" w:rsidRDefault="006233F8" w:rsidP="006233F8">
      <w:pPr>
        <w:ind w:left="567" w:right="616"/>
        <w:jc w:val="both"/>
        <w:rPr>
          <w:rFonts w:ascii="Palatino Linotype" w:hAnsi="Palatino Linotype"/>
          <w:i/>
          <w:sz w:val="22"/>
          <w:szCs w:val="22"/>
        </w:rPr>
      </w:pPr>
      <w:r w:rsidRPr="006233F8">
        <w:rPr>
          <w:rFonts w:ascii="Palatino Linotype" w:hAnsi="Palatino Linotype"/>
          <w:b/>
          <w:bCs/>
          <w:i/>
          <w:sz w:val="22"/>
          <w:szCs w:val="22"/>
        </w:rPr>
        <w:t xml:space="preserve">XXXV. </w:t>
      </w:r>
      <w:r w:rsidRPr="006233F8">
        <w:rPr>
          <w:rFonts w:ascii="Palatino Linotype" w:hAnsi="Palatino Linotype"/>
          <w:i/>
          <w:sz w:val="22"/>
          <w:szCs w:val="22"/>
        </w:rPr>
        <w:t xml:space="preserve">Informes de avances programáticos o presupuestales, balances generales y </w:t>
      </w:r>
      <w:r w:rsidRPr="006233F8">
        <w:rPr>
          <w:rFonts w:ascii="Palatino Linotype" w:hAnsi="Palatino Linotype"/>
          <w:b/>
          <w:bCs/>
          <w:i/>
          <w:sz w:val="22"/>
          <w:szCs w:val="22"/>
          <w:u w:val="single"/>
        </w:rPr>
        <w:t>estado financiero</w:t>
      </w:r>
      <w:r w:rsidRPr="006233F8">
        <w:rPr>
          <w:rFonts w:ascii="Palatino Linotype" w:hAnsi="Palatino Linotype"/>
          <w:i/>
          <w:sz w:val="22"/>
          <w:szCs w:val="22"/>
        </w:rPr>
        <w:t>;</w:t>
      </w:r>
    </w:p>
    <w:p w14:paraId="498710C8" w14:textId="5E492759" w:rsidR="006233F8" w:rsidRPr="006233F8" w:rsidRDefault="006233F8" w:rsidP="006233F8">
      <w:pPr>
        <w:ind w:left="567" w:right="616"/>
        <w:jc w:val="both"/>
        <w:rPr>
          <w:rFonts w:ascii="Palatino Linotype" w:hAnsi="Palatino Linotype" w:cs="Tahoma"/>
          <w:bCs/>
          <w:i/>
          <w:sz w:val="22"/>
          <w:szCs w:val="22"/>
        </w:rPr>
      </w:pPr>
      <w:r w:rsidRPr="006233F8">
        <w:rPr>
          <w:rFonts w:ascii="Palatino Linotype" w:hAnsi="Palatino Linotype"/>
          <w:i/>
          <w:sz w:val="22"/>
          <w:szCs w:val="22"/>
        </w:rPr>
        <w:t>(…)</w:t>
      </w:r>
    </w:p>
    <w:p w14:paraId="3AD7B994" w14:textId="77777777" w:rsidR="006233F8" w:rsidRDefault="006233F8" w:rsidP="004D61E4">
      <w:pPr>
        <w:spacing w:line="360" w:lineRule="auto"/>
        <w:jc w:val="both"/>
        <w:rPr>
          <w:rFonts w:ascii="Palatino Linotype" w:hAnsi="Palatino Linotype" w:cs="Tahoma"/>
          <w:bCs/>
          <w:iCs/>
        </w:rPr>
      </w:pPr>
    </w:p>
    <w:p w14:paraId="185B46F2" w14:textId="77777777" w:rsidR="004D61E4" w:rsidRDefault="004D61E4" w:rsidP="004D61E4">
      <w:pPr>
        <w:spacing w:line="360" w:lineRule="auto"/>
        <w:jc w:val="both"/>
        <w:rPr>
          <w:rFonts w:ascii="Palatino Linotype" w:hAnsi="Palatino Linotype" w:cs="Tahoma"/>
          <w:bCs/>
          <w:iCs/>
        </w:rPr>
      </w:pPr>
      <w:r>
        <w:rPr>
          <w:rFonts w:ascii="Palatino Linotype" w:hAnsi="Palatino Linotype" w:cs="Tahoma"/>
          <w:bCs/>
          <w:iCs/>
        </w:rPr>
        <w:t xml:space="preserve">Finalmente, respecto de la información que se ordena su entrega, el </w:t>
      </w:r>
      <w:r w:rsidRPr="00495255">
        <w:rPr>
          <w:rFonts w:ascii="Palatino Linotype" w:hAnsi="Palatino Linotype" w:cs="Tahoma"/>
          <w:b/>
          <w:bCs/>
          <w:iCs/>
        </w:rPr>
        <w:t>Sujeto Obligado</w:t>
      </w:r>
      <w:r>
        <w:rPr>
          <w:rFonts w:ascii="Palatino Linotype" w:hAnsi="Palatino Linotype" w:cs="Tahoma"/>
          <w:bCs/>
          <w:iCs/>
        </w:rPr>
        <w:t xml:space="preserve"> deberá observar lo siguiente:</w:t>
      </w:r>
    </w:p>
    <w:p w14:paraId="3FB7EE57" w14:textId="77777777" w:rsidR="004D61E4" w:rsidRDefault="004D61E4" w:rsidP="004D61E4">
      <w:pPr>
        <w:spacing w:line="360" w:lineRule="auto"/>
        <w:jc w:val="both"/>
        <w:rPr>
          <w:rFonts w:ascii="Palatino Linotype" w:hAnsi="Palatino Linotype" w:cs="Tahoma"/>
          <w:bCs/>
          <w:iCs/>
        </w:rPr>
      </w:pPr>
    </w:p>
    <w:p w14:paraId="0E3F689E" w14:textId="77777777" w:rsidR="004D61E4" w:rsidRPr="00834C6D" w:rsidRDefault="004D61E4" w:rsidP="004D61E4">
      <w:pPr>
        <w:pStyle w:val="Prrafodelista"/>
        <w:numPr>
          <w:ilvl w:val="0"/>
          <w:numId w:val="28"/>
        </w:numPr>
        <w:tabs>
          <w:tab w:val="left" w:pos="709"/>
        </w:tabs>
        <w:spacing w:line="360" w:lineRule="auto"/>
        <w:jc w:val="both"/>
        <w:rPr>
          <w:rFonts w:ascii="Palatino Linotype" w:eastAsia="Palatino Linotype" w:hAnsi="Palatino Linotype" w:cs="Palatino Linotype"/>
          <w:b/>
          <w:i/>
          <w:sz w:val="28"/>
          <w:szCs w:val="22"/>
          <w:lang w:val="es-MX" w:eastAsia="es-MX"/>
        </w:rPr>
      </w:pPr>
      <w:r w:rsidRPr="00834C6D">
        <w:rPr>
          <w:rFonts w:ascii="Palatino Linotype" w:eastAsia="Palatino Linotype" w:hAnsi="Palatino Linotype" w:cs="Palatino Linotype"/>
          <w:b/>
          <w:i/>
          <w:sz w:val="28"/>
          <w:szCs w:val="22"/>
          <w:lang w:val="es-MX" w:eastAsia="es-MX"/>
        </w:rPr>
        <w:t xml:space="preserve">DE LA VERSIÓN PÚBLICA. </w:t>
      </w:r>
    </w:p>
    <w:p w14:paraId="319D3AEF" w14:textId="77777777" w:rsidR="004D61E4" w:rsidRPr="00834C6D" w:rsidRDefault="004D61E4" w:rsidP="004D61E4">
      <w:pPr>
        <w:tabs>
          <w:tab w:val="left" w:pos="709"/>
        </w:tabs>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77EAABE0" w14:textId="77777777" w:rsidR="004D61E4" w:rsidRPr="00834C6D" w:rsidRDefault="004D61E4" w:rsidP="004D61E4">
      <w:pPr>
        <w:tabs>
          <w:tab w:val="left" w:pos="709"/>
        </w:tabs>
        <w:spacing w:line="360" w:lineRule="auto"/>
        <w:jc w:val="both"/>
        <w:rPr>
          <w:rFonts w:ascii="Palatino Linotype" w:eastAsia="Palatino Linotype" w:hAnsi="Palatino Linotype" w:cs="Palatino Linotype"/>
          <w:sz w:val="22"/>
          <w:szCs w:val="22"/>
          <w:lang w:val="es-MX" w:eastAsia="es-MX"/>
        </w:rPr>
      </w:pPr>
    </w:p>
    <w:p w14:paraId="00D0B467" w14:textId="014DC700"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w:t>
      </w:r>
      <w:r w:rsidRPr="00834C6D">
        <w:rPr>
          <w:rFonts w:ascii="Palatino Linotype" w:eastAsia="Palatino Linotype" w:hAnsi="Palatino Linotype" w:cs="Palatino Linotype"/>
          <w:b/>
          <w:i/>
          <w:sz w:val="22"/>
          <w:szCs w:val="22"/>
          <w:lang w:val="es-MX" w:eastAsia="es-MX"/>
        </w:rPr>
        <w:t>Artículo 3.</w:t>
      </w:r>
      <w:r w:rsidRPr="00834C6D">
        <w:rPr>
          <w:rFonts w:ascii="Palatino Linotype" w:eastAsia="Palatino Linotype" w:hAnsi="Palatino Linotype" w:cs="Palatino Linotype"/>
          <w:i/>
          <w:sz w:val="22"/>
          <w:szCs w:val="22"/>
          <w:lang w:val="es-MX" w:eastAsia="es-MX"/>
        </w:rPr>
        <w:t xml:space="preserve"> Para los efectos de la presente Ley se entenderá por:</w:t>
      </w:r>
    </w:p>
    <w:p w14:paraId="61A588FD"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lastRenderedPageBreak/>
        <w:t>XX.</w:t>
      </w:r>
      <w:r w:rsidRPr="00834C6D">
        <w:rPr>
          <w:rFonts w:ascii="Palatino Linotype" w:eastAsia="Palatino Linotype" w:hAnsi="Palatino Linotype" w:cs="Palatino Linotype"/>
          <w:i/>
          <w:sz w:val="22"/>
          <w:szCs w:val="22"/>
          <w:lang w:val="es-MX" w:eastAsia="es-MX"/>
        </w:rPr>
        <w:t xml:space="preserve"> Información clasificada: Aquella considerada por la presente Ley como reservada o confidencial; </w:t>
      </w:r>
    </w:p>
    <w:p w14:paraId="26854D3F"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2F12813"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XXI.</w:t>
      </w:r>
      <w:r w:rsidRPr="00834C6D">
        <w:rPr>
          <w:rFonts w:ascii="Palatino Linotype" w:eastAsia="Palatino Linotype" w:hAnsi="Palatino Linotype" w:cs="Palatino Linotype"/>
          <w:i/>
          <w:sz w:val="22"/>
          <w:szCs w:val="22"/>
          <w:lang w:val="es-MX" w:eastAsia="es-MX"/>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89B57F6"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w:t>
      </w:r>
    </w:p>
    <w:p w14:paraId="5A8A6A42"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XXXIV</w:t>
      </w:r>
      <w:r w:rsidRPr="00834C6D">
        <w:rPr>
          <w:rFonts w:ascii="Palatino Linotype" w:eastAsia="Palatino Linotype" w:hAnsi="Palatino Linotype" w:cs="Palatino Linotype"/>
          <w:i/>
          <w:sz w:val="22"/>
          <w:szCs w:val="22"/>
          <w:lang w:val="es-MX" w:eastAsia="es-MX"/>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B1B436A"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w:t>
      </w:r>
    </w:p>
    <w:p w14:paraId="2FF60064"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XLV.</w:t>
      </w:r>
      <w:r w:rsidRPr="00834C6D">
        <w:rPr>
          <w:rFonts w:ascii="Palatino Linotype" w:eastAsia="Palatino Linotype" w:hAnsi="Palatino Linotype" w:cs="Palatino Linotype"/>
          <w:i/>
          <w:sz w:val="22"/>
          <w:szCs w:val="22"/>
          <w:lang w:val="es-MX" w:eastAsia="es-MX"/>
        </w:rPr>
        <w:t xml:space="preserve"> Versión pública: Documento en el que se elimine, suprime o borra la información clasificada como reservada o confidencial para permitir su acceso</w:t>
      </w:r>
    </w:p>
    <w:p w14:paraId="0B79CFBA"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5B22CC6A"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91.</w:t>
      </w:r>
      <w:r w:rsidRPr="00834C6D">
        <w:rPr>
          <w:rFonts w:ascii="Palatino Linotype" w:eastAsia="Palatino Linotype" w:hAnsi="Palatino Linotype" w:cs="Palatino Linotype"/>
          <w:i/>
          <w:sz w:val="22"/>
          <w:szCs w:val="22"/>
          <w:lang w:val="es-MX" w:eastAsia="es-MX"/>
        </w:rPr>
        <w:t xml:space="preserve"> El acceso a la información pública será restringido excepcionalmente, cuando ésta sea clasificada como reservada o confidencial.</w:t>
      </w:r>
    </w:p>
    <w:p w14:paraId="6108E109"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122.</w:t>
      </w:r>
      <w:r w:rsidRPr="00834C6D">
        <w:rPr>
          <w:rFonts w:ascii="Palatino Linotype" w:eastAsia="Palatino Linotype" w:hAnsi="Palatino Linotype" w:cs="Palatino Linotype"/>
          <w:i/>
          <w:sz w:val="22"/>
          <w:szCs w:val="22"/>
          <w:lang w:val="es-MX" w:eastAsia="es-MX"/>
        </w:rPr>
        <w:t xml:space="preserve"> La clasificación es el proceso mediante el cual el sujeto obligado determina que la información en su poder </w:t>
      </w:r>
      <w:proofErr w:type="spellStart"/>
      <w:r w:rsidRPr="00834C6D">
        <w:rPr>
          <w:rFonts w:ascii="Palatino Linotype" w:eastAsia="Palatino Linotype" w:hAnsi="Palatino Linotype" w:cs="Palatino Linotype"/>
          <w:i/>
          <w:sz w:val="22"/>
          <w:szCs w:val="22"/>
          <w:lang w:val="es-MX" w:eastAsia="es-MX"/>
        </w:rPr>
        <w:t>actualiza</w:t>
      </w:r>
      <w:proofErr w:type="spellEnd"/>
      <w:r w:rsidRPr="00834C6D">
        <w:rPr>
          <w:rFonts w:ascii="Palatino Linotype" w:eastAsia="Palatino Linotype" w:hAnsi="Palatino Linotype" w:cs="Palatino Linotype"/>
          <w:i/>
          <w:sz w:val="22"/>
          <w:szCs w:val="22"/>
          <w:lang w:val="es-MX" w:eastAsia="es-MX"/>
        </w:rPr>
        <w:t xml:space="preserve"> alguno de los supuestos de reserva o confidencialidad, de conformidad con lo dispuesto en el presente título.</w:t>
      </w:r>
    </w:p>
    <w:p w14:paraId="2CAE1101" w14:textId="77777777" w:rsidR="004D61E4"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2CCF1B12"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Los supuestos de reserva o confidencialidad previstos en las leyes deberán ser acordes con las bases, principios y disposiciones establecidos en la Ley General y, en ningún caso, podrán contravenirla.</w:t>
      </w:r>
    </w:p>
    <w:p w14:paraId="204E54DD" w14:textId="77777777" w:rsidR="004D61E4"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781A5529"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Los titulares de las áreas de los sujetos obligados serán los responsables de clasificar la información, de conformidad con lo dispuesto en la presente Ley y demás disposiciones jurídicas aplicables</w:t>
      </w:r>
    </w:p>
    <w:p w14:paraId="2541EC8C"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D1C8B00"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135.</w:t>
      </w:r>
      <w:r w:rsidRPr="00834C6D">
        <w:rPr>
          <w:rFonts w:ascii="Palatino Linotype" w:eastAsia="Palatino Linotype" w:hAnsi="Palatino Linotype" w:cs="Palatino Linotype"/>
          <w:i/>
          <w:sz w:val="22"/>
          <w:szCs w:val="22"/>
          <w:lang w:val="es-MX" w:eastAsia="es-MX"/>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B0D7E86"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FBBE0E0" w14:textId="77777777" w:rsidR="004D61E4" w:rsidRPr="00834C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r w:rsidRPr="00834C6D">
        <w:rPr>
          <w:rFonts w:ascii="Palatino Linotype" w:eastAsia="Palatino Linotype" w:hAnsi="Palatino Linotype" w:cs="Palatino Linotype"/>
          <w:b/>
          <w:i/>
          <w:sz w:val="22"/>
          <w:szCs w:val="22"/>
          <w:lang w:val="es-MX"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5AED780"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F8E3971"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lastRenderedPageBreak/>
        <w:t>Artículo 143</w:t>
      </w:r>
      <w:r w:rsidRPr="00834C6D">
        <w:rPr>
          <w:rFonts w:ascii="Palatino Linotype" w:eastAsia="Palatino Linotype" w:hAnsi="Palatino Linotype" w:cs="Palatino Linotype"/>
          <w:i/>
          <w:sz w:val="22"/>
          <w:szCs w:val="22"/>
          <w:lang w:val="es-MX" w:eastAsia="es-MX"/>
        </w:rPr>
        <w:t>. Para los efectos de esta Ley se considera información confidencial, la clasificada como tal, de manera permanente, por su naturaleza, cuando:</w:t>
      </w:r>
    </w:p>
    <w:p w14:paraId="1E3E8C47"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b/>
          <w:i/>
          <w:sz w:val="22"/>
          <w:szCs w:val="22"/>
          <w:lang w:val="es-MX" w:eastAsia="es-MX"/>
        </w:rPr>
      </w:pPr>
      <w:r w:rsidRPr="00834C6D">
        <w:rPr>
          <w:rFonts w:ascii="Palatino Linotype" w:eastAsia="Palatino Linotype" w:hAnsi="Palatino Linotype" w:cs="Palatino Linotype"/>
          <w:b/>
          <w:i/>
          <w:sz w:val="22"/>
          <w:szCs w:val="22"/>
          <w:lang w:val="es-MX" w:eastAsia="es-MX"/>
        </w:rPr>
        <w:t xml:space="preserve">I. Se refiera a la información privada y los datos personales concernientes a una persona física o jurídica colectiva identificada o identificable; </w:t>
      </w:r>
    </w:p>
    <w:p w14:paraId="60984CAB"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II.</w:t>
      </w:r>
      <w:r w:rsidRPr="00834C6D">
        <w:rPr>
          <w:rFonts w:ascii="Palatino Linotype" w:eastAsia="Palatino Linotype" w:hAnsi="Palatino Linotype" w:cs="Palatino Linotype"/>
          <w:i/>
          <w:sz w:val="22"/>
          <w:szCs w:val="22"/>
          <w:lang w:val="es-MX" w:eastAsia="es-MX"/>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DC223E5"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III.</w:t>
      </w:r>
      <w:r w:rsidRPr="00834C6D">
        <w:rPr>
          <w:rFonts w:ascii="Palatino Linotype" w:eastAsia="Palatino Linotype" w:hAnsi="Palatino Linotype" w:cs="Palatino Linotype"/>
          <w:i/>
          <w:sz w:val="22"/>
          <w:szCs w:val="22"/>
          <w:lang w:val="es-MX" w:eastAsia="es-MX"/>
        </w:rPr>
        <w:t xml:space="preserve"> La que presenten los particulares a los sujetos obligados, de conformidad con lo dispuesto por las leyes o los tratados internacionales.</w:t>
      </w:r>
    </w:p>
    <w:p w14:paraId="2BE7F7FC"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La información confidencial no estará sujeta a temporalidad alguna y sólo podrán tener acceso a ella los titulares de la misma, sus representantes y los servidores públicos facultados para ello.</w:t>
      </w:r>
    </w:p>
    <w:p w14:paraId="7D2158AF"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No se considerará confidencial la información que se encuentre en los registros públicos o en fuentes de acceso público, ni tampoco la que sea considerada por la presente ley como información pública.</w:t>
      </w:r>
    </w:p>
    <w:p w14:paraId="03541F20"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D3AB151" w14:textId="77777777" w:rsidR="004D61E4" w:rsidRPr="00834C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r w:rsidRPr="00834C6D">
        <w:rPr>
          <w:rFonts w:ascii="Palatino Linotype" w:eastAsia="Palatino Linotype" w:hAnsi="Palatino Linotype" w:cs="Palatino Linotype"/>
          <w:b/>
          <w:i/>
          <w:sz w:val="22"/>
          <w:szCs w:val="22"/>
          <w:lang w:val="es-MX" w:eastAsia="es-MX"/>
        </w:rPr>
        <w:t>Artículo 147. Para que los sujetos obligados puedan permitir el acceso a información confidencial requieren obtener el consentimiento de los particulares titulares de la información.</w:t>
      </w:r>
    </w:p>
    <w:p w14:paraId="5FB14E16"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300D94C9"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148.</w:t>
      </w:r>
      <w:r w:rsidRPr="00834C6D">
        <w:rPr>
          <w:rFonts w:ascii="Palatino Linotype" w:eastAsia="Palatino Linotype" w:hAnsi="Palatino Linotype" w:cs="Palatino Linotype"/>
          <w:i/>
          <w:sz w:val="22"/>
          <w:szCs w:val="22"/>
          <w:lang w:val="es-MX" w:eastAsia="es-MX"/>
        </w:rPr>
        <w:t xml:space="preserve"> No se requerirá el consentimiento del titular de la información confidencial cuando:</w:t>
      </w:r>
    </w:p>
    <w:p w14:paraId="1411A0FD"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w:t>
      </w:r>
      <w:r w:rsidRPr="00834C6D">
        <w:rPr>
          <w:rFonts w:ascii="Palatino Linotype" w:eastAsia="Palatino Linotype" w:hAnsi="Palatino Linotype" w:cs="Palatino Linotype"/>
          <w:i/>
          <w:sz w:val="22"/>
          <w:szCs w:val="22"/>
          <w:lang w:val="es-MX" w:eastAsia="es-MX"/>
        </w:rPr>
        <w:t xml:space="preserve"> La información se encuentre en registros públicos o fuentes de acceso público;</w:t>
      </w:r>
    </w:p>
    <w:p w14:paraId="0359C5B5"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II.</w:t>
      </w:r>
      <w:r w:rsidRPr="00834C6D">
        <w:rPr>
          <w:rFonts w:ascii="Palatino Linotype" w:eastAsia="Palatino Linotype" w:hAnsi="Palatino Linotype" w:cs="Palatino Linotype"/>
          <w:i/>
          <w:sz w:val="22"/>
          <w:szCs w:val="22"/>
          <w:lang w:val="es-MX" w:eastAsia="es-MX"/>
        </w:rPr>
        <w:t xml:space="preserve"> Por Ley tenga el carácter de pública;</w:t>
      </w:r>
    </w:p>
    <w:p w14:paraId="26026249"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III</w:t>
      </w:r>
      <w:r w:rsidRPr="00834C6D">
        <w:rPr>
          <w:rFonts w:ascii="Palatino Linotype" w:eastAsia="Palatino Linotype" w:hAnsi="Palatino Linotype" w:cs="Palatino Linotype"/>
          <w:i/>
          <w:sz w:val="22"/>
          <w:szCs w:val="22"/>
          <w:lang w:val="es-MX" w:eastAsia="es-MX"/>
        </w:rPr>
        <w:t>. Exista una orden judicial;</w:t>
      </w:r>
    </w:p>
    <w:p w14:paraId="44814078" w14:textId="77777777" w:rsidR="004D61E4" w:rsidRPr="00834C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IV.</w:t>
      </w:r>
      <w:r w:rsidRPr="00834C6D">
        <w:rPr>
          <w:rFonts w:ascii="Palatino Linotype" w:eastAsia="Palatino Linotype" w:hAnsi="Palatino Linotype" w:cs="Palatino Linotype"/>
          <w:i/>
          <w:sz w:val="22"/>
          <w:szCs w:val="22"/>
          <w:lang w:val="es-MX" w:eastAsia="es-MX"/>
        </w:rPr>
        <w:t xml:space="preserve"> Por razones de seguridad pública, o para proteger los derechos de terceros, se requiera su publicación; o</w:t>
      </w:r>
    </w:p>
    <w:p w14:paraId="2D930D0B" w14:textId="77777777" w:rsidR="004D61E4"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V.</w:t>
      </w:r>
      <w:r w:rsidRPr="00834C6D">
        <w:rPr>
          <w:rFonts w:ascii="Palatino Linotype" w:eastAsia="Palatino Linotype" w:hAnsi="Palatino Linotype" w:cs="Palatino Linotype"/>
          <w:i/>
          <w:sz w:val="22"/>
          <w:szCs w:val="22"/>
          <w:lang w:val="es-MX" w:eastAsia="es-MX"/>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D68237A"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1F260046"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0FE54823" w14:textId="77777777" w:rsidR="004D61E4"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A0D1DDC" w14:textId="77777777" w:rsidR="004D61E4" w:rsidRPr="00834C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149.</w:t>
      </w:r>
      <w:r w:rsidRPr="00834C6D">
        <w:rPr>
          <w:rFonts w:ascii="Palatino Linotype" w:eastAsia="Palatino Linotype" w:hAnsi="Palatino Linotype" w:cs="Palatino Linotype"/>
          <w:i/>
          <w:sz w:val="22"/>
          <w:szCs w:val="22"/>
          <w:lang w:val="es-MX" w:eastAsia="es-MX"/>
        </w:rPr>
        <w:t xml:space="preserve"> El acuerdo que clasifique la información como confidencial deberá contener un razonamiento lógico en el que demuestre que la información se encuentra en alguna o algunas de las hipótesis previstas en la presente Ley.” (Sic)</w:t>
      </w:r>
    </w:p>
    <w:p w14:paraId="143F7523" w14:textId="77777777" w:rsidR="004D61E4" w:rsidRPr="00834C6D" w:rsidRDefault="004D61E4" w:rsidP="004D61E4">
      <w:pPr>
        <w:spacing w:line="360" w:lineRule="auto"/>
        <w:ind w:right="49"/>
        <w:jc w:val="both"/>
        <w:rPr>
          <w:rFonts w:ascii="Palatino Linotype" w:eastAsia="Palatino Linotype" w:hAnsi="Palatino Linotype" w:cs="Palatino Linotype"/>
          <w:sz w:val="22"/>
          <w:szCs w:val="22"/>
          <w:lang w:val="es-MX" w:eastAsia="es-MX"/>
        </w:rPr>
      </w:pPr>
    </w:p>
    <w:p w14:paraId="617D8EFD"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28E3607F" w14:textId="77777777" w:rsidR="004D61E4"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5F9A0C9"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p>
    <w:p w14:paraId="4499FEC9"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62D02E99" w14:textId="77777777" w:rsidR="004D61E4" w:rsidRPr="00834C6D" w:rsidRDefault="004D61E4" w:rsidP="004D61E4">
      <w:pPr>
        <w:spacing w:line="360" w:lineRule="auto"/>
        <w:jc w:val="both"/>
        <w:rPr>
          <w:rFonts w:ascii="Palatino Linotype" w:eastAsia="Palatino Linotype" w:hAnsi="Palatino Linotype" w:cs="Palatino Linotype"/>
          <w:sz w:val="22"/>
          <w:szCs w:val="22"/>
          <w:lang w:val="es-MX" w:eastAsia="es-MX"/>
        </w:rPr>
      </w:pPr>
    </w:p>
    <w:p w14:paraId="67988BA8"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lastRenderedPageBreak/>
        <w:t>“</w:t>
      </w:r>
      <w:r w:rsidRPr="00834C6D">
        <w:rPr>
          <w:rFonts w:ascii="Palatino Linotype" w:eastAsia="Palatino Linotype" w:hAnsi="Palatino Linotype" w:cs="Palatino Linotype"/>
          <w:b/>
          <w:i/>
          <w:sz w:val="22"/>
          <w:szCs w:val="22"/>
          <w:lang w:val="es-MX" w:eastAsia="es-MX"/>
        </w:rPr>
        <w:t>Artículo 168</w:t>
      </w:r>
      <w:r w:rsidRPr="00834C6D">
        <w:rPr>
          <w:rFonts w:ascii="Palatino Linotype" w:eastAsia="Palatino Linotype" w:hAnsi="Palatino Linotype" w:cs="Palatino Linotype"/>
          <w:i/>
          <w:sz w:val="22"/>
          <w:szCs w:val="22"/>
          <w:lang w:val="es-MX" w:eastAsia="es-MX"/>
        </w:rPr>
        <w:t>. En caso de que los sujetos obligados consideren que los documentos o la información deban ser clasificados, se sujetará a lo siguiente:</w:t>
      </w:r>
    </w:p>
    <w:p w14:paraId="62329155"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w:t>
      </w:r>
      <w:r w:rsidRPr="00834C6D">
        <w:rPr>
          <w:rFonts w:ascii="Palatino Linotype" w:eastAsia="Palatino Linotype" w:hAnsi="Palatino Linotype" w:cs="Palatino Linotype"/>
          <w:i/>
          <w:sz w:val="22"/>
          <w:szCs w:val="22"/>
          <w:lang w:val="es-MX" w:eastAsia="es-MX"/>
        </w:rPr>
        <w:t xml:space="preserve"> El Área deberá remitir la solicitud, así como un escrito en el que </w:t>
      </w:r>
      <w:r w:rsidRPr="00834C6D">
        <w:rPr>
          <w:rFonts w:ascii="Palatino Linotype" w:eastAsia="Palatino Linotype" w:hAnsi="Palatino Linotype" w:cs="Palatino Linotype"/>
          <w:b/>
          <w:i/>
          <w:sz w:val="22"/>
          <w:szCs w:val="22"/>
          <w:lang w:val="es-MX" w:eastAsia="es-MX"/>
        </w:rPr>
        <w:t>funde y motive la clasificación al Comité de Transparencia</w:t>
      </w:r>
      <w:r w:rsidRPr="00834C6D">
        <w:rPr>
          <w:rFonts w:ascii="Palatino Linotype" w:eastAsia="Palatino Linotype" w:hAnsi="Palatino Linotype" w:cs="Palatino Linotype"/>
          <w:i/>
          <w:sz w:val="22"/>
          <w:szCs w:val="22"/>
          <w:lang w:val="es-MX" w:eastAsia="es-MX"/>
        </w:rPr>
        <w:t>, mismo que deberá resolver para:</w:t>
      </w:r>
    </w:p>
    <w:p w14:paraId="48FE59E5" w14:textId="77777777" w:rsidR="004D61E4" w:rsidRPr="00834C6D" w:rsidRDefault="004D61E4" w:rsidP="004D61E4">
      <w:pPr>
        <w:spacing w:after="240"/>
        <w:ind w:left="567" w:right="616"/>
        <w:jc w:val="both"/>
        <w:rPr>
          <w:rFonts w:ascii="Palatino Linotype" w:eastAsia="Palatino Linotype" w:hAnsi="Palatino Linotype" w:cs="Palatino Linotype"/>
          <w:b/>
          <w:i/>
          <w:sz w:val="22"/>
          <w:szCs w:val="22"/>
          <w:lang w:val="es-MX" w:eastAsia="es-MX"/>
        </w:rPr>
      </w:pPr>
      <w:r w:rsidRPr="00834C6D">
        <w:rPr>
          <w:rFonts w:ascii="Palatino Linotype" w:eastAsia="Palatino Linotype" w:hAnsi="Palatino Linotype" w:cs="Palatino Linotype"/>
          <w:i/>
          <w:sz w:val="22"/>
          <w:szCs w:val="22"/>
          <w:lang w:val="es-MX" w:eastAsia="es-MX"/>
        </w:rPr>
        <w:t>a</w:t>
      </w:r>
      <w:r w:rsidRPr="00834C6D">
        <w:rPr>
          <w:rFonts w:ascii="Palatino Linotype" w:eastAsia="Palatino Linotype" w:hAnsi="Palatino Linotype" w:cs="Palatino Linotype"/>
          <w:b/>
          <w:i/>
          <w:sz w:val="22"/>
          <w:szCs w:val="22"/>
          <w:lang w:val="es-MX" w:eastAsia="es-MX"/>
        </w:rPr>
        <w:t>) Confirmar la clasificación;</w:t>
      </w:r>
    </w:p>
    <w:p w14:paraId="60CB953C"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b) Modificar la clasificación y otorgar total o parcialmente el acceso a la información; y c) Revocar la clasificación y conceder el acceso a la información.</w:t>
      </w:r>
    </w:p>
    <w:p w14:paraId="7D28FFFA"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II.</w:t>
      </w:r>
      <w:r w:rsidRPr="00834C6D">
        <w:rPr>
          <w:rFonts w:ascii="Palatino Linotype" w:eastAsia="Palatino Linotype" w:hAnsi="Palatino Linotype" w:cs="Palatino Linotype"/>
          <w:i/>
          <w:sz w:val="22"/>
          <w:szCs w:val="22"/>
          <w:lang w:val="es-MX" w:eastAsia="es-MX"/>
        </w:rPr>
        <w:t xml:space="preserve"> El Comité de Transparencia podrá tener acceso a la información que esté en poder del Área correspondiente, de la cual se haya solicitado su clasificación; y</w:t>
      </w:r>
    </w:p>
    <w:p w14:paraId="28F10A37"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III.</w:t>
      </w:r>
      <w:r w:rsidRPr="00834C6D">
        <w:rPr>
          <w:rFonts w:ascii="Palatino Linotype" w:eastAsia="Palatino Linotype" w:hAnsi="Palatino Linotype" w:cs="Palatino Linotype"/>
          <w:i/>
          <w:sz w:val="22"/>
          <w:szCs w:val="22"/>
          <w:lang w:val="es-MX" w:eastAsia="es-MX"/>
        </w:rPr>
        <w:t xml:space="preserve"> La resolución del Comité de Transparencia será notificada al interesado en el plazo de respuesta a la solicitud que establece esta Ley.” (Sic)</w:t>
      </w:r>
    </w:p>
    <w:p w14:paraId="4221A524" w14:textId="77777777" w:rsidR="004D61E4" w:rsidRPr="00834C6D" w:rsidRDefault="004D61E4" w:rsidP="004D61E4">
      <w:pPr>
        <w:spacing w:line="360" w:lineRule="auto"/>
        <w:jc w:val="both"/>
        <w:rPr>
          <w:rFonts w:ascii="Palatino Linotype" w:eastAsia="Palatino Linotype" w:hAnsi="Palatino Linotype" w:cs="Palatino Linotype"/>
          <w:sz w:val="22"/>
          <w:szCs w:val="22"/>
          <w:lang w:val="es-MX" w:eastAsia="es-MX"/>
        </w:rPr>
      </w:pPr>
    </w:p>
    <w:p w14:paraId="1FC922A8" w14:textId="77777777" w:rsidR="004D61E4" w:rsidRDefault="004D61E4" w:rsidP="004D61E4">
      <w:pPr>
        <w:spacing w:line="360" w:lineRule="auto"/>
        <w:ind w:right="51"/>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deberá proceder a testar los datos personales que se encuentren contenidos en los documentos a entregar por parte del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24352F0" w14:textId="77777777" w:rsidR="004D61E4" w:rsidRDefault="004D61E4" w:rsidP="004D61E4">
      <w:pPr>
        <w:spacing w:line="360" w:lineRule="auto"/>
        <w:ind w:right="51"/>
        <w:jc w:val="both"/>
        <w:rPr>
          <w:rFonts w:ascii="Palatino Linotype" w:eastAsia="Palatino Linotype" w:hAnsi="Palatino Linotype" w:cs="Palatino Linotype"/>
          <w:szCs w:val="22"/>
          <w:lang w:val="es-MX" w:eastAsia="es-MX"/>
        </w:rPr>
      </w:pPr>
    </w:p>
    <w:p w14:paraId="6BD174BC" w14:textId="77777777" w:rsidR="004D61E4" w:rsidRDefault="004D61E4" w:rsidP="004D61E4">
      <w:pPr>
        <w:spacing w:line="360" w:lineRule="auto"/>
        <w:ind w:right="51"/>
        <w:jc w:val="both"/>
        <w:rPr>
          <w:rFonts w:ascii="Palatino Linotype" w:eastAsia="Palatino Linotype" w:hAnsi="Palatino Linotype" w:cs="Palatino Linotype"/>
          <w:szCs w:val="22"/>
          <w:lang w:val="es-MX" w:eastAsia="es-MX"/>
        </w:rPr>
      </w:pPr>
      <w:r w:rsidRPr="00834C6D">
        <w:rPr>
          <w:rFonts w:ascii="Palatino Linotype" w:hAnsi="Palatino Linotype" w:cs="Arial"/>
          <w:szCs w:val="22"/>
          <w:lang w:val="es-MX" w:eastAsia="es-MX"/>
        </w:rPr>
        <w:t xml:space="preserve">En tal sentido, si derivado del análisis efectuado por </w:t>
      </w:r>
      <w:r w:rsidRPr="00834C6D">
        <w:rPr>
          <w:rFonts w:ascii="Palatino Linotype" w:hAnsi="Palatino Linotype" w:cs="Arial"/>
          <w:b/>
          <w:szCs w:val="22"/>
          <w:lang w:val="es-MX" w:eastAsia="es-MX"/>
        </w:rPr>
        <w:t xml:space="preserve">Sujeto Obligado </w:t>
      </w:r>
      <w:r w:rsidRPr="00834C6D">
        <w:rPr>
          <w:rFonts w:ascii="Palatino Linotype" w:hAnsi="Palatino Linotype" w:cs="Arial"/>
          <w:bCs/>
          <w:szCs w:val="22"/>
          <w:lang w:val="es-MX" w:eastAsia="es-MX"/>
        </w:rPr>
        <w:t>en el presente caso,</w:t>
      </w:r>
      <w:r w:rsidRPr="00834C6D">
        <w:rPr>
          <w:rFonts w:ascii="Palatino Linotype" w:hAnsi="Palatino Linotype" w:cs="Arial"/>
          <w:szCs w:val="22"/>
          <w:lang w:val="es-MX" w:eastAsia="es-MX"/>
        </w:rPr>
        <w:t xml:space="preserve"> se desprende que, de la información fiscal contenida en los comprobantes fiscales </w:t>
      </w:r>
      <w:r w:rsidRPr="00834C6D">
        <w:rPr>
          <w:rFonts w:ascii="Palatino Linotype" w:hAnsi="Palatino Linotype" w:cs="Arial"/>
          <w:szCs w:val="22"/>
          <w:lang w:val="es-MX" w:eastAsia="es-MX"/>
        </w:rPr>
        <w:lastRenderedPageBreak/>
        <w:t>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5D784F4D" w14:textId="77777777" w:rsidR="004D61E4" w:rsidRDefault="004D61E4" w:rsidP="004D61E4">
      <w:pPr>
        <w:spacing w:line="360" w:lineRule="auto"/>
        <w:ind w:right="51"/>
        <w:jc w:val="both"/>
        <w:rPr>
          <w:rFonts w:ascii="Palatino Linotype" w:eastAsia="Palatino Linotype" w:hAnsi="Palatino Linotype" w:cs="Palatino Linotype"/>
          <w:szCs w:val="22"/>
          <w:lang w:val="es-MX" w:eastAsia="es-MX"/>
        </w:rPr>
      </w:pPr>
    </w:p>
    <w:p w14:paraId="6B87293E" w14:textId="77777777" w:rsidR="004D61E4" w:rsidRPr="00834C6D" w:rsidRDefault="004D61E4" w:rsidP="004D61E4">
      <w:pPr>
        <w:spacing w:line="360" w:lineRule="auto"/>
        <w:ind w:right="51"/>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3B461B6C" w14:textId="77777777" w:rsidR="004D61E4" w:rsidRPr="00834C6D" w:rsidRDefault="004D61E4" w:rsidP="004D61E4">
      <w:pPr>
        <w:spacing w:line="360" w:lineRule="auto"/>
        <w:ind w:right="51"/>
        <w:jc w:val="both"/>
        <w:rPr>
          <w:rFonts w:ascii="Palatino Linotype" w:eastAsia="Palatino Linotype" w:hAnsi="Palatino Linotype" w:cs="Palatino Linotype"/>
          <w:sz w:val="22"/>
          <w:szCs w:val="22"/>
          <w:lang w:val="es-MX" w:eastAsia="es-MX"/>
        </w:rPr>
      </w:pPr>
    </w:p>
    <w:p w14:paraId="0B96C74B"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49.</w:t>
      </w:r>
      <w:r w:rsidRPr="00834C6D">
        <w:rPr>
          <w:rFonts w:ascii="Palatino Linotype" w:eastAsia="Palatino Linotype" w:hAnsi="Palatino Linotype" w:cs="Palatino Linotype"/>
          <w:i/>
          <w:sz w:val="22"/>
          <w:szCs w:val="22"/>
          <w:lang w:val="es-MX" w:eastAsia="es-MX"/>
        </w:rPr>
        <w:t xml:space="preserve"> </w:t>
      </w:r>
      <w:r w:rsidRPr="00834C6D">
        <w:rPr>
          <w:rFonts w:ascii="Palatino Linotype" w:eastAsia="Palatino Linotype" w:hAnsi="Palatino Linotype" w:cs="Palatino Linotype"/>
          <w:b/>
          <w:i/>
          <w:sz w:val="22"/>
          <w:szCs w:val="22"/>
          <w:lang w:val="es-MX" w:eastAsia="es-MX"/>
        </w:rPr>
        <w:t>Los Comités de Transparencia</w:t>
      </w:r>
      <w:r w:rsidRPr="00834C6D">
        <w:rPr>
          <w:rFonts w:ascii="Palatino Linotype" w:eastAsia="Palatino Linotype" w:hAnsi="Palatino Linotype" w:cs="Palatino Linotype"/>
          <w:i/>
          <w:sz w:val="22"/>
          <w:szCs w:val="22"/>
          <w:lang w:val="es-MX" w:eastAsia="es-MX"/>
        </w:rPr>
        <w:t xml:space="preserve"> tendrán las siguientes atribuciones:</w:t>
      </w:r>
    </w:p>
    <w:p w14:paraId="32683F8B"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VIII. Aprobar, modificar o revocar la clasificación de la información</w:t>
      </w:r>
      <w:r w:rsidRPr="00834C6D">
        <w:rPr>
          <w:rFonts w:ascii="Palatino Linotype" w:eastAsia="Palatino Linotype" w:hAnsi="Palatino Linotype" w:cs="Palatino Linotype"/>
          <w:i/>
          <w:sz w:val="22"/>
          <w:szCs w:val="22"/>
          <w:lang w:val="es-MX" w:eastAsia="es-MX"/>
        </w:rPr>
        <w:t>…”</w:t>
      </w:r>
    </w:p>
    <w:p w14:paraId="645A9348"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w:t>
      </w:r>
      <w:r w:rsidRPr="00834C6D">
        <w:rPr>
          <w:rFonts w:ascii="Palatino Linotype" w:eastAsia="Palatino Linotype" w:hAnsi="Palatino Linotype" w:cs="Palatino Linotype"/>
          <w:b/>
          <w:i/>
          <w:sz w:val="22"/>
          <w:szCs w:val="22"/>
          <w:lang w:val="es-MX" w:eastAsia="es-MX"/>
        </w:rPr>
        <w:t>Artículo 53.</w:t>
      </w:r>
      <w:r w:rsidRPr="00834C6D">
        <w:rPr>
          <w:rFonts w:ascii="Palatino Linotype" w:eastAsia="Palatino Linotype" w:hAnsi="Palatino Linotype" w:cs="Palatino Linotype"/>
          <w:i/>
          <w:sz w:val="22"/>
          <w:szCs w:val="22"/>
          <w:lang w:val="es-MX" w:eastAsia="es-MX"/>
        </w:rPr>
        <w:t xml:space="preserve"> Las </w:t>
      </w:r>
      <w:r w:rsidRPr="00834C6D">
        <w:rPr>
          <w:rFonts w:ascii="Palatino Linotype" w:eastAsia="Palatino Linotype" w:hAnsi="Palatino Linotype" w:cs="Palatino Linotype"/>
          <w:b/>
          <w:i/>
          <w:sz w:val="22"/>
          <w:szCs w:val="22"/>
          <w:lang w:val="es-MX" w:eastAsia="es-MX"/>
        </w:rPr>
        <w:t>Unidades de Transparencia</w:t>
      </w:r>
      <w:r w:rsidRPr="00834C6D">
        <w:rPr>
          <w:rFonts w:ascii="Palatino Linotype" w:eastAsia="Palatino Linotype" w:hAnsi="Palatino Linotype" w:cs="Palatino Linotype"/>
          <w:i/>
          <w:sz w:val="22"/>
          <w:szCs w:val="22"/>
          <w:lang w:val="es-MX" w:eastAsia="es-MX"/>
        </w:rPr>
        <w:t xml:space="preserve"> tendrán las siguientes </w:t>
      </w:r>
      <w:r w:rsidRPr="00834C6D">
        <w:rPr>
          <w:rFonts w:ascii="Palatino Linotype" w:eastAsia="Palatino Linotype" w:hAnsi="Palatino Linotype" w:cs="Palatino Linotype"/>
          <w:b/>
          <w:i/>
          <w:sz w:val="22"/>
          <w:szCs w:val="22"/>
          <w:lang w:val="es-MX" w:eastAsia="es-MX"/>
        </w:rPr>
        <w:t>funciones</w:t>
      </w:r>
      <w:r w:rsidRPr="00834C6D">
        <w:rPr>
          <w:rFonts w:ascii="Palatino Linotype" w:eastAsia="Palatino Linotype" w:hAnsi="Palatino Linotype" w:cs="Palatino Linotype"/>
          <w:i/>
          <w:sz w:val="22"/>
          <w:szCs w:val="22"/>
          <w:lang w:val="es-MX" w:eastAsia="es-MX"/>
        </w:rPr>
        <w:t>:</w:t>
      </w:r>
    </w:p>
    <w:p w14:paraId="01D11E8E"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X. Presentar ante el Comité, el proyecto de clasificación de información</w:t>
      </w:r>
      <w:r w:rsidRPr="00834C6D">
        <w:rPr>
          <w:rFonts w:ascii="Palatino Linotype" w:eastAsia="Palatino Linotype" w:hAnsi="Palatino Linotype" w:cs="Palatino Linotype"/>
          <w:i/>
          <w:sz w:val="22"/>
          <w:szCs w:val="22"/>
          <w:lang w:val="es-MX" w:eastAsia="es-MX"/>
        </w:rPr>
        <w:t xml:space="preserve">…” </w:t>
      </w:r>
    </w:p>
    <w:p w14:paraId="4E8DE88E"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“Artículo 59.</w:t>
      </w:r>
      <w:r w:rsidRPr="00834C6D">
        <w:rPr>
          <w:rFonts w:ascii="Palatino Linotype" w:eastAsia="Palatino Linotype" w:hAnsi="Palatino Linotype" w:cs="Palatino Linotype"/>
          <w:i/>
          <w:sz w:val="22"/>
          <w:szCs w:val="22"/>
          <w:lang w:val="es-MX" w:eastAsia="es-MX"/>
        </w:rPr>
        <w:t xml:space="preserve"> Los </w:t>
      </w:r>
      <w:r w:rsidRPr="00834C6D">
        <w:rPr>
          <w:rFonts w:ascii="Palatino Linotype" w:eastAsia="Palatino Linotype" w:hAnsi="Palatino Linotype" w:cs="Palatino Linotype"/>
          <w:b/>
          <w:i/>
          <w:sz w:val="22"/>
          <w:szCs w:val="22"/>
          <w:lang w:val="es-MX" w:eastAsia="es-MX"/>
        </w:rPr>
        <w:t>servidores públicos habilitados</w:t>
      </w:r>
      <w:r w:rsidRPr="00834C6D">
        <w:rPr>
          <w:rFonts w:ascii="Palatino Linotype" w:eastAsia="Palatino Linotype" w:hAnsi="Palatino Linotype" w:cs="Palatino Linotype"/>
          <w:i/>
          <w:sz w:val="22"/>
          <w:szCs w:val="22"/>
          <w:lang w:val="es-MX" w:eastAsia="es-MX"/>
        </w:rPr>
        <w:t xml:space="preserve"> tendrán las </w:t>
      </w:r>
      <w:r w:rsidRPr="00834C6D">
        <w:rPr>
          <w:rFonts w:ascii="Palatino Linotype" w:eastAsia="Palatino Linotype" w:hAnsi="Palatino Linotype" w:cs="Palatino Linotype"/>
          <w:b/>
          <w:i/>
          <w:sz w:val="22"/>
          <w:szCs w:val="22"/>
          <w:lang w:val="es-MX" w:eastAsia="es-MX"/>
        </w:rPr>
        <w:t>funciones</w:t>
      </w:r>
      <w:r w:rsidRPr="00834C6D">
        <w:rPr>
          <w:rFonts w:ascii="Palatino Linotype" w:eastAsia="Palatino Linotype" w:hAnsi="Palatino Linotype" w:cs="Palatino Linotype"/>
          <w:i/>
          <w:sz w:val="22"/>
          <w:szCs w:val="22"/>
          <w:lang w:val="es-MX" w:eastAsia="es-MX"/>
        </w:rPr>
        <w:t xml:space="preserve"> siguientes:</w:t>
      </w:r>
    </w:p>
    <w:p w14:paraId="351F678E"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b/>
          <w:i/>
          <w:sz w:val="22"/>
          <w:szCs w:val="22"/>
          <w:lang w:val="es-MX" w:eastAsia="es-MX"/>
        </w:rPr>
        <w:t>V. Integrar y presentar al responsable de la Unidad de Transparencia la propuesta de clasificación de información</w:t>
      </w:r>
      <w:r w:rsidRPr="00834C6D">
        <w:rPr>
          <w:rFonts w:ascii="Palatino Linotype" w:eastAsia="Palatino Linotype" w:hAnsi="Palatino Linotype" w:cs="Palatino Linotype"/>
          <w:i/>
          <w:sz w:val="22"/>
          <w:szCs w:val="22"/>
          <w:lang w:val="es-MX" w:eastAsia="es-MX"/>
        </w:rPr>
        <w:t>, la cual tendrá los fundamentos y argumentos en que se basa dicha propuesta…”(Sic)</w:t>
      </w:r>
    </w:p>
    <w:p w14:paraId="10D48682" w14:textId="77777777" w:rsidR="004D61E4" w:rsidRPr="00834C6D" w:rsidRDefault="004D61E4" w:rsidP="004D61E4">
      <w:pPr>
        <w:ind w:left="992" w:right="1043"/>
        <w:jc w:val="both"/>
        <w:rPr>
          <w:rFonts w:ascii="Palatino Linotype" w:eastAsia="Palatino Linotype" w:hAnsi="Palatino Linotype" w:cs="Palatino Linotype"/>
          <w:i/>
          <w:sz w:val="22"/>
          <w:szCs w:val="22"/>
          <w:lang w:val="es-MX" w:eastAsia="es-MX"/>
        </w:rPr>
      </w:pPr>
    </w:p>
    <w:p w14:paraId="4438ED7C"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 xml:space="preserve">Denotándose de dichos elementos normativos que el determinar la clasificación de la información es un trabajo en conjunto tanto de los Servidores Públicos Habilitados, de </w:t>
      </w:r>
      <w:r w:rsidRPr="00834C6D">
        <w:rPr>
          <w:rFonts w:ascii="Palatino Linotype" w:eastAsia="Palatino Linotype" w:hAnsi="Palatino Linotype" w:cs="Palatino Linotype"/>
          <w:szCs w:val="22"/>
          <w:lang w:val="es-MX" w:eastAsia="es-MX"/>
        </w:rPr>
        <w:lastRenderedPageBreak/>
        <w:t xml:space="preserve">las Unidades de Transparencia y del Comité de Transparencia del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6FB9A18"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p>
    <w:p w14:paraId="0D5361B7"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Para lo cual, a su vez en el caso de información de carácter confidencial, se debe atender a lo que señala el artículo 149 de la Ley de Transparencia Local vigente, que se lee como sigue:</w:t>
      </w:r>
    </w:p>
    <w:p w14:paraId="52D85889" w14:textId="77777777" w:rsidR="004D61E4" w:rsidRPr="00834C6D" w:rsidRDefault="004D61E4" w:rsidP="004D61E4">
      <w:pPr>
        <w:spacing w:line="360" w:lineRule="auto"/>
        <w:jc w:val="both"/>
        <w:rPr>
          <w:rFonts w:ascii="Palatino Linotype" w:eastAsia="Palatino Linotype" w:hAnsi="Palatino Linotype" w:cs="Palatino Linotype"/>
          <w:sz w:val="22"/>
          <w:szCs w:val="22"/>
          <w:lang w:val="es-MX" w:eastAsia="es-MX"/>
        </w:rPr>
      </w:pPr>
    </w:p>
    <w:p w14:paraId="50C95C4E" w14:textId="77777777" w:rsidR="004D61E4" w:rsidRPr="00834C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834C6D">
        <w:rPr>
          <w:rFonts w:ascii="Palatino Linotype" w:eastAsia="Palatino Linotype" w:hAnsi="Palatino Linotype" w:cs="Palatino Linotype"/>
          <w:i/>
          <w:sz w:val="22"/>
          <w:szCs w:val="22"/>
          <w:lang w:val="es-MX" w:eastAsia="es-MX"/>
        </w:rPr>
        <w:t>“</w:t>
      </w:r>
      <w:r w:rsidRPr="00834C6D">
        <w:rPr>
          <w:rFonts w:ascii="Palatino Linotype" w:eastAsia="Palatino Linotype" w:hAnsi="Palatino Linotype" w:cs="Palatino Linotype"/>
          <w:b/>
          <w:i/>
          <w:sz w:val="22"/>
          <w:szCs w:val="22"/>
          <w:lang w:val="es-MX" w:eastAsia="es-MX"/>
        </w:rPr>
        <w:t>Artículo 149.</w:t>
      </w:r>
      <w:r w:rsidRPr="00834C6D">
        <w:rPr>
          <w:rFonts w:ascii="Palatino Linotype" w:eastAsia="Palatino Linotype" w:hAnsi="Palatino Linotype" w:cs="Palatino Linotype"/>
          <w:i/>
          <w:sz w:val="22"/>
          <w:szCs w:val="22"/>
          <w:lang w:val="es-MX" w:eastAsia="es-MX"/>
        </w:rPr>
        <w:t xml:space="preserve"> El </w:t>
      </w:r>
      <w:r w:rsidRPr="00834C6D">
        <w:rPr>
          <w:rFonts w:ascii="Palatino Linotype" w:eastAsia="Palatino Linotype" w:hAnsi="Palatino Linotype" w:cs="Palatino Linotype"/>
          <w:b/>
          <w:i/>
          <w:sz w:val="22"/>
          <w:szCs w:val="22"/>
          <w:lang w:val="es-MX" w:eastAsia="es-MX"/>
        </w:rPr>
        <w:t>acuerdo que clasifique la información como confidencial</w:t>
      </w:r>
      <w:r w:rsidRPr="00834C6D">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(Sic)</w:t>
      </w:r>
    </w:p>
    <w:p w14:paraId="57E702B0" w14:textId="77777777" w:rsidR="004D61E4" w:rsidRPr="00834C6D" w:rsidRDefault="004D61E4" w:rsidP="004D61E4">
      <w:pPr>
        <w:spacing w:before="240" w:line="360" w:lineRule="auto"/>
        <w:ind w:right="51"/>
        <w:jc w:val="both"/>
        <w:rPr>
          <w:rFonts w:ascii="Palatino Linotype" w:eastAsia="Palatino Linotype" w:hAnsi="Palatino Linotype" w:cs="Palatino Linotype"/>
          <w:sz w:val="22"/>
          <w:szCs w:val="22"/>
          <w:lang w:val="es-MX" w:eastAsia="es-MX"/>
        </w:rPr>
      </w:pPr>
    </w:p>
    <w:p w14:paraId="545EF86C" w14:textId="77777777" w:rsidR="004D61E4" w:rsidRPr="00834C6D" w:rsidRDefault="004D61E4" w:rsidP="004D61E4">
      <w:pPr>
        <w:spacing w:line="360" w:lineRule="auto"/>
        <w:ind w:right="51"/>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 xml:space="preserve">Es decir, 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A6D22F2" w14:textId="77777777" w:rsidR="004D61E4" w:rsidRPr="00834C6D" w:rsidRDefault="004D61E4" w:rsidP="004D61E4">
      <w:pPr>
        <w:spacing w:line="360" w:lineRule="auto"/>
        <w:ind w:right="51"/>
        <w:jc w:val="both"/>
        <w:rPr>
          <w:rFonts w:ascii="Palatino Linotype" w:eastAsia="Palatino Linotype" w:hAnsi="Palatino Linotype" w:cs="Palatino Linotype"/>
          <w:sz w:val="22"/>
          <w:szCs w:val="22"/>
          <w:lang w:val="es-MX" w:eastAsia="es-MX"/>
        </w:rPr>
      </w:pPr>
    </w:p>
    <w:p w14:paraId="27E28458"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lastRenderedPageBreak/>
        <w:t xml:space="preserve">Al respecto, se destaca que la versión pública que elabore 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debe cumplir con las formalidades exigidas en la Ley; es decir, resulta necesario que el Comité de Transparencia del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34C6D">
        <w:rPr>
          <w:rFonts w:ascii="Palatino Linotype" w:eastAsia="Palatino Linotype" w:hAnsi="Palatino Linotype" w:cs="Palatino Linotype"/>
          <w:b/>
          <w:szCs w:val="22"/>
          <w:lang w:val="es-MX" w:eastAsia="es-MX"/>
        </w:rPr>
        <w:t>LINEAMIENTOS GENERALES EN MATERIA DE CLASIFICACIÓN Y DESCLASIFICACIÓN DE LA INFORMACIÓN, ASÍ COMO PARA LA ELABORACIÓN DE VERSIONES PÚBLICAS</w:t>
      </w:r>
      <w:r w:rsidRPr="00834C6D">
        <w:rPr>
          <w:rFonts w:ascii="Palatino Linotype" w:eastAsia="Palatino Linotype" w:hAnsi="Palatino Linotype" w:cs="Palatino Linotype"/>
          <w:szCs w:val="22"/>
          <w:lang w:val="es-MX" w:eastAsia="es-MX"/>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7FBE30F" w14:textId="77777777" w:rsidR="004D61E4" w:rsidRPr="00834C6D" w:rsidRDefault="004D61E4" w:rsidP="004D61E4">
      <w:pPr>
        <w:ind w:left="709" w:right="709"/>
        <w:jc w:val="both"/>
        <w:rPr>
          <w:rFonts w:ascii="Palatino Linotype" w:eastAsia="Palatino Linotype" w:hAnsi="Palatino Linotype" w:cs="Palatino Linotype"/>
          <w:b/>
          <w:i/>
          <w:sz w:val="22"/>
          <w:szCs w:val="22"/>
          <w:lang w:val="es-MX" w:eastAsia="es-MX"/>
        </w:rPr>
      </w:pPr>
    </w:p>
    <w:p w14:paraId="55428E0A"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“Lineamientos Generales en materia de Clasificación y Desclasificación de la Información, así como para la elaboración de Versiones Públicas</w:t>
      </w:r>
    </w:p>
    <w:p w14:paraId="754FFC6E"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w:t>
      </w:r>
      <w:r w:rsidRPr="00834C6D">
        <w:rPr>
          <w:rFonts w:ascii="Palatino Linotype" w:eastAsia="Palatino Linotype" w:hAnsi="Palatino Linotype" w:cs="Palatino Linotype"/>
          <w:b/>
          <w:i/>
          <w:sz w:val="22"/>
          <w:szCs w:val="22"/>
          <w:lang w:val="es-MX" w:eastAsia="es-MX"/>
        </w:rPr>
        <w:t>Segundo.-</w:t>
      </w:r>
      <w:r w:rsidRPr="00834C6D">
        <w:rPr>
          <w:rFonts w:ascii="Palatino Linotype" w:eastAsia="Palatino Linotype" w:hAnsi="Palatino Linotype" w:cs="Palatino Linotype"/>
          <w:i/>
          <w:sz w:val="22"/>
          <w:szCs w:val="22"/>
          <w:lang w:val="es-MX" w:eastAsia="es-MX"/>
        </w:rPr>
        <w:t xml:space="preserve"> Para efectos de los presentes Lineamientos Generales, se entenderá por:</w:t>
      </w:r>
    </w:p>
    <w:p w14:paraId="18941042"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XVIII.</w:t>
      </w:r>
      <w:r w:rsidRPr="00834C6D">
        <w:rPr>
          <w:rFonts w:ascii="Palatino Linotype" w:eastAsia="Palatino Linotype" w:hAnsi="Palatino Linotype" w:cs="Palatino Linotype"/>
          <w:i/>
          <w:sz w:val="22"/>
          <w:szCs w:val="22"/>
          <w:lang w:val="es-MX" w:eastAsia="es-MX"/>
        </w:rPr>
        <w:t xml:space="preserve"> </w:t>
      </w:r>
      <w:r w:rsidRPr="00834C6D">
        <w:rPr>
          <w:rFonts w:ascii="Palatino Linotype" w:eastAsia="Palatino Linotype" w:hAnsi="Palatino Linotype" w:cs="Palatino Linotype"/>
          <w:b/>
          <w:i/>
          <w:sz w:val="22"/>
          <w:szCs w:val="22"/>
          <w:lang w:val="es-MX" w:eastAsia="es-MX"/>
        </w:rPr>
        <w:t>Versión pública:</w:t>
      </w:r>
      <w:r w:rsidRPr="00834C6D">
        <w:rPr>
          <w:rFonts w:ascii="Palatino Linotype" w:eastAsia="Palatino Linotype" w:hAnsi="Palatino Linotype" w:cs="Palatino Linotype"/>
          <w:i/>
          <w:sz w:val="22"/>
          <w:szCs w:val="22"/>
          <w:lang w:val="es-MX" w:eastAsia="es-MX"/>
        </w:rPr>
        <w:t xml:space="preserve"> El documento a partir del que se otorga acceso a la información, en el que se testan partes o secciones clasificadas, indicando el contenido de éstas de manera genérica, </w:t>
      </w:r>
      <w:r w:rsidRPr="00834C6D">
        <w:rPr>
          <w:rFonts w:ascii="Palatino Linotype" w:eastAsia="Palatino Linotype" w:hAnsi="Palatino Linotype" w:cs="Palatino Linotype"/>
          <w:b/>
          <w:i/>
          <w:sz w:val="22"/>
          <w:szCs w:val="22"/>
          <w:u w:val="single"/>
          <w:lang w:val="es-MX" w:eastAsia="es-MX"/>
        </w:rPr>
        <w:t>fundando y motivando la</w:t>
      </w:r>
      <w:r w:rsidRPr="00834C6D">
        <w:rPr>
          <w:rFonts w:ascii="Palatino Linotype" w:eastAsia="Palatino Linotype" w:hAnsi="Palatino Linotype" w:cs="Palatino Linotype"/>
          <w:i/>
          <w:sz w:val="22"/>
          <w:szCs w:val="22"/>
          <w:lang w:val="es-MX" w:eastAsia="es-MX"/>
        </w:rPr>
        <w:t xml:space="preserve"> reserva o </w:t>
      </w:r>
      <w:r w:rsidRPr="00834C6D">
        <w:rPr>
          <w:rFonts w:ascii="Palatino Linotype" w:eastAsia="Palatino Linotype" w:hAnsi="Palatino Linotype" w:cs="Palatino Linotype"/>
          <w:b/>
          <w:i/>
          <w:sz w:val="22"/>
          <w:szCs w:val="22"/>
          <w:u w:val="single"/>
          <w:lang w:val="es-MX" w:eastAsia="es-MX"/>
        </w:rPr>
        <w:t>confidencialidad</w:t>
      </w:r>
      <w:r w:rsidRPr="00834C6D">
        <w:rPr>
          <w:rFonts w:ascii="Palatino Linotype" w:eastAsia="Palatino Linotype" w:hAnsi="Palatino Linotype" w:cs="Palatino Linotype"/>
          <w:i/>
          <w:sz w:val="22"/>
          <w:szCs w:val="22"/>
          <w:lang w:val="es-MX" w:eastAsia="es-MX"/>
        </w:rPr>
        <w:t>, a través de la resolución que para tal efecto emita el Comité de Transparencia.</w:t>
      </w:r>
    </w:p>
    <w:p w14:paraId="0340770B"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Cuarto.</w:t>
      </w:r>
      <w:r w:rsidRPr="00834C6D">
        <w:rPr>
          <w:rFonts w:ascii="Palatino Linotype" w:eastAsia="Palatino Linotype" w:hAnsi="Palatino Linotype" w:cs="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2383E9"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Los sujetos obligados deberán aplicar, de manera estricta, las excepciones al derecho de acceso a la información y sólo podrán invocarlas cuando acrediten su procedencia.</w:t>
      </w:r>
    </w:p>
    <w:p w14:paraId="7C887435"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lastRenderedPageBreak/>
        <w:t>Quinto.</w:t>
      </w:r>
      <w:r w:rsidRPr="00834C6D">
        <w:rPr>
          <w:rFonts w:ascii="Palatino Linotype" w:eastAsia="Palatino Linotype" w:hAnsi="Palatino Linotype" w:cs="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DF220C"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w:t>
      </w:r>
    </w:p>
    <w:p w14:paraId="2029E587"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Séptimo.</w:t>
      </w:r>
      <w:r w:rsidRPr="00834C6D">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0257243E"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I.</w:t>
      </w:r>
      <w:r w:rsidRPr="00834C6D">
        <w:rPr>
          <w:rFonts w:ascii="Palatino Linotype" w:eastAsia="Palatino Linotype" w:hAnsi="Palatino Linotype" w:cs="Palatino Linotype"/>
          <w:i/>
          <w:sz w:val="22"/>
          <w:szCs w:val="22"/>
          <w:lang w:val="es-MX" w:eastAsia="es-MX"/>
        </w:rPr>
        <w:t xml:space="preserve"> Se reciba una solicitud de acceso a la información;</w:t>
      </w:r>
    </w:p>
    <w:p w14:paraId="64161AD7"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II.</w:t>
      </w:r>
      <w:r w:rsidRPr="00834C6D">
        <w:rPr>
          <w:rFonts w:ascii="Palatino Linotype" w:eastAsia="Palatino Linotype" w:hAnsi="Palatino Linotype" w:cs="Palatino Linotype"/>
          <w:i/>
          <w:sz w:val="22"/>
          <w:szCs w:val="22"/>
          <w:lang w:val="es-MX" w:eastAsia="es-MX"/>
        </w:rPr>
        <w:t xml:space="preserve"> Se determine mediante resolución de autoridad competente, o</w:t>
      </w:r>
    </w:p>
    <w:p w14:paraId="3F108C6A"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III.</w:t>
      </w:r>
      <w:r w:rsidRPr="00834C6D">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78E794F9"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674B05D2"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Octavo.</w:t>
      </w:r>
      <w:r w:rsidRPr="00834C6D">
        <w:rPr>
          <w:rFonts w:ascii="Palatino Linotype" w:eastAsia="Palatino Linotype" w:hAnsi="Palatino Linotype" w:cs="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2B42BF"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4AAC8416"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57540CA5"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E75E8D0"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Los documentos contenidos en los archivos históricos y los identificados como históricos confidenciales no serán susceptibles de clasificación como reservados.</w:t>
      </w:r>
    </w:p>
    <w:p w14:paraId="1C71495C"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lastRenderedPageBreak/>
        <w:t>Noveno.</w:t>
      </w:r>
      <w:r w:rsidRPr="00834C6D">
        <w:rPr>
          <w:rFonts w:ascii="Palatino Linotype" w:eastAsia="Palatino Linotype" w:hAnsi="Palatino Linotype" w:cs="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180113"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Décimo.</w:t>
      </w:r>
      <w:r w:rsidRPr="00834C6D">
        <w:rPr>
          <w:rFonts w:ascii="Palatino Linotype" w:eastAsia="Palatino Linotype" w:hAnsi="Palatino Linotype" w:cs="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0EE07A6" w14:textId="77777777" w:rsidR="004D61E4" w:rsidRPr="00834C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56A84BA9" w14:textId="77777777" w:rsidR="004D61E4" w:rsidRPr="00834C6D" w:rsidRDefault="004D61E4" w:rsidP="004D61E4">
      <w:pPr>
        <w:pBdr>
          <w:top w:val="nil"/>
          <w:left w:val="nil"/>
          <w:bottom w:val="nil"/>
          <w:right w:val="nil"/>
          <w:between w:val="nil"/>
        </w:pBdr>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Décimo primero.</w:t>
      </w:r>
      <w:r w:rsidRPr="00834C6D">
        <w:rPr>
          <w:rFonts w:ascii="Palatino Linotype" w:eastAsia="Palatino Linotype" w:hAnsi="Palatino Linotype" w:cs="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16B82DD" w14:textId="77777777" w:rsidR="004D61E4" w:rsidRPr="00834C6D" w:rsidRDefault="004D61E4" w:rsidP="004D61E4">
      <w:pPr>
        <w:pBdr>
          <w:top w:val="nil"/>
          <w:left w:val="nil"/>
          <w:bottom w:val="nil"/>
          <w:right w:val="nil"/>
          <w:between w:val="nil"/>
        </w:pBdr>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w:t>
      </w:r>
    </w:p>
    <w:p w14:paraId="64882469" w14:textId="77777777" w:rsidR="004D61E4" w:rsidRPr="00834C6D" w:rsidRDefault="004D61E4" w:rsidP="004D61E4">
      <w:pPr>
        <w:pBdr>
          <w:top w:val="nil"/>
          <w:left w:val="nil"/>
          <w:bottom w:val="nil"/>
          <w:right w:val="nil"/>
          <w:between w:val="nil"/>
        </w:pBdr>
        <w:ind w:left="709" w:right="709"/>
        <w:jc w:val="center"/>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CAPÍTULO VIII</w:t>
      </w:r>
    </w:p>
    <w:p w14:paraId="55E9BEF6" w14:textId="77777777" w:rsidR="004D61E4" w:rsidRPr="00834C6D" w:rsidRDefault="004D61E4" w:rsidP="004D61E4">
      <w:pPr>
        <w:pBdr>
          <w:top w:val="nil"/>
          <w:left w:val="nil"/>
          <w:bottom w:val="nil"/>
          <w:right w:val="nil"/>
          <w:between w:val="nil"/>
        </w:pBdr>
        <w:ind w:left="709" w:right="709"/>
        <w:jc w:val="center"/>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DE LA LEYENDA DE CLASIFICACIÓN</w:t>
      </w:r>
    </w:p>
    <w:p w14:paraId="034FD603" w14:textId="77777777" w:rsidR="004D61E4" w:rsidRPr="00834C6D"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Quincuagésimo</w:t>
      </w:r>
      <w:r w:rsidRPr="00834C6D">
        <w:rPr>
          <w:rFonts w:ascii="Palatino Linotype" w:eastAsia="Palatino Linotype" w:hAnsi="Palatino Linotype" w:cs="Palatino Linotype"/>
          <w:i/>
          <w:sz w:val="22"/>
          <w:szCs w:val="22"/>
          <w:lang w:val="es-MX" w:eastAsia="es-MX"/>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8D1E11F" w14:textId="77777777" w:rsidR="004D61E4" w:rsidRPr="00834C6D"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i/>
          <w:sz w:val="22"/>
          <w:szCs w:val="22"/>
          <w:lang w:val="es-MX" w:eastAsia="es-MX"/>
        </w:rPr>
        <w:t>[…]</w:t>
      </w:r>
    </w:p>
    <w:p w14:paraId="16B6264D" w14:textId="77777777" w:rsidR="004D61E4" w:rsidRPr="00834C6D"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834C6D">
        <w:rPr>
          <w:rFonts w:ascii="Palatino Linotype" w:eastAsia="Palatino Linotype" w:hAnsi="Palatino Linotype" w:cs="Palatino Linotype"/>
          <w:b/>
          <w:i/>
          <w:sz w:val="22"/>
          <w:szCs w:val="22"/>
          <w:lang w:val="es-MX" w:eastAsia="es-MX"/>
        </w:rPr>
        <w:t xml:space="preserve">Quincuagésimo tercero. </w:t>
      </w:r>
      <w:r w:rsidRPr="00834C6D">
        <w:rPr>
          <w:rFonts w:ascii="Palatino Linotype" w:eastAsia="Palatino Linotype" w:hAnsi="Palatino Linotype" w:cs="Palatino Linotype"/>
          <w:b/>
          <w:i/>
          <w:sz w:val="22"/>
          <w:szCs w:val="22"/>
          <w:u w:val="single"/>
          <w:lang w:val="es-MX" w:eastAsia="es-MX"/>
        </w:rPr>
        <w:t>El formato para señalar la clasificación parcial de un documento</w:t>
      </w:r>
      <w:r w:rsidRPr="00834C6D">
        <w:rPr>
          <w:rFonts w:ascii="Palatino Linotype" w:eastAsia="Palatino Linotype" w:hAnsi="Palatino Linotype" w:cs="Palatino Linotype"/>
          <w:i/>
          <w:sz w:val="22"/>
          <w:szCs w:val="22"/>
          <w:lang w:val="es-MX" w:eastAsia="es-MX"/>
        </w:rPr>
        <w:t>, es el siguiente:</w:t>
      </w:r>
    </w:p>
    <w:tbl>
      <w:tblPr>
        <w:tblW w:w="8833" w:type="dxa"/>
        <w:jc w:val="center"/>
        <w:tblLayout w:type="fixed"/>
        <w:tblLook w:val="0400" w:firstRow="0" w:lastRow="0" w:firstColumn="0" w:lastColumn="0" w:noHBand="0" w:noVBand="1"/>
      </w:tblPr>
      <w:tblGrid>
        <w:gridCol w:w="1660"/>
        <w:gridCol w:w="1980"/>
        <w:gridCol w:w="5193"/>
      </w:tblGrid>
      <w:tr w:rsidR="004D61E4" w:rsidRPr="00834C6D" w14:paraId="693933CB" w14:textId="77777777" w:rsidTr="00C20311">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64E81FC1" w14:textId="77777777" w:rsidR="004D61E4" w:rsidRPr="00834C6D" w:rsidRDefault="004D61E4" w:rsidP="00C20311">
            <w:pPr>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70967"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b/>
                <w:i/>
                <w:sz w:val="20"/>
                <w:szCs w:val="22"/>
                <w:lang w:val="es-MX" w:eastAsia="es-MX"/>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08989"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b/>
                <w:i/>
                <w:sz w:val="20"/>
                <w:szCs w:val="22"/>
                <w:lang w:val="es-MX" w:eastAsia="es-MX"/>
              </w:rPr>
              <w:t>Dónde:</w:t>
            </w:r>
          </w:p>
        </w:tc>
      </w:tr>
      <w:tr w:rsidR="004D61E4" w:rsidRPr="00834C6D" w14:paraId="5699A900" w14:textId="77777777" w:rsidTr="00C20311">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84E995"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b/>
                <w:i/>
                <w:sz w:val="20"/>
                <w:szCs w:val="22"/>
                <w:lang w:val="es-MX" w:eastAsia="es-MX"/>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1D61D"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00055"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anotará la fecha en la que el Comité de Transparencia confirmó la clasificación del documento, en su caso.</w:t>
            </w:r>
          </w:p>
        </w:tc>
      </w:tr>
      <w:tr w:rsidR="004D61E4" w:rsidRPr="00834C6D" w14:paraId="66F5F927"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F54309"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198889"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7C88F"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señalará el nombre del área del cual es titular quien clasifica.</w:t>
            </w:r>
          </w:p>
        </w:tc>
      </w:tr>
      <w:tr w:rsidR="004D61E4" w:rsidRPr="00834C6D" w14:paraId="2D6081D0"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439E5"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DA8CE"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1E3E4"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 xml:space="preserve">Se indicarán, en su caso, las partes o páginas del documento que se clasifican como reservadas. Si el documento fuera reservado en su totalidad, se </w:t>
            </w:r>
            <w:proofErr w:type="gramStart"/>
            <w:r w:rsidRPr="00834C6D">
              <w:rPr>
                <w:rFonts w:ascii="Palatino Linotype" w:eastAsia="Palatino Linotype" w:hAnsi="Palatino Linotype" w:cs="Palatino Linotype"/>
                <w:i/>
                <w:sz w:val="20"/>
                <w:szCs w:val="22"/>
                <w:lang w:val="es-MX" w:eastAsia="es-MX"/>
              </w:rPr>
              <w:t>anotarán</w:t>
            </w:r>
            <w:proofErr w:type="gramEnd"/>
            <w:r w:rsidRPr="00834C6D">
              <w:rPr>
                <w:rFonts w:ascii="Palatino Linotype" w:eastAsia="Palatino Linotype" w:hAnsi="Palatino Linotype" w:cs="Palatino Linotype"/>
                <w:i/>
                <w:sz w:val="20"/>
                <w:szCs w:val="22"/>
                <w:lang w:val="es-MX" w:eastAsia="es-MX"/>
              </w:rPr>
              <w:t xml:space="preserve"> todas las páginas que lo conforman. Si el documento no contiene información reservada, se tachará este apartado.</w:t>
            </w:r>
          </w:p>
        </w:tc>
      </w:tr>
      <w:tr w:rsidR="004D61E4" w:rsidRPr="00834C6D" w14:paraId="70400E8F"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0D630"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5D02C"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FEE92"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anotará el número de años o meses por los que se mantendrá el documento o las partes del mismo como reservado.</w:t>
            </w:r>
          </w:p>
        </w:tc>
      </w:tr>
      <w:tr w:rsidR="004D61E4" w:rsidRPr="00834C6D" w14:paraId="61456E8A"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B74A4"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36989C"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97B21"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señalará el nombre del ordenamiento, el o los artículos, fracción(es), párrafo(s) con base en los cuales se sustente la reserva.</w:t>
            </w:r>
          </w:p>
        </w:tc>
      </w:tr>
      <w:tr w:rsidR="004D61E4" w:rsidRPr="00834C6D" w14:paraId="63EEE942"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AE7DE6"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AB43"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6E07D"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En caso de haber solicitado la ampliación del periodo de reserva originalmente establecido, se deberá anotar el número de años o meses por los que se amplía la reserva.</w:t>
            </w:r>
          </w:p>
        </w:tc>
      </w:tr>
      <w:tr w:rsidR="004D61E4" w:rsidRPr="00834C6D" w14:paraId="7E90ACE8"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777E9D"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12D9F"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Confidencial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FE569"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4D61E4" w:rsidRPr="00834C6D" w14:paraId="0BFE35CE"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46303A"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4E2EF"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2B7B3"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señalará el nombre del ordenamiento, el o los artículos, fracción(es), párrafo(s) con base en los cuales se sustente la confidencialidad.</w:t>
            </w:r>
          </w:p>
        </w:tc>
      </w:tr>
      <w:tr w:rsidR="004D61E4" w:rsidRPr="00834C6D" w14:paraId="3879A793"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2E944"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BAFD8"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5B8A6"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Rúbrica autógrafa de quien clasifica.</w:t>
            </w:r>
          </w:p>
        </w:tc>
      </w:tr>
      <w:tr w:rsidR="004D61E4" w:rsidRPr="00834C6D" w14:paraId="5C321D70"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1E8221"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2E9A7"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A9850" w14:textId="77777777" w:rsidR="004D61E4" w:rsidRPr="00834C6D" w:rsidRDefault="004D61E4" w:rsidP="00C20311">
            <w:pPr>
              <w:pBdr>
                <w:top w:val="nil"/>
                <w:left w:val="nil"/>
                <w:bottom w:val="nil"/>
                <w:right w:val="nil"/>
                <w:between w:val="nil"/>
              </w:pBdr>
              <w:jc w:val="both"/>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Se anotará la fecha en que se desclasifica el documento.</w:t>
            </w:r>
          </w:p>
        </w:tc>
      </w:tr>
      <w:tr w:rsidR="004D61E4" w:rsidRPr="00834C6D" w14:paraId="07749FE0" w14:textId="77777777" w:rsidTr="00C2031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02C81" w14:textId="77777777" w:rsidR="004D61E4" w:rsidRPr="00834C6D" w:rsidRDefault="004D61E4" w:rsidP="00C20311">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D80A08" w14:textId="77777777" w:rsidR="004D61E4" w:rsidRPr="00834C6D" w:rsidRDefault="004D61E4" w:rsidP="00C20311">
            <w:pPr>
              <w:pBdr>
                <w:top w:val="nil"/>
                <w:left w:val="nil"/>
                <w:bottom w:val="nil"/>
                <w:right w:val="nil"/>
                <w:between w:val="nil"/>
              </w:pBdr>
              <w:jc w:val="cente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5C572" w14:textId="77777777" w:rsidR="004D61E4" w:rsidRPr="00834C6D" w:rsidRDefault="004D61E4" w:rsidP="00C20311">
            <w:pPr>
              <w:pBdr>
                <w:top w:val="nil"/>
                <w:left w:val="nil"/>
                <w:bottom w:val="nil"/>
                <w:right w:val="nil"/>
                <w:between w:val="nil"/>
              </w:pBdr>
              <w:rPr>
                <w:rFonts w:ascii="Palatino Linotype" w:hAnsi="Palatino Linotype"/>
                <w:sz w:val="20"/>
                <w:szCs w:val="22"/>
                <w:lang w:val="es-MX" w:eastAsia="es-MX"/>
              </w:rPr>
            </w:pPr>
            <w:r w:rsidRPr="00834C6D">
              <w:rPr>
                <w:rFonts w:ascii="Palatino Linotype" w:eastAsia="Palatino Linotype" w:hAnsi="Palatino Linotype" w:cs="Palatino Linotype"/>
                <w:i/>
                <w:sz w:val="20"/>
                <w:szCs w:val="22"/>
                <w:lang w:val="es-MX" w:eastAsia="es-MX"/>
              </w:rPr>
              <w:t>Rúbrica autógrafa de quien desclasifica.</w:t>
            </w:r>
          </w:p>
        </w:tc>
      </w:tr>
    </w:tbl>
    <w:p w14:paraId="202618B6" w14:textId="77777777" w:rsidR="004D61E4" w:rsidRDefault="004D61E4" w:rsidP="004D61E4">
      <w:pPr>
        <w:spacing w:line="360" w:lineRule="auto"/>
        <w:jc w:val="both"/>
        <w:rPr>
          <w:rFonts w:ascii="Palatino Linotype" w:eastAsia="Palatino Linotype" w:hAnsi="Palatino Linotype" w:cs="Palatino Linotype"/>
          <w:szCs w:val="22"/>
          <w:lang w:val="es-MX" w:eastAsia="es-MX"/>
        </w:rPr>
      </w:pPr>
    </w:p>
    <w:p w14:paraId="708ECAC4"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Efectivamente, cuando se clasifica información como confidencial es importante someterlo al Comité de Transparencia, quien debe confirmar, modificar o revocar la clasificación.</w:t>
      </w:r>
    </w:p>
    <w:p w14:paraId="3105BA70"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p>
    <w:p w14:paraId="43CE30A1" w14:textId="77777777" w:rsidR="004D61E4" w:rsidRPr="00834C6D" w:rsidRDefault="004D61E4" w:rsidP="004D61E4">
      <w:pPr>
        <w:shd w:val="clear" w:color="auto" w:fill="FFFFFF"/>
        <w:spacing w:line="360" w:lineRule="auto"/>
        <w:ind w:right="51"/>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 xml:space="preserve">Por lo tanto, la entrega de documentos en su versión pública debe acompañarse necesariamente del Acuerdo del Comité de Transparencia que la sustente, en el que se expongan los fundamentos y razonamientos que llevaron al </w:t>
      </w:r>
      <w:r w:rsidRPr="00834C6D">
        <w:rPr>
          <w:rFonts w:ascii="Palatino Linotype" w:eastAsia="Palatino Linotype" w:hAnsi="Palatino Linotype" w:cs="Palatino Linotype"/>
          <w:b/>
          <w:szCs w:val="22"/>
          <w:lang w:val="es-MX" w:eastAsia="es-MX"/>
        </w:rPr>
        <w:t>Sujeto Obligado</w:t>
      </w:r>
      <w:r w:rsidRPr="00834C6D">
        <w:rPr>
          <w:rFonts w:ascii="Palatino Linotype" w:eastAsia="Palatino Linotype" w:hAnsi="Palatino Linotype" w:cs="Palatino Linotype"/>
          <w:szCs w:val="22"/>
          <w:lang w:val="es-MX" w:eastAsia="es-MX"/>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w:t>
      </w:r>
      <w:r w:rsidRPr="00834C6D">
        <w:rPr>
          <w:rFonts w:ascii="Palatino Linotype" w:eastAsia="Palatino Linotype" w:hAnsi="Palatino Linotype" w:cs="Palatino Linotype"/>
          <w:szCs w:val="22"/>
          <w:lang w:val="es-MX" w:eastAsia="es-MX"/>
        </w:rPr>
        <w:lastRenderedPageBreak/>
        <w:t xml:space="preserve">las razones de ello se estaría violentando desde un inicio el derecho de acceso a la información del solicitante, por lo que el acuerdo respectivo, deberá hacerse del conocimiento del </w:t>
      </w:r>
      <w:r w:rsidRPr="00834C6D">
        <w:rPr>
          <w:rFonts w:ascii="Palatino Linotype" w:eastAsia="Palatino Linotype" w:hAnsi="Palatino Linotype" w:cs="Palatino Linotype"/>
          <w:b/>
          <w:szCs w:val="22"/>
          <w:lang w:val="es-MX" w:eastAsia="es-MX"/>
        </w:rPr>
        <w:t>Recurrente</w:t>
      </w:r>
      <w:r w:rsidRPr="00834C6D">
        <w:rPr>
          <w:rFonts w:ascii="Palatino Linotype" w:eastAsia="Palatino Linotype" w:hAnsi="Palatino Linotype" w:cs="Palatino Linotype"/>
          <w:szCs w:val="22"/>
          <w:lang w:val="es-MX" w:eastAsia="es-MX"/>
        </w:rPr>
        <w:t>.</w:t>
      </w:r>
    </w:p>
    <w:p w14:paraId="582C7770"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p>
    <w:p w14:paraId="3CEEF38E" w14:textId="77777777" w:rsidR="004D61E4" w:rsidRPr="00834C6D" w:rsidRDefault="004D61E4" w:rsidP="004D61E4">
      <w:pPr>
        <w:spacing w:line="360" w:lineRule="auto"/>
        <w:jc w:val="both"/>
        <w:rPr>
          <w:rFonts w:ascii="Palatino Linotype" w:eastAsia="Palatino Linotype" w:hAnsi="Palatino Linotype" w:cs="Palatino Linotype"/>
          <w:szCs w:val="22"/>
          <w:lang w:val="es-MX" w:eastAsia="es-MX"/>
        </w:rPr>
      </w:pPr>
      <w:r w:rsidRPr="00834C6D">
        <w:rPr>
          <w:rFonts w:ascii="Palatino Linotype" w:eastAsia="Palatino Linotype" w:hAnsi="Palatino Linotype" w:cs="Palatino Linotype"/>
          <w:szCs w:val="22"/>
          <w:lang w:val="es-MX"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7237D6EE" w14:textId="77777777" w:rsidR="00581C32" w:rsidRDefault="00581C32" w:rsidP="009A6521">
      <w:pPr>
        <w:spacing w:line="360" w:lineRule="auto"/>
        <w:jc w:val="both"/>
        <w:rPr>
          <w:rFonts w:ascii="Palatino Linotype" w:hAnsi="Palatino Linotype" w:cs="Arial"/>
          <w:lang w:eastAsia="es-MX"/>
        </w:rPr>
      </w:pPr>
    </w:p>
    <w:p w14:paraId="018A3EA2" w14:textId="08342EFB"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mente, y en mérito de lo expuesto en líneas anteriores, resultan fundados los motivos de inconformidad vertidos por</w:t>
      </w:r>
      <w:r w:rsidR="00EC0266">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C570B0">
        <w:rPr>
          <w:rFonts w:ascii="Palatino Linotype" w:hAnsi="Palatino Linotype"/>
          <w:i/>
        </w:rPr>
        <w:t>primer</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C570B0" w:rsidRPr="00C570B0">
        <w:rPr>
          <w:rFonts w:ascii="Palatino Linotype" w:hAnsi="Palatino Linotype"/>
          <w:b/>
          <w:bCs/>
        </w:rPr>
        <w:t>REVO</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A664DC" w:rsidRPr="00A664DC">
        <w:rPr>
          <w:rFonts w:ascii="Palatino Linotype" w:hAnsi="Palatino Linotype" w:cs="Arial"/>
          <w:b/>
        </w:rPr>
        <w:t>00327/TOLUCA/IP/2025</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0833E19F" w14:textId="36E08C25" w:rsidR="009A6521"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23CEC153" w14:textId="77777777" w:rsidR="00B10A2E" w:rsidRPr="006037CA" w:rsidRDefault="00B10A2E" w:rsidP="009A6521">
      <w:pPr>
        <w:spacing w:line="360" w:lineRule="auto"/>
        <w:jc w:val="both"/>
        <w:rPr>
          <w:rFonts w:ascii="Palatino Linotype" w:hAnsi="Palatino Linotype"/>
        </w:rPr>
      </w:pPr>
    </w:p>
    <w:p w14:paraId="00772740" w14:textId="4A59BF46" w:rsidR="009A6521" w:rsidRDefault="009A6521" w:rsidP="00561D99">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700BABFE" w14:textId="77777777" w:rsidR="00561D99" w:rsidRPr="00561D99" w:rsidRDefault="00561D99" w:rsidP="00561D99">
      <w:pPr>
        <w:spacing w:line="360" w:lineRule="auto"/>
        <w:jc w:val="center"/>
        <w:rPr>
          <w:rFonts w:ascii="Palatino Linotype" w:hAnsi="Palatino Linotype"/>
          <w:b/>
          <w:bCs/>
          <w:spacing w:val="60"/>
          <w:lang w:val="es-ES_tradnl"/>
        </w:rPr>
      </w:pPr>
    </w:p>
    <w:p w14:paraId="2EAA7CD9" w14:textId="18A2E255" w:rsidR="009A6521"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C570B0">
        <w:rPr>
          <w:rFonts w:ascii="Palatino Linotype" w:hAnsi="Palatino Linotype" w:cs="Arial"/>
          <w:b/>
        </w:rPr>
        <w:t>REVO</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A664DC" w:rsidRPr="00A664DC">
        <w:rPr>
          <w:rFonts w:ascii="Palatino Linotype" w:hAnsi="Palatino Linotype" w:cs="Arial"/>
          <w:b/>
        </w:rPr>
        <w:t>00327/TOLUCA/IP/2025</w:t>
      </w:r>
      <w:r w:rsidRPr="006037CA">
        <w:rPr>
          <w:rFonts w:ascii="Palatino Linotype" w:hAnsi="Palatino Linotype" w:cs="Arial"/>
        </w:rPr>
        <w:t>, por resultar</w:t>
      </w:r>
      <w:r w:rsidR="00C07D06">
        <w:rPr>
          <w:rFonts w:ascii="Palatino Linotype" w:hAnsi="Palatino Linotype" w:cs="Arial"/>
        </w:rPr>
        <w:t xml:space="preserve"> </w:t>
      </w:r>
      <w:r w:rsidRPr="006037CA">
        <w:rPr>
          <w:rFonts w:ascii="Palatino Linotype" w:hAnsi="Palatino Linotype" w:cs="Arial"/>
        </w:rPr>
        <w:t>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C120DF">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3C8CD3B1" w14:textId="4D0F1511" w:rsidR="009A6521" w:rsidRDefault="009A6521" w:rsidP="00561D99">
      <w:pPr>
        <w:spacing w:line="360" w:lineRule="auto"/>
        <w:jc w:val="both"/>
        <w:rPr>
          <w:rFonts w:ascii="Palatino Linotype" w:hAnsi="Palatino Linotype" w:cs="Arial"/>
        </w:rPr>
      </w:pPr>
      <w:r w:rsidRPr="006037CA">
        <w:rPr>
          <w:rFonts w:ascii="Palatino Linotype" w:hAnsi="Palatino Linotype" w:cs="Arial"/>
          <w:b/>
          <w:sz w:val="28"/>
          <w:szCs w:val="28"/>
        </w:rPr>
        <w:lastRenderedPageBreak/>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D938FB" w:rsidRPr="005D5264">
        <w:rPr>
          <w:rFonts w:ascii="Palatino Linotype" w:hAnsi="Palatino Linotype" w:cs="Arial"/>
          <w:b/>
        </w:rPr>
        <w:t>QUIN</w:t>
      </w:r>
      <w:r w:rsidRPr="005D5264">
        <w:rPr>
          <w:rFonts w:ascii="Palatino Linotype" w:hAnsi="Palatino Linotype" w:cs="Arial"/>
          <w:b/>
        </w:rPr>
        <w:t xml:space="preserve">TO </w:t>
      </w:r>
      <w:r w:rsidRPr="005D5264">
        <w:rPr>
          <w:rFonts w:ascii="Palatino Linotype" w:hAnsi="Palatino Linotype" w:cs="Arial"/>
        </w:rPr>
        <w:t>de</w:t>
      </w:r>
      <w:r w:rsidRPr="006037CA">
        <w:rPr>
          <w:rFonts w:ascii="Palatino Linotype" w:hAnsi="Palatino Linotype" w:cs="Arial"/>
        </w:rPr>
        <w:t xml:space="preserv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006B0E22">
        <w:rPr>
          <w:rFonts w:ascii="Palatino Linotype" w:hAnsi="Palatino Linotype" w:cs="Arial"/>
        </w:rPr>
        <w:t xml:space="preserve">, </w:t>
      </w:r>
      <w:r w:rsidR="00A664DC">
        <w:rPr>
          <w:rFonts w:ascii="Palatino Linotype" w:hAnsi="Palatino Linotype" w:cs="Arial"/>
        </w:rPr>
        <w:t xml:space="preserve">de ser procedente en </w:t>
      </w:r>
      <w:r w:rsidR="004D61E4">
        <w:rPr>
          <w:rFonts w:ascii="Palatino Linotype" w:hAnsi="Palatino Linotype" w:cs="Arial"/>
        </w:rPr>
        <w:t xml:space="preserve">versión pública de </w:t>
      </w:r>
      <w:r>
        <w:rPr>
          <w:rFonts w:ascii="Palatino Linotype" w:hAnsi="Palatino Linotype" w:cs="Arial"/>
        </w:rPr>
        <w:t xml:space="preserve">lo </w:t>
      </w:r>
      <w:r w:rsidRPr="006037CA">
        <w:rPr>
          <w:rFonts w:ascii="Palatino Linotype" w:hAnsi="Palatino Linotype" w:cs="Arial"/>
        </w:rPr>
        <w:t>siguiente:</w:t>
      </w:r>
    </w:p>
    <w:p w14:paraId="009C7C22" w14:textId="77777777" w:rsidR="00561D99" w:rsidRPr="00561D99" w:rsidRDefault="00561D99" w:rsidP="00561D99">
      <w:pPr>
        <w:spacing w:line="360" w:lineRule="auto"/>
        <w:jc w:val="both"/>
        <w:rPr>
          <w:rFonts w:ascii="Palatino Linotype" w:hAnsi="Palatino Linotype" w:cs="Arial"/>
        </w:rPr>
      </w:pPr>
    </w:p>
    <w:p w14:paraId="287BAA9C" w14:textId="07517E2A" w:rsidR="004D61E4" w:rsidRDefault="00A664DC" w:rsidP="00C120DF">
      <w:pPr>
        <w:numPr>
          <w:ilvl w:val="0"/>
          <w:numId w:val="9"/>
        </w:numPr>
        <w:spacing w:line="360" w:lineRule="auto"/>
        <w:ind w:right="141"/>
        <w:jc w:val="both"/>
        <w:rPr>
          <w:rFonts w:ascii="Palatino Linotype" w:hAnsi="Palatino Linotype" w:cs="Arial"/>
        </w:rPr>
      </w:pPr>
      <w:r>
        <w:rPr>
          <w:rFonts w:ascii="Palatino Linotype" w:hAnsi="Palatino Linotype" w:cs="Arial"/>
        </w:rPr>
        <w:t>El o los documentos en donde conste el e</w:t>
      </w:r>
      <w:r w:rsidRPr="00A664DC">
        <w:rPr>
          <w:rFonts w:ascii="Palatino Linotype" w:hAnsi="Palatino Linotype" w:cs="Arial"/>
        </w:rPr>
        <w:t xml:space="preserve">stado financiero </w:t>
      </w:r>
      <w:r>
        <w:rPr>
          <w:rFonts w:ascii="Palatino Linotype" w:hAnsi="Palatino Linotype" w:cs="Arial"/>
        </w:rPr>
        <w:t>de</w:t>
      </w:r>
      <w:r w:rsidRPr="00A664DC">
        <w:rPr>
          <w:rFonts w:ascii="Palatino Linotype" w:hAnsi="Palatino Linotype" w:cs="Arial"/>
        </w:rPr>
        <w:t xml:space="preserve">l </w:t>
      </w:r>
      <w:r w:rsidRPr="00A664DC">
        <w:rPr>
          <w:rFonts w:ascii="Palatino Linotype" w:hAnsi="Palatino Linotype" w:cs="Arial"/>
          <w:b/>
          <w:bCs/>
        </w:rPr>
        <w:t>Sujeto Obligado</w:t>
      </w:r>
      <w:r>
        <w:rPr>
          <w:rFonts w:ascii="Palatino Linotype" w:hAnsi="Palatino Linotype" w:cs="Arial"/>
        </w:rPr>
        <w:t xml:space="preserve"> al dieciséis de enero de dos mil veinticinco</w:t>
      </w:r>
      <w:r w:rsidR="004D61E4">
        <w:rPr>
          <w:rFonts w:ascii="Palatino Linotype" w:hAnsi="Palatino Linotype" w:cs="Arial"/>
        </w:rPr>
        <w:t>.</w:t>
      </w:r>
    </w:p>
    <w:p w14:paraId="3839DCA2" w14:textId="77777777" w:rsidR="004D61E4" w:rsidRDefault="004D61E4" w:rsidP="004D61E4">
      <w:pPr>
        <w:pStyle w:val="Sinespaciado"/>
      </w:pPr>
    </w:p>
    <w:p w14:paraId="175CB6E5" w14:textId="77777777" w:rsidR="004D61E4" w:rsidRDefault="004D61E4" w:rsidP="004D61E4">
      <w:pPr>
        <w:ind w:left="360" w:right="141"/>
        <w:jc w:val="both"/>
        <w:rPr>
          <w:rFonts w:ascii="Palatino Linotype" w:hAnsi="Palatino Linotype"/>
          <w:i/>
          <w:sz w:val="22"/>
        </w:rPr>
      </w:pPr>
      <w:r w:rsidRPr="00DF2507">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F2507">
        <w:rPr>
          <w:rFonts w:ascii="Palatino Linotype" w:hAnsi="Palatino Linotype"/>
          <w:b/>
          <w:i/>
          <w:sz w:val="22"/>
        </w:rPr>
        <w:t>Recurrente</w:t>
      </w:r>
      <w:r w:rsidRPr="00DF2507">
        <w:rPr>
          <w:rFonts w:ascii="Palatino Linotype" w:hAnsi="Palatino Linotype"/>
          <w:i/>
          <w:sz w:val="22"/>
        </w:rPr>
        <w:t>.</w:t>
      </w:r>
    </w:p>
    <w:p w14:paraId="3B962E19" w14:textId="7BE088F0" w:rsidR="004D61E4" w:rsidRDefault="004D61E4" w:rsidP="00A664DC">
      <w:pPr>
        <w:pStyle w:val="Sinespaciado"/>
      </w:pPr>
    </w:p>
    <w:p w14:paraId="3754F562" w14:textId="77777777" w:rsidR="00561D99" w:rsidRPr="00561D99" w:rsidRDefault="00561D99" w:rsidP="00C120DF">
      <w:pPr>
        <w:ind w:right="141"/>
        <w:jc w:val="both"/>
        <w:rPr>
          <w:rFonts w:ascii="Palatino Linotype" w:hAnsi="Palatino Linotype"/>
          <w:i/>
          <w:sz w:val="22"/>
        </w:rPr>
      </w:pPr>
    </w:p>
    <w:p w14:paraId="73ABF2D6" w14:textId="6B979E9C" w:rsidR="009A6521"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Pr>
          <w:rFonts w:ascii="Palatino Linotype" w:hAnsi="Palatino Linotype" w:cs="Arial"/>
          <w:szCs w:val="28"/>
          <w:lang w:val="es-ES_tradnl"/>
        </w:rPr>
        <w:t xml:space="preserve"> III; 214, 215 y 216 de la Ley </w:t>
      </w:r>
      <w:r w:rsidRPr="006037CA">
        <w:rPr>
          <w:rFonts w:ascii="Palatino Linotype" w:hAnsi="Palatino Linotype" w:cs="Arial"/>
          <w:szCs w:val="28"/>
          <w:lang w:val="es-ES_tradnl"/>
        </w:rPr>
        <w:t>de Transparencia y Acceso a la Información Pública del Estado de México y Municipios.</w:t>
      </w:r>
    </w:p>
    <w:p w14:paraId="49858C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Default="009A6521" w:rsidP="00561D99">
      <w:pPr>
        <w:spacing w:line="360" w:lineRule="auto"/>
        <w:jc w:val="both"/>
        <w:rPr>
          <w:rFonts w:ascii="Palatino Linotype" w:hAnsi="Palatino Linotype" w:cs="Arial"/>
          <w:bCs/>
          <w:szCs w:val="28"/>
        </w:rPr>
      </w:pPr>
      <w:r w:rsidRPr="006037CA">
        <w:rPr>
          <w:rFonts w:ascii="Palatino Linotype" w:hAnsi="Palatino Linotype" w:cs="Arial"/>
          <w:b/>
          <w:bCs/>
          <w:sz w:val="28"/>
          <w:szCs w:val="28"/>
        </w:rPr>
        <w:lastRenderedPageBreak/>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561D99" w:rsidRDefault="00561D99" w:rsidP="00561D99">
      <w:pPr>
        <w:spacing w:line="360" w:lineRule="auto"/>
        <w:jc w:val="both"/>
        <w:rPr>
          <w:rFonts w:ascii="Palatino Linotype" w:hAnsi="Palatino Linotype" w:cs="Arial"/>
          <w:bCs/>
          <w:szCs w:val="28"/>
        </w:rPr>
      </w:pPr>
    </w:p>
    <w:p w14:paraId="1B4E606C" w14:textId="371D2306" w:rsidR="00DF2507"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708C2C7B" w14:textId="134B8DC8"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4309A2"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C07D06">
        <w:rPr>
          <w:rFonts w:ascii="Palatino Linotype" w:eastAsiaTheme="minorHAnsi" w:hAnsi="Palatino Linotype" w:cs="Arial"/>
          <w:lang w:val="es-MX" w:eastAsia="en-US"/>
        </w:rPr>
        <w:t>DÉCIMA</w:t>
      </w:r>
      <w:r w:rsidR="007D645B">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C07D06">
        <w:rPr>
          <w:rFonts w:ascii="Palatino Linotype" w:hAnsi="Palatino Linotype" w:cs="Arial"/>
          <w:color w:val="000000"/>
          <w:lang w:val="es-MX" w:eastAsia="es-MX"/>
        </w:rPr>
        <w:t>VEINTE</w:t>
      </w:r>
      <w:r w:rsidR="00561D99">
        <w:rPr>
          <w:rFonts w:ascii="Palatino Linotype" w:hAnsi="Palatino Linotype" w:cs="Arial"/>
          <w:color w:val="000000"/>
          <w:lang w:val="es-MX" w:eastAsia="es-MX"/>
        </w:rPr>
        <w:t xml:space="preserve"> DE MARZO DOS MIL VEINTICINCO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10A2E">
        <w:rPr>
          <w:rFonts w:ascii="Palatino Linotype" w:eastAsiaTheme="minorHAnsi" w:hAnsi="Palatino Linotype" w:cs="Arial"/>
          <w:lang w:val="es-MX" w:eastAsia="en-US"/>
        </w:rPr>
        <w:t>-----------</w:t>
      </w:r>
      <w:r w:rsidR="00C120DF">
        <w:rPr>
          <w:rFonts w:ascii="Palatino Linotype" w:eastAsiaTheme="minorHAnsi" w:hAnsi="Palatino Linotype" w:cs="Arial"/>
          <w:lang w:val="es-MX" w:eastAsia="en-US"/>
        </w:rPr>
        <w:t>--------------------------------------</w:t>
      </w:r>
      <w:r w:rsidR="00A664DC">
        <w:rPr>
          <w:rFonts w:ascii="Palatino Linotype" w:eastAsiaTheme="minorHAnsi" w:hAnsi="Palatino Linotype" w:cs="Arial"/>
          <w:lang w:val="es-MX" w:eastAsia="en-US"/>
        </w:rPr>
        <w:t>------------------------------------------------------------------------------------------------------------------------------------------------------------------------------------------------------------------------------------------------------------------------------------------------------------------------------------------------------</w:t>
      </w:r>
      <w:r w:rsidR="00C120DF">
        <w:rPr>
          <w:rFonts w:ascii="Palatino Linotype" w:eastAsiaTheme="minorHAnsi" w:hAnsi="Palatino Linotype" w:cs="Arial"/>
          <w:lang w:val="es-MX" w:eastAsia="en-US"/>
        </w:rPr>
        <w:t>-------------------------------------------------</w:t>
      </w:r>
      <w:r w:rsidR="00AC1763">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B10A2E">
        <w:rPr>
          <w:rFonts w:ascii="Palatino Linotype" w:eastAsiaTheme="minorHAnsi" w:hAnsi="Palatino Linotype" w:cs="Arial"/>
          <w:sz w:val="16"/>
          <w:szCs w:val="16"/>
          <w:lang w:val="es-MX" w:eastAsia="en-US"/>
        </w:rPr>
        <w:t>JMV/CCR/</w:t>
      </w:r>
      <w:proofErr w:type="spellStart"/>
      <w:r w:rsidRPr="00B10A2E">
        <w:rPr>
          <w:rFonts w:ascii="Palatino Linotype" w:eastAsiaTheme="minorHAnsi" w:hAnsi="Palatino Linotype" w:cs="Arial"/>
          <w:sz w:val="16"/>
          <w:szCs w:val="16"/>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75CDB3F" w:rsidR="0029071C" w:rsidRPr="003E56C9" w:rsidRDefault="0029071C" w:rsidP="003E56C9"/>
    <w:sectPr w:rsidR="0029071C" w:rsidRPr="003E56C9" w:rsidSect="00742DA4">
      <w:headerReference w:type="even" r:id="rId21"/>
      <w:headerReference w:type="default" r:id="rId22"/>
      <w:footerReference w:type="default" r:id="rId23"/>
      <w:headerReference w:type="first" r:id="rId24"/>
      <w:footerReference w:type="first" r:id="rId2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0DD4E" w14:textId="77777777" w:rsidR="00FE6D41" w:rsidRDefault="00FE6D41" w:rsidP="000B5E25">
      <w:r>
        <w:separator/>
      </w:r>
    </w:p>
  </w:endnote>
  <w:endnote w:type="continuationSeparator" w:id="0">
    <w:p w14:paraId="2FFB9579" w14:textId="77777777" w:rsidR="00FE6D41" w:rsidRDefault="00FE6D4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055CE302"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11857">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11857">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3994D764"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1185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11857">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B8BC" w14:textId="77777777" w:rsidR="00FE6D41" w:rsidRDefault="00FE6D41" w:rsidP="000B5E25">
      <w:r>
        <w:separator/>
      </w:r>
    </w:p>
  </w:footnote>
  <w:footnote w:type="continuationSeparator" w:id="0">
    <w:p w14:paraId="1265BEAB" w14:textId="77777777" w:rsidR="00FE6D41" w:rsidRDefault="00FE6D41" w:rsidP="000B5E25">
      <w:r>
        <w:continuationSeparator/>
      </w:r>
    </w:p>
  </w:footnote>
  <w:footnote w:id="1">
    <w:p w14:paraId="415B7283" w14:textId="77777777" w:rsidR="0075607A" w:rsidRPr="008A64CB" w:rsidRDefault="0075607A"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5607A" w:rsidRDefault="0075607A" w:rsidP="008A64CB">
      <w:pPr>
        <w:autoSpaceDE w:val="0"/>
        <w:autoSpaceDN w:val="0"/>
        <w:adjustRightInd w:val="0"/>
        <w:ind w:right="49"/>
        <w:jc w:val="both"/>
        <w:rPr>
          <w:rFonts w:ascii="Palatino Linotype" w:hAnsi="Palatino Linotype"/>
          <w:i/>
          <w:sz w:val="18"/>
          <w:szCs w:val="22"/>
        </w:rPr>
      </w:pPr>
    </w:p>
    <w:p w14:paraId="2A843A3D" w14:textId="77777777" w:rsidR="0075607A" w:rsidRPr="008A64CB" w:rsidRDefault="0075607A"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5607A" w:rsidRPr="008A64CB" w:rsidRDefault="0075607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5607A" w:rsidRDefault="00411857">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75607A" w:rsidRPr="008F2CCC" w14:paraId="6A2352FA" w14:textId="77777777" w:rsidTr="00BC757D">
      <w:tc>
        <w:tcPr>
          <w:tcW w:w="2693" w:type="dxa"/>
          <w:shd w:val="clear" w:color="auto" w:fill="auto"/>
          <w:vAlign w:val="center"/>
        </w:tcPr>
        <w:p w14:paraId="217E963F"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6AECA04C"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8032C">
            <w:rPr>
              <w:rFonts w:ascii="Palatino Linotype" w:hAnsi="Palatino Linotype"/>
              <w:sz w:val="22"/>
              <w:szCs w:val="22"/>
              <w:lang w:val="es-ES_tradnl"/>
            </w:rPr>
            <w:t>101</w:t>
          </w:r>
          <w:r w:rsidR="00DD62C0">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1F299A1F" w14:textId="77777777" w:rsidTr="00BC757D">
      <w:trPr>
        <w:trHeight w:val="228"/>
      </w:trPr>
      <w:tc>
        <w:tcPr>
          <w:tcW w:w="2693" w:type="dxa"/>
          <w:shd w:val="clear" w:color="auto" w:fill="auto"/>
          <w:vAlign w:val="center"/>
        </w:tcPr>
        <w:p w14:paraId="683328AB"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75607A" w:rsidRPr="0029071C" w:rsidRDefault="0075607A"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75607A" w:rsidRPr="008F2CCC" w14:paraId="46D09EF7" w14:textId="77777777" w:rsidTr="00BC757D">
      <w:tc>
        <w:tcPr>
          <w:tcW w:w="2693" w:type="dxa"/>
          <w:shd w:val="clear" w:color="auto" w:fill="auto"/>
          <w:vAlign w:val="center"/>
        </w:tcPr>
        <w:p w14:paraId="1A0A5ED2" w14:textId="77777777" w:rsidR="0075607A" w:rsidRPr="008F5DAE" w:rsidRDefault="0075607A"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5607A" w:rsidRPr="001779E0" w:rsidRDefault="0041185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75607A" w:rsidRPr="008F2CCC" w14:paraId="647E1A5E" w14:textId="77777777" w:rsidTr="00515252">
      <w:tc>
        <w:tcPr>
          <w:tcW w:w="2552" w:type="dxa"/>
          <w:shd w:val="clear" w:color="auto" w:fill="auto"/>
          <w:vAlign w:val="center"/>
        </w:tcPr>
        <w:p w14:paraId="61C1A94D"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383198AF"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8032C">
            <w:rPr>
              <w:rFonts w:ascii="Palatino Linotype" w:hAnsi="Palatino Linotype"/>
              <w:sz w:val="22"/>
              <w:szCs w:val="22"/>
              <w:lang w:val="es-ES_tradnl"/>
            </w:rPr>
            <w:t>101</w:t>
          </w:r>
          <w:r w:rsidR="00DD62C0">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34929B82" w14:textId="77777777" w:rsidTr="00515252">
      <w:tc>
        <w:tcPr>
          <w:tcW w:w="2552" w:type="dxa"/>
          <w:shd w:val="clear" w:color="auto" w:fill="auto"/>
          <w:vAlign w:val="center"/>
        </w:tcPr>
        <w:p w14:paraId="54C6870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60991ECF" w:rsidR="0075607A" w:rsidRPr="006D30E6" w:rsidRDefault="0041185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5607A" w:rsidRPr="008F2CCC" w14:paraId="15459416" w14:textId="77777777" w:rsidTr="00515252">
      <w:trPr>
        <w:trHeight w:val="228"/>
      </w:trPr>
      <w:tc>
        <w:tcPr>
          <w:tcW w:w="2552" w:type="dxa"/>
          <w:shd w:val="clear" w:color="auto" w:fill="auto"/>
          <w:vAlign w:val="center"/>
        </w:tcPr>
        <w:p w14:paraId="776491B5"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75607A" w:rsidRPr="0029071C" w:rsidRDefault="0075607A"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75607A" w:rsidRPr="008F2CCC" w14:paraId="5C009CDE" w14:textId="77777777" w:rsidTr="00515252">
      <w:tc>
        <w:tcPr>
          <w:tcW w:w="2552" w:type="dxa"/>
          <w:shd w:val="clear" w:color="auto" w:fill="auto"/>
          <w:vAlign w:val="center"/>
        </w:tcPr>
        <w:p w14:paraId="294ED62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75607A" w:rsidRDefault="00411857">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75607A" w:rsidRPr="009F1AB6" w:rsidRDefault="0075607A">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visibility:visible;mso-wrap-style:square" o:bullet="t">
        <v:imagedata r:id="rId1" o:title=""/>
      </v:shape>
    </w:pict>
  </w:numPicBullet>
  <w:abstractNum w:abstractNumId="0" w15:restartNumberingAfterBreak="0">
    <w:nsid w:val="01344E1D"/>
    <w:multiLevelType w:val="hybridMultilevel"/>
    <w:tmpl w:val="9C6EB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34E11"/>
    <w:multiLevelType w:val="hybridMultilevel"/>
    <w:tmpl w:val="616A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6"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D058B1"/>
    <w:multiLevelType w:val="hybridMultilevel"/>
    <w:tmpl w:val="7E34EE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0"/>
  </w:num>
  <w:num w:numId="3">
    <w:abstractNumId w:val="5"/>
  </w:num>
  <w:num w:numId="4">
    <w:abstractNumId w:val="20"/>
  </w:num>
  <w:num w:numId="5">
    <w:abstractNumId w:val="23"/>
  </w:num>
  <w:num w:numId="6">
    <w:abstractNumId w:val="27"/>
  </w:num>
  <w:num w:numId="7">
    <w:abstractNumId w:val="7"/>
  </w:num>
  <w:num w:numId="8">
    <w:abstractNumId w:val="21"/>
  </w:num>
  <w:num w:numId="9">
    <w:abstractNumId w:val="25"/>
  </w:num>
  <w:num w:numId="10">
    <w:abstractNumId w:val="2"/>
  </w:num>
  <w:num w:numId="11">
    <w:abstractNumId w:val="22"/>
  </w:num>
  <w:num w:numId="12">
    <w:abstractNumId w:val="6"/>
  </w:num>
  <w:num w:numId="13">
    <w:abstractNumId w:val="4"/>
  </w:num>
  <w:num w:numId="14">
    <w:abstractNumId w:val="18"/>
  </w:num>
  <w:num w:numId="15">
    <w:abstractNumId w:val="11"/>
  </w:num>
  <w:num w:numId="16">
    <w:abstractNumId w:val="15"/>
  </w:num>
  <w:num w:numId="17">
    <w:abstractNumId w:val="8"/>
  </w:num>
  <w:num w:numId="18">
    <w:abstractNumId w:val="1"/>
  </w:num>
  <w:num w:numId="19">
    <w:abstractNumId w:val="24"/>
  </w:num>
  <w:num w:numId="20">
    <w:abstractNumId w:val="17"/>
  </w:num>
  <w:num w:numId="21">
    <w:abstractNumId w:val="13"/>
  </w:num>
  <w:num w:numId="22">
    <w:abstractNumId w:val="14"/>
  </w:num>
  <w:num w:numId="23">
    <w:abstractNumId w:val="12"/>
  </w:num>
  <w:num w:numId="24">
    <w:abstractNumId w:val="16"/>
  </w:num>
  <w:num w:numId="25">
    <w:abstractNumId w:val="19"/>
  </w:num>
  <w:num w:numId="26">
    <w:abstractNumId w:val="3"/>
  </w:num>
  <w:num w:numId="27">
    <w:abstractNumId w:val="0"/>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2E1B"/>
    <w:rsid w:val="0000611A"/>
    <w:rsid w:val="00007BC3"/>
    <w:rsid w:val="000120BC"/>
    <w:rsid w:val="000153AF"/>
    <w:rsid w:val="0002117B"/>
    <w:rsid w:val="00031EFF"/>
    <w:rsid w:val="00032D08"/>
    <w:rsid w:val="00036F8B"/>
    <w:rsid w:val="00037D70"/>
    <w:rsid w:val="000478CF"/>
    <w:rsid w:val="00054E04"/>
    <w:rsid w:val="00056A58"/>
    <w:rsid w:val="000572E9"/>
    <w:rsid w:val="00070547"/>
    <w:rsid w:val="00071173"/>
    <w:rsid w:val="000775FC"/>
    <w:rsid w:val="00087797"/>
    <w:rsid w:val="0009050D"/>
    <w:rsid w:val="00091A55"/>
    <w:rsid w:val="00093AE1"/>
    <w:rsid w:val="00094CC7"/>
    <w:rsid w:val="0009538E"/>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76E1"/>
    <w:rsid w:val="00170AA7"/>
    <w:rsid w:val="001762FA"/>
    <w:rsid w:val="0017779C"/>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F3B20"/>
    <w:rsid w:val="002F3F9D"/>
    <w:rsid w:val="002F55B9"/>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44D8A"/>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70B0"/>
    <w:rsid w:val="003C3071"/>
    <w:rsid w:val="003C6570"/>
    <w:rsid w:val="003C6E1C"/>
    <w:rsid w:val="003D0889"/>
    <w:rsid w:val="003D1214"/>
    <w:rsid w:val="003D5C8A"/>
    <w:rsid w:val="003E21A7"/>
    <w:rsid w:val="003E56C9"/>
    <w:rsid w:val="003F28C1"/>
    <w:rsid w:val="003F684E"/>
    <w:rsid w:val="004018F9"/>
    <w:rsid w:val="00402765"/>
    <w:rsid w:val="00406218"/>
    <w:rsid w:val="00411857"/>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672ED"/>
    <w:rsid w:val="00474B1F"/>
    <w:rsid w:val="0047551D"/>
    <w:rsid w:val="00491137"/>
    <w:rsid w:val="00492129"/>
    <w:rsid w:val="004979F8"/>
    <w:rsid w:val="004A0B63"/>
    <w:rsid w:val="004A26CF"/>
    <w:rsid w:val="004A2D65"/>
    <w:rsid w:val="004B200D"/>
    <w:rsid w:val="004B2314"/>
    <w:rsid w:val="004B5F63"/>
    <w:rsid w:val="004C6BB5"/>
    <w:rsid w:val="004D18B6"/>
    <w:rsid w:val="004D5D2F"/>
    <w:rsid w:val="004D61E4"/>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C87"/>
    <w:rsid w:val="00561A6E"/>
    <w:rsid w:val="00561D99"/>
    <w:rsid w:val="00563B39"/>
    <w:rsid w:val="00572099"/>
    <w:rsid w:val="0057280C"/>
    <w:rsid w:val="0057289F"/>
    <w:rsid w:val="00574FDC"/>
    <w:rsid w:val="005803C9"/>
    <w:rsid w:val="00581C32"/>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5264"/>
    <w:rsid w:val="005D77CC"/>
    <w:rsid w:val="005E09AB"/>
    <w:rsid w:val="005E5716"/>
    <w:rsid w:val="005F1F89"/>
    <w:rsid w:val="005F38DA"/>
    <w:rsid w:val="005F4BFB"/>
    <w:rsid w:val="006000C5"/>
    <w:rsid w:val="006002E0"/>
    <w:rsid w:val="0061406C"/>
    <w:rsid w:val="00620280"/>
    <w:rsid w:val="006233F8"/>
    <w:rsid w:val="0062349E"/>
    <w:rsid w:val="0062392C"/>
    <w:rsid w:val="006258FD"/>
    <w:rsid w:val="00632E48"/>
    <w:rsid w:val="00643B58"/>
    <w:rsid w:val="00660D13"/>
    <w:rsid w:val="00661CC3"/>
    <w:rsid w:val="006810FF"/>
    <w:rsid w:val="00681ED0"/>
    <w:rsid w:val="00683574"/>
    <w:rsid w:val="00694976"/>
    <w:rsid w:val="006A240A"/>
    <w:rsid w:val="006A2694"/>
    <w:rsid w:val="006A7AA4"/>
    <w:rsid w:val="006B0E22"/>
    <w:rsid w:val="006B1080"/>
    <w:rsid w:val="006B1301"/>
    <w:rsid w:val="006B26B2"/>
    <w:rsid w:val="006B321A"/>
    <w:rsid w:val="006B35CB"/>
    <w:rsid w:val="006B418F"/>
    <w:rsid w:val="006B47C9"/>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D60"/>
    <w:rsid w:val="00760B2C"/>
    <w:rsid w:val="007659E9"/>
    <w:rsid w:val="00766D86"/>
    <w:rsid w:val="00770F18"/>
    <w:rsid w:val="007764BB"/>
    <w:rsid w:val="007828DC"/>
    <w:rsid w:val="007863F2"/>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3913"/>
    <w:rsid w:val="0081709C"/>
    <w:rsid w:val="00823690"/>
    <w:rsid w:val="00835035"/>
    <w:rsid w:val="00836D9E"/>
    <w:rsid w:val="00843F80"/>
    <w:rsid w:val="00844392"/>
    <w:rsid w:val="008500D3"/>
    <w:rsid w:val="00852668"/>
    <w:rsid w:val="00857806"/>
    <w:rsid w:val="008578BF"/>
    <w:rsid w:val="00864E58"/>
    <w:rsid w:val="008660D6"/>
    <w:rsid w:val="00867028"/>
    <w:rsid w:val="00871098"/>
    <w:rsid w:val="00877235"/>
    <w:rsid w:val="008803EF"/>
    <w:rsid w:val="00882980"/>
    <w:rsid w:val="00896D29"/>
    <w:rsid w:val="008A0D74"/>
    <w:rsid w:val="008A12CF"/>
    <w:rsid w:val="008A1A90"/>
    <w:rsid w:val="008A64CB"/>
    <w:rsid w:val="008B082B"/>
    <w:rsid w:val="008B6546"/>
    <w:rsid w:val="008C3B24"/>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5B0B"/>
    <w:rsid w:val="0092622F"/>
    <w:rsid w:val="00926C44"/>
    <w:rsid w:val="0093645B"/>
    <w:rsid w:val="0094381A"/>
    <w:rsid w:val="00951242"/>
    <w:rsid w:val="00961002"/>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2F90"/>
    <w:rsid w:val="00A2385C"/>
    <w:rsid w:val="00A26BD8"/>
    <w:rsid w:val="00A31156"/>
    <w:rsid w:val="00A320DF"/>
    <w:rsid w:val="00A3509D"/>
    <w:rsid w:val="00A44523"/>
    <w:rsid w:val="00A44C61"/>
    <w:rsid w:val="00A5260D"/>
    <w:rsid w:val="00A54C18"/>
    <w:rsid w:val="00A55582"/>
    <w:rsid w:val="00A664DC"/>
    <w:rsid w:val="00A6692F"/>
    <w:rsid w:val="00A66F64"/>
    <w:rsid w:val="00A6775F"/>
    <w:rsid w:val="00A72262"/>
    <w:rsid w:val="00A753F2"/>
    <w:rsid w:val="00A7773A"/>
    <w:rsid w:val="00A83B4F"/>
    <w:rsid w:val="00A846BD"/>
    <w:rsid w:val="00A929C9"/>
    <w:rsid w:val="00A9389D"/>
    <w:rsid w:val="00A94441"/>
    <w:rsid w:val="00A97381"/>
    <w:rsid w:val="00AA26B4"/>
    <w:rsid w:val="00AB15E3"/>
    <w:rsid w:val="00AB4982"/>
    <w:rsid w:val="00AC07E8"/>
    <w:rsid w:val="00AC1763"/>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07D06"/>
    <w:rsid w:val="00C120DF"/>
    <w:rsid w:val="00C145A0"/>
    <w:rsid w:val="00C20F80"/>
    <w:rsid w:val="00C249A6"/>
    <w:rsid w:val="00C34564"/>
    <w:rsid w:val="00C37A05"/>
    <w:rsid w:val="00C42200"/>
    <w:rsid w:val="00C4326C"/>
    <w:rsid w:val="00C43F9E"/>
    <w:rsid w:val="00C46AF7"/>
    <w:rsid w:val="00C56DD5"/>
    <w:rsid w:val="00C570B0"/>
    <w:rsid w:val="00C62F0F"/>
    <w:rsid w:val="00C63F7B"/>
    <w:rsid w:val="00C6588E"/>
    <w:rsid w:val="00C70447"/>
    <w:rsid w:val="00C753C2"/>
    <w:rsid w:val="00C802FB"/>
    <w:rsid w:val="00C8502C"/>
    <w:rsid w:val="00C85653"/>
    <w:rsid w:val="00C86669"/>
    <w:rsid w:val="00C931C2"/>
    <w:rsid w:val="00CA15F8"/>
    <w:rsid w:val="00CA216C"/>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10C88"/>
    <w:rsid w:val="00D12C36"/>
    <w:rsid w:val="00D13B13"/>
    <w:rsid w:val="00D13D7F"/>
    <w:rsid w:val="00D21ECE"/>
    <w:rsid w:val="00D24FB5"/>
    <w:rsid w:val="00D27727"/>
    <w:rsid w:val="00D34428"/>
    <w:rsid w:val="00D4431A"/>
    <w:rsid w:val="00D50E4E"/>
    <w:rsid w:val="00D553D4"/>
    <w:rsid w:val="00D57210"/>
    <w:rsid w:val="00D57AED"/>
    <w:rsid w:val="00D57F74"/>
    <w:rsid w:val="00D8032C"/>
    <w:rsid w:val="00D80B28"/>
    <w:rsid w:val="00D83603"/>
    <w:rsid w:val="00D901D7"/>
    <w:rsid w:val="00D92BFE"/>
    <w:rsid w:val="00D938FB"/>
    <w:rsid w:val="00DA2014"/>
    <w:rsid w:val="00DB1F5E"/>
    <w:rsid w:val="00DB55A6"/>
    <w:rsid w:val="00DC1583"/>
    <w:rsid w:val="00DC2B31"/>
    <w:rsid w:val="00DC5B5A"/>
    <w:rsid w:val="00DC7ADE"/>
    <w:rsid w:val="00DD136D"/>
    <w:rsid w:val="00DD1866"/>
    <w:rsid w:val="00DD5A69"/>
    <w:rsid w:val="00DD62C0"/>
    <w:rsid w:val="00DE0A8D"/>
    <w:rsid w:val="00DE347D"/>
    <w:rsid w:val="00DE562A"/>
    <w:rsid w:val="00DE7148"/>
    <w:rsid w:val="00DF0080"/>
    <w:rsid w:val="00DF2507"/>
    <w:rsid w:val="00DF62A4"/>
    <w:rsid w:val="00DF700F"/>
    <w:rsid w:val="00E00D15"/>
    <w:rsid w:val="00E11B18"/>
    <w:rsid w:val="00E14823"/>
    <w:rsid w:val="00E174F8"/>
    <w:rsid w:val="00E33297"/>
    <w:rsid w:val="00E341AD"/>
    <w:rsid w:val="00E40828"/>
    <w:rsid w:val="00E41730"/>
    <w:rsid w:val="00E42B2B"/>
    <w:rsid w:val="00E50332"/>
    <w:rsid w:val="00E5647F"/>
    <w:rsid w:val="00E57BDB"/>
    <w:rsid w:val="00E625D3"/>
    <w:rsid w:val="00E65F37"/>
    <w:rsid w:val="00E70B77"/>
    <w:rsid w:val="00E711DE"/>
    <w:rsid w:val="00E74701"/>
    <w:rsid w:val="00E75E5F"/>
    <w:rsid w:val="00E8235C"/>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EF59E0"/>
    <w:rsid w:val="00F01C71"/>
    <w:rsid w:val="00F1159D"/>
    <w:rsid w:val="00F239B9"/>
    <w:rsid w:val="00F240DF"/>
    <w:rsid w:val="00F241AD"/>
    <w:rsid w:val="00F306AC"/>
    <w:rsid w:val="00F30C1D"/>
    <w:rsid w:val="00F30C33"/>
    <w:rsid w:val="00F3172F"/>
    <w:rsid w:val="00F32EBF"/>
    <w:rsid w:val="00F34A32"/>
    <w:rsid w:val="00F43F9A"/>
    <w:rsid w:val="00F455F1"/>
    <w:rsid w:val="00F538CE"/>
    <w:rsid w:val="00F56606"/>
    <w:rsid w:val="00F570D3"/>
    <w:rsid w:val="00F61C9C"/>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3BA4"/>
    <w:rsid w:val="00FC6F08"/>
    <w:rsid w:val="00FC7C09"/>
    <w:rsid w:val="00FC7CC7"/>
    <w:rsid w:val="00FE2FFB"/>
    <w:rsid w:val="00FE6D41"/>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conac.gob.mx/es/CONAC/Normatividad_Vigen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4471-C499-411A-972A-4CDB0B74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9568</Words>
  <Characters>52628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2025-03-04T23:25:00Z</dcterms:created>
  <dcterms:modified xsi:type="dcterms:W3CDTF">2025-04-01T18:06:00Z</dcterms:modified>
</cp:coreProperties>
</file>