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D0" w:rsidRPr="009140B9" w:rsidRDefault="001D4F8C" w:rsidP="0065006C">
      <w:pPr>
        <w:shd w:val="clear" w:color="auto" w:fill="FFFFFF"/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Resolución del Pleno del Instituto de Transparencia, Acceso a la Información Pública y Protección de Datos Personales del Estado de México y Municipios, con domicilio en Metepec, Esta</w:t>
      </w:r>
      <w:r w:rsidR="00D63514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do de México, </w:t>
      </w:r>
      <w:r w:rsidR="00E877BE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con fecha nueve</w:t>
      </w:r>
      <w:r w:rsidR="0065006C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</w:t>
      </w:r>
      <w:r w:rsidR="00D63514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(</w:t>
      </w:r>
      <w:r w:rsidR="0065006C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0</w:t>
      </w:r>
      <w:r w:rsidR="000F5078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9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) de </w:t>
      </w:r>
      <w:r w:rsidR="0065006C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abril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 dos mil veinticinco. </w:t>
      </w:r>
    </w:p>
    <w:p w:rsidR="00D727D0" w:rsidRPr="009140B9" w:rsidRDefault="00D727D0" w:rsidP="0065006C">
      <w:pPr>
        <w:shd w:val="clear" w:color="auto" w:fill="FFFFFF"/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VISTO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el expediente electrónico formado con motivo del recurso de revisión número </w:t>
      </w:r>
      <w:r w:rsidR="00AD3E73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0</w:t>
      </w:r>
      <w:r w:rsidR="00AC187D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1303</w:t>
      </w:r>
      <w:r w:rsidR="0065006C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/INFOEM/IP/RR/2025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interpuesto por </w:t>
      </w:r>
      <w:r w:rsidR="00AC187D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una persona que no proporciona datos de identificación</w:t>
      </w:r>
      <w:r w:rsidR="000636A4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="00C84E40"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a quien en lo sucesivo se le denominará como </w:t>
      </w:r>
      <w:r w:rsidR="00C84E40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“</w:t>
      </w:r>
      <w:r w:rsidR="000636A4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LA</w:t>
      </w:r>
      <w:r w:rsidR="00D250F6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RECURRENTE</w:t>
      </w:r>
      <w:r w:rsidR="00C84E40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”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en contra de la falta de respuesta de</w:t>
      </w:r>
      <w:r w:rsidR="002E1639" w:rsidRPr="009140B9">
        <w:rPr>
          <w:rFonts w:ascii="Palatino Linotype" w:eastAsia="Palatino Linotype" w:hAnsi="Palatino Linotype" w:cs="Palatino Linotype"/>
          <w:sz w:val="24"/>
          <w:szCs w:val="24"/>
        </w:rPr>
        <w:t>l</w:t>
      </w:r>
      <w:r w:rsidR="0065006C"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AC187D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Ayuntamiento de Tianguistenco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en adelante </w:t>
      </w:r>
      <w:r w:rsidR="00C84E40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“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EL SUJETO OBLIGADO</w:t>
      </w:r>
      <w:r w:rsidR="00C84E40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”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en lo conducente se procede a dictar la presente resolución: 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right="-141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A N T E C E D E N T E S</w:t>
      </w:r>
    </w:p>
    <w:p w:rsidR="00D727D0" w:rsidRPr="009140B9" w:rsidRDefault="00D727D0" w:rsidP="0065006C">
      <w:pPr>
        <w:spacing w:after="0" w:line="360" w:lineRule="auto"/>
        <w:ind w:right="-141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A77A66" w:rsidRPr="009140B9" w:rsidRDefault="00A77A66" w:rsidP="006500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</w:t>
      </w:r>
      <w:r w:rsidR="00AC187D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dieciséis de enero 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de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dos mil veinticinco, </w:t>
      </w:r>
      <w:r w:rsidR="000636A4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LA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RECURRENTE,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presentó a través del Sistema de Acceso a la Información Mexiquense (SAIMEX), la solicitud de acceso a la información pública, con número de folio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="00AC187D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00007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</w:t>
      </w:r>
      <w:r w:rsidR="00AC187D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TIANGUIS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/IP/2025,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en la que solicitó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lo siguiente: 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-141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ind w:left="993" w:right="1134"/>
        <w:jc w:val="both"/>
        <w:rPr>
          <w:rFonts w:ascii="Palatino Linotype" w:hAnsi="Palatino Linotype"/>
          <w:i/>
          <w:color w:val="000000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  <w:t>“</w:t>
      </w:r>
      <w:r w:rsidR="00AC187D" w:rsidRPr="009140B9">
        <w:rPr>
          <w:rFonts w:ascii="Palatino Linotype" w:hAnsi="Palatino Linotype"/>
          <w:i/>
          <w:color w:val="000000"/>
          <w:sz w:val="24"/>
          <w:szCs w:val="24"/>
        </w:rPr>
        <w:t>Actas de sesión de cabildo</w:t>
      </w:r>
      <w:r w:rsidR="00566F41" w:rsidRPr="009140B9">
        <w:rPr>
          <w:rFonts w:ascii="Palatino Linotype" w:hAnsi="Palatino Linotype"/>
          <w:i/>
          <w:color w:val="000000"/>
          <w:sz w:val="24"/>
          <w:szCs w:val="24"/>
        </w:rPr>
        <w:t>.</w:t>
      </w:r>
      <w:r w:rsidR="00ED39C7" w:rsidRPr="009140B9">
        <w:rPr>
          <w:rFonts w:ascii="Palatino Linotype" w:hAnsi="Palatino Linotype"/>
          <w:i/>
          <w:color w:val="000000"/>
          <w:sz w:val="24"/>
          <w:szCs w:val="24"/>
        </w:rPr>
        <w:t>”(Sic)</w:t>
      </w:r>
    </w:p>
    <w:p w:rsidR="00D727D0" w:rsidRPr="009140B9" w:rsidRDefault="001D4F8C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14" w:right="-141" w:firstLine="579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Modalidad de entrega: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a través del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SAIMEX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.</w:t>
      </w:r>
    </w:p>
    <w:p w:rsidR="0063035A" w:rsidRPr="009140B9" w:rsidRDefault="0063035A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color w:val="000000"/>
        </w:rPr>
      </w:pPr>
    </w:p>
    <w:p w:rsidR="00AC187D" w:rsidRPr="009140B9" w:rsidRDefault="00B30EBD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b/>
          <w:color w:val="000000"/>
        </w:rPr>
      </w:pPr>
      <w:r w:rsidRPr="009140B9">
        <w:rPr>
          <w:rFonts w:ascii="Palatino Linotype" w:hAnsi="Palatino Linotype" w:cs="Arial"/>
          <w:sz w:val="24"/>
        </w:rPr>
        <w:t xml:space="preserve">El </w:t>
      </w:r>
      <w:r w:rsidRPr="009140B9">
        <w:rPr>
          <w:rFonts w:ascii="Palatino Linotype" w:hAnsi="Palatino Linotype" w:cs="Arial"/>
          <w:b/>
          <w:sz w:val="24"/>
        </w:rPr>
        <w:t>veinte de enero  de dos mil veinticinco</w:t>
      </w:r>
      <w:r w:rsidRPr="009140B9">
        <w:rPr>
          <w:rFonts w:ascii="Palatino Linotype" w:hAnsi="Palatino Linotype" w:cs="Arial"/>
          <w:sz w:val="24"/>
        </w:rPr>
        <w:t xml:space="preserve"> </w:t>
      </w:r>
      <w:r w:rsidRPr="009140B9">
        <w:rPr>
          <w:rFonts w:ascii="Palatino Linotype" w:hAnsi="Palatino Linotype" w:cs="Arial"/>
          <w:b/>
          <w:sz w:val="24"/>
        </w:rPr>
        <w:t>EL SUJETO OBLIGADO</w:t>
      </w:r>
      <w:r w:rsidRPr="009140B9">
        <w:rPr>
          <w:rFonts w:ascii="Palatino Linotype" w:hAnsi="Palatino Linotype" w:cs="Arial"/>
          <w:sz w:val="24"/>
        </w:rPr>
        <w:t xml:space="preserve"> solicitó </w:t>
      </w:r>
      <w:r w:rsidR="00704055" w:rsidRPr="009140B9">
        <w:rPr>
          <w:rFonts w:ascii="Palatino Linotype" w:hAnsi="Palatino Linotype" w:cs="Arial"/>
          <w:sz w:val="24"/>
        </w:rPr>
        <w:t xml:space="preserve">a través del </w:t>
      </w:r>
      <w:r w:rsidR="00704055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Sistema de Acceso a la Información Mexiquense (SAIMEX)</w:t>
      </w:r>
      <w:r w:rsidR="00704055" w:rsidRPr="009140B9">
        <w:rPr>
          <w:rFonts w:ascii="Palatino Linotype" w:hAnsi="Palatino Linotype" w:cs="Arial"/>
          <w:sz w:val="24"/>
        </w:rPr>
        <w:t xml:space="preserve"> dentro del término de </w:t>
      </w:r>
      <w:r w:rsidR="00AC187D" w:rsidRPr="009140B9">
        <w:rPr>
          <w:rFonts w:ascii="Palatino Linotype" w:hAnsi="Palatino Linotype" w:cs="Arial"/>
          <w:sz w:val="24"/>
        </w:rPr>
        <w:t>cinco</w:t>
      </w:r>
      <w:r w:rsidR="00704055" w:rsidRPr="009140B9">
        <w:rPr>
          <w:rFonts w:ascii="Palatino Linotype" w:hAnsi="Palatino Linotype" w:cs="Arial"/>
          <w:sz w:val="24"/>
        </w:rPr>
        <w:t xml:space="preserve"> </w:t>
      </w:r>
      <w:r w:rsidR="00704055" w:rsidRPr="009140B9">
        <w:rPr>
          <w:rFonts w:ascii="Palatino Linotype" w:hAnsi="Palatino Linotype" w:cs="Arial"/>
          <w:sz w:val="24"/>
        </w:rPr>
        <w:lastRenderedPageBreak/>
        <w:t xml:space="preserve">días hábiles señalado por el art. 159 de la Ley de Transparencia y Acceso a la Información Pública del Estado de México y Municipios </w:t>
      </w:r>
      <w:r w:rsidRPr="009140B9">
        <w:rPr>
          <w:rFonts w:ascii="Palatino Linotype" w:hAnsi="Palatino Linotype" w:cs="Arial"/>
          <w:sz w:val="24"/>
        </w:rPr>
        <w:t xml:space="preserve">una </w:t>
      </w:r>
      <w:r w:rsidR="00704055" w:rsidRPr="009140B9">
        <w:rPr>
          <w:rFonts w:ascii="Palatino Linotype" w:hAnsi="Palatino Linotype" w:cs="Arial"/>
          <w:b/>
          <w:sz w:val="24"/>
        </w:rPr>
        <w:t>ACLARACIÓN</w:t>
      </w:r>
      <w:r w:rsidRPr="009140B9">
        <w:rPr>
          <w:rFonts w:ascii="Palatino Linotype" w:hAnsi="Palatino Linotype" w:cs="Arial"/>
          <w:sz w:val="24"/>
        </w:rPr>
        <w:t xml:space="preserve"> donde solicit</w:t>
      </w:r>
      <w:r w:rsidR="00704055" w:rsidRPr="009140B9">
        <w:rPr>
          <w:rFonts w:ascii="Palatino Linotype" w:hAnsi="Palatino Linotype" w:cs="Arial"/>
          <w:sz w:val="24"/>
        </w:rPr>
        <w:t>ó</w:t>
      </w:r>
      <w:r w:rsidRPr="009140B9">
        <w:rPr>
          <w:rFonts w:ascii="Palatino Linotype" w:hAnsi="Palatino Linotype" w:cs="Arial"/>
          <w:sz w:val="24"/>
        </w:rPr>
        <w:t xml:space="preserve"> a </w:t>
      </w:r>
      <w:r w:rsidRPr="009140B9">
        <w:rPr>
          <w:rFonts w:ascii="Palatino Linotype" w:hAnsi="Palatino Linotype" w:cs="Arial"/>
          <w:b/>
          <w:sz w:val="24"/>
        </w:rPr>
        <w:t>LA RECURRENTE</w:t>
      </w:r>
      <w:r w:rsidRPr="009140B9">
        <w:rPr>
          <w:rFonts w:ascii="Palatino Linotype" w:hAnsi="Palatino Linotype" w:cs="Arial"/>
          <w:sz w:val="24"/>
        </w:rPr>
        <w:t xml:space="preserve">  </w:t>
      </w:r>
      <w:r w:rsidR="00AC187D" w:rsidRPr="009140B9">
        <w:rPr>
          <w:rFonts w:ascii="Palatino Linotype" w:hAnsi="Palatino Linotype" w:cs="Arial"/>
          <w:sz w:val="24"/>
        </w:rPr>
        <w:t xml:space="preserve">lo siguiente: </w:t>
      </w:r>
    </w:p>
    <w:p w:rsidR="00290C46" w:rsidRPr="009140B9" w:rsidRDefault="00290C46" w:rsidP="00290C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color w:val="000000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AC187D" w:rsidRPr="009140B9" w:rsidTr="00AC187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  <w:r w:rsidRPr="009140B9">
              <w:rPr>
                <w:rFonts w:ascii="Palatino Linotype" w:hAnsi="Palatino Linotype" w:cs="Arial"/>
                <w:i/>
                <w:sz w:val="24"/>
                <w:szCs w:val="24"/>
              </w:rPr>
              <w:t>“</w:t>
            </w:r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 xml:space="preserve">Con fundamento en el </w:t>
            </w:r>
            <w:proofErr w:type="spellStart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articulo</w:t>
            </w:r>
            <w:proofErr w:type="spellEnd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 xml:space="preserve"> 159 de la Ley de Transparencia y Acceso a la Información Pública del Estado de México y Municipios, se le requiere para que dentro del plazo de diez días hábiles realice lo siguiente:</w:t>
            </w:r>
          </w:p>
        </w:tc>
      </w:tr>
      <w:tr w:rsidR="00AC187D" w:rsidRPr="009140B9" w:rsidTr="00AC187D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</w:p>
        </w:tc>
      </w:tr>
      <w:tr w:rsidR="00AC187D" w:rsidRPr="009140B9" w:rsidTr="00AC187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 xml:space="preserve">Apreciable solicitante, para estar en posibilidad de </w:t>
            </w:r>
            <w:proofErr w:type="spellStart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proporcionale</w:t>
            </w:r>
            <w:proofErr w:type="spellEnd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 xml:space="preserve"> la Información </w:t>
            </w:r>
            <w:proofErr w:type="spellStart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corerecta</w:t>
            </w:r>
            <w:proofErr w:type="spellEnd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 xml:space="preserve">, le solicito de la manera más atenta, pueda indicar con precisión el </w:t>
            </w:r>
            <w:proofErr w:type="spellStart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numero</w:t>
            </w:r>
            <w:proofErr w:type="spellEnd"/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 xml:space="preserve"> de acta que solicita, o indicar la temporalidad de la información solicitada, es decir, de que fecha a que fecha requiere la información, por su atención, mucha gracias.</w:t>
            </w:r>
          </w:p>
        </w:tc>
      </w:tr>
      <w:tr w:rsidR="00AC187D" w:rsidRPr="009140B9" w:rsidTr="00AC187D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</w:p>
        </w:tc>
      </w:tr>
      <w:tr w:rsidR="00AC187D" w:rsidRPr="009140B9" w:rsidTr="00AC187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En caso de que no se desahogue el requerimiento señalado dentro del plazo citado se tendrá por no presentada la solicitud de información, quedando a salvo sus derechos para volver a presentar la solicitud, lo anterior con fundamento en el artículo 159 de la Ley invocada.</w:t>
            </w:r>
          </w:p>
        </w:tc>
      </w:tr>
      <w:tr w:rsidR="00AC187D" w:rsidRPr="009140B9" w:rsidTr="00AC187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</w:p>
        </w:tc>
      </w:tr>
      <w:tr w:rsidR="00AC187D" w:rsidRPr="009140B9" w:rsidTr="00AC187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ATENTAMENTE</w:t>
            </w:r>
          </w:p>
        </w:tc>
      </w:tr>
      <w:tr w:rsidR="00AC187D" w:rsidRPr="009140B9" w:rsidTr="00AC187D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</w:p>
        </w:tc>
      </w:tr>
      <w:tr w:rsidR="00AC187D" w:rsidRPr="009140B9" w:rsidTr="00AC187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LIC. EN D. JAVIER CASTELLON SAMANO</w:t>
            </w:r>
            <w:r w:rsidR="00CC24E2"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” (</w:t>
            </w:r>
            <w:r w:rsidRPr="009140B9"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  <w:t>Sic).</w:t>
            </w:r>
          </w:p>
          <w:p w:rsidR="00290C46" w:rsidRPr="009140B9" w:rsidRDefault="00290C46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</w:p>
          <w:p w:rsidR="00AC187D" w:rsidRPr="009140B9" w:rsidRDefault="00AC187D" w:rsidP="00AC187D">
            <w:pPr>
              <w:spacing w:after="0" w:line="240" w:lineRule="auto"/>
              <w:ind w:left="1276" w:right="1428"/>
              <w:rPr>
                <w:rFonts w:ascii="Palatino Linotype" w:eastAsia="Times New Roman" w:hAnsi="Palatino Linotype" w:cs="Times New Roman"/>
                <w:i/>
                <w:sz w:val="24"/>
                <w:szCs w:val="24"/>
                <w:lang w:val="es-MX"/>
              </w:rPr>
            </w:pPr>
          </w:p>
        </w:tc>
      </w:tr>
    </w:tbl>
    <w:p w:rsidR="00B30EBD" w:rsidRPr="009140B9" w:rsidRDefault="00AC187D" w:rsidP="00AC18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color w:val="000000"/>
        </w:rPr>
      </w:pPr>
      <w:r w:rsidRPr="009140B9">
        <w:rPr>
          <w:rFonts w:ascii="Palatino Linotype" w:hAnsi="Palatino Linotype" w:cs="Arial"/>
          <w:sz w:val="24"/>
        </w:rPr>
        <w:t xml:space="preserve">De donde se aprecia que </w:t>
      </w:r>
      <w:r w:rsidRPr="009140B9">
        <w:rPr>
          <w:rFonts w:ascii="Palatino Linotype" w:hAnsi="Palatino Linotype" w:cs="Arial"/>
          <w:b/>
          <w:sz w:val="24"/>
        </w:rPr>
        <w:t>El SUJETO OBLIGADO</w:t>
      </w:r>
      <w:r w:rsidRPr="009140B9">
        <w:rPr>
          <w:rFonts w:ascii="Palatino Linotype" w:hAnsi="Palatino Linotype" w:cs="Arial"/>
          <w:sz w:val="24"/>
        </w:rPr>
        <w:t xml:space="preserve"> </w:t>
      </w:r>
      <w:r w:rsidR="00290C46" w:rsidRPr="009140B9">
        <w:rPr>
          <w:rFonts w:ascii="Palatino Linotype" w:hAnsi="Palatino Linotype" w:cs="Arial"/>
          <w:sz w:val="24"/>
        </w:rPr>
        <w:t xml:space="preserve">solicita a </w:t>
      </w:r>
      <w:r w:rsidR="00290C46" w:rsidRPr="009140B9">
        <w:rPr>
          <w:rFonts w:ascii="Palatino Linotype" w:hAnsi="Palatino Linotype" w:cs="Arial"/>
          <w:b/>
          <w:sz w:val="24"/>
        </w:rPr>
        <w:t>LA RECURRENTE</w:t>
      </w:r>
      <w:r w:rsidR="00290C46" w:rsidRPr="009140B9">
        <w:rPr>
          <w:rFonts w:ascii="Palatino Linotype" w:hAnsi="Palatino Linotype" w:cs="Arial"/>
          <w:sz w:val="24"/>
        </w:rPr>
        <w:t xml:space="preserve"> </w:t>
      </w:r>
      <w:r w:rsidR="00B30EBD" w:rsidRPr="009140B9">
        <w:rPr>
          <w:rFonts w:ascii="Palatino Linotype" w:hAnsi="Palatino Linotype" w:cs="Arial"/>
          <w:sz w:val="24"/>
        </w:rPr>
        <w:t>indicar con precisión el número de acta requerida o indicar la temporalidad de la información en un lapso de tiempo a fin de estar en posibilidad de proporcionar la información solicitada</w:t>
      </w:r>
      <w:r w:rsidR="00704055" w:rsidRPr="009140B9">
        <w:rPr>
          <w:rFonts w:ascii="Palatino Linotype" w:hAnsi="Palatino Linotype" w:cs="Arial"/>
          <w:sz w:val="24"/>
        </w:rPr>
        <w:t xml:space="preserve"> por ésta.</w:t>
      </w:r>
    </w:p>
    <w:p w:rsidR="00290C46" w:rsidRPr="009140B9" w:rsidRDefault="00B30EBD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</w:pPr>
      <w:r w:rsidRPr="009140B9">
        <w:rPr>
          <w:rFonts w:ascii="Palatino Linotype" w:hAnsi="Palatino Linotype" w:cs="Arial"/>
          <w:sz w:val="24"/>
        </w:rPr>
        <w:lastRenderedPageBreak/>
        <w:t xml:space="preserve">El </w:t>
      </w:r>
      <w:r w:rsidRPr="009140B9">
        <w:rPr>
          <w:rFonts w:ascii="Palatino Linotype" w:hAnsi="Palatino Linotype" w:cs="Arial"/>
          <w:b/>
          <w:sz w:val="24"/>
        </w:rPr>
        <w:t>veintiuno de enero de dos mil veinticinco</w:t>
      </w:r>
      <w:r w:rsidRPr="009140B9">
        <w:rPr>
          <w:rFonts w:ascii="Palatino Linotype" w:hAnsi="Palatino Linotype" w:cs="Arial"/>
          <w:sz w:val="24"/>
        </w:rPr>
        <w:t xml:space="preserve"> </w:t>
      </w:r>
      <w:r w:rsidRPr="009140B9">
        <w:rPr>
          <w:rFonts w:ascii="Palatino Linotype" w:hAnsi="Palatino Linotype" w:cs="Arial"/>
          <w:b/>
          <w:sz w:val="24"/>
        </w:rPr>
        <w:t>LA RECURRENTE</w:t>
      </w:r>
      <w:r w:rsidRPr="009140B9">
        <w:rPr>
          <w:rFonts w:ascii="Palatino Linotype" w:hAnsi="Palatino Linotype" w:cs="Arial"/>
          <w:sz w:val="24"/>
        </w:rPr>
        <w:t xml:space="preserve"> presentó su </w:t>
      </w:r>
      <w:r w:rsidR="00290C46" w:rsidRPr="009140B9">
        <w:rPr>
          <w:rFonts w:ascii="Palatino Linotype" w:hAnsi="Palatino Linotype" w:cs="Arial"/>
          <w:b/>
          <w:sz w:val="24"/>
        </w:rPr>
        <w:t>ACLARACIÓN</w:t>
      </w:r>
      <w:r w:rsidRPr="009140B9">
        <w:rPr>
          <w:rFonts w:ascii="Palatino Linotype" w:hAnsi="Palatino Linotype" w:cs="Arial"/>
          <w:sz w:val="24"/>
        </w:rPr>
        <w:t xml:space="preserve"> a través del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Sistema de Acceso a la Información Mexiquense (SAIMEX)</w:t>
      </w:r>
      <w:r w:rsidRPr="009140B9">
        <w:rPr>
          <w:rFonts w:ascii="Palatino Linotype" w:hAnsi="Palatino Linotype" w:cs="Arial"/>
          <w:sz w:val="24"/>
        </w:rPr>
        <w:t xml:space="preserve"> dentro del </w:t>
      </w:r>
      <w:r w:rsidR="00704055" w:rsidRPr="009140B9">
        <w:rPr>
          <w:rFonts w:ascii="Palatino Linotype" w:hAnsi="Palatino Linotype" w:cs="Arial"/>
          <w:sz w:val="24"/>
        </w:rPr>
        <w:t xml:space="preserve">término de diez días hábiles señalado por el art. 159 de la Ley de Transparencia y Acceso a la Información Pública del Estado de México y Municipios manifestando lo siguiente: </w:t>
      </w:r>
    </w:p>
    <w:p w:rsidR="00290C46" w:rsidRPr="009140B9" w:rsidRDefault="00290C46" w:rsidP="00290C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</w:pPr>
    </w:p>
    <w:p w:rsidR="00704055" w:rsidRPr="009140B9" w:rsidRDefault="00704055" w:rsidP="00290C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</w:pPr>
      <w:r w:rsidRPr="009140B9">
        <w:rPr>
          <w:rFonts w:ascii="Palatino Linotype" w:hAnsi="Palatino Linotype" w:cs="Arial"/>
          <w:i/>
          <w:sz w:val="24"/>
          <w:szCs w:val="24"/>
        </w:rPr>
        <w:t>“</w:t>
      </w:r>
      <w:r w:rsidRPr="009140B9">
        <w:rPr>
          <w:rFonts w:ascii="Palatino Linotype" w:hAnsi="Palatino Linotype"/>
          <w:i/>
          <w:color w:val="000000"/>
          <w:sz w:val="24"/>
          <w:szCs w:val="24"/>
        </w:rPr>
        <w:t>Actas de enero 2025</w:t>
      </w:r>
      <w:r w:rsidRPr="009140B9">
        <w:rPr>
          <w:rFonts w:ascii="Palatino Linotype" w:hAnsi="Palatino Linotype" w:cs="Arial"/>
          <w:i/>
          <w:sz w:val="24"/>
          <w:szCs w:val="24"/>
        </w:rPr>
        <w:t>” (Sic).</w:t>
      </w:r>
    </w:p>
    <w:p w:rsidR="00290C46" w:rsidRPr="009140B9" w:rsidRDefault="00290C46" w:rsidP="00290C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</w:pPr>
    </w:p>
    <w:p w:rsidR="00D727D0" w:rsidRPr="009140B9" w:rsidRDefault="003D23F2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b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Derivado de lo anterior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, </w:t>
      </w:r>
      <w:r w:rsidR="001D4F8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="001D4F8C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no proporcionó respuesta a la solicitud de información dentro del plazo de quince días establecido en el artículo 163 de la Ley de Transparencia y Acceso a la Información Pública del Estado de México y Municipios.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FE2FFD" w:rsidRPr="009140B9" w:rsidRDefault="005F3197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Ante la falta de respuesta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del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</w:t>
      </w:r>
      <w:r w:rsidR="00997C8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LA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RECURRENTE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interpuso el Recurso de Revisión el </w:t>
      </w:r>
      <w:r w:rsidR="00290C46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trece de febrero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de dos mil veinticinco,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registrado en el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SAIMEX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con número de expediente </w:t>
      </w:r>
      <w:r w:rsidR="00290C46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01303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/INFOEM/IP/RR/2025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en el cual aduce, las siguientes manifestaciones:</w:t>
      </w:r>
    </w:p>
    <w:p w:rsidR="00FE2FFD" w:rsidRPr="009140B9" w:rsidRDefault="00FE2FFD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numPr>
          <w:ilvl w:val="0"/>
          <w:numId w:val="5"/>
        </w:numPr>
        <w:spacing w:after="0"/>
        <w:ind w:left="993" w:right="-141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Acto Impugnado: </w:t>
      </w:r>
    </w:p>
    <w:p w:rsidR="00D727D0" w:rsidRPr="009140B9" w:rsidRDefault="001D4F8C" w:rsidP="0065006C">
      <w:pPr>
        <w:ind w:left="273" w:right="-1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0B9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“</w:t>
      </w:r>
      <w:r w:rsidR="00290C46" w:rsidRPr="009140B9">
        <w:rPr>
          <w:rFonts w:ascii="Palatino Linotype" w:hAnsi="Palatino Linotype"/>
          <w:i/>
          <w:color w:val="000000"/>
          <w:sz w:val="24"/>
          <w:szCs w:val="24"/>
        </w:rPr>
        <w:t>No entregan información</w:t>
      </w:r>
      <w:r w:rsidRPr="009140B9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” (Sic).</w:t>
      </w:r>
    </w:p>
    <w:p w:rsidR="003F074D" w:rsidRPr="009140B9" w:rsidRDefault="004775B0" w:rsidP="0065006C">
      <w:pPr>
        <w:tabs>
          <w:tab w:val="left" w:pos="3396"/>
          <w:tab w:val="left" w:pos="3915"/>
        </w:tabs>
        <w:spacing w:after="0"/>
        <w:ind w:left="993" w:right="-141"/>
        <w:jc w:val="both"/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ab/>
      </w:r>
      <w:r w:rsidR="00997C8C" w:rsidRPr="009140B9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ab/>
      </w:r>
    </w:p>
    <w:p w:rsidR="00D727D0" w:rsidRPr="009140B9" w:rsidRDefault="001D4F8C" w:rsidP="00650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-141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Razones o Motivos de Inconformidad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: </w:t>
      </w:r>
    </w:p>
    <w:p w:rsidR="00D727D0" w:rsidRPr="009140B9" w:rsidRDefault="004B3908" w:rsidP="0065006C">
      <w:pPr>
        <w:spacing w:after="0" w:line="240" w:lineRule="auto"/>
        <w:ind w:left="851" w:right="-14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MX"/>
        </w:rPr>
      </w:pPr>
      <w:r w:rsidRPr="009140B9">
        <w:rPr>
          <w:rFonts w:ascii="Palatino Linotype" w:eastAsia="Times New Roman" w:hAnsi="Palatino Linotype" w:cs="Times New Roman"/>
          <w:i/>
          <w:sz w:val="24"/>
          <w:szCs w:val="24"/>
          <w:lang w:val="es-MX"/>
        </w:rPr>
        <w:t>“</w:t>
      </w:r>
      <w:r w:rsidR="00290C46" w:rsidRPr="009140B9">
        <w:rPr>
          <w:rFonts w:ascii="Palatino Linotype" w:hAnsi="Palatino Linotype"/>
          <w:i/>
          <w:color w:val="000000"/>
          <w:sz w:val="24"/>
          <w:szCs w:val="24"/>
        </w:rPr>
        <w:t>No entregan información</w:t>
      </w:r>
      <w:r w:rsidR="001D4F8C" w:rsidRPr="009140B9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” (Sic)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AF7F2C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Medio de impugnación que le fue turnado por medio del sistema electrónico a la Comisionada María del Rosario Mejía Ayala, en términos del arábigo 185 fracción I de la Ley de Transparencia y Acceso a la información Pública del Estado de México y Municipios, al cual recayó </w:t>
      </w:r>
      <w:r w:rsidR="00FE2FFD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acuerdo de admisión de fecha </w:t>
      </w:r>
      <w:r w:rsidR="00290C46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trece de febrero</w:t>
      </w:r>
      <w:r w:rsidR="005D0591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="004B3908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de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dos mil veinticinco,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determinando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un plazo de siete días para que las partes </w:t>
      </w:r>
      <w:r w:rsidR="00566F41" w:rsidRPr="009140B9">
        <w:rPr>
          <w:rFonts w:ascii="Palatino Linotype" w:eastAsia="Palatino Linotype" w:hAnsi="Palatino Linotype" w:cs="Palatino Linotype"/>
          <w:sz w:val="24"/>
          <w:szCs w:val="24"/>
        </w:rPr>
        <w:t>manifestara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n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lo que a su derecho corresponda en términos de los numerales ya citados. </w:t>
      </w:r>
    </w:p>
    <w:p w:rsidR="00AF7F2C" w:rsidRPr="009140B9" w:rsidRDefault="00AF7F2C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fue omiso en rendir el Informe Justificado; </w:t>
      </w:r>
      <w:r w:rsidR="00D63514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mientras que</w:t>
      </w:r>
      <w:r w:rsidR="00ED39C7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</w:t>
      </w:r>
      <w:r w:rsidR="00ED39C7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L</w:t>
      </w:r>
      <w:r w:rsidR="005D0591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A</w:t>
      </w:r>
      <w:r w:rsidR="00ED39C7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RECURRENTE</w:t>
      </w:r>
      <w:r w:rsidR="00D63514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</w:t>
      </w:r>
      <w:r w:rsidR="003E6BA3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no realizó manifestaciones que a su derecho conviniera. 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AC18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Ahora bien, en términos del artículo 185 fracciones VI y VIII de la Ley de Transparencia y Acceso a la Información Pública del Estado de México y Municipios, el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="0023587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veinticinco de febrero</w:t>
      </w:r>
      <w:r w:rsidR="00FE2FFD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de dos mil veinticinco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se decretó el cierre de instrucción, y se orden</w:t>
      </w:r>
      <w:r w:rsidR="00D338C8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ó la Resolución que conforme a d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erecho proceda, de acuerdo con los siguientes: </w:t>
      </w:r>
    </w:p>
    <w:p w:rsidR="00D727D0" w:rsidRPr="009140B9" w:rsidRDefault="00D727D0" w:rsidP="0065006C">
      <w:pPr>
        <w:spacing w:after="0" w:line="360" w:lineRule="auto"/>
        <w:ind w:right="-141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D727D0" w:rsidRPr="009140B9" w:rsidRDefault="000D69BD" w:rsidP="0065006C">
      <w:pPr>
        <w:spacing w:after="0" w:line="360" w:lineRule="auto"/>
        <w:ind w:right="-141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C O N S I D E R A N D O S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PRIMERO. De la competencia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DA45F6" w:rsidRPr="009140B9" w:rsidRDefault="00DA45F6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Este Instituto de Transparencia, Acceso a la Información Pública y Protección de Datos Personales del Estado de México, es competente para conocer y resolver el presente recurso de revisión conforme a lo dispuesto en los artículos 6, apartado A, fracción IV de la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Constitución Política de los Estados Unidos Mexicanos; 5, párrafos trigésimo segundo, trigésimo tercero y trigésimo cuarto, fracciones IV y V, de la Constitución Política del Estado Libre y Soberano de México; artículos 1, 2 fracción II, 13, 29, 36 fracciones I y II, 176, 178, 179, 181 párrafo tercero y 185 de la Ley de Transparencia y Acceso a la Información Pública del Estado de México y Municipios; 6, 9 fracciones I y XXIII, y 11 del Reglamento Interior del Instituto de Transparencia, Acceso a la Información Pública y Protección de Datos Personales del Estado de México y Municipios.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SEGUNDO. De la Oportunidad y Procedencia del Recurso de Revisión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DA45F6" w:rsidRPr="009140B9" w:rsidRDefault="00DA45F6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b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El artículo 178 de la Ley de Transparencia y Acceso a la Información Pública del Estado de México y Municipios est</w:t>
      </w:r>
      <w:r w:rsidR="004B3908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ablece que el solicitante podrá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interponer, por sí mismo o a través de su representante, de manera directa o por medios electrónicos, recurso de revisión ante el Instituto o ante la Unidad de Transparencia que haya conocido de la solicitud dentro de los quince días hábiles, siguientes a la fecha de la notificación de la respuesta y que ante la falta de respuesta del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dentro de los plazos establecidos en la Ley de Transparencia Local, a una solicitud de acceso a la información pública, el recurso podrá ser interpuesto en cualquier momento, por lo que la interposición del presente recurso de revisión resulta oportuna.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artículo 180 de la Ley de Transparencia y Acceso a la Información Pública del Estado de México y Municipios, señala los requisitos que deberán contener los recursos de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revisión, como lo es, el nombre del solicitante que recurre; sin embargo, en su último párrafo establece que cuando el recurso se interponga de manera electrónica, no será indispensable que contenga determinados requisitos, entre ellos, el nombre de la parte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</w:t>
      </w:r>
      <w:r w:rsidR="00364C7E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ECURRENTE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por lo que, en el presente caso, al haber sido presentado el recurso de revisión vía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SAIMEX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dicho requisito resulta innecesario.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artículo 179 fracción VII de la Ley de Transparencia y Acceso a la Información Pública del Estado de México y Municipios establece como supuesto de procedencia del recurso de revisión, la falta de respuesta a una solicitud de información por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hipótesis jurídica que se actualiza en este caso, aunado a que la parte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Recurrente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combate la falta de trámite por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y expresa motivos de inconformidad en contra de dicha circunstancia.</w:t>
      </w:r>
    </w:p>
    <w:p w:rsidR="003D23F2" w:rsidRPr="009140B9" w:rsidRDefault="003D23F2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widowControl w:val="0"/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bookmarkStart w:id="0" w:name="_heading=h.1fob9te" w:colFirst="0" w:colLast="0"/>
      <w:bookmarkEnd w:id="0"/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TERCERO. Estudio y resolución del asunto. </w:t>
      </w:r>
    </w:p>
    <w:p w:rsidR="00DA45F6" w:rsidRPr="009140B9" w:rsidRDefault="00DA45F6" w:rsidP="0065006C">
      <w:pPr>
        <w:widowControl w:val="0"/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derecho de acceso a la información pública es un derecho humano reconocido en el Pacto de Derechos Civiles y Políticos en su artículo 19.2; en la Convención Americana sobre Derechos Humanos en su artículo 13.1; en el artículo Sexto de la Constitución Política de los Estados Unidos Mexicanos y en el artículo Quinto de la Constitución Local, a través del cual se puede solicitar aquellos documentos que generen, administren o posean las autoridades en ejercicio de sus respectivas atribuciones y competencias. 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Por lo que en cumplimiento a las obligaciones que establece nuestra Carta Magna, la Constitución Estatal y la Ley de la materia</w:t>
      </w:r>
      <w:r w:rsidR="00D338C8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que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le imponen </w:t>
      </w:r>
      <w:r w:rsidR="00D338C8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al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="00D338C8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está constreñido a dar atención a las solicitudes de información que a través del SAIMEX o de vía directa le sean presentadas en ejercicio del derecho humano de acceso a la información pública, lo cual, en el caso no aconteció, pues tal y como se ha acreditado de la revisión del expediente electrónico formado de las constancias que obran en el sistema SAIMEX,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fue omiso en dar respuesta a la solicitud de información dentro de los plazos establecidos en la Ley de Transparencia Local.</w:t>
      </w:r>
    </w:p>
    <w:p w:rsidR="006C655C" w:rsidRPr="009140B9" w:rsidRDefault="006C655C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Asimismo, los motivos o razones de inconformidad expuestos por la parte Recurrente se adolece de la falta de respuesta a la solicitud de acceso a la información formulada, por lo que se actualiza la causal de procedencia establecida en la fracción VII, del artículo 179, de la Ley de Transparencia y Acceso a la Información Pública del Estado de México y Municipios,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y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tanto, </w:t>
      </w:r>
      <w:r w:rsidR="00D338C8"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es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procedente la interposición del recurso de revisión.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En consecuencia, las razones o motivos de inconformidad hechos valer, resultan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fundadas y procedentes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en virtud de las constancias que obran en el expediente electrónico SAIMEX, se acredita que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fue omiso en responder la solicitud de información hecha por </w:t>
      </w:r>
      <w:r w:rsidR="0003512E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L</w:t>
      </w:r>
      <w:r w:rsidR="007810E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A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RECURRENTE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es decir, incumplió las obligaciones que se le imponen como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de conformidad con lo establecido en los artículos 4, 12, 23 fracción IV, 24 último párrafo y 160 de la Ley de Transparencia y Acceso a la Información Pública del Estado de México y Municipios.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 conformidad con lo establecido en los artículos 50 y 51 de la Ley de Transparencia y Acceso a la Información Pública del Estado de México y Municipios, los Sujetos Obligados deben contar con un área responsable para la atención de las solicitudes de información, a la que se le denominará Unidad de Transparencia; asimismo, deben designar a un responsable para atender dicha Unidad, quien fungirá como enlace entre éstos y los solicitantes. Además, se establece que la Unidad de Transparencia es la encargada de tramitar internamente las solicitudes de información y tiene la responsabilidad de verificar, en cada caso, que la información no tenga el carácter de confidencial o reservada. </w:t>
      </w:r>
    </w:p>
    <w:p w:rsidR="006C655C" w:rsidRPr="009140B9" w:rsidRDefault="006C655C" w:rsidP="006500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El artículo 53, fracciones II, IV y V de la Ley de Transparencia Local establece que las Unidades de Transparencia tienen, entre otras, las funciones de recibir, tramitar y dar respuesta a las solicitudes de acceso a la información; realizar con efectividad los trámites internos necesarios para la atención de las solicitudes de acceso a la información; así como, entregar en su caso, a los particulares la información solicitada.</w:t>
      </w:r>
    </w:p>
    <w:p w:rsidR="00D727D0" w:rsidRPr="009140B9" w:rsidRDefault="00D727D0" w:rsidP="0065006C">
      <w:pPr>
        <w:widowControl w:val="0"/>
        <w:tabs>
          <w:tab w:val="left" w:pos="1276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artículo 163 de la mencionada Ley, señala que la Unidad de Transparencia debe notificar la respuesta a las solicitudes de acceso a la información, en el menor tiempo posible, que no podrá exceder de quince días hábiles, teniendo como excepción al plazo referido, una prórroga de hasta siete días hábiles adicionales, siempre y cuando existan razones fundadas y motivadas, las cuales deberán ser aprobadas por el Comité de Transparencia, lo cual no aconteció en el presente asunto. De tal manera que la omisión del Titular de la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Unidad de Transparencia, como primer responsable de atender la solicitud de información, se traduce en una conducta que ha vulnerado el derecho de acceso a la información consignado a favor del particular.</w:t>
      </w: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En consecuencia, según lo dispuesto por el artículo 150 de la Ley de Transparencia y Acceso a la Información Pública del Estado de México y Municipios, el </w:t>
      </w:r>
      <w:r w:rsidRPr="009140B9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 xml:space="preserve">procedimiento de acceso a la información es la garantía primaria del derecho en cuestión,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por lo tanto, la falta de respuesta a una solicitud de acceso a la información constituye un incumplimiento del sujeto obligado a su deber de garantizar el derecho, lo que constituye una vulneración al mismo.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lo que, en cumplimiento a esta resolución,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EL SUJETO OBLIGADO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deberá dar atención a la solicitud de información, puesto que el silencio administrativo que hizo patente al omitir dar respuesta trae como consecuencia que se le ordene dar atención a la solicitud entregando la información solicitada, lo cual deberá llevar a cabo en ejercicio de sus atribuciones y con arreglo a lo dispuesto por la ley de la materia.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2"/>
        </w:num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De la clasificación de la información</w:t>
      </w: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De conformidad con el artículo 91 de la Ley de Transparencia y Acceso a la Información Pública el  acceso a la información pública será restringido excepcionalmente, cuando ésta sea clasificada como reservada o confidencial; la información reservada es aquella que se clasifica de manera temporal cuya divulgación pueda causar algún daño; la información confidencial es la relacionada con los secretos bancario, fiduciario, industrial, comercial, fiscal, bursátil y postal, cuya titularidad corresponde a particulares, sujetos de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derecho internacional o a Sujetos Obligados cuando no involucren el ejercicio de recursos públicos, así como la información privada contenida en documentos públicos o privados que refiera a la vida privada y/o los datos personales, que no son de acceso público. 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La Ley de Transparencia y Acceso a la Información Pública del Estado de México y Municipios, en sus artículos 140 y 143 prevé los siguientes supuestos para clasificar la información como reservada o confidencial.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141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lo que para dar atención a la solicitud de información, si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advierte que la información solicitada contiene datos personales que sean susceptibles de ser clasificados como confidenciales, o bien si, por su propia y especial naturaleza, encuadra en alguno de los supuestos de reserva o de confidencialidad en su totalidad, deberá emitir, un Acuerdo de Clasificación debidamente fundado y motivado que sustente la clasificación parcial, a través de la versión pública que emita, o bien, la restricción total del derecho de acceso a la información.  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141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De este modo, en armonía entre los principios constitucionales de máxima publicidad y de protección de datos personales, la Ley permite la elaboración de versiones públicas en las que se suprima aquella información relacionada con la vida privada de los particulares y de los servidores públicos.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141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Para la clasificación de la información es necesario considerar lo establecido por los Lineamientos Generales en materia de Clasificación y Desclasificación de la información,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emitidos por el Sistema Nacional de Transparencia, Acceso a la Información Pública y Protección de Datos Personales, ya que establecen los criterios para la clasificación y desclasificación de la información, garantizan la confidencialidad, el uso adecuado de la información, entre otros.</w:t>
      </w:r>
    </w:p>
    <w:p w:rsidR="004B3908" w:rsidRPr="009140B9" w:rsidRDefault="004B3908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El derecho de acceso a la información pública puede ser restringido cuando se trate de información clasificada como reservada, por lo que para motivar la clasificación se deberán de señalar las razones, motivos o circunstancias especiales que llevaron al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a concluir que, el caso particular se ajusta al supuesto previsto por la norma legal invocada como fundamento; siendo que, además, en todo momento, se debe aplicar una prueba de daño, entendida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ésta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como la responsabilidad de los Sujetos Obligados de demostrar, de manera fundada y motivada, que la divulgación de la información lesiona el interés debidamente protegido por la Ley y que el menoscabo o daño que puede producirse con la publicidad de la información, es mayor que el interés de conocerla; debiendo clasificarse como reservada.</w:t>
      </w:r>
    </w:p>
    <w:p w:rsidR="005D0591" w:rsidRPr="009140B9" w:rsidRDefault="005D0591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Para la clasificación de la información como reservada se deben establecer, de manera fundada y motivada, las hipótesis normativas aplicables al caso concreto y se analice la prueba de daño, misma que se encuentra prevista en el artículo 129 de la Ley de Transparencia y Acceso a la Información pública del Estado de México y Municipios.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141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 xml:space="preserve">De tal manera, las limitaciones al acceso a la información deben sustentarse en una adecuada clasificación que debe distinguir y tomar en cuenta qué información puede generar un daño desproporcionado o innecesario a valores jurídicamente protegidos. 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141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Por lo tanto, la entrega de documentos, en su versión pública, debe acompañarse necesariamente del Acuerdo del Comité de Transparencia que la sustente, en el que se expongan los fundamentos y razonamientos que llevaron al Sujeto Obligado a testar, suprimir o eliminar datos de dicho soporte documental, ya que no hacerlo implica que lo entregado no es legal ni formalmente una versión pública, sino más bien una documentación ilegible, incompleta o tachada que deja al solicitante en estado de incertidumbre, al no conocer o comprender porque no aparecen en la documentación respectiva.</w:t>
      </w:r>
    </w:p>
    <w:p w:rsidR="00D727D0" w:rsidRPr="009140B9" w:rsidRDefault="00D727D0" w:rsidP="006500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right="-141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Por lo tanto, es necesario que el Comité de Transparencia emita un Acuerdo de Clasificación que cumpla con las formalidades previstas en los artículos 137, 143 y 149 de la Ley de Transparencia y Acceso a la Información Pública del Estado de México y Municipios</w:t>
      </w:r>
      <w:r w:rsidRPr="009140B9">
        <w:rPr>
          <w:rFonts w:ascii="Palatino Linotype" w:eastAsia="Palatino Linotype" w:hAnsi="Palatino Linotype" w:cs="Palatino Linotype"/>
          <w:i/>
          <w:color w:val="000000"/>
          <w:sz w:val="24"/>
          <w:szCs w:val="24"/>
        </w:rPr>
        <w:t>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097A13" w:rsidP="0065006C">
      <w:pPr>
        <w:numPr>
          <w:ilvl w:val="0"/>
          <w:numId w:val="3"/>
        </w:numPr>
        <w:tabs>
          <w:tab w:val="left" w:pos="7938"/>
        </w:tabs>
        <w:spacing w:after="0" w:line="360" w:lineRule="auto"/>
        <w:ind w:left="426" w:right="-141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De la vista a los Órganos de C</w:t>
      </w:r>
      <w:r w:rsidR="001D4F8C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ontrol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I</w:t>
      </w:r>
      <w:r w:rsidR="001D4F8C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nterno competentes </w:t>
      </w: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Como ya se mencionó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, no proporcionó respuesta a la solicitud de acceso a la información pública, en el término previsto en el artículo 163 de la Ley de Transparencia y Acceso a la Información Pública por lo que ordena dar vista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a la Secretaría Técnica del Pleno de este Instituto para hacer del conocimiento del Órgano Interno de Control competente la presente resolución, a fin de que de conformidad con los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artículos 190 y 222  de la Ley de Transparencia y Acceso a la Información Pública del Estado de México y Municipios y 19 fracción XXVII del Reglamento Interior del Instituto de Transparencia, Acceso a la Información y Protección de Datos Personales del Estado de México y Municipios, se determine lo conducente.</w:t>
      </w:r>
    </w:p>
    <w:p w:rsidR="00E47FE5" w:rsidRPr="009140B9" w:rsidRDefault="00E47FE5" w:rsidP="006500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D727D0" w:rsidRPr="009140B9" w:rsidRDefault="001D4F8C" w:rsidP="006500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41" w:firstLine="0"/>
        <w:jc w:val="both"/>
        <w:rPr>
          <w:rFonts w:ascii="Palatino Linotype" w:eastAsia="Palatino Linotype" w:hAnsi="Palatino Linotype" w:cs="Palatino Linotype"/>
          <w:color w:val="000000"/>
        </w:rPr>
      </w:pP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Por lo tanto, de lo expuesto y con fundamento en la fracción IV del artículo 186, de la Ley de Transparencia y Acceso a la Información Pública del Estado de México y Municipios, se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ORDENA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al 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Sujeto Obligado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atienda la solicitud de información </w:t>
      </w:r>
      <w:r w:rsidR="00AF7F2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</w:t>
      </w:r>
      <w:r w:rsidR="00364C7E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00007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</w:t>
      </w:r>
      <w:r w:rsidR="00364C7E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TIANGUIS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/IP/2025</w:t>
      </w: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que ha sido materia del presente fallo. 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sz w:val="24"/>
          <w:szCs w:val="24"/>
        </w:rPr>
        <w:t>Por lo antes expuesto y fundado es de resolverse y,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left="426" w:right="-141"/>
        <w:jc w:val="center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S E    R E S U E L V E</w:t>
      </w:r>
    </w:p>
    <w:p w:rsidR="00D727D0" w:rsidRPr="009140B9" w:rsidRDefault="00D727D0" w:rsidP="0065006C">
      <w:pPr>
        <w:spacing w:after="0" w:line="360" w:lineRule="auto"/>
        <w:ind w:left="426" w:right="-141"/>
        <w:jc w:val="center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</w:p>
    <w:p w:rsidR="00D727D0" w:rsidRPr="009140B9" w:rsidRDefault="001D4F8C" w:rsidP="0065006C">
      <w:pPr>
        <w:tabs>
          <w:tab w:val="left" w:pos="8647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PRIMERO.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Resultan fundadas las razones o motivos de inconformidad hechos valer por </w:t>
      </w:r>
      <w:r w:rsidR="00ED39C7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L</w:t>
      </w:r>
      <w:r w:rsidR="005D0591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A</w:t>
      </w:r>
      <w:r w:rsidR="00ED39C7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RECURRENTE,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en términos del considerando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TERCERO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, de la presente resolución.</w:t>
      </w:r>
    </w:p>
    <w:p w:rsidR="00D727D0" w:rsidRPr="009140B9" w:rsidRDefault="00D727D0" w:rsidP="0065006C">
      <w:pPr>
        <w:tabs>
          <w:tab w:val="left" w:pos="8647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tabs>
          <w:tab w:val="left" w:pos="8647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SEGUNDO.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Se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ORDENA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al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Sujeto Obligado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atienda la solicitud de información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="00CC24E2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000</w:t>
      </w:r>
      <w:r w:rsidR="00364C7E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07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</w:t>
      </w:r>
      <w:r w:rsidR="003456AD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T</w:t>
      </w:r>
      <w:r w:rsidR="00364C7E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IANGUIS</w:t>
      </w:r>
      <w:r w:rsidR="0065006C" w:rsidRPr="009140B9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/IP/2025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,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vía Sistema de Acceso a la Información Mexiquense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(SAIMEX)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, en términos del Considerando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TERCERO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de esta resolución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.</w:t>
      </w:r>
    </w:p>
    <w:p w:rsidR="00D727D0" w:rsidRPr="009140B9" w:rsidRDefault="00D727D0" w:rsidP="0065006C">
      <w:pPr>
        <w:tabs>
          <w:tab w:val="left" w:pos="8647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tabs>
          <w:tab w:val="left" w:pos="8647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lastRenderedPageBreak/>
        <w:t>TERCERO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Notifíquese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, vía Sistema de Acceso a la Información Mexiquense (SAIMEX), la presente resolución al Titular de la Unidad de Transparencia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DEL SUJETO OBLIGADO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, para que conforme al artículo 186 último párrafo, 189 segundo párrafo y 194 de la Ley de Transparencia y Acceso a la Información Pública del Estado de México y Municipios;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dé cumplimiento a lo ordenado dentro del plazo de diez días hábiles,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e informe a este Instituto en un plazo de tres días hábiles siguientes sobre el cumplimiento dado a la presente y, se le apercibe que en caso de negarse a cumplir la presente resolución o hacerlo de manera parcial, se le impondrá una medida de apremio de conformidad con lo previsto en los artículos 198, 200, fracción III; 214, 215 y 216 de la Ley  de Transparencia y Acceso a la Información Pública del Estado de México y Municipios</w:t>
      </w:r>
    </w:p>
    <w:p w:rsidR="00D727D0" w:rsidRPr="009140B9" w:rsidRDefault="00D727D0" w:rsidP="0065006C">
      <w:pPr>
        <w:tabs>
          <w:tab w:val="left" w:pos="8647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D727D0" w:rsidRPr="009140B9" w:rsidRDefault="001D4F8C" w:rsidP="0065006C">
      <w:pPr>
        <w:tabs>
          <w:tab w:val="left" w:pos="8647"/>
        </w:tabs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CUARTO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Notifíquese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, vía Sistema de Acceso a la Información Mexiquense (SAIMEX) a</w:t>
      </w:r>
      <w:r w:rsidR="005D0591"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l</w:t>
      </w:r>
      <w:r w:rsidR="005D0591" w:rsidRPr="009140B9">
        <w:rPr>
          <w:rFonts w:ascii="Palatino Linotype" w:eastAsia="Palatino Linotype" w:hAnsi="Palatino Linotype" w:cs="Palatino Linotype"/>
          <w:sz w:val="24"/>
          <w:szCs w:val="24"/>
        </w:rPr>
        <w:t>a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Recurrente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la presente resolución; así mismo, hágase de su conocimiento que de conformidad con lo establecido en el artículo 196, de la Ley de Transparencia y Acceso a la Información Pública del Estado de México y Municipios, en caso de considerar que le causa algún perjuicio, podrá promover el Juicio de Amparo en los términos de las leyes aplicables.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QUINTO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Se hace del conocimiento</w:t>
      </w:r>
      <w:r w:rsidR="002E762E"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2E762E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A</w:t>
      </w:r>
      <w:r w:rsidR="005D0591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="00ED39C7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L</w:t>
      </w:r>
      <w:r w:rsidR="005D0591"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A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RECURRENTE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que, de conformidad con lo establecido en el artículo 179, párrafo segundo, de la Ley de Transparencia y Acceso a la Información Pública del Estado de México y Municipios, tiene derecho a interponer nuevamente Recurso de Revisión ante este Instituto, por la respuesta que proporcione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EL SUJETO OBLIGADO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, en cumplimiento a esta Resolución.</w:t>
      </w:r>
    </w:p>
    <w:p w:rsidR="00D727D0" w:rsidRPr="009140B9" w:rsidRDefault="00D727D0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Pr="009140B9" w:rsidRDefault="001D4F8C" w:rsidP="0065006C">
      <w:pPr>
        <w:spacing w:after="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SEXTO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Gírese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oficio a la Secretaría Técnica del Pleno de este Instituto para hacer del conocimiento del Órgano Interno de Control competente la presente resolución, a fin de que de conformidad con el artículo 190 de la Ley de Transparencia y Acceso a la Información Pública del Estado de México y Municipios se determine lo conducente, en términos de lo señalado en el </w:t>
      </w:r>
      <w:r w:rsidRPr="009140B9">
        <w:rPr>
          <w:rFonts w:ascii="Palatino Linotype" w:eastAsia="Palatino Linotype" w:hAnsi="Palatino Linotype" w:cs="Palatino Linotype"/>
          <w:b/>
          <w:sz w:val="24"/>
          <w:szCs w:val="24"/>
        </w:rPr>
        <w:t>Considerando TERCERO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de la presente resolución.</w:t>
      </w:r>
    </w:p>
    <w:p w:rsidR="00C213D7" w:rsidRPr="009140B9" w:rsidRDefault="00C213D7" w:rsidP="0065006C">
      <w:pPr>
        <w:spacing w:before="240" w:after="24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Default="007D7FE4" w:rsidP="0065006C">
      <w:pPr>
        <w:spacing w:before="240" w:after="240" w:line="360" w:lineRule="auto"/>
        <w:ind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140B9">
        <w:rPr>
          <w:rFonts w:ascii="Palatino Linotype" w:eastAsia="Palatino Linotype" w:hAnsi="Palatino Linotype" w:cs="Palatino Linotype"/>
          <w:sz w:val="24"/>
          <w:szCs w:val="24"/>
        </w:rPr>
        <w:t>ASÍ LO RESUELVE, POR UNANIMIDAD DE VOTOS, EL PLENO DEL INSTITUTO DE TRANSPARENCIA, ACCESO A LA INFORMACIÓN PÚBLICA Y PROTECCIÓN DE DATOS PERSONALES DEL ESTADO DE MÉXICO Y MUNICIPIOS, CONFORMADO POR LOS COMISIONADOS JOSÉ MARTÍNEZ VILCHIS, MARÍA DEL ROSARIO MEJÍA AYALA, SHARON CRISTINA MORALES MARTÍNEZ, LUIS GUSTAVO PARRA NORIEGA Y GUADALUPE R</w:t>
      </w:r>
      <w:r w:rsidR="003E4D29"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AMÍREZ PEÑA; EN LA DÉCIMA TERCERA 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SESIÓN</w:t>
      </w:r>
      <w:r w:rsidR="00095541"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ORDINARIA, CELEBRADA EL NUEVE</w:t>
      </w:r>
      <w:r w:rsidR="00C468CA" w:rsidRPr="009140B9">
        <w:rPr>
          <w:rFonts w:ascii="Palatino Linotype" w:eastAsia="Palatino Linotype" w:hAnsi="Palatino Linotype" w:cs="Palatino Linotype"/>
          <w:sz w:val="24"/>
          <w:szCs w:val="24"/>
        </w:rPr>
        <w:t xml:space="preserve"> (09</w:t>
      </w:r>
      <w:r w:rsidRPr="009140B9">
        <w:rPr>
          <w:rFonts w:ascii="Palatino Linotype" w:eastAsia="Palatino Linotype" w:hAnsi="Palatino Linotype" w:cs="Palatino Linotype"/>
          <w:sz w:val="24"/>
          <w:szCs w:val="24"/>
        </w:rPr>
        <w:t>) DE ABRIL DE DOS MIL VEINTICINCO, ANTE EL SECRETARIO TÉCNICO DEL PLENO ALEXIS TAPIA RAMÍREZ.----------------------------------------------------------------------------------------------------------------------------------------------------</w:t>
      </w:r>
    </w:p>
    <w:p w:rsidR="00D727D0" w:rsidRDefault="00D727D0" w:rsidP="0065006C">
      <w:pPr>
        <w:spacing w:line="360" w:lineRule="auto"/>
        <w:ind w:left="-142" w:right="-14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  <w:bookmarkStart w:id="1" w:name="_GoBack"/>
      <w:bookmarkEnd w:id="1"/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727D0" w:rsidRDefault="00D727D0" w:rsidP="0065006C">
      <w:pPr>
        <w:spacing w:after="0"/>
        <w:ind w:right="-141"/>
        <w:rPr>
          <w:sz w:val="24"/>
          <w:szCs w:val="24"/>
        </w:rPr>
      </w:pPr>
    </w:p>
    <w:p w:rsidR="00D57CA8" w:rsidRDefault="00D57CA8" w:rsidP="0065006C">
      <w:pPr>
        <w:spacing w:after="0"/>
        <w:ind w:right="-141"/>
        <w:rPr>
          <w:sz w:val="24"/>
          <w:szCs w:val="24"/>
        </w:rPr>
      </w:pPr>
    </w:p>
    <w:p w:rsidR="00D57CA8" w:rsidRDefault="00D57CA8" w:rsidP="0065006C">
      <w:pPr>
        <w:spacing w:after="0"/>
        <w:ind w:right="-141"/>
        <w:rPr>
          <w:sz w:val="24"/>
          <w:szCs w:val="24"/>
        </w:rPr>
      </w:pPr>
    </w:p>
    <w:p w:rsidR="00214AEA" w:rsidRDefault="00214AEA" w:rsidP="0065006C">
      <w:pPr>
        <w:ind w:right="-141"/>
        <w:rPr>
          <w:sz w:val="24"/>
          <w:szCs w:val="24"/>
        </w:rPr>
      </w:pPr>
      <w:bookmarkStart w:id="2" w:name="_heading=h.gjdgxs" w:colFirst="0" w:colLast="0"/>
      <w:bookmarkEnd w:id="2"/>
    </w:p>
    <w:sectPr w:rsidR="00214AEA" w:rsidSect="0065006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970" w:right="1041" w:bottom="993" w:left="1701" w:header="708" w:footer="55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54" w:rsidRDefault="00BD5854">
      <w:pPr>
        <w:spacing w:after="0" w:line="240" w:lineRule="auto"/>
      </w:pPr>
      <w:r>
        <w:separator/>
      </w:r>
    </w:p>
  </w:endnote>
  <w:endnote w:type="continuationSeparator" w:id="0">
    <w:p w:rsidR="00BD5854" w:rsidRDefault="00BD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Página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PAGE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9140B9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16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de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NUMPAGES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9140B9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16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</w:p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Página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PAGE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9140B9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de 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instrText>NUMPAGES</w:instrTex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separate"/>
    </w:r>
    <w:r w:rsidR="009140B9">
      <w:rPr>
        <w:rFonts w:ascii="Palatino Linotype" w:eastAsia="Palatino Linotype" w:hAnsi="Palatino Linotype" w:cs="Palatino Linotype"/>
        <w:noProof/>
        <w:color w:val="000000"/>
        <w:sz w:val="20"/>
        <w:szCs w:val="20"/>
      </w:rPr>
      <w:t>16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fldChar w:fldCharType="end"/>
    </w:r>
  </w:p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54" w:rsidRDefault="00BD5854">
      <w:pPr>
        <w:spacing w:after="0" w:line="240" w:lineRule="auto"/>
      </w:pPr>
      <w:r>
        <w:separator/>
      </w:r>
    </w:p>
  </w:footnote>
  <w:footnote w:type="continuationSeparator" w:id="0">
    <w:p w:rsidR="00BD5854" w:rsidRDefault="00BD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>
      <w:rPr>
        <w:rFonts w:ascii="Palatino Linotype" w:eastAsia="Palatino Linotype" w:hAnsi="Palatino Linotype" w:cs="Palatino Linotype"/>
        <w:b/>
        <w:noProof/>
        <w:color w:val="000000"/>
        <w:sz w:val="24"/>
        <w:szCs w:val="24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posOffset>171450</wp:posOffset>
          </wp:positionV>
          <wp:extent cx="7705725" cy="10048875"/>
          <wp:effectExtent l="0" t="0" r="9525" b="9525"/>
          <wp:wrapNone/>
          <wp:docPr id="11" name="image1.jpg" descr="logo info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fo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725" cy="10048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8222" w:type="dxa"/>
      <w:tblInd w:w="1884" w:type="dxa"/>
      <w:tblLayout w:type="fixed"/>
      <w:tblLook w:val="0400" w:firstRow="0" w:lastRow="0" w:firstColumn="0" w:lastColumn="0" w:noHBand="0" w:noVBand="1"/>
    </w:tblPr>
    <w:tblGrid>
      <w:gridCol w:w="3133"/>
      <w:gridCol w:w="5089"/>
    </w:tblGrid>
    <w:tr w:rsidR="00AC187D" w:rsidRPr="002433E9" w:rsidTr="002433E9">
      <w:trPr>
        <w:trHeight w:val="252"/>
      </w:trPr>
      <w:tc>
        <w:tcPr>
          <w:tcW w:w="3133" w:type="dxa"/>
        </w:tcPr>
        <w:p w:rsidR="00AC187D" w:rsidRPr="002433E9" w:rsidRDefault="00AC187D" w:rsidP="0079523E">
          <w:pPr>
            <w:spacing w:after="120" w:line="256" w:lineRule="auto"/>
            <w:ind w:right="204"/>
            <w:jc w:val="right"/>
            <w:rPr>
              <w:rFonts w:ascii="Palatino Linotype" w:eastAsia="Palatino Linotype" w:hAnsi="Palatino Linotype" w:cs="Palatino Linotype"/>
              <w:b/>
            </w:rPr>
          </w:pPr>
          <w:r w:rsidRPr="002433E9">
            <w:rPr>
              <w:rFonts w:ascii="Palatino Linotype" w:eastAsia="Palatino Linotype" w:hAnsi="Palatino Linotype" w:cs="Palatino Linotype"/>
              <w:b/>
            </w:rPr>
            <w:t>Recurso de Revisión:</w:t>
          </w:r>
        </w:p>
      </w:tc>
      <w:tc>
        <w:tcPr>
          <w:tcW w:w="5089" w:type="dxa"/>
        </w:tcPr>
        <w:p w:rsidR="00AC187D" w:rsidRPr="002433E9" w:rsidRDefault="00290C46" w:rsidP="006608B8">
          <w:pPr>
            <w:spacing w:after="120" w:line="256" w:lineRule="auto"/>
            <w:ind w:right="-435"/>
            <w:jc w:val="both"/>
            <w:rPr>
              <w:rFonts w:ascii="Palatino Linotype" w:eastAsia="Palatino Linotype" w:hAnsi="Palatino Linotype" w:cs="Palatino Linotype"/>
            </w:rPr>
          </w:pPr>
          <w:r>
            <w:rPr>
              <w:rFonts w:ascii="Palatino Linotype" w:eastAsia="Palatino Linotype" w:hAnsi="Palatino Linotype" w:cs="Palatino Linotype"/>
            </w:rPr>
            <w:t>01303</w:t>
          </w:r>
          <w:r w:rsidR="00AC187D" w:rsidRPr="002433E9">
            <w:rPr>
              <w:rFonts w:ascii="Palatino Linotype" w:eastAsia="Palatino Linotype" w:hAnsi="Palatino Linotype" w:cs="Palatino Linotype"/>
            </w:rPr>
            <w:t>/INFOEM/IP/RR/2025</w:t>
          </w:r>
        </w:p>
      </w:tc>
    </w:tr>
    <w:tr w:rsidR="00AC187D" w:rsidRPr="002433E9" w:rsidTr="002433E9">
      <w:trPr>
        <w:trHeight w:val="269"/>
      </w:trPr>
      <w:tc>
        <w:tcPr>
          <w:tcW w:w="3133" w:type="dxa"/>
        </w:tcPr>
        <w:p w:rsidR="00AC187D" w:rsidRPr="002433E9" w:rsidRDefault="00AC187D" w:rsidP="0079523E">
          <w:pPr>
            <w:spacing w:after="120" w:line="256" w:lineRule="auto"/>
            <w:ind w:right="204"/>
            <w:jc w:val="right"/>
            <w:rPr>
              <w:rFonts w:ascii="Palatino Linotype" w:eastAsia="Palatino Linotype" w:hAnsi="Palatino Linotype" w:cs="Palatino Linotype"/>
              <w:b/>
            </w:rPr>
          </w:pPr>
          <w:r w:rsidRPr="002433E9">
            <w:rPr>
              <w:rFonts w:ascii="Palatino Linotype" w:eastAsia="Palatino Linotype" w:hAnsi="Palatino Linotype" w:cs="Palatino Linotype"/>
              <w:b/>
            </w:rPr>
            <w:t>Sujeto Obligado:</w:t>
          </w:r>
        </w:p>
      </w:tc>
      <w:tc>
        <w:tcPr>
          <w:tcW w:w="5089" w:type="dxa"/>
        </w:tcPr>
        <w:p w:rsidR="00AC187D" w:rsidRPr="002433E9" w:rsidRDefault="00AC187D" w:rsidP="00290C46">
          <w:pPr>
            <w:spacing w:after="0" w:line="240" w:lineRule="auto"/>
            <w:ind w:left="-67" w:right="38"/>
            <w:jc w:val="both"/>
            <w:rPr>
              <w:rFonts w:ascii="Palatino Linotype" w:eastAsia="Palatino Linotype" w:hAnsi="Palatino Linotype" w:cs="Palatino Linotype"/>
            </w:rPr>
          </w:pPr>
          <w:r>
            <w:rPr>
              <w:rFonts w:ascii="Palatino Linotype" w:hAnsi="Palatino Linotype"/>
              <w:bCs/>
              <w:color w:val="000000"/>
            </w:rPr>
            <w:t>Ayuntamiento de T</w:t>
          </w:r>
          <w:r w:rsidR="00290C46">
            <w:rPr>
              <w:rFonts w:ascii="Palatino Linotype" w:hAnsi="Palatino Linotype"/>
              <w:bCs/>
              <w:color w:val="000000"/>
            </w:rPr>
            <w:t>ianguistenco</w:t>
          </w:r>
        </w:p>
      </w:tc>
    </w:tr>
    <w:tr w:rsidR="00AC187D" w:rsidRPr="002433E9" w:rsidTr="002433E9">
      <w:trPr>
        <w:trHeight w:val="380"/>
      </w:trPr>
      <w:tc>
        <w:tcPr>
          <w:tcW w:w="3133" w:type="dxa"/>
        </w:tcPr>
        <w:p w:rsidR="00AC187D" w:rsidRPr="002433E9" w:rsidRDefault="00AC187D" w:rsidP="00C84E40">
          <w:pPr>
            <w:tabs>
              <w:tab w:val="left" w:pos="4892"/>
            </w:tabs>
            <w:spacing w:after="120" w:line="256" w:lineRule="auto"/>
            <w:ind w:right="204"/>
            <w:jc w:val="right"/>
            <w:rPr>
              <w:rFonts w:ascii="Palatino Linotype" w:eastAsia="Palatino Linotype" w:hAnsi="Palatino Linotype" w:cs="Palatino Linotype"/>
              <w:b/>
            </w:rPr>
          </w:pPr>
          <w:r w:rsidRPr="002433E9">
            <w:rPr>
              <w:rFonts w:ascii="Palatino Linotype" w:eastAsia="Palatino Linotype" w:hAnsi="Palatino Linotype" w:cs="Palatino Linotype"/>
              <w:b/>
            </w:rPr>
            <w:t>Comisionada Ponente:</w:t>
          </w:r>
        </w:p>
      </w:tc>
      <w:tc>
        <w:tcPr>
          <w:tcW w:w="5089" w:type="dxa"/>
        </w:tcPr>
        <w:p w:rsidR="00AC187D" w:rsidRPr="002433E9" w:rsidRDefault="00AC187D" w:rsidP="002433E9">
          <w:pPr>
            <w:spacing w:after="120" w:line="256" w:lineRule="auto"/>
            <w:ind w:right="214"/>
            <w:jc w:val="both"/>
            <w:rPr>
              <w:rFonts w:ascii="Palatino Linotype" w:eastAsia="Palatino Linotype" w:hAnsi="Palatino Linotype" w:cs="Palatino Linotype"/>
            </w:rPr>
          </w:pPr>
          <w:r w:rsidRPr="002433E9">
            <w:rPr>
              <w:rFonts w:ascii="Palatino Linotype" w:eastAsia="Palatino Linotype" w:hAnsi="Palatino Linotype" w:cs="Palatino Linotype"/>
            </w:rPr>
            <w:t>María del Rosario Mejía Ayala</w:t>
          </w:r>
        </w:p>
      </w:tc>
    </w:tr>
  </w:tbl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05"/>
      </w:tabs>
      <w:spacing w:after="0" w:line="240" w:lineRule="auto"/>
      <w:rPr>
        <w:rFonts w:ascii="Times New Roman" w:eastAsia="Times New Roman" w:hAnsi="Times New Roman" w:cs="Times New Roman"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7D" w:rsidRDefault="00AC18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rFonts w:ascii="Palatino Linotype" w:eastAsia="Palatino Linotype" w:hAnsi="Palatino Linotype" w:cs="Palatino Linotype"/>
        <w:noProof/>
        <w:color w:val="000000"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05725" cy="9988490"/>
          <wp:effectExtent l="0" t="0" r="0" b="0"/>
          <wp:wrapNone/>
          <wp:docPr id="12" name="image1.jpg" descr="logo info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fo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725" cy="998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7371" w:type="dxa"/>
      <w:tblInd w:w="2694" w:type="dxa"/>
      <w:tblLayout w:type="fixed"/>
      <w:tblLook w:val="0400" w:firstRow="0" w:lastRow="0" w:firstColumn="0" w:lastColumn="0" w:noHBand="0" w:noVBand="1"/>
    </w:tblPr>
    <w:tblGrid>
      <w:gridCol w:w="3118"/>
      <w:gridCol w:w="4253"/>
    </w:tblGrid>
    <w:tr w:rsidR="00AC187D" w:rsidRPr="002433E9" w:rsidTr="002433E9">
      <w:trPr>
        <w:trHeight w:val="227"/>
      </w:trPr>
      <w:tc>
        <w:tcPr>
          <w:tcW w:w="3118" w:type="dxa"/>
        </w:tcPr>
        <w:p w:rsidR="00AC187D" w:rsidRPr="002433E9" w:rsidRDefault="00AC187D" w:rsidP="002433E9">
          <w:pPr>
            <w:spacing w:after="120" w:line="256" w:lineRule="auto"/>
            <w:ind w:left="-259" w:right="355"/>
            <w:jc w:val="right"/>
            <w:rPr>
              <w:rFonts w:ascii="Palatino Linotype" w:eastAsia="Palatino Linotype" w:hAnsi="Palatino Linotype" w:cs="Palatino Linotype"/>
              <w:b/>
            </w:rPr>
          </w:pPr>
          <w:bookmarkStart w:id="3" w:name="_heading=h.30j0zll" w:colFirst="0" w:colLast="0"/>
          <w:bookmarkEnd w:id="3"/>
          <w:r w:rsidRPr="002433E9">
            <w:rPr>
              <w:rFonts w:ascii="Palatino Linotype" w:eastAsia="Palatino Linotype" w:hAnsi="Palatino Linotype" w:cs="Palatino Linotype"/>
              <w:b/>
            </w:rPr>
            <w:t>Recurso de Revisión:</w:t>
          </w:r>
        </w:p>
      </w:tc>
      <w:tc>
        <w:tcPr>
          <w:tcW w:w="4253" w:type="dxa"/>
        </w:tcPr>
        <w:p w:rsidR="00AC187D" w:rsidRPr="002433E9" w:rsidRDefault="00AC187D" w:rsidP="002433E9">
          <w:pPr>
            <w:spacing w:after="120" w:line="256" w:lineRule="auto"/>
            <w:ind w:right="-435"/>
            <w:rPr>
              <w:rFonts w:ascii="Palatino Linotype" w:eastAsia="Palatino Linotype" w:hAnsi="Palatino Linotype" w:cs="Palatino Linotype"/>
            </w:rPr>
          </w:pPr>
          <w:r w:rsidRPr="002433E9">
            <w:rPr>
              <w:rFonts w:ascii="Palatino Linotype" w:eastAsia="Palatino Linotype" w:hAnsi="Palatino Linotype" w:cs="Palatino Linotype"/>
            </w:rPr>
            <w:t>0</w:t>
          </w:r>
          <w:r>
            <w:rPr>
              <w:rFonts w:ascii="Palatino Linotype" w:eastAsia="Palatino Linotype" w:hAnsi="Palatino Linotype" w:cs="Palatino Linotype"/>
            </w:rPr>
            <w:t>1303</w:t>
          </w:r>
          <w:r w:rsidRPr="002433E9">
            <w:rPr>
              <w:rFonts w:ascii="Palatino Linotype" w:eastAsia="Palatino Linotype" w:hAnsi="Palatino Linotype" w:cs="Palatino Linotype"/>
            </w:rPr>
            <w:t>/INFOEM/IP/RR/2025</w:t>
          </w:r>
        </w:p>
      </w:tc>
    </w:tr>
    <w:tr w:rsidR="00AC187D" w:rsidRPr="002433E9" w:rsidTr="002433E9">
      <w:trPr>
        <w:trHeight w:val="1263"/>
      </w:trPr>
      <w:tc>
        <w:tcPr>
          <w:tcW w:w="3118" w:type="dxa"/>
        </w:tcPr>
        <w:p w:rsidR="00AC187D" w:rsidRPr="002433E9" w:rsidRDefault="00AC187D" w:rsidP="002433E9">
          <w:pPr>
            <w:spacing w:after="120" w:line="256" w:lineRule="auto"/>
            <w:ind w:right="355"/>
            <w:jc w:val="right"/>
            <w:rPr>
              <w:rFonts w:ascii="Palatino Linotype" w:eastAsia="Palatino Linotype" w:hAnsi="Palatino Linotype" w:cs="Palatino Linotype"/>
              <w:b/>
            </w:rPr>
          </w:pPr>
          <w:r w:rsidRPr="002433E9">
            <w:rPr>
              <w:rFonts w:ascii="Palatino Linotype" w:eastAsia="Palatino Linotype" w:hAnsi="Palatino Linotype" w:cs="Palatino Linotype"/>
              <w:b/>
            </w:rPr>
            <w:t>Sujeto Obligado:</w:t>
          </w:r>
        </w:p>
      </w:tc>
      <w:tc>
        <w:tcPr>
          <w:tcW w:w="4253" w:type="dxa"/>
        </w:tcPr>
        <w:p w:rsidR="00AC187D" w:rsidRPr="002433E9" w:rsidRDefault="00AC187D" w:rsidP="00AC187D">
          <w:pPr>
            <w:spacing w:after="0" w:line="240" w:lineRule="auto"/>
            <w:ind w:right="72"/>
            <w:jc w:val="both"/>
            <w:rPr>
              <w:rFonts w:ascii="Palatino Linotype" w:eastAsia="Palatino Linotype" w:hAnsi="Palatino Linotype" w:cs="Palatino Linotype"/>
            </w:rPr>
          </w:pPr>
          <w:r>
            <w:rPr>
              <w:rFonts w:ascii="Palatino Linotype" w:hAnsi="Palatino Linotype"/>
              <w:bCs/>
              <w:color w:val="000000"/>
            </w:rPr>
            <w:t>Ayuntamiento de Tianguistenco</w:t>
          </w:r>
        </w:p>
      </w:tc>
    </w:tr>
    <w:tr w:rsidR="00AC187D" w:rsidRPr="002433E9" w:rsidTr="002433E9">
      <w:trPr>
        <w:trHeight w:val="342"/>
      </w:trPr>
      <w:tc>
        <w:tcPr>
          <w:tcW w:w="3118" w:type="dxa"/>
        </w:tcPr>
        <w:p w:rsidR="00AC187D" w:rsidRPr="002433E9" w:rsidRDefault="00AC187D" w:rsidP="002433E9">
          <w:pPr>
            <w:tabs>
              <w:tab w:val="left" w:pos="4892"/>
            </w:tabs>
            <w:spacing w:after="120" w:line="256" w:lineRule="auto"/>
            <w:ind w:right="355"/>
            <w:jc w:val="right"/>
            <w:rPr>
              <w:rFonts w:ascii="Palatino Linotype" w:eastAsia="Palatino Linotype" w:hAnsi="Palatino Linotype" w:cs="Palatino Linotype"/>
              <w:b/>
            </w:rPr>
          </w:pPr>
          <w:r w:rsidRPr="002433E9">
            <w:rPr>
              <w:rFonts w:ascii="Palatino Linotype" w:eastAsia="Palatino Linotype" w:hAnsi="Palatino Linotype" w:cs="Palatino Linotype"/>
              <w:b/>
            </w:rPr>
            <w:t>Recurrente:</w:t>
          </w:r>
        </w:p>
      </w:tc>
      <w:tc>
        <w:tcPr>
          <w:tcW w:w="4253" w:type="dxa"/>
        </w:tcPr>
        <w:p w:rsidR="00AC187D" w:rsidRPr="002433E9" w:rsidRDefault="00AC187D" w:rsidP="00AC187D">
          <w:pPr>
            <w:spacing w:after="120" w:line="256" w:lineRule="auto"/>
            <w:ind w:right="-435"/>
            <w:jc w:val="both"/>
            <w:rPr>
              <w:rFonts w:ascii="Palatino Linotype" w:eastAsia="Palatino Linotype" w:hAnsi="Palatino Linotype" w:cs="Palatino Linotype"/>
            </w:rPr>
          </w:pPr>
          <w:r w:rsidRPr="002433E9">
            <w:rPr>
              <w:rFonts w:ascii="Palatino Linotype" w:eastAsia="Palatino Linotype" w:hAnsi="Palatino Linotype" w:cs="Palatino Linotype"/>
            </w:rPr>
            <w:t xml:space="preserve"> </w:t>
          </w:r>
        </w:p>
      </w:tc>
    </w:tr>
    <w:tr w:rsidR="00AC187D" w:rsidRPr="002433E9" w:rsidTr="002433E9">
      <w:trPr>
        <w:trHeight w:val="342"/>
      </w:trPr>
      <w:tc>
        <w:tcPr>
          <w:tcW w:w="3118" w:type="dxa"/>
        </w:tcPr>
        <w:p w:rsidR="00AC187D" w:rsidRPr="002433E9" w:rsidRDefault="00AC187D" w:rsidP="002433E9">
          <w:pPr>
            <w:tabs>
              <w:tab w:val="left" w:pos="4892"/>
            </w:tabs>
            <w:spacing w:after="120" w:line="256" w:lineRule="auto"/>
            <w:ind w:right="355"/>
            <w:jc w:val="right"/>
            <w:rPr>
              <w:rFonts w:ascii="Palatino Linotype" w:eastAsia="Palatino Linotype" w:hAnsi="Palatino Linotype" w:cs="Palatino Linotype"/>
              <w:b/>
            </w:rPr>
          </w:pPr>
          <w:r w:rsidRPr="002433E9">
            <w:rPr>
              <w:rFonts w:ascii="Palatino Linotype" w:eastAsia="Palatino Linotype" w:hAnsi="Palatino Linotype" w:cs="Palatino Linotype"/>
              <w:b/>
            </w:rPr>
            <w:t>Comisionada Ponente:</w:t>
          </w:r>
        </w:p>
      </w:tc>
      <w:tc>
        <w:tcPr>
          <w:tcW w:w="4253" w:type="dxa"/>
        </w:tcPr>
        <w:p w:rsidR="00AC187D" w:rsidRPr="002433E9" w:rsidRDefault="00AC187D" w:rsidP="002433E9">
          <w:pPr>
            <w:spacing w:after="120" w:line="256" w:lineRule="auto"/>
            <w:ind w:right="-435"/>
            <w:rPr>
              <w:rFonts w:ascii="Palatino Linotype" w:eastAsia="Palatino Linotype" w:hAnsi="Palatino Linotype" w:cs="Palatino Linotype"/>
            </w:rPr>
          </w:pPr>
          <w:r w:rsidRPr="002433E9">
            <w:rPr>
              <w:rFonts w:ascii="Palatino Linotype" w:eastAsia="Palatino Linotype" w:hAnsi="Palatino Linotype" w:cs="Palatino Linotype"/>
            </w:rPr>
            <w:t>María del Rosario Mejía Ayala</w:t>
          </w:r>
        </w:p>
      </w:tc>
    </w:tr>
  </w:tbl>
  <w:p w:rsidR="00AC187D" w:rsidRDefault="00AC18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7603"/>
    <w:multiLevelType w:val="multilevel"/>
    <w:tmpl w:val="4DE80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9166F0"/>
    <w:multiLevelType w:val="multilevel"/>
    <w:tmpl w:val="94643E60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A91"/>
    <w:multiLevelType w:val="multilevel"/>
    <w:tmpl w:val="AB56B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EA67C1A"/>
    <w:multiLevelType w:val="multilevel"/>
    <w:tmpl w:val="31E46F0E"/>
    <w:lvl w:ilvl="0">
      <w:start w:val="2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ED609E2"/>
    <w:multiLevelType w:val="multilevel"/>
    <w:tmpl w:val="853014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3391B9F"/>
    <w:multiLevelType w:val="multilevel"/>
    <w:tmpl w:val="A4002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D0"/>
    <w:rsid w:val="00030762"/>
    <w:rsid w:val="0003512E"/>
    <w:rsid w:val="00053C8F"/>
    <w:rsid w:val="000636A4"/>
    <w:rsid w:val="00076336"/>
    <w:rsid w:val="00095541"/>
    <w:rsid w:val="00097A13"/>
    <w:rsid w:val="000B1AF2"/>
    <w:rsid w:val="000D69BD"/>
    <w:rsid w:val="000E1363"/>
    <w:rsid w:val="000F5078"/>
    <w:rsid w:val="001033CE"/>
    <w:rsid w:val="001102E4"/>
    <w:rsid w:val="001435CA"/>
    <w:rsid w:val="001A43B2"/>
    <w:rsid w:val="001D4F8C"/>
    <w:rsid w:val="001F07C5"/>
    <w:rsid w:val="00211A72"/>
    <w:rsid w:val="00214AEA"/>
    <w:rsid w:val="0022300F"/>
    <w:rsid w:val="0023587C"/>
    <w:rsid w:val="002433E9"/>
    <w:rsid w:val="00257B36"/>
    <w:rsid w:val="00273466"/>
    <w:rsid w:val="002829BD"/>
    <w:rsid w:val="00290C46"/>
    <w:rsid w:val="002D4AE6"/>
    <w:rsid w:val="002E1639"/>
    <w:rsid w:val="002E4B1E"/>
    <w:rsid w:val="002E762E"/>
    <w:rsid w:val="00326911"/>
    <w:rsid w:val="00326C35"/>
    <w:rsid w:val="003456AD"/>
    <w:rsid w:val="00350227"/>
    <w:rsid w:val="00364C7E"/>
    <w:rsid w:val="003B31C0"/>
    <w:rsid w:val="003D23F2"/>
    <w:rsid w:val="003D72DC"/>
    <w:rsid w:val="003D73AC"/>
    <w:rsid w:val="003E4D29"/>
    <w:rsid w:val="003E6BA3"/>
    <w:rsid w:val="003F074D"/>
    <w:rsid w:val="00402260"/>
    <w:rsid w:val="00417267"/>
    <w:rsid w:val="00420EA6"/>
    <w:rsid w:val="004775B0"/>
    <w:rsid w:val="004913A6"/>
    <w:rsid w:val="004B3908"/>
    <w:rsid w:val="004C4C1A"/>
    <w:rsid w:val="00534A92"/>
    <w:rsid w:val="005434DE"/>
    <w:rsid w:val="00566F41"/>
    <w:rsid w:val="005907BA"/>
    <w:rsid w:val="005B7410"/>
    <w:rsid w:val="005D0591"/>
    <w:rsid w:val="005D1572"/>
    <w:rsid w:val="005F3197"/>
    <w:rsid w:val="0061342D"/>
    <w:rsid w:val="0063035A"/>
    <w:rsid w:val="0065006C"/>
    <w:rsid w:val="006608B8"/>
    <w:rsid w:val="00695578"/>
    <w:rsid w:val="006B6964"/>
    <w:rsid w:val="006C655C"/>
    <w:rsid w:val="006D396F"/>
    <w:rsid w:val="00704055"/>
    <w:rsid w:val="0070584A"/>
    <w:rsid w:val="00774E39"/>
    <w:rsid w:val="00776B77"/>
    <w:rsid w:val="007810EC"/>
    <w:rsid w:val="00784F1A"/>
    <w:rsid w:val="0079523E"/>
    <w:rsid w:val="007B13A2"/>
    <w:rsid w:val="007B1D6C"/>
    <w:rsid w:val="007D7FE4"/>
    <w:rsid w:val="0080511D"/>
    <w:rsid w:val="00832F3C"/>
    <w:rsid w:val="00853838"/>
    <w:rsid w:val="008771DA"/>
    <w:rsid w:val="00890D69"/>
    <w:rsid w:val="008D7BAF"/>
    <w:rsid w:val="008F05F0"/>
    <w:rsid w:val="00903949"/>
    <w:rsid w:val="009140B9"/>
    <w:rsid w:val="00916C20"/>
    <w:rsid w:val="00997C8C"/>
    <w:rsid w:val="00A44C17"/>
    <w:rsid w:val="00A67078"/>
    <w:rsid w:val="00A769D4"/>
    <w:rsid w:val="00A77A66"/>
    <w:rsid w:val="00AB310C"/>
    <w:rsid w:val="00AC187D"/>
    <w:rsid w:val="00AC4D67"/>
    <w:rsid w:val="00AD3E73"/>
    <w:rsid w:val="00AF7F2C"/>
    <w:rsid w:val="00B30EBD"/>
    <w:rsid w:val="00B46ECE"/>
    <w:rsid w:val="00B52F58"/>
    <w:rsid w:val="00B77D42"/>
    <w:rsid w:val="00BD5854"/>
    <w:rsid w:val="00BE35F5"/>
    <w:rsid w:val="00BF43A4"/>
    <w:rsid w:val="00C213D7"/>
    <w:rsid w:val="00C3459C"/>
    <w:rsid w:val="00C468CA"/>
    <w:rsid w:val="00C55CC8"/>
    <w:rsid w:val="00C84E40"/>
    <w:rsid w:val="00C92BC9"/>
    <w:rsid w:val="00C946E9"/>
    <w:rsid w:val="00CB07B3"/>
    <w:rsid w:val="00CC24E2"/>
    <w:rsid w:val="00D250F6"/>
    <w:rsid w:val="00D330C9"/>
    <w:rsid w:val="00D338C8"/>
    <w:rsid w:val="00D57CA8"/>
    <w:rsid w:val="00D62DE2"/>
    <w:rsid w:val="00D63514"/>
    <w:rsid w:val="00D727D0"/>
    <w:rsid w:val="00D731CB"/>
    <w:rsid w:val="00D82C27"/>
    <w:rsid w:val="00D95DA6"/>
    <w:rsid w:val="00DA1F93"/>
    <w:rsid w:val="00DA45F6"/>
    <w:rsid w:val="00DE0884"/>
    <w:rsid w:val="00E47FE5"/>
    <w:rsid w:val="00E877BE"/>
    <w:rsid w:val="00EA35F6"/>
    <w:rsid w:val="00EB5A28"/>
    <w:rsid w:val="00ED39C7"/>
    <w:rsid w:val="00ED6F3D"/>
    <w:rsid w:val="00EE567A"/>
    <w:rsid w:val="00F0134F"/>
    <w:rsid w:val="00F358E2"/>
    <w:rsid w:val="00F557FF"/>
    <w:rsid w:val="00F60345"/>
    <w:rsid w:val="00FC4C16"/>
    <w:rsid w:val="00FE2FF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DECE06-C9CE-46BF-8E23-BC138E9A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80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804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E4804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4804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4804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6E48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6E48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itas">
    <w:name w:val="Citas"/>
    <w:basedOn w:val="Normal"/>
    <w:qFormat/>
    <w:rsid w:val="006E4804"/>
    <w:pPr>
      <w:spacing w:before="240" w:line="360" w:lineRule="auto"/>
      <w:ind w:left="851" w:right="851"/>
      <w:jc w:val="both"/>
    </w:pPr>
    <w:rPr>
      <w:rFonts w:ascii="Palatino Linotype" w:hAnsi="Palatino Linotype" w:cs="Arial"/>
      <w:i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6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y1fYVHCwaDCrBwVLrI4zpookQ==">CgMxLjAyCWguMWZvYjl0ZTIIaC5namRneHMyCWguMzBqMHpsbDgAciExVlpVYU81NGwxRzZabmdWN3AzSjZwNWxzX0c3OFA3V3c=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AB3B3B-7355-47FF-AC03-A894AB93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3271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INFOEM399</dc:creator>
  <cp:lastModifiedBy>INFOEM416</cp:lastModifiedBy>
  <cp:revision>7</cp:revision>
  <cp:lastPrinted>2025-04-10T22:17:00Z</cp:lastPrinted>
  <dcterms:created xsi:type="dcterms:W3CDTF">2025-04-03T20:06:00Z</dcterms:created>
  <dcterms:modified xsi:type="dcterms:W3CDTF">2025-04-10T22:17:00Z</dcterms:modified>
</cp:coreProperties>
</file>