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52437" w14:textId="77777777" w:rsidR="00AC3B85" w:rsidRPr="00875B7E" w:rsidRDefault="00AC3B85" w:rsidP="00AC3B85">
      <w:pPr>
        <w:pBdr>
          <w:top w:val="nil"/>
          <w:left w:val="nil"/>
          <w:bottom w:val="nil"/>
          <w:right w:val="nil"/>
          <w:between w:val="nil"/>
        </w:pBdr>
        <w:contextualSpacing/>
        <w:rPr>
          <w:rFonts w:eastAsia="Palatino Linotype" w:cs="Palatino Linotype"/>
          <w:color w:val="000000"/>
          <w:szCs w:val="24"/>
        </w:rPr>
      </w:pPr>
      <w:r w:rsidRPr="00875B7E">
        <w:rPr>
          <w:rFonts w:eastAsia="Palatino Linotype" w:cs="Palatino Linotype"/>
          <w:color w:val="000000"/>
          <w:szCs w:val="24"/>
        </w:rPr>
        <w:t xml:space="preserve">Resolución del Pleno del Instituto de Transparencia, Acceso a la Información Pública y </w:t>
      </w:r>
      <w:bookmarkStart w:id="0" w:name="_GoBack"/>
      <w:bookmarkEnd w:id="0"/>
      <w:r w:rsidRPr="00875B7E">
        <w:rPr>
          <w:rFonts w:eastAsia="Palatino Linotype" w:cs="Palatino Linotype"/>
          <w:color w:val="000000"/>
          <w:szCs w:val="24"/>
        </w:rPr>
        <w:t>Protección de Datos Personales del Estado de México</w:t>
      </w:r>
      <w:r>
        <w:rPr>
          <w:rFonts w:eastAsia="Palatino Linotype" w:cs="Palatino Linotype"/>
          <w:color w:val="000000"/>
          <w:szCs w:val="24"/>
        </w:rPr>
        <w:t xml:space="preserve"> </w:t>
      </w:r>
      <w:r w:rsidRPr="00875B7E">
        <w:rPr>
          <w:rFonts w:eastAsia="Palatino Linotype" w:cs="Palatino Linotype"/>
          <w:color w:val="000000"/>
          <w:szCs w:val="24"/>
        </w:rPr>
        <w:t>y Municipios, con domicilio en Metepec, Estado de México, a</w:t>
      </w:r>
      <w:r w:rsidR="00672DBE">
        <w:rPr>
          <w:rFonts w:eastAsia="Palatino Linotype" w:cs="Palatino Linotype"/>
          <w:color w:val="000000"/>
          <w:szCs w:val="24"/>
        </w:rPr>
        <w:t xml:space="preserve"> veintiséis</w:t>
      </w:r>
      <w:r>
        <w:rPr>
          <w:rFonts w:eastAsia="Palatino Linotype" w:cs="Palatino Linotype"/>
          <w:color w:val="000000"/>
          <w:szCs w:val="24"/>
        </w:rPr>
        <w:t xml:space="preserve"> de febrero de dos mil veinticinco.</w:t>
      </w:r>
    </w:p>
    <w:p w14:paraId="6AFB168A" w14:textId="77777777" w:rsidR="00AC3B85" w:rsidRPr="00875B7E" w:rsidRDefault="00AC3B85" w:rsidP="00AC3B85">
      <w:pPr>
        <w:pBdr>
          <w:top w:val="nil"/>
          <w:left w:val="nil"/>
          <w:bottom w:val="nil"/>
          <w:right w:val="nil"/>
          <w:between w:val="nil"/>
        </w:pBdr>
        <w:contextualSpacing/>
        <w:rPr>
          <w:rFonts w:eastAsia="Palatino Linotype" w:cs="Palatino Linotype"/>
          <w:color w:val="000000"/>
          <w:szCs w:val="24"/>
        </w:rPr>
      </w:pPr>
    </w:p>
    <w:p w14:paraId="3D9C8DB1" w14:textId="77777777" w:rsidR="00AC3B85" w:rsidRPr="0022406E" w:rsidRDefault="00AC3B85" w:rsidP="00AC3B85">
      <w:pPr>
        <w:pBdr>
          <w:top w:val="nil"/>
          <w:left w:val="nil"/>
          <w:bottom w:val="nil"/>
          <w:right w:val="nil"/>
          <w:between w:val="nil"/>
        </w:pBdr>
        <w:contextualSpacing/>
        <w:rPr>
          <w:rFonts w:eastAsia="Palatino Linotype" w:cs="Palatino Linotype"/>
          <w:b/>
          <w:bCs/>
          <w:color w:val="000000"/>
          <w:lang w:val="es-ES"/>
        </w:rPr>
      </w:pPr>
      <w:r w:rsidRPr="70652167">
        <w:rPr>
          <w:rFonts w:eastAsia="Palatino Linotype" w:cs="Palatino Linotype"/>
          <w:b/>
          <w:bCs/>
          <w:color w:val="000000" w:themeColor="text1"/>
          <w:lang w:val="es-ES"/>
        </w:rPr>
        <w:t>VISTO</w:t>
      </w:r>
      <w:r w:rsidRPr="70652167">
        <w:rPr>
          <w:rFonts w:eastAsia="Palatino Linotype" w:cs="Palatino Linotype"/>
          <w:color w:val="000000" w:themeColor="text1"/>
          <w:lang w:val="es-ES"/>
        </w:rPr>
        <w:t xml:space="preserve"> el expediente electrónico formado con motivo del recurso de revisión número </w:t>
      </w:r>
      <w:r w:rsidRPr="00710058">
        <w:rPr>
          <w:rFonts w:eastAsia="Palatino Linotype" w:cs="Palatino Linotype"/>
          <w:b/>
          <w:bCs/>
          <w:color w:val="000000" w:themeColor="text1"/>
        </w:rPr>
        <w:t>0</w:t>
      </w:r>
      <w:r>
        <w:rPr>
          <w:rFonts w:eastAsia="Palatino Linotype" w:cs="Palatino Linotype"/>
          <w:b/>
          <w:bCs/>
          <w:color w:val="000000" w:themeColor="text1"/>
        </w:rPr>
        <w:t>0750</w:t>
      </w:r>
      <w:r w:rsidRPr="00710058">
        <w:rPr>
          <w:rFonts w:eastAsia="Palatino Linotype" w:cs="Palatino Linotype"/>
          <w:b/>
          <w:bCs/>
          <w:color w:val="000000" w:themeColor="text1"/>
        </w:rPr>
        <w:t>/INFOEM/IP/RR/202</w:t>
      </w:r>
      <w:r>
        <w:rPr>
          <w:rFonts w:eastAsia="Palatino Linotype" w:cs="Palatino Linotype"/>
          <w:b/>
          <w:bCs/>
          <w:color w:val="000000" w:themeColor="text1"/>
        </w:rPr>
        <w:t>5</w:t>
      </w:r>
      <w:r w:rsidRPr="70652167">
        <w:rPr>
          <w:rFonts w:eastAsia="Palatino Linotype" w:cs="Palatino Linotype"/>
          <w:color w:val="000000" w:themeColor="text1"/>
          <w:lang w:val="es-ES"/>
        </w:rPr>
        <w:t>, interpuesto por</w:t>
      </w:r>
      <w:r>
        <w:rPr>
          <w:rFonts w:cs="Arial"/>
          <w:b/>
          <w:lang w:val="es-ES"/>
        </w:rPr>
        <w:t xml:space="preserve"> un particular que no proporciono nombre o seudónimo para ser identificado</w:t>
      </w:r>
      <w:r w:rsidRPr="70652167">
        <w:rPr>
          <w:rFonts w:eastAsia="Palatino Linotype" w:cs="Palatino Linotype"/>
          <w:color w:val="000000" w:themeColor="text1"/>
          <w:lang w:val="es-ES"/>
        </w:rPr>
        <w:t xml:space="preserve">, en lo sucesivo </w:t>
      </w:r>
      <w:r>
        <w:rPr>
          <w:rFonts w:eastAsia="Palatino Linotype" w:cs="Palatino Linotype"/>
          <w:color w:val="000000" w:themeColor="text1"/>
          <w:lang w:val="es-ES"/>
        </w:rPr>
        <w:t>el</w:t>
      </w:r>
      <w:r w:rsidRPr="70652167">
        <w:rPr>
          <w:rFonts w:eastAsia="Palatino Linotype" w:cs="Palatino Linotype"/>
          <w:color w:val="000000" w:themeColor="text1"/>
          <w:lang w:val="es-ES"/>
        </w:rPr>
        <w:t xml:space="preserve"> </w:t>
      </w:r>
      <w:r w:rsidRPr="70652167">
        <w:rPr>
          <w:rFonts w:eastAsia="Palatino Linotype" w:cs="Palatino Linotype"/>
          <w:b/>
          <w:bCs/>
          <w:color w:val="000000" w:themeColor="text1"/>
          <w:lang w:val="es-ES"/>
        </w:rPr>
        <w:t>Recurrente</w:t>
      </w:r>
      <w:r w:rsidRPr="70652167">
        <w:rPr>
          <w:rFonts w:eastAsia="Palatino Linotype" w:cs="Palatino Linotype"/>
          <w:color w:val="000000" w:themeColor="text1"/>
          <w:lang w:val="es-ES"/>
        </w:rPr>
        <w:t xml:space="preserve">, en contra de la </w:t>
      </w:r>
      <w:r>
        <w:rPr>
          <w:rFonts w:eastAsia="Palatino Linotype" w:cs="Palatino Linotype"/>
          <w:color w:val="000000" w:themeColor="text1"/>
          <w:lang w:val="es-ES"/>
        </w:rPr>
        <w:t xml:space="preserve">falta de </w:t>
      </w:r>
      <w:r w:rsidRPr="70652167">
        <w:rPr>
          <w:rFonts w:eastAsia="Palatino Linotype" w:cs="Palatino Linotype"/>
          <w:color w:val="000000" w:themeColor="text1"/>
          <w:lang w:val="es-ES"/>
        </w:rPr>
        <w:t>respuesta del</w:t>
      </w:r>
      <w:r>
        <w:rPr>
          <w:rFonts w:eastAsia="Palatino Linotype" w:cs="Palatino Linotype"/>
          <w:b/>
          <w:bCs/>
          <w:color w:val="000000" w:themeColor="text1"/>
        </w:rPr>
        <w:t xml:space="preserve"> </w:t>
      </w:r>
      <w:r w:rsidRPr="00AC3B85">
        <w:rPr>
          <w:b/>
          <w:bCs/>
          <w:szCs w:val="24"/>
        </w:rPr>
        <w:t>Instituto Municipal de Cultura Física y Deporte de Aculco</w:t>
      </w:r>
      <w:r w:rsidRPr="70652167">
        <w:rPr>
          <w:rFonts w:eastAsia="Palatino Linotype" w:cs="Palatino Linotype"/>
          <w:color w:val="000000" w:themeColor="text1"/>
          <w:lang w:val="es-ES"/>
        </w:rPr>
        <w:t>, en lo subsecuente</w:t>
      </w:r>
      <w:r w:rsidRPr="70652167">
        <w:rPr>
          <w:rFonts w:eastAsia="Palatino Linotype" w:cs="Palatino Linotype"/>
          <w:b/>
          <w:bCs/>
          <w:color w:val="000000" w:themeColor="text1"/>
          <w:lang w:val="es-ES"/>
        </w:rPr>
        <w:t xml:space="preserve"> </w:t>
      </w:r>
      <w:r w:rsidRPr="70652167">
        <w:rPr>
          <w:rFonts w:eastAsia="Palatino Linotype" w:cs="Palatino Linotype"/>
          <w:color w:val="000000" w:themeColor="text1"/>
          <w:lang w:val="es-ES"/>
        </w:rPr>
        <w:t>el</w:t>
      </w:r>
      <w:r w:rsidRPr="70652167">
        <w:rPr>
          <w:rFonts w:eastAsia="Palatino Linotype" w:cs="Palatino Linotype"/>
          <w:b/>
          <w:bCs/>
          <w:color w:val="000000" w:themeColor="text1"/>
          <w:lang w:val="es-ES"/>
        </w:rPr>
        <w:t xml:space="preserve"> Sujeto Obligado, </w:t>
      </w:r>
      <w:r w:rsidRPr="70652167">
        <w:rPr>
          <w:rFonts w:eastAsia="Palatino Linotype" w:cs="Palatino Linotype"/>
          <w:color w:val="000000" w:themeColor="text1"/>
          <w:lang w:val="es-ES"/>
        </w:rPr>
        <w:t>se procede a dictar la presente resolución.</w:t>
      </w:r>
    </w:p>
    <w:p w14:paraId="39F485F5" w14:textId="77777777" w:rsidR="00AC3B85" w:rsidRPr="00875B7E" w:rsidRDefault="00AC3B85" w:rsidP="00AC3B85">
      <w:pPr>
        <w:pBdr>
          <w:top w:val="nil"/>
          <w:left w:val="nil"/>
          <w:bottom w:val="nil"/>
          <w:right w:val="nil"/>
          <w:between w:val="nil"/>
        </w:pBdr>
        <w:contextualSpacing/>
        <w:rPr>
          <w:rFonts w:eastAsia="Palatino Linotype" w:cs="Palatino Linotype"/>
          <w:color w:val="000000"/>
          <w:szCs w:val="24"/>
        </w:rPr>
      </w:pPr>
    </w:p>
    <w:p w14:paraId="74C3ECDB" w14:textId="77777777" w:rsidR="00AC3B85" w:rsidRPr="006922F5" w:rsidRDefault="00AC3B85" w:rsidP="00AC3B85">
      <w:pPr>
        <w:pStyle w:val="Ttulo1"/>
        <w:rPr>
          <w:rFonts w:eastAsia="Palatino Linotype"/>
          <w:lang w:val="es-ES_tradnl"/>
        </w:rPr>
      </w:pPr>
      <w:r w:rsidRPr="006922F5">
        <w:rPr>
          <w:rFonts w:eastAsia="Palatino Linotype"/>
          <w:lang w:val="es-ES_tradnl"/>
        </w:rPr>
        <w:t>A N T E C E D E N T E S</w:t>
      </w:r>
    </w:p>
    <w:p w14:paraId="1B627A22" w14:textId="77777777" w:rsidR="00AC3B85" w:rsidRPr="00875B7E" w:rsidRDefault="00AC3B85" w:rsidP="00AC3B85">
      <w:pPr>
        <w:pBdr>
          <w:top w:val="nil"/>
          <w:left w:val="nil"/>
          <w:bottom w:val="nil"/>
          <w:right w:val="nil"/>
          <w:between w:val="nil"/>
        </w:pBdr>
        <w:contextualSpacing/>
        <w:rPr>
          <w:rFonts w:eastAsia="Palatino Linotype" w:cs="Palatino Linotype"/>
          <w:color w:val="000000"/>
          <w:szCs w:val="24"/>
        </w:rPr>
      </w:pPr>
    </w:p>
    <w:p w14:paraId="2BF42579" w14:textId="77777777" w:rsidR="00AC3B85" w:rsidRPr="006922F5" w:rsidRDefault="00AC3B85" w:rsidP="00AC3B85">
      <w:pPr>
        <w:pStyle w:val="Ttulo2"/>
        <w:rPr>
          <w:rFonts w:eastAsia="Palatino Linotype"/>
        </w:rPr>
      </w:pPr>
      <w:r w:rsidRPr="006922F5">
        <w:rPr>
          <w:rFonts w:eastAsia="Palatino Linotype"/>
        </w:rPr>
        <w:t xml:space="preserve">PRIMERO. De la </w:t>
      </w:r>
      <w:r>
        <w:rPr>
          <w:rFonts w:eastAsia="Palatino Linotype"/>
        </w:rPr>
        <w:t>s</w:t>
      </w:r>
      <w:r w:rsidRPr="006922F5">
        <w:rPr>
          <w:rFonts w:eastAsia="Palatino Linotype"/>
        </w:rPr>
        <w:t xml:space="preserve">olicitud de </w:t>
      </w:r>
      <w:r>
        <w:rPr>
          <w:rFonts w:eastAsia="Palatino Linotype"/>
        </w:rPr>
        <w:t>i</w:t>
      </w:r>
      <w:r w:rsidRPr="006922F5">
        <w:rPr>
          <w:rFonts w:eastAsia="Palatino Linotype"/>
        </w:rPr>
        <w:t>nformación.</w:t>
      </w:r>
    </w:p>
    <w:p w14:paraId="504E527F" w14:textId="77777777" w:rsidR="00AC3B85" w:rsidRPr="00AC3B85" w:rsidRDefault="00AC3B85" w:rsidP="00AC3B85">
      <w:pPr>
        <w:pBdr>
          <w:top w:val="nil"/>
          <w:left w:val="nil"/>
          <w:bottom w:val="nil"/>
          <w:right w:val="nil"/>
          <w:between w:val="nil"/>
        </w:pBdr>
        <w:contextualSpacing/>
        <w:rPr>
          <w:b/>
          <w:bCs/>
        </w:rPr>
      </w:pPr>
      <w:r w:rsidRPr="006922F5">
        <w:rPr>
          <w:rFonts w:eastAsia="Palatino Linotype" w:cs="Palatino Linotype"/>
          <w:color w:val="000000"/>
          <w:szCs w:val="24"/>
        </w:rPr>
        <w:t>Con fecha</w:t>
      </w:r>
      <w:r>
        <w:rPr>
          <w:rFonts w:eastAsia="Palatino Linotype" w:cs="Palatino Linotype"/>
          <w:color w:val="000000"/>
          <w:szCs w:val="24"/>
        </w:rPr>
        <w:t xml:space="preserve"> trece de enero de dos mil veinticinco</w:t>
      </w:r>
      <w:r w:rsidRPr="006922F5">
        <w:rPr>
          <w:rFonts w:eastAsia="Palatino Linotype" w:cs="Palatino Linotype"/>
          <w:color w:val="000000"/>
          <w:szCs w:val="24"/>
        </w:rPr>
        <w:t xml:space="preserve">, </w:t>
      </w:r>
      <w:r>
        <w:rPr>
          <w:rFonts w:eastAsia="Palatino Linotype" w:cs="Palatino Linotype"/>
          <w:color w:val="000000"/>
          <w:szCs w:val="24"/>
        </w:rPr>
        <w:t>el</w:t>
      </w:r>
      <w:r w:rsidRPr="006922F5">
        <w:rPr>
          <w:rFonts w:eastAsia="Palatino Linotype" w:cs="Palatino Linotype"/>
          <w:color w:val="000000"/>
          <w:szCs w:val="24"/>
        </w:rPr>
        <w:t xml:space="preserve"> </w:t>
      </w:r>
      <w:r w:rsidRPr="009E28A8">
        <w:rPr>
          <w:rFonts w:eastAsia="Palatino Linotype" w:cs="Palatino Linotype"/>
          <w:b/>
          <w:bCs/>
          <w:color w:val="000000"/>
          <w:szCs w:val="24"/>
        </w:rPr>
        <w:t>Recurrente</w:t>
      </w:r>
      <w:r w:rsidRPr="006922F5">
        <w:rPr>
          <w:rFonts w:eastAsia="Palatino Linotype" w:cs="Palatino Linotype"/>
          <w:color w:val="000000"/>
          <w:szCs w:val="24"/>
        </w:rPr>
        <w:t xml:space="preserve"> presentó solicitud de información </w:t>
      </w:r>
      <w:r>
        <w:rPr>
          <w:rFonts w:eastAsia="Palatino Linotype" w:cs="Palatino Linotype"/>
          <w:color w:val="000000"/>
          <w:szCs w:val="24"/>
        </w:rPr>
        <w:t xml:space="preserve">que fue </w:t>
      </w:r>
      <w:r w:rsidRPr="006922F5">
        <w:rPr>
          <w:rFonts w:eastAsia="Palatino Linotype" w:cs="Palatino Linotype"/>
          <w:color w:val="000000"/>
          <w:szCs w:val="24"/>
        </w:rPr>
        <w:t xml:space="preserve">registrada </w:t>
      </w:r>
      <w:r>
        <w:rPr>
          <w:rFonts w:eastAsia="Palatino Linotype" w:cs="Palatino Linotype"/>
          <w:color w:val="000000"/>
          <w:szCs w:val="24"/>
        </w:rPr>
        <w:t xml:space="preserve">en </w:t>
      </w:r>
      <w:r w:rsidRPr="006922F5">
        <w:rPr>
          <w:rFonts w:eastAsia="Palatino Linotype" w:cs="Palatino Linotype"/>
          <w:color w:val="000000"/>
          <w:szCs w:val="24"/>
        </w:rPr>
        <w:t>el Sistema de Acceso a la Información Mexiquense (</w:t>
      </w:r>
      <w:r w:rsidRPr="005E7A32">
        <w:rPr>
          <w:rFonts w:eastAsia="Palatino Linotype" w:cs="Palatino Linotype"/>
          <w:b/>
          <w:color w:val="000000"/>
          <w:szCs w:val="24"/>
        </w:rPr>
        <w:t>SAIMEX)</w:t>
      </w:r>
      <w:r w:rsidRPr="006922F5">
        <w:rPr>
          <w:rFonts w:eastAsia="Palatino Linotype" w:cs="Palatino Linotype"/>
          <w:color w:val="000000"/>
          <w:szCs w:val="24"/>
        </w:rPr>
        <w:t xml:space="preserve"> con el número de </w:t>
      </w:r>
      <w:r w:rsidRPr="00AC3B85">
        <w:rPr>
          <w:rFonts w:eastAsia="Palatino Linotype" w:cs="Palatino Linotype"/>
          <w:szCs w:val="24"/>
        </w:rPr>
        <w:t>expediente</w:t>
      </w:r>
      <w:r w:rsidRPr="00AC3B85">
        <w:rPr>
          <w:b/>
          <w:bCs/>
        </w:rPr>
        <w:t xml:space="preserve"> 00001/IMCUFIDEACULCO/IP/2025</w:t>
      </w:r>
      <w:r w:rsidRPr="00697555">
        <w:rPr>
          <w:rFonts w:eastAsia="Palatino Linotype" w:cs="Palatino Linotype"/>
          <w:szCs w:val="24"/>
        </w:rPr>
        <w:t>,</w:t>
      </w:r>
      <w:r w:rsidRPr="00697555">
        <w:rPr>
          <w:rFonts w:eastAsia="Palatino Linotype" w:cs="Palatino Linotype"/>
          <w:b/>
          <w:szCs w:val="24"/>
        </w:rPr>
        <w:t xml:space="preserve"> </w:t>
      </w:r>
      <w:r w:rsidRPr="006922F5">
        <w:rPr>
          <w:rFonts w:eastAsia="Palatino Linotype" w:cs="Palatino Linotype"/>
          <w:color w:val="000000"/>
          <w:szCs w:val="24"/>
        </w:rPr>
        <w:t>mediante la cual solicitó información en el tenor siguiente:</w:t>
      </w:r>
    </w:p>
    <w:p w14:paraId="67BFAD2C" w14:textId="77777777" w:rsidR="00AC3B85" w:rsidRPr="005E7A32" w:rsidRDefault="00AC3B85" w:rsidP="00AC3B85">
      <w:pPr>
        <w:pBdr>
          <w:top w:val="nil"/>
          <w:left w:val="nil"/>
          <w:bottom w:val="nil"/>
          <w:right w:val="nil"/>
          <w:between w:val="nil"/>
        </w:pBdr>
        <w:contextualSpacing/>
        <w:rPr>
          <w:rFonts w:eastAsia="Palatino Linotype" w:cs="Palatino Linotype"/>
          <w:color w:val="000000"/>
          <w:szCs w:val="24"/>
        </w:rPr>
      </w:pPr>
    </w:p>
    <w:p w14:paraId="3F63656C" w14:textId="77777777" w:rsidR="00AC3B85" w:rsidRPr="00AC3B85" w:rsidRDefault="00AC3B85" w:rsidP="00AC3B85">
      <w:pPr>
        <w:pStyle w:val="Fundamentos"/>
        <w:rPr>
          <w:sz w:val="24"/>
        </w:rPr>
      </w:pPr>
      <w:r w:rsidRPr="00AC3B85">
        <w:rPr>
          <w:sz w:val="24"/>
          <w:lang w:val="es-ES"/>
        </w:rPr>
        <w:t>«</w:t>
      </w:r>
      <w:r w:rsidRPr="00AC3B85">
        <w:rPr>
          <w:rFonts w:eastAsia="Calibri" w:cs="Calibri"/>
          <w:i w:val="0"/>
          <w:sz w:val="24"/>
        </w:rPr>
        <w:t xml:space="preserve"> </w:t>
      </w:r>
      <w:r w:rsidRPr="00AC3B85">
        <w:rPr>
          <w:sz w:val="24"/>
        </w:rPr>
        <w:t>Solicito los CV de todos los empleados inscritos al IMCUFIDE a la fecha de la presente solicitud.</w:t>
      </w:r>
      <w:r w:rsidRPr="00AC3B85">
        <w:rPr>
          <w:sz w:val="24"/>
          <w:lang w:val="es-ES"/>
        </w:rPr>
        <w:t>» (Sic)</w:t>
      </w:r>
    </w:p>
    <w:p w14:paraId="6336C469" w14:textId="77777777" w:rsidR="00AC3B85" w:rsidRPr="00AC3B85" w:rsidRDefault="00AC3B85" w:rsidP="00AC3B85">
      <w:pPr>
        <w:pBdr>
          <w:top w:val="nil"/>
          <w:left w:val="nil"/>
          <w:bottom w:val="nil"/>
          <w:right w:val="nil"/>
          <w:between w:val="nil"/>
        </w:pBdr>
        <w:contextualSpacing/>
        <w:rPr>
          <w:rFonts w:eastAsia="Palatino Linotype" w:cs="Palatino Linotype"/>
          <w:color w:val="000000"/>
          <w:szCs w:val="24"/>
        </w:rPr>
      </w:pPr>
    </w:p>
    <w:p w14:paraId="4719EABA" w14:textId="77777777" w:rsidR="00AC3B85" w:rsidRPr="00875B7E" w:rsidRDefault="00AC3B85" w:rsidP="00AC3B85">
      <w:pPr>
        <w:pBdr>
          <w:top w:val="nil"/>
          <w:left w:val="nil"/>
          <w:bottom w:val="nil"/>
          <w:right w:val="nil"/>
          <w:between w:val="nil"/>
        </w:pBdr>
        <w:contextualSpacing/>
        <w:rPr>
          <w:rFonts w:eastAsia="Palatino Linotype" w:cs="Palatino Linotype"/>
          <w:color w:val="000000"/>
          <w:szCs w:val="24"/>
        </w:rPr>
      </w:pPr>
    </w:p>
    <w:p w14:paraId="484EC1B4" w14:textId="77777777" w:rsidR="00AC3B85" w:rsidRPr="00256C55" w:rsidRDefault="00AC3B85" w:rsidP="00AC3B85">
      <w:pPr>
        <w:pBdr>
          <w:top w:val="nil"/>
          <w:left w:val="nil"/>
          <w:bottom w:val="nil"/>
          <w:right w:val="nil"/>
          <w:between w:val="nil"/>
        </w:pBdr>
        <w:contextualSpacing/>
        <w:rPr>
          <w:rFonts w:eastAsia="Palatino Linotype" w:cs="Palatino Linotype"/>
          <w:b/>
          <w:color w:val="000000"/>
          <w:szCs w:val="24"/>
        </w:rPr>
      </w:pPr>
      <w:r w:rsidRPr="006922F5">
        <w:rPr>
          <w:rFonts w:eastAsia="Palatino Linotype" w:cs="Palatino Linotype"/>
          <w:color w:val="000000"/>
          <w:szCs w:val="24"/>
        </w:rPr>
        <w:t xml:space="preserve">Modalidad de entrega: </w:t>
      </w:r>
      <w:r>
        <w:rPr>
          <w:rFonts w:eastAsia="Palatino Linotype" w:cs="Palatino Linotype"/>
          <w:b/>
          <w:color w:val="000000"/>
          <w:szCs w:val="24"/>
        </w:rPr>
        <w:t>A través del SAIMEX</w:t>
      </w:r>
    </w:p>
    <w:p w14:paraId="1069F1F5" w14:textId="77777777" w:rsidR="00AC3B85" w:rsidRPr="00697555" w:rsidRDefault="00AC3B85" w:rsidP="00AC3B85">
      <w:pPr>
        <w:pStyle w:val="Ttulo2"/>
        <w:rPr>
          <w:rFonts w:eastAsia="Palatino Linotype" w:cs="Palatino Linotype"/>
          <w:color w:val="000000"/>
        </w:rPr>
      </w:pPr>
      <w:r>
        <w:rPr>
          <w:rFonts w:eastAsia="Palatino Linotype"/>
        </w:rPr>
        <w:lastRenderedPageBreak/>
        <w:t>SEGUNDO</w:t>
      </w:r>
      <w:r w:rsidRPr="006922F5">
        <w:rPr>
          <w:rFonts w:eastAsia="Palatino Linotype"/>
        </w:rPr>
        <w:t xml:space="preserve">. </w:t>
      </w:r>
      <w:r>
        <w:rPr>
          <w:rFonts w:eastAsia="Palatino Linotype" w:cs="Palatino Linotype"/>
          <w:color w:val="000000"/>
        </w:rPr>
        <w:t xml:space="preserve">De la falta de </w:t>
      </w:r>
      <w:r w:rsidRPr="00883102">
        <w:rPr>
          <w:rFonts w:eastAsia="Palatino Linotype" w:cs="Palatino Linotype"/>
          <w:color w:val="000000"/>
        </w:rPr>
        <w:t>respuesta del Sujeto Obligado.</w:t>
      </w:r>
    </w:p>
    <w:p w14:paraId="4B73F621" w14:textId="77777777" w:rsidR="00AC3B85" w:rsidRPr="0037112D" w:rsidRDefault="00AC3B85" w:rsidP="00AC3B85">
      <w:pPr>
        <w:pBdr>
          <w:top w:val="nil"/>
          <w:left w:val="nil"/>
          <w:bottom w:val="nil"/>
          <w:right w:val="nil"/>
          <w:between w:val="nil"/>
        </w:pBdr>
        <w:contextualSpacing/>
        <w:rPr>
          <w:rFonts w:eastAsia="Palatino Linotype" w:cs="Palatino Linotype"/>
          <w:b/>
          <w:bCs/>
          <w:color w:val="000000"/>
          <w:lang w:val="es-ES"/>
        </w:rPr>
      </w:pPr>
      <w:r w:rsidRPr="00C63164">
        <w:rPr>
          <w:rFonts w:eastAsia="Palatino Linotype" w:cs="Palatino Linotype"/>
          <w:color w:val="000000"/>
          <w:szCs w:val="24"/>
        </w:rPr>
        <w:t xml:space="preserve">En el expediente electrónico SAIMEX, se observa que el Sujeto Obligado fue omiso en dar respuesta a la solicitud de información presentada por </w:t>
      </w:r>
      <w:r>
        <w:rPr>
          <w:rFonts w:eastAsia="Palatino Linotype" w:cs="Palatino Linotype"/>
          <w:color w:val="000000"/>
          <w:szCs w:val="24"/>
        </w:rPr>
        <w:t>el</w:t>
      </w:r>
      <w:r w:rsidRPr="00C63164">
        <w:rPr>
          <w:rFonts w:eastAsia="Palatino Linotype" w:cs="Palatino Linotype"/>
          <w:color w:val="000000"/>
          <w:szCs w:val="24"/>
        </w:rPr>
        <w:t xml:space="preserve"> Recurrente. Derivado de lo anterior, se constituye la figura de la </w:t>
      </w:r>
      <w:r w:rsidRPr="00723CE8">
        <w:rPr>
          <w:rFonts w:eastAsia="Palatino Linotype" w:cs="Palatino Linotype"/>
          <w:b/>
          <w:color w:val="000000"/>
          <w:szCs w:val="24"/>
        </w:rPr>
        <w:t>Negativa Ficta</w:t>
      </w:r>
      <w:r w:rsidRPr="00C63164">
        <w:rPr>
          <w:rFonts w:eastAsia="Palatino Linotype" w:cs="Palatino Linotype"/>
          <w:color w:val="000000"/>
          <w:szCs w:val="24"/>
        </w:rPr>
        <w:t>, cuya esencia consiste en atribuir un efecto negativo de la autoridad administrativa frente a las instancias y solicitudes que hagan los particulares.</w:t>
      </w:r>
    </w:p>
    <w:p w14:paraId="3AB63DAF" w14:textId="77777777" w:rsidR="00AC3B85" w:rsidRPr="0037112D" w:rsidRDefault="00AC3B85" w:rsidP="00AC3B85">
      <w:pPr>
        <w:pBdr>
          <w:top w:val="nil"/>
          <w:left w:val="nil"/>
          <w:bottom w:val="nil"/>
          <w:right w:val="nil"/>
          <w:between w:val="nil"/>
        </w:pBdr>
        <w:contextualSpacing/>
        <w:rPr>
          <w:rFonts w:eastAsia="Palatino Linotype" w:cs="Palatino Linotype"/>
          <w:color w:val="000000"/>
          <w:szCs w:val="24"/>
        </w:rPr>
      </w:pPr>
    </w:p>
    <w:p w14:paraId="7C69396A" w14:textId="77777777" w:rsidR="00AC3B85" w:rsidRPr="006922F5" w:rsidRDefault="00AC3B85" w:rsidP="00AC3B85">
      <w:pPr>
        <w:pStyle w:val="Ttulo2"/>
        <w:rPr>
          <w:rFonts w:eastAsia="Palatino Linotype"/>
        </w:rPr>
      </w:pPr>
      <w:r>
        <w:rPr>
          <w:rFonts w:eastAsia="Palatino Linotype"/>
        </w:rPr>
        <w:t>TERCERO</w:t>
      </w:r>
      <w:r w:rsidRPr="006922F5">
        <w:rPr>
          <w:rFonts w:eastAsia="Palatino Linotype"/>
        </w:rPr>
        <w:t>. Del recurso de revisión.</w:t>
      </w:r>
    </w:p>
    <w:p w14:paraId="6BCC855A"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883102">
        <w:rPr>
          <w:rFonts w:eastAsia="Palatino Linotype" w:cs="Palatino Linotype"/>
          <w:color w:val="000000"/>
          <w:szCs w:val="24"/>
        </w:rPr>
        <w:t xml:space="preserve">En fecha </w:t>
      </w:r>
      <w:r>
        <w:rPr>
          <w:rFonts w:eastAsia="Palatino Linotype" w:cs="Palatino Linotype"/>
          <w:color w:val="000000"/>
          <w:szCs w:val="24"/>
        </w:rPr>
        <w:t xml:space="preserve">seis de </w:t>
      </w:r>
      <w:proofErr w:type="gramStart"/>
      <w:r>
        <w:rPr>
          <w:rFonts w:eastAsia="Palatino Linotype" w:cs="Palatino Linotype"/>
          <w:color w:val="000000"/>
          <w:szCs w:val="24"/>
        </w:rPr>
        <w:t>febrero  de</w:t>
      </w:r>
      <w:proofErr w:type="gramEnd"/>
      <w:r>
        <w:rPr>
          <w:rFonts w:eastAsia="Palatino Linotype" w:cs="Palatino Linotype"/>
          <w:color w:val="000000"/>
          <w:szCs w:val="24"/>
        </w:rPr>
        <w:t xml:space="preserve"> dos mil veinticinco</w:t>
      </w:r>
      <w:r w:rsidRPr="00883102">
        <w:rPr>
          <w:rFonts w:eastAsia="Palatino Linotype" w:cs="Palatino Linotype"/>
          <w:color w:val="000000"/>
          <w:szCs w:val="24"/>
        </w:rPr>
        <w:t xml:space="preserve">, </w:t>
      </w:r>
      <w:r>
        <w:rPr>
          <w:rFonts w:eastAsia="Palatino Linotype" w:cs="Palatino Linotype"/>
          <w:color w:val="000000"/>
          <w:szCs w:val="24"/>
        </w:rPr>
        <w:t xml:space="preserve">el Recurrente </w:t>
      </w:r>
      <w:r w:rsidRPr="00883102">
        <w:rPr>
          <w:rFonts w:eastAsia="Palatino Linotype" w:cs="Palatino Linotype"/>
          <w:color w:val="000000"/>
          <w:szCs w:val="24"/>
        </w:rPr>
        <w:t>interpuso el presente recurso de revisión, el cual fue registrado</w:t>
      </w:r>
      <w:r w:rsidRPr="00883102">
        <w:rPr>
          <w:rFonts w:eastAsia="Palatino Linotype" w:cs="Palatino Linotype"/>
          <w:b/>
          <w:color w:val="000000"/>
          <w:szCs w:val="24"/>
        </w:rPr>
        <w:t xml:space="preserve"> </w:t>
      </w:r>
      <w:r w:rsidRPr="00883102">
        <w:rPr>
          <w:rFonts w:eastAsia="Palatino Linotype" w:cs="Palatino Linotype"/>
          <w:color w:val="000000"/>
          <w:szCs w:val="24"/>
        </w:rPr>
        <w:t>en el SAIMEX con el expediente número</w:t>
      </w:r>
      <w:r w:rsidRPr="006922F5">
        <w:rPr>
          <w:rFonts w:eastAsia="Palatino Linotype" w:cs="Palatino Linotype"/>
          <w:color w:val="000000"/>
          <w:szCs w:val="24"/>
        </w:rPr>
        <w:t xml:space="preserve"> </w:t>
      </w:r>
      <w:r w:rsidRPr="00710058">
        <w:rPr>
          <w:rFonts w:eastAsia="Palatino Linotype" w:cs="Palatino Linotype"/>
          <w:b/>
          <w:bCs/>
          <w:color w:val="000000"/>
          <w:szCs w:val="24"/>
        </w:rPr>
        <w:t>0</w:t>
      </w:r>
      <w:r>
        <w:rPr>
          <w:rFonts w:eastAsia="Palatino Linotype" w:cs="Palatino Linotype"/>
          <w:b/>
          <w:bCs/>
          <w:color w:val="000000"/>
          <w:szCs w:val="24"/>
        </w:rPr>
        <w:t>0750</w:t>
      </w:r>
      <w:r w:rsidRPr="00710058">
        <w:rPr>
          <w:rFonts w:eastAsia="Palatino Linotype" w:cs="Palatino Linotype"/>
          <w:b/>
          <w:bCs/>
          <w:color w:val="000000"/>
          <w:szCs w:val="24"/>
        </w:rPr>
        <w:t>/INFOEM/IP/RR/202</w:t>
      </w:r>
      <w:r>
        <w:rPr>
          <w:rFonts w:eastAsia="Palatino Linotype" w:cs="Palatino Linotype"/>
          <w:b/>
          <w:bCs/>
          <w:color w:val="000000"/>
          <w:szCs w:val="24"/>
        </w:rPr>
        <w:t>5</w:t>
      </w:r>
      <w:r w:rsidRPr="006922F5">
        <w:rPr>
          <w:rFonts w:eastAsia="Palatino Linotype" w:cs="Palatino Linotype"/>
          <w:color w:val="000000"/>
          <w:szCs w:val="24"/>
        </w:rPr>
        <w:t xml:space="preserve">, </w:t>
      </w:r>
      <w:r>
        <w:rPr>
          <w:rFonts w:eastAsia="Palatino Linotype" w:cs="Palatino Linotype"/>
          <w:color w:val="000000"/>
          <w:szCs w:val="24"/>
        </w:rPr>
        <w:t>en el que manifestó</w:t>
      </w:r>
      <w:r w:rsidRPr="006922F5">
        <w:rPr>
          <w:rFonts w:eastAsia="Palatino Linotype" w:cs="Palatino Linotype"/>
          <w:color w:val="000000"/>
          <w:szCs w:val="24"/>
        </w:rPr>
        <w:t xml:space="preserve"> lo siguiente:</w:t>
      </w:r>
    </w:p>
    <w:p w14:paraId="2024B2A0" w14:textId="77777777" w:rsidR="00AC3B85" w:rsidRPr="00723CE8" w:rsidRDefault="00AC3B85" w:rsidP="00AC3B85">
      <w:pPr>
        <w:spacing w:before="240"/>
        <w:ind w:firstLine="567"/>
        <w:rPr>
          <w:rFonts w:cs="Arial"/>
          <w:szCs w:val="24"/>
        </w:rPr>
      </w:pPr>
      <w:r>
        <w:rPr>
          <w:rFonts w:eastAsia="Palatino Linotype" w:cs="Palatino Linotype"/>
          <w:b/>
        </w:rPr>
        <w:t>Acto Impugnado</w:t>
      </w:r>
      <w:r w:rsidRPr="00256C55">
        <w:rPr>
          <w:rFonts w:cs="Arial"/>
          <w:b/>
        </w:rPr>
        <w:t xml:space="preserve"> </w:t>
      </w:r>
      <w:r>
        <w:rPr>
          <w:rFonts w:cs="Arial"/>
          <w:b/>
        </w:rPr>
        <w:t xml:space="preserve">y </w:t>
      </w:r>
      <w:r w:rsidRPr="00BE6D77">
        <w:rPr>
          <w:rFonts w:cs="Arial"/>
          <w:b/>
        </w:rPr>
        <w:t>Razones o Motivos de Inconformidad</w:t>
      </w:r>
      <w:r w:rsidRPr="00BE6D77">
        <w:rPr>
          <w:rFonts w:cs="Arial"/>
          <w:szCs w:val="24"/>
        </w:rPr>
        <w:t xml:space="preserve">: </w:t>
      </w:r>
    </w:p>
    <w:p w14:paraId="3AE57160" w14:textId="77777777" w:rsidR="00AC3B85" w:rsidRPr="00256C55" w:rsidRDefault="00AC3B85" w:rsidP="00AC3B85">
      <w:pPr>
        <w:pStyle w:val="Fundamentos"/>
        <w:rPr>
          <w:sz w:val="24"/>
          <w:lang w:val="es-ES"/>
        </w:rPr>
      </w:pPr>
      <w:r w:rsidRPr="00AC3B85">
        <w:rPr>
          <w:sz w:val="24"/>
          <w:lang w:val="es-ES"/>
        </w:rPr>
        <w:t>«</w:t>
      </w:r>
      <w:r w:rsidRPr="00AC3B85">
        <w:rPr>
          <w:sz w:val="24"/>
        </w:rPr>
        <w:t xml:space="preserve"> No se da respuesta a la solicitud de información.</w:t>
      </w:r>
      <w:r w:rsidRPr="00AC3B85">
        <w:rPr>
          <w:sz w:val="24"/>
          <w:lang w:val="es-ES"/>
        </w:rPr>
        <w:t>»</w:t>
      </w:r>
      <w:r w:rsidRPr="00256C55">
        <w:rPr>
          <w:sz w:val="24"/>
          <w:lang w:val="es-ES"/>
        </w:rPr>
        <w:t xml:space="preserve"> (Sic)</w:t>
      </w:r>
    </w:p>
    <w:p w14:paraId="0F3B5422" w14:textId="77777777" w:rsidR="00AC3B85" w:rsidRPr="00256C55" w:rsidRDefault="00AC3B85" w:rsidP="00AC3B85">
      <w:pPr>
        <w:pStyle w:val="Fundamentos"/>
        <w:rPr>
          <w:rFonts w:ascii="Verdana" w:hAnsi="Verdana"/>
          <w:sz w:val="14"/>
          <w:szCs w:val="14"/>
        </w:rPr>
      </w:pPr>
    </w:p>
    <w:p w14:paraId="7217512C" w14:textId="77777777" w:rsidR="00AC3B85" w:rsidRPr="00256C55" w:rsidRDefault="00AC3B85" w:rsidP="00AC3B85">
      <w:pPr>
        <w:pStyle w:val="Fundamentos"/>
        <w:rPr>
          <w:rFonts w:cs="Arial"/>
          <w:b/>
        </w:rPr>
      </w:pPr>
      <w:r w:rsidRPr="005E7A32">
        <w:rPr>
          <w:rFonts w:cs="Arial"/>
          <w:b/>
        </w:rPr>
        <w:t xml:space="preserve"> </w:t>
      </w:r>
    </w:p>
    <w:p w14:paraId="0392075D" w14:textId="77777777" w:rsidR="00AC3B85" w:rsidRPr="006922F5" w:rsidRDefault="00AC3B85" w:rsidP="00AC3B85">
      <w:pPr>
        <w:pStyle w:val="Ttulo2"/>
        <w:rPr>
          <w:rFonts w:eastAsia="Palatino Linotype"/>
        </w:rPr>
      </w:pPr>
      <w:r>
        <w:rPr>
          <w:rFonts w:eastAsia="Palatino Linotype"/>
        </w:rPr>
        <w:t>CUARTO</w:t>
      </w:r>
      <w:r w:rsidRPr="006922F5">
        <w:rPr>
          <w:rFonts w:eastAsia="Palatino Linotype"/>
        </w:rPr>
        <w:t>. Del turno y admisión del recurso de revisión.</w:t>
      </w:r>
    </w:p>
    <w:p w14:paraId="1431305D" w14:textId="77777777" w:rsidR="00AC3B85" w:rsidRPr="006922F5" w:rsidRDefault="00AC3B85" w:rsidP="00AC3B85">
      <w:pPr>
        <w:pBdr>
          <w:top w:val="nil"/>
          <w:left w:val="nil"/>
          <w:bottom w:val="nil"/>
          <w:right w:val="nil"/>
          <w:between w:val="nil"/>
        </w:pBdr>
        <w:contextualSpacing/>
        <w:rPr>
          <w:rFonts w:eastAsia="Palatino Linotype" w:cs="Palatino Linotype"/>
          <w:color w:val="000000"/>
          <w:lang w:val="es-ES"/>
        </w:rPr>
      </w:pPr>
      <w:r w:rsidRPr="70652167">
        <w:rPr>
          <w:rFonts w:eastAsia="Palatino Linotype" w:cs="Palatino Linotype"/>
          <w:color w:val="000000" w:themeColor="text1"/>
          <w:lang w:val="es-ES"/>
        </w:rPr>
        <w:t xml:space="preserve">Medio de impugnación que le fue turnado al </w:t>
      </w:r>
      <w:r w:rsidRPr="70652167">
        <w:rPr>
          <w:rFonts w:eastAsia="Palatino Linotype" w:cs="Palatino Linotype"/>
          <w:b/>
          <w:bCs/>
          <w:color w:val="000000" w:themeColor="text1"/>
          <w:lang w:val="es-ES"/>
        </w:rPr>
        <w:t>Comisionado Presidente José Martínez Vilchis</w:t>
      </w:r>
      <w:r w:rsidRPr="70652167">
        <w:rPr>
          <w:rFonts w:eastAsia="Palatino Linotype" w:cs="Palatino Linotype"/>
          <w:color w:val="000000" w:themeColor="text1"/>
          <w:lang w:val="es-ES"/>
        </w:rPr>
        <w:t>, por medio del sistema electrónico en términos del numeral 185 fracción I de la Ley de Transparencia y Acceso a la información Pública del Estado de México y Municipios, al cual recayó acuerdo de</w:t>
      </w:r>
      <w:r>
        <w:rPr>
          <w:rFonts w:eastAsia="Palatino Linotype" w:cs="Palatino Linotype"/>
          <w:color w:val="000000" w:themeColor="text1"/>
          <w:lang w:val="es-ES"/>
        </w:rPr>
        <w:t xml:space="preserve"> admisión de fecha </w:t>
      </w:r>
      <w:r>
        <w:rPr>
          <w:rFonts w:eastAsia="Palatino Linotype" w:cs="Palatino Linotype"/>
          <w:b/>
          <w:bCs/>
          <w:color w:val="000000" w:themeColor="text1"/>
          <w:lang w:val="es-ES"/>
        </w:rPr>
        <w:t>siete de febrero de dos mil veinticinco</w:t>
      </w:r>
      <w:r w:rsidRPr="70652167">
        <w:rPr>
          <w:rFonts w:eastAsia="Palatino Linotype" w:cs="Palatino Linotype"/>
          <w:color w:val="000000" w:themeColor="text1"/>
          <w:lang w:val="es-ES"/>
        </w:rPr>
        <w:t xml:space="preserve">, </w:t>
      </w:r>
      <w:r w:rsidRPr="70652167">
        <w:rPr>
          <w:rFonts w:eastAsia="Palatino Linotype" w:cs="Palatino Linotype"/>
          <w:lang w:val="es-ES"/>
        </w:rPr>
        <w:t>otorgándose</w:t>
      </w:r>
      <w:r w:rsidRPr="70652167">
        <w:rPr>
          <w:rFonts w:eastAsia="Palatino Linotype" w:cs="Palatino Linotype"/>
          <w:color w:val="000000" w:themeColor="text1"/>
          <w:lang w:val="es-ES"/>
        </w:rPr>
        <w:t xml:space="preserve"> en él un plazo de siete días para que las partes manifestaran lo que a su derecho corresponda en términos del numeral ya citado.</w:t>
      </w:r>
    </w:p>
    <w:p w14:paraId="3E190E64" w14:textId="77777777" w:rsidR="00AC3B85" w:rsidRPr="003C2571" w:rsidRDefault="00AC3B85" w:rsidP="00AC3B85">
      <w:pPr>
        <w:pBdr>
          <w:top w:val="nil"/>
          <w:left w:val="nil"/>
          <w:bottom w:val="nil"/>
          <w:right w:val="nil"/>
          <w:between w:val="nil"/>
        </w:pBdr>
        <w:contextualSpacing/>
        <w:rPr>
          <w:rFonts w:eastAsia="Palatino Linotype" w:cs="Palatino Linotype"/>
          <w:color w:val="000000"/>
          <w:szCs w:val="24"/>
          <w:lang w:val="es-ES"/>
        </w:rPr>
      </w:pPr>
    </w:p>
    <w:p w14:paraId="6249EB6B" w14:textId="77777777" w:rsidR="00AC3B85" w:rsidRPr="006922F5" w:rsidRDefault="00AC3B85" w:rsidP="00AC3B85">
      <w:pPr>
        <w:pStyle w:val="Ttulo2"/>
        <w:rPr>
          <w:rFonts w:eastAsia="Palatino Linotype"/>
        </w:rPr>
      </w:pPr>
      <w:r>
        <w:rPr>
          <w:rFonts w:eastAsia="Palatino Linotype"/>
        </w:rPr>
        <w:lastRenderedPageBreak/>
        <w:t>QUINTO</w:t>
      </w:r>
      <w:r w:rsidRPr="006922F5">
        <w:rPr>
          <w:rFonts w:eastAsia="Palatino Linotype"/>
        </w:rPr>
        <w:t>. De la etapa de instrucción.</w:t>
      </w:r>
    </w:p>
    <w:p w14:paraId="48D94096" w14:textId="77777777" w:rsidR="00AC3B85" w:rsidRPr="006922F5" w:rsidRDefault="00AC3B85" w:rsidP="00AC3B85">
      <w:pPr>
        <w:pBdr>
          <w:top w:val="nil"/>
          <w:left w:val="nil"/>
          <w:bottom w:val="nil"/>
          <w:right w:val="nil"/>
          <w:between w:val="nil"/>
        </w:pBdr>
        <w:contextualSpacing/>
      </w:pPr>
      <w:r w:rsidRPr="006C7C4B">
        <w:rPr>
          <w:rFonts w:eastAsia="Palatino Linotype" w:cs="Palatino Linotype"/>
          <w:color w:val="000000" w:themeColor="text1"/>
          <w:lang w:val="es-ES"/>
        </w:rPr>
        <w:t xml:space="preserve">Una vez abierta la etapa de instrucción, se observa que el </w:t>
      </w:r>
      <w:r w:rsidRPr="005A404A">
        <w:rPr>
          <w:rFonts w:eastAsia="Palatino Linotype" w:cs="Palatino Linotype"/>
          <w:b/>
          <w:bCs/>
          <w:color w:val="000000" w:themeColor="text1"/>
          <w:lang w:val="es-ES"/>
        </w:rPr>
        <w:t>Sujeto Obligado omitió rendir el Informe Justificado.</w:t>
      </w:r>
      <w:r w:rsidRPr="006C7C4B">
        <w:rPr>
          <w:rFonts w:eastAsia="Palatino Linotype" w:cs="Palatino Linotype"/>
          <w:color w:val="000000" w:themeColor="text1"/>
          <w:lang w:val="es-ES"/>
        </w:rPr>
        <w:t xml:space="preserve"> </w:t>
      </w:r>
      <w:r>
        <w:rPr>
          <w:rFonts w:eastAsia="Palatino Linotype" w:cs="Palatino Linotype"/>
          <w:color w:val="000000" w:themeColor="text1"/>
          <w:lang w:val="es-ES"/>
        </w:rPr>
        <w:t>Por su parte, el</w:t>
      </w:r>
      <w:r w:rsidRPr="006C7C4B">
        <w:rPr>
          <w:rFonts w:eastAsia="Palatino Linotype" w:cs="Palatino Linotype"/>
          <w:color w:val="000000" w:themeColor="text1"/>
          <w:lang w:val="es-ES"/>
        </w:rPr>
        <w:t xml:space="preserve"> Recurrente </w:t>
      </w:r>
      <w:r>
        <w:rPr>
          <w:rFonts w:eastAsia="Palatino Linotype" w:cs="Palatino Linotype"/>
          <w:color w:val="000000" w:themeColor="text1"/>
          <w:lang w:val="es-ES"/>
        </w:rPr>
        <w:t>anexo el acuerdo por medio del cual se admitía el presente recurso de revisión.</w:t>
      </w:r>
    </w:p>
    <w:p w14:paraId="518F96BA" w14:textId="77777777"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p>
    <w:p w14:paraId="0C964E6A" w14:textId="77777777" w:rsidR="00AC3B85" w:rsidRPr="006922F5" w:rsidRDefault="00AC3B85" w:rsidP="00AC3B85">
      <w:pPr>
        <w:pStyle w:val="Ttulo2"/>
        <w:rPr>
          <w:rFonts w:eastAsia="Palatino Linotype"/>
        </w:rPr>
      </w:pPr>
      <w:r>
        <w:rPr>
          <w:rFonts w:eastAsia="Palatino Linotype"/>
        </w:rPr>
        <w:t>SEXTO</w:t>
      </w:r>
      <w:r w:rsidRPr="006922F5">
        <w:rPr>
          <w:rFonts w:eastAsia="Palatino Linotype"/>
        </w:rPr>
        <w:t>. Del cierre de instrucción.</w:t>
      </w:r>
    </w:p>
    <w:p w14:paraId="7D4B011C"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Así, una vez transcurrido el término legal, se decretó el cierre de instrucción</w:t>
      </w:r>
      <w:r>
        <w:rPr>
          <w:rFonts w:eastAsia="Palatino Linotype" w:cs="Palatino Linotype"/>
          <w:color w:val="000000"/>
          <w:szCs w:val="24"/>
        </w:rPr>
        <w:t xml:space="preserve"> el </w:t>
      </w:r>
      <w:proofErr w:type="gramStart"/>
      <w:r>
        <w:rPr>
          <w:rFonts w:eastAsia="Palatino Linotype" w:cs="Palatino Linotype"/>
          <w:b/>
          <w:bCs/>
          <w:color w:val="000000"/>
          <w:szCs w:val="24"/>
        </w:rPr>
        <w:t>diecinueve  de</w:t>
      </w:r>
      <w:proofErr w:type="gramEnd"/>
      <w:r>
        <w:rPr>
          <w:rFonts w:eastAsia="Palatino Linotype" w:cs="Palatino Linotype"/>
          <w:b/>
          <w:bCs/>
          <w:color w:val="000000"/>
          <w:szCs w:val="24"/>
        </w:rPr>
        <w:t xml:space="preserve"> febrero de dos mil veinticinco</w:t>
      </w:r>
      <w:r w:rsidRPr="006922F5">
        <w:rPr>
          <w:rFonts w:eastAsia="Palatino Linotype" w:cs="Palatino Linotype"/>
          <w:color w:val="000000"/>
          <w:szCs w:val="24"/>
        </w:rPr>
        <w:t>, en términos del artículo 185 fracción VI de la Ley de Transparencia y Acceso a la Información Pública del Estado de México y Municipios, iniciando el término legal para dictar resolución definitiva del asunto.</w:t>
      </w:r>
    </w:p>
    <w:p w14:paraId="41768FC0" w14:textId="77777777"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p>
    <w:p w14:paraId="7C7586E6"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43C510B4" w14:textId="77777777" w:rsidR="00AC3B85" w:rsidRPr="006922F5" w:rsidRDefault="00AC3B85" w:rsidP="00AC3B85">
      <w:pPr>
        <w:pStyle w:val="Ttulo1"/>
        <w:rPr>
          <w:rFonts w:eastAsia="Palatino Linotype"/>
          <w:lang w:val="es-ES_tradnl"/>
        </w:rPr>
      </w:pPr>
      <w:r w:rsidRPr="006922F5">
        <w:rPr>
          <w:rFonts w:eastAsia="Palatino Linotype"/>
          <w:lang w:val="es-ES_tradnl"/>
        </w:rPr>
        <w:t>C O N S I D E R A N D O</w:t>
      </w:r>
    </w:p>
    <w:p w14:paraId="7A1E99A3" w14:textId="77777777"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p>
    <w:p w14:paraId="02F8F0AA" w14:textId="77777777" w:rsidR="00AC3B85" w:rsidRPr="006922F5" w:rsidRDefault="00AC3B85" w:rsidP="00AC3B85">
      <w:pPr>
        <w:pStyle w:val="Ttulo2"/>
        <w:rPr>
          <w:rFonts w:eastAsia="Palatino Linotype"/>
        </w:rPr>
      </w:pPr>
      <w:r w:rsidRPr="006922F5">
        <w:rPr>
          <w:rFonts w:eastAsia="Palatino Linotype"/>
        </w:rPr>
        <w:t>PRIMERO. De la competencia.</w:t>
      </w:r>
    </w:p>
    <w:p w14:paraId="23355358" w14:textId="77777777"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r w:rsidRPr="00264613">
        <w:rPr>
          <w:rFonts w:eastAsia="Palatino Linotype" w:cs="Palatino Linotype"/>
          <w:color w:val="000000"/>
          <w:szCs w:val="24"/>
        </w:rPr>
        <w:t xml:space="preserve">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w:t>
      </w:r>
      <w:r>
        <w:rPr>
          <w:rFonts w:eastAsia="Palatino Linotype" w:cs="Palatino Linotype"/>
          <w:color w:val="000000"/>
          <w:szCs w:val="24"/>
        </w:rPr>
        <w:t>trigésimo tercero y trigésimo cuarto</w:t>
      </w:r>
      <w:r w:rsidRPr="00264613">
        <w:rPr>
          <w:rFonts w:eastAsia="Palatino Linotype" w:cs="Palatino Linotype"/>
          <w:color w:val="000000"/>
          <w:szCs w:val="24"/>
        </w:rPr>
        <w:t xml:space="preserve">,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w:t>
      </w:r>
      <w:r w:rsidRPr="00264613">
        <w:rPr>
          <w:rFonts w:eastAsia="Palatino Linotype" w:cs="Palatino Linotype"/>
          <w:color w:val="000000"/>
          <w:szCs w:val="24"/>
        </w:rPr>
        <w:lastRenderedPageBreak/>
        <w:t>XXIII, y 11 del Reglamento Interior del Instituto de Transparencia, Acceso a la Información Pública y Protección de Datos Personales del Estado de México y Municipios.</w:t>
      </w:r>
    </w:p>
    <w:p w14:paraId="4FCB298B" w14:textId="77777777"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p>
    <w:p w14:paraId="40058A6B" w14:textId="77777777" w:rsidR="00AC3B85" w:rsidRPr="006922F5" w:rsidRDefault="00AC3B85" w:rsidP="00AC3B85">
      <w:pPr>
        <w:pStyle w:val="Ttulo2"/>
        <w:rPr>
          <w:rFonts w:eastAsia="Palatino Linotype"/>
        </w:rPr>
      </w:pPr>
      <w:r w:rsidRPr="006922F5">
        <w:rPr>
          <w:rFonts w:eastAsia="Palatino Linotype"/>
        </w:rPr>
        <w:t xml:space="preserve">SEGUNDO. </w:t>
      </w:r>
      <w:r w:rsidRPr="00E95029">
        <w:rPr>
          <w:rFonts w:eastAsia="Palatino Linotype"/>
        </w:rPr>
        <w:t xml:space="preserve">De la </w:t>
      </w:r>
      <w:r>
        <w:rPr>
          <w:rFonts w:eastAsia="Palatino Linotype"/>
        </w:rPr>
        <w:t>o</w:t>
      </w:r>
      <w:r w:rsidRPr="00E95029">
        <w:rPr>
          <w:rFonts w:eastAsia="Palatino Linotype"/>
        </w:rPr>
        <w:t xml:space="preserve">portunidad y </w:t>
      </w:r>
      <w:r>
        <w:rPr>
          <w:rFonts w:eastAsia="Palatino Linotype"/>
        </w:rPr>
        <w:t>p</w:t>
      </w:r>
      <w:r w:rsidRPr="00E95029">
        <w:rPr>
          <w:rFonts w:eastAsia="Palatino Linotype"/>
        </w:rPr>
        <w:t xml:space="preserve">rocedencia del </w:t>
      </w:r>
      <w:r>
        <w:rPr>
          <w:rFonts w:eastAsia="Palatino Linotype"/>
        </w:rPr>
        <w:t>r</w:t>
      </w:r>
      <w:r w:rsidRPr="00E95029">
        <w:rPr>
          <w:rFonts w:eastAsia="Palatino Linotype"/>
        </w:rPr>
        <w:t xml:space="preserve">ecurso de </w:t>
      </w:r>
      <w:r>
        <w:rPr>
          <w:rFonts w:eastAsia="Palatino Linotype"/>
        </w:rPr>
        <w:t>r</w:t>
      </w:r>
      <w:r w:rsidRPr="00E95029">
        <w:rPr>
          <w:rFonts w:eastAsia="Palatino Linotype"/>
        </w:rPr>
        <w:t>evisión</w:t>
      </w:r>
      <w:r w:rsidRPr="006922F5">
        <w:rPr>
          <w:rFonts w:eastAsia="Palatino Linotype"/>
        </w:rPr>
        <w:t xml:space="preserve">. </w:t>
      </w:r>
    </w:p>
    <w:p w14:paraId="2F9C0B4E" w14:textId="77777777" w:rsidR="00AC3B85" w:rsidRDefault="00AC3B85" w:rsidP="00AC3B85">
      <w:r>
        <w:t>El artículo 178 de la Ley de Transparencia y Acceso a la Información Pública del Estado de México y Municipios establece que el solicitante podrá interponer, por sí mismo o a través de su representante, de manera directa o por medios electrónicos, recurso de revisión ante el Instituto o ante la Unidad de Transparencia que haya conocido de la solicitud dentro de los quince días hábiles, siguientes a la fecha de la notificación de la respuesta y que ante la falta de respuesta del sujeto obligado, dentro de los plazos establecidos en la Ley de Transparencia Local, a una solicitud de acceso a la información pública, el recurso podrá́ ser interpuesto en cualquier momento, por lo que la interposición del presente recurso de revisión resulta oportuna.</w:t>
      </w:r>
    </w:p>
    <w:p w14:paraId="106A8069" w14:textId="77777777" w:rsidR="00AC3B85" w:rsidRDefault="00AC3B85" w:rsidP="00AC3B85"/>
    <w:p w14:paraId="60CD0426" w14:textId="77777777" w:rsidR="00AC3B85" w:rsidRDefault="00AC3B85" w:rsidP="00AC3B85">
      <w:r>
        <w:t>El artículo 180 de la Ley de Transparencia y Acceso a la Información Pública del Estado de México y Municipios, señala los requisitos que deberán contener los recursos de revisión, como lo es, el nombre del solicitante que recurre; sin embargo, en su último párrafo establece que cuando el recurso se interponga de manera electrónica, no será indispensable que contenga determinados requisitos, entre ellos, el nombre de la parte Recurrente, por lo que, en el presente caso, al haber sido presentado el recurso de revisión vía SAIMEX, dicho requisito resulta innecesario.</w:t>
      </w:r>
    </w:p>
    <w:p w14:paraId="34251500" w14:textId="77777777" w:rsidR="00AC3B85" w:rsidRDefault="00AC3B85" w:rsidP="00AC3B85"/>
    <w:p w14:paraId="0DA369C2" w14:textId="77777777" w:rsidR="00AC3B85" w:rsidRDefault="00AC3B85" w:rsidP="00AC3B85">
      <w:r>
        <w:lastRenderedPageBreak/>
        <w:t>El artículo 179 fracción VII de la Ley de Transparencia y Acceso a la Información Pública del Estado de México y Municipios establece como supuesto de procedencia del recurso de revisión, la falta de respuesta a una solicitud de información por el Sujeto Obligado, hipótesis jurídica que se actualiza en este caso, aunado a que la parte Recurrente combate falta de trámite por el Sujeto Obligado y expresa motivos de inconformidad en contra de dicha circunstancia.</w:t>
      </w:r>
    </w:p>
    <w:p w14:paraId="511CF943" w14:textId="77777777" w:rsidR="00AC3B85" w:rsidRDefault="00AC3B85" w:rsidP="00AC3B85"/>
    <w:p w14:paraId="5F936B9C" w14:textId="77777777" w:rsidR="00AC3B85" w:rsidRDefault="00AC3B85" w:rsidP="00AC3B85">
      <w:r>
        <w:t>Asimismo, no se actualiza ninguna causa de improcedencia de las referidas en el artículo 191 de la Ley de Transparencia y Acceso a la Información Pública del Estado de México y Municipios, ni mucho menos se hizo valer causa de improcedencia alguna por las partes, que resulte dable abordar, encontrándose actualizados todos los presupuestos procedimentales para atender el fondo del asunto, en los términos del considerando posterior.</w:t>
      </w:r>
    </w:p>
    <w:p w14:paraId="35942B92" w14:textId="77777777" w:rsidR="00AC3B85" w:rsidRDefault="00AC3B85" w:rsidP="00AC3B85"/>
    <w:p w14:paraId="10584919" w14:textId="77777777" w:rsidR="00AC3B85" w:rsidRPr="006922F5" w:rsidRDefault="00AC3B85" w:rsidP="00AC3B85">
      <w:pPr>
        <w:autoSpaceDE w:val="0"/>
        <w:autoSpaceDN w:val="0"/>
        <w:adjustRightInd w:val="0"/>
        <w:rPr>
          <w:rFonts w:eastAsia="Palatino Linotype"/>
        </w:rPr>
      </w:pPr>
      <w:r w:rsidRPr="00CB2C72">
        <w:rPr>
          <w:rFonts w:cs="Arial"/>
          <w:b/>
          <w:sz w:val="26"/>
          <w:szCs w:val="26"/>
        </w:rPr>
        <w:t>TERCERO</w:t>
      </w:r>
      <w:r w:rsidRPr="006922F5">
        <w:rPr>
          <w:rFonts w:eastAsia="Palatino Linotype"/>
        </w:rPr>
        <w:t xml:space="preserve">. </w:t>
      </w:r>
      <w:r w:rsidRPr="00723CE8">
        <w:rPr>
          <w:rFonts w:eastAsia="Palatino Linotype"/>
          <w:b/>
          <w:sz w:val="28"/>
          <w:szCs w:val="28"/>
        </w:rPr>
        <w:t>Estudio y resolución del asunto.</w:t>
      </w:r>
    </w:p>
    <w:p w14:paraId="25F8FB62" w14:textId="77777777" w:rsidR="00AC3B85" w:rsidRPr="00721C92" w:rsidRDefault="00AC3B85" w:rsidP="00AC3B85">
      <w:pPr>
        <w:pBdr>
          <w:top w:val="nil"/>
          <w:left w:val="nil"/>
          <w:bottom w:val="nil"/>
          <w:right w:val="nil"/>
          <w:between w:val="nil"/>
        </w:pBdr>
        <w:contextualSpacing/>
        <w:rPr>
          <w:rFonts w:eastAsia="Palatino Linotype" w:cs="Palatino Linotype"/>
          <w:color w:val="000000"/>
          <w:szCs w:val="24"/>
        </w:rPr>
      </w:pPr>
      <w:r w:rsidRPr="00721C92">
        <w:rPr>
          <w:rFonts w:eastAsia="Palatino Linotype" w:cs="Palatino Linotype"/>
          <w:color w:val="000000"/>
          <w:szCs w:val="24"/>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Constitución Local, a través del cual se puede solicitar aquellos documentos que generen, administren o posean las autoridades en ejercicio de sus respectivas atribuciones y competencias. </w:t>
      </w:r>
    </w:p>
    <w:p w14:paraId="5BD09406" w14:textId="77777777" w:rsidR="00AC3B85" w:rsidRPr="00721C92" w:rsidRDefault="00AC3B85" w:rsidP="00AC3B85">
      <w:pPr>
        <w:pBdr>
          <w:top w:val="nil"/>
          <w:left w:val="nil"/>
          <w:bottom w:val="nil"/>
          <w:right w:val="nil"/>
          <w:between w:val="nil"/>
        </w:pBdr>
        <w:contextualSpacing/>
        <w:rPr>
          <w:rFonts w:eastAsia="Palatino Linotype" w:cs="Palatino Linotype"/>
          <w:color w:val="000000"/>
          <w:szCs w:val="24"/>
        </w:rPr>
      </w:pPr>
    </w:p>
    <w:p w14:paraId="6BCB9793"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721C92">
        <w:rPr>
          <w:rFonts w:eastAsia="Palatino Linotype" w:cs="Palatino Linotype"/>
          <w:color w:val="000000"/>
          <w:szCs w:val="24"/>
        </w:rPr>
        <w:t xml:space="preserve">Por lo que en cumplimiento a las obligaciones que establece nuestra Carta Magna, la Constitución Estatal y la Ley de la materia le imponen, el Sujeto Obligado está </w:t>
      </w:r>
      <w:r w:rsidRPr="00721C92">
        <w:rPr>
          <w:rFonts w:eastAsia="Palatino Linotype" w:cs="Palatino Linotype"/>
          <w:color w:val="000000"/>
          <w:szCs w:val="24"/>
        </w:rPr>
        <w:lastRenderedPageBreak/>
        <w:t>constreñido a dar atención a las solicitudes de información que a través del SAIMEX o de vía directa le sean presentadas en ejercicio del derecho humano de acceso a la información pública, lo cual, en el caso no aconteció, pues tal y como se ha acreditado de la revisión del expediente electrónico formado de las constancias que obran en el sistema SAIMEX, el Sujeto Obligado fue omiso en dar respuesta a la solicitud de información dentro de los plazos establecidos en la Ley de Transparencia local.</w:t>
      </w:r>
    </w:p>
    <w:p w14:paraId="7C82C3BB"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3F9BDB57" w14:textId="77777777" w:rsidR="00AC3B85" w:rsidRPr="00B9494D" w:rsidRDefault="00AC3B85" w:rsidP="00AC3B85">
      <w:pPr>
        <w:pBdr>
          <w:top w:val="nil"/>
          <w:left w:val="nil"/>
          <w:bottom w:val="nil"/>
          <w:right w:val="nil"/>
          <w:between w:val="nil"/>
        </w:pBdr>
        <w:contextualSpacing/>
        <w:rPr>
          <w:rFonts w:eastAsia="Palatino Linotype" w:cs="Palatino Linotype"/>
          <w:color w:val="000000"/>
          <w:szCs w:val="24"/>
          <w:lang w:val="es-ES"/>
        </w:rPr>
      </w:pPr>
      <w:r w:rsidRPr="00B9494D">
        <w:rPr>
          <w:rFonts w:eastAsia="Palatino Linotype" w:cs="Palatino Linotype"/>
          <w:color w:val="000000"/>
          <w:szCs w:val="24"/>
          <w:lang w:val="es-ES"/>
        </w:rPr>
        <w:t>Asimismo, los motivos o razones de inconformidad expuestos por la parte Recurrente se adolece de la falta de respuesta a la solicitud de acceso a la información formulada, por lo que se actualiza la causal de procedencia establecida en la fracción VII del artículo 179 de la Ley de Transparencia y Acceso a la Información Pública del Estado de México y Municipios, y por tanto, procedente la interposición del recurso de revisión.</w:t>
      </w:r>
    </w:p>
    <w:p w14:paraId="593A5C90"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2EFDF6DA"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896FAA">
        <w:rPr>
          <w:rFonts w:eastAsia="Palatino Linotype" w:cs="Palatino Linotype"/>
          <w:color w:val="000000"/>
          <w:szCs w:val="24"/>
        </w:rPr>
        <w:t>En consecuencia, l</w:t>
      </w:r>
      <w:r>
        <w:rPr>
          <w:rFonts w:eastAsia="Palatino Linotype" w:cs="Palatino Linotype"/>
          <w:color w:val="000000"/>
          <w:szCs w:val="24"/>
        </w:rPr>
        <w:t>os</w:t>
      </w:r>
      <w:r w:rsidRPr="00896FAA">
        <w:rPr>
          <w:rFonts w:eastAsia="Palatino Linotype" w:cs="Palatino Linotype"/>
          <w:color w:val="000000"/>
          <w:szCs w:val="24"/>
        </w:rPr>
        <w:t xml:space="preserve"> motivos de inconformidad hechos valer resultan fundad</w:t>
      </w:r>
      <w:r>
        <w:rPr>
          <w:rFonts w:eastAsia="Palatino Linotype" w:cs="Palatino Linotype"/>
          <w:color w:val="000000"/>
          <w:szCs w:val="24"/>
        </w:rPr>
        <w:t>o</w:t>
      </w:r>
      <w:r w:rsidRPr="00896FAA">
        <w:rPr>
          <w:rFonts w:eastAsia="Palatino Linotype" w:cs="Palatino Linotype"/>
          <w:color w:val="000000"/>
          <w:szCs w:val="24"/>
        </w:rPr>
        <w:t>s y procedentes, en virtud de las constancias que obran en el expediente electrónico SAIMEX, se acredita que el Sujeto Obligado fue omiso en responder la solicitud de información hecha por la parte Recurrente</w:t>
      </w:r>
      <w:r>
        <w:rPr>
          <w:rFonts w:eastAsia="Palatino Linotype" w:cs="Palatino Linotype"/>
          <w:color w:val="000000"/>
          <w:szCs w:val="24"/>
        </w:rPr>
        <w:t>;</w:t>
      </w:r>
      <w:r w:rsidRPr="00896FAA">
        <w:rPr>
          <w:rFonts w:eastAsia="Palatino Linotype" w:cs="Palatino Linotype"/>
          <w:color w:val="000000"/>
          <w:szCs w:val="24"/>
        </w:rPr>
        <w:t xml:space="preserve"> es decir, incumplió las obligaciones que se le imponen como Sujeto Obligado, de conformidad con lo establecido en los artículos 4, 12, 23 fracción IV, 24 último párrafo y 160 de la Ley de Transparencia y Acceso a la Información Pública del Estado de México y Municipios.</w:t>
      </w:r>
    </w:p>
    <w:p w14:paraId="5FF3CA4E"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26A50C9F"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C74B74">
        <w:rPr>
          <w:rFonts w:eastAsia="Palatino Linotype" w:cs="Palatino Linotype"/>
          <w:color w:val="000000"/>
          <w:szCs w:val="24"/>
        </w:rPr>
        <w:t xml:space="preserve">De conformidad con lo establecido en los artículos 50 y 51 de la Ley de Transparencia y Acceso a la Información Pública del Estado de México y Municipios, los Sujetos Obligados deben contar con un área responsable para la atención de las solicitudes de </w:t>
      </w:r>
      <w:r w:rsidRPr="00C74B74">
        <w:rPr>
          <w:rFonts w:eastAsia="Palatino Linotype" w:cs="Palatino Linotype"/>
          <w:color w:val="000000"/>
          <w:szCs w:val="24"/>
        </w:rPr>
        <w:lastRenderedPageBreak/>
        <w:t>información, a la que se le denominará Unidad de Transparencia; asimismo, deben designar a un responsable para atender dicha Unidad, quien fungirá como enlace entre éstos y los solicitantes. Además, se establece que la Unidad de Transparencia es la encargada de tramitar internamente las solicitudes de información y tiene la responsabilidad de verificar, en cada caso, que la información no tenga el carácter de confidencial o reservada.</w:t>
      </w:r>
    </w:p>
    <w:p w14:paraId="24E1F406"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0B5B4FDE"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B37BDF">
        <w:rPr>
          <w:rFonts w:eastAsia="Palatino Linotype" w:cs="Palatino Linotype"/>
          <w:color w:val="000000"/>
          <w:szCs w:val="24"/>
        </w:rPr>
        <w:t>El artículo 53, fracciones II, IV y V de la Ley de Transparencia Local establece que las Unidades de Transparencia tienen, entre otras, las funciones de recibir, tramitar y dar respuesta a las solicitudes de acceso a la información; realizar, con efectividad, los trámites internos necesarios para la atención de las solicitudes de acceso a la información; así como, entregar, en su caso, a los particulares la información solicitada.</w:t>
      </w:r>
    </w:p>
    <w:p w14:paraId="4913A847"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122B8137"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935A6E">
        <w:rPr>
          <w:rFonts w:eastAsia="Palatino Linotype" w:cs="Palatino Linotype"/>
          <w:color w:val="000000"/>
          <w:szCs w:val="24"/>
        </w:rPr>
        <w:t>El artículo 163 de la mencionada Ley, señala que la Unidad de Transparencia debe notificar la respuesta a las solicitudes de acceso a la información, en el menor tiempo posible, que no podrá exceder de quince días hábiles, teniendo como excepción al plazo referido, una prórroga de hasta siete días hábiles adicionales, siempre y cuando existan razones fundadas y motivadas, las cuales deberán ser aprobadas por el Comité de Transparencia, lo cual no aconteció en el presente asunto. De tal manera que la omisión del Titular de la Unidad de Transparencia, como primer responsable de atender la solicitud de información, se traduce en una conducta que ha vulnerado el derecho de acceso a la información consignado a favor del particular.</w:t>
      </w:r>
    </w:p>
    <w:p w14:paraId="2A08D128"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2F4CAB85"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AA3F2D">
        <w:rPr>
          <w:rFonts w:eastAsia="Palatino Linotype" w:cs="Palatino Linotype"/>
          <w:color w:val="000000"/>
          <w:szCs w:val="24"/>
        </w:rPr>
        <w:lastRenderedPageBreak/>
        <w:t>En consecuencia, según lo dispuesto por el artículo 150 de la Ley de Transparencia y Acceso a la Información Pública del Estado de México y Municipios, el procedimiento de acceso a la información es la garantía primaria del derecho en cuestión, por lo tanto, la falta de respuesta a una solicitud de acceso a la información constituye un incumplimiento del Sujeto Obligado a su deber de garantizar el derecho, lo que constituye una vulneración al mismo.</w:t>
      </w:r>
    </w:p>
    <w:p w14:paraId="2B5CEBCD"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26CEF330"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B65E7B">
        <w:rPr>
          <w:rFonts w:eastAsia="Palatino Linotype" w:cs="Palatino Linotype"/>
          <w:color w:val="000000"/>
          <w:szCs w:val="24"/>
        </w:rPr>
        <w:t>Por lo que, en cumplimiento a esta resolución, el Sujeto Obligado deberá dar atención a la solicitud de información, puesto que el silencio administrativo que hizo patente al omitir dar respuesta trae como consecuencia que se le ordene dar atención a la solicitud entregando la información solicitada, lo cual deberá llevar a cabo en ejercicio de sus atribuciones y con arreglo a lo dispuesto por la ley de la materia.</w:t>
      </w:r>
    </w:p>
    <w:p w14:paraId="6C543880"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76086BF3" w14:textId="77777777" w:rsidR="00AC3B85" w:rsidRDefault="00AC3B85" w:rsidP="00AC3B85">
      <w:pPr>
        <w:pStyle w:val="Ttulo3"/>
        <w:rPr>
          <w:rFonts w:eastAsia="Palatino Linotype"/>
        </w:rPr>
      </w:pPr>
      <w:r>
        <w:rPr>
          <w:rFonts w:eastAsia="Palatino Linotype"/>
        </w:rPr>
        <w:t>De la clasificación de la información</w:t>
      </w:r>
    </w:p>
    <w:p w14:paraId="3C224762" w14:textId="77777777" w:rsidR="00AC3B85" w:rsidRPr="0023004E" w:rsidRDefault="00AC3B85" w:rsidP="00AC3B85">
      <w:pPr>
        <w:pBdr>
          <w:top w:val="nil"/>
          <w:left w:val="nil"/>
          <w:bottom w:val="nil"/>
          <w:right w:val="nil"/>
          <w:between w:val="nil"/>
        </w:pBdr>
        <w:contextualSpacing/>
        <w:rPr>
          <w:rFonts w:eastAsia="Palatino Linotype" w:cs="Palatino Linotype"/>
          <w:color w:val="000000"/>
          <w:szCs w:val="24"/>
        </w:rPr>
      </w:pPr>
      <w:r w:rsidRPr="0023004E">
        <w:rPr>
          <w:rFonts w:eastAsia="Palatino Linotype" w:cs="Palatino Linotype"/>
          <w:color w:val="000000"/>
          <w:szCs w:val="24"/>
        </w:rPr>
        <w:t xml:space="preserve">De conformidad con el artículo 91 de la Ley de Transparencia y Acceso a la Información Pública el  acceso a la información pública será restringido excepcionalmente, cuando ésta sea clasificada como reservada o confidencial; la información reservada es aquella que se clasifica de manera temporal cuya divulgación pueda causar algún daño; la información confidencial es la relacionada con los secretos bancario, fiduciario, industrial, comercial, fiscal, bursátil y postal, cuya titularidad corresponde a particulares, sujetos de derecho internacional o a Sujetos Obligados cuando no involucren el ejercicio de recursos públicos, así como la información privada contenida en documentos públicos o privados que refiera a la vida privada y/o los datos personales, que no son de acceso público. </w:t>
      </w:r>
    </w:p>
    <w:p w14:paraId="0A19490E"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07145862"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r w:rsidRPr="00BD6B07">
        <w:rPr>
          <w:rFonts w:eastAsia="Palatino Linotype" w:cs="Palatino Linotype"/>
          <w:color w:val="000000"/>
          <w:szCs w:val="24"/>
        </w:rPr>
        <w:t>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w:t>
      </w:r>
    </w:p>
    <w:p w14:paraId="328F6738"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p>
    <w:p w14:paraId="42778AFD"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r w:rsidRPr="00BD6B07">
        <w:rPr>
          <w:rFonts w:eastAsia="Palatino Linotype" w:cs="Palatino Linotype"/>
          <w:color w:val="000000"/>
          <w:szCs w:val="24"/>
        </w:rPr>
        <w:t>Para la clasificación de la información es necesario considerar lo establecido por los Lineamientos Generales en materia de Clasificación y Desclasificación de la información, emitidos por el Sistema Nacional de Transparencia, Acceso a la Información Pública y Protección de Datos Personales, ya que establecen los criterios para la clasificación y desclasificación de la información, garantizan la confidencialidad, el uso adecuado de la información, entre otros.</w:t>
      </w:r>
    </w:p>
    <w:p w14:paraId="7F1BD5DC"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p>
    <w:p w14:paraId="69E863D6"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r w:rsidRPr="00BD6B07">
        <w:rPr>
          <w:rFonts w:eastAsia="Palatino Linotype" w:cs="Palatino Linotype"/>
          <w:color w:val="000000"/>
          <w:szCs w:val="24"/>
        </w:rPr>
        <w:t>El derecho de acceso a la información pública puede ser restringido cuando se trate de información clasificada como reservada, por lo que para motivar la clasificación se deberán de señalar las razones, motivos o circunstancias especiales que llevaron al Sujeto Obligado a concluir que, el caso particular se ajusta al supuesto previsto por la norma legal invocada como fundamento; siendo que, además, en todo momento, se debe aplicar una prueba de daño, entendida esta como la responsabilidad de los Sujetos Obligados de demostrar, de manera fundada y motivada, que la divulgación de la información lesiona el interés debidamente protegido por la Ley y que el menoscabo o daño que puede producirse con la publicidad de la información, es mayor que el interés de conocerla; debiendo clasificarse como reservada.</w:t>
      </w:r>
    </w:p>
    <w:p w14:paraId="134AFFF5"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p>
    <w:p w14:paraId="3F4A0D1B" w14:textId="77777777" w:rsidR="00AC3B85" w:rsidRPr="00BD6B07" w:rsidRDefault="00AC3B85" w:rsidP="00AC3B85">
      <w:pPr>
        <w:pBdr>
          <w:top w:val="nil"/>
          <w:left w:val="nil"/>
          <w:bottom w:val="nil"/>
          <w:right w:val="nil"/>
          <w:between w:val="nil"/>
        </w:pBdr>
        <w:contextualSpacing/>
        <w:rPr>
          <w:rFonts w:eastAsia="Palatino Linotype" w:cs="Palatino Linotype"/>
          <w:color w:val="000000"/>
          <w:szCs w:val="24"/>
        </w:rPr>
      </w:pPr>
      <w:r w:rsidRPr="00BD6B07">
        <w:rPr>
          <w:rFonts w:eastAsia="Palatino Linotype" w:cs="Palatino Linotype"/>
          <w:color w:val="000000"/>
          <w:szCs w:val="24"/>
        </w:rPr>
        <w:lastRenderedPageBreak/>
        <w:t>Para la clasificación de la información como reservada se deben establecer, de manera fundada y motivada, las hipótesis normativas aplicables al caso concreto y se analice la prueba de daño, misma que se encuentra prevista en el artículo 129 de la Ley de Transparencia y Acceso a la Información pública del Estado de México y Municipios.</w:t>
      </w:r>
    </w:p>
    <w:p w14:paraId="16E59A01" w14:textId="77777777" w:rsidR="00AC3B85" w:rsidRPr="0023004E" w:rsidRDefault="00AC3B85" w:rsidP="00AC3B85">
      <w:pPr>
        <w:pBdr>
          <w:top w:val="nil"/>
          <w:left w:val="nil"/>
          <w:bottom w:val="nil"/>
          <w:right w:val="nil"/>
          <w:between w:val="nil"/>
        </w:pBdr>
        <w:contextualSpacing/>
        <w:rPr>
          <w:rFonts w:eastAsia="Palatino Linotype" w:cs="Palatino Linotype"/>
          <w:color w:val="000000"/>
          <w:szCs w:val="24"/>
        </w:rPr>
      </w:pPr>
      <w:r w:rsidRPr="00BD6B07">
        <w:rPr>
          <w:rFonts w:eastAsia="Palatino Linotype" w:cs="Palatino Linotype"/>
          <w:color w:val="000000"/>
          <w:szCs w:val="24"/>
        </w:rPr>
        <w:t>De tal manera, las limitaciones al acceso a la información deben sustentarse en una adecuada clasificación que debe distinguir y tomar en cuenta qué información puede generar un daño desproporcionado o innecesario a valores jurídicamente protegidos.</w:t>
      </w:r>
    </w:p>
    <w:p w14:paraId="0151E000"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23004E">
        <w:rPr>
          <w:rFonts w:eastAsia="Palatino Linotype" w:cs="Palatino Linotype"/>
          <w:color w:val="000000"/>
          <w:szCs w:val="24"/>
        </w:rPr>
        <w:t>La Ley de Transparencia y Acceso a la Información Pública del Estado de México y Municipios, en sus artículos 140 y 143 prevé los siguientes supuestos para clasificar la información como reservada o confidencial.</w:t>
      </w:r>
    </w:p>
    <w:p w14:paraId="3D0B05FD" w14:textId="77777777" w:rsidR="00AC3B85" w:rsidRPr="0023004E" w:rsidRDefault="00AC3B85" w:rsidP="00AC3B85">
      <w:pPr>
        <w:pBdr>
          <w:top w:val="nil"/>
          <w:left w:val="nil"/>
          <w:bottom w:val="nil"/>
          <w:right w:val="nil"/>
          <w:between w:val="nil"/>
        </w:pBdr>
        <w:contextualSpacing/>
        <w:rPr>
          <w:rFonts w:eastAsia="Palatino Linotype" w:cs="Palatino Linotype"/>
          <w:color w:val="000000"/>
          <w:szCs w:val="24"/>
        </w:rPr>
      </w:pPr>
    </w:p>
    <w:p w14:paraId="6AF19845"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23004E">
        <w:rPr>
          <w:rFonts w:eastAsia="Palatino Linotype" w:cs="Palatino Linotype"/>
          <w:color w:val="000000"/>
          <w:szCs w:val="24"/>
        </w:rPr>
        <w:t>Por lo que para dar atención a la solicitud de información, si el Sujeto Obligado advierte que la información solicitada contiene datos personales que sean susceptibles de ser clasificados como confidenciales, o bien si, por su propia y especial naturaleza, encuadra en alguno de los supuestos de reserva o de confidencialidad en su totalidad, deberá emitir, un Acuerdo de Clasificación debidamente fundado y motivado que sustente la clasificación parcial, a través de la versión pública que emita, o bien, la restricción total del derecho de acceso a la información</w:t>
      </w:r>
      <w:r>
        <w:rPr>
          <w:rFonts w:eastAsia="Palatino Linotype" w:cs="Palatino Linotype"/>
          <w:color w:val="000000"/>
          <w:szCs w:val="24"/>
        </w:rPr>
        <w:t>.</w:t>
      </w:r>
    </w:p>
    <w:p w14:paraId="516B80CF"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243954DA" w14:textId="77777777" w:rsidR="00AC3B85" w:rsidRPr="00BE538B" w:rsidRDefault="00AC3B85" w:rsidP="00AC3B85">
      <w:pPr>
        <w:pBdr>
          <w:top w:val="nil"/>
          <w:left w:val="nil"/>
          <w:bottom w:val="nil"/>
          <w:right w:val="nil"/>
          <w:between w:val="nil"/>
        </w:pBdr>
        <w:contextualSpacing/>
        <w:rPr>
          <w:rFonts w:eastAsia="Palatino Linotype" w:cs="Palatino Linotype"/>
          <w:color w:val="000000"/>
          <w:szCs w:val="24"/>
        </w:rPr>
      </w:pPr>
      <w:r w:rsidRPr="00BE538B">
        <w:rPr>
          <w:rFonts w:eastAsia="Palatino Linotype" w:cs="Palatino Linotype"/>
          <w:color w:val="000000"/>
          <w:szCs w:val="24"/>
        </w:rPr>
        <w:t xml:space="preserve">Por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bien una </w:t>
      </w:r>
      <w:r w:rsidRPr="00BE538B">
        <w:rPr>
          <w:rFonts w:eastAsia="Palatino Linotype" w:cs="Palatino Linotype"/>
          <w:color w:val="000000"/>
          <w:szCs w:val="24"/>
        </w:rPr>
        <w:lastRenderedPageBreak/>
        <w:t>documentación ilegible, incompleta o tachada que deja al solicitante en estado de incertidumbre, al no conocer o comprender porque no aparecen en la documentación respectiva.</w:t>
      </w:r>
    </w:p>
    <w:p w14:paraId="4678E5E5" w14:textId="77777777" w:rsidR="00AC3B85" w:rsidRPr="00BE538B" w:rsidRDefault="00AC3B85" w:rsidP="00AC3B85">
      <w:pPr>
        <w:pBdr>
          <w:top w:val="nil"/>
          <w:left w:val="nil"/>
          <w:bottom w:val="nil"/>
          <w:right w:val="nil"/>
          <w:between w:val="nil"/>
        </w:pBdr>
        <w:contextualSpacing/>
        <w:rPr>
          <w:rFonts w:eastAsia="Palatino Linotype" w:cs="Palatino Linotype"/>
          <w:color w:val="000000"/>
          <w:szCs w:val="24"/>
        </w:rPr>
      </w:pPr>
    </w:p>
    <w:p w14:paraId="27184C99"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BE538B">
        <w:rPr>
          <w:rFonts w:eastAsia="Palatino Linotype" w:cs="Palatino Linotype"/>
          <w:color w:val="000000"/>
          <w:szCs w:val="24"/>
        </w:rPr>
        <w:t>Por lo tanto, es necesario que el Comité de Transparencia emita un Acuerdo de Clasificación que cumpla con las formalidades previstas en los artículos 137, 143 y 149 de la Ley de Transparencia y Acceso a la Información Pública del Estado de México y Municipios.</w:t>
      </w:r>
    </w:p>
    <w:p w14:paraId="6A3F4B38"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p>
    <w:p w14:paraId="193581AE" w14:textId="77777777" w:rsidR="00AC3B85" w:rsidRDefault="00AC3B85" w:rsidP="00AC3B85">
      <w:pPr>
        <w:pStyle w:val="Ttulo3"/>
        <w:rPr>
          <w:rFonts w:eastAsia="Palatino Linotype"/>
        </w:rPr>
      </w:pPr>
      <w:r>
        <w:rPr>
          <w:rFonts w:eastAsia="Palatino Linotype"/>
        </w:rPr>
        <w:t>De la vista a los órganos internos de control competentes.</w:t>
      </w:r>
    </w:p>
    <w:p w14:paraId="34BCBDFD" w14:textId="77777777" w:rsidR="00AC3B85" w:rsidRDefault="00AC3B85" w:rsidP="00AC3B85">
      <w:pPr>
        <w:pBdr>
          <w:top w:val="nil"/>
          <w:left w:val="nil"/>
          <w:bottom w:val="nil"/>
          <w:right w:val="nil"/>
          <w:between w:val="nil"/>
        </w:pBdr>
        <w:contextualSpacing/>
        <w:rPr>
          <w:rFonts w:eastAsia="Palatino Linotype" w:cs="Palatino Linotype"/>
          <w:color w:val="000000"/>
          <w:szCs w:val="24"/>
        </w:rPr>
      </w:pPr>
      <w:r w:rsidRPr="007C6D07">
        <w:rPr>
          <w:rFonts w:eastAsia="Palatino Linotype" w:cs="Palatino Linotype"/>
          <w:color w:val="000000"/>
          <w:szCs w:val="24"/>
        </w:rPr>
        <w:t>Como ya se mencionó</w:t>
      </w:r>
      <w:r>
        <w:rPr>
          <w:rFonts w:eastAsia="Palatino Linotype" w:cs="Palatino Linotype"/>
          <w:color w:val="000000"/>
          <w:szCs w:val="24"/>
        </w:rPr>
        <w:t>,</w:t>
      </w:r>
      <w:r w:rsidRPr="007C6D07">
        <w:rPr>
          <w:rFonts w:eastAsia="Palatino Linotype" w:cs="Palatino Linotype"/>
          <w:color w:val="000000"/>
          <w:szCs w:val="24"/>
        </w:rPr>
        <w:t xml:space="preserve"> el Sujeto Obligado no proporcionó respuesta a la solicitud de acceso a la información pública en el término previsto en el artículo 163 de la Ley de Transparencia </w:t>
      </w:r>
      <w:r>
        <w:rPr>
          <w:rFonts w:eastAsia="Palatino Linotype" w:cs="Palatino Linotype"/>
          <w:color w:val="000000"/>
          <w:szCs w:val="24"/>
        </w:rPr>
        <w:t xml:space="preserve">estatal </w:t>
      </w:r>
      <w:r w:rsidRPr="007C6D07">
        <w:rPr>
          <w:rFonts w:eastAsia="Palatino Linotype" w:cs="Palatino Linotype"/>
          <w:color w:val="000000"/>
          <w:szCs w:val="24"/>
        </w:rPr>
        <w:t>por lo que ordena dar vista a la Secretaría Técnica del Pleno de este Instituto para hacer del conocimiento del Órgano Interno de Control competente la presente resolución, a fin de que de conformidad con los artículos 190 y 222  de la Ley de Transparencia y Acceso a la Información Pública del Estado de México y Municipios y 19 fracción XXVII del Reglamento Interior del Instituto de Transparencia, Acceso a la Información y Protección de Datos Personales del Estado de México y Municipios, se determine lo conducente.</w:t>
      </w:r>
    </w:p>
    <w:p w14:paraId="47D15B37" w14:textId="77777777" w:rsidR="00AC3B85" w:rsidRPr="002C04F1" w:rsidRDefault="00AC3B85" w:rsidP="00AC3B85">
      <w:pPr>
        <w:pBdr>
          <w:top w:val="nil"/>
          <w:left w:val="nil"/>
          <w:bottom w:val="nil"/>
          <w:right w:val="nil"/>
          <w:between w:val="nil"/>
        </w:pBdr>
        <w:contextualSpacing/>
        <w:rPr>
          <w:rFonts w:eastAsia="Palatino Linotype" w:cs="Palatino Linotype"/>
          <w:color w:val="000000"/>
          <w:szCs w:val="24"/>
        </w:rPr>
      </w:pPr>
      <w:r w:rsidRPr="002C04F1">
        <w:rPr>
          <w:rFonts w:eastAsia="Palatino Linotype" w:cs="Palatino Linotype"/>
          <w:color w:val="000000"/>
          <w:szCs w:val="24"/>
        </w:rPr>
        <w:t>Así, con fundamento en el artículo 186 fracción I</w:t>
      </w:r>
      <w:r>
        <w:rPr>
          <w:rFonts w:eastAsia="Palatino Linotype" w:cs="Palatino Linotype"/>
          <w:color w:val="000000"/>
          <w:szCs w:val="24"/>
        </w:rPr>
        <w:t>V</w:t>
      </w:r>
      <w:r w:rsidRPr="002C04F1">
        <w:rPr>
          <w:rFonts w:eastAsia="Palatino Linotype" w:cs="Palatino Linotype"/>
          <w:color w:val="000000"/>
          <w:szCs w:val="24"/>
        </w:rPr>
        <w:t xml:space="preserve"> de la Ley de Transparencia y Acceso a la Información Pública del Estado de México y Municipios, </w:t>
      </w:r>
      <w:r w:rsidRPr="008F376C">
        <w:rPr>
          <w:rFonts w:eastAsia="Palatino Linotype" w:cs="Palatino Linotype"/>
          <w:color w:val="000000"/>
          <w:szCs w:val="24"/>
          <w:lang w:val="es-MX"/>
        </w:rPr>
        <w:t xml:space="preserve">se </w:t>
      </w:r>
      <w:r w:rsidRPr="008F376C">
        <w:rPr>
          <w:rFonts w:eastAsia="Palatino Linotype" w:cs="Palatino Linotype"/>
          <w:b/>
          <w:color w:val="000000"/>
          <w:szCs w:val="24"/>
          <w:lang w:val="es-MX"/>
        </w:rPr>
        <w:t>ORDENA</w:t>
      </w:r>
      <w:r w:rsidRPr="008F376C">
        <w:rPr>
          <w:rFonts w:eastAsia="Palatino Linotype" w:cs="Palatino Linotype"/>
          <w:color w:val="000000"/>
          <w:szCs w:val="24"/>
          <w:lang w:val="es-MX"/>
        </w:rPr>
        <w:t xml:space="preserve"> al </w:t>
      </w:r>
      <w:r w:rsidRPr="008F376C">
        <w:rPr>
          <w:rFonts w:eastAsia="Palatino Linotype" w:cs="Palatino Linotype"/>
          <w:bCs/>
          <w:color w:val="000000"/>
          <w:szCs w:val="24"/>
          <w:lang w:val="es-MX"/>
        </w:rPr>
        <w:t>Sujeto Obligado</w:t>
      </w:r>
      <w:r>
        <w:rPr>
          <w:rFonts w:eastAsia="Palatino Linotype" w:cs="Palatino Linotype"/>
          <w:bCs/>
          <w:color w:val="000000"/>
          <w:szCs w:val="24"/>
          <w:lang w:val="es-MX"/>
        </w:rPr>
        <w:t xml:space="preserve"> que</w:t>
      </w:r>
      <w:r w:rsidRPr="008F376C">
        <w:rPr>
          <w:rFonts w:eastAsia="Palatino Linotype" w:cs="Palatino Linotype"/>
          <w:color w:val="000000"/>
          <w:szCs w:val="24"/>
          <w:lang w:val="es-MX"/>
        </w:rPr>
        <w:t xml:space="preserve"> atienda la solicitud de </w:t>
      </w:r>
      <w:proofErr w:type="gramStart"/>
      <w:r w:rsidRPr="008F376C">
        <w:rPr>
          <w:rFonts w:eastAsia="Palatino Linotype" w:cs="Palatino Linotype"/>
          <w:color w:val="000000"/>
          <w:szCs w:val="24"/>
          <w:lang w:val="es-MX"/>
        </w:rPr>
        <w:t>información</w:t>
      </w:r>
      <w:r w:rsidRPr="002C04F1">
        <w:rPr>
          <w:rFonts w:eastAsia="Palatino Linotype" w:cs="Palatino Linotype"/>
          <w:color w:val="000000"/>
          <w:szCs w:val="24"/>
        </w:rPr>
        <w:t xml:space="preserve"> </w:t>
      </w:r>
      <w:r>
        <w:rPr>
          <w:rFonts w:ascii="Verdana" w:hAnsi="Verdana"/>
          <w:b/>
          <w:bCs/>
          <w:color w:val="FF0000"/>
        </w:rPr>
        <w:t> </w:t>
      </w:r>
      <w:r w:rsidRPr="00AC3B85">
        <w:rPr>
          <w:b/>
          <w:bCs/>
        </w:rPr>
        <w:t>00001</w:t>
      </w:r>
      <w:proofErr w:type="gramEnd"/>
      <w:r w:rsidRPr="00AC3B85">
        <w:rPr>
          <w:b/>
          <w:bCs/>
        </w:rPr>
        <w:t>/IMCUFIDEACULCO/IP/2025</w:t>
      </w:r>
      <w:r w:rsidRPr="00AC3B85">
        <w:rPr>
          <w:rFonts w:eastAsia="Palatino Linotype" w:cs="Palatino Linotype"/>
          <w:szCs w:val="24"/>
        </w:rPr>
        <w:t xml:space="preserve"> </w:t>
      </w:r>
      <w:r w:rsidRPr="00256C55">
        <w:rPr>
          <w:rFonts w:eastAsia="Palatino Linotype" w:cs="Palatino Linotype"/>
          <w:szCs w:val="24"/>
        </w:rPr>
        <w:t xml:space="preserve">que </w:t>
      </w:r>
      <w:r w:rsidRPr="002C04F1">
        <w:rPr>
          <w:rFonts w:eastAsia="Palatino Linotype" w:cs="Palatino Linotype"/>
          <w:color w:val="000000"/>
          <w:szCs w:val="24"/>
        </w:rPr>
        <w:t>ha sido materia del presente fallo, por lo que este Pleno:</w:t>
      </w:r>
    </w:p>
    <w:p w14:paraId="45A531AF" w14:textId="77777777" w:rsidR="00AC3B85" w:rsidRPr="002C04F1" w:rsidRDefault="00AC3B85" w:rsidP="00AC3B85">
      <w:pPr>
        <w:rPr>
          <w:rFonts w:eastAsia="Times New Roman" w:cs="Times New Roman"/>
          <w:szCs w:val="24"/>
          <w:lang w:eastAsia="es-ES"/>
        </w:rPr>
      </w:pPr>
    </w:p>
    <w:p w14:paraId="6D6FE535" w14:textId="77777777" w:rsidR="00AC3B85" w:rsidRPr="002C04F1" w:rsidRDefault="00AC3B85" w:rsidP="00AC3B85">
      <w:pPr>
        <w:pStyle w:val="Ttulo1"/>
        <w:rPr>
          <w:rFonts w:eastAsia="Palatino Linotype"/>
        </w:rPr>
      </w:pPr>
      <w:r w:rsidRPr="002C04F1">
        <w:rPr>
          <w:rFonts w:eastAsia="Palatino Linotype"/>
        </w:rPr>
        <w:lastRenderedPageBreak/>
        <w:t>R E S U E L V E</w:t>
      </w:r>
    </w:p>
    <w:p w14:paraId="78B90BE6" w14:textId="77777777" w:rsidR="00AC3B85" w:rsidRPr="002C04F1" w:rsidRDefault="00AC3B85" w:rsidP="00AC3B85"/>
    <w:p w14:paraId="6E0A7B40" w14:textId="77777777" w:rsidR="00AC3B85" w:rsidRPr="0043529E" w:rsidRDefault="00AC3B85" w:rsidP="00AC3B85">
      <w:pPr>
        <w:rPr>
          <w:rFonts w:eastAsiaTheme="minorHAnsi" w:cstheme="minorHAnsi"/>
          <w:szCs w:val="24"/>
          <w:lang w:eastAsia="en-US"/>
        </w:rPr>
      </w:pPr>
      <w:r w:rsidRPr="0043529E">
        <w:rPr>
          <w:rFonts w:eastAsiaTheme="minorHAnsi" w:cstheme="minorHAnsi"/>
          <w:b/>
          <w:szCs w:val="24"/>
          <w:lang w:eastAsia="en-US"/>
        </w:rPr>
        <w:t>PRIMERO.</w:t>
      </w:r>
      <w:r w:rsidRPr="0043529E">
        <w:rPr>
          <w:rFonts w:eastAsiaTheme="minorHAnsi" w:cstheme="minorHAnsi"/>
          <w:szCs w:val="24"/>
          <w:lang w:eastAsia="en-US"/>
        </w:rPr>
        <w:t xml:space="preserve"> Resultan fundadas las razones o motivos de inconformidad hechos valer por </w:t>
      </w:r>
      <w:r>
        <w:rPr>
          <w:rFonts w:eastAsiaTheme="minorHAnsi" w:cstheme="minorHAnsi"/>
          <w:szCs w:val="24"/>
          <w:lang w:eastAsia="en-US"/>
        </w:rPr>
        <w:t>el</w:t>
      </w:r>
      <w:r w:rsidRPr="0043529E">
        <w:rPr>
          <w:rFonts w:eastAsiaTheme="minorHAnsi" w:cstheme="minorHAnsi"/>
          <w:szCs w:val="24"/>
          <w:lang w:eastAsia="en-US"/>
        </w:rPr>
        <w:t xml:space="preserve"> Recurrente</w:t>
      </w:r>
      <w:r w:rsidRPr="0043529E">
        <w:rPr>
          <w:rFonts w:eastAsiaTheme="minorHAnsi" w:cstheme="minorHAnsi"/>
          <w:b/>
          <w:szCs w:val="24"/>
          <w:lang w:eastAsia="en-US"/>
        </w:rPr>
        <w:t>,</w:t>
      </w:r>
      <w:r w:rsidRPr="0043529E">
        <w:rPr>
          <w:rFonts w:eastAsiaTheme="minorHAnsi" w:cstheme="minorHAnsi"/>
          <w:szCs w:val="24"/>
          <w:lang w:eastAsia="en-US"/>
        </w:rPr>
        <w:t xml:space="preserve"> en términos del </w:t>
      </w:r>
      <w:r w:rsidRPr="0043529E">
        <w:rPr>
          <w:rFonts w:eastAsiaTheme="minorHAnsi" w:cstheme="minorHAnsi"/>
          <w:b/>
          <w:szCs w:val="24"/>
          <w:lang w:eastAsia="en-US"/>
        </w:rPr>
        <w:t xml:space="preserve">Considerando </w:t>
      </w:r>
      <w:r>
        <w:rPr>
          <w:rFonts w:eastAsiaTheme="minorHAnsi" w:cstheme="minorHAnsi"/>
          <w:b/>
          <w:szCs w:val="24"/>
          <w:lang w:eastAsia="en-US"/>
        </w:rPr>
        <w:t>TERCERO</w:t>
      </w:r>
      <w:r w:rsidRPr="0043529E">
        <w:rPr>
          <w:rFonts w:eastAsiaTheme="minorHAnsi" w:cstheme="minorHAnsi"/>
          <w:b/>
          <w:szCs w:val="24"/>
          <w:lang w:eastAsia="en-US"/>
        </w:rPr>
        <w:t xml:space="preserve"> </w:t>
      </w:r>
      <w:r w:rsidRPr="0043529E">
        <w:rPr>
          <w:rFonts w:eastAsiaTheme="minorHAnsi" w:cstheme="minorHAnsi"/>
          <w:szCs w:val="24"/>
          <w:lang w:eastAsia="en-US"/>
        </w:rPr>
        <w:t>de la presente resolución.</w:t>
      </w:r>
    </w:p>
    <w:p w14:paraId="23273A77" w14:textId="77777777" w:rsidR="00AC3B85" w:rsidRPr="0043529E" w:rsidRDefault="00AC3B85" w:rsidP="00AC3B85">
      <w:pPr>
        <w:rPr>
          <w:rFonts w:eastAsiaTheme="minorHAnsi" w:cstheme="minorHAnsi"/>
          <w:szCs w:val="24"/>
          <w:lang w:eastAsia="en-US"/>
        </w:rPr>
      </w:pPr>
    </w:p>
    <w:p w14:paraId="32FAB695" w14:textId="77777777" w:rsidR="00AC3B85" w:rsidRDefault="00AC3B85" w:rsidP="00AC3B85">
      <w:pPr>
        <w:rPr>
          <w:rFonts w:eastAsiaTheme="minorHAnsi" w:cstheme="minorBidi"/>
          <w:bCs/>
          <w:color w:val="222222"/>
          <w:szCs w:val="24"/>
        </w:rPr>
      </w:pPr>
      <w:r w:rsidRPr="0043529E">
        <w:rPr>
          <w:rFonts w:eastAsiaTheme="minorHAnsi" w:cstheme="minorHAnsi"/>
          <w:b/>
          <w:szCs w:val="24"/>
          <w:lang w:eastAsia="en-US"/>
        </w:rPr>
        <w:t xml:space="preserve">SEGUNDO. </w:t>
      </w:r>
      <w:r w:rsidRPr="0043529E">
        <w:rPr>
          <w:rFonts w:eastAsiaTheme="minorHAnsi" w:cstheme="minorBidi"/>
          <w:color w:val="222222"/>
          <w:szCs w:val="24"/>
        </w:rPr>
        <w:t>Se</w:t>
      </w:r>
      <w:r w:rsidRPr="0043529E">
        <w:rPr>
          <w:rFonts w:eastAsiaTheme="minorHAnsi" w:cstheme="minorBidi"/>
          <w:b/>
          <w:bCs/>
          <w:color w:val="222222"/>
          <w:szCs w:val="24"/>
        </w:rPr>
        <w:t xml:space="preserve"> </w:t>
      </w:r>
      <w:r w:rsidRPr="005A404A">
        <w:rPr>
          <w:rFonts w:eastAsiaTheme="minorHAnsi" w:cstheme="minorBidi"/>
          <w:b/>
          <w:bCs/>
          <w:szCs w:val="24"/>
        </w:rPr>
        <w:t xml:space="preserve">ORDENA </w:t>
      </w:r>
      <w:r w:rsidRPr="005A404A">
        <w:rPr>
          <w:rFonts w:eastAsiaTheme="minorHAnsi" w:cstheme="minorBidi"/>
          <w:szCs w:val="24"/>
        </w:rPr>
        <w:t>al Sujeto Obligado que</w:t>
      </w:r>
      <w:r w:rsidRPr="005A404A">
        <w:rPr>
          <w:rFonts w:eastAsiaTheme="minorHAnsi" w:cstheme="minorBidi"/>
          <w:b/>
          <w:bCs/>
          <w:szCs w:val="24"/>
        </w:rPr>
        <w:t xml:space="preserve"> </w:t>
      </w:r>
      <w:r w:rsidRPr="005A404A">
        <w:rPr>
          <w:rFonts w:eastAsiaTheme="minorHAnsi" w:cstheme="minorBidi"/>
          <w:bCs/>
          <w:szCs w:val="24"/>
        </w:rPr>
        <w:t xml:space="preserve">atienda la solicitud de información </w:t>
      </w:r>
      <w:r w:rsidRPr="00AC3B85">
        <w:rPr>
          <w:b/>
          <w:bCs/>
        </w:rPr>
        <w:t>00001/IMCUFIDEACULCO/IP/2025</w:t>
      </w:r>
      <w:r w:rsidRPr="00AC3B85">
        <w:rPr>
          <w:rFonts w:eastAsia="Palatino Linotype" w:cs="Palatino Linotype"/>
          <w:szCs w:val="24"/>
        </w:rPr>
        <w:t xml:space="preserve"> </w:t>
      </w:r>
      <w:r>
        <w:rPr>
          <w:rFonts w:eastAsia="Palatino Linotype" w:cs="Palatino Linotype"/>
          <w:szCs w:val="24"/>
        </w:rPr>
        <w:t xml:space="preserve">en </w:t>
      </w:r>
      <w:r w:rsidRPr="005A404A">
        <w:rPr>
          <w:rFonts w:eastAsiaTheme="minorHAnsi" w:cstheme="minorBidi"/>
          <w:szCs w:val="24"/>
        </w:rPr>
        <w:t xml:space="preserve">términos del </w:t>
      </w:r>
      <w:r w:rsidRPr="005A404A">
        <w:rPr>
          <w:rFonts w:eastAsiaTheme="minorHAnsi" w:cstheme="minorBidi"/>
          <w:b/>
          <w:szCs w:val="24"/>
        </w:rPr>
        <w:t xml:space="preserve">Considerando </w:t>
      </w:r>
      <w:r w:rsidRPr="005A404A">
        <w:rPr>
          <w:rFonts w:eastAsiaTheme="minorHAnsi" w:cstheme="minorBidi"/>
          <w:b/>
          <w:bCs/>
          <w:szCs w:val="24"/>
        </w:rPr>
        <w:t>T</w:t>
      </w:r>
      <w:r>
        <w:rPr>
          <w:rFonts w:eastAsiaTheme="minorHAnsi" w:cstheme="minorBidi"/>
          <w:b/>
          <w:bCs/>
          <w:szCs w:val="24"/>
        </w:rPr>
        <w:t>ERCER</w:t>
      </w:r>
      <w:r w:rsidRPr="005A404A">
        <w:rPr>
          <w:rFonts w:eastAsiaTheme="minorHAnsi" w:cstheme="minorBidi"/>
          <w:b/>
          <w:bCs/>
          <w:szCs w:val="24"/>
        </w:rPr>
        <w:t xml:space="preserve">O </w:t>
      </w:r>
      <w:r w:rsidRPr="005A404A">
        <w:rPr>
          <w:rFonts w:eastAsiaTheme="minorHAnsi" w:cstheme="minorBidi"/>
          <w:szCs w:val="24"/>
        </w:rPr>
        <w:t>de esta resolución; vía Sistema de Acceso a la Información Mexiquense (</w:t>
      </w:r>
      <w:r w:rsidRPr="00B139CC">
        <w:rPr>
          <w:rFonts w:eastAsiaTheme="minorHAnsi" w:cstheme="minorBidi"/>
          <w:b/>
          <w:szCs w:val="24"/>
        </w:rPr>
        <w:t>SAIMEX</w:t>
      </w:r>
      <w:r w:rsidRPr="0043529E">
        <w:rPr>
          <w:rFonts w:eastAsiaTheme="minorHAnsi" w:cstheme="minorBidi"/>
          <w:color w:val="222222"/>
          <w:szCs w:val="24"/>
        </w:rPr>
        <w:t>)</w:t>
      </w:r>
      <w:r w:rsidRPr="0043529E">
        <w:rPr>
          <w:rFonts w:eastAsiaTheme="minorHAnsi" w:cstheme="minorBidi"/>
          <w:bCs/>
          <w:color w:val="222222"/>
          <w:szCs w:val="24"/>
        </w:rPr>
        <w:t xml:space="preserve">. </w:t>
      </w:r>
    </w:p>
    <w:p w14:paraId="573B3351" w14:textId="77777777" w:rsidR="00AC3B85" w:rsidRPr="0043529E" w:rsidRDefault="00AC3B85" w:rsidP="00AC3B85">
      <w:pPr>
        <w:rPr>
          <w:rFonts w:eastAsiaTheme="minorHAnsi" w:cstheme="minorHAnsi"/>
          <w:szCs w:val="24"/>
          <w:lang w:eastAsia="en-US"/>
        </w:rPr>
      </w:pPr>
    </w:p>
    <w:p w14:paraId="152C8551" w14:textId="77777777" w:rsidR="00AC3B85" w:rsidRDefault="00AC3B85" w:rsidP="00AC3B85">
      <w:pPr>
        <w:rPr>
          <w:rFonts w:eastAsiaTheme="minorHAnsi" w:cstheme="minorHAnsi"/>
          <w:bCs/>
          <w:szCs w:val="24"/>
          <w:lang w:eastAsia="en-US"/>
        </w:rPr>
      </w:pPr>
      <w:r w:rsidRPr="0043529E">
        <w:rPr>
          <w:rFonts w:eastAsiaTheme="minorHAnsi" w:cstheme="minorHAnsi"/>
          <w:b/>
          <w:szCs w:val="24"/>
          <w:lang w:eastAsia="en-US"/>
        </w:rPr>
        <w:t>TERCERO. Notifíquese</w:t>
      </w:r>
      <w:r w:rsidRPr="0043529E">
        <w:rPr>
          <w:rFonts w:eastAsiaTheme="minorHAnsi" w:cstheme="minorHAnsi"/>
          <w:b/>
          <w:i/>
          <w:szCs w:val="24"/>
          <w:lang w:eastAsia="en-US"/>
        </w:rPr>
        <w:t xml:space="preserve"> </w:t>
      </w:r>
      <w:r w:rsidRPr="0043529E">
        <w:rPr>
          <w:rFonts w:eastAsiaTheme="minorHAnsi" w:cstheme="minorHAnsi"/>
          <w:bCs/>
          <w:szCs w:val="24"/>
          <w:lang w:eastAsia="en-US"/>
        </w:rPr>
        <w:t>la presente resolución</w:t>
      </w:r>
      <w:r w:rsidRPr="003C2571">
        <w:rPr>
          <w:rFonts w:eastAsiaTheme="minorHAnsi" w:cstheme="minorHAnsi"/>
          <w:szCs w:val="24"/>
          <w:lang w:eastAsia="en-US"/>
        </w:rPr>
        <w:t xml:space="preserve"> </w:t>
      </w:r>
      <w:r>
        <w:rPr>
          <w:rFonts w:eastAsiaTheme="minorHAnsi" w:cstheme="minorHAnsi"/>
          <w:bCs/>
          <w:szCs w:val="24"/>
          <w:lang w:eastAsia="en-US"/>
        </w:rPr>
        <w:t>vía</w:t>
      </w:r>
      <w:r w:rsidRPr="003C2571">
        <w:rPr>
          <w:rFonts w:eastAsiaTheme="minorHAnsi" w:cstheme="minorHAnsi"/>
          <w:bCs/>
          <w:szCs w:val="24"/>
          <w:lang w:eastAsia="en-US"/>
        </w:rPr>
        <w:t xml:space="preserve"> el Sistema de Acceso a la Información Mexiquense (</w:t>
      </w:r>
      <w:r w:rsidRPr="00B139CC">
        <w:rPr>
          <w:rFonts w:eastAsiaTheme="minorHAnsi" w:cstheme="minorHAnsi"/>
          <w:b/>
          <w:bCs/>
          <w:szCs w:val="24"/>
          <w:lang w:eastAsia="en-US"/>
        </w:rPr>
        <w:t>SAIMEX)</w:t>
      </w:r>
      <w:r w:rsidRPr="0043529E">
        <w:rPr>
          <w:rFonts w:eastAsiaTheme="minorHAnsi" w:cstheme="minorHAnsi"/>
          <w:bCs/>
          <w:szCs w:val="24"/>
          <w:lang w:eastAsia="en-US"/>
        </w:rPr>
        <w:t xml:space="preserve"> al Titular de la Unidad de Transparencia del Sujeto Obligado para que, conforme a los artículos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8033490" w14:textId="77777777" w:rsidR="00AC3B85" w:rsidRPr="00256C55" w:rsidRDefault="00AC3B85" w:rsidP="00AC3B85">
      <w:pPr>
        <w:rPr>
          <w:rFonts w:eastAsiaTheme="minorHAnsi" w:cstheme="minorHAnsi"/>
          <w:bCs/>
          <w:szCs w:val="24"/>
          <w:lang w:eastAsia="en-US"/>
        </w:rPr>
      </w:pPr>
    </w:p>
    <w:p w14:paraId="5E0464BB" w14:textId="77777777" w:rsidR="00AC3B85" w:rsidRDefault="00AC3B85" w:rsidP="00AC3B85">
      <w:pPr>
        <w:rPr>
          <w:rFonts w:eastAsiaTheme="minorHAnsi" w:cstheme="minorHAnsi"/>
          <w:szCs w:val="24"/>
          <w:lang w:eastAsia="en-US"/>
        </w:rPr>
      </w:pPr>
      <w:r w:rsidRPr="0043529E">
        <w:rPr>
          <w:rFonts w:eastAsiaTheme="minorHAnsi" w:cstheme="minorHAnsi"/>
          <w:b/>
          <w:szCs w:val="24"/>
          <w:lang w:eastAsia="en-US"/>
        </w:rPr>
        <w:t xml:space="preserve">CUARTO. Notifíquese </w:t>
      </w:r>
      <w:r w:rsidRPr="0043529E">
        <w:rPr>
          <w:rFonts w:eastAsiaTheme="minorHAnsi" w:cstheme="minorHAnsi"/>
          <w:szCs w:val="24"/>
          <w:lang w:eastAsia="en-US"/>
        </w:rPr>
        <w:t xml:space="preserve">al Recurrente la presente resolución por medio del </w:t>
      </w:r>
      <w:r w:rsidRPr="0043529E">
        <w:rPr>
          <w:rFonts w:eastAsiaTheme="minorHAnsi" w:cstheme="minorBidi"/>
          <w:color w:val="222222"/>
          <w:szCs w:val="24"/>
        </w:rPr>
        <w:t>Sistema de Acceso a la Información Mexiquense</w:t>
      </w:r>
      <w:r w:rsidRPr="0043529E">
        <w:rPr>
          <w:rFonts w:eastAsiaTheme="minorHAnsi" w:cstheme="minorHAnsi"/>
          <w:szCs w:val="24"/>
          <w:lang w:eastAsia="en-US"/>
        </w:rPr>
        <w:t xml:space="preserve"> (</w:t>
      </w:r>
      <w:r w:rsidRPr="00B139CC">
        <w:rPr>
          <w:rFonts w:eastAsiaTheme="minorHAnsi" w:cstheme="minorHAnsi"/>
          <w:b/>
          <w:szCs w:val="24"/>
          <w:lang w:eastAsia="en-US"/>
        </w:rPr>
        <w:t>SAIMEX)</w:t>
      </w:r>
      <w:r w:rsidRPr="0043529E">
        <w:rPr>
          <w:rFonts w:eastAsiaTheme="minorHAnsi" w:cstheme="minorHAnsi"/>
          <w:szCs w:val="24"/>
          <w:lang w:eastAsia="en-US"/>
        </w:rPr>
        <w:t xml:space="preserve"> y hágase de su conocimiento que en caso de considerar que le causa algún perjuicio, podrá promover el Juicio de Amparo en los términos de las leyes aplicables, de acuerdo con lo estipulado por el artículo 196, de la </w:t>
      </w:r>
      <w:r w:rsidRPr="0043529E">
        <w:rPr>
          <w:rFonts w:eastAsiaTheme="minorHAnsi" w:cstheme="minorHAnsi"/>
          <w:szCs w:val="24"/>
          <w:lang w:eastAsia="en-US"/>
        </w:rPr>
        <w:lastRenderedPageBreak/>
        <w:t>Ley de Transparencia y Acceso a la Información Pública del Estado de México y Municipios.</w:t>
      </w:r>
    </w:p>
    <w:p w14:paraId="699953C4" w14:textId="77777777" w:rsidR="00AC3B85" w:rsidRPr="0043529E" w:rsidRDefault="00AC3B85" w:rsidP="00AC3B85">
      <w:pPr>
        <w:rPr>
          <w:rFonts w:eastAsiaTheme="minorHAnsi" w:cstheme="minorHAnsi"/>
          <w:szCs w:val="24"/>
          <w:lang w:eastAsia="en-US"/>
        </w:rPr>
      </w:pPr>
    </w:p>
    <w:p w14:paraId="3A2F6D61" w14:textId="77777777" w:rsidR="00AC3B85" w:rsidRPr="0043529E" w:rsidRDefault="00AC3B85" w:rsidP="00AC3B85">
      <w:pPr>
        <w:pBdr>
          <w:top w:val="nil"/>
          <w:left w:val="nil"/>
          <w:bottom w:val="nil"/>
          <w:right w:val="nil"/>
          <w:between w:val="nil"/>
        </w:pBdr>
        <w:rPr>
          <w:rFonts w:eastAsia="Palatino Linotype" w:cs="Palatino Linotype"/>
          <w:bCs/>
          <w:color w:val="000000"/>
          <w:szCs w:val="24"/>
        </w:rPr>
      </w:pPr>
      <w:r w:rsidRPr="0043529E">
        <w:rPr>
          <w:rFonts w:eastAsia="Palatino Linotype" w:cs="Palatino Linotype"/>
          <w:b/>
          <w:color w:val="000000"/>
          <w:szCs w:val="24"/>
        </w:rPr>
        <w:t xml:space="preserve">QUINTO. </w:t>
      </w:r>
      <w:r w:rsidRPr="0043529E">
        <w:rPr>
          <w:rFonts w:eastAsiaTheme="minorHAnsi" w:cstheme="minorHAnsi"/>
          <w:color w:val="222222"/>
          <w:szCs w:val="24"/>
          <w:lang w:eastAsia="es-ES_tradnl"/>
        </w:rPr>
        <w:t>Se hace del conocimiento del Recurrente que, de conformidad con lo establecido en el segundo párrafo del artículo 179 de la Ley de Transparencia y Acceso a la Información Pública del Estado de México y Municipios, tiene derecho a interponer nuevamente Recurso de Revisión ante este Instituto, por la respuesta que proporcione el Sujeto Obligado en cumplimiento a esta Resolución.</w:t>
      </w:r>
    </w:p>
    <w:p w14:paraId="488400A6" w14:textId="77777777" w:rsidR="00AC3B85" w:rsidRPr="0043529E" w:rsidRDefault="00AC3B85" w:rsidP="00AC3B85">
      <w:pPr>
        <w:rPr>
          <w:rFonts w:eastAsiaTheme="minorHAnsi" w:cstheme="minorHAnsi"/>
          <w:szCs w:val="24"/>
          <w:lang w:eastAsia="en-US"/>
        </w:rPr>
      </w:pPr>
    </w:p>
    <w:p w14:paraId="0B19B50D" w14:textId="77777777" w:rsidR="00AC3B85" w:rsidRPr="0043529E" w:rsidRDefault="00AC3B85" w:rsidP="00AC3B85">
      <w:pPr>
        <w:pBdr>
          <w:top w:val="nil"/>
          <w:left w:val="nil"/>
          <w:bottom w:val="nil"/>
          <w:right w:val="nil"/>
          <w:between w:val="nil"/>
        </w:pBdr>
        <w:rPr>
          <w:rFonts w:eastAsia="Palatino Linotype" w:cs="Palatino Linotype"/>
          <w:bCs/>
          <w:color w:val="000000"/>
          <w:szCs w:val="24"/>
        </w:rPr>
      </w:pPr>
      <w:r w:rsidRPr="0043529E">
        <w:rPr>
          <w:rFonts w:eastAsiaTheme="minorHAnsi" w:cstheme="minorHAnsi"/>
          <w:b/>
          <w:szCs w:val="24"/>
          <w:lang w:eastAsia="en-US"/>
        </w:rPr>
        <w:t>SEXTO.</w:t>
      </w:r>
      <w:r w:rsidRPr="0043529E">
        <w:rPr>
          <w:rFonts w:eastAsiaTheme="minorHAnsi" w:cstheme="minorHAnsi"/>
          <w:szCs w:val="24"/>
          <w:lang w:eastAsia="en-US"/>
        </w:rPr>
        <w:t xml:space="preserve"> </w:t>
      </w:r>
      <w:r w:rsidRPr="0043529E">
        <w:rPr>
          <w:rFonts w:eastAsia="Palatino Linotype" w:cs="Palatino Linotype"/>
          <w:b/>
          <w:color w:val="000000"/>
          <w:szCs w:val="24"/>
        </w:rPr>
        <w:t xml:space="preserve">Gírese </w:t>
      </w:r>
      <w:r w:rsidRPr="0043529E">
        <w:rPr>
          <w:rFonts w:eastAsia="Palatino Linotype" w:cs="Palatino Linotype"/>
          <w:bCs/>
          <w:color w:val="000000"/>
          <w:szCs w:val="24"/>
        </w:rPr>
        <w:t>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 en términos de lo señalado en el</w:t>
      </w:r>
      <w:r w:rsidRPr="0043529E">
        <w:rPr>
          <w:rFonts w:eastAsia="Palatino Linotype" w:cs="Palatino Linotype"/>
          <w:b/>
          <w:color w:val="000000"/>
          <w:szCs w:val="24"/>
        </w:rPr>
        <w:t xml:space="preserve"> Considerando </w:t>
      </w:r>
      <w:r>
        <w:rPr>
          <w:rFonts w:eastAsia="Palatino Linotype" w:cs="Palatino Linotype"/>
          <w:b/>
          <w:color w:val="000000"/>
          <w:szCs w:val="24"/>
        </w:rPr>
        <w:t>TERCERO</w:t>
      </w:r>
      <w:r w:rsidRPr="0043529E">
        <w:rPr>
          <w:rFonts w:eastAsia="Palatino Linotype" w:cs="Palatino Linotype"/>
          <w:b/>
          <w:color w:val="000000"/>
          <w:szCs w:val="24"/>
        </w:rPr>
        <w:t xml:space="preserve"> </w:t>
      </w:r>
      <w:r w:rsidRPr="0043529E">
        <w:rPr>
          <w:rFonts w:eastAsia="Palatino Linotype" w:cs="Palatino Linotype"/>
          <w:bCs/>
          <w:color w:val="000000"/>
          <w:szCs w:val="24"/>
        </w:rPr>
        <w:t>de la presente resolución.</w:t>
      </w:r>
    </w:p>
    <w:p w14:paraId="744377E8" w14:textId="77777777" w:rsidR="00AC3B85" w:rsidRPr="00BF38BD" w:rsidRDefault="00AC3B85" w:rsidP="00AC3B85">
      <w:pPr>
        <w:rPr>
          <w:sz w:val="14"/>
          <w:szCs w:val="12"/>
        </w:rPr>
      </w:pPr>
    </w:p>
    <w:p w14:paraId="5B5BE45C" w14:textId="5AEA362C" w:rsidR="00AC3B85" w:rsidRPr="006922F5" w:rsidRDefault="00AC3B85" w:rsidP="00AC3B85">
      <w:pPr>
        <w:pBdr>
          <w:top w:val="nil"/>
          <w:left w:val="nil"/>
          <w:bottom w:val="nil"/>
          <w:right w:val="nil"/>
          <w:between w:val="nil"/>
        </w:pBdr>
        <w:contextualSpacing/>
        <w:rPr>
          <w:rFonts w:eastAsia="Palatino Linotype" w:cs="Palatino Linotype"/>
          <w:color w:val="000000"/>
          <w:szCs w:val="24"/>
        </w:rPr>
      </w:pPr>
      <w:r w:rsidRPr="0085493E">
        <w:rPr>
          <w:rFonts w:eastAsia="Palatino Linotype" w:cs="Palatino Linotype"/>
          <w:color w:val="000000"/>
          <w:szCs w:val="24"/>
        </w:rPr>
        <w:t xml:space="preserve">ASÍ LO RESUELVE POR </w:t>
      </w:r>
      <w:r w:rsidRPr="00EB31F2">
        <w:rPr>
          <w:rFonts w:eastAsia="Palatino Linotype" w:cs="Palatino Linotype"/>
          <w:b/>
          <w:color w:val="000000"/>
          <w:szCs w:val="24"/>
        </w:rPr>
        <w:t>UNANIMIDAD DE VOTOS</w:t>
      </w:r>
      <w:r w:rsidRPr="0085493E">
        <w:rPr>
          <w:rFonts w:eastAsia="Palatino Linotype" w:cs="Palatino Linotype"/>
          <w:color w:val="000000"/>
          <w:szCs w:val="24"/>
        </w:rPr>
        <w:t>, EL PLENO DEL INSTITUTO DE TRANSPARENCIA, ACCESO A LA INFORMACIÓN PÚBLICA Y PROTECCIÓN DE</w:t>
      </w:r>
      <w:r>
        <w:rPr>
          <w:rFonts w:eastAsia="Palatino Linotype" w:cs="Palatino Linotype"/>
          <w:color w:val="000000"/>
          <w:szCs w:val="24"/>
        </w:rPr>
        <w:t xml:space="preserve"> DATOS PERSONALES DEL ESTADO DE MÉXICO Y MUNICIPIOS, CONFORMADO POR LOS COMISIONADOS JOSÉ MARTÍNEZ VILCHIS, MARÍA DEL ROSARIO MEJÍA AYALA, SHARON CRISTINA MORALES MARTÍNEZ, LUIS GUSTAVO PARRA NORIEGA Y GUADALUPE RAMÍREZ PEÑA, EN </w:t>
      </w:r>
      <w:r w:rsidRPr="000D2E93">
        <w:rPr>
          <w:rFonts w:eastAsia="Palatino Linotype" w:cs="Palatino Linotype"/>
          <w:color w:val="000000"/>
          <w:szCs w:val="24"/>
        </w:rPr>
        <w:t>LA</w:t>
      </w:r>
      <w:r>
        <w:rPr>
          <w:rFonts w:eastAsia="Palatino Linotype" w:cs="Palatino Linotype"/>
          <w:color w:val="000000"/>
          <w:szCs w:val="24"/>
        </w:rPr>
        <w:t xml:space="preserve"> </w:t>
      </w:r>
      <w:r w:rsidR="00572DF6">
        <w:rPr>
          <w:rFonts w:eastAsia="Palatino Linotype" w:cs="Palatino Linotype"/>
          <w:b/>
          <w:color w:val="000000"/>
          <w:szCs w:val="24"/>
        </w:rPr>
        <w:t>SÉPTIMA</w:t>
      </w:r>
      <w:r>
        <w:rPr>
          <w:rFonts w:eastAsia="Palatino Linotype" w:cs="Palatino Linotype"/>
          <w:b/>
          <w:color w:val="000000"/>
          <w:szCs w:val="24"/>
        </w:rPr>
        <w:t xml:space="preserve"> </w:t>
      </w:r>
      <w:r w:rsidRPr="00EB31F2">
        <w:rPr>
          <w:rFonts w:eastAsia="Palatino Linotype" w:cs="Palatino Linotype"/>
          <w:b/>
          <w:color w:val="000000"/>
          <w:szCs w:val="24"/>
        </w:rPr>
        <w:t xml:space="preserve">SESIÓN ORDINARIA CELEBRADA EL </w:t>
      </w:r>
      <w:r w:rsidR="00572DF6">
        <w:rPr>
          <w:rFonts w:eastAsia="Palatino Linotype" w:cs="Palatino Linotype"/>
          <w:b/>
          <w:color w:val="000000"/>
          <w:szCs w:val="24"/>
        </w:rPr>
        <w:t>VEINTIS</w:t>
      </w:r>
      <w:r w:rsidR="00BF38BD">
        <w:rPr>
          <w:rFonts w:eastAsia="Palatino Linotype" w:cs="Palatino Linotype"/>
          <w:b/>
          <w:color w:val="000000"/>
          <w:szCs w:val="24"/>
        </w:rPr>
        <w:t>É</w:t>
      </w:r>
      <w:r w:rsidR="00572DF6">
        <w:rPr>
          <w:rFonts w:eastAsia="Palatino Linotype" w:cs="Palatino Linotype"/>
          <w:b/>
          <w:color w:val="000000"/>
          <w:szCs w:val="24"/>
        </w:rPr>
        <w:t>IS</w:t>
      </w:r>
      <w:r>
        <w:rPr>
          <w:rFonts w:eastAsia="Palatino Linotype" w:cs="Palatino Linotype"/>
          <w:b/>
          <w:color w:val="000000"/>
          <w:szCs w:val="24"/>
        </w:rPr>
        <w:t xml:space="preserve"> DE FEBRERO DE DOS MIL VEINTICINCO</w:t>
      </w:r>
      <w:r w:rsidRPr="00EB31F2">
        <w:rPr>
          <w:rFonts w:eastAsia="Palatino Linotype" w:cs="Palatino Linotype"/>
          <w:b/>
          <w:color w:val="000000"/>
          <w:szCs w:val="24"/>
        </w:rPr>
        <w:t>,</w:t>
      </w:r>
      <w:r>
        <w:rPr>
          <w:rFonts w:eastAsia="Palatino Linotype" w:cs="Palatino Linotype"/>
          <w:color w:val="000000"/>
          <w:szCs w:val="24"/>
        </w:rPr>
        <w:t xml:space="preserve"> ANTE EL SECRETARIO TÉCNICO DEL PLENO, ALEXIS TAPIA RAMÍREZ</w:t>
      </w:r>
      <w:r w:rsidRPr="006922F5">
        <w:rPr>
          <w:rFonts w:eastAsia="Palatino Linotype" w:cs="Palatino Linotype"/>
          <w:color w:val="000000"/>
          <w:szCs w:val="24"/>
        </w:rPr>
        <w:t>.</w:t>
      </w:r>
      <w:r>
        <w:rPr>
          <w:rFonts w:eastAsia="Palatino Linotype" w:cs="Palatino Linotype"/>
          <w:color w:val="000000"/>
          <w:szCs w:val="24"/>
        </w:rPr>
        <w:t>------------------------------------------------------------------------------------------------------</w:t>
      </w:r>
    </w:p>
    <w:p w14:paraId="6F54789B" w14:textId="77777777" w:rsidR="00AC3B85" w:rsidRPr="00BF38BD" w:rsidRDefault="00AC3B85" w:rsidP="00AC3B85">
      <w:pPr>
        <w:pBdr>
          <w:top w:val="nil"/>
          <w:left w:val="nil"/>
          <w:bottom w:val="nil"/>
          <w:right w:val="nil"/>
          <w:between w:val="nil"/>
        </w:pBdr>
        <w:spacing w:line="240" w:lineRule="auto"/>
        <w:contextualSpacing/>
        <w:rPr>
          <w:rFonts w:eastAsia="Palatino Linotype" w:cs="Palatino Linotype"/>
          <w:color w:val="000000"/>
          <w:sz w:val="14"/>
          <w:szCs w:val="14"/>
          <w:lang w:val="es-ES"/>
        </w:rPr>
      </w:pPr>
      <w:r w:rsidRPr="00BF38BD">
        <w:rPr>
          <w:rFonts w:eastAsia="Palatino Linotype" w:cs="Palatino Linotype"/>
          <w:color w:val="000000" w:themeColor="text1"/>
          <w:sz w:val="14"/>
          <w:szCs w:val="14"/>
          <w:lang w:val="es-ES"/>
        </w:rPr>
        <w:t>JMV/CCR/NJMB</w:t>
      </w:r>
    </w:p>
    <w:p w14:paraId="16A3D4B0"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26231983"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2B968B8F"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4974C60A"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1FDE465A"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2D3DA092"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3045CB85"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009D75ED" w14:textId="77777777" w:rsidR="00AC3B85" w:rsidRPr="004B7011" w:rsidRDefault="00AC3B85" w:rsidP="00AC3B85">
      <w:pPr>
        <w:pBdr>
          <w:top w:val="nil"/>
          <w:left w:val="nil"/>
          <w:bottom w:val="nil"/>
          <w:right w:val="nil"/>
          <w:between w:val="nil"/>
        </w:pBdr>
        <w:contextualSpacing/>
        <w:rPr>
          <w:rFonts w:eastAsia="Palatino Linotype" w:cs="Palatino Linotype"/>
          <w:color w:val="000000"/>
          <w:sz w:val="20"/>
          <w:szCs w:val="20"/>
        </w:rPr>
      </w:pPr>
    </w:p>
    <w:p w14:paraId="33C1B8F3" w14:textId="77777777" w:rsidR="00AC3B85" w:rsidRDefault="00AC3B85" w:rsidP="00AC3B85"/>
    <w:p w14:paraId="29E1106E" w14:textId="77777777" w:rsidR="00AC3B85" w:rsidRDefault="00AC3B85" w:rsidP="00AC3B85"/>
    <w:p w14:paraId="3A401C3F" w14:textId="77777777" w:rsidR="00AC3B85" w:rsidRDefault="00AC3B85" w:rsidP="00AC3B85"/>
    <w:p w14:paraId="48887BA2" w14:textId="77777777" w:rsidR="00AC3B85" w:rsidRDefault="00AC3B85" w:rsidP="00AC3B85"/>
    <w:p w14:paraId="36FBD6CF" w14:textId="77777777" w:rsidR="00AC3B85" w:rsidRDefault="00AC3B85" w:rsidP="00AC3B85"/>
    <w:p w14:paraId="766C9EAF" w14:textId="77777777" w:rsidR="00AC3B85" w:rsidRDefault="00AC3B85" w:rsidP="00AC3B85"/>
    <w:p w14:paraId="40109776" w14:textId="77777777" w:rsidR="00AC3B85" w:rsidRDefault="00AC3B85" w:rsidP="00AC3B85"/>
    <w:p w14:paraId="578F5552" w14:textId="77777777" w:rsidR="00AC3B85" w:rsidRDefault="00AC3B85" w:rsidP="00AC3B85"/>
    <w:p w14:paraId="30C90142" w14:textId="77777777" w:rsidR="00AC3B85" w:rsidRDefault="00AC3B85" w:rsidP="00AC3B85"/>
    <w:p w14:paraId="2A420BFB" w14:textId="77777777" w:rsidR="00AC3B85" w:rsidRDefault="00AC3B85" w:rsidP="00AC3B85"/>
    <w:p w14:paraId="42D26F34" w14:textId="77777777" w:rsidR="00AC3B85" w:rsidRDefault="00AC3B85" w:rsidP="00AC3B85"/>
    <w:p w14:paraId="1E01019F" w14:textId="77777777" w:rsidR="00AC3B85" w:rsidRDefault="00AC3B85" w:rsidP="00AC3B85"/>
    <w:p w14:paraId="27A80189" w14:textId="77777777" w:rsidR="00AC3B85" w:rsidRDefault="00AC3B85" w:rsidP="00AC3B85"/>
    <w:p w14:paraId="734FB743" w14:textId="77777777" w:rsidR="00AC3B85" w:rsidRDefault="00AC3B85" w:rsidP="00AC3B85"/>
    <w:p w14:paraId="54368504" w14:textId="77777777" w:rsidR="00AC3B85" w:rsidRPr="004B7011" w:rsidRDefault="00AC3B85" w:rsidP="00AC3B85"/>
    <w:p w14:paraId="4A99D813" w14:textId="77777777" w:rsidR="00AC3B85" w:rsidRDefault="00AC3B85" w:rsidP="00AC3B85"/>
    <w:p w14:paraId="0B0320C8" w14:textId="77777777" w:rsidR="0058288B" w:rsidRDefault="0058288B"/>
    <w:sectPr w:rsidR="0058288B" w:rsidSect="004F5285">
      <w:headerReference w:type="even" r:id="rId6"/>
      <w:headerReference w:type="default" r:id="rId7"/>
      <w:footerReference w:type="default" r:id="rId8"/>
      <w:headerReference w:type="first" r:id="rId9"/>
      <w:footerReference w:type="first" r:id="rId10"/>
      <w:pgSz w:w="12240" w:h="15840"/>
      <w:pgMar w:top="2977" w:right="1134" w:bottom="1191" w:left="1752"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D08012" w14:textId="77777777" w:rsidR="00776927" w:rsidRDefault="00776927" w:rsidP="00AC3B85">
      <w:pPr>
        <w:spacing w:line="240" w:lineRule="auto"/>
      </w:pPr>
      <w:r>
        <w:separator/>
      </w:r>
    </w:p>
  </w:endnote>
  <w:endnote w:type="continuationSeparator" w:id="0">
    <w:p w14:paraId="31C29D41" w14:textId="77777777" w:rsidR="00776927" w:rsidRDefault="00776927" w:rsidP="00AC3B8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3AED72" w14:textId="77777777" w:rsidR="00BF38BD" w:rsidRPr="00871A91" w:rsidRDefault="00617BA4"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045C43">
      <w:rPr>
        <w:rFonts w:ascii="Palatino Linotype" w:hAnsi="Palatino Linotype"/>
        <w:b/>
        <w:bCs/>
        <w:noProof/>
        <w:sz w:val="20"/>
      </w:rPr>
      <w:t>14</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045C43">
      <w:rPr>
        <w:rFonts w:ascii="Palatino Linotype" w:hAnsi="Palatino Linotype"/>
        <w:b/>
        <w:bCs/>
        <w:noProof/>
        <w:sz w:val="20"/>
      </w:rPr>
      <w:t>14</w:t>
    </w:r>
    <w:r w:rsidRPr="00713DD5">
      <w:rPr>
        <w:rFonts w:ascii="Palatino Linotype" w:hAnsi="Palatino Linotype"/>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47D518" w14:textId="77777777" w:rsidR="00BF38BD" w:rsidRPr="00871A91" w:rsidRDefault="00617BA4"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045C43">
      <w:rPr>
        <w:rFonts w:ascii="Palatino Linotype" w:hAnsi="Palatino Linotype"/>
        <w:b/>
        <w:bCs/>
        <w:noProof/>
        <w:sz w:val="20"/>
      </w:rPr>
      <w:t>1</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045C43">
      <w:rPr>
        <w:rFonts w:ascii="Palatino Linotype" w:hAnsi="Palatino Linotype"/>
        <w:b/>
        <w:bCs/>
        <w:noProof/>
        <w:sz w:val="20"/>
      </w:rPr>
      <w:t>14</w:t>
    </w:r>
    <w:r w:rsidRPr="00713DD5">
      <w:rPr>
        <w:rFonts w:ascii="Palatino Linotype" w:hAnsi="Palatino Linotype"/>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0C5E99" w14:textId="77777777" w:rsidR="00776927" w:rsidRDefault="00776927" w:rsidP="00AC3B85">
      <w:pPr>
        <w:spacing w:line="240" w:lineRule="auto"/>
      </w:pPr>
      <w:r>
        <w:separator/>
      </w:r>
    </w:p>
  </w:footnote>
  <w:footnote w:type="continuationSeparator" w:id="0">
    <w:p w14:paraId="794CC1BC" w14:textId="77777777" w:rsidR="00776927" w:rsidRDefault="00776927" w:rsidP="00AC3B8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9F1FEA" w14:textId="77777777" w:rsidR="00BF38BD" w:rsidRDefault="00045C43">
    <w:pPr>
      <w:pStyle w:val="Encabezado"/>
    </w:pPr>
    <w:r>
      <w:rPr>
        <w:noProof/>
        <w:lang w:val="es-MX" w:eastAsia="es-MX"/>
      </w:rPr>
      <w:pict w14:anchorId="6FF0D9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7" o:spid="_x0000_s2049" type="#_x0000_t75" alt="" style="position:absolute;left:0;text-align:left;margin-left:0;margin-top:0;width:609.4pt;height:793.75pt;z-index:-251657728;mso-wrap-edited:f;mso-width-percent:0;mso-height-percent:0;mso-position-horizontal:center;mso-position-horizontal-relative:margin;mso-position-vertical:center;mso-position-vertical-relative:margin;mso-width-percent:0;mso-height-percent:0" o:allowincell="f">
          <v:imagedata r:id="rId1" o:title="infoem"/>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581587" w:rsidRPr="00B17577" w14:paraId="09B19174" w14:textId="77777777" w:rsidTr="003938ED">
      <w:trPr>
        <w:trHeight w:val="227"/>
      </w:trPr>
      <w:tc>
        <w:tcPr>
          <w:tcW w:w="5103" w:type="dxa"/>
          <w:hideMark/>
        </w:tcPr>
        <w:p w14:paraId="70F328B8" w14:textId="77777777" w:rsidR="00BF38BD" w:rsidRPr="00096248" w:rsidRDefault="00617BA4" w:rsidP="00011C4D">
          <w:pPr>
            <w:spacing w:after="120" w:line="240" w:lineRule="auto"/>
            <w:ind w:right="69"/>
            <w:jc w:val="right"/>
            <w:rPr>
              <w:rFonts w:cs="Arial"/>
              <w:b/>
              <w:szCs w:val="24"/>
            </w:rPr>
          </w:pPr>
          <w:r w:rsidRPr="00096248">
            <w:rPr>
              <w:rFonts w:cs="Arial"/>
              <w:b/>
              <w:szCs w:val="24"/>
            </w:rPr>
            <w:t>Recurso de Revisión:</w:t>
          </w:r>
        </w:p>
      </w:tc>
      <w:tc>
        <w:tcPr>
          <w:tcW w:w="4395" w:type="dxa"/>
          <w:hideMark/>
        </w:tcPr>
        <w:p w14:paraId="3B6E1893" w14:textId="77777777" w:rsidR="00BF38BD" w:rsidRPr="00096248" w:rsidRDefault="00617BA4" w:rsidP="00011C4D">
          <w:pPr>
            <w:spacing w:after="120" w:line="240" w:lineRule="auto"/>
            <w:ind w:right="71"/>
            <w:jc w:val="right"/>
            <w:rPr>
              <w:rFonts w:cs="Arial"/>
              <w:b/>
              <w:szCs w:val="24"/>
            </w:rPr>
          </w:pPr>
          <w:r w:rsidRPr="00710058">
            <w:rPr>
              <w:rFonts w:cs="Arial"/>
              <w:b/>
              <w:bCs/>
              <w:szCs w:val="24"/>
            </w:rPr>
            <w:t>0</w:t>
          </w:r>
          <w:r>
            <w:rPr>
              <w:rFonts w:cs="Arial"/>
              <w:b/>
              <w:bCs/>
              <w:szCs w:val="24"/>
            </w:rPr>
            <w:t>0</w:t>
          </w:r>
          <w:r w:rsidR="00AC3B85">
            <w:rPr>
              <w:rFonts w:cs="Arial"/>
              <w:b/>
              <w:bCs/>
              <w:szCs w:val="24"/>
            </w:rPr>
            <w:t>750</w:t>
          </w:r>
          <w:r>
            <w:rPr>
              <w:rFonts w:cs="Arial"/>
              <w:b/>
              <w:bCs/>
              <w:szCs w:val="24"/>
            </w:rPr>
            <w:t>/INFOEM/IP/RR/2025</w:t>
          </w:r>
        </w:p>
      </w:tc>
    </w:tr>
    <w:tr w:rsidR="00581587" w14:paraId="257714CD" w14:textId="77777777" w:rsidTr="003938ED">
      <w:trPr>
        <w:trHeight w:val="242"/>
      </w:trPr>
      <w:tc>
        <w:tcPr>
          <w:tcW w:w="5103" w:type="dxa"/>
          <w:hideMark/>
        </w:tcPr>
        <w:p w14:paraId="7C25BEA4" w14:textId="77777777" w:rsidR="00BF38BD" w:rsidRPr="00096248" w:rsidRDefault="00617BA4" w:rsidP="00011C4D">
          <w:pPr>
            <w:spacing w:after="120" w:line="240" w:lineRule="auto"/>
            <w:ind w:right="69"/>
            <w:jc w:val="right"/>
            <w:rPr>
              <w:rFonts w:cs="Arial"/>
              <w:b/>
              <w:szCs w:val="24"/>
            </w:rPr>
          </w:pPr>
          <w:r w:rsidRPr="00096248">
            <w:rPr>
              <w:rFonts w:cs="Arial"/>
              <w:b/>
              <w:szCs w:val="24"/>
            </w:rPr>
            <w:t>Sujeto Obligado:</w:t>
          </w:r>
        </w:p>
      </w:tc>
      <w:tc>
        <w:tcPr>
          <w:tcW w:w="4395" w:type="dxa"/>
          <w:hideMark/>
        </w:tcPr>
        <w:p w14:paraId="4F0F9FED" w14:textId="77777777" w:rsidR="00BF38BD" w:rsidRPr="00096248" w:rsidRDefault="00AC3B85" w:rsidP="00011C4D">
          <w:pPr>
            <w:spacing w:after="120" w:line="240" w:lineRule="auto"/>
            <w:ind w:left="-81" w:right="71"/>
            <w:jc w:val="right"/>
            <w:rPr>
              <w:rFonts w:cs="Arial"/>
              <w:szCs w:val="24"/>
            </w:rPr>
          </w:pPr>
          <w:r w:rsidRPr="00AC3B85">
            <w:rPr>
              <w:b/>
              <w:bCs/>
              <w:szCs w:val="24"/>
            </w:rPr>
            <w:t>Instituto Municipal de Cultura Física y Deporte de Aculco</w:t>
          </w:r>
        </w:p>
      </w:tc>
    </w:tr>
    <w:tr w:rsidR="00581587" w:rsidRPr="00F63239" w14:paraId="090E78DD" w14:textId="77777777" w:rsidTr="003938ED">
      <w:trPr>
        <w:trHeight w:val="342"/>
      </w:trPr>
      <w:tc>
        <w:tcPr>
          <w:tcW w:w="5103" w:type="dxa"/>
          <w:hideMark/>
        </w:tcPr>
        <w:p w14:paraId="6465BDCF" w14:textId="77777777" w:rsidR="00BF38BD" w:rsidRPr="00096248" w:rsidRDefault="00617BA4" w:rsidP="00011C4D">
          <w:pPr>
            <w:tabs>
              <w:tab w:val="left" w:pos="4892"/>
            </w:tabs>
            <w:spacing w:after="120" w:line="240" w:lineRule="auto"/>
            <w:ind w:right="69"/>
            <w:jc w:val="right"/>
            <w:rPr>
              <w:rFonts w:cs="Arial"/>
              <w:b/>
              <w:szCs w:val="24"/>
            </w:rPr>
          </w:pPr>
          <w:r w:rsidRPr="00096248">
            <w:rPr>
              <w:rFonts w:cs="Arial"/>
              <w:b/>
              <w:szCs w:val="24"/>
            </w:rPr>
            <w:t>Comisionado Ponente:</w:t>
          </w:r>
        </w:p>
      </w:tc>
      <w:tc>
        <w:tcPr>
          <w:tcW w:w="4395" w:type="dxa"/>
          <w:hideMark/>
        </w:tcPr>
        <w:p w14:paraId="2E2F9706" w14:textId="77777777" w:rsidR="00BF38BD" w:rsidRDefault="00617BA4" w:rsidP="00011C4D">
          <w:pPr>
            <w:spacing w:after="120" w:line="240" w:lineRule="auto"/>
            <w:ind w:left="-486" w:right="71" w:firstLine="567"/>
            <w:jc w:val="right"/>
            <w:rPr>
              <w:rFonts w:cs="Arial"/>
              <w:szCs w:val="24"/>
            </w:rPr>
          </w:pPr>
          <w:r w:rsidRPr="00096248">
            <w:rPr>
              <w:rFonts w:cs="Arial"/>
              <w:szCs w:val="24"/>
            </w:rPr>
            <w:t>José Martínez Vilchis</w:t>
          </w:r>
        </w:p>
        <w:p w14:paraId="72C19F70" w14:textId="77777777" w:rsidR="00BF38BD" w:rsidRPr="00711916" w:rsidRDefault="00BF38BD" w:rsidP="00011C4D">
          <w:pPr>
            <w:spacing w:after="120" w:line="240" w:lineRule="auto"/>
            <w:ind w:left="-486" w:right="71" w:firstLine="567"/>
            <w:jc w:val="right"/>
            <w:rPr>
              <w:rFonts w:cs="Arial"/>
              <w:sz w:val="2"/>
              <w:szCs w:val="2"/>
            </w:rPr>
          </w:pPr>
        </w:p>
      </w:tc>
    </w:tr>
  </w:tbl>
  <w:p w14:paraId="0B3F5C6D" w14:textId="77777777" w:rsidR="00BF38BD" w:rsidRPr="00871A91" w:rsidRDefault="00617BA4">
    <w:pPr>
      <w:pStyle w:val="Encabezado"/>
      <w:rPr>
        <w:sz w:val="2"/>
      </w:rPr>
    </w:pPr>
    <w:r>
      <w:rPr>
        <w:noProof/>
        <w:lang w:val="es-MX" w:eastAsia="es-MX"/>
      </w:rPr>
      <w:drawing>
        <wp:anchor distT="0" distB="0" distL="114300" distR="114300" simplePos="0" relativeHeight="251656704" behindDoc="1" locked="0" layoutInCell="0" allowOverlap="1" wp14:anchorId="05D00D39" wp14:editId="1997F2FD">
          <wp:simplePos x="0" y="0"/>
          <wp:positionH relativeFrom="margin">
            <wp:posOffset>-1042035</wp:posOffset>
          </wp:positionH>
          <wp:positionV relativeFrom="margin">
            <wp:posOffset>-2152650</wp:posOffset>
          </wp:positionV>
          <wp:extent cx="7739380" cy="10080625"/>
          <wp:effectExtent l="0" t="0" r="0" b="0"/>
          <wp:wrapNone/>
          <wp:docPr id="2" name="Imagen 2" descr="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9380" cy="1008062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581587" w14:paraId="0CD430CC" w14:textId="77777777" w:rsidTr="70652167">
      <w:trPr>
        <w:trHeight w:val="227"/>
      </w:trPr>
      <w:tc>
        <w:tcPr>
          <w:tcW w:w="5103" w:type="dxa"/>
          <w:hideMark/>
        </w:tcPr>
        <w:p w14:paraId="18B15C38" w14:textId="77777777" w:rsidR="00BF38BD" w:rsidRPr="00663A37" w:rsidRDefault="00617BA4" w:rsidP="00011C4D">
          <w:pPr>
            <w:spacing w:after="120" w:line="240" w:lineRule="auto"/>
            <w:ind w:right="68"/>
            <w:jc w:val="right"/>
            <w:rPr>
              <w:rFonts w:cs="Arial"/>
              <w:b/>
              <w:szCs w:val="24"/>
            </w:rPr>
          </w:pPr>
          <w:r>
            <w:rPr>
              <w:rFonts w:cs="Arial"/>
              <w:b/>
              <w:szCs w:val="24"/>
            </w:rPr>
            <w:t>Recurso de Revisión</w:t>
          </w:r>
          <w:r w:rsidRPr="00663A37">
            <w:rPr>
              <w:rFonts w:cs="Arial"/>
              <w:b/>
              <w:szCs w:val="24"/>
            </w:rPr>
            <w:t>:</w:t>
          </w:r>
        </w:p>
      </w:tc>
      <w:tc>
        <w:tcPr>
          <w:tcW w:w="4395" w:type="dxa"/>
          <w:hideMark/>
        </w:tcPr>
        <w:p w14:paraId="672B8D2F" w14:textId="77777777" w:rsidR="00BF38BD" w:rsidRPr="00697555" w:rsidRDefault="00617BA4" w:rsidP="00697555">
          <w:pPr>
            <w:spacing w:after="120" w:line="240" w:lineRule="auto"/>
            <w:ind w:left="-486" w:right="68" w:firstLine="558"/>
            <w:jc w:val="right"/>
            <w:rPr>
              <w:rFonts w:cs="Arial"/>
              <w:b/>
              <w:bCs/>
              <w:szCs w:val="24"/>
            </w:rPr>
          </w:pPr>
          <w:r w:rsidRPr="00710058">
            <w:rPr>
              <w:rFonts w:cs="Arial"/>
              <w:b/>
              <w:bCs/>
              <w:szCs w:val="24"/>
            </w:rPr>
            <w:t>0</w:t>
          </w:r>
          <w:r>
            <w:rPr>
              <w:rFonts w:cs="Arial"/>
              <w:b/>
              <w:bCs/>
              <w:szCs w:val="24"/>
            </w:rPr>
            <w:t>0</w:t>
          </w:r>
          <w:r w:rsidR="00AC3B85">
            <w:rPr>
              <w:rFonts w:cs="Arial"/>
              <w:b/>
              <w:bCs/>
              <w:szCs w:val="24"/>
            </w:rPr>
            <w:t>750</w:t>
          </w:r>
          <w:r>
            <w:rPr>
              <w:rFonts w:cs="Arial"/>
              <w:b/>
              <w:bCs/>
              <w:szCs w:val="24"/>
            </w:rPr>
            <w:t>/INFOEM/IP/RR/2025</w:t>
          </w:r>
        </w:p>
      </w:tc>
    </w:tr>
    <w:tr w:rsidR="00723CE8" w:rsidRPr="001F57CD" w14:paraId="2CAD9445" w14:textId="77777777" w:rsidTr="70652167">
      <w:trPr>
        <w:trHeight w:val="196"/>
      </w:trPr>
      <w:tc>
        <w:tcPr>
          <w:tcW w:w="5103" w:type="dxa"/>
        </w:tcPr>
        <w:p w14:paraId="4360CB17" w14:textId="77777777" w:rsidR="00BF38BD" w:rsidRPr="00663A37" w:rsidRDefault="00617BA4" w:rsidP="00011C4D">
          <w:pPr>
            <w:spacing w:after="120" w:line="240" w:lineRule="auto"/>
            <w:ind w:right="68"/>
            <w:jc w:val="right"/>
            <w:rPr>
              <w:rFonts w:cs="Arial"/>
              <w:b/>
              <w:szCs w:val="24"/>
            </w:rPr>
          </w:pPr>
          <w:r w:rsidRPr="00663A37">
            <w:rPr>
              <w:rFonts w:cs="Arial"/>
              <w:b/>
              <w:szCs w:val="24"/>
            </w:rPr>
            <w:t>Recurrente:</w:t>
          </w:r>
        </w:p>
      </w:tc>
      <w:tc>
        <w:tcPr>
          <w:tcW w:w="4395" w:type="dxa"/>
        </w:tcPr>
        <w:p w14:paraId="735C080B" w14:textId="1B0FE4B3" w:rsidR="00BF38BD" w:rsidRPr="009E28A8" w:rsidRDefault="00045C43" w:rsidP="00256C55">
          <w:pPr>
            <w:spacing w:after="120" w:line="240" w:lineRule="auto"/>
            <w:ind w:right="68"/>
            <w:jc w:val="right"/>
            <w:rPr>
              <w:rFonts w:cs="Arial"/>
              <w:lang w:val="es-ES"/>
            </w:rPr>
          </w:pPr>
          <w:r>
            <w:rPr>
              <w:rFonts w:cs="Arial"/>
              <w:lang w:val="es-ES"/>
            </w:rPr>
            <w:t>XXXX</w:t>
          </w:r>
        </w:p>
      </w:tc>
    </w:tr>
    <w:tr w:rsidR="00581587" w14:paraId="6FD73B05" w14:textId="77777777" w:rsidTr="70652167">
      <w:trPr>
        <w:trHeight w:val="242"/>
      </w:trPr>
      <w:tc>
        <w:tcPr>
          <w:tcW w:w="5103" w:type="dxa"/>
          <w:hideMark/>
        </w:tcPr>
        <w:p w14:paraId="1A1DE1BA" w14:textId="77777777" w:rsidR="00BF38BD" w:rsidRPr="00663A37" w:rsidRDefault="00617BA4" w:rsidP="00011C4D">
          <w:pPr>
            <w:spacing w:after="120" w:line="240" w:lineRule="auto"/>
            <w:ind w:right="68"/>
            <w:jc w:val="right"/>
            <w:rPr>
              <w:rFonts w:cs="Arial"/>
              <w:b/>
              <w:szCs w:val="24"/>
            </w:rPr>
          </w:pPr>
          <w:r w:rsidRPr="00663A37">
            <w:rPr>
              <w:rFonts w:cs="Arial"/>
              <w:b/>
              <w:szCs w:val="24"/>
            </w:rPr>
            <w:t>Sujeto Obligado:</w:t>
          </w:r>
        </w:p>
      </w:tc>
      <w:tc>
        <w:tcPr>
          <w:tcW w:w="4395" w:type="dxa"/>
          <w:hideMark/>
        </w:tcPr>
        <w:p w14:paraId="07695B10" w14:textId="77777777" w:rsidR="00BF38BD" w:rsidRPr="00AC3B85" w:rsidRDefault="00AC3B85" w:rsidP="005E7A32">
          <w:pPr>
            <w:spacing w:after="120" w:line="240" w:lineRule="auto"/>
            <w:ind w:left="-70" w:right="68"/>
            <w:jc w:val="right"/>
            <w:rPr>
              <w:rFonts w:cs="Arial"/>
              <w:szCs w:val="24"/>
            </w:rPr>
          </w:pPr>
          <w:r w:rsidRPr="00AC3B85">
            <w:rPr>
              <w:b/>
              <w:bCs/>
              <w:szCs w:val="24"/>
            </w:rPr>
            <w:t>Instituto Municipal de Cultura Física y Deporte de Aculco</w:t>
          </w:r>
        </w:p>
      </w:tc>
    </w:tr>
    <w:tr w:rsidR="00581587" w14:paraId="025F27BE" w14:textId="77777777" w:rsidTr="70652167">
      <w:trPr>
        <w:trHeight w:val="342"/>
      </w:trPr>
      <w:tc>
        <w:tcPr>
          <w:tcW w:w="5103" w:type="dxa"/>
          <w:hideMark/>
        </w:tcPr>
        <w:p w14:paraId="2F001039" w14:textId="77777777" w:rsidR="00BF38BD" w:rsidRPr="00663A37" w:rsidRDefault="00617BA4" w:rsidP="00011C4D">
          <w:pPr>
            <w:tabs>
              <w:tab w:val="left" w:pos="4892"/>
            </w:tabs>
            <w:spacing w:after="120" w:line="240" w:lineRule="auto"/>
            <w:ind w:right="68"/>
            <w:jc w:val="right"/>
            <w:rPr>
              <w:rFonts w:cs="Arial"/>
              <w:b/>
              <w:szCs w:val="24"/>
            </w:rPr>
          </w:pPr>
          <w:r w:rsidRPr="00663A37">
            <w:rPr>
              <w:rFonts w:cs="Arial"/>
              <w:b/>
              <w:szCs w:val="24"/>
            </w:rPr>
            <w:t>Comisionado Ponente:</w:t>
          </w:r>
        </w:p>
      </w:tc>
      <w:tc>
        <w:tcPr>
          <w:tcW w:w="4395" w:type="dxa"/>
          <w:hideMark/>
        </w:tcPr>
        <w:p w14:paraId="307B39A4" w14:textId="77777777" w:rsidR="00BF38BD" w:rsidRPr="00663A37" w:rsidRDefault="00617BA4" w:rsidP="00011C4D">
          <w:pPr>
            <w:spacing w:after="120" w:line="240" w:lineRule="auto"/>
            <w:ind w:left="-486" w:right="68" w:firstLine="567"/>
            <w:jc w:val="right"/>
            <w:rPr>
              <w:rFonts w:cs="Arial"/>
              <w:szCs w:val="24"/>
            </w:rPr>
          </w:pPr>
          <w:r w:rsidRPr="00663A37">
            <w:rPr>
              <w:rFonts w:cs="Arial"/>
              <w:szCs w:val="24"/>
            </w:rPr>
            <w:t>José Martínez Vilchis</w:t>
          </w:r>
        </w:p>
      </w:tc>
    </w:tr>
  </w:tbl>
  <w:p w14:paraId="17844B5D" w14:textId="77777777" w:rsidR="00BF38BD" w:rsidRPr="00871A91" w:rsidRDefault="00617BA4">
    <w:pPr>
      <w:pStyle w:val="Encabezado"/>
      <w:rPr>
        <w:sz w:val="2"/>
      </w:rPr>
    </w:pPr>
    <w:r>
      <w:rPr>
        <w:noProof/>
        <w:lang w:val="es-MX" w:eastAsia="es-MX"/>
      </w:rPr>
      <w:drawing>
        <wp:anchor distT="0" distB="0" distL="114300" distR="114300" simplePos="0" relativeHeight="251657728" behindDoc="1" locked="0" layoutInCell="0" allowOverlap="1" wp14:anchorId="75519EFC" wp14:editId="574D29E6">
          <wp:simplePos x="0" y="0"/>
          <wp:positionH relativeFrom="margin">
            <wp:posOffset>-1043940</wp:posOffset>
          </wp:positionH>
          <wp:positionV relativeFrom="margin">
            <wp:posOffset>-2350135</wp:posOffset>
          </wp:positionV>
          <wp:extent cx="7739380" cy="10080625"/>
          <wp:effectExtent l="0" t="0" r="0" b="0"/>
          <wp:wrapNone/>
          <wp:docPr id="1" name="Imagen 1" descr="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9380" cy="1008062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B85"/>
    <w:rsid w:val="000177D5"/>
    <w:rsid w:val="00045C43"/>
    <w:rsid w:val="00572DF6"/>
    <w:rsid w:val="0058288B"/>
    <w:rsid w:val="00617BA4"/>
    <w:rsid w:val="00672DBE"/>
    <w:rsid w:val="00776927"/>
    <w:rsid w:val="00A64C77"/>
    <w:rsid w:val="00AC3B85"/>
    <w:rsid w:val="00BF38B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C0CC847"/>
  <w15:chartTrackingRefBased/>
  <w15:docId w15:val="{F7408D7C-5FD6-4FC6-8C3F-5F6D87C8C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3B85"/>
    <w:pPr>
      <w:spacing w:after="0" w:line="360" w:lineRule="auto"/>
      <w:jc w:val="both"/>
    </w:pPr>
    <w:rPr>
      <w:rFonts w:ascii="Palatino Linotype" w:eastAsia="Calibri" w:hAnsi="Palatino Linotype" w:cs="Calibri"/>
      <w:sz w:val="24"/>
      <w:lang w:val="es-ES_tradnl" w:eastAsia="es-MX"/>
    </w:rPr>
  </w:style>
  <w:style w:type="paragraph" w:styleId="Ttulo1">
    <w:name w:val="heading 1"/>
    <w:aliases w:val="Título Res"/>
    <w:basedOn w:val="Normal"/>
    <w:next w:val="Normal"/>
    <w:link w:val="Ttulo1Car"/>
    <w:uiPriority w:val="9"/>
    <w:qFormat/>
    <w:rsid w:val="00AC3B85"/>
    <w:pPr>
      <w:keepNext/>
      <w:keepLines/>
      <w:jc w:val="center"/>
      <w:outlineLvl w:val="0"/>
    </w:pPr>
    <w:rPr>
      <w:rFonts w:eastAsiaTheme="majorEastAsia" w:cstheme="majorBidi"/>
      <w:b/>
      <w:color w:val="000000" w:themeColor="text1"/>
      <w:sz w:val="28"/>
      <w:szCs w:val="32"/>
      <w:lang w:val="es-ES" w:eastAsia="es-ES"/>
    </w:rPr>
  </w:style>
  <w:style w:type="paragraph" w:styleId="Ttulo2">
    <w:name w:val="heading 2"/>
    <w:aliases w:val="Subtítulos"/>
    <w:basedOn w:val="Normal"/>
    <w:next w:val="Normal"/>
    <w:link w:val="Ttulo2Car"/>
    <w:uiPriority w:val="9"/>
    <w:unhideWhenUsed/>
    <w:qFormat/>
    <w:rsid w:val="00AC3B85"/>
    <w:pPr>
      <w:keepNext/>
      <w:keepLines/>
      <w:outlineLvl w:val="1"/>
    </w:pPr>
    <w:rPr>
      <w:rFonts w:eastAsiaTheme="majorEastAsia" w:cstheme="majorBidi"/>
      <w:b/>
      <w:color w:val="000000" w:themeColor="text1"/>
      <w:sz w:val="26"/>
      <w:szCs w:val="26"/>
    </w:rPr>
  </w:style>
  <w:style w:type="paragraph" w:styleId="Ttulo3">
    <w:name w:val="heading 3"/>
    <w:basedOn w:val="Normal"/>
    <w:next w:val="Normal"/>
    <w:link w:val="Ttulo3Car"/>
    <w:uiPriority w:val="9"/>
    <w:unhideWhenUsed/>
    <w:qFormat/>
    <w:rsid w:val="00AC3B85"/>
    <w:pPr>
      <w:keepNext/>
      <w:keepLines/>
      <w:outlineLvl w:val="2"/>
    </w:pPr>
    <w:rPr>
      <w:rFonts w:eastAsiaTheme="majorEastAsia" w:cstheme="majorBidi"/>
      <w:b/>
      <w:i/>
      <w:color w:val="000000" w:themeColor="text1"/>
      <w:szCs w:val="24"/>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Título Res Car"/>
    <w:basedOn w:val="Fuentedeprrafopredeter"/>
    <w:link w:val="Ttulo1"/>
    <w:uiPriority w:val="9"/>
    <w:rsid w:val="00AC3B85"/>
    <w:rPr>
      <w:rFonts w:ascii="Palatino Linotype" w:eastAsiaTheme="majorEastAsia" w:hAnsi="Palatino Linotype" w:cstheme="majorBidi"/>
      <w:b/>
      <w:color w:val="000000" w:themeColor="text1"/>
      <w:sz w:val="28"/>
      <w:szCs w:val="32"/>
      <w:lang w:val="es-ES" w:eastAsia="es-ES"/>
    </w:rPr>
  </w:style>
  <w:style w:type="character" w:customStyle="1" w:styleId="Ttulo2Car">
    <w:name w:val="Título 2 Car"/>
    <w:aliases w:val="Subtítulos Car"/>
    <w:basedOn w:val="Fuentedeprrafopredeter"/>
    <w:link w:val="Ttulo2"/>
    <w:uiPriority w:val="9"/>
    <w:rsid w:val="00AC3B85"/>
    <w:rPr>
      <w:rFonts w:ascii="Palatino Linotype" w:eastAsiaTheme="majorEastAsia" w:hAnsi="Palatino Linotype" w:cstheme="majorBidi"/>
      <w:b/>
      <w:color w:val="000000" w:themeColor="text1"/>
      <w:sz w:val="26"/>
      <w:szCs w:val="26"/>
      <w:lang w:val="es-ES_tradnl" w:eastAsia="es-MX"/>
    </w:rPr>
  </w:style>
  <w:style w:type="character" w:customStyle="1" w:styleId="Ttulo3Car">
    <w:name w:val="Título 3 Car"/>
    <w:basedOn w:val="Fuentedeprrafopredeter"/>
    <w:link w:val="Ttulo3"/>
    <w:uiPriority w:val="9"/>
    <w:rsid w:val="00AC3B85"/>
    <w:rPr>
      <w:rFonts w:ascii="Palatino Linotype" w:eastAsiaTheme="majorEastAsia" w:hAnsi="Palatino Linotype" w:cstheme="majorBidi"/>
      <w:b/>
      <w:i/>
      <w:color w:val="000000" w:themeColor="text1"/>
      <w:sz w:val="24"/>
      <w:szCs w:val="24"/>
      <w:u w:val="single"/>
      <w:lang w:val="es-ES_tradnl" w:eastAsia="es-MX"/>
    </w:rPr>
  </w:style>
  <w:style w:type="paragraph" w:styleId="Encabezado">
    <w:name w:val="header"/>
    <w:basedOn w:val="Normal"/>
    <w:link w:val="EncabezadoCar"/>
    <w:uiPriority w:val="99"/>
    <w:unhideWhenUsed/>
    <w:rsid w:val="00AC3B85"/>
    <w:pPr>
      <w:tabs>
        <w:tab w:val="center" w:pos="4419"/>
        <w:tab w:val="right" w:pos="8838"/>
      </w:tabs>
      <w:spacing w:line="240" w:lineRule="auto"/>
    </w:pPr>
    <w:rPr>
      <w:rFonts w:ascii="Times New Roman" w:hAnsi="Times New Roman" w:cs="Times New Roman"/>
      <w:szCs w:val="24"/>
      <w:lang w:val="es-ES" w:eastAsia="es-ES"/>
    </w:rPr>
  </w:style>
  <w:style w:type="character" w:customStyle="1" w:styleId="EncabezadoCar">
    <w:name w:val="Encabezado Car"/>
    <w:basedOn w:val="Fuentedeprrafopredeter"/>
    <w:link w:val="Encabezado"/>
    <w:uiPriority w:val="99"/>
    <w:rsid w:val="00AC3B85"/>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AC3B85"/>
    <w:pPr>
      <w:tabs>
        <w:tab w:val="center" w:pos="4419"/>
        <w:tab w:val="right" w:pos="8838"/>
      </w:tabs>
      <w:spacing w:line="240" w:lineRule="auto"/>
    </w:pPr>
    <w:rPr>
      <w:rFonts w:ascii="Times New Roman" w:hAnsi="Times New Roman" w:cs="Times New Roman"/>
      <w:szCs w:val="24"/>
      <w:lang w:val="es-ES" w:eastAsia="es-ES"/>
    </w:rPr>
  </w:style>
  <w:style w:type="character" w:customStyle="1" w:styleId="PiedepginaCar">
    <w:name w:val="Pie de página Car"/>
    <w:basedOn w:val="Fuentedeprrafopredeter"/>
    <w:link w:val="Piedepgina"/>
    <w:uiPriority w:val="99"/>
    <w:rsid w:val="00AC3B85"/>
    <w:rPr>
      <w:rFonts w:ascii="Times New Roman" w:eastAsia="Calibri" w:hAnsi="Times New Roman" w:cs="Times New Roman"/>
      <w:sz w:val="24"/>
      <w:szCs w:val="24"/>
      <w:lang w:val="es-ES" w:eastAsia="es-ES"/>
    </w:rPr>
  </w:style>
  <w:style w:type="paragraph" w:customStyle="1" w:styleId="Fundamentos">
    <w:name w:val="Fundamentos"/>
    <w:basedOn w:val="Normal"/>
    <w:qFormat/>
    <w:rsid w:val="00AC3B85"/>
    <w:pPr>
      <w:pBdr>
        <w:top w:val="nil"/>
        <w:left w:val="nil"/>
        <w:bottom w:val="nil"/>
        <w:right w:val="nil"/>
        <w:between w:val="nil"/>
      </w:pBdr>
      <w:spacing w:line="240" w:lineRule="auto"/>
      <w:ind w:left="567" w:right="567"/>
      <w:contextualSpacing/>
    </w:pPr>
    <w:rPr>
      <w:rFonts w:eastAsia="Palatino Linotype" w:cs="Palatino Linotype"/>
      <w:i/>
      <w:color w:val="000000"/>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14</Pages>
  <Words>3104</Words>
  <Characters>17078</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20142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INFOEM365</dc:creator>
  <cp:keywords/>
  <dc:description/>
  <cp:lastModifiedBy>INFOEM557</cp:lastModifiedBy>
  <cp:revision>4</cp:revision>
  <dcterms:created xsi:type="dcterms:W3CDTF">2025-02-27T15:45:00Z</dcterms:created>
  <dcterms:modified xsi:type="dcterms:W3CDTF">2025-03-12T17:58:00Z</dcterms:modified>
</cp:coreProperties>
</file>