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Resolución del Pleno del Instituto de Transparencia, Acceso a la Información Pública y Protección de Datos Personales del Estado de México y Municipios, con domicilio en Metepec, Estado de México, a diecinueve de febrero de dos mil veinticinco. </w:t>
      </w:r>
    </w:p>
    <w:p w:rsidR="00000000" w:rsidDel="00000000" w:rsidP="00000000" w:rsidRDefault="00000000" w:rsidRPr="00000000" w14:paraId="00000002">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VISTO</w:t>
      </w:r>
      <w:r w:rsidDel="00000000" w:rsidR="00000000" w:rsidRPr="00000000">
        <w:rPr>
          <w:rFonts w:ascii="Palatino Linotype" w:cs="Palatino Linotype" w:eastAsia="Palatino Linotype" w:hAnsi="Palatino Linotype"/>
          <w:sz w:val="22"/>
          <w:szCs w:val="22"/>
          <w:rtl w:val="0"/>
        </w:rPr>
        <w:t xml:space="preserve"> el expediente formado con motivo del recurso de revisión </w:t>
      </w:r>
      <w:r w:rsidDel="00000000" w:rsidR="00000000" w:rsidRPr="00000000">
        <w:rPr>
          <w:rFonts w:ascii="Palatino Linotype" w:cs="Palatino Linotype" w:eastAsia="Palatino Linotype" w:hAnsi="Palatino Linotype"/>
          <w:b w:val="1"/>
          <w:sz w:val="22"/>
          <w:szCs w:val="22"/>
          <w:rtl w:val="0"/>
        </w:rPr>
        <w:t xml:space="preserve">00314/INFOEM/IP/RR/2025</w:t>
      </w:r>
      <w:r w:rsidDel="00000000" w:rsidR="00000000" w:rsidRPr="00000000">
        <w:rPr>
          <w:rFonts w:ascii="Palatino Linotype" w:cs="Palatino Linotype" w:eastAsia="Palatino Linotype" w:hAnsi="Palatino Linotype"/>
          <w:sz w:val="22"/>
          <w:szCs w:val="22"/>
          <w:rtl w:val="0"/>
        </w:rPr>
        <w:t xml:space="preserve">, interpuesto por </w:t>
      </w:r>
      <w:r w:rsidDel="00000000" w:rsidR="00000000" w:rsidRPr="00000000">
        <w:rPr>
          <w:rFonts w:ascii="Palatino Linotype" w:cs="Palatino Linotype" w:eastAsia="Palatino Linotype" w:hAnsi="Palatino Linotype"/>
          <w:b w:val="1"/>
          <w:sz w:val="22"/>
          <w:szCs w:val="22"/>
          <w:rtl w:val="0"/>
        </w:rPr>
        <w:t xml:space="preserve">XXXXXXXXXX XXXXXXXXXXXX,</w:t>
      </w:r>
      <w:r w:rsidDel="00000000" w:rsidR="00000000" w:rsidRPr="00000000">
        <w:rPr>
          <w:rFonts w:ascii="Palatino Linotype" w:cs="Palatino Linotype" w:eastAsia="Palatino Linotype" w:hAnsi="Palatino Linotype"/>
          <w:sz w:val="22"/>
          <w:szCs w:val="22"/>
          <w:rtl w:val="0"/>
        </w:rPr>
        <w:t xml:space="preserve"> al cual en lo sucesivo se le denominara la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en contra de la respuesta a su solicitud por parte del </w:t>
      </w:r>
      <w:r w:rsidDel="00000000" w:rsidR="00000000" w:rsidRPr="00000000">
        <w:rPr>
          <w:rFonts w:ascii="Palatino Linotype" w:cs="Palatino Linotype" w:eastAsia="Palatino Linotype" w:hAnsi="Palatino Linotype"/>
          <w:b w:val="1"/>
          <w:sz w:val="22"/>
          <w:szCs w:val="22"/>
          <w:rtl w:val="0"/>
        </w:rPr>
        <w:t xml:space="preserve">Instituto de Seguridad Social del Estado de México y Municipios, </w:t>
      </w:r>
      <w:r w:rsidDel="00000000" w:rsidR="00000000" w:rsidRPr="00000000">
        <w:rPr>
          <w:rFonts w:ascii="Palatino Linotype" w:cs="Palatino Linotype" w:eastAsia="Palatino Linotype" w:hAnsi="Palatino Linotype"/>
          <w:sz w:val="22"/>
          <w:szCs w:val="22"/>
          <w:rtl w:val="0"/>
        </w:rPr>
        <w:t xml:space="preserve">en lo sucesivo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se procede a dictar la presente resolución con base en los siguientes: </w:t>
      </w:r>
    </w:p>
    <w:p w:rsidR="00000000" w:rsidDel="00000000" w:rsidP="00000000" w:rsidRDefault="00000000" w:rsidRPr="00000000" w14:paraId="00000003">
      <w:pPr>
        <w:spacing w:after="240" w:before="240" w:line="360" w:lineRule="auto"/>
        <w:jc w:val="cente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I. A N T E C E D E N T E S</w:t>
      </w:r>
    </w:p>
    <w:p w:rsidR="00000000" w:rsidDel="00000000" w:rsidP="00000000" w:rsidRDefault="00000000" w:rsidRPr="00000000" w14:paraId="00000004">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1. Solicitud de acceso a la información.</w:t>
      </w:r>
      <w:r w:rsidDel="00000000" w:rsidR="00000000" w:rsidRPr="00000000">
        <w:rPr>
          <w:rFonts w:ascii="Palatino Linotype" w:cs="Palatino Linotype" w:eastAsia="Palatino Linotype" w:hAnsi="Palatino Linotype"/>
          <w:sz w:val="22"/>
          <w:szCs w:val="22"/>
          <w:rtl w:val="0"/>
        </w:rPr>
        <w:t xml:space="preserve"> Con fecha </w:t>
      </w:r>
      <w:r w:rsidDel="00000000" w:rsidR="00000000" w:rsidRPr="00000000">
        <w:rPr>
          <w:rFonts w:ascii="Palatino Linotype" w:cs="Palatino Linotype" w:eastAsia="Palatino Linotype" w:hAnsi="Palatino Linotype"/>
          <w:b w:val="1"/>
          <w:sz w:val="22"/>
          <w:szCs w:val="22"/>
          <w:rtl w:val="0"/>
        </w:rPr>
        <w:t xml:space="preserve">trece de enero de dos mil veinticinco,</w:t>
      </w:r>
      <w:r w:rsidDel="00000000" w:rsidR="00000000" w:rsidRPr="00000000">
        <w:rPr>
          <w:rFonts w:ascii="Palatino Linotype" w:cs="Palatino Linotype" w:eastAsia="Palatino Linotype" w:hAnsi="Palatino Linotype"/>
          <w:sz w:val="22"/>
          <w:szCs w:val="22"/>
          <w:rtl w:val="0"/>
        </w:rPr>
        <w:t xml:space="preserve"> se tuvo por presentada, a través del Sistema de Acceso a la Información Mexiquense, en lo subsecuente el </w:t>
      </w:r>
      <w:r w:rsidDel="00000000" w:rsidR="00000000" w:rsidRPr="00000000">
        <w:rPr>
          <w:rFonts w:ascii="Palatino Linotype" w:cs="Palatino Linotype" w:eastAsia="Palatino Linotype" w:hAnsi="Palatino Linotype"/>
          <w:b w:val="1"/>
          <w:sz w:val="22"/>
          <w:szCs w:val="22"/>
          <w:rtl w:val="0"/>
        </w:rPr>
        <w:t xml:space="preserve">SAIMEX,</w:t>
      </w:r>
      <w:r w:rsidDel="00000000" w:rsidR="00000000" w:rsidRPr="00000000">
        <w:rPr>
          <w:rFonts w:ascii="Palatino Linotype" w:cs="Palatino Linotype" w:eastAsia="Palatino Linotype" w:hAnsi="Palatino Linotype"/>
          <w:sz w:val="22"/>
          <w:szCs w:val="22"/>
          <w:rtl w:val="0"/>
        </w:rPr>
        <w:t xml:space="preserve"> ante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la solicitud de acceso a la información pública, a la que se le asignó el número</w:t>
      </w:r>
      <w:r w:rsidDel="00000000" w:rsidR="00000000" w:rsidRPr="00000000">
        <w:rPr>
          <w:rFonts w:ascii="Palatino Linotype" w:cs="Palatino Linotype" w:eastAsia="Palatino Linotype" w:hAnsi="Palatino Linotype"/>
          <w:b w:val="1"/>
          <w:sz w:val="22"/>
          <w:szCs w:val="22"/>
          <w:rtl w:val="0"/>
        </w:rPr>
        <w:t xml:space="preserve"> 00021/ISSEMYM/IP/2025, </w:t>
      </w:r>
      <w:r w:rsidDel="00000000" w:rsidR="00000000" w:rsidRPr="00000000">
        <w:rPr>
          <w:rFonts w:ascii="Palatino Linotype" w:cs="Palatino Linotype" w:eastAsia="Palatino Linotype" w:hAnsi="Palatino Linotype"/>
          <w:sz w:val="22"/>
          <w:szCs w:val="22"/>
          <w:rtl w:val="0"/>
        </w:rPr>
        <w:t xml:space="preserve">mediante la cual se requirió la información siguiente: </w:t>
      </w:r>
    </w:p>
    <w:p w:rsidR="00000000" w:rsidDel="00000000" w:rsidP="00000000" w:rsidRDefault="00000000" w:rsidRPr="00000000" w14:paraId="00000005">
      <w:pPr>
        <w:spacing w:before="240" w:lineRule="auto"/>
        <w:ind w:left="851" w:right="616" w:firstLine="0"/>
        <w:jc w:val="both"/>
        <w:rPr>
          <w:rFonts w:ascii="Palatino Linotype" w:cs="Palatino Linotype" w:eastAsia="Palatino Linotype" w:hAnsi="Palatino Linotype"/>
          <w:i w:val="1"/>
          <w:sz w:val="22"/>
          <w:szCs w:val="22"/>
        </w:rPr>
      </w:pPr>
      <w:bookmarkStart w:colFirst="0" w:colLast="0" w:name="_heading=h.gjdgxs" w:id="0"/>
      <w:bookmarkEnd w:id="0"/>
      <w:r w:rsidDel="00000000" w:rsidR="00000000" w:rsidRPr="00000000">
        <w:rPr>
          <w:rFonts w:ascii="Palatino Linotype" w:cs="Palatino Linotype" w:eastAsia="Palatino Linotype" w:hAnsi="Palatino Linotype"/>
          <w:i w:val="1"/>
          <w:sz w:val="22"/>
          <w:szCs w:val="22"/>
          <w:rtl w:val="0"/>
        </w:rPr>
        <w:t xml:space="preserve">“Solicito baja de pago de pensión del C. Palemon Eduardo Martinez Gutierrez, debido a que es actual Director de Administración del Ayuntamiento de Otzolotepec 2025-2027.” (Sic)</w:t>
      </w:r>
    </w:p>
    <w:p w:rsidR="00000000" w:rsidDel="00000000" w:rsidP="00000000" w:rsidRDefault="00000000" w:rsidRPr="00000000" w14:paraId="00000006">
      <w:pPr>
        <w:ind w:left="851" w:right="902"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07">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Modalidad de Entrega:</w:t>
      </w:r>
      <w:r w:rsidDel="00000000" w:rsidR="00000000" w:rsidRPr="00000000">
        <w:rPr>
          <w:rFonts w:ascii="Palatino Linotype" w:cs="Palatino Linotype" w:eastAsia="Palatino Linotype" w:hAnsi="Palatino Linotype"/>
          <w:sz w:val="22"/>
          <w:szCs w:val="22"/>
          <w:rtl w:val="0"/>
        </w:rPr>
        <w:t xml:space="preserve"> a través del Sistema de Acceso a la Información Mexiquense. </w:t>
      </w:r>
    </w:p>
    <w:p w:rsidR="00000000" w:rsidDel="00000000" w:rsidP="00000000" w:rsidRDefault="00000000" w:rsidRPr="00000000" w14:paraId="00000008">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09">
      <w:pPr>
        <w:spacing w:after="240" w:line="36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2. Respuesta. </w:t>
      </w:r>
      <w:r w:rsidDel="00000000" w:rsidR="00000000" w:rsidRPr="00000000">
        <w:rPr>
          <w:rFonts w:ascii="Palatino Linotype" w:cs="Palatino Linotype" w:eastAsia="Palatino Linotype" w:hAnsi="Palatino Linotype"/>
          <w:sz w:val="22"/>
          <w:szCs w:val="22"/>
          <w:rtl w:val="0"/>
        </w:rPr>
        <w:t xml:space="preserve">Con fecha </w:t>
      </w:r>
      <w:r w:rsidDel="00000000" w:rsidR="00000000" w:rsidRPr="00000000">
        <w:rPr>
          <w:rFonts w:ascii="Palatino Linotype" w:cs="Palatino Linotype" w:eastAsia="Palatino Linotype" w:hAnsi="Palatino Linotype"/>
          <w:b w:val="1"/>
          <w:sz w:val="22"/>
          <w:szCs w:val="22"/>
          <w:rtl w:val="0"/>
        </w:rPr>
        <w:t xml:space="preserve">veinticuatro de enero de dos mil veinticinco</w:t>
      </w:r>
      <w:r w:rsidDel="00000000" w:rsidR="00000000" w:rsidRPr="00000000">
        <w:rPr>
          <w:rFonts w:ascii="Palatino Linotype" w:cs="Palatino Linotype" w:eastAsia="Palatino Linotype" w:hAnsi="Palatino Linotype"/>
          <w:sz w:val="22"/>
          <w:szCs w:val="22"/>
          <w:rtl w:val="0"/>
        </w:rPr>
        <w:t xml:space="preserve">,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envió su respuesta a la solicitud de acceso a la información a través de SAIMEX, sustancialmente en los términos siguientes:   </w:t>
      </w:r>
      <w:r w:rsidDel="00000000" w:rsidR="00000000" w:rsidRPr="00000000">
        <w:rPr>
          <w:rtl w:val="0"/>
        </w:rPr>
      </w:r>
    </w:p>
    <w:p w:rsidR="00000000" w:rsidDel="00000000" w:rsidP="00000000" w:rsidRDefault="00000000" w:rsidRPr="00000000" w14:paraId="0000000A">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respuesta a la solicitud recibida, nos permitimos hacer de su conocimiento que con fundamento en el artículo 53, Fracciones: II, V y VI de la Ley de Transparencia y Acceso a la Información Pública del Estado de México y Municipios, le contestamos que:</w:t>
      </w:r>
    </w:p>
    <w:p w:rsidR="00000000" w:rsidDel="00000000" w:rsidP="00000000" w:rsidRDefault="00000000" w:rsidRPr="00000000" w14:paraId="0000000B">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Como archivos adjuntos, encontrará el oficio que dará respuesta a su solicitud de información. Para cualquier duda o aclaración respecto a la presente respuesta, nos ponemos a sus órdenes en el teléfono (01722) 2261900 extensiones 1434072 y 1434073. MUY IMPORTANTE: Se hace de su conocimiento que, hasta nuevo aviso, por la contingencia sanitaria el horario para trámites en el Módulo de Transparencia es de 9: 00 a 15:00 horas. Es indispensable que al presentarse lo realice con cubrebocas y pluma o bolígrafo personal, como medidas de seguridad sanitaria.</w:t>
      </w:r>
    </w:p>
    <w:p w:rsidR="00000000" w:rsidDel="00000000" w:rsidP="00000000" w:rsidRDefault="00000000" w:rsidRPr="00000000" w14:paraId="0000000C">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ATENTAMENTE</w:t>
      </w:r>
    </w:p>
    <w:p w:rsidR="00000000" w:rsidDel="00000000" w:rsidP="00000000" w:rsidRDefault="00000000" w:rsidRPr="00000000" w14:paraId="0000000D">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LIC. EN PLANEACION TERRITORIAL ABRAHAM ISRAEL BADIA VARGAS” (Sic)</w:t>
      </w:r>
    </w:p>
    <w:p w:rsidR="00000000" w:rsidDel="00000000" w:rsidP="00000000" w:rsidRDefault="00000000" w:rsidRPr="00000000" w14:paraId="0000000E">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0F">
      <w:pPr>
        <w:spacing w:after="240" w:before="240" w:line="360" w:lineRule="auto"/>
        <w:ind w:right="49"/>
        <w:jc w:val="both"/>
        <w:rPr>
          <w:rFonts w:ascii="Palatino Linotype" w:cs="Palatino Linotype" w:eastAsia="Palatino Linotype" w:hAnsi="Palatino Linotype"/>
          <w:sz w:val="22"/>
          <w:szCs w:val="22"/>
        </w:rPr>
      </w:pPr>
      <w:bookmarkStart w:colFirst="0" w:colLast="0" w:name="_heading=h.1fob9te" w:id="1"/>
      <w:bookmarkEnd w:id="1"/>
      <w:r w:rsidDel="00000000" w:rsidR="00000000" w:rsidRPr="00000000">
        <w:rPr>
          <w:rFonts w:ascii="Palatino Linotype" w:cs="Palatino Linotype" w:eastAsia="Palatino Linotype" w:hAnsi="Palatino Linotype"/>
          <w:sz w:val="22"/>
          <w:szCs w:val="22"/>
          <w:rtl w:val="0"/>
        </w:rPr>
        <w:t xml:space="preserve">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adjuntó el archivo electrónico denominado </w:t>
      </w:r>
      <w:r w:rsidDel="00000000" w:rsidR="00000000" w:rsidRPr="00000000">
        <w:rPr>
          <w:rFonts w:ascii="Palatino Linotype" w:cs="Palatino Linotype" w:eastAsia="Palatino Linotype" w:hAnsi="Palatino Linotype"/>
          <w:b w:val="1"/>
          <w:i w:val="1"/>
          <w:sz w:val="22"/>
          <w:szCs w:val="22"/>
          <w:rtl w:val="0"/>
        </w:rPr>
        <w:t xml:space="preserve">“RESPUESTA 021.IP.2025.pdf”</w:t>
      </w:r>
      <w:r w:rsidDel="00000000" w:rsidR="00000000" w:rsidRPr="00000000">
        <w:rPr>
          <w:rFonts w:ascii="Palatino Linotype" w:cs="Palatino Linotype" w:eastAsia="Palatino Linotype" w:hAnsi="Palatino Linotype"/>
          <w:sz w:val="22"/>
          <w:szCs w:val="22"/>
          <w:rtl w:val="0"/>
        </w:rPr>
        <w:t xml:space="preserve">, el cual contiene el oficio número 207C0401210001S-UT-133/2025 de fecha veintidós de enero de dos mil veinticinco, signado por el Titular de la Unidad de Transparencia mediante el cual informó la respuesta del Jefe de Departamento de Pensiones adscrito a la Coordinación de Prestaciones y Seguridad Social, en el que expresó: </w:t>
      </w:r>
    </w:p>
    <w:p w:rsidR="00000000" w:rsidDel="00000000" w:rsidP="00000000" w:rsidRDefault="00000000" w:rsidRPr="00000000" w14:paraId="00000010">
      <w:pPr>
        <w:spacing w:after="240" w:before="240"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“informó a usted que en términos del artículo 68 del Reglamento de Prestaciones de este Instituto de Seguridad Social, el procedimiento para solicitar la suspensión de la pensión por reingreso al servicio público, deberá iniciarse mediante formatos previamente establecidos por el Instituto (solicitud de suspensión de pensión) a través de la Unidad u oficina de Atención al Derechohabiente que corresponda a cada solicitante, ubicables a través de la siguiente liga electrónica. </w:t>
      </w:r>
    </w:p>
    <w:p w:rsidR="00000000" w:rsidDel="00000000" w:rsidP="00000000" w:rsidRDefault="00000000" w:rsidRPr="00000000" w14:paraId="00000011">
      <w:pPr>
        <w:spacing w:after="240" w:before="240" w:line="276" w:lineRule="auto"/>
        <w:ind w:left="851" w:right="616" w:firstLine="0"/>
        <w:jc w:val="center"/>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Pr>
        <w:drawing>
          <wp:inline distB="0" distT="0" distL="0" distR="0">
            <wp:extent cx="4671082" cy="436462"/>
            <wp:effectExtent b="0" l="0" r="0" t="0"/>
            <wp:docPr id="1973524156"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4671082" cy="436462"/>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spacing w:after="240" w:before="240"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Asimismo informó a usted que la solicitud de suspensión de pensión deberá ser sesionada por el Comité de Pensiones a efecto de emitirse el documento correspondiente el cual le deberá ser debidamente notificado al solicitante.”</w:t>
      </w:r>
    </w:p>
    <w:p w:rsidR="00000000" w:rsidDel="00000000" w:rsidP="00000000" w:rsidRDefault="00000000" w:rsidRPr="00000000" w14:paraId="00000013">
      <w:pPr>
        <w:spacing w:after="240" w:before="240"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3. Interposición del recurso de revisión. </w:t>
      </w:r>
      <w:r w:rsidDel="00000000" w:rsidR="00000000" w:rsidRPr="00000000">
        <w:rPr>
          <w:rFonts w:ascii="Palatino Linotype" w:cs="Palatino Linotype" w:eastAsia="Palatino Linotype" w:hAnsi="Palatino Linotype"/>
          <w:sz w:val="22"/>
          <w:szCs w:val="22"/>
          <w:rtl w:val="0"/>
        </w:rPr>
        <w:t xml:space="preserve">Inconforme con los términos de la respuesta emitida por parte del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el </w:t>
      </w:r>
      <w:r w:rsidDel="00000000" w:rsidR="00000000" w:rsidRPr="00000000">
        <w:rPr>
          <w:rFonts w:ascii="Palatino Linotype" w:cs="Palatino Linotype" w:eastAsia="Palatino Linotype" w:hAnsi="Palatino Linotype"/>
          <w:b w:val="1"/>
          <w:sz w:val="22"/>
          <w:szCs w:val="22"/>
          <w:rtl w:val="0"/>
        </w:rPr>
        <w:t xml:space="preserve">veintiocho de enero de dos mil veinticinco,</w:t>
      </w:r>
      <w:r w:rsidDel="00000000" w:rsidR="00000000" w:rsidRPr="00000000">
        <w:rPr>
          <w:rFonts w:ascii="Palatino Linotype" w:cs="Palatino Linotype" w:eastAsia="Palatino Linotype" w:hAnsi="Palatino Linotype"/>
          <w:sz w:val="22"/>
          <w:szCs w:val="22"/>
          <w:rtl w:val="0"/>
        </w:rPr>
        <w:t xml:space="preserve">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interpuso el recurso de revisión a través de </w:t>
      </w:r>
      <w:r w:rsidDel="00000000" w:rsidR="00000000" w:rsidRPr="00000000">
        <w:rPr>
          <w:rFonts w:ascii="Palatino Linotype" w:cs="Palatino Linotype" w:eastAsia="Palatino Linotype" w:hAnsi="Palatino Linotype"/>
          <w:b w:val="1"/>
          <w:sz w:val="22"/>
          <w:szCs w:val="22"/>
          <w:rtl w:val="0"/>
        </w:rPr>
        <w:t xml:space="preserve">SAIMEX, </w:t>
      </w:r>
      <w:r w:rsidDel="00000000" w:rsidR="00000000" w:rsidRPr="00000000">
        <w:rPr>
          <w:rFonts w:ascii="Palatino Linotype" w:cs="Palatino Linotype" w:eastAsia="Palatino Linotype" w:hAnsi="Palatino Linotype"/>
          <w:sz w:val="22"/>
          <w:szCs w:val="22"/>
          <w:rtl w:val="0"/>
        </w:rPr>
        <w:t xml:space="preserve">en donde se manifestó de la siguiente manera:</w:t>
      </w:r>
    </w:p>
    <w:p w:rsidR="00000000" w:rsidDel="00000000" w:rsidP="00000000" w:rsidRDefault="00000000" w:rsidRPr="00000000" w14:paraId="00000014">
      <w:pPr>
        <w:tabs>
          <w:tab w:val="left" w:leader="none" w:pos="2745"/>
        </w:tabs>
        <w:spacing w:line="360" w:lineRule="auto"/>
        <w:ind w:left="851" w:right="616"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Acto impugnado: </w:t>
      </w:r>
    </w:p>
    <w:p w:rsidR="00000000" w:rsidDel="00000000" w:rsidP="00000000" w:rsidRDefault="00000000" w:rsidRPr="00000000" w14:paraId="00000015">
      <w:pPr>
        <w:tabs>
          <w:tab w:val="left" w:leader="none" w:pos="2745"/>
        </w:tabs>
        <w:spacing w:line="360"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“Solicitó baja de pensión del C. Palemon Eduardo Martinez Gutierrez, en atención a su reingreso al servicio público del Ayuntamiento de Otzolotepec como Director de Administración desde el 01 de Enero 2025, o en su debido caso notificar a la contraloría para que se investigue porque se le sigue pagando pensión."” (Sic)</w:t>
      </w:r>
    </w:p>
    <w:p w:rsidR="00000000" w:rsidDel="00000000" w:rsidP="00000000" w:rsidRDefault="00000000" w:rsidRPr="00000000" w14:paraId="00000016">
      <w:pPr>
        <w:tabs>
          <w:tab w:val="left" w:leader="none" w:pos="2745"/>
        </w:tabs>
        <w:spacing w:line="360"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17">
      <w:pPr>
        <w:spacing w:line="360" w:lineRule="auto"/>
        <w:ind w:left="851" w:right="616" w:firstLine="0"/>
        <w:jc w:val="both"/>
        <w:rPr>
          <w:rFonts w:ascii="Palatino Linotype" w:cs="Palatino Linotype" w:eastAsia="Palatino Linotype" w:hAnsi="Palatino Linotype"/>
          <w:sz w:val="22"/>
          <w:szCs w:val="22"/>
        </w:rPr>
      </w:pPr>
      <w:bookmarkStart w:colFirst="0" w:colLast="0" w:name="_heading=h.3znysh7" w:id="2"/>
      <w:bookmarkEnd w:id="2"/>
      <w:r w:rsidDel="00000000" w:rsidR="00000000" w:rsidRPr="00000000">
        <w:rPr>
          <w:rFonts w:ascii="Palatino Linotype" w:cs="Palatino Linotype" w:eastAsia="Palatino Linotype" w:hAnsi="Palatino Linotype"/>
          <w:b w:val="1"/>
          <w:sz w:val="22"/>
          <w:szCs w:val="22"/>
          <w:rtl w:val="0"/>
        </w:rPr>
        <w:t xml:space="preserve">Y Razones o motivos de inconformidad</w:t>
      </w:r>
      <w:r w:rsidDel="00000000" w:rsidR="00000000" w:rsidRPr="00000000">
        <w:rPr>
          <w:rFonts w:ascii="Palatino Linotype" w:cs="Palatino Linotype" w:eastAsia="Palatino Linotype" w:hAnsi="Palatino Linotype"/>
          <w:sz w:val="22"/>
          <w:szCs w:val="22"/>
          <w:rtl w:val="0"/>
        </w:rPr>
        <w:t xml:space="preserve">. </w:t>
      </w:r>
    </w:p>
    <w:p w:rsidR="00000000" w:rsidDel="00000000" w:rsidP="00000000" w:rsidRDefault="00000000" w:rsidRPr="00000000" w14:paraId="00000018">
      <w:pPr>
        <w:tabs>
          <w:tab w:val="left" w:leader="none" w:pos="2745"/>
        </w:tabs>
        <w:spacing w:line="360" w:lineRule="auto"/>
        <w:ind w:left="851" w:right="616" w:firstLine="0"/>
        <w:jc w:val="both"/>
        <w:rPr>
          <w:rFonts w:ascii="Palatino Linotype" w:cs="Palatino Linotype" w:eastAsia="Palatino Linotype" w:hAnsi="Palatino Linotype"/>
          <w:i w:val="1"/>
          <w:sz w:val="22"/>
          <w:szCs w:val="22"/>
        </w:rPr>
      </w:pPr>
      <w:bookmarkStart w:colFirst="0" w:colLast="0" w:name="_heading=h.30j0zll" w:id="3"/>
      <w:bookmarkEnd w:id="3"/>
      <w:r w:rsidDel="00000000" w:rsidR="00000000" w:rsidRPr="00000000">
        <w:rPr>
          <w:rFonts w:ascii="Palatino Linotype" w:cs="Palatino Linotype" w:eastAsia="Palatino Linotype" w:hAnsi="Palatino Linotype"/>
          <w:i w:val="1"/>
          <w:sz w:val="22"/>
          <w:szCs w:val="22"/>
          <w:rtl w:val="0"/>
        </w:rPr>
        <w:t xml:space="preserve">“Solicitó baja de pensión del C. Palemon Eduardo Martinez Gutierrez, en atención a su reingreso al servicio público del Ayuntamiento de Otzolotepec como Director de Administración desde el 01 de Enero 2025, o en su debido caso notificar a la contraloría para que se investigue porque se le sigue pagando pensión.” (Sic)</w:t>
      </w:r>
    </w:p>
    <w:p w:rsidR="00000000" w:rsidDel="00000000" w:rsidP="00000000" w:rsidRDefault="00000000" w:rsidRPr="00000000" w14:paraId="00000019">
      <w:pPr>
        <w:spacing w:line="360" w:lineRule="auto"/>
        <w:ind w:right="51"/>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1A">
      <w:pPr>
        <w:spacing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4. Turno. </w:t>
      </w:r>
      <w:r w:rsidDel="00000000" w:rsidR="00000000" w:rsidRPr="00000000">
        <w:rPr>
          <w:rFonts w:ascii="Palatino Linotype" w:cs="Palatino Linotype" w:eastAsia="Palatino Linotype" w:hAnsi="Palatino Linotype"/>
          <w:sz w:val="22"/>
          <w:szCs w:val="22"/>
          <w:rtl w:val="0"/>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Del="00000000" w:rsidR="00000000" w:rsidRPr="00000000">
        <w:rPr>
          <w:rFonts w:ascii="Palatino Linotype" w:cs="Palatino Linotype" w:eastAsia="Palatino Linotype" w:hAnsi="Palatino Linotype"/>
          <w:b w:val="1"/>
          <w:sz w:val="22"/>
          <w:szCs w:val="22"/>
          <w:rtl w:val="0"/>
        </w:rPr>
        <w:t xml:space="preserve">Guadalupe Ramírez Peña, </w:t>
      </w:r>
      <w:r w:rsidDel="00000000" w:rsidR="00000000" w:rsidRPr="00000000">
        <w:rPr>
          <w:rFonts w:ascii="Palatino Linotype" w:cs="Palatino Linotype" w:eastAsia="Palatino Linotype" w:hAnsi="Palatino Linotype"/>
          <w:sz w:val="22"/>
          <w:szCs w:val="22"/>
          <w:rtl w:val="0"/>
        </w:rPr>
        <w:t xml:space="preserve">a efecto de que analizará sobre su admisión o su desechamiento.</w:t>
      </w:r>
    </w:p>
    <w:p w:rsidR="00000000" w:rsidDel="00000000" w:rsidP="00000000" w:rsidRDefault="00000000" w:rsidRPr="00000000" w14:paraId="0000001B">
      <w:pPr>
        <w:spacing w:line="360" w:lineRule="auto"/>
        <w:ind w:right="51"/>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1C">
      <w:pPr>
        <w:spacing w:after="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5. Admisión del Recurso de revisión.</w:t>
      </w:r>
      <w:r w:rsidDel="00000000" w:rsidR="00000000" w:rsidRPr="00000000">
        <w:rPr>
          <w:rFonts w:ascii="Palatino Linotype" w:cs="Palatino Linotype" w:eastAsia="Palatino Linotype" w:hAnsi="Palatino Linotype"/>
          <w:sz w:val="22"/>
          <w:szCs w:val="22"/>
          <w:rtl w:val="0"/>
        </w:rPr>
        <w:t xml:space="preserve"> Con fecha</w:t>
      </w:r>
      <w:r w:rsidDel="00000000" w:rsidR="00000000" w:rsidRPr="00000000">
        <w:rPr>
          <w:rFonts w:ascii="Palatino Linotype" w:cs="Palatino Linotype" w:eastAsia="Palatino Linotype" w:hAnsi="Palatino Linotype"/>
          <w:b w:val="1"/>
          <w:sz w:val="22"/>
          <w:szCs w:val="22"/>
          <w:rtl w:val="0"/>
        </w:rPr>
        <w:t xml:space="preserve"> treinta y uno de enero de dos mil veinticinco, </w:t>
      </w:r>
      <w:r w:rsidDel="00000000" w:rsidR="00000000" w:rsidRPr="00000000">
        <w:rPr>
          <w:rFonts w:ascii="Palatino Linotype" w:cs="Palatino Linotype" w:eastAsia="Palatino Linotype" w:hAnsi="Palatino Linotype"/>
          <w:sz w:val="22"/>
          <w:szCs w:val="22"/>
          <w:rtl w:val="0"/>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presentará su informe justificado.</w:t>
      </w:r>
    </w:p>
    <w:p w:rsidR="00000000" w:rsidDel="00000000" w:rsidP="00000000" w:rsidRDefault="00000000" w:rsidRPr="00000000" w14:paraId="0000001D">
      <w:pPr>
        <w:spacing w:after="240" w:before="240" w:line="360" w:lineRule="auto"/>
        <w:jc w:val="both"/>
        <w:rPr>
          <w:rFonts w:ascii="Palatino Linotype" w:cs="Palatino Linotype" w:eastAsia="Palatino Linotype" w:hAnsi="Palatino Linotype"/>
          <w:b w:val="1"/>
          <w:sz w:val="22"/>
          <w:szCs w:val="22"/>
        </w:rPr>
      </w:pPr>
      <w:bookmarkStart w:colFirst="0" w:colLast="0" w:name="_heading=h.2et92p0" w:id="4"/>
      <w:bookmarkEnd w:id="4"/>
      <w:r w:rsidDel="00000000" w:rsidR="00000000" w:rsidRPr="00000000">
        <w:rPr>
          <w:rFonts w:ascii="Palatino Linotype" w:cs="Palatino Linotype" w:eastAsia="Palatino Linotype" w:hAnsi="Palatino Linotype"/>
          <w:b w:val="1"/>
          <w:sz w:val="22"/>
          <w:szCs w:val="22"/>
          <w:rtl w:val="0"/>
        </w:rPr>
        <w:t xml:space="preserve">6. Manifestaciones</w:t>
      </w:r>
      <w:r w:rsidDel="00000000" w:rsidR="00000000" w:rsidRPr="00000000">
        <w:rPr>
          <w:rFonts w:ascii="Palatino Linotype" w:cs="Palatino Linotype" w:eastAsia="Palatino Linotype" w:hAnsi="Palatino Linotype"/>
          <w:sz w:val="22"/>
          <w:szCs w:val="22"/>
          <w:rtl w:val="0"/>
        </w:rPr>
        <w:t xml:space="preserve">. De las constancias que integran el expediente en que se actúa se advierte que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en fecha</w:t>
      </w:r>
      <w:r w:rsidDel="00000000" w:rsidR="00000000" w:rsidRPr="00000000">
        <w:rPr>
          <w:rFonts w:ascii="Palatino Linotype" w:cs="Palatino Linotype" w:eastAsia="Palatino Linotype" w:hAnsi="Palatino Linotype"/>
          <w:b w:val="1"/>
          <w:sz w:val="22"/>
          <w:szCs w:val="22"/>
          <w:rtl w:val="0"/>
        </w:rPr>
        <w:t xml:space="preserve"> doce de febrero del año en curso, </w:t>
      </w:r>
      <w:r w:rsidDel="00000000" w:rsidR="00000000" w:rsidRPr="00000000">
        <w:rPr>
          <w:rFonts w:ascii="Palatino Linotype" w:cs="Palatino Linotype" w:eastAsia="Palatino Linotype" w:hAnsi="Palatino Linotype"/>
          <w:sz w:val="22"/>
          <w:szCs w:val="22"/>
          <w:rtl w:val="0"/>
        </w:rPr>
        <w:t xml:space="preserve">remitió los siguientes archivos electrónicos: </w:t>
      </w:r>
      <w:r w:rsidDel="00000000" w:rsidR="00000000" w:rsidRPr="00000000">
        <w:rPr>
          <w:rtl w:val="0"/>
        </w:rPr>
      </w:r>
    </w:p>
    <w:p w:rsidR="00000000" w:rsidDel="00000000" w:rsidP="00000000" w:rsidRDefault="00000000" w:rsidRPr="00000000" w14:paraId="0000001E">
      <w:pPr>
        <w:numPr>
          <w:ilvl w:val="0"/>
          <w:numId w:val="2"/>
        </w:numPr>
        <w:pBdr>
          <w:top w:space="0" w:sz="0" w:val="nil"/>
          <w:left w:space="0" w:sz="0" w:val="nil"/>
          <w:bottom w:space="0" w:sz="0" w:val="nil"/>
          <w:right w:space="0" w:sz="0" w:val="nil"/>
          <w:between w:space="0" w:sz="0" w:val="nil"/>
        </w:pBdr>
        <w:spacing w:before="240" w:line="360" w:lineRule="auto"/>
        <w:ind w:left="720" w:right="616" w:hanging="360"/>
        <w:jc w:val="both"/>
        <w:rPr>
          <w:rFonts w:ascii="Palatino Linotype" w:cs="Palatino Linotype" w:eastAsia="Palatino Linotype" w:hAnsi="Palatino Linotype"/>
          <w:sz w:val="22"/>
          <w:szCs w:val="22"/>
        </w:rPr>
      </w:pPr>
      <w:bookmarkStart w:colFirst="0" w:colLast="0" w:name="_heading=h.3dy6vkm" w:id="5"/>
      <w:bookmarkEnd w:id="5"/>
      <w:r w:rsidDel="00000000" w:rsidR="00000000" w:rsidRPr="00000000">
        <w:rPr>
          <w:rFonts w:ascii="Palatino Linotype" w:cs="Palatino Linotype" w:eastAsia="Palatino Linotype" w:hAnsi="Palatino Linotype"/>
          <w:b w:val="1"/>
          <w:i w:val="1"/>
          <w:sz w:val="22"/>
          <w:szCs w:val="22"/>
          <w:rtl w:val="0"/>
        </w:rPr>
        <w:t xml:space="preserve">OFICIO 1476 PENSIONES.pdf:</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Oficio número 207C0401520101L/Dp/1476/2025 de fecha treinta y uno de enero de dos mil veinticinco, signado por el Jefe de Departamento de Pensiones, a través del cual informó que de acuerdo a la verificación del Sistema de Nómina de Pensionados y Pensionistas de este Instituto, los pagos de pensión correspondientes a la primera y segunda quincena del mes de enero del año en curso, aún le fueron depositados, derivado de lo cual se procederá a su recuperación bancaria a través de la Subdirección de Tesorería de este Instituto; asimismo, se procederá a retener los pago de la pensión a partir de la primera quincena del mes de febrero del año en curso, hasta en tanto se realiza el trámite de suspensión por el interesado. </w:t>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line="360" w:lineRule="auto"/>
        <w:ind w:left="720" w:right="616"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0">
      <w:pPr>
        <w:numPr>
          <w:ilvl w:val="0"/>
          <w:numId w:val="2"/>
        </w:numPr>
        <w:pBdr>
          <w:top w:space="0" w:sz="0" w:val="nil"/>
          <w:left w:space="0" w:sz="0" w:val="nil"/>
          <w:bottom w:space="0" w:sz="0" w:val="nil"/>
          <w:right w:space="0" w:sz="0" w:val="nil"/>
          <w:between w:space="0" w:sz="0" w:val="nil"/>
        </w:pBdr>
        <w:spacing w:line="360" w:lineRule="auto"/>
        <w:ind w:left="720" w:right="616" w:hanging="36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i w:val="1"/>
          <w:sz w:val="22"/>
          <w:szCs w:val="22"/>
          <w:rtl w:val="0"/>
        </w:rPr>
        <w:t xml:space="preserve">INFORME JUSTIFICADO 21.IP 2025.pdf</w:t>
      </w:r>
      <w:r w:rsidDel="00000000" w:rsidR="00000000" w:rsidRPr="00000000">
        <w:rPr>
          <w:rFonts w:ascii="Palatino Linotype" w:cs="Palatino Linotype" w:eastAsia="Palatino Linotype" w:hAnsi="Palatino Linotype"/>
          <w:sz w:val="22"/>
          <w:szCs w:val="22"/>
          <w:rtl w:val="0"/>
        </w:rPr>
        <w:t xml:space="preserve">: Oficio número 207C0401210001S-UT-204/2025 de fecha cinco de febrero de dos mil veinticinco, signado por el Titular de la Unidad de Transparencia mediante el cual informó que en alcance al oficio número 207C0401520101L/Dp/1476/2025 de fecha treinta y uno de enero de dos mil veinticinco, el Jefe de Departamento de Pensiones informó que: </w:t>
      </w:r>
    </w:p>
    <w:p w:rsidR="00000000" w:rsidDel="00000000" w:rsidP="00000000" w:rsidRDefault="00000000" w:rsidRPr="00000000" w14:paraId="00000021">
      <w:pPr>
        <w:pBdr>
          <w:top w:space="0" w:sz="0" w:val="nil"/>
          <w:left w:space="0" w:sz="0" w:val="nil"/>
          <w:bottom w:space="0" w:sz="0" w:val="nil"/>
          <w:right w:space="0" w:sz="0" w:val="nil"/>
          <w:between w:space="0" w:sz="0" w:val="nil"/>
        </w:pBdr>
        <w:ind w:left="720" w:firstLine="0"/>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2">
      <w:pPr>
        <w:pBdr>
          <w:top w:space="0" w:sz="0" w:val="nil"/>
          <w:left w:space="0" w:sz="0" w:val="nil"/>
          <w:bottom w:space="0" w:sz="0" w:val="nil"/>
          <w:right w:space="0" w:sz="0" w:val="nil"/>
          <w:between w:space="0" w:sz="0" w:val="nil"/>
        </w:pBdr>
        <w:spacing w:line="276" w:lineRule="auto"/>
        <w:ind w:left="1134"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“Que el momento en que este departamento se entera si un pensionado ha causado alta nuevamente en el servicio público, sucede cuando el área de </w:t>
      </w:r>
      <w:r w:rsidDel="00000000" w:rsidR="00000000" w:rsidRPr="00000000">
        <w:rPr>
          <w:rFonts w:ascii="Palatino Linotype" w:cs="Palatino Linotype" w:eastAsia="Palatino Linotype" w:hAnsi="Palatino Linotype"/>
          <w:b w:val="1"/>
          <w:i w:val="1"/>
          <w:sz w:val="22"/>
          <w:szCs w:val="22"/>
          <w:rtl w:val="0"/>
        </w:rPr>
        <w:t xml:space="preserve">Ventanilla Única de Atención Integral a Instituciones Públicas </w:t>
      </w:r>
      <w:r w:rsidDel="00000000" w:rsidR="00000000" w:rsidRPr="00000000">
        <w:rPr>
          <w:rFonts w:ascii="Palatino Linotype" w:cs="Palatino Linotype" w:eastAsia="Palatino Linotype" w:hAnsi="Palatino Linotype"/>
          <w:i w:val="1"/>
          <w:sz w:val="22"/>
          <w:szCs w:val="22"/>
          <w:rtl w:val="0"/>
        </w:rPr>
        <w:t xml:space="preserve">así lo informa a este Departamento o bien, cuando llega la solicitud de suspensión de pensión, situaciones que </w:t>
      </w:r>
      <w:r w:rsidDel="00000000" w:rsidR="00000000" w:rsidRPr="00000000">
        <w:rPr>
          <w:rFonts w:ascii="Palatino Linotype" w:cs="Palatino Linotype" w:eastAsia="Palatino Linotype" w:hAnsi="Palatino Linotype"/>
          <w:b w:val="1"/>
          <w:i w:val="1"/>
          <w:sz w:val="22"/>
          <w:szCs w:val="22"/>
          <w:rtl w:val="0"/>
        </w:rPr>
        <w:t xml:space="preserve">en el caso que no ocupa</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no se han presentado al día de la fecha</w:t>
      </w:r>
      <w:r w:rsidDel="00000000" w:rsidR="00000000" w:rsidRPr="00000000">
        <w:rPr>
          <w:rFonts w:ascii="Palatino Linotype" w:cs="Palatino Linotype" w:eastAsia="Palatino Linotype" w:hAnsi="Palatino Linotype"/>
          <w:i w:val="1"/>
          <w:sz w:val="22"/>
          <w:szCs w:val="22"/>
          <w:rtl w:val="0"/>
        </w:rPr>
        <w:t xml:space="preserve">. </w:t>
      </w:r>
    </w:p>
    <w:p w:rsidR="00000000" w:rsidDel="00000000" w:rsidP="00000000" w:rsidRDefault="00000000" w:rsidRPr="00000000" w14:paraId="00000023">
      <w:pPr>
        <w:pBdr>
          <w:top w:space="0" w:sz="0" w:val="nil"/>
          <w:left w:space="0" w:sz="0" w:val="nil"/>
          <w:bottom w:space="0" w:sz="0" w:val="nil"/>
          <w:right w:space="0" w:sz="0" w:val="nil"/>
          <w:between w:space="0" w:sz="0" w:val="nil"/>
        </w:pBdr>
        <w:spacing w:line="276" w:lineRule="auto"/>
        <w:ind w:left="1134" w:right="616" w:firstLine="0"/>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24">
      <w:pPr>
        <w:pBdr>
          <w:top w:space="0" w:sz="0" w:val="nil"/>
          <w:left w:space="0" w:sz="0" w:val="nil"/>
          <w:bottom w:space="0" w:sz="0" w:val="nil"/>
          <w:right w:space="0" w:sz="0" w:val="nil"/>
          <w:between w:space="0" w:sz="0" w:val="nil"/>
        </w:pBdr>
        <w:spacing w:line="276" w:lineRule="auto"/>
        <w:ind w:left="1134"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Sin embargo, derivado de que el solicitante interpuso el recurso de revisión, reiterando solicitar la baja de pensión, incluso refiriendo que la persona referida reingreso al servicio público a partir del 01 de enero de 2025 y que en su caso, se le diera vista al Órgano de Control Interno para que se investigara porque se le seguía pagando pensión, es por lo que a través del oficio 207C0401520101L/Dp/1476/2025 este Departamento informó que se </w:t>
      </w:r>
      <w:r w:rsidDel="00000000" w:rsidR="00000000" w:rsidRPr="00000000">
        <w:rPr>
          <w:rFonts w:ascii="Palatino Linotype" w:cs="Palatino Linotype" w:eastAsia="Palatino Linotype" w:hAnsi="Palatino Linotype"/>
          <w:b w:val="1"/>
          <w:i w:val="1"/>
          <w:sz w:val="22"/>
          <w:szCs w:val="22"/>
          <w:rtl w:val="0"/>
        </w:rPr>
        <w:t xml:space="preserve">procedería a la retención de la liberación del pago de pensión a partir de la primera quincena del mes de febrero del año en curso</w:t>
      </w:r>
      <w:r w:rsidDel="00000000" w:rsidR="00000000" w:rsidRPr="00000000">
        <w:rPr>
          <w:rFonts w:ascii="Palatino Linotype" w:cs="Palatino Linotype" w:eastAsia="Palatino Linotype" w:hAnsi="Palatino Linotype"/>
          <w:i w:val="1"/>
          <w:sz w:val="22"/>
          <w:szCs w:val="22"/>
          <w:rtl w:val="0"/>
        </w:rPr>
        <w:t xml:space="preserve">; pues se informó que para efecto de suspender el pago de pensión y darlo de baja de la nómina de Pensionados y Pensionistas de este Instituto, necesariamente el interesado deberá realizar el trámite de suspensión de pensión previsto en el artículo 78 de la Ley vigente de Seguridad Social para los Servidores Públicos del Estado de México y Municipios, a través del cual obtendrá un Dictamen de suspensión de pensión.”</w:t>
      </w:r>
    </w:p>
    <w:p w:rsidR="00000000" w:rsidDel="00000000" w:rsidP="00000000" w:rsidRDefault="00000000" w:rsidRPr="00000000" w14:paraId="00000025">
      <w:pPr>
        <w:pBdr>
          <w:top w:space="0" w:sz="0" w:val="nil"/>
          <w:left w:space="0" w:sz="0" w:val="nil"/>
          <w:bottom w:space="0" w:sz="0" w:val="nil"/>
          <w:right w:space="0" w:sz="0" w:val="nil"/>
          <w:between w:space="0" w:sz="0" w:val="nil"/>
        </w:pBdr>
        <w:ind w:left="720" w:firstLine="0"/>
        <w:jc w:val="center"/>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w:t>
      </w:r>
    </w:p>
    <w:p w:rsidR="00000000" w:rsidDel="00000000" w:rsidP="00000000" w:rsidRDefault="00000000" w:rsidRPr="00000000" w14:paraId="00000026">
      <w:pPr>
        <w:pBdr>
          <w:top w:space="0" w:sz="0" w:val="nil"/>
          <w:left w:space="0" w:sz="0" w:val="nil"/>
          <w:bottom w:space="0" w:sz="0" w:val="nil"/>
          <w:right w:space="0" w:sz="0" w:val="nil"/>
          <w:between w:space="0" w:sz="0" w:val="nil"/>
        </w:pBdr>
        <w:ind w:left="720"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7">
      <w:pPr>
        <w:numPr>
          <w:ilvl w:val="0"/>
          <w:numId w:val="2"/>
        </w:numPr>
        <w:pBdr>
          <w:top w:space="0" w:sz="0" w:val="nil"/>
          <w:left w:space="0" w:sz="0" w:val="nil"/>
          <w:bottom w:space="0" w:sz="0" w:val="nil"/>
          <w:right w:space="0" w:sz="0" w:val="nil"/>
          <w:between w:space="0" w:sz="0" w:val="nil"/>
        </w:pBdr>
        <w:spacing w:line="276" w:lineRule="auto"/>
        <w:ind w:left="720" w:right="616" w:hanging="36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OFICIO 518 PENSIONES.pdf</w:t>
      </w:r>
      <w:r w:rsidDel="00000000" w:rsidR="00000000" w:rsidRPr="00000000">
        <w:rPr>
          <w:rFonts w:ascii="Palatino Linotype" w:cs="Palatino Linotype" w:eastAsia="Palatino Linotype" w:hAnsi="Palatino Linotype"/>
          <w:sz w:val="22"/>
          <w:szCs w:val="22"/>
          <w:rtl w:val="0"/>
        </w:rPr>
        <w:t xml:space="preserve">: Oficio número </w:t>
      </w:r>
      <w:r w:rsidDel="00000000" w:rsidR="00000000" w:rsidRPr="00000000">
        <w:rPr>
          <w:rFonts w:ascii="Palatino Linotype" w:cs="Palatino Linotype" w:eastAsia="Palatino Linotype" w:hAnsi="Palatino Linotype"/>
          <w:i w:val="1"/>
          <w:sz w:val="22"/>
          <w:szCs w:val="22"/>
          <w:rtl w:val="0"/>
        </w:rPr>
        <w:t xml:space="preserve">207C0401520101L/Dp/518/2025 </w:t>
      </w:r>
      <w:r w:rsidDel="00000000" w:rsidR="00000000" w:rsidRPr="00000000">
        <w:rPr>
          <w:rFonts w:ascii="Palatino Linotype" w:cs="Palatino Linotype" w:eastAsia="Palatino Linotype" w:hAnsi="Palatino Linotype"/>
          <w:sz w:val="22"/>
          <w:szCs w:val="22"/>
          <w:rtl w:val="0"/>
        </w:rPr>
        <w:t xml:space="preserve">de fecha catorce de enero de dos mil veinticinco, signado por el Jefe de Departamento de Pensiones, el cual refirió: “</w:t>
      </w:r>
      <w:r w:rsidDel="00000000" w:rsidR="00000000" w:rsidRPr="00000000">
        <w:rPr>
          <w:rFonts w:ascii="Palatino Linotype" w:cs="Palatino Linotype" w:eastAsia="Palatino Linotype" w:hAnsi="Palatino Linotype"/>
          <w:i w:val="1"/>
          <w:sz w:val="22"/>
          <w:szCs w:val="22"/>
          <w:rtl w:val="0"/>
        </w:rPr>
        <w:t xml:space="preserve">informó a usted que en términos del artículo 68 del Reglamento de Prestaciones de este Instituto de Seguridad Social, el procedimiento para solicitar la suspensión de la pensión por reingreso al servicio público, deberá iniciarse mediante formatos previamente establecidos por el Instituto (solicitud de suspensión de pensión) a través de la Unidad u oficina de Atención al Derechohabiente que corresponda a cada solicitante, ubicables a través de la siguiente liga electrónica. </w:t>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line="276" w:lineRule="auto"/>
        <w:ind w:left="720"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Pr>
        <w:drawing>
          <wp:inline distB="0" distT="0" distL="0" distR="0">
            <wp:extent cx="4791744" cy="447737"/>
            <wp:effectExtent b="0" l="0" r="0" t="0"/>
            <wp:docPr id="1973524159"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4791744" cy="447737"/>
                    </a:xfrm>
                    <a:prstGeom prst="rect"/>
                    <a:ln/>
                  </pic:spPr>
                </pic:pic>
              </a:graphicData>
            </a:graphic>
          </wp:inline>
        </w:drawing>
      </w:r>
      <w:r w:rsidDel="00000000" w:rsidR="00000000" w:rsidRPr="00000000">
        <w:rPr>
          <w:rtl w:val="0"/>
        </w:rPr>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line="276" w:lineRule="auto"/>
        <w:ind w:left="720"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Asimismo informó a usted que la solicitud de suspensión de pensión deberá ser sesionada por el Comité de Pensiones a efecto de emitirse el documento correspondiente el cual le deberá ser debidamente notificado al solicitante.</w:t>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line="276" w:lineRule="auto"/>
        <w:ind w:left="720"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2B">
      <w:pPr>
        <w:pBdr>
          <w:top w:space="0" w:sz="0" w:val="nil"/>
          <w:left w:space="0" w:sz="0" w:val="nil"/>
          <w:bottom w:space="0" w:sz="0" w:val="nil"/>
          <w:right w:space="0" w:sz="0" w:val="nil"/>
          <w:between w:space="0" w:sz="0" w:val="nil"/>
        </w:pBdr>
        <w:spacing w:line="276" w:lineRule="auto"/>
        <w:ind w:left="720"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cuanto a los requisitos documentales, de acuerdo con las funciones de los numerales 207C0401520100L y 207C0401520101L del Manual General de Organización del Instituto de Seguridad Social del Estado de México y Municipios, no es información propia de este departamento, por lo que no se cuenta con ella”. </w:t>
      </w:r>
    </w:p>
    <w:p w:rsidR="00000000" w:rsidDel="00000000" w:rsidP="00000000" w:rsidRDefault="00000000" w:rsidRPr="00000000" w14:paraId="0000002C">
      <w:pPr>
        <w:pBdr>
          <w:top w:space="0" w:sz="0" w:val="nil"/>
          <w:left w:space="0" w:sz="0" w:val="nil"/>
          <w:bottom w:space="0" w:sz="0" w:val="nil"/>
          <w:right w:space="0" w:sz="0" w:val="nil"/>
          <w:between w:space="0" w:sz="0" w:val="nil"/>
        </w:pBdr>
        <w:ind w:left="720" w:firstLine="0"/>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D">
      <w:pPr>
        <w:numPr>
          <w:ilvl w:val="0"/>
          <w:numId w:val="2"/>
        </w:numPr>
        <w:pBdr>
          <w:top w:space="0" w:sz="0" w:val="nil"/>
          <w:left w:space="0" w:sz="0" w:val="nil"/>
          <w:bottom w:space="0" w:sz="0" w:val="nil"/>
          <w:right w:space="0" w:sz="0" w:val="nil"/>
          <w:between w:space="0" w:sz="0" w:val="nil"/>
        </w:pBdr>
        <w:spacing w:line="360" w:lineRule="auto"/>
        <w:ind w:left="720" w:right="616" w:hanging="36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i w:val="1"/>
          <w:sz w:val="22"/>
          <w:szCs w:val="22"/>
          <w:rtl w:val="0"/>
        </w:rPr>
        <w:t xml:space="preserve">OFICIO 161-UT.pdf:</w:t>
      </w:r>
      <w:r w:rsidDel="00000000" w:rsidR="00000000" w:rsidRPr="00000000">
        <w:rPr>
          <w:rFonts w:ascii="Palatino Linotype" w:cs="Palatino Linotype" w:eastAsia="Palatino Linotype" w:hAnsi="Palatino Linotype"/>
          <w:sz w:val="22"/>
          <w:szCs w:val="22"/>
          <w:rtl w:val="0"/>
        </w:rPr>
        <w:t xml:space="preserve"> Oficio de fecha veintiocho de enero de dos mil veinticinco signado por el Titular de la Unidad de Transparencia mediante el cual solicita a la Servidora Pública Habilitada de la Coordinación de Prestaciones y Seguridad Social proporcione la información solicitada o manifieste lo que a su derecho convenga. </w:t>
      </w:r>
    </w:p>
    <w:p w:rsidR="00000000" w:rsidDel="00000000" w:rsidP="00000000" w:rsidRDefault="00000000" w:rsidRPr="00000000" w14:paraId="0000002E">
      <w:pPr>
        <w:pBdr>
          <w:top w:space="0" w:sz="0" w:val="nil"/>
          <w:left w:space="0" w:sz="0" w:val="nil"/>
          <w:bottom w:space="0" w:sz="0" w:val="nil"/>
          <w:right w:space="0" w:sz="0" w:val="nil"/>
          <w:between w:space="0" w:sz="0" w:val="nil"/>
        </w:pBdr>
        <w:ind w:left="720" w:firstLine="0"/>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F">
      <w:pPr>
        <w:numPr>
          <w:ilvl w:val="0"/>
          <w:numId w:val="2"/>
        </w:numPr>
        <w:pBdr>
          <w:top w:space="0" w:sz="0" w:val="nil"/>
          <w:left w:space="0" w:sz="0" w:val="nil"/>
          <w:bottom w:space="0" w:sz="0" w:val="nil"/>
          <w:right w:space="0" w:sz="0" w:val="nil"/>
          <w:between w:space="0" w:sz="0" w:val="nil"/>
        </w:pBdr>
        <w:spacing w:line="360" w:lineRule="auto"/>
        <w:ind w:left="720" w:right="616" w:hanging="36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i w:val="1"/>
          <w:sz w:val="22"/>
          <w:szCs w:val="22"/>
          <w:rtl w:val="0"/>
        </w:rPr>
        <w:t xml:space="preserve">OFICIO 133-UT.pdf</w:t>
      </w:r>
      <w:r w:rsidDel="00000000" w:rsidR="00000000" w:rsidRPr="00000000">
        <w:rPr>
          <w:rFonts w:ascii="Palatino Linotype" w:cs="Palatino Linotype" w:eastAsia="Palatino Linotype" w:hAnsi="Palatino Linotype"/>
          <w:sz w:val="22"/>
          <w:szCs w:val="22"/>
          <w:rtl w:val="0"/>
        </w:rPr>
        <w:t xml:space="preserve">: Oficio de fecha veintidós de enero de dos mil veinticinco signado por el Titular de la Unidad de Transparencia mediante el cual informa al solicitante la respuesta. </w:t>
      </w:r>
    </w:p>
    <w:p w:rsidR="00000000" w:rsidDel="00000000" w:rsidP="00000000" w:rsidRDefault="00000000" w:rsidRPr="00000000" w14:paraId="00000030">
      <w:pPr>
        <w:pBdr>
          <w:top w:space="0" w:sz="0" w:val="nil"/>
          <w:left w:space="0" w:sz="0" w:val="nil"/>
          <w:bottom w:space="0" w:sz="0" w:val="nil"/>
          <w:right w:space="0" w:sz="0" w:val="nil"/>
          <w:between w:space="0" w:sz="0" w:val="nil"/>
        </w:pBdr>
        <w:ind w:left="720" w:firstLine="0"/>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1">
      <w:pPr>
        <w:numPr>
          <w:ilvl w:val="0"/>
          <w:numId w:val="2"/>
        </w:numPr>
        <w:pBdr>
          <w:top w:space="0" w:sz="0" w:val="nil"/>
          <w:left w:space="0" w:sz="0" w:val="nil"/>
          <w:bottom w:space="0" w:sz="0" w:val="nil"/>
          <w:right w:space="0" w:sz="0" w:val="nil"/>
          <w:between w:space="0" w:sz="0" w:val="nil"/>
        </w:pBdr>
        <w:spacing w:line="360" w:lineRule="auto"/>
        <w:ind w:left="720" w:right="616" w:hanging="36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i w:val="1"/>
          <w:sz w:val="22"/>
          <w:szCs w:val="22"/>
          <w:rtl w:val="0"/>
        </w:rPr>
        <w:t xml:space="preserve">OFICIO 1794 PENSIONES.pdf</w:t>
      </w:r>
      <w:r w:rsidDel="00000000" w:rsidR="00000000" w:rsidRPr="00000000">
        <w:rPr>
          <w:rFonts w:ascii="Palatino Linotype" w:cs="Palatino Linotype" w:eastAsia="Palatino Linotype" w:hAnsi="Palatino Linotype"/>
          <w:sz w:val="22"/>
          <w:szCs w:val="22"/>
          <w:rtl w:val="0"/>
        </w:rPr>
        <w:t xml:space="preserve">: Oficio de fecha siete de febrero de dos mil veinticinco signado por </w:t>
      </w:r>
      <w:r w:rsidDel="00000000" w:rsidR="00000000" w:rsidRPr="00000000">
        <w:rPr>
          <w:rFonts w:ascii="Palatino Linotype" w:cs="Palatino Linotype" w:eastAsia="Palatino Linotype" w:hAnsi="Palatino Linotype"/>
          <w:b w:val="1"/>
          <w:sz w:val="22"/>
          <w:szCs w:val="22"/>
          <w:u w:val="single"/>
          <w:rtl w:val="0"/>
        </w:rPr>
        <w:t xml:space="preserve">el Jefe de Departamento de Pensiones, mediante el cual informó que el momento en que este departamento se entera si un pensionado ha causado alta nuevamente en el servicio público, sucede cuando el área de Ventanilla Única de Atención Integral a Instituciones Públicas así lo informa a este Departamento o bien, cuando llega la solicitud de suspensión de pensión, situaciones que en el caso que no ocupa no se han presentado al día de la fecha.</w:t>
      </w:r>
      <w:r w:rsidDel="00000000" w:rsidR="00000000" w:rsidRPr="00000000">
        <w:rPr>
          <w:rFonts w:ascii="Palatino Linotype" w:cs="Palatino Linotype" w:eastAsia="Palatino Linotype" w:hAnsi="Palatino Linotype"/>
          <w:sz w:val="22"/>
          <w:szCs w:val="22"/>
          <w:rtl w:val="0"/>
        </w:rPr>
        <w:t xml:space="preserve"> </w:t>
      </w:r>
    </w:p>
    <w:p w:rsidR="00000000" w:rsidDel="00000000" w:rsidP="00000000" w:rsidRDefault="00000000" w:rsidRPr="00000000" w14:paraId="00000032">
      <w:pPr>
        <w:pBdr>
          <w:top w:space="0" w:sz="0" w:val="nil"/>
          <w:left w:space="0" w:sz="0" w:val="nil"/>
          <w:bottom w:space="0" w:sz="0" w:val="nil"/>
          <w:right w:space="0" w:sz="0" w:val="nil"/>
          <w:between w:space="0" w:sz="0" w:val="nil"/>
        </w:pBdr>
        <w:spacing w:line="360" w:lineRule="auto"/>
        <w:ind w:left="720" w:right="616"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3">
      <w:pPr>
        <w:pBdr>
          <w:top w:space="0" w:sz="0" w:val="nil"/>
          <w:left w:space="0" w:sz="0" w:val="nil"/>
          <w:bottom w:space="0" w:sz="0" w:val="nil"/>
          <w:right w:space="0" w:sz="0" w:val="nil"/>
          <w:between w:space="0" w:sz="0" w:val="nil"/>
        </w:pBdr>
        <w:spacing w:line="360" w:lineRule="auto"/>
        <w:ind w:left="720" w:right="616"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Sin embargo, derivado de que el solicitante interpuso el recurso de revisión, reiterando solicitar la baja de pensión, incluso refiriendo que la persona referida reingreso al servicio público a partir del 01 de enero de 2025 y que en su caso, se le diera vista al Órgano de Control Interno para que se investigara porque se le seguía pagando pensión, es por lo que a través del oficio 207C0401520101L/Dp/1476/2025 este Departamento informó que </w:t>
      </w:r>
      <w:r w:rsidDel="00000000" w:rsidR="00000000" w:rsidRPr="00000000">
        <w:rPr>
          <w:rFonts w:ascii="Palatino Linotype" w:cs="Palatino Linotype" w:eastAsia="Palatino Linotype" w:hAnsi="Palatino Linotype"/>
          <w:b w:val="1"/>
          <w:sz w:val="22"/>
          <w:szCs w:val="22"/>
          <w:rtl w:val="0"/>
        </w:rPr>
        <w:t xml:space="preserve">se procedería a la retención de la liberación del pago de pensión</w:t>
      </w:r>
      <w:r w:rsidDel="00000000" w:rsidR="00000000" w:rsidRPr="00000000">
        <w:rPr>
          <w:rFonts w:ascii="Palatino Linotype" w:cs="Palatino Linotype" w:eastAsia="Palatino Linotype" w:hAnsi="Palatino Linotype"/>
          <w:sz w:val="22"/>
          <w:szCs w:val="22"/>
          <w:rtl w:val="0"/>
        </w:rPr>
        <w:t xml:space="preserve"> </w:t>
      </w:r>
      <w:r w:rsidDel="00000000" w:rsidR="00000000" w:rsidRPr="00000000">
        <w:rPr>
          <w:rFonts w:ascii="Palatino Linotype" w:cs="Palatino Linotype" w:eastAsia="Palatino Linotype" w:hAnsi="Palatino Linotype"/>
          <w:b w:val="1"/>
          <w:sz w:val="22"/>
          <w:szCs w:val="22"/>
          <w:rtl w:val="0"/>
        </w:rPr>
        <w:t xml:space="preserve">a partir de la primera quincena del mes de febrero del año en curso</w:t>
      </w:r>
      <w:r w:rsidDel="00000000" w:rsidR="00000000" w:rsidRPr="00000000">
        <w:rPr>
          <w:rFonts w:ascii="Palatino Linotype" w:cs="Palatino Linotype" w:eastAsia="Palatino Linotype" w:hAnsi="Palatino Linotype"/>
          <w:sz w:val="22"/>
          <w:szCs w:val="22"/>
          <w:rtl w:val="0"/>
        </w:rPr>
        <w:t xml:space="preserve">; pues se informó que </w:t>
      </w:r>
      <w:r w:rsidDel="00000000" w:rsidR="00000000" w:rsidRPr="00000000">
        <w:rPr>
          <w:rFonts w:ascii="Palatino Linotype" w:cs="Palatino Linotype" w:eastAsia="Palatino Linotype" w:hAnsi="Palatino Linotype"/>
          <w:b w:val="1"/>
          <w:sz w:val="22"/>
          <w:szCs w:val="22"/>
          <w:rtl w:val="0"/>
        </w:rPr>
        <w:t xml:space="preserve">para efecto de suspender el pago de pensión y darlo de baja de la nómina de Pensionados y Pensionistas de este Instituto</w:t>
      </w:r>
      <w:r w:rsidDel="00000000" w:rsidR="00000000" w:rsidRPr="00000000">
        <w:rPr>
          <w:rFonts w:ascii="Palatino Linotype" w:cs="Palatino Linotype" w:eastAsia="Palatino Linotype" w:hAnsi="Palatino Linotype"/>
          <w:sz w:val="22"/>
          <w:szCs w:val="22"/>
          <w:rtl w:val="0"/>
        </w:rPr>
        <w:t xml:space="preserve">, necesariamente el interesado deberá realizar el trámite de suspensión de pensión previsto en el artículo 78 de la Ley vigente de Seguridad Social para los Servidores Públicos del Estado de México y Municipios, a través del cual obtendrá un Dictamen de suspensión de pensión. </w:t>
      </w:r>
    </w:p>
    <w:p w:rsidR="00000000" w:rsidDel="00000000" w:rsidP="00000000" w:rsidRDefault="00000000" w:rsidRPr="00000000" w14:paraId="00000034">
      <w:pPr>
        <w:pBdr>
          <w:top w:space="0" w:sz="0" w:val="nil"/>
          <w:left w:space="0" w:sz="0" w:val="nil"/>
          <w:bottom w:space="0" w:sz="0" w:val="nil"/>
          <w:right w:space="0" w:sz="0" w:val="nil"/>
          <w:between w:space="0" w:sz="0" w:val="nil"/>
        </w:pBdr>
        <w:spacing w:line="360" w:lineRule="auto"/>
        <w:ind w:left="720" w:right="616"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5">
      <w:pPr>
        <w:pBdr>
          <w:top w:space="0" w:sz="0" w:val="nil"/>
          <w:left w:space="0" w:sz="0" w:val="nil"/>
          <w:bottom w:space="0" w:sz="0" w:val="nil"/>
          <w:right w:space="0" w:sz="0" w:val="nil"/>
          <w:between w:space="0" w:sz="0" w:val="nil"/>
        </w:pBdr>
        <w:spacing w:line="360" w:lineRule="auto"/>
        <w:ind w:left="720" w:right="616"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señaló que, vía correo electrónico el </w:t>
      </w:r>
      <w:r w:rsidDel="00000000" w:rsidR="00000000" w:rsidRPr="00000000">
        <w:rPr>
          <w:rFonts w:ascii="Palatino Linotype" w:cs="Palatino Linotype" w:eastAsia="Palatino Linotype" w:hAnsi="Palatino Linotype"/>
          <w:b w:val="1"/>
          <w:sz w:val="22"/>
          <w:szCs w:val="22"/>
          <w:u w:val="single"/>
          <w:rtl w:val="0"/>
        </w:rPr>
        <w:t xml:space="preserve">área de Ventanilla Única de Atención Integral a Instituciones Públicas informó que de acuerdo con los datos registrados en los sistemas, hasta la quincena 01 del año 2025 no se cuenta con algún movimiento de alta realizado por el Municipio de Otzolotepec a nombre de la persona referida</w:t>
      </w:r>
      <w:r w:rsidDel="00000000" w:rsidR="00000000" w:rsidRPr="00000000">
        <w:rPr>
          <w:rFonts w:ascii="Palatino Linotype" w:cs="Palatino Linotype" w:eastAsia="Palatino Linotype" w:hAnsi="Palatino Linotype"/>
          <w:sz w:val="22"/>
          <w:szCs w:val="22"/>
          <w:rtl w:val="0"/>
        </w:rPr>
        <w:t xml:space="preserve">. </w:t>
      </w:r>
    </w:p>
    <w:p w:rsidR="00000000" w:rsidDel="00000000" w:rsidP="00000000" w:rsidRDefault="00000000" w:rsidRPr="00000000" w14:paraId="00000036">
      <w:pPr>
        <w:pBdr>
          <w:top w:space="0" w:sz="0" w:val="nil"/>
          <w:left w:space="0" w:sz="0" w:val="nil"/>
          <w:bottom w:space="0" w:sz="0" w:val="nil"/>
          <w:right w:space="0" w:sz="0" w:val="nil"/>
          <w:between w:space="0" w:sz="0" w:val="nil"/>
        </w:pBdr>
        <w:ind w:left="720" w:firstLine="0"/>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7">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Archivos, que se pusieron a la vista de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en fecha </w:t>
      </w:r>
      <w:r w:rsidDel="00000000" w:rsidR="00000000" w:rsidRPr="00000000">
        <w:rPr>
          <w:rFonts w:ascii="Palatino Linotype" w:cs="Palatino Linotype" w:eastAsia="Palatino Linotype" w:hAnsi="Palatino Linotype"/>
          <w:b w:val="1"/>
          <w:sz w:val="22"/>
          <w:szCs w:val="22"/>
          <w:rtl w:val="0"/>
        </w:rPr>
        <w:t xml:space="preserve">doce de febrero de dos mil veinticinco</w:t>
      </w:r>
      <w:r w:rsidDel="00000000" w:rsidR="00000000" w:rsidRPr="00000000">
        <w:rPr>
          <w:rFonts w:ascii="Palatino Linotype" w:cs="Palatino Linotype" w:eastAsia="Palatino Linotype" w:hAnsi="Palatino Linotype"/>
          <w:sz w:val="22"/>
          <w:szCs w:val="22"/>
          <w:rtl w:val="0"/>
        </w:rPr>
        <w:t xml:space="preserve">, en términos de la fracción III del artículo 185 de la Ley de Transparencia y Acceso a la Información Pública del Estado de México y Municipios; para que en el término de tres días manifestara lo que a su derecho convenga, sin que el solicitante hiciera manifestación alguna.</w:t>
      </w:r>
    </w:p>
    <w:p w:rsidR="00000000" w:rsidDel="00000000" w:rsidP="00000000" w:rsidRDefault="00000000" w:rsidRPr="00000000" w14:paraId="00000038">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8. Cierre de instrucción. </w:t>
      </w:r>
      <w:r w:rsidDel="00000000" w:rsidR="00000000" w:rsidRPr="00000000">
        <w:rPr>
          <w:rFonts w:ascii="Palatino Linotype" w:cs="Palatino Linotype" w:eastAsia="Palatino Linotype" w:hAnsi="Palatino Linotype"/>
          <w:sz w:val="22"/>
          <w:szCs w:val="22"/>
          <w:rtl w:val="0"/>
        </w:rPr>
        <w:t xml:space="preserve">Una vez transcurrido el periodo otorgado a las partes para realizar sus manifestaciones y no habiendo documentos que integrar al expediente, con fecha </w:t>
      </w:r>
      <w:r w:rsidDel="00000000" w:rsidR="00000000" w:rsidRPr="00000000">
        <w:rPr>
          <w:rFonts w:ascii="Palatino Linotype" w:cs="Palatino Linotype" w:eastAsia="Palatino Linotype" w:hAnsi="Palatino Linotype"/>
          <w:b w:val="1"/>
          <w:sz w:val="22"/>
          <w:szCs w:val="22"/>
          <w:rtl w:val="0"/>
        </w:rPr>
        <w:t xml:space="preserve">dieciocho de febrero de dos mil veinticinco</w:t>
      </w:r>
      <w:r w:rsidDel="00000000" w:rsidR="00000000" w:rsidRPr="00000000">
        <w:rPr>
          <w:rFonts w:ascii="Palatino Linotype" w:cs="Palatino Linotype" w:eastAsia="Palatino Linotype" w:hAnsi="Palatino Linotype"/>
          <w:sz w:val="22"/>
          <w:szCs w:val="22"/>
          <w:rtl w:val="0"/>
        </w:rPr>
        <w:t xml:space="preserve">,</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la Comisionada Ponente determinó el cierre de instrucción en términos de la fracción VI del artículo 185 de la Ley de Transparencia y Acceso a la Información Pública del Estado de México y Municipios.</w:t>
      </w:r>
    </w:p>
    <w:p w:rsidR="00000000" w:rsidDel="00000000" w:rsidP="00000000" w:rsidRDefault="00000000" w:rsidRPr="00000000" w14:paraId="00000039">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razón de que fue debidamente sustanciado el expediente electrónico y no existe diligencia pendiente de desahogo, se emite la Resolución que conforme a Derecho proceda, de acuerdo con los siguientes: </w:t>
      </w:r>
    </w:p>
    <w:p w:rsidR="00000000" w:rsidDel="00000000" w:rsidP="00000000" w:rsidRDefault="00000000" w:rsidRPr="00000000" w14:paraId="0000003A">
      <w:pPr>
        <w:widowControl w:val="0"/>
        <w:spacing w:line="360" w:lineRule="auto"/>
        <w:jc w:val="cente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II. C O N S I D E R A N D O S</w:t>
      </w:r>
    </w:p>
    <w:p w:rsidR="00000000" w:rsidDel="00000000" w:rsidP="00000000" w:rsidRDefault="00000000" w:rsidRPr="00000000" w14:paraId="0000003B">
      <w:pPr>
        <w:widowControl w:val="0"/>
        <w:pBdr>
          <w:top w:space="0" w:sz="0" w:val="nil"/>
          <w:left w:space="0" w:sz="0" w:val="nil"/>
          <w:bottom w:space="0" w:sz="0" w:val="nil"/>
          <w:right w:space="0" w:sz="0" w:val="nil"/>
          <w:between w:space="0" w:sz="0" w:val="nil"/>
        </w:pBdr>
        <w:spacing w:line="360" w:lineRule="auto"/>
        <w:ind w:left="1080" w:firstLine="0"/>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3C">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Primero. Competencia.</w:t>
      </w:r>
      <w:r w:rsidDel="00000000" w:rsidR="00000000" w:rsidRPr="00000000">
        <w:rPr>
          <w:rFonts w:ascii="Palatino Linotype" w:cs="Palatino Linotype" w:eastAsia="Palatino Linotype" w:hAnsi="Palatino Linotype"/>
          <w:sz w:val="22"/>
          <w:szCs w:val="22"/>
          <w:rtl w:val="0"/>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tercero, trigésimo cuarto y trigésimo quinto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rsidR="00000000" w:rsidDel="00000000" w:rsidP="00000000" w:rsidRDefault="00000000" w:rsidRPr="00000000" w14:paraId="0000003D">
      <w:pPr>
        <w:spacing w:after="240" w:before="240" w:line="360" w:lineRule="auto"/>
        <w:jc w:val="both"/>
        <w:rPr>
          <w:rFonts w:ascii="Palatino Linotype" w:cs="Palatino Linotype" w:eastAsia="Palatino Linotype" w:hAnsi="Palatino Linotype"/>
          <w:sz w:val="22"/>
          <w:szCs w:val="22"/>
        </w:rPr>
      </w:pPr>
      <w:bookmarkStart w:colFirst="0" w:colLast="0" w:name="_heading=h.tyjcwt" w:id="6"/>
      <w:bookmarkEnd w:id="6"/>
      <w:r w:rsidDel="00000000" w:rsidR="00000000" w:rsidRPr="00000000">
        <w:rPr>
          <w:rFonts w:ascii="Palatino Linotype" w:cs="Palatino Linotype" w:eastAsia="Palatino Linotype" w:hAnsi="Palatino Linotype"/>
          <w:b w:val="1"/>
          <w:sz w:val="22"/>
          <w:szCs w:val="22"/>
          <w:rtl w:val="0"/>
        </w:rPr>
        <w:t xml:space="preserve">Segundo. Oportunidad y Procedibilidad del Recurso de Revisión. </w:t>
      </w:r>
      <w:r w:rsidDel="00000000" w:rsidR="00000000" w:rsidRPr="00000000">
        <w:rPr>
          <w:rFonts w:ascii="Palatino Linotype" w:cs="Palatino Linotype" w:eastAsia="Palatino Linotype" w:hAnsi="Palatino Linotype"/>
          <w:sz w:val="22"/>
          <w:szCs w:val="22"/>
          <w:rtl w:val="0"/>
        </w:rPr>
        <w:t xml:space="preserve">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rsidR="00000000" w:rsidDel="00000000" w:rsidP="00000000" w:rsidRDefault="00000000" w:rsidRPr="00000000" w14:paraId="0000003E">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Al respecto la Ley de Transparencia y Acceso a la Información Pública del Estado de México y Municipios, establece lo siguiente:</w:t>
      </w:r>
    </w:p>
    <w:p w:rsidR="00000000" w:rsidDel="00000000" w:rsidP="00000000" w:rsidRDefault="00000000" w:rsidRPr="00000000" w14:paraId="0000003F">
      <w:pPr>
        <w:ind w:left="851" w:right="900"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178. </w:t>
      </w:r>
      <w:r w:rsidDel="00000000" w:rsidR="00000000" w:rsidRPr="00000000">
        <w:rPr>
          <w:rFonts w:ascii="Palatino Linotype" w:cs="Palatino Linotype" w:eastAsia="Palatino Linotype" w:hAnsi="Palatino Linotype"/>
          <w:i w:val="1"/>
          <w:sz w:val="22"/>
          <w:szCs w:val="22"/>
          <w:rtl w:val="0"/>
        </w:rPr>
        <w:t xml:space="preserve">El solicitante podrá interponer, por sí mismo o a través de su representante, de manera directa o por medios electrónicos, recurso de revisión ante el Instituto o ante la Unidad de Transparencia que haya conocido de la solicitud dentro de los quince días hábiles, siguientes a la fecha de la notificación de la respuesta.</w:t>
      </w:r>
    </w:p>
    <w:p w:rsidR="00000000" w:rsidDel="00000000" w:rsidP="00000000" w:rsidRDefault="00000000" w:rsidRPr="00000000" w14:paraId="00000040">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Del precepto legal transcrito, se desprende que cuando los solicitantes de información en el ejercicio del derecho de acceso a la información no se encuentren satisfechos con la información entregada por los sujetos obligados, podrán interponer recurso de revisión de manera directa o por medios electrónicos dentro de los quince días hábiles siguientes a la fecha de notificación de la respuesta, y, toda vez que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remitió la respuesta a la solicitud de información el día </w:t>
      </w:r>
      <w:r w:rsidDel="00000000" w:rsidR="00000000" w:rsidRPr="00000000">
        <w:rPr>
          <w:rFonts w:ascii="Palatino Linotype" w:cs="Palatino Linotype" w:eastAsia="Palatino Linotype" w:hAnsi="Palatino Linotype"/>
          <w:b w:val="1"/>
          <w:sz w:val="22"/>
          <w:szCs w:val="22"/>
          <w:rtl w:val="0"/>
        </w:rPr>
        <w:t xml:space="preserve">veinticuatro de enero de dos mil veinticinco,</w:t>
      </w:r>
      <w:r w:rsidDel="00000000" w:rsidR="00000000" w:rsidRPr="00000000">
        <w:rPr>
          <w:rFonts w:ascii="Palatino Linotype" w:cs="Palatino Linotype" w:eastAsia="Palatino Linotype" w:hAnsi="Palatino Linotype"/>
          <w:sz w:val="22"/>
          <w:szCs w:val="22"/>
          <w:rtl w:val="0"/>
        </w:rPr>
        <w:t xml:space="preserve"> mientras que el recurso de revisión interpuesto por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se tuvo por presentado el día </w:t>
      </w:r>
      <w:r w:rsidDel="00000000" w:rsidR="00000000" w:rsidRPr="00000000">
        <w:rPr>
          <w:rFonts w:ascii="Palatino Linotype" w:cs="Palatino Linotype" w:eastAsia="Palatino Linotype" w:hAnsi="Palatino Linotype"/>
          <w:b w:val="1"/>
          <w:sz w:val="22"/>
          <w:szCs w:val="22"/>
          <w:rtl w:val="0"/>
        </w:rPr>
        <w:t xml:space="preserve">veintiocho de enero del año dos mil veinticinco, </w:t>
      </w:r>
      <w:r w:rsidDel="00000000" w:rsidR="00000000" w:rsidRPr="00000000">
        <w:rPr>
          <w:rFonts w:ascii="Palatino Linotype" w:cs="Palatino Linotype" w:eastAsia="Palatino Linotype" w:hAnsi="Palatino Linotype"/>
          <w:sz w:val="22"/>
          <w:szCs w:val="22"/>
          <w:rtl w:val="0"/>
        </w:rPr>
        <w:t xml:space="preserve">esto es, al cuarto día hábil siguiente en que tuvo conocimiento de la respuesta impugnada.</w:t>
      </w:r>
    </w:p>
    <w:p w:rsidR="00000000" w:rsidDel="00000000" w:rsidP="00000000" w:rsidRDefault="00000000" w:rsidRPr="00000000" w14:paraId="00000041">
      <w:pPr>
        <w:spacing w:after="240" w:before="240"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Así también, por cuanto hace a la procedibilidad del recurso de revisión, una vez realizado el análisis de los formatos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rsidR="00000000" w:rsidDel="00000000" w:rsidP="00000000" w:rsidRDefault="00000000" w:rsidRPr="00000000" w14:paraId="00000042">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resulta procedente la interposición del recurso de revisión al rubro anotado, toda vez que se actualiza las hipótesis previstas en el artículo 179, fracción I de la ley de la materia, que a la letra dice:</w:t>
      </w:r>
    </w:p>
    <w:p w:rsidR="00000000" w:rsidDel="00000000" w:rsidP="00000000" w:rsidRDefault="00000000" w:rsidRPr="00000000" w14:paraId="00000043">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179. </w:t>
      </w:r>
      <w:r w:rsidDel="00000000" w:rsidR="00000000" w:rsidRPr="00000000">
        <w:rPr>
          <w:rFonts w:ascii="Palatino Linotype" w:cs="Palatino Linotype" w:eastAsia="Palatino Linotype" w:hAnsi="Palatino Linotype"/>
          <w:i w:val="1"/>
          <w:sz w:val="22"/>
          <w:szCs w:val="22"/>
          <w:rtl w:val="0"/>
        </w:rPr>
        <w:t xml:space="preserve">El recurso de revisión es un medio de protección que la Ley otorga a los particulares, para hacer valer su derecho de acceso a la información pública, y procederá en contra de las siguientes causas:</w:t>
      </w:r>
    </w:p>
    <w:p w:rsidR="00000000" w:rsidDel="00000000" w:rsidP="00000000" w:rsidRDefault="00000000" w:rsidRPr="00000000" w14:paraId="00000044">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I al III.</w:t>
      </w:r>
    </w:p>
    <w:p w:rsidR="00000000" w:rsidDel="00000000" w:rsidP="00000000" w:rsidRDefault="00000000" w:rsidRPr="00000000" w14:paraId="00000045">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 La negativa a la información solicitada;</w:t>
      </w:r>
      <w:r w:rsidDel="00000000" w:rsidR="00000000" w:rsidRPr="00000000">
        <w:rPr>
          <w:rFonts w:ascii="Palatino Linotype" w:cs="Palatino Linotype" w:eastAsia="Palatino Linotype" w:hAnsi="Palatino Linotype"/>
          <w:i w:val="1"/>
          <w:sz w:val="22"/>
          <w:szCs w:val="22"/>
          <w:rtl w:val="0"/>
        </w:rPr>
        <w:t xml:space="preserve"> </w:t>
      </w:r>
    </w:p>
    <w:p w:rsidR="00000000" w:rsidDel="00000000" w:rsidP="00000000" w:rsidRDefault="00000000" w:rsidRPr="00000000" w14:paraId="00000046">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(Sic)</w:t>
      </w:r>
    </w:p>
    <w:p w:rsidR="00000000" w:rsidDel="00000000" w:rsidP="00000000" w:rsidRDefault="00000000" w:rsidRPr="00000000" w14:paraId="00000047">
      <w:pPr>
        <w:spacing w:after="240" w:before="240" w:line="360" w:lineRule="auto"/>
        <w:ind w:right="6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Tercero. Análisis de las causales de sobreseimiento del recurso de revisión</w:t>
      </w:r>
      <w:r w:rsidDel="00000000" w:rsidR="00000000" w:rsidRPr="00000000">
        <w:rPr>
          <w:rFonts w:ascii="Palatino Linotype" w:cs="Palatino Linotype" w:eastAsia="Palatino Linotype" w:hAnsi="Palatino Linotype"/>
          <w:sz w:val="22"/>
          <w:szCs w:val="22"/>
          <w:rtl w:val="0"/>
        </w:rPr>
        <w:t xml:space="preserve">: Es menester resaltar que en el procedimiento de acceso a la información pública y de los medios de impugnación de la materia, se advierten diversos supuestos de procedibilidad que deben estudiarse con la finalidad de dar cumplimiento a los principios de legalidad y objetividad inmersos en el artículo 9 de Ley de Transparencia y Acceso a la Información Pública del Estado de México y Municipios, en correlación con la seguridad jurídica que debe generar lo actuado ante este Organismo Garante.</w:t>
      </w:r>
      <w:r w:rsidDel="00000000" w:rsidR="00000000" w:rsidRPr="00000000">
        <w:rPr>
          <w:rtl w:val="0"/>
        </w:rPr>
      </w:r>
    </w:p>
    <w:p w:rsidR="00000000" w:rsidDel="00000000" w:rsidP="00000000" w:rsidRDefault="00000000" w:rsidRPr="00000000" w14:paraId="00000048">
      <w:pPr>
        <w:spacing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Siendo una facultad legal entrar al estudio de las causas de improcedencia que hagan valer las partes o que se adviertan de oficio por este Instituto; presupuestos procesales de inicio o trámite de un proceso que dotan de seguridad jurídica las resoluciones emitidas por este organismo colegiado, máxime que se trata de una figura procesal adoptada en la ley de la materia, la cual permite dilucidar alguna causal que impida el estudio y resolución de un asunto en su fondo, cuando una vez admitido el recurso de revisión se advierta una causa de improcedencia que permita sobreseerlo. Estudio de causales de improcedencia que no son incompatibles con el derecho de acceso a la justicia, ya que éste no se coarta por regular causas de improcedencia y sobreseimiento con tales fines.</w:t>
      </w:r>
    </w:p>
    <w:p w:rsidR="00000000" w:rsidDel="00000000" w:rsidP="00000000" w:rsidRDefault="00000000" w:rsidRPr="00000000" w14:paraId="00000049">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4A">
      <w:pPr>
        <w:spacing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 manera preliminar en el caso concreto conviene analizar si se actualiza alguna de las causales de sobreseimiento del recurso de revisión.</w:t>
      </w:r>
    </w:p>
    <w:p w:rsidR="00000000" w:rsidDel="00000000" w:rsidP="00000000" w:rsidRDefault="00000000" w:rsidRPr="00000000" w14:paraId="0000004B">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Ahora bien, del análisis de la solicitud de información pública que motivó el recurso de revisión que ahora se resuelve, se advierte que el particular requirió al Instituto de Seguridad Social del Estado de México y Municipios, lo siguiente:</w:t>
      </w:r>
    </w:p>
    <w:p w:rsidR="00000000" w:rsidDel="00000000" w:rsidP="00000000" w:rsidRDefault="00000000" w:rsidRPr="00000000" w14:paraId="0000004C">
      <w:pPr>
        <w:numPr>
          <w:ilvl w:val="0"/>
          <w:numId w:val="1"/>
        </w:numPr>
        <w:pBdr>
          <w:top w:space="0" w:sz="0" w:val="nil"/>
          <w:left w:space="0" w:sz="0" w:val="nil"/>
          <w:bottom w:space="0" w:sz="0" w:val="nil"/>
          <w:right w:space="0" w:sz="0" w:val="nil"/>
          <w:between w:space="0" w:sz="0" w:val="nil"/>
        </w:pBdr>
        <w:spacing w:line="360" w:lineRule="auto"/>
        <w:ind w:left="851" w:right="616" w:firstLine="0"/>
        <w:jc w:val="both"/>
        <w:rPr>
          <w:rFonts w:ascii="Palatino Linotype" w:cs="Palatino Linotype" w:eastAsia="Palatino Linotype" w:hAnsi="Palatino Linotype"/>
          <w:sz w:val="22"/>
          <w:szCs w:val="22"/>
        </w:rPr>
      </w:pPr>
      <w:bookmarkStart w:colFirst="0" w:colLast="0" w:name="_heading=h.1t3h5sf" w:id="7"/>
      <w:bookmarkEnd w:id="7"/>
      <w:r w:rsidDel="00000000" w:rsidR="00000000" w:rsidRPr="00000000">
        <w:rPr>
          <w:rFonts w:ascii="Palatino Linotype" w:cs="Palatino Linotype" w:eastAsia="Palatino Linotype" w:hAnsi="Palatino Linotype"/>
          <w:sz w:val="22"/>
          <w:szCs w:val="22"/>
          <w:rtl w:val="0"/>
        </w:rPr>
        <w:t xml:space="preserve">Baja de pago de pensión del servidor público referido en la solicitud de información, debido a que es actual Director de Administración del Ayuntamiento de Otzolotepec 2025-2027. </w:t>
      </w:r>
    </w:p>
    <w:p w:rsidR="00000000" w:rsidDel="00000000" w:rsidP="00000000" w:rsidRDefault="00000000" w:rsidRPr="00000000" w14:paraId="0000004D">
      <w:pPr>
        <w:spacing w:after="240" w:before="240"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respuesta, el Jefe de Departamento de Pensiones adscrito a la Coordinación de Prestaciones y Seguridad Social hizo del conocimiento de la persona solicitante que en términos del artículo 68 del Reglamento de Prestaciones de este Instituto de Seguridad Social, el procedimiento para solicitar la suspensión de la pensión por reingreso al servicio público, deberá iniciarse mediante formatos previamente establecidos por el Instituto (solicitud de suspensión de pensión) a través de la Unidad u oficina de Atención al Derechohabiente que corresponda a cada solicitante, ubicables a través de la siguiente liga electrónica: </w:t>
      </w:r>
    </w:p>
    <w:p w:rsidR="00000000" w:rsidDel="00000000" w:rsidP="00000000" w:rsidRDefault="00000000" w:rsidRPr="00000000" w14:paraId="0000004E">
      <w:pPr>
        <w:spacing w:after="240" w:before="240" w:line="360" w:lineRule="auto"/>
        <w:ind w:right="49"/>
        <w:jc w:val="center"/>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i w:val="1"/>
          <w:sz w:val="22"/>
          <w:szCs w:val="22"/>
        </w:rPr>
        <w:drawing>
          <wp:inline distB="0" distT="0" distL="0" distR="0">
            <wp:extent cx="4791744" cy="447737"/>
            <wp:effectExtent b="0" l="0" r="0" t="0"/>
            <wp:docPr id="1973524157"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4791744" cy="447737"/>
                    </a:xfrm>
                    <a:prstGeom prst="rect"/>
                    <a:ln/>
                  </pic:spPr>
                </pic:pic>
              </a:graphicData>
            </a:graphic>
          </wp:inline>
        </w:drawing>
      </w:r>
      <w:r w:rsidDel="00000000" w:rsidR="00000000" w:rsidRPr="00000000">
        <w:rPr>
          <w:rtl w:val="0"/>
        </w:rPr>
      </w:r>
    </w:p>
    <w:p w:rsidR="00000000" w:rsidDel="00000000" w:rsidP="00000000" w:rsidRDefault="00000000" w:rsidRPr="00000000" w14:paraId="0000004F">
      <w:pPr>
        <w:spacing w:after="240" w:before="240"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informó que la solicitud de suspensión de pensión deberá ser sesionada por el Comité de Pensiones a efecto de emitirse el documento correspondiente el cual le deberá ser debidamente notificado al solicitante.</w:t>
      </w:r>
    </w:p>
    <w:p w:rsidR="00000000" w:rsidDel="00000000" w:rsidP="00000000" w:rsidRDefault="00000000" w:rsidRPr="00000000" w14:paraId="00000050">
      <w:pPr>
        <w:spacing w:after="240" w:before="240"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Al no estar conforme con los términos de la respuesta emitida,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interpuso el recurso de revisión que nos ocupa, donde señaló como motivo de inconformidad, que solicitó la baja de pensión en atención a su reingreso al servicio público como Director de Administración del Ayuntamiento de Otzolotepec, desde el primero de enero de dos mil veinticinco, o en su debido caso notificar a la contraloría para que se investigue porque se le sigue pagando pensión. </w:t>
      </w:r>
    </w:p>
    <w:p w:rsidR="00000000" w:rsidDel="00000000" w:rsidP="00000000" w:rsidRDefault="00000000" w:rsidRPr="00000000" w14:paraId="00000051">
      <w:pPr>
        <w:spacing w:line="360" w:lineRule="auto"/>
        <w:jc w:val="both"/>
        <w:rPr>
          <w:rFonts w:ascii="Palatino Linotype" w:cs="Palatino Linotype" w:eastAsia="Palatino Linotype" w:hAnsi="Palatino Linotype"/>
          <w:b w:val="1"/>
          <w:sz w:val="22"/>
          <w:szCs w:val="22"/>
          <w:u w:val="single"/>
        </w:rPr>
      </w:pPr>
      <w:r w:rsidDel="00000000" w:rsidR="00000000" w:rsidRPr="00000000">
        <w:rPr>
          <w:rFonts w:ascii="Palatino Linotype" w:cs="Palatino Linotype" w:eastAsia="Palatino Linotype" w:hAnsi="Palatino Linotype"/>
          <w:sz w:val="22"/>
          <w:szCs w:val="22"/>
          <w:rtl w:val="0"/>
        </w:rPr>
        <w:t xml:space="preserve">Una vez notificado el recurso de revisión al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este mediante informe justificado informó que el Departamento de Pensiones se entera si un pensionado ha causado alta nuevamente en el servicio público, en el momento en que </w:t>
      </w:r>
      <w:r w:rsidDel="00000000" w:rsidR="00000000" w:rsidRPr="00000000">
        <w:rPr>
          <w:rFonts w:ascii="Palatino Linotype" w:cs="Palatino Linotype" w:eastAsia="Palatino Linotype" w:hAnsi="Palatino Linotype"/>
          <w:b w:val="1"/>
          <w:sz w:val="22"/>
          <w:szCs w:val="22"/>
          <w:u w:val="single"/>
          <w:rtl w:val="0"/>
        </w:rPr>
        <w:t xml:space="preserve">el área de Ventanilla Única de Atención Integral a Instituciones Públicas así lo informa o bien, cuando llega la solicitud de suspensión de pensión, situaciones que en el caso que no ocupa no se han presentado al día de la fecha. </w:t>
      </w:r>
    </w:p>
    <w:p w:rsidR="00000000" w:rsidDel="00000000" w:rsidP="00000000" w:rsidRDefault="00000000" w:rsidRPr="00000000" w14:paraId="00000052">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53">
      <w:pPr>
        <w:spacing w:line="360" w:lineRule="auto"/>
        <w:jc w:val="both"/>
        <w:rPr>
          <w:rFonts w:ascii="Palatino Linotype" w:cs="Palatino Linotype" w:eastAsia="Palatino Linotype" w:hAnsi="Palatino Linotype"/>
          <w:b w:val="1"/>
          <w:sz w:val="22"/>
          <w:szCs w:val="22"/>
          <w:u w:val="single"/>
        </w:rPr>
      </w:pPr>
      <w:r w:rsidDel="00000000" w:rsidR="00000000" w:rsidRPr="00000000">
        <w:rPr>
          <w:rFonts w:ascii="Palatino Linotype" w:cs="Palatino Linotype" w:eastAsia="Palatino Linotype" w:hAnsi="Palatino Linotype"/>
          <w:sz w:val="22"/>
          <w:szCs w:val="22"/>
          <w:rtl w:val="0"/>
        </w:rPr>
        <w:t xml:space="preserve">Sin embargo, derivado de que el solicitante interpuso el recurso de revisión, reiterando solicitar la baja de pensión, incluso refiriendo que la persona referida reingreso al servicio público a partir del primero de enero de dos mil veinticinco y que en su caso, se le diera vista al Órgano de Control Interno para que se investigara porque se le seguía pagando pensión, es por lo que a través del oficio número 207C0401520101L/Dp/1476/2025 este Departamento informó que se procedería a la retención de la liberación del pago de pensión a partir de la primera quincena del mes de febrero del año en curso; pues se </w:t>
      </w:r>
      <w:r w:rsidDel="00000000" w:rsidR="00000000" w:rsidRPr="00000000">
        <w:rPr>
          <w:rFonts w:ascii="Palatino Linotype" w:cs="Palatino Linotype" w:eastAsia="Palatino Linotype" w:hAnsi="Palatino Linotype"/>
          <w:b w:val="1"/>
          <w:sz w:val="22"/>
          <w:szCs w:val="22"/>
          <w:u w:val="single"/>
          <w:rtl w:val="0"/>
        </w:rPr>
        <w:t xml:space="preserve">informó que para efecto de suspender el pago de pensión y darlo de baja de la nómina de Pensionados y Pensionistas de este Instituto, necesariamente el interesado deberá realizar el trámite de suspensión de pensión previsto en el artículo 78 de la Ley vigente de Seguridad Social para los Servidores Públicos del Estado de México y Municipios, a través del cual obtendrá un Dictamen de suspensión de pensión.</w:t>
      </w:r>
    </w:p>
    <w:p w:rsidR="00000000" w:rsidDel="00000000" w:rsidP="00000000" w:rsidRDefault="00000000" w:rsidRPr="00000000" w14:paraId="00000054">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55">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w:t>
      </w:r>
      <w:r w:rsidDel="00000000" w:rsidR="00000000" w:rsidRPr="00000000">
        <w:rPr>
          <w:rFonts w:ascii="Palatino Linotype" w:cs="Palatino Linotype" w:eastAsia="Palatino Linotype" w:hAnsi="Palatino Linotype"/>
          <w:b w:val="1"/>
          <w:sz w:val="22"/>
          <w:szCs w:val="22"/>
          <w:u w:val="single"/>
          <w:rtl w:val="0"/>
        </w:rPr>
        <w:t xml:space="preserve">señaló que, el área de Ventanilla Única de Atención Integral a Instituciones Públicas informó que de acuerdo con los datos registrados en los sistemas, hasta la primera quincena del año de dos mil veinticinco, no se cuenta con algún movimiento de alta realizado por el Municipio de Otzolotepec a nombre de la persona referida</w:t>
      </w:r>
      <w:r w:rsidDel="00000000" w:rsidR="00000000" w:rsidRPr="00000000">
        <w:rPr>
          <w:rFonts w:ascii="Palatino Linotype" w:cs="Palatino Linotype" w:eastAsia="Palatino Linotype" w:hAnsi="Palatino Linotype"/>
          <w:sz w:val="22"/>
          <w:szCs w:val="22"/>
          <w:rtl w:val="0"/>
        </w:rPr>
        <w:t xml:space="preserve">.</w:t>
      </w:r>
    </w:p>
    <w:p w:rsidR="00000000" w:rsidDel="00000000" w:rsidP="00000000" w:rsidRDefault="00000000" w:rsidRPr="00000000" w14:paraId="00000056">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Ahora bien, tomando en consideración el pronunciamiento emitido por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en respuesta a la solicitud, es oportuno partir de las atribuciones que la normativa le confiere, para lo cual es necesario traer a colación, en primer lugar, el contenido del Reglamento de Prestaciones del Instituto de Seguridad Social del Estado de México y Municipios, el cual establece lo siguiente: </w:t>
      </w:r>
    </w:p>
    <w:p w:rsidR="00000000" w:rsidDel="00000000" w:rsidP="00000000" w:rsidRDefault="00000000" w:rsidRPr="00000000" w14:paraId="00000057">
      <w:pPr>
        <w:spacing w:after="120" w:before="120" w:lineRule="auto"/>
        <w:ind w:left="851"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66.</w:t>
      </w:r>
      <w:r w:rsidDel="00000000" w:rsidR="00000000" w:rsidRPr="00000000">
        <w:rPr>
          <w:rFonts w:ascii="Palatino Linotype" w:cs="Palatino Linotype" w:eastAsia="Palatino Linotype" w:hAnsi="Palatino Linotype"/>
          <w:i w:val="1"/>
          <w:sz w:val="22"/>
          <w:szCs w:val="22"/>
          <w:rtl w:val="0"/>
        </w:rPr>
        <w:t xml:space="preserve"> El servidor público </w:t>
      </w:r>
      <w:r w:rsidDel="00000000" w:rsidR="00000000" w:rsidRPr="00000000">
        <w:rPr>
          <w:rFonts w:ascii="Palatino Linotype" w:cs="Palatino Linotype" w:eastAsia="Palatino Linotype" w:hAnsi="Palatino Linotype"/>
          <w:b w:val="1"/>
          <w:i w:val="1"/>
          <w:sz w:val="22"/>
          <w:szCs w:val="22"/>
          <w:rtl w:val="0"/>
        </w:rPr>
        <w:t xml:space="preserve">que tenga derecho a una pensión</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tendrá la opción</w:t>
      </w:r>
      <w:r w:rsidDel="00000000" w:rsidR="00000000" w:rsidRPr="00000000">
        <w:rPr>
          <w:rFonts w:ascii="Palatino Linotype" w:cs="Palatino Linotype" w:eastAsia="Palatino Linotype" w:hAnsi="Palatino Linotype"/>
          <w:i w:val="1"/>
          <w:sz w:val="22"/>
          <w:szCs w:val="22"/>
          <w:rtl w:val="0"/>
        </w:rPr>
        <w:t xml:space="preserve"> de solicitar en la unidad administrativa que determine el Instituto </w:t>
      </w:r>
      <w:r w:rsidDel="00000000" w:rsidR="00000000" w:rsidRPr="00000000">
        <w:rPr>
          <w:rFonts w:ascii="Palatino Linotype" w:cs="Palatino Linotype" w:eastAsia="Palatino Linotype" w:hAnsi="Palatino Linotype"/>
          <w:b w:val="1"/>
          <w:i w:val="1"/>
          <w:sz w:val="22"/>
          <w:szCs w:val="22"/>
          <w:rtl w:val="0"/>
        </w:rPr>
        <w:t xml:space="preserve">un proyecto de la misma, que deberá tramitarse conforme al formato establecido para tal efecto, debiendo acompañar la documentación indicada en este Reglamento, de acuerdo a la modalidad de pensión que conforme a la Ley le corresponda</w:t>
      </w:r>
      <w:r w:rsidDel="00000000" w:rsidR="00000000" w:rsidRPr="00000000">
        <w:rPr>
          <w:rFonts w:ascii="Palatino Linotype" w:cs="Palatino Linotype" w:eastAsia="Palatino Linotype" w:hAnsi="Palatino Linotype"/>
          <w:i w:val="1"/>
          <w:sz w:val="22"/>
          <w:szCs w:val="22"/>
          <w:rtl w:val="0"/>
        </w:rPr>
        <w:t xml:space="preserve">, exceptuando de este beneficio a las personas que se ubican en el supuesto de pensión por inhabilitación. </w:t>
      </w:r>
    </w:p>
    <w:p w:rsidR="00000000" w:rsidDel="00000000" w:rsidP="00000000" w:rsidRDefault="00000000" w:rsidRPr="00000000" w14:paraId="00000058">
      <w:pPr>
        <w:spacing w:after="120" w:before="120" w:lineRule="auto"/>
        <w:ind w:left="851"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68</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El trámite para el otorgamiento de las pensiones</w:t>
      </w:r>
      <w:r w:rsidDel="00000000" w:rsidR="00000000" w:rsidRPr="00000000">
        <w:rPr>
          <w:rFonts w:ascii="Palatino Linotype" w:cs="Palatino Linotype" w:eastAsia="Palatino Linotype" w:hAnsi="Palatino Linotype"/>
          <w:i w:val="1"/>
          <w:sz w:val="22"/>
          <w:szCs w:val="22"/>
          <w:rtl w:val="0"/>
        </w:rPr>
        <w:t xml:space="preserve"> en sus diferentes modalidades, </w:t>
      </w:r>
      <w:r w:rsidDel="00000000" w:rsidR="00000000" w:rsidRPr="00000000">
        <w:rPr>
          <w:rFonts w:ascii="Palatino Linotype" w:cs="Palatino Linotype" w:eastAsia="Palatino Linotype" w:hAnsi="Palatino Linotype"/>
          <w:b w:val="1"/>
          <w:i w:val="1"/>
          <w:sz w:val="22"/>
          <w:szCs w:val="22"/>
          <w:rtl w:val="0"/>
        </w:rPr>
        <w:t xml:space="preserve">se iniciará a petición de parte, por escrito, mediante los formatos establecidos por el Instituto,</w:t>
      </w:r>
      <w:r w:rsidDel="00000000" w:rsidR="00000000" w:rsidRPr="00000000">
        <w:rPr>
          <w:rFonts w:ascii="Palatino Linotype" w:cs="Palatino Linotype" w:eastAsia="Palatino Linotype" w:hAnsi="Palatino Linotype"/>
          <w:i w:val="1"/>
          <w:sz w:val="22"/>
          <w:szCs w:val="22"/>
          <w:rtl w:val="0"/>
        </w:rPr>
        <w:t xml:space="preserve"> debiendo cumplir además con los siguientes requisitos documentales: </w:t>
      </w:r>
    </w:p>
    <w:p w:rsidR="00000000" w:rsidDel="00000000" w:rsidP="00000000" w:rsidRDefault="00000000" w:rsidRPr="00000000" w14:paraId="00000059">
      <w:pPr>
        <w:spacing w:after="120" w:before="120" w:lineRule="auto"/>
        <w:ind w:left="1134"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w:t>
      </w:r>
      <w:r w:rsidDel="00000000" w:rsidR="00000000" w:rsidRPr="00000000">
        <w:rPr>
          <w:rFonts w:ascii="Palatino Linotype" w:cs="Palatino Linotype" w:eastAsia="Palatino Linotype" w:hAnsi="Palatino Linotype"/>
          <w:i w:val="1"/>
          <w:sz w:val="22"/>
          <w:szCs w:val="22"/>
          <w:rtl w:val="0"/>
        </w:rPr>
        <w:t xml:space="preserve"> Solicitud de pensión debidamente requisitada; </w:t>
      </w:r>
    </w:p>
    <w:p w:rsidR="00000000" w:rsidDel="00000000" w:rsidP="00000000" w:rsidRDefault="00000000" w:rsidRPr="00000000" w14:paraId="0000005A">
      <w:pPr>
        <w:spacing w:after="120" w:before="120" w:lineRule="auto"/>
        <w:ind w:left="1134"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II.</w:t>
      </w:r>
      <w:r w:rsidDel="00000000" w:rsidR="00000000" w:rsidRPr="00000000">
        <w:rPr>
          <w:rFonts w:ascii="Palatino Linotype" w:cs="Palatino Linotype" w:eastAsia="Palatino Linotype" w:hAnsi="Palatino Linotype"/>
          <w:i w:val="1"/>
          <w:sz w:val="22"/>
          <w:szCs w:val="22"/>
          <w:rtl w:val="0"/>
        </w:rPr>
        <w:t xml:space="preserve"> Copia certificada del acta de nacimiento del servidor público;</w:t>
      </w:r>
    </w:p>
    <w:p w:rsidR="00000000" w:rsidDel="00000000" w:rsidP="00000000" w:rsidRDefault="00000000" w:rsidRPr="00000000" w14:paraId="0000005B">
      <w:pPr>
        <w:spacing w:after="120" w:before="120" w:lineRule="auto"/>
        <w:ind w:left="1134"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III.</w:t>
      </w:r>
      <w:r w:rsidDel="00000000" w:rsidR="00000000" w:rsidRPr="00000000">
        <w:rPr>
          <w:rFonts w:ascii="Palatino Linotype" w:cs="Palatino Linotype" w:eastAsia="Palatino Linotype" w:hAnsi="Palatino Linotype"/>
          <w:i w:val="1"/>
          <w:sz w:val="22"/>
          <w:szCs w:val="22"/>
          <w:rtl w:val="0"/>
        </w:rPr>
        <w:t xml:space="preserve"> Comprobantes de sueldo de los últimos ocho meses laborados, en el caso de que el servidor público haya mantenido durante sus últimos tres años el mismo nivel y rango; o los comprobantes del sueldo de los últimos tres años, cuando durante dicho plazo haya cambiado su nivel y rango o cuando sus percepciones correspondan a horas clase. </w:t>
      </w:r>
    </w:p>
    <w:p w:rsidR="00000000" w:rsidDel="00000000" w:rsidP="00000000" w:rsidRDefault="00000000" w:rsidRPr="00000000" w14:paraId="0000005C">
      <w:pPr>
        <w:spacing w:after="120" w:before="120" w:lineRule="auto"/>
        <w:ind w:left="1134"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caso de no contar con los comprobantes de sueldo a que hace referencia el párrafo anterior, la Institución Pública podrá emitir una certificación con la información que tenga registrada en sus archivos, la cual deberá contener el sueldo sujeto a cotización desglosado tanto de percepciones y deducciones percibido durante el periodo en que se ubique el servidor público. </w:t>
      </w:r>
    </w:p>
    <w:p w:rsidR="00000000" w:rsidDel="00000000" w:rsidP="00000000" w:rsidRDefault="00000000" w:rsidRPr="00000000" w14:paraId="0000005D">
      <w:pPr>
        <w:spacing w:after="120" w:before="120" w:lineRule="auto"/>
        <w:ind w:left="1134"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Se considerará como último sueldo cotizado aquél que se encuentre en los registros presentados ante el Instituto. Sólo en caso de no haber sido enterados dichos registros, se considerarán los comprobantes de pago expedidos por la Institución Pública; y </w:t>
      </w:r>
    </w:p>
    <w:p w:rsidR="00000000" w:rsidDel="00000000" w:rsidP="00000000" w:rsidRDefault="00000000" w:rsidRPr="00000000" w14:paraId="0000005E">
      <w:pPr>
        <w:spacing w:after="120" w:before="120" w:lineRule="auto"/>
        <w:ind w:left="1134"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IV.</w:t>
      </w:r>
      <w:r w:rsidDel="00000000" w:rsidR="00000000" w:rsidRPr="00000000">
        <w:rPr>
          <w:rFonts w:ascii="Palatino Linotype" w:cs="Palatino Linotype" w:eastAsia="Palatino Linotype" w:hAnsi="Palatino Linotype"/>
          <w:i w:val="1"/>
          <w:sz w:val="22"/>
          <w:szCs w:val="22"/>
          <w:rtl w:val="0"/>
        </w:rPr>
        <w:t xml:space="preserve"> Certificación expedida por la Institución Pública en la que se establezca el tiempo de servicio aportado con base al sueldo sujeto a cotización, el desglose del nivel y rango de los últimos tres años y los permisos sin goce de sueldo otorgados; con excepción de aquellas Instituciones Públicas que en las nóminas que presentan ante el Instituto contemplen estos registros.</w:t>
      </w:r>
    </w:p>
    <w:p w:rsidR="00000000" w:rsidDel="00000000" w:rsidP="00000000" w:rsidRDefault="00000000" w:rsidRPr="00000000" w14:paraId="0000005F">
      <w:pPr>
        <w:spacing w:after="120" w:before="120" w:lineRule="auto"/>
        <w:ind w:left="851"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60">
      <w:pPr>
        <w:spacing w:after="120" w:before="120" w:lineRule="auto"/>
        <w:ind w:left="851"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94.</w:t>
      </w:r>
      <w:r w:rsidDel="00000000" w:rsidR="00000000" w:rsidRPr="00000000">
        <w:rPr>
          <w:rFonts w:ascii="Palatino Linotype" w:cs="Palatino Linotype" w:eastAsia="Palatino Linotype" w:hAnsi="Palatino Linotype"/>
          <w:i w:val="1"/>
          <w:sz w:val="22"/>
          <w:szCs w:val="22"/>
          <w:rtl w:val="0"/>
        </w:rPr>
        <w:t xml:space="preserve"> La </w:t>
      </w:r>
      <w:r w:rsidDel="00000000" w:rsidR="00000000" w:rsidRPr="00000000">
        <w:rPr>
          <w:rFonts w:ascii="Palatino Linotype" w:cs="Palatino Linotype" w:eastAsia="Palatino Linotype" w:hAnsi="Palatino Linotype"/>
          <w:b w:val="1"/>
          <w:i w:val="1"/>
          <w:sz w:val="22"/>
          <w:szCs w:val="22"/>
          <w:rtl w:val="0"/>
        </w:rPr>
        <w:t xml:space="preserve">aceptación de la pensión será expresa cuando el interesado externe su conformidad con el contenido del dictamen respectivo</w:t>
      </w:r>
      <w:r w:rsidDel="00000000" w:rsidR="00000000" w:rsidRPr="00000000">
        <w:rPr>
          <w:rFonts w:ascii="Palatino Linotype" w:cs="Palatino Linotype" w:eastAsia="Palatino Linotype" w:hAnsi="Palatino Linotype"/>
          <w:i w:val="1"/>
          <w:sz w:val="22"/>
          <w:szCs w:val="22"/>
          <w:rtl w:val="0"/>
        </w:rPr>
        <w:t xml:space="preserve">, o tácita cuando aún sin manifestar su aceptación cause baja en el servicio y solicite su pago. </w:t>
      </w:r>
    </w:p>
    <w:p w:rsidR="00000000" w:rsidDel="00000000" w:rsidP="00000000" w:rsidRDefault="00000000" w:rsidRPr="00000000" w14:paraId="00000061">
      <w:pPr>
        <w:spacing w:after="120" w:before="120" w:lineRule="auto"/>
        <w:ind w:left="851"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Si notificado el dictamen que reconoce el derecho a una pensión el servidor público continúa laborando, se considera una no aceptación tácita a la pensión. No surtirá efectos la aceptación presentada ante el Instituto si el servidor público continúa trabajando y cotizando bajo este régimen, no siendo necesario que el Instituto emita resolución sobre tal hecho. </w:t>
      </w:r>
    </w:p>
    <w:p w:rsidR="00000000" w:rsidDel="00000000" w:rsidP="00000000" w:rsidRDefault="00000000" w:rsidRPr="00000000" w14:paraId="00000062">
      <w:pPr>
        <w:spacing w:after="120" w:before="120" w:lineRule="auto"/>
        <w:ind w:left="851" w:right="902"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Si un servidor público causa baja en el servicio cumpliendo con el mínimo de cotizaciones para una Pensión de Retiro por Edad y Tiempo de Servicios, sin que haya reservado por escrito el derecho para su otorgamiento, al cumplir la edad previo el cumplimiento de los requisitos podrá acceder a ésta; en caso de fallecimiento sus familiares y dependientes económicos podrán hacer efectiva la Pensión por Fallecimiento por Causas Ajenas al Servicio.”</w:t>
      </w:r>
    </w:p>
    <w:p w:rsidR="00000000" w:rsidDel="00000000" w:rsidP="00000000" w:rsidRDefault="00000000" w:rsidRPr="00000000" w14:paraId="00000063">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 la norma insertada, se advierte que el trámite de otorgamiento de pensiones se iniciará a petición de parte, por escrito y mediante los formatos establecidos por el Instituto, asimismo señalan que, la aceptación de la pensión será expresa cuando el interesado externe su conformidad con el contenido del dictamen respectivo, o tácita cuando aún sin manifestar su aceptación cause baja en el servicio y solicite su pago.</w:t>
      </w:r>
    </w:p>
    <w:p w:rsidR="00000000" w:rsidDel="00000000" w:rsidP="00000000" w:rsidRDefault="00000000" w:rsidRPr="00000000" w14:paraId="00000064">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No obstante, los artículos 110 y 111 del Reglamento de Prestaciones del Instituto de Seguridad Social del Estado de México y Municipios, establecen que </w:t>
      </w:r>
      <w:r w:rsidDel="00000000" w:rsidR="00000000" w:rsidRPr="00000000">
        <w:rPr>
          <w:rFonts w:ascii="Palatino Linotype" w:cs="Palatino Linotype" w:eastAsia="Palatino Linotype" w:hAnsi="Palatino Linotype"/>
          <w:b w:val="1"/>
          <w:sz w:val="22"/>
          <w:szCs w:val="22"/>
          <w:u w:val="single"/>
          <w:rtl w:val="0"/>
        </w:rPr>
        <w:t xml:space="preserve">la suspensión de pensión por reingreso al servicio público se realizará a petición de parte o podrá suspenderse de oficio, cuando por algún medio el Instituto tenga conocimiento de que algún pensionado esté en activo bajo el régimen de la Ley</w:t>
      </w:r>
      <w:r w:rsidDel="00000000" w:rsidR="00000000" w:rsidRPr="00000000">
        <w:rPr>
          <w:rFonts w:ascii="Palatino Linotype" w:cs="Palatino Linotype" w:eastAsia="Palatino Linotype" w:hAnsi="Palatino Linotype"/>
          <w:sz w:val="22"/>
          <w:szCs w:val="22"/>
          <w:rtl w:val="0"/>
        </w:rPr>
        <w:t xml:space="preserve">; aunado a ello, se advierten que cuando el Instituto tenga conocimiento de una incompatibilidad generada por el reingreso al servicio activo bajo el régimen de la Ley por parte de un pensionado, procederá de la siguiente manera: </w:t>
      </w:r>
    </w:p>
    <w:p w:rsidR="00000000" w:rsidDel="00000000" w:rsidP="00000000" w:rsidRDefault="00000000" w:rsidRPr="00000000" w14:paraId="00000065">
      <w:pPr>
        <w:spacing w:line="276" w:lineRule="auto"/>
        <w:ind w:left="851" w:right="616" w:firstLine="0"/>
        <w:jc w:val="both"/>
        <w:rPr>
          <w:rFonts w:ascii="Palatino Linotype" w:cs="Palatino Linotype" w:eastAsia="Palatino Linotype" w:hAnsi="Palatino Linotype"/>
          <w:b w:val="1"/>
          <w:i w:val="1"/>
          <w:sz w:val="22"/>
          <w:szCs w:val="22"/>
          <w:u w:val="single"/>
        </w:rPr>
      </w:pPr>
      <w:r w:rsidDel="00000000" w:rsidR="00000000" w:rsidRPr="00000000">
        <w:rPr>
          <w:rFonts w:ascii="Palatino Linotype" w:cs="Palatino Linotype" w:eastAsia="Palatino Linotype" w:hAnsi="Palatino Linotype"/>
          <w:b w:val="1"/>
          <w:i w:val="1"/>
          <w:sz w:val="22"/>
          <w:szCs w:val="22"/>
          <w:rtl w:val="0"/>
        </w:rPr>
        <w:t xml:space="preserve">“Artículo 110.</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u w:val="single"/>
          <w:rtl w:val="0"/>
        </w:rPr>
        <w:t xml:space="preserve">La suspensión de pensión por reingreso al servicio público</w:t>
      </w:r>
      <w:r w:rsidDel="00000000" w:rsidR="00000000" w:rsidRPr="00000000">
        <w:rPr>
          <w:rFonts w:ascii="Palatino Linotype" w:cs="Palatino Linotype" w:eastAsia="Palatino Linotype" w:hAnsi="Palatino Linotype"/>
          <w:i w:val="1"/>
          <w:sz w:val="22"/>
          <w:szCs w:val="22"/>
          <w:rtl w:val="0"/>
        </w:rPr>
        <w:t xml:space="preserve"> se </w:t>
      </w:r>
      <w:r w:rsidDel="00000000" w:rsidR="00000000" w:rsidRPr="00000000">
        <w:rPr>
          <w:rFonts w:ascii="Palatino Linotype" w:cs="Palatino Linotype" w:eastAsia="Palatino Linotype" w:hAnsi="Palatino Linotype"/>
          <w:b w:val="1"/>
          <w:i w:val="1"/>
          <w:sz w:val="22"/>
          <w:szCs w:val="22"/>
          <w:u w:val="single"/>
          <w:rtl w:val="0"/>
        </w:rPr>
        <w:t xml:space="preserve">realizará a petición de parte o podrá suspenderse de oficio</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u w:val="single"/>
          <w:rtl w:val="0"/>
        </w:rPr>
        <w:t xml:space="preserve">cuando por algún medio el Instituto tenga conocimiento de que algún pensionado esté en activo bajo el régimen de la Ley. </w:t>
      </w:r>
    </w:p>
    <w:p w:rsidR="00000000" w:rsidDel="00000000" w:rsidP="00000000" w:rsidRDefault="00000000" w:rsidRPr="00000000" w14:paraId="00000066">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67">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111.</w:t>
      </w:r>
      <w:r w:rsidDel="00000000" w:rsidR="00000000" w:rsidRPr="00000000">
        <w:rPr>
          <w:rFonts w:ascii="Palatino Linotype" w:cs="Palatino Linotype" w:eastAsia="Palatino Linotype" w:hAnsi="Palatino Linotype"/>
          <w:i w:val="1"/>
          <w:sz w:val="22"/>
          <w:szCs w:val="22"/>
          <w:rtl w:val="0"/>
        </w:rPr>
        <w:t xml:space="preserve"> Cuando el Instituto tenga conocimiento de una incompatibilidad generada por el reingreso al servicio activo bajo el régimen de la Ley por parte de un pensionado, procederá como sigue: </w:t>
      </w:r>
    </w:p>
    <w:p w:rsidR="00000000" w:rsidDel="00000000" w:rsidP="00000000" w:rsidRDefault="00000000" w:rsidRPr="00000000" w14:paraId="00000068">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69">
      <w:pPr>
        <w:spacing w:line="276" w:lineRule="auto"/>
        <w:ind w:left="851"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 Retendrá el pago de la pensión. </w:t>
      </w:r>
    </w:p>
    <w:p w:rsidR="00000000" w:rsidDel="00000000" w:rsidP="00000000" w:rsidRDefault="00000000" w:rsidRPr="00000000" w14:paraId="0000006A">
      <w:pPr>
        <w:spacing w:line="276" w:lineRule="auto"/>
        <w:ind w:left="851"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II. Notificará por escrito al pensionado que: </w:t>
      </w:r>
    </w:p>
    <w:p w:rsidR="00000000" w:rsidDel="00000000" w:rsidP="00000000" w:rsidRDefault="00000000" w:rsidRPr="00000000" w14:paraId="0000006B">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 Generó una incompatibilidad y el motivo de la misma. </w:t>
      </w:r>
    </w:p>
    <w:p w:rsidR="00000000" w:rsidDel="00000000" w:rsidP="00000000" w:rsidRDefault="00000000" w:rsidRPr="00000000" w14:paraId="0000006C">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b. El adeudo existente, el cual se calculará actualizándose con base en la tasa real anual de rendimiento de la reserva del fondo solidario de reparto del ejercicio inmediato anterior, por cada año adeudado o su periodo equivalente. </w:t>
      </w:r>
    </w:p>
    <w:p w:rsidR="00000000" w:rsidDel="00000000" w:rsidP="00000000" w:rsidRDefault="00000000" w:rsidRPr="00000000" w14:paraId="0000006D">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6E">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El pensionado deberá aclarar al Instituto su situación dentro de los tres días hábiles siguientes a la notificación, realizando el pago requerido o pactando la forma y condiciones en que reintegrará al Instituto los cobros realizados indebidamente. </w:t>
      </w:r>
    </w:p>
    <w:p w:rsidR="00000000" w:rsidDel="00000000" w:rsidP="00000000" w:rsidRDefault="00000000" w:rsidRPr="00000000" w14:paraId="0000006F">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Transcurrido dicho término sin que el pensionado realice las aclaraciones, el pago o el convenio respectivo, se considerará aceptada la incompatibilidad y el adeudo, por lo que el Instituto podrá suspender el pago de la pensión. </w:t>
      </w:r>
    </w:p>
    <w:p w:rsidR="00000000" w:rsidDel="00000000" w:rsidP="00000000" w:rsidRDefault="00000000" w:rsidRPr="00000000" w14:paraId="00000070">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71">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La forma y las condiciones que en su caso se convengan con el pensionado, serán en los términos que permitan al Instituto recuperar los importes cobrados indebidamente, en el menor plazo posible; cuando los pagos se realicen en más de una exhibición, se utilizará para el financiamiento una tasa equivalente al promedio de los últimos cuatro meses de la tasa de los Certificados de la Tesorería de la Federación (CETES) a veintiocho días, aplicable a los convenios realizados. </w:t>
      </w:r>
    </w:p>
    <w:p w:rsidR="00000000" w:rsidDel="00000000" w:rsidP="00000000" w:rsidRDefault="00000000" w:rsidRPr="00000000" w14:paraId="00000072">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73">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caso de que después de tres meses de haber sido notificado legalmente, el pensionado no se presente para aclarar su situación, realizar su pago o pactar la forma y condiciones en que reintegrará los cobros realizados indebidamente y se encuentre en activo bajo el régimen de la Ley, el Instituto procederá a calcular el monto del adeudo por cobros indebidos y solicitará a la Institución Pública descuente de las percepciones del servidor público el adeudo hasta su total liquidación. </w:t>
      </w:r>
    </w:p>
    <w:p w:rsidR="00000000" w:rsidDel="00000000" w:rsidP="00000000" w:rsidRDefault="00000000" w:rsidRPr="00000000" w14:paraId="00000074">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75">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Al </w:t>
      </w:r>
      <w:r w:rsidDel="00000000" w:rsidR="00000000" w:rsidRPr="00000000">
        <w:rPr>
          <w:rFonts w:ascii="Palatino Linotype" w:cs="Palatino Linotype" w:eastAsia="Palatino Linotype" w:hAnsi="Palatino Linotype"/>
          <w:i w:val="1"/>
          <w:sz w:val="22"/>
          <w:szCs w:val="22"/>
          <w:u w:val="single"/>
          <w:rtl w:val="0"/>
        </w:rPr>
        <w:t xml:space="preserve">pensionado que acuda en forma voluntaria al Instituto dentro de los tres meses siguientes a partir de la fecha de alta en el servicio, sin haber sido notificado del adeudo, a reintegrar en una sola exhibición la cantidad que resulte de los montos cobrados por pensión en forma indebida, podrá concedérsele la cancelación de intereses por el área administrativa que se determine en el Manual General de Organización del Instituto;</w:t>
      </w:r>
      <w:r w:rsidDel="00000000" w:rsidR="00000000" w:rsidRPr="00000000">
        <w:rPr>
          <w:rFonts w:ascii="Palatino Linotype" w:cs="Palatino Linotype" w:eastAsia="Palatino Linotype" w:hAnsi="Palatino Linotype"/>
          <w:i w:val="1"/>
          <w:sz w:val="22"/>
          <w:szCs w:val="22"/>
          <w:rtl w:val="0"/>
        </w:rPr>
        <w:t xml:space="preserve"> si se requiere diferimiento de pago posterior a los seis meses antes señalados mediante convenio se aplicará el procedimiento ya establecido. </w:t>
      </w:r>
    </w:p>
    <w:p w:rsidR="00000000" w:rsidDel="00000000" w:rsidP="00000000" w:rsidRDefault="00000000" w:rsidRPr="00000000" w14:paraId="00000076">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77">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Para reactivar el pago de la pensión se requiere que no exista incompatibilidad o que no subsista la misma; constancia emitida por el área encargada de realizar las recuperaciones de descuento vía nómina o certificación expedida por la Institución Pública en la cual conste que se realizó el descuento así como el entero correspondiente al Instituto. </w:t>
      </w:r>
    </w:p>
    <w:p w:rsidR="00000000" w:rsidDel="00000000" w:rsidP="00000000" w:rsidRDefault="00000000" w:rsidRPr="00000000" w14:paraId="00000078">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79">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Subsistirá la suspensión hasta en tanto se realice o convenga el pago del adeudo, o celebrado el convenio se incumpla con alguno de los pagos.”</w:t>
      </w:r>
    </w:p>
    <w:p w:rsidR="00000000" w:rsidDel="00000000" w:rsidP="00000000" w:rsidRDefault="00000000" w:rsidRPr="00000000" w14:paraId="0000007A">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(Énfasis Añadido)</w:t>
      </w:r>
    </w:p>
    <w:p w:rsidR="00000000" w:rsidDel="00000000" w:rsidP="00000000" w:rsidRDefault="00000000" w:rsidRPr="00000000" w14:paraId="0000007B">
      <w:pPr>
        <w:pBdr>
          <w:top w:space="0" w:sz="0" w:val="nil"/>
          <w:left w:space="0" w:sz="0" w:val="nil"/>
          <w:bottom w:space="0" w:sz="0" w:val="nil"/>
          <w:right w:space="0" w:sz="0" w:val="nil"/>
          <w:between w:space="0" w:sz="0" w:val="nil"/>
        </w:pBdr>
        <w:spacing w:after="240" w:before="240"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Del mismo modo, el artículo 78 de la Ley de Seguridad Social para los Servidores Públicos del Estado de México y Municipios, refiere que cuando algún pensionado reingrese al servicio público deberá solicitar se suspenda el pago de su pensión, precepto normativo que se inserta para mayor entendimiento: </w:t>
      </w:r>
    </w:p>
    <w:p w:rsidR="00000000" w:rsidDel="00000000" w:rsidP="00000000" w:rsidRDefault="00000000" w:rsidRPr="00000000" w14:paraId="0000007C">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78.-</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u w:val="single"/>
          <w:rtl w:val="0"/>
        </w:rPr>
        <w:t xml:space="preserve">Cuando algún pensionado reingrese al servicio público deberá solicitar se suspenda el pago de su pensión.</w:t>
      </w:r>
      <w:r w:rsidDel="00000000" w:rsidR="00000000" w:rsidRPr="00000000">
        <w:rPr>
          <w:rFonts w:ascii="Palatino Linotype" w:cs="Palatino Linotype" w:eastAsia="Palatino Linotype" w:hAnsi="Palatino Linotype"/>
          <w:i w:val="1"/>
          <w:sz w:val="22"/>
          <w:szCs w:val="22"/>
          <w:rtl w:val="0"/>
        </w:rPr>
        <w:t xml:space="preserve"> Al retirarse nuevamente del servicio, podrá solicitar la reactivación de su pensión conforme a lo siguiente: </w:t>
      </w:r>
    </w:p>
    <w:p w:rsidR="00000000" w:rsidDel="00000000" w:rsidP="00000000" w:rsidRDefault="00000000" w:rsidRPr="00000000" w14:paraId="0000007D">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I. Si presta sus servicios por menos de 3 años, se le otorgará la misma pensión que disfrutaba al reingresar al servicio, incrementada en el porcentaje respectivo; </w:t>
      </w:r>
    </w:p>
    <w:p w:rsidR="00000000" w:rsidDel="00000000" w:rsidP="00000000" w:rsidRDefault="00000000" w:rsidRPr="00000000" w14:paraId="0000007E">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II. Si presta sus servicios por 3 o más años ininterrumpidamente, podrá optar por cualquiera de las siguientes opciones:</w:t>
      </w:r>
    </w:p>
    <w:p w:rsidR="00000000" w:rsidDel="00000000" w:rsidP="00000000" w:rsidRDefault="00000000" w:rsidRPr="00000000" w14:paraId="0000007F">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1. Acogerse a lo señalado en la fracción primera de este artículo. </w:t>
      </w:r>
    </w:p>
    <w:p w:rsidR="00000000" w:rsidDel="00000000" w:rsidP="00000000" w:rsidRDefault="00000000" w:rsidRPr="00000000" w14:paraId="00000080">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2. Tramitar una nueva pensión, para lo cual se le aplicarán las reglas que correspondan. </w:t>
      </w:r>
    </w:p>
    <w:p w:rsidR="00000000" w:rsidDel="00000000" w:rsidP="00000000" w:rsidRDefault="00000000" w:rsidRPr="00000000" w14:paraId="00000081">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Los beneficios que otorga este artículo sólo podrán concederse por una sola vez. Si el pensionado reingresare por segunda ocasión al servicio, al retirarse nuevamente del servicio, únicamente tendrá derecho a la reactivación de la última pensión percibida actualizada conforme a lo dispuesto por esta ley.”</w:t>
      </w:r>
    </w:p>
    <w:p w:rsidR="00000000" w:rsidDel="00000000" w:rsidP="00000000" w:rsidRDefault="00000000" w:rsidRPr="00000000" w14:paraId="00000082">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(Énfasis Añadido)</w:t>
      </w:r>
    </w:p>
    <w:p w:rsidR="00000000" w:rsidDel="00000000" w:rsidP="00000000" w:rsidRDefault="00000000" w:rsidRPr="00000000" w14:paraId="00000083">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84">
      <w:pPr>
        <w:pBdr>
          <w:top w:space="0" w:sz="0" w:val="nil"/>
          <w:left w:space="0" w:sz="0" w:val="nil"/>
          <w:bottom w:space="0" w:sz="0" w:val="nil"/>
          <w:right w:space="0" w:sz="0" w:val="nil"/>
          <w:between w:space="0" w:sz="0" w:val="nil"/>
        </w:pBdr>
        <w:spacing w:after="240" w:before="240"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este tenor, el Manual General de Organización del Instituto de Seguridad Social del Estado de México y Municipios, señala que, dentro de su estructura orgánica, este cuenta con una Coordinación de Prestaciones y Seguridad Social, la cual tiene como objetivo planear, organizar y dirigir las acciones que permitan a las y los derechohabientes el acceso al régimen de seguridad social y a las prestaciones de tipo económico, social y cultural que establece la Ley de Seguridad Social para los Servidores Públicos del Estado de México y Municipios.</w:t>
      </w:r>
    </w:p>
    <w:p w:rsidR="00000000" w:rsidDel="00000000" w:rsidP="00000000" w:rsidRDefault="00000000" w:rsidRPr="00000000" w14:paraId="00000085">
      <w:pPr>
        <w:pBdr>
          <w:top w:space="0" w:sz="0" w:val="nil"/>
          <w:left w:space="0" w:sz="0" w:val="nil"/>
          <w:bottom w:space="0" w:sz="0" w:val="nil"/>
          <w:right w:space="0" w:sz="0" w:val="nil"/>
          <w:between w:space="0" w:sz="0" w:val="nil"/>
        </w:pBdr>
        <w:spacing w:after="240" w:before="240"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Aunado a ello contará con un Departamento de Pensiones, mismo que se encarga de realizar las acciones relacionadas con la determinación de las prestaciones de pensiones, seguro por fallecimiento y estímulo por permanencia en el servicio, otorgadas por el Instituto, derivadas del sistema solidario de reparto; asimismo cuenta con una Ventanilla Única de Atención Integral a Instituciones Públicas la cual se encarga de recibir y controlar el registro de la información de las instituciones públicas entregada al Instituto, referente a cuotas, aportaciones y retenciones de las y los servidores públicos, validando que la información proporcionada esté integrada en forma correcta; así como emitir los avisos de movimientos de las y los servidores públicos, pensionadas y pensionados, y pensionistas registrados ante el Instituto. Del mismo modo establece sus funciones, las cuales consisten en lo siguiente: </w:t>
      </w:r>
    </w:p>
    <w:p w:rsidR="00000000" w:rsidDel="00000000" w:rsidP="00000000" w:rsidRDefault="00000000" w:rsidRPr="00000000" w14:paraId="00000086">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207C0401520101L DEPARTAMENTO DE PENSIONES </w:t>
      </w:r>
    </w:p>
    <w:p w:rsidR="00000000" w:rsidDel="00000000" w:rsidP="00000000" w:rsidRDefault="00000000" w:rsidRPr="00000000" w14:paraId="00000087">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FUNCIONES:  </w:t>
      </w:r>
    </w:p>
    <w:p w:rsidR="00000000" w:rsidDel="00000000" w:rsidP="00000000" w:rsidRDefault="00000000" w:rsidRPr="00000000" w14:paraId="00000088">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Aplicar los incrementos del monto diario de pensión aprobados por el Consejo Directivo, conforme a la Ley de Seguridad Social para los Servidores Públicos del Estado de México y Municipios.  </w:t>
      </w:r>
    </w:p>
    <w:p w:rsidR="00000000" w:rsidDel="00000000" w:rsidP="00000000" w:rsidRDefault="00000000" w:rsidRPr="00000000" w14:paraId="00000089">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Calcular y determinar las cantidades a pagar para los pagos por primera vez por concepto de pensiones y estímulo por permanencia en el servicio, así como aplicar el monto autorizado por el Consejo Directivo para el pago del seguro por fallecimiento.  </w:t>
      </w:r>
    </w:p>
    <w:p w:rsidR="00000000" w:rsidDel="00000000" w:rsidP="00000000" w:rsidRDefault="00000000" w:rsidRPr="00000000" w14:paraId="0000008A">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Ejecutar, en el ámbito de su competencia, las sentencias o requerimientos de las autoridades judiciales o administrativas para su debido cumplimiento.  </w:t>
      </w:r>
    </w:p>
    <w:p w:rsidR="00000000" w:rsidDel="00000000" w:rsidP="00000000" w:rsidRDefault="00000000" w:rsidRPr="00000000" w14:paraId="0000008B">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 Mantener actualizadas las bases de datos de pensiones</w:t>
      </w:r>
      <w:r w:rsidDel="00000000" w:rsidR="00000000" w:rsidRPr="00000000">
        <w:rPr>
          <w:rFonts w:ascii="Palatino Linotype" w:cs="Palatino Linotype" w:eastAsia="Palatino Linotype" w:hAnsi="Palatino Linotype"/>
          <w:i w:val="1"/>
          <w:sz w:val="22"/>
          <w:szCs w:val="22"/>
          <w:rtl w:val="0"/>
        </w:rPr>
        <w:t xml:space="preserve"> y de seguros por fallecimiento, para el control de los beneficios otorgados.  </w:t>
      </w:r>
    </w:p>
    <w:p w:rsidR="00000000" w:rsidDel="00000000" w:rsidP="00000000" w:rsidRDefault="00000000" w:rsidRPr="00000000" w14:paraId="0000008C">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 Ejecutar las acciones relacionadas con el otorgamiento de pensiones,</w:t>
      </w:r>
      <w:r w:rsidDel="00000000" w:rsidR="00000000" w:rsidRPr="00000000">
        <w:rPr>
          <w:rFonts w:ascii="Palatino Linotype" w:cs="Palatino Linotype" w:eastAsia="Palatino Linotype" w:hAnsi="Palatino Linotype"/>
          <w:i w:val="1"/>
          <w:sz w:val="22"/>
          <w:szCs w:val="22"/>
          <w:rtl w:val="0"/>
        </w:rPr>
        <w:t xml:space="preserve"> verificando que el cálculo de los montos diarios se realice conforme a los parámetros establecidos.  </w:t>
      </w:r>
    </w:p>
    <w:p w:rsidR="00000000" w:rsidDel="00000000" w:rsidP="00000000" w:rsidRDefault="00000000" w:rsidRPr="00000000" w14:paraId="0000008D">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Elaborar el informe de las actividades que realiza el Comité de Pensiones para el conocimiento del Consejo Directivo.  </w:t>
      </w:r>
    </w:p>
    <w:p w:rsidR="00000000" w:rsidDel="00000000" w:rsidP="00000000" w:rsidRDefault="00000000" w:rsidRPr="00000000" w14:paraId="0000008E">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Revisar que las solicitudes recibidas en el departamento cumplan con los requisitos establecidos por la legislación de seguridad social para el otorgamiento de la prestación.  </w:t>
      </w:r>
    </w:p>
    <w:p w:rsidR="00000000" w:rsidDel="00000000" w:rsidP="00000000" w:rsidRDefault="00000000" w:rsidRPr="00000000" w14:paraId="0000008F">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Verificar el cumplimiento de los requisitos para el trámite de pensiones, seguros por fallecimiento y estímulos por permanencia en el servicio.</w:t>
      </w:r>
    </w:p>
    <w:p w:rsidR="00000000" w:rsidDel="00000000" w:rsidP="00000000" w:rsidRDefault="00000000" w:rsidRPr="00000000" w14:paraId="00000090">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 Verificar que se realicen los registros de supervivencia, altas, bajas y cambios realizados en la nómina de pensionadas y pensionados </w:t>
      </w:r>
      <w:r w:rsidDel="00000000" w:rsidR="00000000" w:rsidRPr="00000000">
        <w:rPr>
          <w:rFonts w:ascii="Palatino Linotype" w:cs="Palatino Linotype" w:eastAsia="Palatino Linotype" w:hAnsi="Palatino Linotype"/>
          <w:i w:val="1"/>
          <w:sz w:val="22"/>
          <w:szCs w:val="22"/>
          <w:rtl w:val="0"/>
        </w:rPr>
        <w:t xml:space="preserve">y pensionistas, a fin de controlar la procedencia de los pagos que el Instituto eroga quincenalmente por este rubro.  </w:t>
      </w:r>
    </w:p>
    <w:p w:rsidR="00000000" w:rsidDel="00000000" w:rsidP="00000000" w:rsidRDefault="00000000" w:rsidRPr="00000000" w14:paraId="00000091">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Desarrollar las demás funciones inherentes al área de su competencia. </w:t>
      </w:r>
    </w:p>
    <w:p w:rsidR="00000000" w:rsidDel="00000000" w:rsidP="00000000" w:rsidRDefault="00000000" w:rsidRPr="00000000" w14:paraId="00000092">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93">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i w:val="1"/>
          <w:sz w:val="22"/>
          <w:szCs w:val="22"/>
          <w:rtl w:val="0"/>
        </w:rPr>
        <w:t xml:space="preserve">207C0401520201L </w:t>
      </w:r>
      <w:r w:rsidDel="00000000" w:rsidR="00000000" w:rsidRPr="00000000">
        <w:rPr>
          <w:rFonts w:ascii="Palatino Linotype" w:cs="Palatino Linotype" w:eastAsia="Palatino Linotype" w:hAnsi="Palatino Linotype"/>
          <w:b w:val="1"/>
          <w:i w:val="1"/>
          <w:sz w:val="22"/>
          <w:szCs w:val="22"/>
          <w:rtl w:val="0"/>
        </w:rPr>
        <w:t xml:space="preserve">Ventanilla Única de Atención Integral a Instituciones Públicas </w:t>
      </w:r>
    </w:p>
    <w:p w:rsidR="00000000" w:rsidDel="00000000" w:rsidP="00000000" w:rsidRDefault="00000000" w:rsidRPr="00000000" w14:paraId="00000094">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FUNCIONES:  </w:t>
      </w:r>
    </w:p>
    <w:p w:rsidR="00000000" w:rsidDel="00000000" w:rsidP="00000000" w:rsidRDefault="00000000" w:rsidRPr="00000000" w14:paraId="00000095">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Recibir, registrar y resguardar la información relacionada con los archivos de nómina y orden de pago de cuotas, aportaciones y retenciones de la población cotizante, presentada por las instituciones públicas afiliadas al régimen de seguridad social, con el propósito de validar los datos proporcionados. </w:t>
      </w:r>
    </w:p>
    <w:p w:rsidR="00000000" w:rsidDel="00000000" w:rsidP="00000000" w:rsidRDefault="00000000" w:rsidRPr="00000000" w14:paraId="00000096">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Emitir y controlar los avisos de movimiento de las y los servidores públicos afiliados al régimen de seguridad social del Estado de México, para los trámites que les sean requeridos.  </w:t>
      </w:r>
    </w:p>
    <w:p w:rsidR="00000000" w:rsidDel="00000000" w:rsidP="00000000" w:rsidRDefault="00000000" w:rsidRPr="00000000" w14:paraId="00000097">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Asesorar a las instituciones públicas afiliadas al régimen de seguridad social del Estado de México, sobre el procedimiento para el cálculo y registro de las cuotas, aportaciones y retenciones de la población cotizante.  </w:t>
      </w:r>
    </w:p>
    <w:p w:rsidR="00000000" w:rsidDel="00000000" w:rsidP="00000000" w:rsidRDefault="00000000" w:rsidRPr="00000000" w14:paraId="00000098">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Validar, integrar e informar el cálculo de las cuotas y aportaciones omitidas por parte de las instituciones públicas, conforme a las disposiciones que se establezcan para tal efecto. </w:t>
      </w:r>
    </w:p>
    <w:p w:rsidR="00000000" w:rsidDel="00000000" w:rsidP="00000000" w:rsidRDefault="00000000" w:rsidRPr="00000000" w14:paraId="00000099">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Actualizar el Catálogo de Instituciones Públicas Afiliadas al Régimen de Seguridad Social del Estado de México, con el propósito de mantener los controles correspondientes. </w:t>
      </w:r>
    </w:p>
    <w:p w:rsidR="00000000" w:rsidDel="00000000" w:rsidP="00000000" w:rsidRDefault="00000000" w:rsidRPr="00000000" w14:paraId="0000009A">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Establecer comunicación con las áreas correspondientes, para proporcionar la información relativa a la población cotizante, cuando esta sea requerida.  </w:t>
      </w:r>
    </w:p>
    <w:p w:rsidR="00000000" w:rsidDel="00000000" w:rsidP="00000000" w:rsidRDefault="00000000" w:rsidRPr="00000000" w14:paraId="0000009B">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Mantener contacto permanente con las instituciones públicas afiliadas al Instituto, para coordinar el registro de la información de las y los servidores públicos, en cuanto a percepciones, deducciones y retenciones.  </w:t>
      </w:r>
    </w:p>
    <w:p w:rsidR="00000000" w:rsidDel="00000000" w:rsidP="00000000" w:rsidRDefault="00000000" w:rsidRPr="00000000" w14:paraId="0000009C">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Permitir y verificar el acceso a la información, relativa a percepciones y deducciones de la población cotizante, para su uso ante las instancias correspondientes. </w:t>
      </w:r>
    </w:p>
    <w:p w:rsidR="00000000" w:rsidDel="00000000" w:rsidP="00000000" w:rsidRDefault="00000000" w:rsidRPr="00000000" w14:paraId="0000009D">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Asignar la clave de identificación ISSEMyM a las y los servidores públicos, asegurándose que ésta sea única e irrepetible y evitar su duplicidad. </w:t>
      </w:r>
    </w:p>
    <w:p w:rsidR="00000000" w:rsidDel="00000000" w:rsidP="00000000" w:rsidRDefault="00000000" w:rsidRPr="00000000" w14:paraId="0000009E">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Desarrollar las demás funciones inherentes al área de su competencia</w:t>
      </w: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9F">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(Énfasis Añadido)</w:t>
      </w:r>
    </w:p>
    <w:p w:rsidR="00000000" w:rsidDel="00000000" w:rsidP="00000000" w:rsidRDefault="00000000" w:rsidRPr="00000000" w14:paraId="000000A0">
      <w:pPr>
        <w:pBdr>
          <w:top w:space="0" w:sz="0" w:val="nil"/>
          <w:left w:space="0" w:sz="0" w:val="nil"/>
          <w:bottom w:space="0" w:sz="0" w:val="nil"/>
          <w:right w:space="0" w:sz="0" w:val="nil"/>
          <w:between w:space="0" w:sz="0" w:val="nil"/>
        </w:pBdr>
        <w:spacing w:after="240" w:before="240"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 lo anterior, se advierte que el Sujeto Obligado a través del Departamento de Pensiones y de la Ventanilla Única de Atención Integral a Instituciones Públicas adscritas a la Coordinación de Prestaciones y Seguridad Social, tiene atribución para contar con información relacionada al otorgamiento de pensiones, así como a la suspensión de la pensión por reingreso al servicio público. </w:t>
      </w:r>
    </w:p>
    <w:p w:rsidR="00000000" w:rsidDel="00000000" w:rsidP="00000000" w:rsidRDefault="00000000" w:rsidRPr="00000000" w14:paraId="000000A1">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Hasta este punto, conviene precisar que si bien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en respuesta informó que el procedimiento para solicitar la pensión por reingreso al servicio público, deberá iniciarse mediante formatos previamente establecidos por el Instituto a través de la Unidad u oficina de Atención al Derechohabiente que corresponda a cada solicitante, del mismo modo señaló que la solicitud de suspensión de pensión deberá ser sesionada por el Comité de Pensiones a efecto de emitirse el documento correspondiente el cual le deberá ser debidamente notificado al solicitante. </w:t>
      </w:r>
    </w:p>
    <w:p w:rsidR="00000000" w:rsidDel="00000000" w:rsidP="00000000" w:rsidRDefault="00000000" w:rsidRPr="00000000" w14:paraId="000000A2">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A3">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No obstante, mediante Informe Justificado,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modificó su respuesta y señaló que el Departamento de pensiones se entera si un pensionado ha causado alta nuevamente en el servicio público, cuando el área de Ventanilla Única de Atención Integral a Instituciones Públicas así lo informa o bien, cuando llega la solicitud de suspensión de pensión, </w:t>
      </w:r>
      <w:r w:rsidDel="00000000" w:rsidR="00000000" w:rsidRPr="00000000">
        <w:rPr>
          <w:rFonts w:ascii="Palatino Linotype" w:cs="Palatino Linotype" w:eastAsia="Palatino Linotype" w:hAnsi="Palatino Linotype"/>
          <w:b w:val="1"/>
          <w:sz w:val="22"/>
          <w:szCs w:val="22"/>
          <w:rtl w:val="0"/>
        </w:rPr>
        <w:t xml:space="preserve">situaciones que en el caso que nos ocupa</w:t>
      </w:r>
      <w:r w:rsidDel="00000000" w:rsidR="00000000" w:rsidRPr="00000000">
        <w:rPr>
          <w:rFonts w:ascii="Palatino Linotype" w:cs="Palatino Linotype" w:eastAsia="Palatino Linotype" w:hAnsi="Palatino Linotype"/>
          <w:b w:val="1"/>
          <w:sz w:val="22"/>
          <w:szCs w:val="22"/>
          <w:u w:val="single"/>
          <w:rtl w:val="0"/>
        </w:rPr>
        <w:t xml:space="preserve"> no se han presentado al día de la fecha</w:t>
      </w:r>
      <w:r w:rsidDel="00000000" w:rsidR="00000000" w:rsidRPr="00000000">
        <w:rPr>
          <w:rFonts w:ascii="Palatino Linotype" w:cs="Palatino Linotype" w:eastAsia="Palatino Linotype" w:hAnsi="Palatino Linotype"/>
          <w:sz w:val="22"/>
          <w:szCs w:val="22"/>
          <w:rtl w:val="0"/>
        </w:rPr>
        <w:t xml:space="preserve">, por ello no existía a la fecha de la solicitud ningún documento que diera cuenta de la suspensión de pago de pensión de la persona referida en la solicitud. </w:t>
      </w:r>
    </w:p>
    <w:p w:rsidR="00000000" w:rsidDel="00000000" w:rsidP="00000000" w:rsidRDefault="00000000" w:rsidRPr="00000000" w14:paraId="000000A4">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A5">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el Departamento informó que se procedería a la retención de la liberación del pago de pensión a partir de la primera quincena del mes de febrero del año en curso; pues se informó que para efecto de suspender el pago de pensión y darlo de baja de la nómina de Pensionados y Pensionistas del Instituto, necesariamente el interesado deberá realizar el trámite de suspensión de pensión previsto en el artículo 78 de la Ley de Seguridad Social para los Servidores Públicos del Estado de México y Municipios, a través del cual obtendrá un Dictamen de suspensión de pensión. </w:t>
      </w:r>
    </w:p>
    <w:p w:rsidR="00000000" w:rsidDel="00000000" w:rsidP="00000000" w:rsidRDefault="00000000" w:rsidRPr="00000000" w14:paraId="000000A6">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A7">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Finalmente, señaló que, el área de </w:t>
      </w:r>
      <w:r w:rsidDel="00000000" w:rsidR="00000000" w:rsidRPr="00000000">
        <w:rPr>
          <w:rFonts w:ascii="Palatino Linotype" w:cs="Palatino Linotype" w:eastAsia="Palatino Linotype" w:hAnsi="Palatino Linotype"/>
          <w:b w:val="1"/>
          <w:sz w:val="22"/>
          <w:szCs w:val="22"/>
          <w:rtl w:val="0"/>
        </w:rPr>
        <w:t xml:space="preserve">Ventanilla Única de Atención Integral a Instituciones Públicas informó que</w:t>
      </w:r>
      <w:r w:rsidDel="00000000" w:rsidR="00000000" w:rsidRPr="00000000">
        <w:rPr>
          <w:rFonts w:ascii="Palatino Linotype" w:cs="Palatino Linotype" w:eastAsia="Palatino Linotype" w:hAnsi="Palatino Linotype"/>
          <w:sz w:val="22"/>
          <w:szCs w:val="22"/>
          <w:rtl w:val="0"/>
        </w:rPr>
        <w:t xml:space="preserve">, de acuerdo con los datos registrados en los sistemas, hasta la primera quincena del año en curso, </w:t>
      </w:r>
      <w:r w:rsidDel="00000000" w:rsidR="00000000" w:rsidRPr="00000000">
        <w:rPr>
          <w:rFonts w:ascii="Palatino Linotype" w:cs="Palatino Linotype" w:eastAsia="Palatino Linotype" w:hAnsi="Palatino Linotype"/>
          <w:b w:val="1"/>
          <w:sz w:val="22"/>
          <w:szCs w:val="22"/>
          <w:u w:val="single"/>
          <w:rtl w:val="0"/>
        </w:rPr>
        <w:t xml:space="preserve">no se cuenta con algún movimiento de alta realizado por el Municipio de Otzolotepec a nombre de la persona referida</w:t>
      </w:r>
      <w:r w:rsidDel="00000000" w:rsidR="00000000" w:rsidRPr="00000000">
        <w:rPr>
          <w:rFonts w:ascii="Palatino Linotype" w:cs="Palatino Linotype" w:eastAsia="Palatino Linotype" w:hAnsi="Palatino Linotype"/>
          <w:sz w:val="22"/>
          <w:szCs w:val="22"/>
          <w:rtl w:val="0"/>
        </w:rPr>
        <w:t xml:space="preserve">.</w:t>
      </w:r>
    </w:p>
    <w:p w:rsidR="00000000" w:rsidDel="00000000" w:rsidP="00000000" w:rsidRDefault="00000000" w:rsidRPr="00000000" w14:paraId="000000A8">
      <w:pPr>
        <w:pBdr>
          <w:top w:space="0" w:sz="0" w:val="nil"/>
          <w:left w:space="0" w:sz="0" w:val="nil"/>
          <w:bottom w:space="0" w:sz="0" w:val="nil"/>
          <w:right w:space="0" w:sz="0" w:val="nil"/>
          <w:between w:space="0" w:sz="0" w:val="nil"/>
        </w:pBdr>
        <w:spacing w:after="240" w:before="240" w:line="360" w:lineRule="auto"/>
        <w:ind w:right="51"/>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Quedando evidencia que, el servidor público habilitado de la Ventanilla Única de Atención Integral a Instituciones Públicas adscritas a la Coordinación de Prestaciones y Seguridad Social otorgó una respuesta exhaustiva y razonable a la solicitud de información inicial, dando puntual atención al requerimiento del ahora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w:t>
      </w:r>
    </w:p>
    <w:p w:rsidR="00000000" w:rsidDel="00000000" w:rsidP="00000000" w:rsidRDefault="00000000" w:rsidRPr="00000000" w14:paraId="000000A9">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ese sentido, se colige que, en el presente caso, no es posible que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pueda poseer información relacionada con lo solicitado, toda vez que como ya fue precisado en líneas que anteceden,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precisó que no se ha informado del alta del servidor público referido en la solicitud, ni tampoco se ha hecho llegar la solicitud de suspensión de pensión; robusteciendo lo anterior, realizó una búsqueda de la información dentro de los registros en los sistemas de la Ventanilla única de Atención Integral a Instituciones Públicas, sin que se identificara algún movimiento de alta realizado por el Municipio de Otzolotepec a nombre de la persona referida, de modo que se constituye un hecho negativo, dado que aún no obra en sus archivos documento que de cuenta de la suspensión al pago de pensión de la persona referida en la solicitud, al momento de la presentación de la solicitud de información; entonces, si se considera el hecho negativo, es obvio, que éste no puede fácticamente obrar en los archivos del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ya que no puede probarse por ser lógica y materialmente imposible. </w:t>
      </w:r>
    </w:p>
    <w:p w:rsidR="00000000" w:rsidDel="00000000" w:rsidP="00000000" w:rsidRDefault="00000000" w:rsidRPr="00000000" w14:paraId="000000AA">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AB">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no se trata de un caso por el cual la negación del hecho implique la afirmación del mismo, simplemente se está ante una notoria y evidente inexistencia fáctica de la información solicitada.</w:t>
      </w:r>
    </w:p>
    <w:p w:rsidR="00000000" w:rsidDel="00000000" w:rsidP="00000000" w:rsidRDefault="00000000" w:rsidRPr="00000000" w14:paraId="000000AC">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AD">
      <w:pPr>
        <w:spacing w:line="360" w:lineRule="auto"/>
        <w:ind w:right="49"/>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sz w:val="22"/>
          <w:szCs w:val="22"/>
          <w:rtl w:val="0"/>
        </w:rPr>
        <w:t xml:space="preserve">Encontrándonos ante un hecho negativo, destacando entonces que el Pleno de este Organismo Garante, ha sostenido que ante la presencia de un hecho negativo, resultaría innecesaria una declaratoria de inexistencia en términos de los artículos 19, 169 y 170 de la Ley de Transparencia y Acceso a la Información Pública del Estado de México y Municipios, y ante una hecho negativo resulta aplicable la siguiente tesis:</w:t>
      </w:r>
      <w:r w:rsidDel="00000000" w:rsidR="00000000" w:rsidRPr="00000000">
        <w:rPr>
          <w:rtl w:val="0"/>
        </w:rPr>
      </w:r>
    </w:p>
    <w:p w:rsidR="00000000" w:rsidDel="00000000" w:rsidP="00000000" w:rsidRDefault="00000000" w:rsidRPr="00000000" w14:paraId="000000AE">
      <w:pPr>
        <w:spacing w:line="360" w:lineRule="auto"/>
        <w:ind w:right="49"/>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AF">
      <w:pPr>
        <w:pBdr>
          <w:top w:space="0" w:sz="0" w:val="nil"/>
          <w:left w:space="0" w:sz="0" w:val="nil"/>
          <w:bottom w:space="0" w:sz="0" w:val="nil"/>
          <w:right w:space="0" w:sz="0" w:val="nil"/>
          <w:between w:space="0" w:sz="0" w:val="nil"/>
        </w:pBd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HECHOS NEGATIVOS, NO SON SUSCEPTIBLES DE DEMOSTRACIÓN. </w:t>
      </w:r>
      <w:r w:rsidDel="00000000" w:rsidR="00000000" w:rsidRPr="00000000">
        <w:rPr>
          <w:rFonts w:ascii="Palatino Linotype" w:cs="Palatino Linotype" w:eastAsia="Palatino Linotype" w:hAnsi="Palatino Linotype"/>
          <w:i w:val="1"/>
          <w:sz w:val="22"/>
          <w:szCs w:val="22"/>
          <w:rtl w:val="0"/>
        </w:rPr>
        <w:t xml:space="preserve">Tratándose de un hecho negativo, el Juez no tiene por qué invocar prueba alguna de la que se desprenda, ya que es bien sabido que esta clase de hechos no son susceptibles de demostración”. </w:t>
      </w:r>
    </w:p>
    <w:p w:rsidR="00000000" w:rsidDel="00000000" w:rsidP="00000000" w:rsidRDefault="00000000" w:rsidRPr="00000000" w14:paraId="000000B0">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B1">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Además, y de conformidad con lo establecido en el artículo 12 de la Ley de Transparencia y Acceso a la Información Pública del Estado de México y Municipios, anteriormente invocado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sólo proporcionará la información que obra en sus archivos, lo que a </w:t>
      </w:r>
      <w:r w:rsidDel="00000000" w:rsidR="00000000" w:rsidRPr="00000000">
        <w:rPr>
          <w:rFonts w:ascii="Palatino Linotype" w:cs="Palatino Linotype" w:eastAsia="Palatino Linotype" w:hAnsi="Palatino Linotype"/>
          <w:i w:val="1"/>
          <w:sz w:val="22"/>
          <w:szCs w:val="22"/>
          <w:rtl w:val="0"/>
        </w:rPr>
        <w:t xml:space="preserve">contrario sensu</w:t>
      </w:r>
      <w:r w:rsidDel="00000000" w:rsidR="00000000" w:rsidRPr="00000000">
        <w:rPr>
          <w:rFonts w:ascii="Palatino Linotype" w:cs="Palatino Linotype" w:eastAsia="Palatino Linotype" w:hAnsi="Palatino Linotype"/>
          <w:sz w:val="22"/>
          <w:szCs w:val="22"/>
          <w:rtl w:val="0"/>
        </w:rPr>
        <w:t xml:space="preserve"> significa que no se está obligado a proporcionar lo que no obre en sus archivos; por ende, las razones o motivos de inconformidad al respecto devienen infundados.</w:t>
      </w:r>
    </w:p>
    <w:p w:rsidR="00000000" w:rsidDel="00000000" w:rsidP="00000000" w:rsidRDefault="00000000" w:rsidRPr="00000000" w14:paraId="000000B2">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B3">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No se omite mencionar al particular que el derecho de acceso a la información es un derecho de acceso a documentos generados poseídos o administrados por el sujeto obligado al momento de presentar la solicitud de información, en atención a ello, la Ley de Transparencia y Acceso a la Información Pública del Estado de México y Municipios señala en su artículo 4,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rsidR="00000000" w:rsidDel="00000000" w:rsidP="00000000" w:rsidRDefault="00000000" w:rsidRPr="00000000" w14:paraId="000000B4">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B5">
      <w:pPr>
        <w:tabs>
          <w:tab w:val="left" w:leader="none" w:pos="851"/>
        </w:tabs>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4</w:t>
      </w:r>
      <w:r w:rsidDel="00000000" w:rsidR="00000000" w:rsidRPr="00000000">
        <w:rPr>
          <w:rFonts w:ascii="Palatino Linotype" w:cs="Palatino Linotype" w:eastAsia="Palatino Linotype" w:hAnsi="Palatino Linotype"/>
          <w:i w:val="1"/>
          <w:sz w:val="22"/>
          <w:szCs w:val="22"/>
          <w:rtl w:val="0"/>
        </w:rPr>
        <w:t xml:space="preserve">. El derecho humano de acceso a la información pública es la prerrogativa de las personas para buscar, difundir, investigar, recabar, recibir y solicitar información pública, sin necesidad de acreditar personalidad ni interés jurídico. </w:t>
      </w:r>
    </w:p>
    <w:p w:rsidR="00000000" w:rsidDel="00000000" w:rsidP="00000000" w:rsidRDefault="00000000" w:rsidRPr="00000000" w14:paraId="000000B6">
      <w:pPr>
        <w:tabs>
          <w:tab w:val="left" w:leader="none" w:pos="851"/>
        </w:tabs>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Toda la información generada, obtenida, adquirida, transformada, administrada o en posesión de los sujetos obligados es pública y accesible de manera permanente a cualquier persona</w:t>
      </w:r>
      <w:r w:rsidDel="00000000" w:rsidR="00000000" w:rsidRPr="00000000">
        <w:rPr>
          <w:rFonts w:ascii="Palatino Linotype" w:cs="Palatino Linotype" w:eastAsia="Palatino Linotype" w:hAnsi="Palatino Linotype"/>
          <w:i w:val="1"/>
          <w:sz w:val="22"/>
          <w:szCs w:val="22"/>
          <w:rtl w:val="0"/>
        </w:rPr>
        <w:t xml:space="preserve">,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rsidR="00000000" w:rsidDel="00000000" w:rsidP="00000000" w:rsidRDefault="00000000" w:rsidRPr="00000000" w14:paraId="000000B7">
      <w:pPr>
        <w:tabs>
          <w:tab w:val="left" w:leader="none" w:pos="851"/>
        </w:tabs>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Los sujetos obligados deben poner en práctica, políticas y programas de acceso a la información que se apeguen a criterios de publicidad, veracidad, oportunidad, precisión y suficiencia en beneficio de los solicitantes</w:t>
      </w:r>
      <w:r w:rsidDel="00000000" w:rsidR="00000000" w:rsidRPr="00000000">
        <w:rPr>
          <w:rFonts w:ascii="Palatino Linotype" w:cs="Palatino Linotype" w:eastAsia="Palatino Linotype" w:hAnsi="Palatino Linotype"/>
          <w:i w:val="1"/>
          <w:sz w:val="22"/>
          <w:szCs w:val="22"/>
          <w:rtl w:val="0"/>
        </w:rPr>
        <w:t xml:space="preserve">.”(Sic)</w:t>
      </w:r>
    </w:p>
    <w:p w:rsidR="00000000" w:rsidDel="00000000" w:rsidP="00000000" w:rsidRDefault="00000000" w:rsidRPr="00000000" w14:paraId="000000B8">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B9">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generarla, ni presentarla conforme al interés del solicitante; como así lo establece el artículo 12 de la Ley de Transparencia y Acceso a la Información Pública del Estado de México y Municipios, que a la letra dice:</w:t>
      </w:r>
    </w:p>
    <w:p w:rsidR="00000000" w:rsidDel="00000000" w:rsidP="00000000" w:rsidRDefault="00000000" w:rsidRPr="00000000" w14:paraId="000000BA">
      <w:pPr>
        <w:spacing w:line="276" w:lineRule="auto"/>
        <w:ind w:left="567" w:right="616"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BB">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12.-</w:t>
      </w:r>
      <w:r w:rsidDel="00000000" w:rsidR="00000000" w:rsidRPr="00000000">
        <w:rPr>
          <w:rFonts w:ascii="Palatino Linotype" w:cs="Palatino Linotype" w:eastAsia="Palatino Linotype" w:hAnsi="Palatino Linotype"/>
          <w:i w:val="1"/>
          <w:sz w:val="22"/>
          <w:szCs w:val="22"/>
          <w:rtl w:val="0"/>
        </w:rPr>
        <w:t xml:space="preserve"> Quienes generen, recopilen, administren, manejen, procesen, archiven o conserven información pública serán responsables de la misma en los términos de las disposiciones jurídicas aplicables. </w:t>
      </w:r>
    </w:p>
    <w:p w:rsidR="00000000" w:rsidDel="00000000" w:rsidP="00000000" w:rsidRDefault="00000000" w:rsidRPr="00000000" w14:paraId="000000BC">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BD">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Los sujetos obligados sólo proporcionarán la información pública que se les requiera y que obre en sus archivos y en el estado en que ésta se encuentre</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La obligación de proporcionar información no comprende el procesamiento de la misma, ni el presentarla conforme al interés del solicitante; no estarán obligados a generarla, resumirla, efectuar cálculos o practicar investigaciones</w:t>
      </w:r>
      <w:r w:rsidDel="00000000" w:rsidR="00000000" w:rsidRPr="00000000">
        <w:rPr>
          <w:rFonts w:ascii="Palatino Linotype" w:cs="Palatino Linotype" w:eastAsia="Palatino Linotype" w:hAnsi="Palatino Linotype"/>
          <w:i w:val="1"/>
          <w:sz w:val="22"/>
          <w:szCs w:val="22"/>
          <w:rtl w:val="0"/>
        </w:rPr>
        <w:t xml:space="preserve">.” </w:t>
      </w:r>
    </w:p>
    <w:p w:rsidR="00000000" w:rsidDel="00000000" w:rsidP="00000000" w:rsidRDefault="00000000" w:rsidRPr="00000000" w14:paraId="000000BE">
      <w:pPr>
        <w:spacing w:line="360" w:lineRule="auto"/>
        <w:ind w:right="-93"/>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BF">
      <w:pPr>
        <w:spacing w:line="360" w:lineRule="auto"/>
        <w:ind w:right="-93"/>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sólo se concretarán a proporcionar la información solicitada que tengan en su poder en el estado que se encuentran, sin necesidad de concretarse al interés o términos específicos del solicitante.</w:t>
      </w:r>
    </w:p>
    <w:p w:rsidR="00000000" w:rsidDel="00000000" w:rsidP="00000000" w:rsidRDefault="00000000" w:rsidRPr="00000000" w14:paraId="000000C0">
      <w:pPr>
        <w:spacing w:line="360" w:lineRule="auto"/>
        <w:ind w:right="-93"/>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C1">
      <w:pPr>
        <w:spacing w:line="36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sz w:val="22"/>
          <w:szCs w:val="22"/>
          <w:rtl w:val="0"/>
        </w:rPr>
        <w:t xml:space="preserve">Sirve de apoyo a lo anterior, el criterio 03-17, expuesto por el Instituto Nacional de Transparencia, Acceso a la Información y Protección de Datos Personales, que dice:</w:t>
      </w:r>
      <w:r w:rsidDel="00000000" w:rsidR="00000000" w:rsidRPr="00000000">
        <w:rPr>
          <w:rFonts w:ascii="Palatino Linotype" w:cs="Palatino Linotype" w:eastAsia="Palatino Linotype" w:hAnsi="Palatino Linotype"/>
          <w:b w:val="1"/>
          <w:sz w:val="22"/>
          <w:szCs w:val="22"/>
          <w:rtl w:val="0"/>
        </w:rPr>
        <w:t xml:space="preserve"> </w:t>
      </w:r>
    </w:p>
    <w:p w:rsidR="00000000" w:rsidDel="00000000" w:rsidP="00000000" w:rsidRDefault="00000000" w:rsidRPr="00000000" w14:paraId="000000C2">
      <w:pPr>
        <w:spacing w:line="276" w:lineRule="auto"/>
        <w:ind w:left="851" w:right="850"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C3">
      <w:pPr>
        <w:spacing w:line="276" w:lineRule="auto"/>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No existe obligación de elaborar documentos ad hoc para atender las solicitudes de acceso a la información.</w:t>
      </w:r>
      <w:r w:rsidDel="00000000" w:rsidR="00000000" w:rsidRPr="00000000">
        <w:rPr>
          <w:rFonts w:ascii="Palatino Linotype" w:cs="Palatino Linotype" w:eastAsia="Palatino Linotype" w:hAnsi="Palatino Linotype"/>
          <w:i w:val="1"/>
          <w:sz w:val="22"/>
          <w:szCs w:val="22"/>
          <w:rtl w:val="0"/>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w:t>
      </w:r>
    </w:p>
    <w:p w:rsidR="00000000" w:rsidDel="00000000" w:rsidP="00000000" w:rsidRDefault="00000000" w:rsidRPr="00000000" w14:paraId="000000C4">
      <w:pPr>
        <w:spacing w:line="276" w:lineRule="auto"/>
        <w:ind w:left="567"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C5">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rsidR="00000000" w:rsidDel="00000000" w:rsidP="00000000" w:rsidRDefault="00000000" w:rsidRPr="00000000" w14:paraId="000000C6">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C7">
      <w:pPr>
        <w:spacing w:line="360" w:lineRule="auto"/>
        <w:jc w:val="both"/>
        <w:rPr>
          <w:rFonts w:ascii="Palatino Linotype" w:cs="Palatino Linotype" w:eastAsia="Palatino Linotype" w:hAnsi="Palatino Linotype"/>
          <w:b w:val="1"/>
          <w:sz w:val="22"/>
          <w:szCs w:val="22"/>
          <w:u w:val="single"/>
        </w:rPr>
      </w:pPr>
      <w:bookmarkStart w:colFirst="0" w:colLast="0" w:name="_heading=h.4d34og8" w:id="8"/>
      <w:bookmarkEnd w:id="8"/>
      <w:r w:rsidDel="00000000" w:rsidR="00000000" w:rsidRPr="00000000">
        <w:rPr>
          <w:rFonts w:ascii="Palatino Linotype" w:cs="Palatino Linotype" w:eastAsia="Palatino Linotype" w:hAnsi="Palatino Linotype"/>
          <w:sz w:val="22"/>
          <w:szCs w:val="22"/>
          <w:rtl w:val="0"/>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w:t>
      </w:r>
      <w:r w:rsidDel="00000000" w:rsidR="00000000" w:rsidRPr="00000000">
        <w:rPr>
          <w:rFonts w:ascii="Palatino Linotype" w:cs="Palatino Linotype" w:eastAsia="Palatino Linotype" w:hAnsi="Palatino Linotype"/>
          <w:b w:val="1"/>
          <w:sz w:val="22"/>
          <w:szCs w:val="22"/>
          <w:u w:val="single"/>
          <w:rtl w:val="0"/>
        </w:rPr>
        <w:t xml:space="preserve">sin embargo, en el presente caso a la fecha de la solicitud no se había generado alguno, por ello no se puede proporcionar el documento que dé cuenta de la suspensión de pago de pensión .</w:t>
      </w:r>
    </w:p>
    <w:p w:rsidR="00000000" w:rsidDel="00000000" w:rsidP="00000000" w:rsidRDefault="00000000" w:rsidRPr="00000000" w14:paraId="000000C8">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C9">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Por otra parte, respecto a que se dé vista al Órgano Interno de Control, este Organismo Garante considera oportuno mencionar que, el Recurso de Revisión no es la vía para solicitar o imponer alguna sanción al Sujeto Obligado a efecto de que se investigue porque se sigue efectuando el pago por pensión de la persona referida en la solicitud, de tal manera que, se dejan a salvo los derechos de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para que acuda a la instancia competente a ejercer lo que a derecho corresponda. </w:t>
      </w:r>
    </w:p>
    <w:p w:rsidR="00000000" w:rsidDel="00000000" w:rsidP="00000000" w:rsidRDefault="00000000" w:rsidRPr="00000000" w14:paraId="000000CA">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CB">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consecuencia, de todo lo anterior, se actualiza la causal de sobreseimiento prevista en la fracción III del artículo 192 de la Ley de Transparencia y Acceso a la Información Pública del Estado de México y Municipios, que dispone lo siguiente:</w:t>
      </w:r>
    </w:p>
    <w:p w:rsidR="00000000" w:rsidDel="00000000" w:rsidP="00000000" w:rsidRDefault="00000000" w:rsidRPr="00000000" w14:paraId="000000CC">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CD">
      <w:pPr>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192. </w:t>
      </w:r>
      <w:r w:rsidDel="00000000" w:rsidR="00000000" w:rsidRPr="00000000">
        <w:rPr>
          <w:rFonts w:ascii="Palatino Linotype" w:cs="Palatino Linotype" w:eastAsia="Palatino Linotype" w:hAnsi="Palatino Linotype"/>
          <w:i w:val="1"/>
          <w:sz w:val="22"/>
          <w:szCs w:val="22"/>
          <w:rtl w:val="0"/>
        </w:rPr>
        <w:t xml:space="preserve">El recurso será sobreseído en todo o en parte cuando una vez admitido, se actualicen alguno de los siguientes supuestos:</w:t>
      </w:r>
    </w:p>
    <w:p w:rsidR="00000000" w:rsidDel="00000000" w:rsidP="00000000" w:rsidRDefault="00000000" w:rsidRPr="00000000" w14:paraId="000000CE">
      <w:pPr>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w:t>
      </w:r>
      <w:r w:rsidDel="00000000" w:rsidR="00000000" w:rsidRPr="00000000">
        <w:rPr>
          <w:rtl w:val="0"/>
        </w:rPr>
      </w:r>
    </w:p>
    <w:p w:rsidR="00000000" w:rsidDel="00000000" w:rsidP="00000000" w:rsidRDefault="00000000" w:rsidRPr="00000000" w14:paraId="000000CF">
      <w:pPr>
        <w:ind w:left="851"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III. El sujeto obligado responsable del acto lo modifique o revoque de tal manera que el recurso de revisión quede sin materia…” </w:t>
      </w:r>
    </w:p>
    <w:p w:rsidR="00000000" w:rsidDel="00000000" w:rsidP="00000000" w:rsidRDefault="00000000" w:rsidRPr="00000000" w14:paraId="000000D0">
      <w:pPr>
        <w:ind w:left="851"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(Énfasis añadido)</w:t>
      </w:r>
    </w:p>
    <w:p w:rsidR="00000000" w:rsidDel="00000000" w:rsidP="00000000" w:rsidRDefault="00000000" w:rsidRPr="00000000" w14:paraId="000000D1">
      <w:pPr>
        <w:spacing w:line="360" w:lineRule="auto"/>
        <w:jc w:val="both"/>
        <w:rPr>
          <w:rFonts w:ascii="Palatino Linotype" w:cs="Palatino Linotype" w:eastAsia="Palatino Linotype" w:hAnsi="Palatino Linotype"/>
          <w:b w:val="1"/>
          <w:i w:val="1"/>
          <w:sz w:val="22"/>
          <w:szCs w:val="22"/>
        </w:rPr>
      </w:pPr>
      <w:r w:rsidDel="00000000" w:rsidR="00000000" w:rsidRPr="00000000">
        <w:rPr>
          <w:rtl w:val="0"/>
        </w:rPr>
      </w:r>
    </w:p>
    <w:p w:rsidR="00000000" w:rsidDel="00000000" w:rsidP="00000000" w:rsidRDefault="00000000" w:rsidRPr="00000000" w14:paraId="000000D2">
      <w:pPr>
        <w:spacing w:after="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 lo establecido en el precepto legal citado se advierte que el sobreseimiento del recurso de revisión procede en los siguientes casos:</w:t>
      </w:r>
    </w:p>
    <w:p w:rsidR="00000000" w:rsidDel="00000000" w:rsidP="00000000" w:rsidRDefault="00000000" w:rsidRPr="00000000" w14:paraId="000000D3">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 Cuando el sujeto obligado modifique el acto impugnado.</w:t>
      </w:r>
    </w:p>
    <w:p w:rsidR="00000000" w:rsidDel="00000000" w:rsidP="00000000" w:rsidRDefault="00000000" w:rsidRPr="00000000" w14:paraId="000000D4">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b) Cuando el sujeto obligado revoque el acto impugnado.</w:t>
      </w:r>
    </w:p>
    <w:p w:rsidR="00000000" w:rsidDel="00000000" w:rsidP="00000000" w:rsidRDefault="00000000" w:rsidRPr="00000000" w14:paraId="000000D5">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Quedando en ambos casos el acto combatido sin materia o sin efectos.</w:t>
      </w:r>
    </w:p>
    <w:p w:rsidR="00000000" w:rsidDel="00000000" w:rsidP="00000000" w:rsidRDefault="00000000" w:rsidRPr="00000000" w14:paraId="000000D6">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Como se observa de lo anterior, un acto impugnado es modificado en aquellos casos en los que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w:t>
      </w:r>
      <w:r w:rsidDel="00000000" w:rsidR="00000000" w:rsidRPr="00000000">
        <w:rPr>
          <w:rFonts w:ascii="Palatino Linotype" w:cs="Palatino Linotype" w:eastAsia="Palatino Linotype" w:hAnsi="Palatino Linotype"/>
          <w:sz w:val="22"/>
          <w:szCs w:val="22"/>
          <w:u w:val="single"/>
          <w:rtl w:val="0"/>
        </w:rPr>
        <w:t xml:space="preserve">subsana las deficiencias que hubiera tenido en primer momento</w:t>
      </w:r>
      <w:r w:rsidDel="00000000" w:rsidR="00000000" w:rsidRPr="00000000">
        <w:rPr>
          <w:rFonts w:ascii="Palatino Linotype" w:cs="Palatino Linotype" w:eastAsia="Palatino Linotype" w:hAnsi="Palatino Linotype"/>
          <w:sz w:val="22"/>
          <w:szCs w:val="22"/>
          <w:rtl w:val="0"/>
        </w:rPr>
        <w:t xml:space="preserve">, quedando satisfecho el derecho subjetivo accionado por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w:t>
      </w:r>
    </w:p>
    <w:p w:rsidR="00000000" w:rsidDel="00000000" w:rsidP="00000000" w:rsidRDefault="00000000" w:rsidRPr="00000000" w14:paraId="000000D7">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Por lo que hace a la revocación, ésta se actualiza cuando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deja sin efectos su actuar y en su lugar emite otra con las características y cualidades suficientes para dejar satisfecho el ejercicio del derecho al acceso a la información pública.</w:t>
      </w:r>
    </w:p>
    <w:p w:rsidR="00000000" w:rsidDel="00000000" w:rsidP="00000000" w:rsidRDefault="00000000" w:rsidRPr="00000000" w14:paraId="000000D8">
      <w:pPr>
        <w:spacing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ese tenor, un acto impugnado queda sin efectos, cuando aun existiendo jurídicamente (esto es, que no se ha modificado, ni revocado) ya no genera ninguna consecuencia legal.</w:t>
      </w:r>
    </w:p>
    <w:p w:rsidR="00000000" w:rsidDel="00000000" w:rsidP="00000000" w:rsidRDefault="00000000" w:rsidRPr="00000000" w14:paraId="000000D9">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DA">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tanto, en el presente caso queda sin materia, toda vez que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mediante Informe Justificado, a través de su unidad administrativa competente, señaló que </w:t>
      </w:r>
      <w:r w:rsidDel="00000000" w:rsidR="00000000" w:rsidRPr="00000000">
        <w:rPr>
          <w:rFonts w:ascii="Palatino Linotype" w:cs="Palatino Linotype" w:eastAsia="Palatino Linotype" w:hAnsi="Palatino Linotype"/>
          <w:b w:val="1"/>
          <w:sz w:val="22"/>
          <w:szCs w:val="22"/>
          <w:rtl w:val="0"/>
        </w:rPr>
        <w:t xml:space="preserve">no se ha informado del alta del servidor público referido en la solicitud, ni tampoco se ha hecho llegar la solicitud de suspensión de pensión; aunado a que, realizó una búsqueda de la información dentro de los registros en los sistemas de Ventanilla Única de Atención Integral a Instituciones Públicas, sin que se identificara algún movimiento de alta realizado por el Municipio de Otzolotepec a nombre de la persona referida</w:t>
      </w:r>
      <w:r w:rsidDel="00000000" w:rsidR="00000000" w:rsidRPr="00000000">
        <w:rPr>
          <w:rFonts w:ascii="Palatino Linotype" w:cs="Palatino Linotype" w:eastAsia="Palatino Linotype" w:hAnsi="Palatino Linotype"/>
          <w:sz w:val="22"/>
          <w:szCs w:val="22"/>
          <w:rtl w:val="0"/>
        </w:rPr>
        <w:t xml:space="preserve">, por ende no cuenta con algún documento generado a la fecha de la solicitud que dé cuenta de lo solicitado, dejando sin materia el presente recurso de revisión, actualizándose la causal prevista en la fracción III del artículo 192 de la Ley de la Materia vigente en la Entidad.</w:t>
      </w:r>
    </w:p>
    <w:p w:rsidR="00000000" w:rsidDel="00000000" w:rsidP="00000000" w:rsidRDefault="00000000" w:rsidRPr="00000000" w14:paraId="000000DB">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DC">
      <w:pPr>
        <w:pBdr>
          <w:top w:space="0" w:sz="0" w:val="nil"/>
          <w:left w:space="0" w:sz="0" w:val="nil"/>
          <w:bottom w:space="0" w:sz="0" w:val="nil"/>
          <w:right w:space="0" w:sz="0" w:val="nil"/>
          <w:between w:space="0" w:sz="0" w:val="nil"/>
        </w:pBdr>
        <w:spacing w:line="360" w:lineRule="auto"/>
        <w:ind w:right="-15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Así, con fundamento en lo prescrito en los artículos 5 párrafos trigésimo tercero, trigésimo cuarto y trigésimo quinto, fracciones IV y V de la Constitución Política del Estado Libre y Soberano de México; 2, fracción II; 29, 36 fracciones I y II; 176, 178, 181, 185, fracción I, 186 y 188 de la Ley de Transparencia y Acceso a la Información Pública del Estado de México y Municipios, este Pleno:</w:t>
      </w:r>
    </w:p>
    <w:p w:rsidR="00000000" w:rsidDel="00000000" w:rsidP="00000000" w:rsidRDefault="00000000" w:rsidRPr="00000000" w14:paraId="000000DD">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DE">
      <w:pPr>
        <w:spacing w:line="360" w:lineRule="auto"/>
        <w:ind w:right="49"/>
        <w:jc w:val="cente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III.</w:t>
        <w:tab/>
        <w:t xml:space="preserve">R E S U E L V E:</w:t>
      </w:r>
    </w:p>
    <w:p w:rsidR="00000000" w:rsidDel="00000000" w:rsidP="00000000" w:rsidRDefault="00000000" w:rsidRPr="00000000" w14:paraId="000000DF">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E0">
      <w:pPr>
        <w:spacing w:line="360" w:lineRule="auto"/>
        <w:jc w:val="both"/>
        <w:rPr>
          <w:rFonts w:ascii="Palatino Linotype" w:cs="Palatino Linotype" w:eastAsia="Palatino Linotype" w:hAnsi="Palatino Linotype"/>
          <w:sz w:val="22"/>
          <w:szCs w:val="22"/>
        </w:rPr>
      </w:pPr>
      <w:bookmarkStart w:colFirst="0" w:colLast="0" w:name="_heading=h.17dp8vu" w:id="9"/>
      <w:bookmarkEnd w:id="9"/>
      <w:r w:rsidDel="00000000" w:rsidR="00000000" w:rsidRPr="00000000">
        <w:rPr>
          <w:rFonts w:ascii="Palatino Linotype" w:cs="Palatino Linotype" w:eastAsia="Palatino Linotype" w:hAnsi="Palatino Linotype"/>
          <w:b w:val="1"/>
          <w:sz w:val="22"/>
          <w:szCs w:val="22"/>
          <w:rtl w:val="0"/>
        </w:rPr>
        <w:t xml:space="preserve">PRIMERO. </w:t>
      </w:r>
      <w:r w:rsidDel="00000000" w:rsidR="00000000" w:rsidRPr="00000000">
        <w:rPr>
          <w:rFonts w:ascii="Palatino Linotype" w:cs="Palatino Linotype" w:eastAsia="Palatino Linotype" w:hAnsi="Palatino Linotype"/>
          <w:sz w:val="22"/>
          <w:szCs w:val="22"/>
          <w:rtl w:val="0"/>
        </w:rPr>
        <w:t xml:space="preserve">Se </w:t>
      </w:r>
      <w:r w:rsidDel="00000000" w:rsidR="00000000" w:rsidRPr="00000000">
        <w:rPr>
          <w:rFonts w:ascii="Palatino Linotype" w:cs="Palatino Linotype" w:eastAsia="Palatino Linotype" w:hAnsi="Palatino Linotype"/>
          <w:b w:val="1"/>
          <w:sz w:val="22"/>
          <w:szCs w:val="22"/>
          <w:rtl w:val="0"/>
        </w:rPr>
        <w:t xml:space="preserve">Sobresee </w:t>
      </w:r>
      <w:r w:rsidDel="00000000" w:rsidR="00000000" w:rsidRPr="00000000">
        <w:rPr>
          <w:rFonts w:ascii="Palatino Linotype" w:cs="Palatino Linotype" w:eastAsia="Palatino Linotype" w:hAnsi="Palatino Linotype"/>
          <w:sz w:val="22"/>
          <w:szCs w:val="22"/>
          <w:rtl w:val="0"/>
        </w:rPr>
        <w:t xml:space="preserve">el recurso de revisión número</w:t>
      </w:r>
      <w:r w:rsidDel="00000000" w:rsidR="00000000" w:rsidRPr="00000000">
        <w:rPr>
          <w:rFonts w:ascii="Palatino Linotype" w:cs="Palatino Linotype" w:eastAsia="Palatino Linotype" w:hAnsi="Palatino Linotype"/>
          <w:b w:val="1"/>
          <w:sz w:val="22"/>
          <w:szCs w:val="22"/>
          <w:rtl w:val="0"/>
        </w:rPr>
        <w:t xml:space="preserve"> 00314/INFOEM/IP/RR/2025</w:t>
      </w:r>
      <w:r w:rsidDel="00000000" w:rsidR="00000000" w:rsidRPr="00000000">
        <w:rPr>
          <w:rFonts w:ascii="Palatino Linotype" w:cs="Palatino Linotype" w:eastAsia="Palatino Linotype" w:hAnsi="Palatino Linotype"/>
          <w:sz w:val="22"/>
          <w:szCs w:val="22"/>
          <w:rtl w:val="0"/>
        </w:rPr>
        <w:t xml:space="preserve">, de conformidad con lo dispuesto en la fracción III del artículo 192 de la Ley de Transparencia de la Entidad, porque al modificar la respuesta a la solicitud de acceso a la información</w:t>
      </w:r>
      <w:r w:rsidDel="00000000" w:rsidR="00000000" w:rsidRPr="00000000">
        <w:rPr>
          <w:rFonts w:ascii="Palatino Linotype" w:cs="Palatino Linotype" w:eastAsia="Palatino Linotype" w:hAnsi="Palatino Linotype"/>
          <w:b w:val="1"/>
          <w:sz w:val="22"/>
          <w:szCs w:val="22"/>
          <w:rtl w:val="0"/>
        </w:rPr>
        <w:t xml:space="preserve"> 00021/ISSEMYM/IP/2025 </w:t>
      </w:r>
      <w:r w:rsidDel="00000000" w:rsidR="00000000" w:rsidRPr="00000000">
        <w:rPr>
          <w:rFonts w:ascii="Palatino Linotype" w:cs="Palatino Linotype" w:eastAsia="Palatino Linotype" w:hAnsi="Palatino Linotype"/>
          <w:sz w:val="22"/>
          <w:szCs w:val="22"/>
          <w:rtl w:val="0"/>
        </w:rPr>
        <w:t xml:space="preserve">el recurso de revisión quedó sin materia en términos del </w:t>
      </w:r>
      <w:r w:rsidDel="00000000" w:rsidR="00000000" w:rsidRPr="00000000">
        <w:rPr>
          <w:rFonts w:ascii="Palatino Linotype" w:cs="Palatino Linotype" w:eastAsia="Palatino Linotype" w:hAnsi="Palatino Linotype"/>
          <w:b w:val="1"/>
          <w:sz w:val="22"/>
          <w:szCs w:val="22"/>
          <w:rtl w:val="0"/>
        </w:rPr>
        <w:t xml:space="preserve">Considerando Tercero</w:t>
      </w:r>
      <w:r w:rsidDel="00000000" w:rsidR="00000000" w:rsidRPr="00000000">
        <w:rPr>
          <w:rFonts w:ascii="Palatino Linotype" w:cs="Palatino Linotype" w:eastAsia="Palatino Linotype" w:hAnsi="Palatino Linotype"/>
          <w:sz w:val="22"/>
          <w:szCs w:val="22"/>
          <w:rtl w:val="0"/>
        </w:rPr>
        <w:t xml:space="preserve"> de la presente resolución.</w:t>
      </w:r>
    </w:p>
    <w:p w:rsidR="00000000" w:rsidDel="00000000" w:rsidP="00000000" w:rsidRDefault="00000000" w:rsidRPr="00000000" w14:paraId="000000E1">
      <w:pPr>
        <w:spacing w:line="36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E2">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SEGUNDO. Notifíquese</w:t>
      </w:r>
      <w:r w:rsidDel="00000000" w:rsidR="00000000" w:rsidRPr="00000000">
        <w:rPr>
          <w:rFonts w:ascii="Palatino Linotype" w:cs="Palatino Linotype" w:eastAsia="Palatino Linotype" w:hAnsi="Palatino Linotype"/>
          <w:sz w:val="22"/>
          <w:szCs w:val="22"/>
          <w:rtl w:val="0"/>
        </w:rPr>
        <w:t xml:space="preserve">,</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vía </w:t>
      </w:r>
      <w:r w:rsidDel="00000000" w:rsidR="00000000" w:rsidRPr="00000000">
        <w:rPr>
          <w:rFonts w:ascii="Palatino Linotype" w:cs="Palatino Linotype" w:eastAsia="Palatino Linotype" w:hAnsi="Palatino Linotype"/>
          <w:b w:val="1"/>
          <w:sz w:val="22"/>
          <w:szCs w:val="22"/>
          <w:rtl w:val="0"/>
        </w:rPr>
        <w:t xml:space="preserve">SAIMEX, </w:t>
      </w:r>
      <w:r w:rsidDel="00000000" w:rsidR="00000000" w:rsidRPr="00000000">
        <w:rPr>
          <w:rFonts w:ascii="Palatino Linotype" w:cs="Palatino Linotype" w:eastAsia="Palatino Linotype" w:hAnsi="Palatino Linotype"/>
          <w:sz w:val="22"/>
          <w:szCs w:val="22"/>
          <w:rtl w:val="0"/>
        </w:rPr>
        <w:t xml:space="preserve">al Titular de la Unidad de Transparencia del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la presente resolución, para su conocimiento.</w:t>
      </w:r>
    </w:p>
    <w:p w:rsidR="00000000" w:rsidDel="00000000" w:rsidP="00000000" w:rsidRDefault="00000000" w:rsidRPr="00000000" w14:paraId="000000E3">
      <w:pPr>
        <w:spacing w:line="36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E4">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TERCERO. Notifíquese </w:t>
      </w:r>
      <w:r w:rsidDel="00000000" w:rsidR="00000000" w:rsidRPr="00000000">
        <w:rPr>
          <w:rFonts w:ascii="Palatino Linotype" w:cs="Palatino Linotype" w:eastAsia="Palatino Linotype" w:hAnsi="Palatino Linotype"/>
          <w:sz w:val="22"/>
          <w:szCs w:val="22"/>
          <w:rtl w:val="0"/>
        </w:rPr>
        <w:t xml:space="preserve">vía</w:t>
      </w:r>
      <w:r w:rsidDel="00000000" w:rsidR="00000000" w:rsidRPr="00000000">
        <w:rPr>
          <w:rFonts w:ascii="Palatino Linotype" w:cs="Palatino Linotype" w:eastAsia="Palatino Linotype" w:hAnsi="Palatino Linotype"/>
          <w:b w:val="1"/>
          <w:sz w:val="22"/>
          <w:szCs w:val="22"/>
          <w:rtl w:val="0"/>
        </w:rPr>
        <w:t xml:space="preserve"> SAIMEX</w:t>
      </w:r>
      <w:r w:rsidDel="00000000" w:rsidR="00000000" w:rsidRPr="00000000">
        <w:rPr>
          <w:rFonts w:ascii="Palatino Linotype" w:cs="Palatino Linotype" w:eastAsia="Palatino Linotype" w:hAnsi="Palatino Linotype"/>
          <w:sz w:val="22"/>
          <w:szCs w:val="22"/>
          <w:rtl w:val="0"/>
        </w:rPr>
        <w:t xml:space="preserve"> a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la presente resolución; así como, que de conformidad con lo establecido en el artículo 196 de la Ley de Transparencia y Acceso a la Información Pública del Estado de México y Municipios, podrá impugnar vía Juicio de Amparo en los términos de las leyes aplicables.</w:t>
      </w:r>
    </w:p>
    <w:p w:rsidR="00000000" w:rsidDel="00000000" w:rsidP="00000000" w:rsidRDefault="00000000" w:rsidRPr="00000000" w14:paraId="000000E5">
      <w:pPr>
        <w:spacing w:after="240" w:before="240" w:line="360" w:lineRule="auto"/>
        <w:jc w:val="both"/>
        <w:rPr>
          <w:rFonts w:ascii="Palatino Linotype" w:cs="Palatino Linotype" w:eastAsia="Palatino Linotype" w:hAnsi="Palatino Linotype"/>
          <w:sz w:val="22"/>
          <w:szCs w:val="22"/>
        </w:rPr>
        <w:sectPr>
          <w:headerReference r:id="rId8" w:type="default"/>
          <w:headerReference r:id="rId9" w:type="first"/>
          <w:footerReference r:id="rId10" w:type="default"/>
          <w:footerReference r:id="rId11" w:type="first"/>
          <w:pgSz w:h="15840" w:w="12240" w:orient="portrait"/>
          <w:pgMar w:bottom="1701" w:top="1985" w:left="1701" w:right="1701" w:header="709" w:footer="709"/>
          <w:pgNumType w:start="1"/>
          <w:titlePg w:val="1"/>
        </w:sectPr>
      </w:pPr>
      <w:r w:rsidDel="00000000" w:rsidR="00000000" w:rsidRPr="00000000">
        <w:rPr>
          <w:rFonts w:ascii="Palatino Linotype" w:cs="Palatino Linotype" w:eastAsia="Palatino Linotype" w:hAnsi="Palatino Linotype"/>
          <w:sz w:val="22"/>
          <w:szCs w:val="22"/>
          <w:rtl w:val="0"/>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SEXTA SESIÓN ORDINARIA CELEBRADA EL DIECINUEVE DE FEBRERO DE DOS MIL VEINTICINCO, ANTE EL SECRETARIO TÉCNICO DEL PLENO ALEXIS TAPIA RAMÍREZ.</w:t>
      </w:r>
    </w:p>
    <w:p w:rsidR="00000000" w:rsidDel="00000000" w:rsidP="00000000" w:rsidRDefault="00000000" w:rsidRPr="00000000" w14:paraId="000000E6">
      <w:pPr>
        <w:spacing w:after="240" w:before="240" w:line="360" w:lineRule="auto"/>
        <w:jc w:val="both"/>
        <w:rPr>
          <w:rFonts w:ascii="Palatino Linotype" w:cs="Palatino Linotype" w:eastAsia="Palatino Linotype" w:hAnsi="Palatino Linotype"/>
          <w:sz w:val="22"/>
          <w:szCs w:val="22"/>
        </w:rPr>
      </w:pPr>
      <w:r w:rsidDel="00000000" w:rsidR="00000000" w:rsidRPr="00000000">
        <w:rPr>
          <w:rtl w:val="0"/>
        </w:rPr>
      </w:r>
    </w:p>
    <w:sectPr>
      <w:headerReference r:id="rId12" w:type="first"/>
      <w:footerReference r:id="rId13" w:type="first"/>
      <w:type w:val="nextPage"/>
      <w:pgSz w:h="15840" w:w="12240" w:orient="portrait"/>
      <w:pgMar w:bottom="1701" w:top="1985" w:left="1701" w:right="1701" w:header="709" w:footer="709"/>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Cambria"/>
  <w:font w:name="Georgia"/>
  <w:font w:name="Courier New"/>
  <w:font w:name="Palatino Linotyp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B">
    <w:pPr>
      <w:pBdr>
        <w:top w:space="0" w:sz="0" w:val="nil"/>
        <w:left w:space="0" w:sz="0" w:val="nil"/>
        <w:bottom w:space="0" w:sz="0" w:val="nil"/>
        <w:right w:space="0" w:sz="0" w:val="nil"/>
        <w:between w:space="0" w:sz="0" w:val="nil"/>
      </w:pBdr>
      <w:tabs>
        <w:tab w:val="center" w:leader="none" w:pos="4252"/>
        <w:tab w:val="right" w:leader="none" w:pos="8504"/>
      </w:tabs>
      <w:jc w:val="right"/>
      <w:rPr>
        <w:rFonts w:ascii="Palatino Linotype" w:cs="Palatino Linotype" w:eastAsia="Palatino Linotype" w:hAnsi="Palatino Linotype"/>
        <w:color w:val="000000"/>
        <w:sz w:val="20"/>
        <w:szCs w:val="20"/>
      </w:rPr>
    </w:pPr>
    <w:r w:rsidDel="00000000" w:rsidR="00000000" w:rsidRPr="00000000">
      <w:rPr>
        <w:rFonts w:ascii="Palatino Linotype" w:cs="Palatino Linotype" w:eastAsia="Palatino Linotype" w:hAnsi="Palatino Linotype"/>
        <w:b w:val="1"/>
        <w:color w:val="000000"/>
        <w:sz w:val="20"/>
        <w:szCs w:val="20"/>
        <w:rtl w:val="0"/>
      </w:rPr>
      <w:t xml:space="preserve">Página </w:t>
    </w:r>
    <w:r w:rsidDel="00000000" w:rsidR="00000000" w:rsidRPr="00000000">
      <w:rPr>
        <w:rFonts w:ascii="Palatino Linotype" w:cs="Palatino Linotype" w:eastAsia="Palatino Linotype" w:hAnsi="Palatino Linotype"/>
        <w:b w:val="1"/>
        <w:color w:val="000000"/>
        <w:sz w:val="20"/>
        <w:szCs w:val="20"/>
      </w:rPr>
      <w:fldChar w:fldCharType="begin"/>
      <w:instrText xml:space="preserve">PAGE</w:instrText>
      <w:fldChar w:fldCharType="separate"/>
      <w:fldChar w:fldCharType="end"/>
    </w:r>
    <w:r w:rsidDel="00000000" w:rsidR="00000000" w:rsidRPr="00000000">
      <w:rPr>
        <w:rFonts w:ascii="Palatino Linotype" w:cs="Palatino Linotype" w:eastAsia="Palatino Linotype" w:hAnsi="Palatino Linotype"/>
        <w:color w:val="000000"/>
        <w:sz w:val="20"/>
        <w:szCs w:val="20"/>
        <w:rtl w:val="0"/>
      </w:rPr>
      <w:t xml:space="preserve"> de </w:t>
    </w:r>
    <w:r w:rsidDel="00000000" w:rsidR="00000000" w:rsidRPr="00000000">
      <w:rPr>
        <w:rFonts w:ascii="Palatino Linotype" w:cs="Palatino Linotype" w:eastAsia="Palatino Linotype" w:hAnsi="Palatino Linotype"/>
        <w:b w:val="1"/>
        <w:color w:val="000000"/>
        <w:sz w:val="20"/>
        <w:szCs w:val="2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FC">
    <w:pPr>
      <w:pBdr>
        <w:top w:space="0" w:sz="0" w:val="nil"/>
        <w:left w:space="0" w:sz="0" w:val="nil"/>
        <w:bottom w:space="0" w:sz="0" w:val="nil"/>
        <w:right w:space="0" w:sz="0" w:val="nil"/>
        <w:between w:space="0" w:sz="0" w:val="nil"/>
      </w:pBdr>
      <w:tabs>
        <w:tab w:val="center" w:leader="none" w:pos="4252"/>
        <w:tab w:val="right" w:leader="none" w:pos="8504"/>
      </w:tabs>
      <w:ind w:firstLine="708"/>
      <w:rPr>
        <w:rFonts w:ascii="Cambria" w:cs="Cambria" w:eastAsia="Cambria" w:hAnsi="Cambria"/>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D">
    <w:pPr>
      <w:pBdr>
        <w:top w:space="0" w:sz="0" w:val="nil"/>
        <w:left w:space="0" w:sz="0" w:val="nil"/>
        <w:bottom w:space="0" w:sz="0" w:val="nil"/>
        <w:right w:space="0" w:sz="0" w:val="nil"/>
        <w:between w:space="0" w:sz="0" w:val="nil"/>
      </w:pBdr>
      <w:tabs>
        <w:tab w:val="center" w:leader="none" w:pos="4252"/>
        <w:tab w:val="right" w:leader="none" w:pos="8504"/>
      </w:tabs>
      <w:jc w:val="right"/>
      <w:rPr>
        <w:rFonts w:ascii="Palatino Linotype" w:cs="Palatino Linotype" w:eastAsia="Palatino Linotype" w:hAnsi="Palatino Linotype"/>
        <w:color w:val="000000"/>
        <w:sz w:val="20"/>
        <w:szCs w:val="20"/>
      </w:rPr>
    </w:pPr>
    <w:r w:rsidDel="00000000" w:rsidR="00000000" w:rsidRPr="00000000">
      <w:rPr>
        <w:rFonts w:ascii="Palatino Linotype" w:cs="Palatino Linotype" w:eastAsia="Palatino Linotype" w:hAnsi="Palatino Linotype"/>
        <w:b w:val="1"/>
        <w:color w:val="000000"/>
        <w:sz w:val="20"/>
        <w:szCs w:val="20"/>
        <w:rtl w:val="0"/>
      </w:rPr>
      <w:t xml:space="preserve">Página </w:t>
    </w:r>
    <w:r w:rsidDel="00000000" w:rsidR="00000000" w:rsidRPr="00000000">
      <w:rPr>
        <w:rFonts w:ascii="Palatino Linotype" w:cs="Palatino Linotype" w:eastAsia="Palatino Linotype" w:hAnsi="Palatino Linotype"/>
        <w:b w:val="1"/>
        <w:color w:val="000000"/>
        <w:sz w:val="20"/>
        <w:szCs w:val="20"/>
      </w:rPr>
      <w:fldChar w:fldCharType="begin"/>
      <w:instrText xml:space="preserve">PAGE</w:instrText>
      <w:fldChar w:fldCharType="separate"/>
      <w:fldChar w:fldCharType="end"/>
    </w:r>
    <w:r w:rsidDel="00000000" w:rsidR="00000000" w:rsidRPr="00000000">
      <w:rPr>
        <w:rFonts w:ascii="Palatino Linotype" w:cs="Palatino Linotype" w:eastAsia="Palatino Linotype" w:hAnsi="Palatino Linotype"/>
        <w:color w:val="000000"/>
        <w:sz w:val="20"/>
        <w:szCs w:val="20"/>
        <w:rtl w:val="0"/>
      </w:rPr>
      <w:t xml:space="preserve"> de </w:t>
    </w:r>
    <w:r w:rsidDel="00000000" w:rsidR="00000000" w:rsidRPr="00000000">
      <w:rPr>
        <w:rFonts w:ascii="Palatino Linotype" w:cs="Palatino Linotype" w:eastAsia="Palatino Linotype" w:hAnsi="Palatino Linotype"/>
        <w:b w:val="1"/>
        <w:color w:val="000000"/>
        <w:sz w:val="20"/>
        <w:szCs w:val="2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FE">
    <w:pPr>
      <w:pBdr>
        <w:top w:space="0" w:sz="0" w:val="nil"/>
        <w:left w:space="0" w:sz="0" w:val="nil"/>
        <w:bottom w:space="0" w:sz="0" w:val="nil"/>
        <w:right w:space="0" w:sz="0" w:val="nil"/>
        <w:between w:space="0" w:sz="0" w:val="nil"/>
      </w:pBdr>
      <w:tabs>
        <w:tab w:val="center" w:leader="none" w:pos="4252"/>
        <w:tab w:val="right" w:leader="none" w:pos="8504"/>
      </w:tabs>
      <w:rPr>
        <w:rFonts w:ascii="Cambria" w:cs="Cambria" w:eastAsia="Cambria" w:hAnsi="Cambria"/>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F">
    <w:pPr>
      <w:pBdr>
        <w:top w:space="0" w:sz="0" w:val="nil"/>
        <w:left w:space="0" w:sz="0" w:val="nil"/>
        <w:bottom w:space="0" w:sz="0" w:val="nil"/>
        <w:right w:space="0" w:sz="0" w:val="nil"/>
        <w:between w:space="0" w:sz="0" w:val="nil"/>
      </w:pBdr>
      <w:tabs>
        <w:tab w:val="center" w:leader="none" w:pos="4252"/>
        <w:tab w:val="right" w:leader="none" w:pos="8504"/>
      </w:tabs>
      <w:jc w:val="right"/>
      <w:rPr>
        <w:rFonts w:ascii="Palatino Linotype" w:cs="Palatino Linotype" w:eastAsia="Palatino Linotype" w:hAnsi="Palatino Linotype"/>
        <w:color w:val="000000"/>
        <w:sz w:val="20"/>
        <w:szCs w:val="20"/>
      </w:rPr>
    </w:pPr>
    <w:r w:rsidDel="00000000" w:rsidR="00000000" w:rsidRPr="00000000">
      <w:rPr>
        <w:rFonts w:ascii="Palatino Linotype" w:cs="Palatino Linotype" w:eastAsia="Palatino Linotype" w:hAnsi="Palatino Linotype"/>
        <w:b w:val="1"/>
        <w:color w:val="000000"/>
        <w:sz w:val="20"/>
        <w:szCs w:val="20"/>
        <w:rtl w:val="0"/>
      </w:rPr>
      <w:t xml:space="preserve">Página 30</w:t>
    </w:r>
    <w:r w:rsidDel="00000000" w:rsidR="00000000" w:rsidRPr="00000000">
      <w:rPr>
        <w:rFonts w:ascii="Palatino Linotype" w:cs="Palatino Linotype" w:eastAsia="Palatino Linotype" w:hAnsi="Palatino Linotype"/>
        <w:color w:val="000000"/>
        <w:sz w:val="20"/>
        <w:szCs w:val="20"/>
        <w:rtl w:val="0"/>
      </w:rPr>
      <w:t xml:space="preserve"> de </w:t>
    </w:r>
    <w:r w:rsidDel="00000000" w:rsidR="00000000" w:rsidRPr="00000000">
      <w:rPr>
        <w:rFonts w:ascii="Palatino Linotype" w:cs="Palatino Linotype" w:eastAsia="Palatino Linotype" w:hAnsi="Palatino Linotype"/>
        <w:b w:val="1"/>
        <w:color w:val="000000"/>
        <w:sz w:val="20"/>
        <w:szCs w:val="2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100">
    <w:pPr>
      <w:pBdr>
        <w:top w:space="0" w:sz="0" w:val="nil"/>
        <w:left w:space="0" w:sz="0" w:val="nil"/>
        <w:bottom w:space="0" w:sz="0" w:val="nil"/>
        <w:right w:space="0" w:sz="0" w:val="nil"/>
        <w:between w:space="0" w:sz="0" w:val="nil"/>
      </w:pBdr>
      <w:tabs>
        <w:tab w:val="center" w:leader="none" w:pos="4252"/>
        <w:tab w:val="right" w:leader="none" w:pos="8504"/>
      </w:tabs>
      <w:rPr>
        <w:rFonts w:ascii="Cambria" w:cs="Cambria" w:eastAsia="Cambria" w:hAnsi="Cambria"/>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7">
    <w:pPr>
      <w:pBdr>
        <w:top w:space="0" w:sz="0" w:val="nil"/>
        <w:left w:space="0" w:sz="0" w:val="nil"/>
        <w:bottom w:space="0" w:sz="0" w:val="nil"/>
        <w:right w:space="0" w:sz="0" w:val="nil"/>
        <w:between w:space="0" w:sz="0" w:val="nil"/>
      </w:pBdr>
      <w:tabs>
        <w:tab w:val="center" w:leader="none" w:pos="4252"/>
        <w:tab w:val="right" w:leader="none" w:pos="8504"/>
        <w:tab w:val="left" w:leader="none" w:pos="2326"/>
      </w:tabs>
      <w:rPr>
        <w:rFonts w:ascii="Cambria" w:cs="Cambria" w:eastAsia="Cambria" w:hAnsi="Cambria"/>
        <w:color w:val="000000"/>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-1080130</wp:posOffset>
          </wp:positionH>
          <wp:positionV relativeFrom="paragraph">
            <wp:posOffset>-488310</wp:posOffset>
          </wp:positionV>
          <wp:extent cx="7809865" cy="10165715"/>
          <wp:effectExtent b="0" l="0" r="0" t="0"/>
          <wp:wrapNone/>
          <wp:docPr id="1973524158"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7809865" cy="10165715"/>
                  </a:xfrm>
                  <a:prstGeom prst="rect"/>
                  <a:ln/>
                </pic:spPr>
              </pic:pic>
            </a:graphicData>
          </a:graphic>
        </wp:anchor>
      </w:drawing>
    </w:r>
  </w:p>
  <w:tbl>
    <w:tblPr>
      <w:tblStyle w:val="Table1"/>
      <w:tblW w:w="5953.0" w:type="dxa"/>
      <w:jc w:val="left"/>
      <w:tblInd w:w="3261.0" w:type="dxa"/>
      <w:tblLayout w:type="fixed"/>
      <w:tblLook w:val="0400"/>
    </w:tblPr>
    <w:tblGrid>
      <w:gridCol w:w="2489"/>
      <w:gridCol w:w="3464"/>
      <w:tblGridChange w:id="0">
        <w:tblGrid>
          <w:gridCol w:w="2489"/>
          <w:gridCol w:w="3464"/>
        </w:tblGrid>
      </w:tblGridChange>
    </w:tblGrid>
    <w:tr>
      <w:trPr>
        <w:cantSplit w:val="0"/>
        <w:tblHeader w:val="0"/>
      </w:trPr>
      <w:tc>
        <w:tcPr>
          <w:shd w:fill="auto" w:val="clear"/>
        </w:tcPr>
        <w:p w:rsidR="00000000" w:rsidDel="00000000" w:rsidP="00000000" w:rsidRDefault="00000000" w:rsidRPr="00000000" w14:paraId="000000E8">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Recurso de Revisión:</w:t>
          </w:r>
        </w:p>
      </w:tc>
      <w:tc>
        <w:tcPr>
          <w:shd w:fill="auto" w:val="clear"/>
          <w:vAlign w:val="center"/>
        </w:tcPr>
        <w:p w:rsidR="00000000" w:rsidDel="00000000" w:rsidP="00000000" w:rsidRDefault="00000000" w:rsidRPr="00000000" w14:paraId="000000E9">
          <w:pPr>
            <w:ind w:right="175"/>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00314/INFOEM/IP/RR/2025</w:t>
          </w:r>
        </w:p>
      </w:tc>
    </w:tr>
    <w:tr>
      <w:trPr>
        <w:cantSplit w:val="0"/>
        <w:trHeight w:val="228" w:hRule="atLeast"/>
        <w:tblHeader w:val="0"/>
      </w:trPr>
      <w:tc>
        <w:tcPr>
          <w:shd w:fill="auto" w:val="clear"/>
          <w:vAlign w:val="center"/>
        </w:tcPr>
        <w:p w:rsidR="00000000" w:rsidDel="00000000" w:rsidP="00000000" w:rsidRDefault="00000000" w:rsidRPr="00000000" w14:paraId="000000EA">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Sujeto Obligado:</w:t>
          </w:r>
        </w:p>
      </w:tc>
      <w:tc>
        <w:tcPr>
          <w:shd w:fill="auto" w:val="clear"/>
          <w:vAlign w:val="center"/>
        </w:tcPr>
        <w:p w:rsidR="00000000" w:rsidDel="00000000" w:rsidP="00000000" w:rsidRDefault="00000000" w:rsidRPr="00000000" w14:paraId="000000EB">
          <w:pPr>
            <w:ind w:left="-45" w:right="176"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Instituto de Seguridad Social del Estado de México y Municipios</w:t>
          </w:r>
        </w:p>
      </w:tc>
    </w:tr>
    <w:tr>
      <w:trPr>
        <w:cantSplit w:val="0"/>
        <w:tblHeader w:val="0"/>
      </w:trPr>
      <w:tc>
        <w:tcPr>
          <w:shd w:fill="auto" w:val="clear"/>
          <w:vAlign w:val="center"/>
        </w:tcPr>
        <w:p w:rsidR="00000000" w:rsidDel="00000000" w:rsidP="00000000" w:rsidRDefault="00000000" w:rsidRPr="00000000" w14:paraId="000000EC">
          <w:pPr>
            <w:ind w:right="-108"/>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Comisionada ponente:</w:t>
          </w:r>
        </w:p>
      </w:tc>
      <w:tc>
        <w:tcPr>
          <w:shd w:fill="auto" w:val="clear"/>
          <w:vAlign w:val="center"/>
        </w:tcPr>
        <w:p w:rsidR="00000000" w:rsidDel="00000000" w:rsidP="00000000" w:rsidRDefault="00000000" w:rsidRPr="00000000" w14:paraId="000000ED">
          <w:pPr>
            <w:ind w:right="175"/>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Guadalupe Ramírez Peña</w:t>
          </w:r>
        </w:p>
      </w:tc>
    </w:tr>
  </w:tbl>
  <w:p w:rsidR="00000000" w:rsidDel="00000000" w:rsidP="00000000" w:rsidRDefault="00000000" w:rsidRPr="00000000" w14:paraId="000000EE">
    <w:pPr>
      <w:pBdr>
        <w:top w:space="0" w:sz="0" w:val="nil"/>
        <w:left w:space="0" w:sz="0" w:val="nil"/>
        <w:bottom w:space="0" w:sz="0" w:val="nil"/>
        <w:right w:space="0" w:sz="0" w:val="nil"/>
        <w:between w:space="0" w:sz="0" w:val="nil"/>
      </w:pBdr>
      <w:tabs>
        <w:tab w:val="center" w:leader="none" w:pos="4252"/>
        <w:tab w:val="right" w:leader="none" w:pos="8504"/>
        <w:tab w:val="left" w:leader="none" w:pos="2326"/>
      </w:tabs>
      <w:rPr>
        <w:rFonts w:ascii="Cambria" w:cs="Cambria" w:eastAsia="Cambria" w:hAnsi="Cambria"/>
        <w:color w:val="000000"/>
      </w:rPr>
    </w:pPr>
    <w:r w:rsidDel="00000000" w:rsidR="00000000" w:rsidRPr="00000000">
      <w:rPr>
        <w:rFonts w:ascii="Cambria" w:cs="Cambria" w:eastAsia="Cambria" w:hAnsi="Cambria"/>
        <w:color w:val="000000"/>
        <w:rtl w:val="0"/>
      </w:rPr>
      <w:tab/>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EF">
    <w:pPr>
      <w:widowControl w:val="0"/>
      <w:pBdr>
        <w:top w:space="0" w:sz="0" w:val="nil"/>
        <w:left w:space="0" w:sz="0" w:val="nil"/>
        <w:bottom w:space="0" w:sz="0" w:val="nil"/>
        <w:right w:space="0" w:sz="0" w:val="nil"/>
        <w:between w:space="0" w:sz="0" w:val="nil"/>
      </w:pBdr>
      <w:spacing w:line="276" w:lineRule="auto"/>
      <w:rPr>
        <w:rFonts w:ascii="Palatino Linotype" w:cs="Palatino Linotype" w:eastAsia="Palatino Linotype" w:hAnsi="Palatino Linotype"/>
        <w:color w:val="000000"/>
        <w:sz w:val="16"/>
        <w:szCs w:val="16"/>
      </w:rPr>
    </w:pPr>
    <w:r w:rsidDel="00000000" w:rsidR="00000000" w:rsidRPr="00000000">
      <w:rPr>
        <w:rtl w:val="0"/>
      </w:rPr>
    </w:r>
  </w:p>
  <w:tbl>
    <w:tblPr>
      <w:tblStyle w:val="Table2"/>
      <w:tblW w:w="5670.0" w:type="dxa"/>
      <w:jc w:val="left"/>
      <w:tblInd w:w="3261.0" w:type="dxa"/>
      <w:tblLayout w:type="fixed"/>
      <w:tblLook w:val="0400"/>
    </w:tblPr>
    <w:tblGrid>
      <w:gridCol w:w="2551"/>
      <w:gridCol w:w="3119"/>
      <w:tblGridChange w:id="0">
        <w:tblGrid>
          <w:gridCol w:w="2551"/>
          <w:gridCol w:w="3119"/>
        </w:tblGrid>
      </w:tblGridChange>
    </w:tblGrid>
    <w:tr>
      <w:trPr>
        <w:cantSplit w:val="0"/>
        <w:tblHeader w:val="0"/>
      </w:trPr>
      <w:tc>
        <w:tcPr>
          <w:shd w:fill="auto" w:val="clear"/>
          <w:vAlign w:val="center"/>
        </w:tcPr>
        <w:p w:rsidR="00000000" w:rsidDel="00000000" w:rsidP="00000000" w:rsidRDefault="00000000" w:rsidRPr="00000000" w14:paraId="000000F0">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Recurso de Revisión:</w:t>
          </w:r>
        </w:p>
      </w:tc>
      <w:tc>
        <w:tcPr>
          <w:shd w:fill="auto" w:val="clear"/>
          <w:vAlign w:val="center"/>
        </w:tcPr>
        <w:p w:rsidR="00000000" w:rsidDel="00000000" w:rsidP="00000000" w:rsidRDefault="00000000" w:rsidRPr="00000000" w14:paraId="000000F1">
          <w:pPr>
            <w:tabs>
              <w:tab w:val="left" w:leader="none" w:pos="3153"/>
            </w:tabs>
            <w:ind w:left="-45"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00314/INFOEM/IP/RR/2025</w:t>
          </w:r>
        </w:p>
      </w:tc>
    </w:tr>
    <w:tr>
      <w:trPr>
        <w:cantSplit w:val="0"/>
        <w:trHeight w:val="130" w:hRule="atLeast"/>
        <w:tblHeader w:val="0"/>
      </w:trPr>
      <w:tc>
        <w:tcPr>
          <w:shd w:fill="auto" w:val="clear"/>
          <w:vAlign w:val="center"/>
        </w:tcPr>
        <w:p w:rsidR="00000000" w:rsidDel="00000000" w:rsidP="00000000" w:rsidRDefault="00000000" w:rsidRPr="00000000" w14:paraId="000000F2">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Recurrente:</w:t>
          </w:r>
        </w:p>
      </w:tc>
      <w:tc>
        <w:tcPr>
          <w:shd w:fill="auto" w:val="clear"/>
          <w:vAlign w:val="center"/>
        </w:tcPr>
        <w:p w:rsidR="00000000" w:rsidDel="00000000" w:rsidP="00000000" w:rsidRDefault="00000000" w:rsidRPr="00000000" w14:paraId="000000F3">
          <w:pPr>
            <w:tabs>
              <w:tab w:val="left" w:leader="none" w:pos="3153"/>
            </w:tabs>
            <w:ind w:left="-45"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XXXXXXXXXX XXXXXXXXXXXX </w:t>
          </w:r>
        </w:p>
      </w:tc>
    </w:tr>
    <w:tr>
      <w:trPr>
        <w:cantSplit w:val="0"/>
        <w:trHeight w:val="228" w:hRule="atLeast"/>
        <w:tblHeader w:val="0"/>
      </w:trPr>
      <w:tc>
        <w:tcPr>
          <w:shd w:fill="auto" w:val="clear"/>
          <w:vAlign w:val="center"/>
        </w:tcPr>
        <w:p w:rsidR="00000000" w:rsidDel="00000000" w:rsidP="00000000" w:rsidRDefault="00000000" w:rsidRPr="00000000" w14:paraId="000000F4">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Sujeto obligado:</w:t>
          </w:r>
        </w:p>
      </w:tc>
      <w:tc>
        <w:tcPr>
          <w:shd w:fill="auto" w:val="clear"/>
          <w:vAlign w:val="center"/>
        </w:tcPr>
        <w:p w:rsidR="00000000" w:rsidDel="00000000" w:rsidP="00000000" w:rsidRDefault="00000000" w:rsidRPr="00000000" w14:paraId="000000F5">
          <w:pPr>
            <w:ind w:left="-45" w:right="-533" w:firstLine="0"/>
            <w:jc w:val="both"/>
            <w:rPr>
              <w:rFonts w:ascii="Palatino Linotype" w:cs="Palatino Linotype" w:eastAsia="Palatino Linotype" w:hAnsi="Palatino Linotype"/>
              <w:b w:val="1"/>
              <w:strike w:val="1"/>
              <w:sz w:val="22"/>
              <w:szCs w:val="22"/>
            </w:rPr>
          </w:pPr>
          <w:r w:rsidDel="00000000" w:rsidR="00000000" w:rsidRPr="00000000">
            <w:rPr>
              <w:rFonts w:ascii="Palatino Linotype" w:cs="Palatino Linotype" w:eastAsia="Palatino Linotype" w:hAnsi="Palatino Linotype"/>
              <w:b w:val="1"/>
              <w:sz w:val="22"/>
              <w:szCs w:val="22"/>
              <w:rtl w:val="0"/>
            </w:rPr>
            <w:t xml:space="preserve">Instituto de Seguridad Social del Estado de México y Municipios</w:t>
          </w:r>
          <w:r w:rsidDel="00000000" w:rsidR="00000000" w:rsidRPr="00000000">
            <w:rPr>
              <w:rtl w:val="0"/>
            </w:rPr>
          </w:r>
        </w:p>
      </w:tc>
    </w:tr>
    <w:tr>
      <w:trPr>
        <w:cantSplit w:val="0"/>
        <w:tblHeader w:val="0"/>
      </w:trPr>
      <w:tc>
        <w:tcPr>
          <w:shd w:fill="auto" w:val="clear"/>
          <w:vAlign w:val="center"/>
        </w:tcPr>
        <w:p w:rsidR="00000000" w:rsidDel="00000000" w:rsidP="00000000" w:rsidRDefault="00000000" w:rsidRPr="00000000" w14:paraId="000000F6">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Comisionada ponente:</w:t>
          </w:r>
        </w:p>
      </w:tc>
      <w:tc>
        <w:tcPr>
          <w:shd w:fill="auto" w:val="clear"/>
          <w:vAlign w:val="center"/>
        </w:tcPr>
        <w:p w:rsidR="00000000" w:rsidDel="00000000" w:rsidP="00000000" w:rsidRDefault="00000000" w:rsidRPr="00000000" w14:paraId="000000F7">
          <w:pPr>
            <w:ind w:left="-45" w:right="-533"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Guadalupe Ramírez Peña</w:t>
          </w:r>
        </w:p>
      </w:tc>
    </w:tr>
  </w:tbl>
  <w:p w:rsidR="00000000" w:rsidDel="00000000" w:rsidP="00000000" w:rsidRDefault="00000000" w:rsidRPr="00000000" w14:paraId="000000F8">
    <w:pPr>
      <w:pBdr>
        <w:top w:space="0" w:sz="0" w:val="nil"/>
        <w:left w:space="0" w:sz="0" w:val="nil"/>
        <w:bottom w:space="0" w:sz="0" w:val="nil"/>
        <w:right w:space="0" w:sz="0" w:val="nil"/>
        <w:between w:space="0" w:sz="0" w:val="nil"/>
      </w:pBdr>
      <w:tabs>
        <w:tab w:val="center" w:leader="none" w:pos="4252"/>
        <w:tab w:val="right" w:leader="none" w:pos="8504"/>
      </w:tabs>
      <w:rPr>
        <w:rFonts w:ascii="Cambria" w:cs="Cambria" w:eastAsia="Cambria" w:hAnsi="Cambria"/>
        <w:color w:val="000000"/>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-1089655</wp:posOffset>
          </wp:positionH>
          <wp:positionV relativeFrom="paragraph">
            <wp:posOffset>-1169666</wp:posOffset>
          </wp:positionV>
          <wp:extent cx="7809865" cy="10165715"/>
          <wp:effectExtent b="0" l="0" r="0" t="0"/>
          <wp:wrapNone/>
          <wp:docPr id="1973524155"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7809865" cy="10165715"/>
                  </a:xfrm>
                  <a:prstGeom prst="rect"/>
                  <a:ln/>
                </pic:spPr>
              </pic:pic>
            </a:graphicData>
          </a:graphic>
        </wp:anchor>
      </w:drawing>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F9">
    <w:pPr>
      <w:widowControl w:val="0"/>
      <w:pBdr>
        <w:top w:space="0" w:sz="0" w:val="nil"/>
        <w:left w:space="0" w:sz="0" w:val="nil"/>
        <w:bottom w:space="0" w:sz="0" w:val="nil"/>
        <w:right w:space="0" w:sz="0" w:val="nil"/>
        <w:between w:space="0" w:sz="0" w:val="nil"/>
      </w:pBdr>
      <w:spacing w:line="276" w:lineRule="auto"/>
      <w:rPr>
        <w:rFonts w:ascii="Palatino Linotype" w:cs="Palatino Linotype" w:eastAsia="Palatino Linotype" w:hAnsi="Palatino Linotype"/>
        <w:color w:val="000000"/>
        <w:sz w:val="16"/>
        <w:szCs w:val="16"/>
      </w:rPr>
    </w:pPr>
    <w:r w:rsidDel="00000000" w:rsidR="00000000" w:rsidRPr="00000000">
      <w:rPr>
        <w:rtl w:val="0"/>
      </w:rPr>
    </w:r>
  </w:p>
  <w:p w:rsidR="00000000" w:rsidDel="00000000" w:rsidP="00000000" w:rsidRDefault="00000000" w:rsidRPr="00000000" w14:paraId="000000FA">
    <w:pPr>
      <w:pBdr>
        <w:top w:space="0" w:sz="0" w:val="nil"/>
        <w:left w:space="0" w:sz="0" w:val="nil"/>
        <w:bottom w:space="0" w:sz="0" w:val="nil"/>
        <w:right w:space="0" w:sz="0" w:val="nil"/>
        <w:between w:space="0" w:sz="0" w:val="nil"/>
      </w:pBdr>
      <w:tabs>
        <w:tab w:val="center" w:leader="none" w:pos="4252"/>
        <w:tab w:val="right" w:leader="none" w:pos="8504"/>
      </w:tabs>
      <w:rPr>
        <w:rFonts w:ascii="Cambria" w:cs="Cambria" w:eastAsia="Cambria" w:hAnsi="Cambria"/>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s-E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rFonts w:ascii="Calibri" w:cs="Calibri" w:eastAsia="Calibri" w:hAnsi="Calibri"/>
      <w:color w:val="366091"/>
      <w:sz w:val="32"/>
      <w:szCs w:val="32"/>
    </w:rPr>
  </w:style>
  <w:style w:type="paragraph" w:styleId="Heading2">
    <w:name w:val="heading 2"/>
    <w:basedOn w:val="Normal"/>
    <w:next w:val="Normal"/>
    <w:pPr>
      <w:keepNext w:val="1"/>
      <w:keepLines w:val="1"/>
      <w:spacing w:before="40" w:lineRule="auto"/>
    </w:pPr>
    <w:rPr>
      <w:rFonts w:ascii="Calibri" w:cs="Calibri" w:eastAsia="Calibri" w:hAnsi="Calibri"/>
      <w:color w:val="366091"/>
      <w:sz w:val="26"/>
      <w:szCs w:val="26"/>
    </w:rPr>
  </w:style>
  <w:style w:type="paragraph" w:styleId="Heading3">
    <w:name w:val="heading 3"/>
    <w:basedOn w:val="Normal"/>
    <w:next w:val="Normal"/>
    <w:pPr>
      <w:keepNext w:val="1"/>
      <w:spacing w:after="60" w:before="240" w:lineRule="auto"/>
      <w:ind w:left="2160" w:hanging="720"/>
    </w:pPr>
    <w:rPr>
      <w:rFonts w:ascii="Calibri" w:cs="Calibri" w:eastAsia="Calibri" w:hAnsi="Calibri"/>
      <w:b w:val="1"/>
      <w:sz w:val="26"/>
      <w:szCs w:val="26"/>
    </w:rPr>
  </w:style>
  <w:style w:type="paragraph" w:styleId="Heading4">
    <w:name w:val="heading 4"/>
    <w:basedOn w:val="Normal"/>
    <w:next w:val="Normal"/>
    <w:pPr>
      <w:keepNext w:val="1"/>
      <w:spacing w:after="60" w:before="240" w:lineRule="auto"/>
      <w:ind w:left="2880" w:hanging="720"/>
    </w:pPr>
    <w:rPr>
      <w:rFonts w:ascii="Cambria" w:cs="Cambria" w:eastAsia="Cambria" w:hAnsi="Cambria"/>
      <w:b w:val="1"/>
      <w:sz w:val="28"/>
      <w:szCs w:val="28"/>
    </w:rPr>
  </w:style>
  <w:style w:type="paragraph" w:styleId="Heading5">
    <w:name w:val="heading 5"/>
    <w:basedOn w:val="Normal"/>
    <w:next w:val="Normal"/>
    <w:pPr>
      <w:spacing w:after="60" w:before="240" w:lineRule="auto"/>
      <w:ind w:left="3600" w:hanging="720"/>
    </w:pPr>
    <w:rPr>
      <w:rFonts w:ascii="Cambria" w:cs="Cambria" w:eastAsia="Cambria" w:hAnsi="Cambria"/>
      <w:b w:val="1"/>
      <w:i w:val="1"/>
      <w:sz w:val="26"/>
      <w:szCs w:val="26"/>
    </w:rPr>
  </w:style>
  <w:style w:type="paragraph" w:styleId="Heading6">
    <w:name w:val="heading 6"/>
    <w:basedOn w:val="Normal"/>
    <w:next w:val="Normal"/>
    <w:pPr>
      <w:spacing w:after="60" w:before="240" w:lineRule="auto"/>
      <w:ind w:left="4320" w:hanging="720"/>
    </w:pPr>
    <w:rPr>
      <w:b w:val="1"/>
      <w:sz w:val="22"/>
      <w:szCs w:val="22"/>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8B2902"/>
  </w:style>
  <w:style w:type="paragraph" w:styleId="Ttulo1">
    <w:name w:val="heading 1"/>
    <w:basedOn w:val="Normal"/>
    <w:next w:val="Normal"/>
    <w:link w:val="Ttulo1Car"/>
    <w:uiPriority w:val="9"/>
    <w:qFormat w:val="1"/>
    <w:rsid w:val="00603D72"/>
    <w:pPr>
      <w:keepNext w:val="1"/>
      <w:keepLines w:val="1"/>
      <w:spacing w:before="240"/>
      <w:outlineLvl w:val="0"/>
    </w:pPr>
    <w:rPr>
      <w:rFonts w:asciiTheme="majorHAnsi" w:cstheme="majorBidi" w:eastAsiaTheme="majorEastAsia" w:hAnsiTheme="majorHAnsi"/>
      <w:color w:val="365f91" w:themeColor="accent1" w:themeShade="0000BF"/>
      <w:sz w:val="32"/>
      <w:szCs w:val="32"/>
    </w:rPr>
  </w:style>
  <w:style w:type="paragraph" w:styleId="Ttulo2">
    <w:name w:val="heading 2"/>
    <w:basedOn w:val="Normal"/>
    <w:next w:val="Normal"/>
    <w:link w:val="Ttulo2Car"/>
    <w:uiPriority w:val="9"/>
    <w:semiHidden w:val="1"/>
    <w:unhideWhenUsed w:val="1"/>
    <w:qFormat w:val="1"/>
    <w:rsid w:val="00603D72"/>
    <w:pPr>
      <w:keepNext w:val="1"/>
      <w:keepLines w:val="1"/>
      <w:spacing w:before="40"/>
      <w:outlineLvl w:val="1"/>
    </w:pPr>
    <w:rPr>
      <w:rFonts w:asciiTheme="majorHAnsi" w:cstheme="majorBidi" w:eastAsiaTheme="majorEastAsia" w:hAnsiTheme="majorHAnsi"/>
      <w:color w:val="365f91" w:themeColor="accent1" w:themeShade="0000BF"/>
      <w:sz w:val="26"/>
      <w:szCs w:val="26"/>
    </w:rPr>
  </w:style>
  <w:style w:type="paragraph" w:styleId="Ttulo3">
    <w:name w:val="heading 3"/>
    <w:basedOn w:val="Normal"/>
    <w:next w:val="Normal"/>
    <w:link w:val="Ttulo3Car"/>
    <w:uiPriority w:val="9"/>
    <w:semiHidden w:val="1"/>
    <w:unhideWhenUsed w:val="1"/>
    <w:qFormat w:val="1"/>
    <w:rsid w:val="003B73CD"/>
    <w:pPr>
      <w:keepNext w:val="1"/>
      <w:tabs>
        <w:tab w:val="num" w:pos="2160"/>
      </w:tabs>
      <w:spacing w:after="60" w:before="240"/>
      <w:ind w:left="2160" w:hanging="720"/>
      <w:outlineLvl w:val="2"/>
    </w:pPr>
    <w:rPr>
      <w:rFonts w:asciiTheme="majorHAnsi" w:cstheme="majorBidi" w:eastAsiaTheme="majorEastAsia" w:hAnsiTheme="majorHAnsi"/>
      <w:b w:val="1"/>
      <w:bCs w:val="1"/>
      <w:sz w:val="26"/>
      <w:szCs w:val="26"/>
      <w:lang w:eastAsia="en-US" w:val="en-US"/>
    </w:rPr>
  </w:style>
  <w:style w:type="paragraph" w:styleId="Ttulo4">
    <w:name w:val="heading 4"/>
    <w:basedOn w:val="Normal"/>
    <w:next w:val="Normal"/>
    <w:link w:val="Ttulo4Car"/>
    <w:uiPriority w:val="9"/>
    <w:semiHidden w:val="1"/>
    <w:unhideWhenUsed w:val="1"/>
    <w:qFormat w:val="1"/>
    <w:rsid w:val="003B73CD"/>
    <w:pPr>
      <w:keepNext w:val="1"/>
      <w:tabs>
        <w:tab w:val="num" w:pos="2880"/>
      </w:tabs>
      <w:spacing w:after="60" w:before="240"/>
      <w:ind w:left="2880" w:hanging="720"/>
      <w:outlineLvl w:val="3"/>
    </w:pPr>
    <w:rPr>
      <w:rFonts w:asciiTheme="minorHAnsi" w:cstheme="minorBidi" w:eastAsiaTheme="minorEastAsia" w:hAnsiTheme="minorHAnsi"/>
      <w:b w:val="1"/>
      <w:bCs w:val="1"/>
      <w:sz w:val="28"/>
      <w:szCs w:val="28"/>
      <w:lang w:eastAsia="en-US" w:val="en-US"/>
    </w:rPr>
  </w:style>
  <w:style w:type="paragraph" w:styleId="Ttulo5">
    <w:name w:val="heading 5"/>
    <w:basedOn w:val="Normal"/>
    <w:next w:val="Normal"/>
    <w:link w:val="Ttulo5Car"/>
    <w:uiPriority w:val="9"/>
    <w:semiHidden w:val="1"/>
    <w:unhideWhenUsed w:val="1"/>
    <w:qFormat w:val="1"/>
    <w:rsid w:val="003B73CD"/>
    <w:pPr>
      <w:tabs>
        <w:tab w:val="num" w:pos="3600"/>
      </w:tabs>
      <w:spacing w:after="60" w:before="240"/>
      <w:ind w:left="3600" w:hanging="720"/>
      <w:outlineLvl w:val="4"/>
    </w:pPr>
    <w:rPr>
      <w:rFonts w:asciiTheme="minorHAnsi" w:cstheme="minorBidi" w:eastAsiaTheme="minorEastAsia" w:hAnsiTheme="minorHAnsi"/>
      <w:b w:val="1"/>
      <w:bCs w:val="1"/>
      <w:i w:val="1"/>
      <w:iCs w:val="1"/>
      <w:sz w:val="26"/>
      <w:szCs w:val="26"/>
      <w:lang w:eastAsia="en-US" w:val="en-US"/>
    </w:rPr>
  </w:style>
  <w:style w:type="paragraph" w:styleId="Ttulo6">
    <w:name w:val="heading 6"/>
    <w:basedOn w:val="Normal"/>
    <w:next w:val="Normal"/>
    <w:link w:val="Ttulo6Car"/>
    <w:uiPriority w:val="9"/>
    <w:semiHidden w:val="1"/>
    <w:unhideWhenUsed w:val="1"/>
    <w:qFormat w:val="1"/>
    <w:rsid w:val="003B73CD"/>
    <w:pPr>
      <w:tabs>
        <w:tab w:val="num" w:pos="4320"/>
      </w:tabs>
      <w:spacing w:after="60" w:before="240"/>
      <w:ind w:left="4320" w:hanging="720"/>
      <w:outlineLvl w:val="5"/>
    </w:pPr>
    <w:rPr>
      <w:b w:val="1"/>
      <w:bCs w:val="1"/>
      <w:sz w:val="22"/>
      <w:szCs w:val="22"/>
      <w:lang w:eastAsia="en-US" w:val="en-US"/>
    </w:rPr>
  </w:style>
  <w:style w:type="paragraph" w:styleId="Ttulo7">
    <w:name w:val="heading 7"/>
    <w:basedOn w:val="Normal"/>
    <w:next w:val="Normal"/>
    <w:link w:val="Ttulo7Car"/>
    <w:uiPriority w:val="9"/>
    <w:semiHidden w:val="1"/>
    <w:unhideWhenUsed w:val="1"/>
    <w:qFormat w:val="1"/>
    <w:rsid w:val="003B73CD"/>
    <w:pPr>
      <w:tabs>
        <w:tab w:val="num" w:pos="5040"/>
      </w:tabs>
      <w:spacing w:after="60" w:before="240"/>
      <w:ind w:left="5040" w:hanging="720"/>
      <w:outlineLvl w:val="6"/>
    </w:pPr>
    <w:rPr>
      <w:rFonts w:asciiTheme="minorHAnsi" w:cstheme="minorBidi" w:eastAsiaTheme="minorEastAsia" w:hAnsiTheme="minorHAnsi"/>
      <w:lang w:eastAsia="en-US" w:val="en-US"/>
    </w:rPr>
  </w:style>
  <w:style w:type="paragraph" w:styleId="Ttulo8">
    <w:name w:val="heading 8"/>
    <w:basedOn w:val="Normal"/>
    <w:next w:val="Normal"/>
    <w:link w:val="Ttulo8Car"/>
    <w:uiPriority w:val="9"/>
    <w:semiHidden w:val="1"/>
    <w:unhideWhenUsed w:val="1"/>
    <w:qFormat w:val="1"/>
    <w:rsid w:val="003B73CD"/>
    <w:pPr>
      <w:tabs>
        <w:tab w:val="num" w:pos="5760"/>
      </w:tabs>
      <w:spacing w:after="60" w:before="240"/>
      <w:ind w:left="5760" w:hanging="720"/>
      <w:outlineLvl w:val="7"/>
    </w:pPr>
    <w:rPr>
      <w:rFonts w:asciiTheme="minorHAnsi" w:cstheme="minorBidi" w:eastAsiaTheme="minorEastAsia" w:hAnsiTheme="minorHAnsi"/>
      <w:i w:val="1"/>
      <w:iCs w:val="1"/>
      <w:lang w:eastAsia="en-US" w:val="en-US"/>
    </w:rPr>
  </w:style>
  <w:style w:type="paragraph" w:styleId="Ttulo9">
    <w:name w:val="heading 9"/>
    <w:basedOn w:val="Normal"/>
    <w:next w:val="Normal"/>
    <w:link w:val="Ttulo9Car"/>
    <w:uiPriority w:val="9"/>
    <w:semiHidden w:val="1"/>
    <w:unhideWhenUsed w:val="1"/>
    <w:qFormat w:val="1"/>
    <w:rsid w:val="003B73CD"/>
    <w:pPr>
      <w:tabs>
        <w:tab w:val="num" w:pos="6480"/>
      </w:tabs>
      <w:spacing w:after="60" w:before="240"/>
      <w:ind w:left="6480" w:hanging="720"/>
      <w:outlineLvl w:val="8"/>
    </w:pPr>
    <w:rPr>
      <w:rFonts w:asciiTheme="majorHAnsi" w:cstheme="majorBidi" w:eastAsiaTheme="majorEastAsia" w:hAnsiTheme="majorHAnsi"/>
      <w:sz w:val="22"/>
      <w:szCs w:val="22"/>
      <w:lang w:eastAsia="en-US" w:val="en-US"/>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uiPriority w:val="10"/>
    <w:qFormat w:val="1"/>
    <w:pPr>
      <w:keepNext w:val="1"/>
      <w:keepLines w:val="1"/>
      <w:spacing w:after="120" w:before="480"/>
    </w:pPr>
    <w:rPr>
      <w:b w:val="1"/>
      <w:sz w:val="72"/>
      <w:szCs w:val="7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paragraph" w:styleId="Encabezado">
    <w:name w:val="header"/>
    <w:basedOn w:val="Normal"/>
    <w:link w:val="EncabezadoCar"/>
    <w:uiPriority w:val="99"/>
    <w:unhideWhenUsed w:val="1"/>
    <w:rsid w:val="00C80F8C"/>
    <w:pPr>
      <w:tabs>
        <w:tab w:val="center" w:pos="4252"/>
        <w:tab w:val="right" w:pos="8504"/>
      </w:tabs>
    </w:pPr>
    <w:rPr>
      <w:rFonts w:asciiTheme="minorHAnsi" w:cstheme="minorBidi" w:eastAsiaTheme="minorEastAsia" w:hAnsiTheme="minorHAnsi"/>
      <w:lang w:val="es-ES_tradnl"/>
    </w:rPr>
  </w:style>
  <w:style w:type="character" w:styleId="EncabezadoCar" w:customStyle="1">
    <w:name w:val="Encabezado Car"/>
    <w:basedOn w:val="Fuentedeprrafopredeter"/>
    <w:link w:val="Encabezado"/>
    <w:uiPriority w:val="99"/>
    <w:rsid w:val="00C80F8C"/>
  </w:style>
  <w:style w:type="paragraph" w:styleId="Piedepgina">
    <w:name w:val="footer"/>
    <w:basedOn w:val="Normal"/>
    <w:link w:val="PiedepginaCar"/>
    <w:uiPriority w:val="99"/>
    <w:unhideWhenUsed w:val="1"/>
    <w:rsid w:val="00C80F8C"/>
    <w:pPr>
      <w:tabs>
        <w:tab w:val="center" w:pos="4252"/>
        <w:tab w:val="right" w:pos="8504"/>
      </w:tabs>
    </w:pPr>
    <w:rPr>
      <w:rFonts w:asciiTheme="minorHAnsi" w:cstheme="minorBidi" w:eastAsiaTheme="minorEastAsia" w:hAnsiTheme="minorHAnsi"/>
      <w:lang w:val="es-ES_tradnl"/>
    </w:rPr>
  </w:style>
  <w:style w:type="character" w:styleId="PiedepginaCar" w:customStyle="1">
    <w:name w:val="Pie de página Car"/>
    <w:basedOn w:val="Fuentedeprrafopredeter"/>
    <w:link w:val="Piedepgina"/>
    <w:uiPriority w:val="99"/>
    <w:rsid w:val="00C80F8C"/>
  </w:style>
  <w:style w:type="paragraph" w:styleId="Textodeglobo">
    <w:name w:val="Balloon Text"/>
    <w:basedOn w:val="Normal"/>
    <w:link w:val="TextodegloboCar"/>
    <w:uiPriority w:val="99"/>
    <w:semiHidden w:val="1"/>
    <w:unhideWhenUsed w:val="1"/>
    <w:rsid w:val="00C80F8C"/>
    <w:rPr>
      <w:rFonts w:ascii="Lucida Grande" w:cs="Lucida Grande" w:hAnsi="Lucida Grande" w:eastAsiaTheme="minorEastAsia"/>
      <w:sz w:val="18"/>
      <w:szCs w:val="18"/>
      <w:lang w:val="es-ES_tradnl"/>
    </w:rPr>
  </w:style>
  <w:style w:type="character" w:styleId="TextodegloboCar" w:customStyle="1">
    <w:name w:val="Texto de globo Car"/>
    <w:basedOn w:val="Fuentedeprrafopredeter"/>
    <w:link w:val="Textodeglobo"/>
    <w:uiPriority w:val="99"/>
    <w:semiHidden w:val="1"/>
    <w:rsid w:val="00C80F8C"/>
    <w:rPr>
      <w:rFonts w:ascii="Lucida Grande" w:cs="Lucida Grande" w:hAnsi="Lucida Grande"/>
      <w:sz w:val="18"/>
      <w:szCs w:val="18"/>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val="1"/>
    <w:rsid w:val="0070703E"/>
    <w:pPr>
      <w:ind w:left="720"/>
      <w:contextualSpacing w:val="1"/>
    </w:pPr>
  </w:style>
  <w:style w:type="character" w:styleId="Hipervnculo">
    <w:name w:val="Hyperlink"/>
    <w:basedOn w:val="Fuentedeprrafopredeter"/>
    <w:uiPriority w:val="99"/>
    <w:unhideWhenUsed w:val="1"/>
    <w:rsid w:val="00FD7589"/>
    <w:rPr>
      <w:color w:val="0000ff"/>
      <w:u w:val="single"/>
    </w:rPr>
  </w:style>
  <w:style w:type="character" w:styleId="apple-converted-space" w:customStyle="1">
    <w:name w:val="apple-converted-space"/>
    <w:basedOn w:val="Fuentedeprrafopredeter"/>
    <w:rsid w:val="00FD7589"/>
  </w:style>
  <w:style w:type="paragraph" w:styleId="Listavistosa-nfasis11" w:customStyle="1">
    <w:name w:val="Lista vistosa - Énfasis 11"/>
    <w:basedOn w:val="Normal"/>
    <w:link w:val="Listavistosa-nfasis1Car"/>
    <w:uiPriority w:val="34"/>
    <w:qFormat w:val="1"/>
    <w:rsid w:val="000D2D89"/>
    <w:pPr>
      <w:ind w:left="708"/>
    </w:pPr>
  </w:style>
  <w:style w:type="character" w:styleId="Listavistosa-nfasis1Car" w:customStyle="1">
    <w:name w:val="Lista vistosa - Énfasis 1 Car"/>
    <w:link w:val="Listavistosa-nfasis11"/>
    <w:uiPriority w:val="34"/>
    <w:locked w:val="1"/>
    <w:rsid w:val="000D2D89"/>
    <w:rPr>
      <w:rFonts w:ascii="Times New Roman" w:cs="Times New Roman" w:eastAsia="Times New Roman" w:hAnsi="Times New Roman"/>
      <w:lang w:val="es-ES"/>
    </w:rPr>
  </w:style>
  <w:style w:type="paragraph" w:styleId="Texto" w:customStyle="1">
    <w:name w:val="Texto"/>
    <w:basedOn w:val="Normal"/>
    <w:link w:val="TextoCar"/>
    <w:rsid w:val="000470FE"/>
    <w:pPr>
      <w:spacing w:after="101" w:line="216" w:lineRule="exact"/>
      <w:ind w:firstLine="288"/>
      <w:jc w:val="both"/>
    </w:pPr>
    <w:rPr>
      <w:rFonts w:ascii="Arial" w:cs="Arial" w:hAnsi="Arial"/>
      <w:sz w:val="18"/>
      <w:szCs w:val="18"/>
      <w:lang w:val="es-MX"/>
    </w:rPr>
  </w:style>
  <w:style w:type="paragraph" w:styleId="NormalWeb">
    <w:name w:val="Normal (Web)"/>
    <w:basedOn w:val="Normal"/>
    <w:uiPriority w:val="99"/>
    <w:rsid w:val="000470FE"/>
    <w:pPr>
      <w:spacing w:after="100" w:afterAutospacing="1" w:before="100" w:beforeAutospacing="1"/>
    </w:pPr>
  </w:style>
  <w:style w:type="character" w:styleId="apple-style-span" w:customStyle="1">
    <w:name w:val="apple-style-span"/>
    <w:rsid w:val="008846E7"/>
  </w:style>
  <w:style w:type="character" w:styleId="PrrafodelistaCar" w:customStyle="1">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val="1"/>
    <w:locked w:val="1"/>
    <w:rsid w:val="007E1FF4"/>
    <w:rPr>
      <w:rFonts w:ascii="Times New Roman" w:cs="Times New Roman" w:eastAsia="Times New Roman" w:hAnsi="Times New Roman"/>
      <w:lang w:val="es-ES"/>
    </w:rPr>
  </w:style>
  <w:style w:type="character" w:styleId="Textoennegrita">
    <w:name w:val="Strong"/>
    <w:uiPriority w:val="22"/>
    <w:qFormat w:val="1"/>
    <w:rsid w:val="003D1B5F"/>
    <w:rPr>
      <w:b w:val="1"/>
      <w:bCs w:val="1"/>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nhideWhenUsed w:val="1"/>
    <w:qFormat w:val="1"/>
    <w:rsid w:val="002944C8"/>
    <w:rPr>
      <w:rFonts w:asciiTheme="minorHAnsi" w:cstheme="minorBidi" w:eastAsiaTheme="minorHAnsi" w:hAnsiTheme="minorHAnsi"/>
      <w:sz w:val="20"/>
      <w:szCs w:val="20"/>
      <w:lang w:eastAsia="en-US" w:val="es-MX"/>
    </w:rPr>
  </w:style>
  <w:style w:type="character" w:styleId="TextonotapieCar" w:customStyle="1">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qFormat w:val="1"/>
    <w:rsid w:val="002944C8"/>
    <w:rPr>
      <w:rFonts w:eastAsiaTheme="minorHAnsi"/>
      <w:sz w:val="20"/>
      <w:szCs w:val="20"/>
      <w:lang w:eastAsia="en-US" w:val="es-MX"/>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
    <w:basedOn w:val="Fuentedeprrafopredeter"/>
    <w:unhideWhenUsed w:val="1"/>
    <w:qFormat w:val="1"/>
    <w:rsid w:val="002944C8"/>
    <w:rPr>
      <w:vertAlign w:val="superscript"/>
    </w:rPr>
  </w:style>
  <w:style w:type="paragraph" w:styleId="Sinespaciado">
    <w:name w:val="No Spacing"/>
    <w:aliases w:val="Francesa,INAI"/>
    <w:link w:val="SinespaciadoCar"/>
    <w:uiPriority w:val="1"/>
    <w:qFormat w:val="1"/>
    <w:rsid w:val="002944C8"/>
    <w:rPr>
      <w:lang w:val="es-MX"/>
    </w:rPr>
  </w:style>
  <w:style w:type="paragraph" w:styleId="Textoindependiente2">
    <w:name w:val="Body Text 2"/>
    <w:basedOn w:val="Normal"/>
    <w:link w:val="Textoindependiente2Car"/>
    <w:uiPriority w:val="99"/>
    <w:unhideWhenUsed w:val="1"/>
    <w:rsid w:val="002944C8"/>
    <w:pPr>
      <w:spacing w:after="120" w:line="480" w:lineRule="auto"/>
    </w:pPr>
  </w:style>
  <w:style w:type="character" w:styleId="Textoindependiente2Car" w:customStyle="1">
    <w:name w:val="Texto independiente 2 Car"/>
    <w:basedOn w:val="Fuentedeprrafopredeter"/>
    <w:link w:val="Textoindependiente2"/>
    <w:uiPriority w:val="99"/>
    <w:rsid w:val="002944C8"/>
    <w:rPr>
      <w:rFonts w:ascii="Times New Roman" w:cs="Times New Roman" w:eastAsia="Times New Roman" w:hAnsi="Times New Roman"/>
      <w:lang w:val="es-ES"/>
    </w:rPr>
  </w:style>
  <w:style w:type="paragraph" w:styleId="Textosinformato">
    <w:name w:val="Plain Text"/>
    <w:basedOn w:val="Normal"/>
    <w:link w:val="TextosinformatoCar"/>
    <w:rsid w:val="002944C8"/>
    <w:rPr>
      <w:rFonts w:ascii="Courier New" w:hAnsi="Courier New"/>
      <w:sz w:val="20"/>
      <w:szCs w:val="20"/>
    </w:rPr>
  </w:style>
  <w:style w:type="character" w:styleId="TextosinformatoCar" w:customStyle="1">
    <w:name w:val="Texto sin formato Car"/>
    <w:basedOn w:val="Fuentedeprrafopredeter"/>
    <w:link w:val="Textosinformato"/>
    <w:rsid w:val="002944C8"/>
    <w:rPr>
      <w:rFonts w:ascii="Courier New" w:cs="Times New Roman" w:eastAsia="Times New Roman" w:hAnsi="Courier New"/>
      <w:sz w:val="20"/>
      <w:szCs w:val="20"/>
      <w:lang w:val="es-ES"/>
    </w:rPr>
  </w:style>
  <w:style w:type="paragraph" w:styleId="Standard" w:customStyle="1">
    <w:name w:val="Standard"/>
    <w:rsid w:val="002944C8"/>
    <w:pPr>
      <w:widowControl w:val="0"/>
      <w:suppressAutoHyphens w:val="1"/>
      <w:autoSpaceDN w:val="0"/>
      <w:textAlignment w:val="baseline"/>
    </w:pPr>
    <w:rPr>
      <w:rFonts w:ascii="Liberation Serif" w:cs="Lohit Hindi" w:eastAsia="DejaVu Sans" w:hAnsi="Liberation Serif"/>
      <w:kern w:val="3"/>
      <w:lang w:bidi="hi-IN" w:eastAsia="zh-CN" w:val="es-MX"/>
    </w:rPr>
  </w:style>
  <w:style w:type="character" w:styleId="negritas1" w:customStyle="1">
    <w:name w:val="negritas1"/>
    <w:rsid w:val="002944C8"/>
    <w:rPr>
      <w:rFonts w:ascii="Arial" w:cs="Arial" w:hAnsi="Arial" w:hint="default"/>
      <w:b w:val="1"/>
      <w:bCs w:val="1"/>
      <w:sz w:val="18"/>
      <w:szCs w:val="18"/>
    </w:rPr>
  </w:style>
  <w:style w:type="paragraph" w:styleId="Pa2" w:customStyle="1">
    <w:name w:val="Pa2"/>
    <w:basedOn w:val="Normal"/>
    <w:next w:val="Normal"/>
    <w:uiPriority w:val="99"/>
    <w:rsid w:val="002944C8"/>
    <w:pPr>
      <w:autoSpaceDE w:val="0"/>
      <w:autoSpaceDN w:val="0"/>
      <w:adjustRightInd w:val="0"/>
      <w:spacing w:line="240" w:lineRule="atLeast"/>
    </w:pPr>
    <w:rPr>
      <w:rFonts w:ascii="Helvetica" w:hAnsi="Helvetica"/>
      <w:lang w:eastAsia="es-ES_tradnl" w:val="es-ES_tradnl"/>
    </w:rPr>
  </w:style>
  <w:style w:type="paragraph" w:styleId="Default" w:customStyle="1">
    <w:name w:val="Default"/>
    <w:rsid w:val="002944C8"/>
    <w:pPr>
      <w:autoSpaceDE w:val="0"/>
      <w:autoSpaceDN w:val="0"/>
      <w:adjustRightInd w:val="0"/>
    </w:pPr>
    <w:rPr>
      <w:rFonts w:ascii="Arial" w:cs="Arial" w:hAnsi="Arial" w:eastAsiaTheme="minorHAnsi"/>
      <w:color w:val="000000"/>
      <w:lang w:eastAsia="en-US" w:val="es-MX"/>
    </w:rPr>
  </w:style>
  <w:style w:type="character" w:styleId="f" w:customStyle="1">
    <w:name w:val="f"/>
    <w:basedOn w:val="Fuentedeprrafopredeter"/>
    <w:rsid w:val="002944C8"/>
  </w:style>
  <w:style w:type="paragraph" w:styleId="q" w:customStyle="1">
    <w:name w:val="q"/>
    <w:basedOn w:val="Normal"/>
    <w:rsid w:val="002944C8"/>
    <w:pPr>
      <w:spacing w:after="100" w:afterAutospacing="1" w:before="100" w:beforeAutospacing="1"/>
    </w:pPr>
    <w:rPr>
      <w:lang w:val="es-MX"/>
    </w:rPr>
  </w:style>
  <w:style w:type="character" w:styleId="d" w:customStyle="1">
    <w:name w:val="d"/>
    <w:basedOn w:val="Fuentedeprrafopredeter"/>
    <w:rsid w:val="002944C8"/>
  </w:style>
  <w:style w:type="character" w:styleId="b" w:customStyle="1">
    <w:name w:val="b"/>
    <w:basedOn w:val="Fuentedeprrafopredeter"/>
    <w:rsid w:val="002944C8"/>
  </w:style>
  <w:style w:type="character" w:styleId="k" w:customStyle="1">
    <w:name w:val="k"/>
    <w:basedOn w:val="Fuentedeprrafopredeter"/>
    <w:rsid w:val="002944C8"/>
  </w:style>
  <w:style w:type="character" w:styleId="h" w:customStyle="1">
    <w:name w:val="h"/>
    <w:basedOn w:val="Fuentedeprrafopredeter"/>
    <w:rsid w:val="002944C8"/>
  </w:style>
  <w:style w:type="character" w:styleId="Hipervnculovisitado">
    <w:name w:val="FollowedHyperlink"/>
    <w:basedOn w:val="Fuentedeprrafopredeter"/>
    <w:uiPriority w:val="99"/>
    <w:semiHidden w:val="1"/>
    <w:unhideWhenUsed w:val="1"/>
    <w:rsid w:val="002944C8"/>
    <w:rPr>
      <w:color w:val="800080" w:themeColor="followedHyperlink"/>
      <w:u w:val="single"/>
    </w:rPr>
  </w:style>
  <w:style w:type="character" w:styleId="CitaHTML">
    <w:name w:val="HTML Cite"/>
    <w:uiPriority w:val="99"/>
    <w:semiHidden w:val="1"/>
    <w:unhideWhenUsed w:val="1"/>
    <w:rsid w:val="00B85C7C"/>
    <w:rPr>
      <w:i w:val="1"/>
      <w:iCs w:val="1"/>
    </w:rPr>
  </w:style>
  <w:style w:type="character" w:styleId="SinespaciadoCar" w:customStyle="1">
    <w:name w:val="Sin espaciado Car"/>
    <w:aliases w:val="Francesa Car,INAI Car"/>
    <w:link w:val="Sinespaciado"/>
    <w:uiPriority w:val="1"/>
    <w:locked w:val="1"/>
    <w:rsid w:val="00270539"/>
    <w:rPr>
      <w:rFonts w:ascii="Times New Roman" w:cs="Times New Roman" w:eastAsia="Times New Roman" w:hAnsi="Times New Roman"/>
      <w:lang w:val="es-MX"/>
    </w:rPr>
  </w:style>
  <w:style w:type="character" w:styleId="medium" w:customStyle="1">
    <w:name w:val="medium"/>
    <w:basedOn w:val="Fuentedeprrafopredeter"/>
    <w:rsid w:val="00354DB7"/>
  </w:style>
  <w:style w:type="table" w:styleId="Tablaconcuadrcula">
    <w:name w:val="Table Grid"/>
    <w:basedOn w:val="Tablanormal"/>
    <w:uiPriority w:val="59"/>
    <w:rsid w:val="00BB3AE1"/>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numeroconsecutivo" w:customStyle="1">
    <w:name w:val="numeroconsecutivo"/>
    <w:basedOn w:val="Fuentedeprrafopredeter"/>
    <w:rsid w:val="00615060"/>
  </w:style>
  <w:style w:type="character" w:styleId="titulorubrolgt" w:customStyle="1">
    <w:name w:val="titulorubrolgt"/>
    <w:basedOn w:val="Fuentedeprrafopredeter"/>
    <w:rsid w:val="00615060"/>
  </w:style>
  <w:style w:type="character" w:styleId="ctr" w:customStyle="1">
    <w:name w:val="ctr"/>
    <w:basedOn w:val="Fuentedeprrafopredeter"/>
    <w:rsid w:val="00615060"/>
  </w:style>
  <w:style w:type="paragraph" w:styleId="Textonotaalfinal">
    <w:name w:val="endnote text"/>
    <w:basedOn w:val="Normal"/>
    <w:link w:val="TextonotaalfinalCar"/>
    <w:uiPriority w:val="99"/>
    <w:semiHidden w:val="1"/>
    <w:unhideWhenUsed w:val="1"/>
    <w:rsid w:val="00D25E88"/>
    <w:rPr>
      <w:sz w:val="20"/>
      <w:szCs w:val="20"/>
    </w:rPr>
  </w:style>
  <w:style w:type="character" w:styleId="TextonotaalfinalCar" w:customStyle="1">
    <w:name w:val="Texto nota al final Car"/>
    <w:basedOn w:val="Fuentedeprrafopredeter"/>
    <w:link w:val="Textonotaalfinal"/>
    <w:uiPriority w:val="99"/>
    <w:semiHidden w:val="1"/>
    <w:rsid w:val="00D25E88"/>
    <w:rPr>
      <w:rFonts w:ascii="Times New Roman" w:cs="Times New Roman" w:eastAsia="Times New Roman" w:hAnsi="Times New Roman"/>
      <w:sz w:val="20"/>
      <w:szCs w:val="20"/>
      <w:lang w:val="es-ES"/>
    </w:rPr>
  </w:style>
  <w:style w:type="character" w:styleId="Refdenotaalfinal">
    <w:name w:val="endnote reference"/>
    <w:basedOn w:val="Fuentedeprrafopredeter"/>
    <w:uiPriority w:val="99"/>
    <w:semiHidden w:val="1"/>
    <w:unhideWhenUsed w:val="1"/>
    <w:rsid w:val="00D25E88"/>
    <w:rPr>
      <w:vertAlign w:val="superscript"/>
    </w:rPr>
  </w:style>
  <w:style w:type="character" w:styleId="A1" w:customStyle="1">
    <w:name w:val="A1"/>
    <w:uiPriority w:val="99"/>
    <w:rsid w:val="00EC4ECD"/>
    <w:rPr>
      <w:rFonts w:ascii="Myriad Pro" w:cs="Myriad Pro" w:hAnsi="Myriad Pro" w:hint="default"/>
      <w:color w:val="000000"/>
      <w:sz w:val="22"/>
      <w:szCs w:val="22"/>
    </w:rPr>
  </w:style>
  <w:style w:type="paragraph" w:styleId="Pa9" w:customStyle="1">
    <w:name w:val="Pa9"/>
    <w:basedOn w:val="Normal"/>
    <w:next w:val="Normal"/>
    <w:uiPriority w:val="99"/>
    <w:rsid w:val="00EC4ECD"/>
    <w:pPr>
      <w:autoSpaceDE w:val="0"/>
      <w:autoSpaceDN w:val="0"/>
      <w:adjustRightInd w:val="0"/>
      <w:spacing w:line="241" w:lineRule="atLeast"/>
    </w:pPr>
    <w:rPr>
      <w:rFonts w:ascii="Myriad Pro" w:hAnsi="Myriad Pro" w:cstheme="minorBidi" w:eastAsiaTheme="minorHAnsi"/>
      <w:lang w:eastAsia="en-US" w:val="es-MX"/>
    </w:rPr>
  </w:style>
  <w:style w:type="paragraph" w:styleId="Pa5" w:customStyle="1">
    <w:name w:val="Pa5"/>
    <w:basedOn w:val="Normal"/>
    <w:next w:val="Normal"/>
    <w:uiPriority w:val="99"/>
    <w:rsid w:val="00EC4ECD"/>
    <w:pPr>
      <w:autoSpaceDE w:val="0"/>
      <w:autoSpaceDN w:val="0"/>
      <w:adjustRightInd w:val="0"/>
      <w:spacing w:line="201" w:lineRule="atLeast"/>
    </w:pPr>
    <w:rPr>
      <w:rFonts w:ascii="Myriad Pro" w:hAnsi="Myriad Pro" w:cstheme="minorBidi" w:eastAsiaTheme="minorHAnsi"/>
      <w:lang w:eastAsia="en-US" w:val="es-MX"/>
    </w:rPr>
  </w:style>
  <w:style w:type="paragraph" w:styleId="m5127500252372250437gmail-paragraph" w:customStyle="1">
    <w:name w:val="m_5127500252372250437gmail-paragraph"/>
    <w:basedOn w:val="Normal"/>
    <w:rsid w:val="00980B7E"/>
    <w:pPr>
      <w:spacing w:after="100" w:afterAutospacing="1" w:before="100" w:beforeAutospacing="1"/>
    </w:pPr>
    <w:rPr>
      <w:lang w:val="es-MX"/>
    </w:rPr>
  </w:style>
  <w:style w:type="character" w:styleId="nombrefraccder" w:customStyle="1">
    <w:name w:val="nombrefraccder"/>
    <w:basedOn w:val="Fuentedeprrafopredeter"/>
    <w:rsid w:val="009B4A68"/>
  </w:style>
  <w:style w:type="character" w:styleId="numberfraccder" w:customStyle="1">
    <w:name w:val="numberfraccder"/>
    <w:basedOn w:val="Fuentedeprrafopredeter"/>
    <w:rsid w:val="009B4A68"/>
  </w:style>
  <w:style w:type="character" w:styleId="TextoCar" w:customStyle="1">
    <w:name w:val="Texto Car"/>
    <w:link w:val="Texto"/>
    <w:locked w:val="1"/>
    <w:rsid w:val="002B0963"/>
    <w:rPr>
      <w:rFonts w:ascii="Arial" w:cs="Arial" w:eastAsia="Times New Roman" w:hAnsi="Arial"/>
      <w:sz w:val="18"/>
      <w:szCs w:val="18"/>
      <w:lang w:val="es-MX"/>
    </w:rPr>
  </w:style>
  <w:style w:type="character" w:styleId="nfasis">
    <w:name w:val="Emphasis"/>
    <w:basedOn w:val="Fuentedeprrafopredeter"/>
    <w:uiPriority w:val="20"/>
    <w:qFormat w:val="1"/>
    <w:rsid w:val="00C536F2"/>
    <w:rPr>
      <w:i w:val="1"/>
      <w:iCs w:val="1"/>
    </w:rPr>
  </w:style>
  <w:style w:type="character" w:styleId="normaltextrun" w:customStyle="1">
    <w:name w:val="normaltextrun"/>
    <w:basedOn w:val="Fuentedeprrafopredeter"/>
    <w:rsid w:val="0011437B"/>
  </w:style>
  <w:style w:type="character" w:styleId="m5127500252372250437gmail-normaltextrun" w:customStyle="1">
    <w:name w:val="m_5127500252372250437gmail-normaltextrun"/>
    <w:basedOn w:val="Fuentedeprrafopredeter"/>
    <w:rsid w:val="0011437B"/>
  </w:style>
  <w:style w:type="paragraph" w:styleId="m-60081275284358516gmail-msolistparagraph" w:customStyle="1">
    <w:name w:val="m_-60081275284358516gmail-msolistparagraph"/>
    <w:basedOn w:val="Normal"/>
    <w:rsid w:val="00207C90"/>
    <w:pPr>
      <w:spacing w:after="100" w:afterAutospacing="1" w:before="100" w:beforeAutospacing="1"/>
    </w:pPr>
    <w:rPr>
      <w:lang w:val="es-MX"/>
    </w:rPr>
  </w:style>
  <w:style w:type="paragraph" w:styleId="ANOTACION" w:customStyle="1">
    <w:name w:val="ANOTACION"/>
    <w:basedOn w:val="Normal"/>
    <w:link w:val="ANOTACIONCar"/>
    <w:rsid w:val="001B5A73"/>
    <w:pPr>
      <w:spacing w:after="101" w:before="101" w:line="216" w:lineRule="atLeast"/>
      <w:jc w:val="center"/>
    </w:pPr>
    <w:rPr>
      <w:b w:val="1"/>
      <w:sz w:val="18"/>
      <w:szCs w:val="20"/>
      <w:lang w:val="es-ES_tradnl"/>
    </w:rPr>
  </w:style>
  <w:style w:type="character" w:styleId="ANOTACIONCar" w:customStyle="1">
    <w:name w:val="ANOTACION Car"/>
    <w:link w:val="ANOTACION"/>
    <w:locked w:val="1"/>
    <w:rsid w:val="001B5A73"/>
    <w:rPr>
      <w:rFonts w:ascii="Times New Roman" w:cs="Times New Roman" w:eastAsia="Times New Roman" w:hAnsi="Times New Roman"/>
      <w:b w:val="1"/>
      <w:sz w:val="18"/>
      <w:szCs w:val="20"/>
    </w:rPr>
  </w:style>
  <w:style w:type="paragraph" w:styleId="j" w:customStyle="1">
    <w:name w:val="j"/>
    <w:basedOn w:val="Normal"/>
    <w:rsid w:val="007B00BD"/>
    <w:pPr>
      <w:spacing w:after="100" w:afterAutospacing="1" w:before="100" w:beforeAutospacing="1"/>
    </w:pPr>
    <w:rPr>
      <w:lang w:val="es-MX"/>
    </w:rPr>
  </w:style>
  <w:style w:type="character" w:styleId="nacep" w:customStyle="1">
    <w:name w:val="n_acep"/>
    <w:basedOn w:val="Fuentedeprrafopredeter"/>
    <w:rsid w:val="007B00BD"/>
  </w:style>
  <w:style w:type="paragraph" w:styleId="k5" w:customStyle="1">
    <w:name w:val="k5"/>
    <w:basedOn w:val="Normal"/>
    <w:rsid w:val="007B00BD"/>
    <w:pPr>
      <w:spacing w:after="100" w:afterAutospacing="1" w:before="100" w:beforeAutospacing="1"/>
    </w:pPr>
    <w:rPr>
      <w:lang w:val="es-MX"/>
    </w:rPr>
  </w:style>
  <w:style w:type="paragraph" w:styleId="m" w:customStyle="1">
    <w:name w:val="m"/>
    <w:basedOn w:val="Normal"/>
    <w:rsid w:val="007B00BD"/>
    <w:pPr>
      <w:spacing w:after="100" w:afterAutospacing="1" w:before="100" w:beforeAutospacing="1"/>
    </w:pPr>
    <w:rPr>
      <w:lang w:val="es-MX"/>
    </w:rPr>
  </w:style>
  <w:style w:type="character" w:styleId="Refdecomentario">
    <w:name w:val="annotation reference"/>
    <w:basedOn w:val="Fuentedeprrafopredeter"/>
    <w:uiPriority w:val="99"/>
    <w:semiHidden w:val="1"/>
    <w:unhideWhenUsed w:val="1"/>
    <w:rsid w:val="003219FE"/>
    <w:rPr>
      <w:sz w:val="16"/>
      <w:szCs w:val="16"/>
    </w:rPr>
  </w:style>
  <w:style w:type="paragraph" w:styleId="Textocomentario">
    <w:name w:val="annotation text"/>
    <w:basedOn w:val="Normal"/>
    <w:link w:val="TextocomentarioCar"/>
    <w:uiPriority w:val="99"/>
    <w:semiHidden w:val="1"/>
    <w:unhideWhenUsed w:val="1"/>
    <w:rsid w:val="003219FE"/>
    <w:rPr>
      <w:sz w:val="20"/>
      <w:szCs w:val="20"/>
    </w:rPr>
  </w:style>
  <w:style w:type="character" w:styleId="TextocomentarioCar" w:customStyle="1">
    <w:name w:val="Texto comentario Car"/>
    <w:basedOn w:val="Fuentedeprrafopredeter"/>
    <w:link w:val="Textocomentario"/>
    <w:uiPriority w:val="99"/>
    <w:semiHidden w:val="1"/>
    <w:rsid w:val="003219FE"/>
    <w:rPr>
      <w:rFonts w:ascii="Times New Roman" w:cs="Times New Roman" w:eastAsia="Times New Roman" w:hAnsi="Times New Roman"/>
      <w:sz w:val="20"/>
      <w:szCs w:val="20"/>
      <w:lang w:val="es-ES"/>
    </w:rPr>
  </w:style>
  <w:style w:type="paragraph" w:styleId="Asuntodelcomentario">
    <w:name w:val="annotation subject"/>
    <w:basedOn w:val="Textocomentario"/>
    <w:next w:val="Textocomentario"/>
    <w:link w:val="AsuntodelcomentarioCar"/>
    <w:uiPriority w:val="99"/>
    <w:semiHidden w:val="1"/>
    <w:unhideWhenUsed w:val="1"/>
    <w:rsid w:val="003219FE"/>
    <w:rPr>
      <w:b w:val="1"/>
      <w:bCs w:val="1"/>
    </w:rPr>
  </w:style>
  <w:style w:type="character" w:styleId="AsuntodelcomentarioCar" w:customStyle="1">
    <w:name w:val="Asunto del comentario Car"/>
    <w:basedOn w:val="TextocomentarioCar"/>
    <w:link w:val="Asuntodelcomentario"/>
    <w:uiPriority w:val="99"/>
    <w:semiHidden w:val="1"/>
    <w:rsid w:val="003219FE"/>
    <w:rPr>
      <w:rFonts w:ascii="Times New Roman" w:cs="Times New Roman" w:eastAsia="Times New Roman" w:hAnsi="Times New Roman"/>
      <w:b w:val="1"/>
      <w:bCs w:val="1"/>
      <w:sz w:val="20"/>
      <w:szCs w:val="20"/>
      <w:lang w:val="es-ES"/>
    </w:rPr>
  </w:style>
  <w:style w:type="paragraph" w:styleId="FAFunotente1" w:customStyle="1">
    <w:name w:val="FA Fu?notente1"/>
    <w:basedOn w:val="Normal"/>
    <w:next w:val="Textonotapie"/>
    <w:uiPriority w:val="99"/>
    <w:unhideWhenUsed w:val="1"/>
    <w:rsid w:val="00A403D3"/>
    <w:rPr>
      <w:rFonts w:eastAsia="Cambria" w:asciiTheme="minorHAnsi" w:cstheme="minorBidi" w:hAnsiTheme="minorHAnsi"/>
      <w:sz w:val="20"/>
      <w:szCs w:val="20"/>
      <w:lang w:eastAsia="en-US" w:val="es-MX"/>
    </w:rPr>
  </w:style>
  <w:style w:type="character" w:styleId="Ttulo1Car" w:customStyle="1">
    <w:name w:val="Título 1 Car"/>
    <w:basedOn w:val="Fuentedeprrafopredeter"/>
    <w:link w:val="Ttulo1"/>
    <w:uiPriority w:val="9"/>
    <w:rsid w:val="00603D72"/>
    <w:rPr>
      <w:rFonts w:asciiTheme="majorHAnsi" w:cstheme="majorBidi" w:eastAsiaTheme="majorEastAsia" w:hAnsiTheme="majorHAnsi"/>
      <w:color w:val="365f91" w:themeColor="accent1" w:themeShade="0000BF"/>
      <w:sz w:val="32"/>
      <w:szCs w:val="32"/>
      <w:lang w:val="es-ES"/>
    </w:rPr>
  </w:style>
  <w:style w:type="character" w:styleId="Ttulo2Car" w:customStyle="1">
    <w:name w:val="Título 2 Car"/>
    <w:basedOn w:val="Fuentedeprrafopredeter"/>
    <w:link w:val="Ttulo2"/>
    <w:uiPriority w:val="9"/>
    <w:rsid w:val="00603D72"/>
    <w:rPr>
      <w:rFonts w:asciiTheme="majorHAnsi" w:cstheme="majorBidi" w:eastAsiaTheme="majorEastAsia" w:hAnsiTheme="majorHAnsi"/>
      <w:color w:val="365f91" w:themeColor="accent1" w:themeShade="0000BF"/>
      <w:sz w:val="26"/>
      <w:szCs w:val="26"/>
      <w:lang w:val="es-ES"/>
    </w:rPr>
  </w:style>
  <w:style w:type="paragraph" w:styleId="Lista">
    <w:name w:val="List"/>
    <w:basedOn w:val="Normal"/>
    <w:uiPriority w:val="99"/>
    <w:unhideWhenUsed w:val="1"/>
    <w:rsid w:val="00603D72"/>
    <w:pPr>
      <w:ind w:left="283" w:hanging="283"/>
      <w:contextualSpacing w:val="1"/>
    </w:pPr>
  </w:style>
  <w:style w:type="paragraph" w:styleId="Lista2">
    <w:name w:val="List 2"/>
    <w:basedOn w:val="Normal"/>
    <w:uiPriority w:val="99"/>
    <w:unhideWhenUsed w:val="1"/>
    <w:rsid w:val="00603D72"/>
    <w:pPr>
      <w:ind w:left="566" w:hanging="283"/>
      <w:contextualSpacing w:val="1"/>
    </w:pPr>
  </w:style>
  <w:style w:type="paragraph" w:styleId="Lista3">
    <w:name w:val="List 3"/>
    <w:basedOn w:val="Normal"/>
    <w:uiPriority w:val="99"/>
    <w:unhideWhenUsed w:val="1"/>
    <w:rsid w:val="00603D72"/>
    <w:pPr>
      <w:ind w:left="849" w:hanging="283"/>
      <w:contextualSpacing w:val="1"/>
    </w:pPr>
  </w:style>
  <w:style w:type="paragraph" w:styleId="Listaconvietas3">
    <w:name w:val="List Bullet 3"/>
    <w:basedOn w:val="Normal"/>
    <w:uiPriority w:val="99"/>
    <w:unhideWhenUsed w:val="1"/>
    <w:rsid w:val="00603D72"/>
    <w:pPr>
      <w:numPr>
        <w:numId w:val="2"/>
      </w:numPr>
      <w:contextualSpacing w:val="1"/>
    </w:pPr>
  </w:style>
  <w:style w:type="paragraph" w:styleId="Continuarlista">
    <w:name w:val="List Continue"/>
    <w:basedOn w:val="Normal"/>
    <w:uiPriority w:val="99"/>
    <w:unhideWhenUsed w:val="1"/>
    <w:rsid w:val="00603D72"/>
    <w:pPr>
      <w:spacing w:after="120"/>
      <w:ind w:left="283"/>
      <w:contextualSpacing w:val="1"/>
    </w:pPr>
  </w:style>
  <w:style w:type="paragraph" w:styleId="Continuarlista2">
    <w:name w:val="List Continue 2"/>
    <w:basedOn w:val="Normal"/>
    <w:uiPriority w:val="99"/>
    <w:unhideWhenUsed w:val="1"/>
    <w:rsid w:val="00603D72"/>
    <w:pPr>
      <w:spacing w:after="120"/>
      <w:ind w:left="566"/>
      <w:contextualSpacing w:val="1"/>
    </w:pPr>
  </w:style>
  <w:style w:type="paragraph" w:styleId="Textoindependiente">
    <w:name w:val="Body Text"/>
    <w:basedOn w:val="Normal"/>
    <w:link w:val="TextoindependienteCar"/>
    <w:uiPriority w:val="99"/>
    <w:unhideWhenUsed w:val="1"/>
    <w:rsid w:val="00603D72"/>
    <w:pPr>
      <w:spacing w:after="120"/>
    </w:pPr>
  </w:style>
  <w:style w:type="character" w:styleId="TextoindependienteCar" w:customStyle="1">
    <w:name w:val="Texto independiente Car"/>
    <w:basedOn w:val="Fuentedeprrafopredeter"/>
    <w:link w:val="Textoindependiente"/>
    <w:uiPriority w:val="99"/>
    <w:rsid w:val="00603D72"/>
    <w:rPr>
      <w:rFonts w:ascii="Times New Roman" w:cs="Times New Roman" w:eastAsia="Times New Roman" w:hAnsi="Times New Roman"/>
      <w:lang w:val="es-ES"/>
    </w:rPr>
  </w:style>
  <w:style w:type="paragraph" w:styleId="Sangradetextonormal">
    <w:name w:val="Body Text Indent"/>
    <w:basedOn w:val="Normal"/>
    <w:link w:val="SangradetextonormalCar"/>
    <w:uiPriority w:val="99"/>
    <w:semiHidden w:val="1"/>
    <w:unhideWhenUsed w:val="1"/>
    <w:rsid w:val="00603D72"/>
    <w:pPr>
      <w:spacing w:after="120"/>
      <w:ind w:left="283"/>
    </w:pPr>
  </w:style>
  <w:style w:type="character" w:styleId="SangradetextonormalCar" w:customStyle="1">
    <w:name w:val="Sangría de texto normal Car"/>
    <w:basedOn w:val="Fuentedeprrafopredeter"/>
    <w:link w:val="Sangradetextonormal"/>
    <w:uiPriority w:val="99"/>
    <w:semiHidden w:val="1"/>
    <w:rsid w:val="00603D72"/>
    <w:rPr>
      <w:rFonts w:ascii="Times New Roman" w:cs="Times New Roman" w:eastAsia="Times New Roman" w:hAnsi="Times New Roman"/>
      <w:lang w:val="es-ES"/>
    </w:rPr>
  </w:style>
  <w:style w:type="paragraph" w:styleId="Textoindependienteprimerasangra2">
    <w:name w:val="Body Text First Indent 2"/>
    <w:basedOn w:val="Sangradetextonormal"/>
    <w:link w:val="Textoindependienteprimerasangra2Car"/>
    <w:uiPriority w:val="99"/>
    <w:unhideWhenUsed w:val="1"/>
    <w:rsid w:val="00603D72"/>
    <w:pPr>
      <w:spacing w:after="0"/>
      <w:ind w:left="360" w:firstLine="360"/>
    </w:pPr>
  </w:style>
  <w:style w:type="character" w:styleId="Textoindependienteprimerasangra2Car" w:customStyle="1">
    <w:name w:val="Texto independiente primera sangría 2 Car"/>
    <w:basedOn w:val="SangradetextonormalCar"/>
    <w:link w:val="Textoindependienteprimerasangra2"/>
    <w:uiPriority w:val="99"/>
    <w:rsid w:val="00603D72"/>
    <w:rPr>
      <w:rFonts w:ascii="Times New Roman" w:cs="Times New Roman" w:eastAsia="Times New Roman" w:hAnsi="Times New Roman"/>
      <w:lang w:val="es-ES"/>
    </w:rPr>
  </w:style>
  <w:style w:type="paragraph" w:styleId="paragraph" w:customStyle="1">
    <w:name w:val="paragraph"/>
    <w:basedOn w:val="Normal"/>
    <w:rsid w:val="00E34821"/>
    <w:pPr>
      <w:spacing w:after="100" w:afterAutospacing="1" w:before="100" w:beforeAutospacing="1"/>
    </w:pPr>
    <w:rPr>
      <w:lang w:val="es-MX"/>
    </w:rPr>
  </w:style>
  <w:style w:type="paragraph" w:styleId="n2" w:customStyle="1">
    <w:name w:val="n2"/>
    <w:basedOn w:val="Normal"/>
    <w:rsid w:val="009D307C"/>
    <w:pPr>
      <w:spacing w:after="100" w:afterAutospacing="1" w:before="100" w:beforeAutospacing="1"/>
    </w:pPr>
    <w:rPr>
      <w:lang w:val="es-MX"/>
    </w:rPr>
  </w:style>
  <w:style w:type="character" w:styleId="u" w:customStyle="1">
    <w:name w:val="u"/>
    <w:basedOn w:val="Fuentedeprrafopredeter"/>
    <w:rsid w:val="009D307C"/>
  </w:style>
  <w:style w:type="paragraph" w:styleId="j1" w:customStyle="1">
    <w:name w:val="j1"/>
    <w:basedOn w:val="Normal"/>
    <w:rsid w:val="009D307C"/>
    <w:pPr>
      <w:spacing w:after="100" w:afterAutospacing="1" w:before="100" w:beforeAutospacing="1"/>
    </w:pPr>
    <w:rPr>
      <w:lang w:val="es-MX"/>
    </w:rPr>
  </w:style>
  <w:style w:type="paragraph" w:styleId="j2" w:customStyle="1">
    <w:name w:val="j2"/>
    <w:basedOn w:val="Normal"/>
    <w:rsid w:val="009D307C"/>
    <w:pPr>
      <w:spacing w:after="100" w:afterAutospacing="1" w:before="100" w:beforeAutospacing="1"/>
    </w:pPr>
    <w:rPr>
      <w:lang w:val="es-MX"/>
    </w:rPr>
  </w:style>
  <w:style w:type="table" w:styleId="Tabladelista1clara-nfasis1">
    <w:name w:val="List Table 1 Light Accent 1"/>
    <w:basedOn w:val="Tablanormal"/>
    <w:uiPriority w:val="46"/>
    <w:rsid w:val="00A01B91"/>
    <w:tblPr>
      <w:tblStyleRowBandSize w:val="1"/>
      <w:tblStyleColBandSize w:val="1"/>
    </w:tblPr>
    <w:tblStylePr w:type="firstRow">
      <w:rPr>
        <w:b w:val="1"/>
        <w:bCs w:val="1"/>
      </w:rPr>
      <w:tblPr/>
      <w:tcPr>
        <w:tcBorders>
          <w:bottom w:color="95b3d7" w:space="0" w:sz="4" w:themeColor="accent1" w:themeTint="000099" w:val="single"/>
        </w:tcBorders>
      </w:tcPr>
    </w:tblStylePr>
    <w:tblStylePr w:type="lastRow">
      <w:rPr>
        <w:b w:val="1"/>
        <w:bCs w:val="1"/>
      </w:rPr>
      <w:tblPr/>
      <w:tcPr>
        <w:tcBorders>
          <w:top w:color="95b3d7" w:space="0" w:sz="4" w:themeColor="accent1" w:themeTint="000099" w:val="single"/>
        </w:tcBorders>
      </w:tcPr>
    </w:tblStylePr>
    <w:tblStylePr w:type="firstCol">
      <w:rPr>
        <w:b w:val="1"/>
        <w:bCs w:val="1"/>
      </w:rPr>
    </w:tblStylePr>
    <w:tblStylePr w:type="lastCol">
      <w:rPr>
        <w:b w:val="1"/>
        <w:bCs w:val="1"/>
      </w:rPr>
    </w:tblStylePr>
    <w:tblStylePr w:type="band1Vert">
      <w:tblPr/>
      <w:tcPr>
        <w:shd w:color="auto" w:fill="dbe5f1" w:themeFill="accent1" w:themeFillTint="000033" w:val="clear"/>
      </w:tcPr>
    </w:tblStylePr>
    <w:tblStylePr w:type="band1Horz">
      <w:tblPr/>
      <w:tcPr>
        <w:shd w:color="auto" w:fill="dbe5f1" w:themeFill="accent1" w:themeFillTint="000033" w:val="clear"/>
      </w:tcPr>
    </w:tblStylePr>
  </w:style>
  <w:style w:type="character" w:styleId="Mencinsinresolver1" w:customStyle="1">
    <w:name w:val="Mención sin resolver1"/>
    <w:basedOn w:val="Fuentedeprrafopredeter"/>
    <w:uiPriority w:val="99"/>
    <w:semiHidden w:val="1"/>
    <w:unhideWhenUsed w:val="1"/>
    <w:rsid w:val="00457753"/>
    <w:rPr>
      <w:color w:val="605e5c"/>
      <w:shd w:color="auto" w:fill="e1dfdd" w:val="clear"/>
    </w:rPr>
  </w:style>
  <w:style w:type="character" w:styleId="Mencinsinresolver2" w:customStyle="1">
    <w:name w:val="Mención sin resolver2"/>
    <w:basedOn w:val="Fuentedeprrafopredeter"/>
    <w:uiPriority w:val="99"/>
    <w:semiHidden w:val="1"/>
    <w:unhideWhenUsed w:val="1"/>
    <w:rsid w:val="00CE48D4"/>
    <w:rPr>
      <w:color w:val="605e5c"/>
      <w:shd w:color="auto" w:fill="e1dfdd" w:val="clear"/>
    </w:rPr>
  </w:style>
  <w:style w:type="table" w:styleId="Tabladelista1clara-nfasis11" w:customStyle="1">
    <w:name w:val="Tabla de lista 1 clara - Énfasis 11"/>
    <w:basedOn w:val="Tablanormal"/>
    <w:uiPriority w:val="46"/>
    <w:rsid w:val="008F79FD"/>
    <w:rPr>
      <w:rFonts w:eastAsia="MS Mincho"/>
    </w:rPr>
    <w:tblPr>
      <w:tblStyleRowBandSize w:val="1"/>
      <w:tblStyleColBandSize w:val="1"/>
    </w:tblPr>
    <w:tblStylePr w:type="firstRow">
      <w:rPr>
        <w:b w:val="1"/>
        <w:bCs w:val="1"/>
      </w:rPr>
      <w:tblPr/>
      <w:tcPr>
        <w:tcBorders>
          <w:bottom w:color="95b3d7" w:space="0" w:sz="4" w:val="single"/>
        </w:tcBorders>
      </w:tcPr>
    </w:tblStylePr>
    <w:tblStylePr w:type="lastRow">
      <w:rPr>
        <w:b w:val="1"/>
        <w:bCs w:val="1"/>
      </w:rPr>
      <w:tblPr/>
      <w:tcPr>
        <w:tcBorders>
          <w:top w:color="95b3d7" w:space="0" w:sz="4" w:val="single"/>
        </w:tcBorders>
      </w:tcPr>
    </w:tblStylePr>
    <w:tblStylePr w:type="firstCol">
      <w:rPr>
        <w:b w:val="1"/>
        <w:bCs w:val="1"/>
      </w:rPr>
    </w:tblStylePr>
    <w:tblStylePr w:type="lastCol">
      <w:rPr>
        <w:b w:val="1"/>
        <w:bCs w:val="1"/>
      </w:rPr>
    </w:tblStylePr>
    <w:tblStylePr w:type="band1Vert">
      <w:tblPr/>
      <w:tcPr>
        <w:shd w:color="auto" w:fill="dbe5f1" w:val="clear"/>
      </w:tcPr>
    </w:tblStylePr>
    <w:tblStylePr w:type="band1Horz">
      <w:tblPr/>
      <w:tcPr>
        <w:shd w:color="auto" w:fill="dbe5f1" w:val="clear"/>
      </w:tcPr>
    </w:tblStylePr>
  </w:style>
  <w:style w:type="character" w:styleId="Ttulo3Car" w:customStyle="1">
    <w:name w:val="Título 3 Car"/>
    <w:basedOn w:val="Fuentedeprrafopredeter"/>
    <w:link w:val="Ttulo3"/>
    <w:uiPriority w:val="9"/>
    <w:semiHidden w:val="1"/>
    <w:rsid w:val="003B73CD"/>
    <w:rPr>
      <w:rFonts w:asciiTheme="majorHAnsi" w:cstheme="majorBidi" w:eastAsiaTheme="majorEastAsia" w:hAnsiTheme="majorHAnsi"/>
      <w:b w:val="1"/>
      <w:bCs w:val="1"/>
      <w:sz w:val="26"/>
      <w:szCs w:val="26"/>
      <w:lang w:eastAsia="en-US" w:val="en-US"/>
    </w:rPr>
  </w:style>
  <w:style w:type="character" w:styleId="Ttulo4Car" w:customStyle="1">
    <w:name w:val="Título 4 Car"/>
    <w:basedOn w:val="Fuentedeprrafopredeter"/>
    <w:link w:val="Ttulo4"/>
    <w:uiPriority w:val="9"/>
    <w:semiHidden w:val="1"/>
    <w:rsid w:val="003B73CD"/>
    <w:rPr>
      <w:b w:val="1"/>
      <w:bCs w:val="1"/>
      <w:sz w:val="28"/>
      <w:szCs w:val="28"/>
      <w:lang w:eastAsia="en-US" w:val="en-US"/>
    </w:rPr>
  </w:style>
  <w:style w:type="character" w:styleId="Ttulo5Car" w:customStyle="1">
    <w:name w:val="Título 5 Car"/>
    <w:basedOn w:val="Fuentedeprrafopredeter"/>
    <w:link w:val="Ttulo5"/>
    <w:uiPriority w:val="9"/>
    <w:semiHidden w:val="1"/>
    <w:rsid w:val="003B73CD"/>
    <w:rPr>
      <w:b w:val="1"/>
      <w:bCs w:val="1"/>
      <w:i w:val="1"/>
      <w:iCs w:val="1"/>
      <w:sz w:val="26"/>
      <w:szCs w:val="26"/>
      <w:lang w:eastAsia="en-US" w:val="en-US"/>
    </w:rPr>
  </w:style>
  <w:style w:type="character" w:styleId="Ttulo6Car" w:customStyle="1">
    <w:name w:val="Título 6 Car"/>
    <w:basedOn w:val="Fuentedeprrafopredeter"/>
    <w:link w:val="Ttulo6"/>
    <w:semiHidden w:val="1"/>
    <w:rsid w:val="003B73CD"/>
    <w:rPr>
      <w:rFonts w:ascii="Times New Roman" w:cs="Times New Roman" w:eastAsia="Times New Roman" w:hAnsi="Times New Roman"/>
      <w:b w:val="1"/>
      <w:bCs w:val="1"/>
      <w:sz w:val="22"/>
      <w:szCs w:val="22"/>
      <w:lang w:eastAsia="en-US" w:val="en-US"/>
    </w:rPr>
  </w:style>
  <w:style w:type="character" w:styleId="Ttulo7Car" w:customStyle="1">
    <w:name w:val="Título 7 Car"/>
    <w:basedOn w:val="Fuentedeprrafopredeter"/>
    <w:link w:val="Ttulo7"/>
    <w:uiPriority w:val="9"/>
    <w:semiHidden w:val="1"/>
    <w:rsid w:val="003B73CD"/>
    <w:rPr>
      <w:lang w:eastAsia="en-US" w:val="en-US"/>
    </w:rPr>
  </w:style>
  <w:style w:type="character" w:styleId="Ttulo8Car" w:customStyle="1">
    <w:name w:val="Título 8 Car"/>
    <w:basedOn w:val="Fuentedeprrafopredeter"/>
    <w:link w:val="Ttulo8"/>
    <w:uiPriority w:val="9"/>
    <w:semiHidden w:val="1"/>
    <w:rsid w:val="003B73CD"/>
    <w:rPr>
      <w:i w:val="1"/>
      <w:iCs w:val="1"/>
      <w:lang w:eastAsia="en-US" w:val="en-US"/>
    </w:rPr>
  </w:style>
  <w:style w:type="character" w:styleId="Ttulo9Car" w:customStyle="1">
    <w:name w:val="Título 9 Car"/>
    <w:basedOn w:val="Fuentedeprrafopredeter"/>
    <w:link w:val="Ttulo9"/>
    <w:uiPriority w:val="9"/>
    <w:semiHidden w:val="1"/>
    <w:rsid w:val="003B73CD"/>
    <w:rPr>
      <w:rFonts w:asciiTheme="majorHAnsi" w:cstheme="majorBidi" w:eastAsiaTheme="majorEastAsia" w:hAnsiTheme="majorHAnsi"/>
      <w:sz w:val="22"/>
      <w:szCs w:val="22"/>
      <w:lang w:eastAsia="en-US" w:val="en-US"/>
    </w:rPr>
  </w:style>
  <w:style w:type="paragraph" w:styleId="Subttulo">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1"/>
    <w:tblPr>
      <w:tblStyleRowBandSize w:val="1"/>
      <w:tblStyleColBandSize w:val="1"/>
      <w:tblCellMar>
        <w:left w:w="108.0" w:type="dxa"/>
        <w:right w:w="108.0" w:type="dxa"/>
      </w:tblCellMar>
    </w:tblPr>
    <w:tblStylePr w:type="firstRow">
      <w:rPr>
        <w:b w:val="1"/>
      </w:rPr>
      <w:tblPr/>
      <w:tcPr>
        <w:tcBorders>
          <w:bottom w:color="95b3d7" w:space="0" w:sz="4" w:val="single"/>
        </w:tcBorders>
      </w:tcPr>
    </w:tblStylePr>
    <w:tblStylePr w:type="lastRow">
      <w:rPr>
        <w:b w:val="1"/>
      </w:rPr>
      <w:tblPr/>
      <w:tcPr>
        <w:tcBorders>
          <w:top w:color="95b3d7" w:space="0" w:sz="4" w:val="single"/>
        </w:tcBorders>
      </w:tcPr>
    </w:tblStylePr>
    <w:tblStylePr w:type="firstCol">
      <w:rPr>
        <w:b w:val="1"/>
      </w:rPr>
    </w:tblStylePr>
    <w:tblStylePr w:type="lastCol">
      <w:rPr>
        <w:b w:val="1"/>
      </w:rPr>
    </w:tblStylePr>
    <w:tblStylePr w:type="band1Vert">
      <w:tblPr/>
      <w:tcPr>
        <w:shd w:color="auto" w:fill="dbe5f1" w:val="clear"/>
      </w:tcPr>
    </w:tblStylePr>
    <w:tblStylePr w:type="band1Horz">
      <w:tblPr/>
      <w:tcPr>
        <w:shd w:color="auto" w:fill="dbe5f1" w:val="clear"/>
      </w:tcPr>
    </w:tblStylePr>
  </w:style>
  <w:style w:type="table" w:styleId="a0" w:customStyle="1">
    <w:basedOn w:val="TableNormal1"/>
    <w:tblPr>
      <w:tblStyleRowBandSize w:val="1"/>
      <w:tblStyleColBandSize w:val="1"/>
      <w:tblCellMar>
        <w:left w:w="115.0" w:type="dxa"/>
        <w:right w:w="115.0" w:type="dxa"/>
      </w:tblCellMar>
    </w:tblPr>
  </w:style>
  <w:style w:type="table" w:styleId="a2" w:customStyle="1">
    <w:basedOn w:val="TableNormal1"/>
    <w:tblPr>
      <w:tblStyleRowBandSize w:val="1"/>
      <w:tblStyleColBandSize w:val="1"/>
      <w:tblCellMar>
        <w:left w:w="115.0" w:type="dxa"/>
        <w:right w:w="115.0" w:type="dxa"/>
      </w:tblCellMar>
    </w:tblPr>
  </w:style>
  <w:style w:type="table" w:styleId="a3" w:customStyle="1">
    <w:basedOn w:val="TableNormal1"/>
    <w:tblPr>
      <w:tblStyleRowBandSize w:val="1"/>
      <w:tblStyleColBandSize w:val="1"/>
      <w:tblCellMar>
        <w:left w:w="115.0" w:type="dxa"/>
        <w:right w:w="115.0" w:type="dxa"/>
      </w:tblCellMar>
    </w:tblPr>
  </w:style>
  <w:style w:type="table" w:styleId="a4" w:customStyle="1">
    <w:basedOn w:val="TableNormal1"/>
    <w:tblPr>
      <w:tblStyleRowBandSize w:val="1"/>
      <w:tblStyleColBandSize w:val="1"/>
      <w:tblCellMar>
        <w:left w:w="115.0" w:type="dxa"/>
        <w:right w:w="115.0" w:type="dxa"/>
      </w:tblCellMar>
    </w:tblPr>
  </w:style>
  <w:style w:type="table" w:styleId="a5" w:customStyle="1">
    <w:basedOn w:val="TableNormal0"/>
    <w:tblPr>
      <w:tblStyleRowBandSize w:val="1"/>
      <w:tblStyleColBandSize w:val="1"/>
      <w:tblCellMar>
        <w:left w:w="115.0" w:type="dxa"/>
        <w:right w:w="115.0" w:type="dxa"/>
      </w:tblCellMar>
    </w:tblPr>
  </w:style>
  <w:style w:type="table" w:styleId="a6" w:customStyle="1">
    <w:basedOn w:val="TableNormal0"/>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2.xml"/><Relationship Id="rId10" Type="http://schemas.openxmlformats.org/officeDocument/2006/relationships/footer" Target="footer1.xml"/><Relationship Id="rId13" Type="http://schemas.openxmlformats.org/officeDocument/2006/relationships/footer" Target="footer3.xml"/><Relationship Id="rId12" Type="http://schemas.openxmlformats.org/officeDocument/2006/relationships/header" Target="head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PalatinoLinotype-regular.ttf"/><Relationship Id="rId2" Type="http://schemas.openxmlformats.org/officeDocument/2006/relationships/font" Target="fonts/PalatinoLinotype-bold.ttf"/><Relationship Id="rId3" Type="http://schemas.openxmlformats.org/officeDocument/2006/relationships/font" Target="fonts/PalatinoLinotype-italic.ttf"/><Relationship Id="rId4" Type="http://schemas.openxmlformats.org/officeDocument/2006/relationships/font" Target="fonts/PalatinoLinotype-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E7Jv9HWWr9qvQjkciRL8StwSnw==">CgMxLjAyCGguZ2pkZ3hzMgloLjFmb2I5dGUyCWguM3pueXNoNzIJaC4zMGowemxsMgloLjJldDkycDAyCWguM2R5NnZrbTIIaC50eWpjd3QyCWguMXQzaDVzZjIJaC40ZDM0b2c4MgloLjE3ZHA4dnU4AHIhMXBTVmpYTThEQVgyUUoxcHJSVUVHWGJ3RGF0dFpqekM2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2025-02-28T18:32:00Z</dcterms:created>
  <dc:creator>iMac</dc:creator>
</cp:coreProperties>
</file>