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FE640" w14:textId="20B1B3DD"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AD7DC3">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w:t>
      </w:r>
      <w:r w:rsidR="00FB77D5" w:rsidRPr="00AD7DC3">
        <w:rPr>
          <w:rFonts w:ascii="Palatino Linotype" w:eastAsia="Palatino Linotype" w:hAnsi="Palatino Linotype" w:cs="Palatino Linotype"/>
          <w:sz w:val="22"/>
          <w:szCs w:val="22"/>
        </w:rPr>
        <w:t xml:space="preserve">tepec, Estado de México, a </w:t>
      </w:r>
      <w:r w:rsidR="004C273B" w:rsidRPr="00AD7DC3">
        <w:rPr>
          <w:rFonts w:ascii="Palatino Linotype" w:eastAsia="Palatino Linotype" w:hAnsi="Palatino Linotype" w:cs="Palatino Linotype"/>
          <w:sz w:val="22"/>
          <w:szCs w:val="22"/>
        </w:rPr>
        <w:t>veinte de noviembre</w:t>
      </w:r>
      <w:r w:rsidRPr="00AD7DC3">
        <w:rPr>
          <w:rFonts w:ascii="Palatino Linotype" w:eastAsia="Palatino Linotype" w:hAnsi="Palatino Linotype" w:cs="Palatino Linotype"/>
          <w:sz w:val="22"/>
          <w:szCs w:val="22"/>
        </w:rPr>
        <w:t xml:space="preserve"> de dos mil veinticinco. </w:t>
      </w:r>
    </w:p>
    <w:p w14:paraId="30E0E444" w14:textId="0E03FF03" w:rsidR="005A75CA" w:rsidRPr="00AD7DC3" w:rsidRDefault="00E96B90" w:rsidP="00D7204E">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AD7DC3">
        <w:rPr>
          <w:rFonts w:ascii="Palatino Linotype" w:eastAsia="Palatino Linotype" w:hAnsi="Palatino Linotype" w:cs="Palatino Linotype"/>
          <w:b/>
          <w:sz w:val="22"/>
          <w:szCs w:val="22"/>
        </w:rPr>
        <w:t>VISTO</w:t>
      </w:r>
      <w:r w:rsidRPr="00AD7DC3">
        <w:rPr>
          <w:rFonts w:ascii="Palatino Linotype" w:eastAsia="Palatino Linotype" w:hAnsi="Palatino Linotype" w:cs="Palatino Linotype"/>
          <w:sz w:val="22"/>
          <w:szCs w:val="22"/>
        </w:rPr>
        <w:t xml:space="preserve"> el expediente formado con motivo del recurso de revisión </w:t>
      </w:r>
      <w:r w:rsidR="004C273B" w:rsidRPr="00AD7DC3">
        <w:rPr>
          <w:rFonts w:ascii="Palatino Linotype" w:eastAsia="Palatino Linotype" w:hAnsi="Palatino Linotype" w:cs="Palatino Linotype"/>
          <w:b/>
          <w:sz w:val="22"/>
          <w:szCs w:val="22"/>
        </w:rPr>
        <w:t>10854</w:t>
      </w:r>
      <w:r w:rsidRPr="00AD7DC3">
        <w:rPr>
          <w:rFonts w:ascii="Palatino Linotype" w:eastAsia="Palatino Linotype" w:hAnsi="Palatino Linotype" w:cs="Palatino Linotype"/>
          <w:b/>
          <w:sz w:val="22"/>
          <w:szCs w:val="22"/>
        </w:rPr>
        <w:t>/INFOEM/IP/RR/2025</w:t>
      </w:r>
      <w:r w:rsidRPr="00AD7DC3">
        <w:rPr>
          <w:rFonts w:ascii="Palatino Linotype" w:eastAsia="Palatino Linotype" w:hAnsi="Palatino Linotype" w:cs="Palatino Linotype"/>
          <w:sz w:val="22"/>
          <w:szCs w:val="22"/>
        </w:rPr>
        <w:t>, interpuesto por</w:t>
      </w:r>
      <w:r w:rsidRPr="00AD7DC3">
        <w:rPr>
          <w:rFonts w:ascii="Palatino Linotype" w:eastAsia="Palatino Linotype" w:hAnsi="Palatino Linotype" w:cs="Palatino Linotype"/>
          <w:b/>
          <w:sz w:val="22"/>
          <w:szCs w:val="22"/>
        </w:rPr>
        <w:t xml:space="preserve"> </w:t>
      </w:r>
      <w:r w:rsidR="00971960" w:rsidRPr="00971960">
        <w:rPr>
          <w:rFonts w:ascii="Palatino Linotype" w:eastAsia="Palatino Linotype" w:hAnsi="Palatino Linotype" w:cs="Palatino Linotype"/>
          <w:b/>
          <w:sz w:val="22"/>
          <w:szCs w:val="22"/>
        </w:rPr>
        <w:t>XXXXXXXX XXXXX XXXXXXX</w:t>
      </w:r>
      <w:r w:rsidRPr="00AD7DC3">
        <w:rPr>
          <w:rFonts w:ascii="Palatino Linotype" w:eastAsia="Palatino Linotype" w:hAnsi="Palatino Linotype" w:cs="Palatino Linotype"/>
          <w:b/>
          <w:sz w:val="22"/>
          <w:szCs w:val="22"/>
        </w:rPr>
        <w:t>,</w:t>
      </w:r>
      <w:r w:rsidRPr="00AD7DC3">
        <w:rPr>
          <w:rFonts w:ascii="Palatino Linotype" w:eastAsia="Palatino Linotype" w:hAnsi="Palatino Linotype" w:cs="Palatino Linotype"/>
          <w:sz w:val="22"/>
          <w:szCs w:val="22"/>
        </w:rPr>
        <w:t xml:space="preserve"> en lo sucesivo</w:t>
      </w:r>
      <w:r w:rsidRPr="00AD7DC3">
        <w:rPr>
          <w:rFonts w:ascii="Palatino Linotype" w:eastAsia="Palatino Linotype" w:hAnsi="Palatino Linotype" w:cs="Palatino Linotype"/>
          <w:b/>
          <w:sz w:val="22"/>
          <w:szCs w:val="22"/>
        </w:rPr>
        <w:t xml:space="preserve"> </w:t>
      </w:r>
      <w:r w:rsidRPr="00AD7DC3">
        <w:rPr>
          <w:rFonts w:ascii="Palatino Linotype" w:eastAsia="Palatino Linotype" w:hAnsi="Palatino Linotype" w:cs="Palatino Linotype"/>
          <w:sz w:val="22"/>
          <w:szCs w:val="22"/>
        </w:rPr>
        <w:t xml:space="preserve">la parte </w:t>
      </w:r>
      <w:r w:rsidRPr="00AD7DC3">
        <w:rPr>
          <w:rFonts w:ascii="Palatino Linotype" w:eastAsia="Palatino Linotype" w:hAnsi="Palatino Linotype" w:cs="Palatino Linotype"/>
          <w:b/>
          <w:sz w:val="22"/>
          <w:szCs w:val="22"/>
        </w:rPr>
        <w:t>Recurrente,</w:t>
      </w:r>
      <w:r w:rsidRPr="00AD7DC3">
        <w:rPr>
          <w:rFonts w:ascii="Palatino Linotype" w:eastAsia="Palatino Linotype" w:hAnsi="Palatino Linotype" w:cs="Palatino Linotype"/>
          <w:sz w:val="22"/>
          <w:szCs w:val="22"/>
        </w:rPr>
        <w:t xml:space="preserve"> en contra de la falta de respuesta a la solicitud de información con número de folio</w:t>
      </w:r>
      <w:r w:rsidRPr="00AD7DC3">
        <w:rPr>
          <w:rFonts w:ascii="Palatino Linotype" w:eastAsia="Palatino Linotype" w:hAnsi="Palatino Linotype" w:cs="Palatino Linotype"/>
          <w:b/>
          <w:sz w:val="22"/>
          <w:szCs w:val="22"/>
        </w:rPr>
        <w:t xml:space="preserve"> </w:t>
      </w:r>
      <w:r w:rsidR="004C273B" w:rsidRPr="00AD7DC3">
        <w:rPr>
          <w:rFonts w:ascii="Palatino Linotype" w:eastAsia="Palatino Linotype" w:hAnsi="Palatino Linotype" w:cs="Palatino Linotype"/>
          <w:b/>
          <w:sz w:val="22"/>
          <w:szCs w:val="22"/>
        </w:rPr>
        <w:t>00384/ALMOJU/IP/2025</w:t>
      </w:r>
      <w:r w:rsidRPr="00AD7DC3">
        <w:rPr>
          <w:rFonts w:ascii="Palatino Linotype" w:eastAsia="Palatino Linotype" w:hAnsi="Palatino Linotype" w:cs="Palatino Linotype"/>
          <w:b/>
          <w:sz w:val="22"/>
          <w:szCs w:val="22"/>
        </w:rPr>
        <w:t xml:space="preserve">, </w:t>
      </w:r>
      <w:r w:rsidRPr="00AD7DC3">
        <w:rPr>
          <w:rFonts w:ascii="Palatino Linotype" w:eastAsia="Palatino Linotype" w:hAnsi="Palatino Linotype" w:cs="Palatino Linotype"/>
          <w:sz w:val="22"/>
          <w:szCs w:val="22"/>
        </w:rPr>
        <w:t xml:space="preserve">por parte del </w:t>
      </w:r>
      <w:r w:rsidR="004C273B" w:rsidRPr="00AD7DC3">
        <w:rPr>
          <w:rFonts w:ascii="Palatino Linotype" w:eastAsia="Palatino Linotype" w:hAnsi="Palatino Linotype" w:cs="Palatino Linotype"/>
          <w:b/>
          <w:sz w:val="22"/>
          <w:szCs w:val="22"/>
        </w:rPr>
        <w:t>Ayuntamiento de Almoloya de Juárez</w:t>
      </w:r>
      <w:r w:rsidRPr="00AD7DC3">
        <w:rPr>
          <w:rFonts w:ascii="Palatino Linotype" w:eastAsia="Palatino Linotype" w:hAnsi="Palatino Linotype" w:cs="Palatino Linotype"/>
          <w:b/>
          <w:sz w:val="22"/>
          <w:szCs w:val="22"/>
        </w:rPr>
        <w:t xml:space="preserve">, </w:t>
      </w:r>
      <w:r w:rsidRPr="00AD7DC3">
        <w:rPr>
          <w:rFonts w:ascii="Palatino Linotype" w:eastAsia="Palatino Linotype" w:hAnsi="Palatino Linotype" w:cs="Palatino Linotype"/>
          <w:sz w:val="22"/>
          <w:szCs w:val="22"/>
        </w:rPr>
        <w:t xml:space="preserve">en lo sucesivo el </w:t>
      </w:r>
      <w:r w:rsidRPr="00AD7DC3">
        <w:rPr>
          <w:rFonts w:ascii="Palatino Linotype" w:eastAsia="Palatino Linotype" w:hAnsi="Palatino Linotype" w:cs="Palatino Linotype"/>
          <w:b/>
          <w:sz w:val="22"/>
          <w:szCs w:val="22"/>
        </w:rPr>
        <w:t xml:space="preserve">Sujeto Obligado, </w:t>
      </w:r>
      <w:r w:rsidRPr="00AD7DC3">
        <w:rPr>
          <w:rFonts w:ascii="Palatino Linotype" w:eastAsia="Palatino Linotype" w:hAnsi="Palatino Linotype" w:cs="Palatino Linotype"/>
          <w:sz w:val="22"/>
          <w:szCs w:val="22"/>
        </w:rPr>
        <w:t xml:space="preserve">se procede a dictar la presente resolución con base en los siguientes: </w:t>
      </w:r>
    </w:p>
    <w:p w14:paraId="3EA1D554" w14:textId="77777777" w:rsidR="005A75CA" w:rsidRPr="00AD7DC3" w:rsidRDefault="00E96B90" w:rsidP="00D7204E">
      <w:pPr>
        <w:spacing w:before="240" w:after="240" w:line="360" w:lineRule="auto"/>
        <w:jc w:val="center"/>
        <w:rPr>
          <w:rFonts w:ascii="Palatino Linotype" w:eastAsia="Palatino Linotype" w:hAnsi="Palatino Linotype" w:cs="Palatino Linotype"/>
          <w:b/>
          <w:sz w:val="22"/>
          <w:szCs w:val="22"/>
        </w:rPr>
      </w:pPr>
      <w:r w:rsidRPr="00AD7DC3">
        <w:rPr>
          <w:rFonts w:ascii="Palatino Linotype" w:eastAsia="Palatino Linotype" w:hAnsi="Palatino Linotype" w:cs="Palatino Linotype"/>
          <w:b/>
          <w:sz w:val="22"/>
          <w:szCs w:val="22"/>
        </w:rPr>
        <w:t>I. A N T E C E D E N T E S</w:t>
      </w:r>
    </w:p>
    <w:p w14:paraId="6181BC13" w14:textId="10B46D2B"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AD7DC3">
        <w:rPr>
          <w:rFonts w:ascii="Palatino Linotype" w:eastAsia="Palatino Linotype" w:hAnsi="Palatino Linotype" w:cs="Palatino Linotype"/>
          <w:b/>
          <w:sz w:val="22"/>
          <w:szCs w:val="22"/>
        </w:rPr>
        <w:t>1. Solicitud de acceso a la información.</w:t>
      </w:r>
      <w:r w:rsidRPr="00AD7DC3">
        <w:rPr>
          <w:rFonts w:ascii="Palatino Linotype" w:eastAsia="Palatino Linotype" w:hAnsi="Palatino Linotype" w:cs="Palatino Linotype"/>
          <w:sz w:val="22"/>
          <w:szCs w:val="22"/>
        </w:rPr>
        <w:t xml:space="preserve"> El </w:t>
      </w:r>
      <w:r w:rsidR="004C273B" w:rsidRPr="00AD7DC3">
        <w:rPr>
          <w:rFonts w:ascii="Palatino Linotype" w:eastAsia="Palatino Linotype" w:hAnsi="Palatino Linotype" w:cs="Palatino Linotype"/>
          <w:b/>
          <w:sz w:val="22"/>
          <w:szCs w:val="22"/>
        </w:rPr>
        <w:t xml:space="preserve">veinte de agosto </w:t>
      </w:r>
      <w:r w:rsidRPr="00AD7DC3">
        <w:rPr>
          <w:rFonts w:ascii="Palatino Linotype" w:eastAsia="Palatino Linotype" w:hAnsi="Palatino Linotype" w:cs="Palatino Linotype"/>
          <w:b/>
          <w:sz w:val="22"/>
          <w:szCs w:val="22"/>
        </w:rPr>
        <w:t>de dos mil veinticinco,</w:t>
      </w:r>
      <w:r w:rsidRPr="00AD7DC3">
        <w:rPr>
          <w:rFonts w:ascii="Palatino Linotype" w:eastAsia="Palatino Linotype" w:hAnsi="Palatino Linotype" w:cs="Palatino Linotype"/>
          <w:sz w:val="22"/>
          <w:szCs w:val="22"/>
        </w:rPr>
        <w:t xml:space="preserve"> la parte </w:t>
      </w:r>
      <w:r w:rsidRPr="00AD7DC3">
        <w:rPr>
          <w:rFonts w:ascii="Palatino Linotype" w:eastAsia="Palatino Linotype" w:hAnsi="Palatino Linotype" w:cs="Palatino Linotype"/>
          <w:b/>
          <w:sz w:val="22"/>
          <w:szCs w:val="22"/>
        </w:rPr>
        <w:t xml:space="preserve">Recurrente </w:t>
      </w:r>
      <w:r w:rsidRPr="00AD7DC3">
        <w:rPr>
          <w:rFonts w:ascii="Palatino Linotype" w:eastAsia="Palatino Linotype" w:hAnsi="Palatino Linotype" w:cs="Palatino Linotype"/>
          <w:sz w:val="22"/>
          <w:szCs w:val="22"/>
        </w:rPr>
        <w:t xml:space="preserve">presentó la solicitud de acceso a la información pública ante el </w:t>
      </w:r>
      <w:r w:rsidRPr="00AD7DC3">
        <w:rPr>
          <w:rFonts w:ascii="Palatino Linotype" w:eastAsia="Palatino Linotype" w:hAnsi="Palatino Linotype" w:cs="Palatino Linotype"/>
          <w:b/>
          <w:sz w:val="22"/>
          <w:szCs w:val="22"/>
        </w:rPr>
        <w:t>Sujeto Obligado</w:t>
      </w:r>
      <w:r w:rsidRPr="00AD7DC3">
        <w:rPr>
          <w:rFonts w:ascii="Palatino Linotype" w:eastAsia="Palatino Linotype" w:hAnsi="Palatino Linotype" w:cs="Palatino Linotype"/>
          <w:sz w:val="22"/>
          <w:szCs w:val="22"/>
        </w:rPr>
        <w:t xml:space="preserve">, a través del Sistema de Acceso a la Información Mexiquense, en lo subsecuente el </w:t>
      </w:r>
      <w:r w:rsidRPr="00AD7DC3">
        <w:rPr>
          <w:rFonts w:ascii="Palatino Linotype" w:eastAsia="Palatino Linotype" w:hAnsi="Palatino Linotype" w:cs="Palatino Linotype"/>
          <w:b/>
          <w:sz w:val="22"/>
          <w:szCs w:val="22"/>
        </w:rPr>
        <w:t>SAIMEX,</w:t>
      </w:r>
      <w:r w:rsidRPr="00AD7DC3">
        <w:rPr>
          <w:rFonts w:ascii="Palatino Linotype" w:eastAsia="Palatino Linotype" w:hAnsi="Palatino Linotype" w:cs="Palatino Linotype"/>
          <w:sz w:val="22"/>
          <w:szCs w:val="22"/>
        </w:rPr>
        <w:t xml:space="preserve"> mediante la cual requirió lo siguiente:</w:t>
      </w:r>
    </w:p>
    <w:p w14:paraId="49190675" w14:textId="19DD2A57" w:rsidR="005A75CA" w:rsidRPr="00AD7DC3" w:rsidRDefault="00E96B90" w:rsidP="00D7204E">
      <w:pPr>
        <w:spacing w:before="120" w:after="120"/>
        <w:ind w:left="851" w:right="902"/>
        <w:jc w:val="both"/>
        <w:rPr>
          <w:rFonts w:ascii="Palatino Linotype" w:eastAsia="Palatino Linotype" w:hAnsi="Palatino Linotype" w:cs="Palatino Linotype"/>
          <w:b/>
          <w:i/>
          <w:sz w:val="22"/>
          <w:szCs w:val="22"/>
        </w:rPr>
      </w:pPr>
      <w:r w:rsidRPr="00AD7DC3">
        <w:rPr>
          <w:rFonts w:ascii="Palatino Linotype" w:eastAsia="Palatino Linotype" w:hAnsi="Palatino Linotype" w:cs="Palatino Linotype"/>
          <w:i/>
          <w:sz w:val="22"/>
          <w:szCs w:val="22"/>
        </w:rPr>
        <w:t xml:space="preserve"> “</w:t>
      </w:r>
      <w:r w:rsidR="004C273B" w:rsidRPr="00AD7DC3">
        <w:rPr>
          <w:rFonts w:ascii="Palatino Linotype" w:eastAsia="Palatino Linotype" w:hAnsi="Palatino Linotype" w:cs="Palatino Linotype"/>
          <w:i/>
          <w:sz w:val="22"/>
          <w:szCs w:val="22"/>
        </w:rPr>
        <w:t>Solicito el Programa de Obras 2025 para el municipio de Almoloya de Juárez, en el que se contemple presupuesto, periodo de ejecución, lugar de ejecución y el detalle de cada obra.</w:t>
      </w:r>
      <w:r w:rsidRPr="00AD7DC3">
        <w:rPr>
          <w:rFonts w:ascii="Palatino Linotype" w:eastAsia="Palatino Linotype" w:hAnsi="Palatino Linotype" w:cs="Palatino Linotype"/>
          <w:b/>
          <w:i/>
          <w:sz w:val="22"/>
          <w:szCs w:val="22"/>
        </w:rPr>
        <w:t>”</w:t>
      </w:r>
      <w:r w:rsidRPr="00AD7DC3">
        <w:rPr>
          <w:rFonts w:ascii="Palatino Linotype" w:eastAsia="Palatino Linotype" w:hAnsi="Palatino Linotype" w:cs="Palatino Linotype"/>
          <w:i/>
          <w:sz w:val="22"/>
          <w:szCs w:val="22"/>
        </w:rPr>
        <w:t xml:space="preserve"> (sic) </w:t>
      </w:r>
    </w:p>
    <w:p w14:paraId="6019A360"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AD7DC3">
        <w:rPr>
          <w:rFonts w:ascii="Palatino Linotype" w:eastAsia="Palatino Linotype" w:hAnsi="Palatino Linotype" w:cs="Palatino Linotype"/>
          <w:b/>
          <w:sz w:val="22"/>
          <w:szCs w:val="22"/>
        </w:rPr>
        <w:t>Modalidad de Entrega:</w:t>
      </w:r>
      <w:r w:rsidRPr="00AD7DC3">
        <w:rPr>
          <w:rFonts w:ascii="Palatino Linotype" w:eastAsia="Palatino Linotype" w:hAnsi="Palatino Linotype" w:cs="Palatino Linotype"/>
          <w:sz w:val="22"/>
          <w:szCs w:val="22"/>
        </w:rPr>
        <w:t xml:space="preserve"> a través del</w:t>
      </w:r>
      <w:r w:rsidRPr="00AD7DC3">
        <w:rPr>
          <w:rFonts w:ascii="Palatino Linotype" w:eastAsia="Palatino Linotype" w:hAnsi="Palatino Linotype" w:cs="Palatino Linotype"/>
          <w:b/>
          <w:sz w:val="22"/>
          <w:szCs w:val="22"/>
        </w:rPr>
        <w:t xml:space="preserve"> SAIMEX.</w:t>
      </w:r>
    </w:p>
    <w:p w14:paraId="529D70CA" w14:textId="77777777" w:rsidR="005A75CA" w:rsidRPr="00AD7DC3" w:rsidRDefault="00E96B90" w:rsidP="00D7204E">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b/>
          <w:sz w:val="22"/>
          <w:szCs w:val="22"/>
        </w:rPr>
      </w:pPr>
      <w:r w:rsidRPr="00AD7DC3">
        <w:rPr>
          <w:rFonts w:ascii="Palatino Linotype" w:eastAsia="Palatino Linotype" w:hAnsi="Palatino Linotype" w:cs="Palatino Linotype"/>
          <w:b/>
          <w:sz w:val="22"/>
          <w:szCs w:val="22"/>
        </w:rPr>
        <w:t xml:space="preserve">2. Respuesta. </w:t>
      </w:r>
      <w:r w:rsidRPr="00AD7DC3">
        <w:rPr>
          <w:rFonts w:ascii="Palatino Linotype" w:eastAsia="Palatino Linotype" w:hAnsi="Palatino Linotype" w:cs="Palatino Linotype"/>
          <w:sz w:val="22"/>
          <w:szCs w:val="22"/>
        </w:rPr>
        <w:t xml:space="preserve">De las constancias que obran en SAIMEX, se observa que el </w:t>
      </w:r>
      <w:r w:rsidRPr="00AD7DC3">
        <w:rPr>
          <w:rFonts w:ascii="Palatino Linotype" w:eastAsia="Palatino Linotype" w:hAnsi="Palatino Linotype" w:cs="Palatino Linotype"/>
          <w:b/>
          <w:sz w:val="22"/>
          <w:szCs w:val="22"/>
        </w:rPr>
        <w:t>Sujeto Obligado</w:t>
      </w:r>
      <w:r w:rsidRPr="00AD7DC3">
        <w:rPr>
          <w:rFonts w:ascii="Palatino Linotype" w:eastAsia="Palatino Linotype" w:hAnsi="Palatino Linotype" w:cs="Palatino Linotype"/>
          <w:sz w:val="22"/>
          <w:szCs w:val="22"/>
        </w:rPr>
        <w:t xml:space="preserve"> no emitió respuesta a la solicitud de información formulada por la persona solicitante.</w:t>
      </w:r>
    </w:p>
    <w:p w14:paraId="7CFCEA31" w14:textId="7C6BA3B5" w:rsidR="005A75CA" w:rsidRPr="00AD7DC3" w:rsidRDefault="00E96B90" w:rsidP="00D7204E">
      <w:pPr>
        <w:spacing w:before="240" w:after="240" w:line="360" w:lineRule="auto"/>
        <w:ind w:right="49"/>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b/>
          <w:sz w:val="22"/>
          <w:szCs w:val="22"/>
        </w:rPr>
        <w:t xml:space="preserve">3. Interposición del recurso de revisión. </w:t>
      </w:r>
      <w:r w:rsidRPr="00AD7DC3">
        <w:rPr>
          <w:rFonts w:ascii="Palatino Linotype" w:eastAsia="Palatino Linotype" w:hAnsi="Palatino Linotype" w:cs="Palatino Linotype"/>
          <w:sz w:val="22"/>
          <w:szCs w:val="22"/>
        </w:rPr>
        <w:t xml:space="preserve">Inconforme con los términos de la respuesta emitida por parte del </w:t>
      </w:r>
      <w:r w:rsidRPr="00AD7DC3">
        <w:rPr>
          <w:rFonts w:ascii="Palatino Linotype" w:eastAsia="Palatino Linotype" w:hAnsi="Palatino Linotype" w:cs="Palatino Linotype"/>
          <w:b/>
          <w:sz w:val="22"/>
          <w:szCs w:val="22"/>
        </w:rPr>
        <w:t>Sujeto Obligado</w:t>
      </w:r>
      <w:r w:rsidRPr="00AD7DC3">
        <w:rPr>
          <w:rFonts w:ascii="Palatino Linotype" w:eastAsia="Palatino Linotype" w:hAnsi="Palatino Linotype" w:cs="Palatino Linotype"/>
          <w:sz w:val="22"/>
          <w:szCs w:val="22"/>
        </w:rPr>
        <w:t xml:space="preserve">, el </w:t>
      </w:r>
      <w:r w:rsidR="004C273B" w:rsidRPr="00AD7DC3">
        <w:rPr>
          <w:rFonts w:ascii="Palatino Linotype" w:eastAsia="Palatino Linotype" w:hAnsi="Palatino Linotype" w:cs="Palatino Linotype"/>
          <w:b/>
          <w:sz w:val="22"/>
          <w:szCs w:val="22"/>
        </w:rPr>
        <w:t>dieci</w:t>
      </w:r>
      <w:r w:rsidRPr="00AD7DC3">
        <w:rPr>
          <w:rFonts w:ascii="Palatino Linotype" w:eastAsia="Palatino Linotype" w:hAnsi="Palatino Linotype" w:cs="Palatino Linotype"/>
          <w:b/>
          <w:sz w:val="22"/>
          <w:szCs w:val="22"/>
        </w:rPr>
        <w:t xml:space="preserve">siete de </w:t>
      </w:r>
      <w:r w:rsidR="00FC112F" w:rsidRPr="00AD7DC3">
        <w:rPr>
          <w:rFonts w:ascii="Palatino Linotype" w:eastAsia="Palatino Linotype" w:hAnsi="Palatino Linotype" w:cs="Palatino Linotype"/>
          <w:b/>
          <w:sz w:val="22"/>
          <w:szCs w:val="22"/>
        </w:rPr>
        <w:t>septiembre</w:t>
      </w:r>
      <w:r w:rsidR="00C62D06" w:rsidRPr="00AD7DC3">
        <w:rPr>
          <w:rFonts w:ascii="Palatino Linotype" w:eastAsia="Palatino Linotype" w:hAnsi="Palatino Linotype" w:cs="Palatino Linotype"/>
          <w:b/>
          <w:sz w:val="22"/>
          <w:szCs w:val="22"/>
        </w:rPr>
        <w:t xml:space="preserve"> </w:t>
      </w:r>
      <w:r w:rsidRPr="00AD7DC3">
        <w:rPr>
          <w:rFonts w:ascii="Palatino Linotype" w:eastAsia="Palatino Linotype" w:hAnsi="Palatino Linotype" w:cs="Palatino Linotype"/>
          <w:b/>
          <w:sz w:val="22"/>
          <w:szCs w:val="22"/>
        </w:rPr>
        <w:t>de dos mil veinticinco,</w:t>
      </w:r>
      <w:r w:rsidRPr="00AD7DC3">
        <w:rPr>
          <w:rFonts w:ascii="Palatino Linotype" w:eastAsia="Palatino Linotype" w:hAnsi="Palatino Linotype" w:cs="Palatino Linotype"/>
          <w:sz w:val="22"/>
          <w:szCs w:val="22"/>
        </w:rPr>
        <w:t xml:space="preserve"> </w:t>
      </w:r>
      <w:r w:rsidRPr="00AD7DC3">
        <w:rPr>
          <w:rFonts w:ascii="Palatino Linotype" w:eastAsia="Palatino Linotype" w:hAnsi="Palatino Linotype" w:cs="Palatino Linotype"/>
          <w:sz w:val="22"/>
          <w:szCs w:val="22"/>
        </w:rPr>
        <w:lastRenderedPageBreak/>
        <w:t xml:space="preserve">la parte </w:t>
      </w:r>
      <w:r w:rsidRPr="00AD7DC3">
        <w:rPr>
          <w:rFonts w:ascii="Palatino Linotype" w:eastAsia="Palatino Linotype" w:hAnsi="Palatino Linotype" w:cs="Palatino Linotype"/>
          <w:b/>
          <w:sz w:val="22"/>
          <w:szCs w:val="22"/>
        </w:rPr>
        <w:t>Recurrente</w:t>
      </w:r>
      <w:r w:rsidRPr="00AD7DC3">
        <w:rPr>
          <w:rFonts w:ascii="Palatino Linotype" w:eastAsia="Palatino Linotype" w:hAnsi="Palatino Linotype" w:cs="Palatino Linotype"/>
          <w:sz w:val="22"/>
          <w:szCs w:val="22"/>
        </w:rPr>
        <w:t xml:space="preserve"> interpuso el recurso de revisión a través de </w:t>
      </w:r>
      <w:r w:rsidRPr="00AD7DC3">
        <w:rPr>
          <w:rFonts w:ascii="Palatino Linotype" w:eastAsia="Palatino Linotype" w:hAnsi="Palatino Linotype" w:cs="Palatino Linotype"/>
          <w:b/>
          <w:sz w:val="22"/>
          <w:szCs w:val="22"/>
        </w:rPr>
        <w:t xml:space="preserve">SAIMEX, </w:t>
      </w:r>
      <w:r w:rsidRPr="00AD7DC3">
        <w:rPr>
          <w:rFonts w:ascii="Palatino Linotype" w:eastAsia="Palatino Linotype" w:hAnsi="Palatino Linotype" w:cs="Palatino Linotype"/>
          <w:sz w:val="22"/>
          <w:szCs w:val="22"/>
        </w:rPr>
        <w:t>en donde se manifestó de la siguiente manera:</w:t>
      </w:r>
    </w:p>
    <w:p w14:paraId="0DB160D3" w14:textId="77777777" w:rsidR="005A75CA" w:rsidRPr="00AD7DC3" w:rsidRDefault="00E96B90" w:rsidP="00D7204E">
      <w:pPr>
        <w:spacing w:before="240" w:after="240" w:line="360" w:lineRule="auto"/>
        <w:ind w:right="49"/>
        <w:jc w:val="both"/>
        <w:rPr>
          <w:rFonts w:ascii="Palatino Linotype" w:eastAsia="Palatino Linotype" w:hAnsi="Palatino Linotype" w:cs="Palatino Linotype"/>
          <w:b/>
          <w:sz w:val="22"/>
          <w:szCs w:val="22"/>
        </w:rPr>
      </w:pPr>
      <w:r w:rsidRPr="00AD7DC3">
        <w:rPr>
          <w:rFonts w:ascii="Palatino Linotype" w:eastAsia="Palatino Linotype" w:hAnsi="Palatino Linotype" w:cs="Palatino Linotype"/>
          <w:b/>
          <w:sz w:val="22"/>
          <w:szCs w:val="22"/>
        </w:rPr>
        <w:t xml:space="preserve">Acto impugnado: </w:t>
      </w:r>
    </w:p>
    <w:p w14:paraId="68DC3E6A" w14:textId="0DB1FB5D" w:rsidR="005A75CA" w:rsidRPr="00AD7DC3" w:rsidRDefault="00E96B90" w:rsidP="00D7204E">
      <w:pPr>
        <w:tabs>
          <w:tab w:val="left" w:pos="2745"/>
        </w:tabs>
        <w:spacing w:before="240" w:after="240"/>
        <w:ind w:left="851" w:right="900"/>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w:t>
      </w:r>
      <w:r w:rsidR="004C273B" w:rsidRPr="00AD7DC3">
        <w:rPr>
          <w:rFonts w:ascii="Palatino Linotype" w:eastAsia="Palatino Linotype" w:hAnsi="Palatino Linotype" w:cs="Palatino Linotype"/>
          <w:i/>
          <w:sz w:val="22"/>
          <w:szCs w:val="22"/>
        </w:rPr>
        <w:t>La falta de respuesta, no les interesa dar cumplimiento a los términos establecidos en la ley.</w:t>
      </w:r>
      <w:r w:rsidRPr="00AD7DC3">
        <w:rPr>
          <w:rFonts w:ascii="Palatino Linotype" w:eastAsia="Palatino Linotype" w:hAnsi="Palatino Linotype" w:cs="Palatino Linotype"/>
          <w:i/>
          <w:sz w:val="22"/>
          <w:szCs w:val="22"/>
        </w:rPr>
        <w:t>” (sic)</w:t>
      </w:r>
    </w:p>
    <w:p w14:paraId="64535873" w14:textId="77777777" w:rsidR="005A75CA" w:rsidRPr="00AD7DC3" w:rsidRDefault="00E96B90" w:rsidP="00D7204E">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AD7DC3">
        <w:rPr>
          <w:rFonts w:ascii="Palatino Linotype" w:eastAsia="Palatino Linotype" w:hAnsi="Palatino Linotype" w:cs="Palatino Linotype"/>
          <w:b/>
          <w:sz w:val="22"/>
          <w:szCs w:val="22"/>
        </w:rPr>
        <w:t>Y, Razones o motivos de inconformidad</w:t>
      </w:r>
      <w:r w:rsidRPr="00AD7DC3">
        <w:rPr>
          <w:rFonts w:ascii="Palatino Linotype" w:eastAsia="Palatino Linotype" w:hAnsi="Palatino Linotype" w:cs="Palatino Linotype"/>
          <w:sz w:val="22"/>
          <w:szCs w:val="22"/>
        </w:rPr>
        <w:t>:</w:t>
      </w:r>
    </w:p>
    <w:p w14:paraId="6C751BDA" w14:textId="5E7169CF" w:rsidR="005A75CA" w:rsidRPr="00AD7DC3" w:rsidRDefault="00E96B90" w:rsidP="00D7204E">
      <w:pPr>
        <w:tabs>
          <w:tab w:val="left" w:pos="2745"/>
        </w:tabs>
        <w:spacing w:before="240" w:after="240"/>
        <w:ind w:left="851" w:right="900"/>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w:t>
      </w:r>
      <w:r w:rsidR="004C273B" w:rsidRPr="00AD7DC3">
        <w:rPr>
          <w:rFonts w:ascii="Palatino Linotype" w:eastAsia="Palatino Linotype" w:hAnsi="Palatino Linotype" w:cs="Palatino Linotype"/>
          <w:i/>
          <w:sz w:val="22"/>
          <w:szCs w:val="22"/>
        </w:rPr>
        <w:t>no entregó información que es de carácter público.</w:t>
      </w:r>
      <w:r w:rsidRPr="00AD7DC3">
        <w:rPr>
          <w:rFonts w:ascii="Palatino Linotype" w:eastAsia="Palatino Linotype" w:hAnsi="Palatino Linotype" w:cs="Palatino Linotype"/>
          <w:i/>
          <w:sz w:val="22"/>
          <w:szCs w:val="22"/>
        </w:rPr>
        <w:t>” (sic)</w:t>
      </w:r>
    </w:p>
    <w:p w14:paraId="63BA5F7F" w14:textId="77777777" w:rsidR="005A75CA" w:rsidRPr="00AD7DC3" w:rsidRDefault="00E96B90" w:rsidP="00D7204E">
      <w:pPr>
        <w:spacing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b/>
          <w:sz w:val="22"/>
          <w:szCs w:val="22"/>
        </w:rPr>
        <w:t xml:space="preserve">4. Turno. </w:t>
      </w:r>
      <w:r w:rsidRPr="00AD7DC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D7DC3">
        <w:rPr>
          <w:rFonts w:ascii="Palatino Linotype" w:eastAsia="Palatino Linotype" w:hAnsi="Palatino Linotype" w:cs="Palatino Linotype"/>
          <w:b/>
          <w:sz w:val="22"/>
          <w:szCs w:val="22"/>
        </w:rPr>
        <w:t xml:space="preserve">Guadalupe Ramírez Peña, </w:t>
      </w:r>
      <w:r w:rsidRPr="00AD7DC3">
        <w:rPr>
          <w:rFonts w:ascii="Palatino Linotype" w:eastAsia="Palatino Linotype" w:hAnsi="Palatino Linotype" w:cs="Palatino Linotype"/>
          <w:sz w:val="22"/>
          <w:szCs w:val="22"/>
        </w:rPr>
        <w:t>a efecto de que analizara sobre su admisión o su desechamiento.</w:t>
      </w:r>
    </w:p>
    <w:p w14:paraId="7FEE7B27" w14:textId="02063BC3" w:rsidR="005A75CA" w:rsidRPr="00AD7DC3" w:rsidRDefault="00E96B90" w:rsidP="00D7204E">
      <w:pPr>
        <w:spacing w:before="240" w:after="240" w:line="360" w:lineRule="auto"/>
        <w:jc w:val="both"/>
        <w:rPr>
          <w:rFonts w:ascii="Palatino Linotype" w:eastAsia="Palatino Linotype" w:hAnsi="Palatino Linotype" w:cs="Palatino Linotype"/>
          <w:b/>
          <w:sz w:val="22"/>
          <w:szCs w:val="22"/>
        </w:rPr>
      </w:pPr>
      <w:r w:rsidRPr="00AD7DC3">
        <w:rPr>
          <w:rFonts w:ascii="Palatino Linotype" w:eastAsia="Palatino Linotype" w:hAnsi="Palatino Linotype" w:cs="Palatino Linotype"/>
          <w:b/>
          <w:sz w:val="22"/>
          <w:szCs w:val="22"/>
        </w:rPr>
        <w:t>5. Admisión del Recurso de revisión.</w:t>
      </w:r>
      <w:r w:rsidRPr="00AD7DC3">
        <w:rPr>
          <w:rFonts w:ascii="Palatino Linotype" w:eastAsia="Palatino Linotype" w:hAnsi="Palatino Linotype" w:cs="Palatino Linotype"/>
          <w:sz w:val="22"/>
          <w:szCs w:val="22"/>
        </w:rPr>
        <w:t xml:space="preserve"> El</w:t>
      </w:r>
      <w:r w:rsidRPr="00AD7DC3">
        <w:rPr>
          <w:rFonts w:ascii="Palatino Linotype" w:eastAsia="Palatino Linotype" w:hAnsi="Palatino Linotype" w:cs="Palatino Linotype"/>
          <w:b/>
          <w:sz w:val="22"/>
          <w:szCs w:val="22"/>
        </w:rPr>
        <w:t xml:space="preserve"> </w:t>
      </w:r>
      <w:r w:rsidR="00FC112F" w:rsidRPr="00AD7DC3">
        <w:rPr>
          <w:rFonts w:ascii="Palatino Linotype" w:eastAsia="Palatino Linotype" w:hAnsi="Palatino Linotype" w:cs="Palatino Linotype"/>
          <w:b/>
          <w:sz w:val="22"/>
          <w:szCs w:val="22"/>
        </w:rPr>
        <w:t>veintidós de septiembre</w:t>
      </w:r>
      <w:r w:rsidRPr="00AD7DC3">
        <w:rPr>
          <w:rFonts w:ascii="Palatino Linotype" w:eastAsia="Palatino Linotype" w:hAnsi="Palatino Linotype" w:cs="Palatino Linotype"/>
          <w:b/>
          <w:sz w:val="22"/>
          <w:szCs w:val="22"/>
        </w:rPr>
        <w:t xml:space="preserve"> de dos mil veinticinco, </w:t>
      </w:r>
      <w:r w:rsidRPr="00AD7DC3">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D7DC3">
        <w:rPr>
          <w:rFonts w:ascii="Palatino Linotype" w:eastAsia="Palatino Linotype" w:hAnsi="Palatino Linotype" w:cs="Palatino Linotype"/>
          <w:b/>
          <w:sz w:val="22"/>
          <w:szCs w:val="22"/>
        </w:rPr>
        <w:t xml:space="preserve">Sujeto Obligado </w:t>
      </w:r>
      <w:r w:rsidRPr="00AD7DC3">
        <w:rPr>
          <w:rFonts w:ascii="Palatino Linotype" w:eastAsia="Palatino Linotype" w:hAnsi="Palatino Linotype" w:cs="Palatino Linotype"/>
          <w:sz w:val="22"/>
          <w:szCs w:val="22"/>
        </w:rPr>
        <w:t>presentara su informe justificado.</w:t>
      </w:r>
    </w:p>
    <w:p w14:paraId="7AF77635" w14:textId="7F518D8D"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AD7DC3">
        <w:rPr>
          <w:rFonts w:ascii="Palatino Linotype" w:eastAsia="Palatino Linotype" w:hAnsi="Palatino Linotype" w:cs="Palatino Linotype"/>
          <w:b/>
          <w:sz w:val="22"/>
          <w:szCs w:val="22"/>
        </w:rPr>
        <w:t>6. Manifestaciones</w:t>
      </w:r>
      <w:r w:rsidRPr="00AD7DC3">
        <w:rPr>
          <w:rFonts w:ascii="Palatino Linotype" w:eastAsia="Palatino Linotype" w:hAnsi="Palatino Linotype" w:cs="Palatino Linotype"/>
          <w:sz w:val="22"/>
          <w:szCs w:val="22"/>
        </w:rPr>
        <w:t xml:space="preserve">. El </w:t>
      </w:r>
      <w:r w:rsidR="00DD0B0F" w:rsidRPr="00AD7DC3">
        <w:rPr>
          <w:rFonts w:ascii="Palatino Linotype" w:eastAsia="Palatino Linotype" w:hAnsi="Palatino Linotype" w:cs="Palatino Linotype"/>
          <w:b/>
          <w:sz w:val="22"/>
          <w:szCs w:val="22"/>
        </w:rPr>
        <w:t xml:space="preserve">veintitrés de septiembre </w:t>
      </w:r>
      <w:r w:rsidR="00C62D06" w:rsidRPr="00AD7DC3">
        <w:rPr>
          <w:rFonts w:ascii="Palatino Linotype" w:eastAsia="Palatino Linotype" w:hAnsi="Palatino Linotype" w:cs="Palatino Linotype"/>
          <w:b/>
          <w:sz w:val="22"/>
          <w:szCs w:val="22"/>
        </w:rPr>
        <w:t>d</w:t>
      </w:r>
      <w:r w:rsidRPr="00AD7DC3">
        <w:rPr>
          <w:rFonts w:ascii="Palatino Linotype" w:eastAsia="Palatino Linotype" w:hAnsi="Palatino Linotype" w:cs="Palatino Linotype"/>
          <w:b/>
          <w:sz w:val="22"/>
          <w:szCs w:val="22"/>
        </w:rPr>
        <w:t xml:space="preserve">e dos mil veinticinco, </w:t>
      </w:r>
      <w:r w:rsidRPr="00AD7DC3">
        <w:rPr>
          <w:rFonts w:ascii="Palatino Linotype" w:eastAsia="Palatino Linotype" w:hAnsi="Palatino Linotype" w:cs="Palatino Linotype"/>
          <w:sz w:val="22"/>
          <w:szCs w:val="22"/>
        </w:rPr>
        <w:t xml:space="preserve">el </w:t>
      </w:r>
      <w:r w:rsidRPr="00AD7DC3">
        <w:rPr>
          <w:rFonts w:ascii="Palatino Linotype" w:eastAsia="Palatino Linotype" w:hAnsi="Palatino Linotype" w:cs="Palatino Linotype"/>
          <w:b/>
          <w:sz w:val="22"/>
          <w:szCs w:val="22"/>
        </w:rPr>
        <w:t>Sujeto Obligado</w:t>
      </w:r>
      <w:r w:rsidRPr="00AD7DC3">
        <w:rPr>
          <w:rFonts w:ascii="Palatino Linotype" w:eastAsia="Palatino Linotype" w:hAnsi="Palatino Linotype" w:cs="Palatino Linotype"/>
          <w:sz w:val="22"/>
          <w:szCs w:val="22"/>
        </w:rPr>
        <w:t xml:space="preserve"> remitió, a través del SAIMEX, lo siguiente:</w:t>
      </w:r>
    </w:p>
    <w:p w14:paraId="76B062BD" w14:textId="3DB92CFE" w:rsidR="00DD0B0F" w:rsidRPr="00AD7DC3" w:rsidRDefault="00E96B90" w:rsidP="00D7204E">
      <w:pPr>
        <w:spacing w:before="240" w:after="240" w:line="360" w:lineRule="auto"/>
        <w:ind w:left="142"/>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 Oficio número </w:t>
      </w:r>
      <w:r w:rsidR="00DD0B0F" w:rsidRPr="00AD7DC3">
        <w:rPr>
          <w:rFonts w:ascii="Palatino Linotype" w:eastAsia="Palatino Linotype" w:hAnsi="Palatino Linotype" w:cs="Palatino Linotype"/>
          <w:sz w:val="22"/>
          <w:szCs w:val="22"/>
        </w:rPr>
        <w:t xml:space="preserve">STGAJ/UT/479/2025, mediante el cual el titular de la Unidad de Transparencia </w:t>
      </w:r>
      <w:r w:rsidR="008E3C41" w:rsidRPr="00AD7DC3">
        <w:rPr>
          <w:rFonts w:ascii="Palatino Linotype" w:eastAsia="Palatino Linotype" w:hAnsi="Palatino Linotype" w:cs="Palatino Linotype"/>
          <w:sz w:val="22"/>
          <w:szCs w:val="22"/>
        </w:rPr>
        <w:t>turnó la solicitud al Director de Obras Públicas.</w:t>
      </w:r>
    </w:p>
    <w:p w14:paraId="2B5C78F8" w14:textId="77777777" w:rsidR="00B2448C" w:rsidRPr="00AD7DC3" w:rsidRDefault="00B57C67" w:rsidP="00D7204E">
      <w:pPr>
        <w:spacing w:before="240" w:after="240" w:line="360" w:lineRule="auto"/>
        <w:ind w:left="142"/>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lastRenderedPageBreak/>
        <w:t>- Oficio número PMAJ/DOP/AMJ/232/2025</w:t>
      </w:r>
      <w:r w:rsidR="00CB4FF7" w:rsidRPr="00AD7DC3">
        <w:rPr>
          <w:rFonts w:ascii="Palatino Linotype" w:eastAsia="Palatino Linotype" w:hAnsi="Palatino Linotype" w:cs="Palatino Linotype"/>
          <w:sz w:val="22"/>
          <w:szCs w:val="22"/>
        </w:rPr>
        <w:t>, mediante el cual el Director de Obras Públicas</w:t>
      </w:r>
      <w:r w:rsidR="00E22A4A" w:rsidRPr="00AD7DC3">
        <w:rPr>
          <w:rFonts w:ascii="Palatino Linotype" w:eastAsia="Palatino Linotype" w:hAnsi="Palatino Linotype" w:cs="Palatino Linotype"/>
          <w:sz w:val="22"/>
          <w:szCs w:val="22"/>
        </w:rPr>
        <w:t xml:space="preserve"> refirió </w:t>
      </w:r>
      <w:r w:rsidR="00B2448C" w:rsidRPr="00AD7DC3">
        <w:rPr>
          <w:rFonts w:ascii="Palatino Linotype" w:eastAsia="Palatino Linotype" w:hAnsi="Palatino Linotype" w:cs="Palatino Linotype"/>
          <w:sz w:val="22"/>
          <w:szCs w:val="22"/>
        </w:rPr>
        <w:t>lo siguiente:</w:t>
      </w:r>
    </w:p>
    <w:p w14:paraId="427F976D" w14:textId="77777777" w:rsidR="00B2448C" w:rsidRPr="00AD7DC3" w:rsidRDefault="00B2448C" w:rsidP="00B2448C">
      <w:pPr>
        <w:spacing w:before="120" w:after="120"/>
        <w:ind w:left="851" w:right="902"/>
        <w:jc w:val="both"/>
        <w:rPr>
          <w:rFonts w:ascii="Palatino Linotype" w:hAnsi="Palatino Linotype"/>
          <w:i/>
          <w:sz w:val="22"/>
          <w:szCs w:val="22"/>
        </w:rPr>
      </w:pPr>
      <w:r w:rsidRPr="00AD7DC3">
        <w:rPr>
          <w:rFonts w:ascii="Palatino Linotype" w:eastAsia="Palatino Linotype" w:hAnsi="Palatino Linotype" w:cs="Palatino Linotype"/>
          <w:i/>
          <w:sz w:val="22"/>
          <w:szCs w:val="22"/>
        </w:rPr>
        <w:t>“</w:t>
      </w:r>
      <w:r w:rsidRPr="00AD7DC3">
        <w:rPr>
          <w:rFonts w:ascii="Palatino Linotype" w:hAnsi="Palatino Linotype"/>
          <w:i/>
          <w:sz w:val="22"/>
          <w:szCs w:val="22"/>
        </w:rPr>
        <w:t xml:space="preserve">Le informo que, el programa de obra 2025 aún se encuentra en proceso de revisión y validación por parte del área competente, por lo que esta sujeto a modificaciones antes de su aprobación definitiva. Asimismo, es importante señalar que dicho programa puede estar sujeto a cambios o adecuaciones durante el ejercicio fiscal, en función de la disponibilidad de recursos, las prioridades del ayuntamiento y la normatividad aplicable. </w:t>
      </w:r>
    </w:p>
    <w:p w14:paraId="59D06E13" w14:textId="77777777" w:rsidR="00B2448C" w:rsidRPr="00AD7DC3" w:rsidRDefault="00B2448C" w:rsidP="00B2448C">
      <w:pPr>
        <w:spacing w:before="120" w:after="120"/>
        <w:ind w:left="851" w:right="902"/>
        <w:jc w:val="both"/>
        <w:rPr>
          <w:rFonts w:ascii="Palatino Linotype" w:hAnsi="Palatino Linotype"/>
          <w:i/>
          <w:sz w:val="22"/>
          <w:szCs w:val="22"/>
        </w:rPr>
      </w:pPr>
      <w:r w:rsidRPr="00AD7DC3">
        <w:rPr>
          <w:rFonts w:ascii="Palatino Linotype" w:hAnsi="Palatino Linotype"/>
          <w:i/>
          <w:sz w:val="22"/>
          <w:szCs w:val="22"/>
        </w:rPr>
        <w:t xml:space="preserve">El programa no es inmutable. Durante el año puede sufrir ajustes (altas, bajas, o modificaciones de obras), ya sea porque cambian las prioridades, se obtienen recursos extraordinarios o alguna obra resulta no viable. En ese sentido es preciso aclarar que no se trata de negar la entrega de la información solicitada sino que, derivado de las modificaciones que se están realizando, actualmente no es posible proporcionarla en una versión definitiva y validada. </w:t>
      </w:r>
    </w:p>
    <w:p w14:paraId="40330402" w14:textId="77777777" w:rsidR="00B2448C" w:rsidRPr="00AD7DC3" w:rsidRDefault="00B2448C" w:rsidP="00B2448C">
      <w:pPr>
        <w:spacing w:before="120" w:after="120"/>
        <w:ind w:left="851" w:right="902"/>
        <w:jc w:val="both"/>
        <w:rPr>
          <w:rFonts w:ascii="Palatino Linotype" w:hAnsi="Palatino Linotype"/>
          <w:i/>
          <w:sz w:val="22"/>
          <w:szCs w:val="22"/>
        </w:rPr>
      </w:pPr>
      <w:r w:rsidRPr="00AD7DC3">
        <w:rPr>
          <w:rFonts w:ascii="Palatino Linotype" w:hAnsi="Palatino Linotype"/>
          <w:i/>
          <w:sz w:val="22"/>
          <w:szCs w:val="22"/>
        </w:rPr>
        <w:t>En este sentido, y en cumplimiento de lo establecido en la ley de transparencia y acceso a la información Pública del estado de México y Municipios, se hace de su conocimiento que se requiere de un 'plazo adicional para emitir una respuesta definitiva que contenga información completa y validada.</w:t>
      </w:r>
    </w:p>
    <w:p w14:paraId="3FF77D65" w14:textId="71C31082" w:rsidR="00B2448C" w:rsidRPr="00AD7DC3" w:rsidRDefault="00B2448C" w:rsidP="00B2448C">
      <w:pPr>
        <w:spacing w:before="120" w:after="120"/>
        <w:ind w:left="851" w:right="902"/>
        <w:jc w:val="both"/>
        <w:rPr>
          <w:rFonts w:ascii="Palatino Linotype" w:eastAsia="Palatino Linotype" w:hAnsi="Palatino Linotype" w:cs="Palatino Linotype"/>
          <w:i/>
          <w:sz w:val="22"/>
          <w:szCs w:val="22"/>
        </w:rPr>
      </w:pPr>
      <w:r w:rsidRPr="00AD7DC3">
        <w:rPr>
          <w:rFonts w:ascii="Palatino Linotype" w:hAnsi="Palatino Linotype"/>
          <w:i/>
          <w:sz w:val="22"/>
          <w:szCs w:val="22"/>
        </w:rPr>
        <w:t>Por lo tanto, en apego al principio de máxima publicidad y a la normatividad aplicable, se le notificara de manera oportuna una vez que el programa de obras 2025 quede debidamente validado y se encuentre disponible para su entrega.”</w:t>
      </w:r>
    </w:p>
    <w:p w14:paraId="0B77669F" w14:textId="79873327" w:rsidR="00B278DC" w:rsidRPr="00AD7DC3" w:rsidRDefault="00B278DC"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w:t>
      </w:r>
    </w:p>
    <w:p w14:paraId="50422024" w14:textId="09590F79"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b/>
          <w:sz w:val="22"/>
          <w:szCs w:val="22"/>
        </w:rPr>
        <w:t xml:space="preserve">7. Cierre de instrucción. </w:t>
      </w:r>
      <w:r w:rsidRPr="00AD7DC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BF2BEC" w:rsidRPr="00AD7DC3">
        <w:rPr>
          <w:rFonts w:ascii="Palatino Linotype" w:eastAsia="Palatino Linotype" w:hAnsi="Palatino Linotype" w:cs="Palatino Linotype"/>
          <w:b/>
          <w:sz w:val="22"/>
          <w:szCs w:val="22"/>
        </w:rPr>
        <w:t xml:space="preserve">doce </w:t>
      </w:r>
      <w:r w:rsidR="008178BC" w:rsidRPr="00AD7DC3">
        <w:rPr>
          <w:rFonts w:ascii="Palatino Linotype" w:eastAsia="Palatino Linotype" w:hAnsi="Palatino Linotype" w:cs="Palatino Linotype"/>
          <w:b/>
          <w:sz w:val="22"/>
          <w:szCs w:val="22"/>
        </w:rPr>
        <w:t xml:space="preserve">de </w:t>
      </w:r>
      <w:r w:rsidR="00BF2BEC" w:rsidRPr="00AD7DC3">
        <w:rPr>
          <w:rFonts w:ascii="Palatino Linotype" w:eastAsia="Palatino Linotype" w:hAnsi="Palatino Linotype" w:cs="Palatino Linotype"/>
          <w:b/>
          <w:sz w:val="22"/>
          <w:szCs w:val="22"/>
        </w:rPr>
        <w:t xml:space="preserve">noviembre </w:t>
      </w:r>
      <w:r w:rsidRPr="00AD7DC3">
        <w:rPr>
          <w:rFonts w:ascii="Palatino Linotype" w:eastAsia="Palatino Linotype" w:hAnsi="Palatino Linotype" w:cs="Palatino Linotype"/>
          <w:b/>
          <w:sz w:val="22"/>
          <w:szCs w:val="22"/>
        </w:rPr>
        <w:t>de dos mil veinticinco</w:t>
      </w:r>
      <w:r w:rsidRPr="00AD7DC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3D7DE9F" w14:textId="0A09DB4E" w:rsidR="005A75CA" w:rsidRPr="00AD7DC3" w:rsidRDefault="00E96B90" w:rsidP="00D7204E">
      <w:pPr>
        <w:spacing w:before="240" w:after="240" w:line="360" w:lineRule="auto"/>
        <w:jc w:val="both"/>
        <w:rPr>
          <w:rFonts w:ascii="Palatino Linotype" w:eastAsia="Palatino Linotype" w:hAnsi="Palatino Linotype" w:cs="Palatino Linotype"/>
          <w:b/>
          <w:sz w:val="22"/>
          <w:szCs w:val="22"/>
        </w:rPr>
      </w:pPr>
      <w:r w:rsidRPr="00AD7DC3">
        <w:rPr>
          <w:rFonts w:ascii="Palatino Linotype" w:eastAsia="Palatino Linotype" w:hAnsi="Palatino Linotype" w:cs="Palatino Linotype"/>
          <w:b/>
          <w:sz w:val="22"/>
          <w:szCs w:val="22"/>
        </w:rPr>
        <w:t>8</w:t>
      </w:r>
      <w:r w:rsidRPr="00AD7DC3">
        <w:rPr>
          <w:rFonts w:ascii="Palatino Linotype" w:eastAsia="Palatino Linotype" w:hAnsi="Palatino Linotype" w:cs="Palatino Linotype"/>
          <w:sz w:val="22"/>
          <w:szCs w:val="22"/>
        </w:rPr>
        <w:t xml:space="preserve">. </w:t>
      </w:r>
      <w:r w:rsidRPr="00AD7DC3">
        <w:rPr>
          <w:rFonts w:ascii="Palatino Linotype" w:eastAsia="Palatino Linotype" w:hAnsi="Palatino Linotype" w:cs="Palatino Linotype"/>
          <w:b/>
          <w:sz w:val="22"/>
          <w:szCs w:val="22"/>
        </w:rPr>
        <w:t>Ampliación del término para resolver</w:t>
      </w:r>
      <w:r w:rsidRPr="00AD7DC3">
        <w:rPr>
          <w:rFonts w:ascii="Palatino Linotype" w:eastAsia="Palatino Linotype" w:hAnsi="Palatino Linotype" w:cs="Palatino Linotype"/>
          <w:sz w:val="22"/>
          <w:szCs w:val="22"/>
        </w:rPr>
        <w:t xml:space="preserve">. El </w:t>
      </w:r>
      <w:r w:rsidR="008178BC" w:rsidRPr="00AD7DC3">
        <w:rPr>
          <w:rFonts w:ascii="Palatino Linotype" w:eastAsia="Palatino Linotype" w:hAnsi="Palatino Linotype" w:cs="Palatino Linotype"/>
          <w:b/>
          <w:sz w:val="22"/>
          <w:szCs w:val="22"/>
        </w:rPr>
        <w:t>do</w:t>
      </w:r>
      <w:r w:rsidR="00BF2BEC" w:rsidRPr="00AD7DC3">
        <w:rPr>
          <w:rFonts w:ascii="Palatino Linotype" w:eastAsia="Palatino Linotype" w:hAnsi="Palatino Linotype" w:cs="Palatino Linotype"/>
          <w:b/>
          <w:sz w:val="22"/>
          <w:szCs w:val="22"/>
        </w:rPr>
        <w:t xml:space="preserve">ce de noviembre </w:t>
      </w:r>
      <w:r w:rsidR="008178BC" w:rsidRPr="00AD7DC3">
        <w:rPr>
          <w:rFonts w:ascii="Palatino Linotype" w:eastAsia="Palatino Linotype" w:hAnsi="Palatino Linotype" w:cs="Palatino Linotype"/>
          <w:b/>
          <w:sz w:val="22"/>
          <w:szCs w:val="22"/>
        </w:rPr>
        <w:t>de dos mil veinticinco</w:t>
      </w:r>
      <w:r w:rsidRPr="00AD7DC3">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5B842F8F"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9216AD2"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20BED62"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9E7C13"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10ADCF0" w14:textId="77777777" w:rsidR="005A75CA" w:rsidRPr="00AD7DC3" w:rsidRDefault="00E96B90" w:rsidP="00D7204E">
      <w:pPr>
        <w:spacing w:before="240" w:after="240" w:line="360" w:lineRule="auto"/>
        <w:jc w:val="both"/>
        <w:rPr>
          <w:rFonts w:ascii="Palatino Linotype" w:eastAsia="Palatino Linotype" w:hAnsi="Palatino Linotype" w:cs="Palatino Linotype"/>
          <w:strike/>
          <w:sz w:val="22"/>
          <w:szCs w:val="22"/>
        </w:rPr>
      </w:pPr>
      <w:r w:rsidRPr="00AD7DC3">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8CABCBB" w14:textId="77777777" w:rsidR="005A75CA" w:rsidRPr="00AD7DC3" w:rsidRDefault="00E96B90" w:rsidP="00D7204E">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04B707BC" w14:textId="77777777" w:rsidR="005A75CA" w:rsidRPr="00AD7DC3" w:rsidRDefault="00E96B90" w:rsidP="00D7204E">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Actividad Procesal del interesado. Acciones u omisiones del interesado.</w:t>
      </w:r>
    </w:p>
    <w:p w14:paraId="7CB07ACE" w14:textId="77777777" w:rsidR="005A75CA" w:rsidRPr="00AD7DC3" w:rsidRDefault="00E96B90" w:rsidP="00D7204E">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196423EE" w14:textId="77777777" w:rsidR="005A75CA" w:rsidRPr="00AD7DC3" w:rsidRDefault="00E96B90" w:rsidP="00D7204E">
      <w:pPr>
        <w:tabs>
          <w:tab w:val="left" w:pos="567"/>
        </w:tabs>
        <w:spacing w:before="240" w:after="240" w:line="360" w:lineRule="auto"/>
        <w:ind w:left="284"/>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31C314F0"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4070CDD" w14:textId="77777777" w:rsidR="005A75CA" w:rsidRPr="00AD7DC3" w:rsidRDefault="00E96B90" w:rsidP="00D7204E">
      <w:pPr>
        <w:spacing w:before="240" w:after="240" w:line="360" w:lineRule="auto"/>
        <w:jc w:val="both"/>
        <w:rPr>
          <w:rFonts w:ascii="Palatino Linotype" w:eastAsia="Palatino Linotype" w:hAnsi="Palatino Linotype" w:cs="Palatino Linotype"/>
          <w:b/>
          <w:sz w:val="22"/>
          <w:szCs w:val="22"/>
        </w:rPr>
      </w:pPr>
      <w:r w:rsidRPr="00AD7DC3">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D7DC3">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AD7DC3">
        <w:rPr>
          <w:rFonts w:ascii="Palatino Linotype" w:eastAsia="Palatino Linotype" w:hAnsi="Palatino Linotype" w:cs="Palatino Linotype"/>
          <w:sz w:val="22"/>
          <w:szCs w:val="22"/>
        </w:rPr>
        <w:t>, visible en la Gaceta del Seminario Judicial de la Federación con el registro digital 205635.</w:t>
      </w:r>
    </w:p>
    <w:p w14:paraId="3D852D50"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928244A"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404F6A2" w14:textId="77777777" w:rsidR="005A75CA" w:rsidRPr="00AD7DC3" w:rsidRDefault="00E96B90" w:rsidP="00D7204E">
      <w:pPr>
        <w:spacing w:before="120" w:after="120"/>
        <w:ind w:left="851" w:right="902"/>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 </w:t>
      </w:r>
      <w:r w:rsidRPr="00AD7DC3">
        <w:rPr>
          <w:rFonts w:ascii="Palatino Linotype" w:eastAsia="Palatino Linotype" w:hAnsi="Palatino Linotype" w:cs="Palatino Linotype"/>
          <w:i/>
          <w:sz w:val="22"/>
          <w:szCs w:val="22"/>
        </w:rPr>
        <w:t>“</w:t>
      </w:r>
      <w:r w:rsidRPr="00AD7DC3">
        <w:rPr>
          <w:rFonts w:ascii="Palatino Linotype" w:eastAsia="Palatino Linotype" w:hAnsi="Palatino Linotype" w:cs="Palatino Linotype"/>
          <w:b/>
          <w:i/>
          <w:sz w:val="22"/>
          <w:szCs w:val="22"/>
        </w:rPr>
        <w:t>PLAZO RAZONABLE PARA RESOLVER. DIMENSIÓN Y EFECTOS DE ESTE CONCEPTO CUANDO SE ADUCE EXCESIVA CARGA DE TRABAJO</w:t>
      </w:r>
      <w:r w:rsidRPr="00AD7DC3">
        <w:rPr>
          <w:rFonts w:ascii="Palatino Linotype" w:eastAsia="Palatino Linotype" w:hAnsi="Palatino Linotype" w:cs="Palatino Linotype"/>
          <w:i/>
          <w:sz w:val="22"/>
          <w:szCs w:val="22"/>
        </w:rPr>
        <w:t>.”</w:t>
      </w:r>
      <w:r w:rsidRPr="00AD7DC3">
        <w:rPr>
          <w:rFonts w:ascii="Palatino Linotype" w:eastAsia="Palatino Linotype" w:hAnsi="Palatino Linotype" w:cs="Palatino Linotype"/>
          <w:sz w:val="22"/>
          <w:szCs w:val="22"/>
        </w:rPr>
        <w:t xml:space="preserve"> consultable en el Seminario Judicial de la Federación y su gaceta, con el registro digital 2002351.</w:t>
      </w:r>
    </w:p>
    <w:p w14:paraId="5D769731" w14:textId="77777777" w:rsidR="005A75CA" w:rsidRPr="00AD7DC3" w:rsidRDefault="00E96B90" w:rsidP="00D7204E">
      <w:pPr>
        <w:spacing w:before="120" w:after="120"/>
        <w:ind w:left="851" w:right="902"/>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i/>
          <w:sz w:val="22"/>
          <w:szCs w:val="22"/>
        </w:rPr>
        <w:t>“</w:t>
      </w:r>
      <w:r w:rsidRPr="00AD7DC3">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D7DC3">
        <w:rPr>
          <w:rFonts w:ascii="Palatino Linotype" w:eastAsia="Palatino Linotype" w:hAnsi="Palatino Linotype" w:cs="Palatino Linotype"/>
          <w:i/>
          <w:sz w:val="22"/>
          <w:szCs w:val="22"/>
        </w:rPr>
        <w:t>.”</w:t>
      </w:r>
      <w:r w:rsidRPr="00AD7DC3">
        <w:rPr>
          <w:rFonts w:ascii="Palatino Linotype" w:eastAsia="Palatino Linotype" w:hAnsi="Palatino Linotype" w:cs="Palatino Linotype"/>
          <w:sz w:val="22"/>
          <w:szCs w:val="22"/>
        </w:rPr>
        <w:t>, visible en el Seminario Judicial de la Federación y su gaceta, con el registro digital 2002350.</w:t>
      </w:r>
    </w:p>
    <w:p w14:paraId="299313AF"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A66F519"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AD56F5D" w14:textId="77777777" w:rsidR="005A75CA" w:rsidRPr="00AD7DC3" w:rsidRDefault="00E96B90" w:rsidP="001205A1">
      <w:pPr>
        <w:widowControl w:val="0"/>
        <w:spacing w:before="240" w:after="240" w:line="360" w:lineRule="auto"/>
        <w:jc w:val="center"/>
        <w:rPr>
          <w:rFonts w:ascii="Palatino Linotype" w:eastAsia="Palatino Linotype" w:hAnsi="Palatino Linotype" w:cs="Palatino Linotype"/>
          <w:b/>
          <w:sz w:val="22"/>
          <w:szCs w:val="22"/>
        </w:rPr>
      </w:pPr>
      <w:r w:rsidRPr="00AD7DC3">
        <w:rPr>
          <w:rFonts w:ascii="Palatino Linotype" w:eastAsia="Palatino Linotype" w:hAnsi="Palatino Linotype" w:cs="Palatino Linotype"/>
          <w:b/>
          <w:sz w:val="22"/>
          <w:szCs w:val="22"/>
        </w:rPr>
        <w:t>II. C O N S I D E R A N D O S</w:t>
      </w:r>
    </w:p>
    <w:p w14:paraId="591E0DDD" w14:textId="0DFFD9B6"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b/>
          <w:sz w:val="22"/>
          <w:szCs w:val="22"/>
        </w:rPr>
        <w:t>Primero. Competencia.</w:t>
      </w:r>
      <w:r w:rsidRPr="00AD7DC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6A7899" w:rsidRPr="00AD7DC3">
        <w:rPr>
          <w:rFonts w:ascii="Palatino Linotype" w:eastAsia="Palatino Linotype" w:hAnsi="Palatino Linotype" w:cs="Palatino Linotype"/>
          <w:sz w:val="22"/>
          <w:szCs w:val="22"/>
        </w:rPr>
        <w:t xml:space="preserve">párrafos cuadragésimo cuarto, cuadragésimo quinto cuadragésimo sexto, fracciones IV y V de la Constitución Política del Estado Libre y Soberano de México; Transitorio Cuarto, párrafo segundo del Decreto número 198 de la “LXII” Legislatura del Estado de México; </w:t>
      </w:r>
      <w:r w:rsidRPr="00AD7DC3">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106B145"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AD7DC3">
        <w:rPr>
          <w:rFonts w:ascii="Palatino Linotype" w:eastAsia="Palatino Linotype" w:hAnsi="Palatino Linotype" w:cs="Palatino Linotype"/>
          <w:b/>
          <w:sz w:val="22"/>
          <w:szCs w:val="22"/>
        </w:rPr>
        <w:t xml:space="preserve">Segundo. Oportunidad y Procedibilidad. </w:t>
      </w:r>
      <w:r w:rsidRPr="00AD7DC3">
        <w:rPr>
          <w:rFonts w:ascii="Palatino Linotype" w:eastAsia="Palatino Linotype" w:hAnsi="Palatino Linotype" w:cs="Palatino Linotype"/>
          <w:sz w:val="22"/>
          <w:szCs w:val="22"/>
        </w:rPr>
        <w:t>Es de precisar que la</w:t>
      </w:r>
      <w:r w:rsidRPr="00AD7DC3">
        <w:rPr>
          <w:rFonts w:ascii="Palatino Linotype" w:eastAsia="Palatino Linotype" w:hAnsi="Palatino Linotype" w:cs="Palatino Linotype"/>
          <w:b/>
          <w:sz w:val="22"/>
          <w:szCs w:val="22"/>
        </w:rPr>
        <w:t xml:space="preserve"> </w:t>
      </w:r>
      <w:r w:rsidRPr="00AD7DC3">
        <w:rPr>
          <w:rFonts w:ascii="Palatino Linotype" w:eastAsia="Palatino Linotype" w:hAnsi="Palatino Linotype" w:cs="Palatino Linotype"/>
          <w:sz w:val="22"/>
          <w:szCs w:val="22"/>
        </w:rPr>
        <w:t xml:space="preserve">Ley de Transparencia y Acceso a la Información Pública del Estado de México y Municipios, describe el mecanismo de procedencia de los recursos de revisión, como se dispone en los artículos 163 y 166, del tenor literal siguiente: </w:t>
      </w:r>
    </w:p>
    <w:p w14:paraId="28CBAA0A" w14:textId="77777777" w:rsidR="005A75CA" w:rsidRPr="00AD7DC3" w:rsidRDefault="00E96B90" w:rsidP="00D7204E">
      <w:pPr>
        <w:ind w:left="851" w:right="851"/>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w:t>
      </w:r>
      <w:r w:rsidRPr="00AD7DC3">
        <w:rPr>
          <w:rFonts w:ascii="Palatino Linotype" w:eastAsia="Palatino Linotype" w:hAnsi="Palatino Linotype" w:cs="Palatino Linotype"/>
          <w:b/>
          <w:i/>
          <w:sz w:val="22"/>
          <w:szCs w:val="22"/>
        </w:rPr>
        <w:t xml:space="preserve">Artículo 163. </w:t>
      </w:r>
      <w:r w:rsidRPr="00AD7DC3">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284712C8" w14:textId="77777777" w:rsidR="005A75CA" w:rsidRPr="00AD7DC3" w:rsidRDefault="00E96B90" w:rsidP="00D7204E">
      <w:pPr>
        <w:ind w:left="851" w:right="851"/>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w:t>
      </w:r>
    </w:p>
    <w:p w14:paraId="49A851A1" w14:textId="77777777" w:rsidR="005A75CA" w:rsidRPr="00AD7DC3" w:rsidRDefault="00E96B90" w:rsidP="00D7204E">
      <w:pPr>
        <w:ind w:left="851" w:right="851"/>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b/>
          <w:i/>
          <w:sz w:val="22"/>
          <w:szCs w:val="22"/>
        </w:rPr>
        <w:t>Artículo 166.</w:t>
      </w:r>
      <w:r w:rsidRPr="00AD7DC3">
        <w:rPr>
          <w:rFonts w:ascii="Palatino Linotype" w:eastAsia="Palatino Linotype" w:hAnsi="Palatino Linotype" w:cs="Palatino Linotype"/>
          <w:i/>
          <w:sz w:val="22"/>
          <w:szCs w:val="22"/>
        </w:rPr>
        <w:t xml:space="preserve"> […]</w:t>
      </w:r>
    </w:p>
    <w:p w14:paraId="5950788F" w14:textId="77777777" w:rsidR="005A75CA" w:rsidRPr="00AD7DC3" w:rsidRDefault="00E96B90" w:rsidP="00D7204E">
      <w:pPr>
        <w:ind w:left="851" w:right="851"/>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7F2DF570"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 la persona solicitante le asiste el derecho para presentar el recurso de revisión.</w:t>
      </w:r>
    </w:p>
    <w:p w14:paraId="212DD4AF"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7644EEF3" w14:textId="77777777" w:rsidR="005A75CA" w:rsidRPr="00AD7DC3" w:rsidRDefault="00E96B90" w:rsidP="00D7204E">
      <w:pPr>
        <w:spacing w:before="240" w:after="240" w:line="360" w:lineRule="auto"/>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sz w:val="22"/>
          <w:szCs w:val="22"/>
        </w:rPr>
        <w:t>Por su parte, el artículo 178 del citado ordenamiento, establece:</w:t>
      </w:r>
    </w:p>
    <w:p w14:paraId="4D8FD504" w14:textId="77777777" w:rsidR="005A75CA" w:rsidRPr="00AD7DC3" w:rsidRDefault="00E96B90" w:rsidP="00D7204E">
      <w:pPr>
        <w:spacing w:before="120" w:after="120"/>
        <w:ind w:left="851" w:right="851"/>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w:t>
      </w:r>
      <w:r w:rsidRPr="00AD7DC3">
        <w:rPr>
          <w:rFonts w:ascii="Palatino Linotype" w:eastAsia="Palatino Linotype" w:hAnsi="Palatino Linotype" w:cs="Palatino Linotype"/>
          <w:b/>
          <w:i/>
          <w:sz w:val="22"/>
          <w:szCs w:val="22"/>
        </w:rPr>
        <w:t xml:space="preserve">Artículo 178. </w:t>
      </w:r>
      <w:r w:rsidRPr="00AD7DC3">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1EBD44B" w14:textId="77777777" w:rsidR="005A75CA" w:rsidRPr="00AD7DC3" w:rsidRDefault="00E96B90" w:rsidP="00D7204E">
      <w:pPr>
        <w:spacing w:before="120" w:after="120"/>
        <w:ind w:left="851" w:right="851"/>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F3C12EA"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De lo anterior, se advierte que el recurso de revisión se ha de interponer dentro del plazo de quince días hábiles, a partir de la fecha en que el </w:t>
      </w:r>
      <w:r w:rsidRPr="00AD7DC3">
        <w:rPr>
          <w:rFonts w:ascii="Palatino Linotype" w:eastAsia="Palatino Linotype" w:hAnsi="Palatino Linotype" w:cs="Palatino Linotype"/>
          <w:b/>
          <w:sz w:val="22"/>
          <w:szCs w:val="22"/>
        </w:rPr>
        <w:t xml:space="preserve">Sujeto Obligado </w:t>
      </w:r>
      <w:r w:rsidRPr="00AD7DC3">
        <w:rPr>
          <w:rFonts w:ascii="Palatino Linotype" w:eastAsia="Palatino Linotype" w:hAnsi="Palatino Linotype" w:cs="Palatino Linotype"/>
          <w:sz w:val="22"/>
          <w:szCs w:val="22"/>
        </w:rPr>
        <w:t>da respuesta a la solicitud de información; sin embargo, tratándose de negativa ficta no existe resolución que se haga del conocimiento de la persona solicitante a partir de la cual pueda computarse dicho plazo, por lo que se concluye que la interposición del recurso de revisión puede ser en cualquier momento.</w:t>
      </w:r>
    </w:p>
    <w:p w14:paraId="6EAE9AC2"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La negativa ficta constituye una presunción legal, en el entendido de que donde no hubo respuesta por parte del </w:t>
      </w:r>
      <w:r w:rsidRPr="00AD7DC3">
        <w:rPr>
          <w:rFonts w:ascii="Palatino Linotype" w:eastAsia="Palatino Linotype" w:hAnsi="Palatino Linotype" w:cs="Palatino Linotype"/>
          <w:b/>
          <w:sz w:val="22"/>
          <w:szCs w:val="22"/>
        </w:rPr>
        <w:t xml:space="preserve">Sujeto Obligado </w:t>
      </w:r>
      <w:r w:rsidRPr="00AD7DC3">
        <w:rPr>
          <w:rFonts w:ascii="Palatino Linotype" w:eastAsia="Palatino Linotype" w:hAnsi="Palatino Linotype" w:cs="Palatino Linotype"/>
          <w:sz w:val="22"/>
          <w:szCs w:val="22"/>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3B73F924"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14:paraId="6B29ACDF" w14:textId="77777777" w:rsidR="005A75CA" w:rsidRPr="00AD7DC3" w:rsidRDefault="00E96B90" w:rsidP="00D7204E">
      <w:pPr>
        <w:spacing w:before="240" w:after="240" w:line="360" w:lineRule="auto"/>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sz w:val="22"/>
          <w:szCs w:val="22"/>
        </w:rPr>
        <w:t xml:space="preserve">Por lo tanto, con la finalidad de no reducir ni limitar el derecho de acceso a la información y concederle una protección más eficaz al solicitante para impugnar el silencio del </w:t>
      </w:r>
      <w:r w:rsidRPr="00AD7DC3">
        <w:rPr>
          <w:rFonts w:ascii="Palatino Linotype" w:eastAsia="Palatino Linotype" w:hAnsi="Palatino Linotype" w:cs="Palatino Linotype"/>
          <w:b/>
          <w:sz w:val="22"/>
          <w:szCs w:val="22"/>
        </w:rPr>
        <w:t>Sujeto Obligado</w:t>
      </w:r>
      <w:r w:rsidRPr="00AD7DC3">
        <w:rPr>
          <w:rFonts w:ascii="Palatino Linotype" w:eastAsia="Palatino Linotype" w:hAnsi="Palatino Linotype" w:cs="Palatino Linotype"/>
          <w:sz w:val="22"/>
          <w:szCs w:val="22"/>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38D9DC33" w14:textId="77777777" w:rsidR="005A75CA" w:rsidRPr="00AD7DC3" w:rsidRDefault="00E96B90" w:rsidP="00D7204E">
      <w:pPr>
        <w:ind w:left="851" w:right="851"/>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b/>
          <w:i/>
          <w:sz w:val="22"/>
          <w:szCs w:val="22"/>
        </w:rPr>
        <w:t>“CRITERIO 0001-15. NEGATIVA FICTA. PLAZO PARA INTERPONER EL RECURSO DE REVISIÓN TRATÁNDOSE DE</w:t>
      </w:r>
      <w:r w:rsidRPr="00AD7DC3">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3CD62318" w14:textId="77777777" w:rsidR="00091061" w:rsidRPr="00AD7DC3" w:rsidRDefault="00091061" w:rsidP="00091061">
      <w:pPr>
        <w:tabs>
          <w:tab w:val="left" w:pos="7938"/>
        </w:tabs>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B38E422"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14:paraId="7094A9DD" w14:textId="77777777" w:rsidR="005A75CA" w:rsidRPr="00AD7DC3" w:rsidRDefault="00E96B90" w:rsidP="00E3627B">
      <w:pPr>
        <w:ind w:left="851" w:right="851"/>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w:t>
      </w:r>
      <w:r w:rsidRPr="00AD7DC3">
        <w:rPr>
          <w:rFonts w:ascii="Palatino Linotype" w:eastAsia="Palatino Linotype" w:hAnsi="Palatino Linotype" w:cs="Palatino Linotype"/>
          <w:b/>
          <w:i/>
          <w:sz w:val="22"/>
          <w:szCs w:val="22"/>
        </w:rPr>
        <w:t xml:space="preserve">Artículo 179. </w:t>
      </w:r>
      <w:r w:rsidRPr="00AD7DC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245885C" w14:textId="77777777" w:rsidR="005A75CA" w:rsidRPr="00AD7DC3" w:rsidRDefault="00E96B90" w:rsidP="00E3627B">
      <w:pPr>
        <w:ind w:left="851" w:right="851"/>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w:t>
      </w:r>
    </w:p>
    <w:p w14:paraId="108CFBAE" w14:textId="77777777" w:rsidR="005A75CA" w:rsidRPr="00AD7DC3" w:rsidRDefault="00E96B90" w:rsidP="00E3627B">
      <w:pPr>
        <w:ind w:left="851" w:right="851"/>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b/>
          <w:i/>
          <w:sz w:val="22"/>
          <w:szCs w:val="22"/>
        </w:rPr>
        <w:t xml:space="preserve">VII. </w:t>
      </w:r>
      <w:r w:rsidRPr="00AD7DC3">
        <w:rPr>
          <w:rFonts w:ascii="Palatino Linotype" w:eastAsia="Palatino Linotype" w:hAnsi="Palatino Linotype" w:cs="Palatino Linotype"/>
          <w:i/>
          <w:sz w:val="22"/>
          <w:szCs w:val="22"/>
        </w:rPr>
        <w:t>La falta de respuesta a una solicitud de acceso a la información;”</w:t>
      </w:r>
    </w:p>
    <w:p w14:paraId="0B9FF5EA"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El precepto legal citado, establece como supuesto de procedencia del recurso de revisión, en aquellos casos en que la parte </w:t>
      </w:r>
      <w:r w:rsidRPr="00AD7DC3">
        <w:rPr>
          <w:rFonts w:ascii="Palatino Linotype" w:eastAsia="Palatino Linotype" w:hAnsi="Palatino Linotype" w:cs="Palatino Linotype"/>
          <w:b/>
          <w:sz w:val="22"/>
          <w:szCs w:val="22"/>
        </w:rPr>
        <w:t xml:space="preserve">Recurrente </w:t>
      </w:r>
      <w:r w:rsidRPr="00AD7DC3">
        <w:rPr>
          <w:rFonts w:ascii="Palatino Linotype" w:eastAsia="Palatino Linotype" w:hAnsi="Palatino Linotype" w:cs="Palatino Linotype"/>
          <w:sz w:val="22"/>
          <w:szCs w:val="22"/>
        </w:rPr>
        <w:t xml:space="preserve">estime negado el acceso a la información por la falta de respuesta por el </w:t>
      </w:r>
      <w:r w:rsidRPr="00AD7DC3">
        <w:rPr>
          <w:rFonts w:ascii="Palatino Linotype" w:eastAsia="Palatino Linotype" w:hAnsi="Palatino Linotype" w:cs="Palatino Linotype"/>
          <w:b/>
          <w:sz w:val="22"/>
          <w:szCs w:val="22"/>
        </w:rPr>
        <w:t>Sujeto Obligado</w:t>
      </w:r>
      <w:r w:rsidRPr="00AD7DC3">
        <w:rPr>
          <w:rFonts w:ascii="Palatino Linotype" w:eastAsia="Palatino Linotype" w:hAnsi="Palatino Linotype" w:cs="Palatino Linotype"/>
          <w:sz w:val="22"/>
          <w:szCs w:val="22"/>
        </w:rPr>
        <w:t xml:space="preserve">, en este asunto se actualiza la hipótesis jurídica citada, en atención a que la parte </w:t>
      </w:r>
      <w:r w:rsidRPr="00AD7DC3">
        <w:rPr>
          <w:rFonts w:ascii="Palatino Linotype" w:eastAsia="Palatino Linotype" w:hAnsi="Palatino Linotype" w:cs="Palatino Linotype"/>
          <w:b/>
          <w:sz w:val="22"/>
          <w:szCs w:val="22"/>
        </w:rPr>
        <w:t>Recurrente</w:t>
      </w:r>
      <w:r w:rsidRPr="00AD7DC3">
        <w:rPr>
          <w:rFonts w:ascii="Palatino Linotype" w:eastAsia="Palatino Linotype" w:hAnsi="Palatino Linotype" w:cs="Palatino Linotype"/>
          <w:sz w:val="22"/>
          <w:szCs w:val="22"/>
        </w:rPr>
        <w:t xml:space="preserve"> combate falta de trámite por el </w:t>
      </w:r>
      <w:r w:rsidRPr="00AD7DC3">
        <w:rPr>
          <w:rFonts w:ascii="Palatino Linotype" w:eastAsia="Palatino Linotype" w:hAnsi="Palatino Linotype" w:cs="Palatino Linotype"/>
          <w:b/>
          <w:sz w:val="22"/>
          <w:szCs w:val="22"/>
        </w:rPr>
        <w:t>Sujeto Obligado</w:t>
      </w:r>
      <w:r w:rsidRPr="00AD7DC3">
        <w:rPr>
          <w:rFonts w:ascii="Palatino Linotype" w:eastAsia="Palatino Linotype" w:hAnsi="Palatino Linotype" w:cs="Palatino Linotype"/>
          <w:sz w:val="22"/>
          <w:szCs w:val="22"/>
        </w:rPr>
        <w:t xml:space="preserve"> y expresa motivos de inconformidad en contra de dicha circunstancia.</w:t>
      </w:r>
    </w:p>
    <w:p w14:paraId="12A9D239" w14:textId="77777777" w:rsidR="005A75CA" w:rsidRPr="00AD7DC3" w:rsidRDefault="00E96B90" w:rsidP="00D7204E">
      <w:pPr>
        <w:spacing w:before="240" w:after="240" w:line="360" w:lineRule="auto"/>
        <w:jc w:val="both"/>
        <w:rPr>
          <w:rFonts w:ascii="Palatino Linotype" w:eastAsia="Palatino Linotype" w:hAnsi="Palatino Linotype" w:cs="Palatino Linotype"/>
          <w:b/>
          <w:sz w:val="22"/>
          <w:szCs w:val="22"/>
        </w:rPr>
      </w:pPr>
      <w:r w:rsidRPr="00AD7DC3">
        <w:rPr>
          <w:rFonts w:ascii="Palatino Linotype" w:eastAsia="Palatino Linotype" w:hAnsi="Palatino Linotype" w:cs="Palatino Linotype"/>
          <w:b/>
          <w:sz w:val="22"/>
          <w:szCs w:val="22"/>
        </w:rPr>
        <w:t xml:space="preserve">Tercero. Materia de la revisión. </w:t>
      </w:r>
      <w:r w:rsidRPr="00AD7DC3">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D7DC3">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AD7DC3">
        <w:rPr>
          <w:rFonts w:ascii="Palatino Linotype" w:eastAsia="Palatino Linotype" w:hAnsi="Palatino Linotype" w:cs="Palatino Linotype"/>
          <w:sz w:val="22"/>
          <w:szCs w:val="22"/>
        </w:rPr>
        <w:t xml:space="preserve">de la parte </w:t>
      </w:r>
      <w:r w:rsidRPr="00AD7DC3">
        <w:rPr>
          <w:rFonts w:ascii="Palatino Linotype" w:eastAsia="Palatino Linotype" w:hAnsi="Palatino Linotype" w:cs="Palatino Linotype"/>
          <w:b/>
          <w:sz w:val="22"/>
          <w:szCs w:val="22"/>
        </w:rPr>
        <w:t>Recurrente</w:t>
      </w:r>
      <w:r w:rsidRPr="00AD7DC3">
        <w:rPr>
          <w:rFonts w:ascii="Palatino Linotype" w:eastAsia="Palatino Linotype" w:hAnsi="Palatino Linotype" w:cs="Palatino Linotype"/>
          <w:sz w:val="22"/>
          <w:szCs w:val="22"/>
        </w:rPr>
        <w:t>, o en su defecto, en caso de ser procedente, ordenar la entrega de información.</w:t>
      </w:r>
    </w:p>
    <w:p w14:paraId="17F2A1BC"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AD7DC3">
        <w:rPr>
          <w:rFonts w:ascii="Palatino Linotype" w:eastAsia="Palatino Linotype" w:hAnsi="Palatino Linotype" w:cs="Palatino Linotype"/>
          <w:b/>
          <w:sz w:val="22"/>
          <w:szCs w:val="22"/>
        </w:rPr>
        <w:t xml:space="preserve">Cuarto. Estudio del asunto. </w:t>
      </w:r>
      <w:r w:rsidRPr="00AD7DC3">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23378A5" w14:textId="77777777" w:rsidR="005A75CA" w:rsidRPr="00AD7DC3" w:rsidRDefault="00E96B90" w:rsidP="00D7204E">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w:t>
      </w:r>
      <w:r w:rsidRPr="00AD7DC3">
        <w:rPr>
          <w:rFonts w:ascii="Palatino Linotype" w:eastAsia="Palatino Linotype" w:hAnsi="Palatino Linotype" w:cs="Palatino Linotype"/>
          <w:b/>
          <w:i/>
          <w:sz w:val="22"/>
          <w:szCs w:val="22"/>
        </w:rPr>
        <w:t>Artículo 4</w:t>
      </w:r>
      <w:r w:rsidRPr="00AD7DC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BA8397F" w14:textId="77777777" w:rsidR="005A75CA" w:rsidRPr="00AD7DC3" w:rsidRDefault="00E96B90" w:rsidP="00D7204E">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D7DC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FB271AA" w14:textId="77777777" w:rsidR="005A75CA" w:rsidRPr="00AD7DC3" w:rsidRDefault="00E96B90" w:rsidP="00D7204E">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D7DC3">
        <w:rPr>
          <w:rFonts w:ascii="Palatino Linotype" w:eastAsia="Palatino Linotype" w:hAnsi="Palatino Linotype" w:cs="Palatino Linotype"/>
          <w:i/>
          <w:sz w:val="22"/>
          <w:szCs w:val="22"/>
        </w:rPr>
        <w:t>.”</w:t>
      </w:r>
    </w:p>
    <w:p w14:paraId="1BBF46E6"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40FAB9E" w14:textId="77777777" w:rsidR="005A75CA" w:rsidRPr="00AD7DC3" w:rsidRDefault="00E96B90" w:rsidP="00D7204E">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b/>
          <w:i/>
          <w:sz w:val="22"/>
          <w:szCs w:val="22"/>
        </w:rPr>
        <w:t>“Artículo 12.-</w:t>
      </w:r>
      <w:r w:rsidRPr="00AD7DC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8377982" w14:textId="77777777" w:rsidR="005A75CA" w:rsidRPr="00AD7DC3" w:rsidRDefault="00E96B90" w:rsidP="00D7204E">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D7DC3">
        <w:rPr>
          <w:rFonts w:ascii="Palatino Linotype" w:eastAsia="Palatino Linotype" w:hAnsi="Palatino Linotype" w:cs="Palatino Linotype"/>
          <w:i/>
          <w:sz w:val="22"/>
          <w:szCs w:val="22"/>
        </w:rPr>
        <w:t xml:space="preserve">. </w:t>
      </w:r>
      <w:r w:rsidRPr="00AD7DC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33D310A" w14:textId="77777777" w:rsidR="005A75CA" w:rsidRPr="00AD7DC3" w:rsidRDefault="00E96B90" w:rsidP="00D7204E">
      <w:pPr>
        <w:spacing w:before="240" w:after="240" w:line="360" w:lineRule="auto"/>
        <w:ind w:right="-93"/>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D8F2B0B" w14:textId="77777777" w:rsidR="005A75CA" w:rsidRPr="00AD7DC3" w:rsidRDefault="00E96B90" w:rsidP="00D7204E">
      <w:pPr>
        <w:spacing w:before="240" w:after="240" w:line="360" w:lineRule="auto"/>
        <w:jc w:val="both"/>
        <w:rPr>
          <w:rFonts w:ascii="Palatino Linotype" w:eastAsia="Palatino Linotype" w:hAnsi="Palatino Linotype" w:cs="Palatino Linotype"/>
          <w:b/>
          <w:sz w:val="22"/>
          <w:szCs w:val="22"/>
        </w:rPr>
      </w:pPr>
      <w:r w:rsidRPr="00AD7DC3">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AD7DC3">
        <w:rPr>
          <w:rFonts w:ascii="Palatino Linotype" w:eastAsia="Palatino Linotype" w:hAnsi="Palatino Linotype" w:cs="Palatino Linotype"/>
          <w:b/>
          <w:sz w:val="22"/>
          <w:szCs w:val="22"/>
        </w:rPr>
        <w:t xml:space="preserve"> </w:t>
      </w:r>
    </w:p>
    <w:p w14:paraId="187319BE" w14:textId="77777777" w:rsidR="005A75CA" w:rsidRPr="00AD7DC3" w:rsidRDefault="00E96B90" w:rsidP="00D7204E">
      <w:pPr>
        <w:spacing w:before="120" w:after="120"/>
        <w:ind w:left="1134"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 xml:space="preserve"> “</w:t>
      </w:r>
      <w:r w:rsidRPr="00AD7DC3">
        <w:rPr>
          <w:rFonts w:ascii="Palatino Linotype" w:eastAsia="Palatino Linotype" w:hAnsi="Palatino Linotype" w:cs="Palatino Linotype"/>
          <w:b/>
          <w:i/>
          <w:sz w:val="22"/>
          <w:szCs w:val="22"/>
        </w:rPr>
        <w:t>No existe obligación de elaborar documentos ad hoc para atender las solicitudes de acceso a la información.</w:t>
      </w:r>
      <w:r w:rsidRPr="00AD7DC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2AF5236" w14:textId="77777777" w:rsidR="005A75CA" w:rsidRPr="00AD7DC3" w:rsidRDefault="00E96B90" w:rsidP="00D7204E">
      <w:pPr>
        <w:spacing w:before="120" w:after="12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AF1A054" w14:textId="77777777" w:rsidR="005A75CA" w:rsidRPr="00AD7DC3" w:rsidRDefault="00E96B90" w:rsidP="00D7204E">
      <w:pPr>
        <w:spacing w:before="120" w:after="12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A0B7FE" w14:textId="77777777" w:rsidR="005A75CA" w:rsidRPr="00AD7DC3" w:rsidRDefault="00E96B90" w:rsidP="00E3627B">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w:t>
      </w:r>
      <w:r w:rsidRPr="00AD7DC3">
        <w:rPr>
          <w:rFonts w:ascii="Palatino Linotype" w:eastAsia="Palatino Linotype" w:hAnsi="Palatino Linotype" w:cs="Palatino Linotype"/>
          <w:b/>
          <w:i/>
          <w:sz w:val="22"/>
          <w:szCs w:val="22"/>
        </w:rPr>
        <w:t xml:space="preserve">Artículo 3. </w:t>
      </w:r>
      <w:r w:rsidRPr="00AD7DC3">
        <w:rPr>
          <w:rFonts w:ascii="Palatino Linotype" w:eastAsia="Palatino Linotype" w:hAnsi="Palatino Linotype" w:cs="Palatino Linotype"/>
          <w:i/>
          <w:sz w:val="22"/>
          <w:szCs w:val="22"/>
        </w:rPr>
        <w:t>Para los efectos de la presente Ley se entenderá por:</w:t>
      </w:r>
    </w:p>
    <w:p w14:paraId="7ABF6050" w14:textId="77777777" w:rsidR="005A75CA" w:rsidRPr="00AD7DC3" w:rsidRDefault="00E96B90" w:rsidP="00E3627B">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w:t>
      </w:r>
    </w:p>
    <w:p w14:paraId="1ADEE37D" w14:textId="77777777" w:rsidR="005A75CA" w:rsidRPr="00AD7DC3" w:rsidRDefault="00E96B90" w:rsidP="00E3627B">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b/>
          <w:i/>
          <w:sz w:val="22"/>
          <w:szCs w:val="22"/>
        </w:rPr>
        <w:t>XI. Documento:</w:t>
      </w:r>
      <w:r w:rsidRPr="00AD7DC3">
        <w:rPr>
          <w:rFonts w:ascii="Palatino Linotype" w:eastAsia="Palatino Linotype" w:hAnsi="Palatino Linotype" w:cs="Palatino Linotype"/>
          <w:i/>
          <w:sz w:val="22"/>
          <w:szCs w:val="22"/>
        </w:rPr>
        <w:t xml:space="preserve"> Los expedientes, reportes, estudios, actas</w:t>
      </w:r>
      <w:r w:rsidRPr="00AD7DC3">
        <w:rPr>
          <w:rFonts w:ascii="Palatino Linotype" w:eastAsia="Palatino Linotype" w:hAnsi="Palatino Linotype" w:cs="Palatino Linotype"/>
          <w:b/>
          <w:i/>
          <w:sz w:val="22"/>
          <w:szCs w:val="22"/>
        </w:rPr>
        <w:t>,</w:t>
      </w:r>
      <w:r w:rsidRPr="00AD7DC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3C9E0CA"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2C18FEF" w14:textId="77777777" w:rsidR="005A75CA" w:rsidRPr="00AD7DC3" w:rsidRDefault="00E96B90" w:rsidP="00E3627B">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b/>
          <w:sz w:val="22"/>
          <w:szCs w:val="22"/>
        </w:rPr>
        <w:t>“</w:t>
      </w:r>
      <w:r w:rsidRPr="00AD7DC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D7DC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BB82B0" w14:textId="77777777" w:rsidR="005A75CA" w:rsidRPr="00AD7DC3" w:rsidRDefault="00E96B90" w:rsidP="00E3627B">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29182FD" w14:textId="77777777" w:rsidR="005A75CA" w:rsidRPr="00AD7DC3" w:rsidRDefault="00E96B90" w:rsidP="00E3627B">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35AF0DC" w14:textId="77777777" w:rsidR="005A75CA" w:rsidRPr="00AD7DC3" w:rsidRDefault="00E96B90" w:rsidP="00E3627B">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02D716AC" w14:textId="77777777" w:rsidR="005A75CA" w:rsidRPr="00AD7DC3" w:rsidRDefault="00E96B90" w:rsidP="00E3627B">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108D6395" w14:textId="77777777" w:rsidR="005A75CA" w:rsidRPr="00AD7DC3" w:rsidRDefault="00E96B90" w:rsidP="00D7204E">
      <w:pPr>
        <w:spacing w:before="240" w:after="240" w:line="360" w:lineRule="auto"/>
        <w:ind w:right="51"/>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B320D38" w14:textId="0768E288"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w:t>
      </w:r>
      <w:r w:rsidR="00091061" w:rsidRPr="00AD7DC3">
        <w:rPr>
          <w:rFonts w:ascii="Palatino Linotype" w:eastAsia="Palatino Linotype" w:hAnsi="Palatino Linotype" w:cs="Palatino Linotype"/>
          <w:sz w:val="22"/>
          <w:szCs w:val="22"/>
        </w:rPr>
        <w:t xml:space="preserve">párrafo cuadragésimo sexto, </w:t>
      </w:r>
      <w:r w:rsidRPr="00AD7DC3">
        <w:rPr>
          <w:rFonts w:ascii="Palatino Linotype" w:eastAsia="Palatino Linotype" w:hAnsi="Palatino Linotype" w:cs="Palatino Linotype"/>
          <w:sz w:val="22"/>
          <w:szCs w:val="22"/>
        </w:rPr>
        <w:t>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A31EFC3" w14:textId="77777777" w:rsidR="005A75CA" w:rsidRPr="00AD7DC3" w:rsidRDefault="00E96B90" w:rsidP="00D7204E">
      <w:pPr>
        <w:spacing w:before="280" w:after="28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Acotado lo anterior, del análisis de las constancias que integran el expediente se concluye que los motivos de inconformidad vertidos por la parte </w:t>
      </w:r>
      <w:r w:rsidRPr="00AD7DC3">
        <w:rPr>
          <w:rFonts w:ascii="Palatino Linotype" w:eastAsia="Palatino Linotype" w:hAnsi="Palatino Linotype" w:cs="Palatino Linotype"/>
          <w:b/>
          <w:sz w:val="22"/>
          <w:szCs w:val="22"/>
        </w:rPr>
        <w:t>Recurrente</w:t>
      </w:r>
      <w:r w:rsidRPr="00AD7DC3">
        <w:rPr>
          <w:rFonts w:ascii="Palatino Linotype" w:eastAsia="Palatino Linotype" w:hAnsi="Palatino Linotype" w:cs="Palatino Linotype"/>
          <w:sz w:val="22"/>
          <w:szCs w:val="22"/>
        </w:rPr>
        <w:t xml:space="preserve"> resultan fundados, en virtud el </w:t>
      </w:r>
      <w:r w:rsidRPr="00AD7DC3">
        <w:rPr>
          <w:rFonts w:ascii="Palatino Linotype" w:eastAsia="Palatino Linotype" w:hAnsi="Palatino Linotype" w:cs="Palatino Linotype"/>
          <w:b/>
          <w:sz w:val="22"/>
          <w:szCs w:val="22"/>
        </w:rPr>
        <w:t>Sujeto Obligado</w:t>
      </w:r>
      <w:r w:rsidRPr="00AD7DC3">
        <w:rPr>
          <w:rFonts w:ascii="Palatino Linotype" w:eastAsia="Palatino Linotype" w:hAnsi="Palatino Linotype" w:cs="Palatino Linotype"/>
          <w:sz w:val="22"/>
          <w:szCs w:val="22"/>
        </w:rPr>
        <w:t xml:space="preserve"> omitió dar contestación a la solicitud de información, mediante la cual se requirió la siguiente información:</w:t>
      </w:r>
    </w:p>
    <w:p w14:paraId="02F3E230" w14:textId="77777777" w:rsidR="005E09BD" w:rsidRPr="00AD7DC3" w:rsidRDefault="005E09BD" w:rsidP="005E09BD">
      <w:pPr>
        <w:spacing w:before="120" w:after="120" w:line="360" w:lineRule="auto"/>
        <w:ind w:left="426" w:right="49"/>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1. Programa Anual de Obra 2025 en el que se contemple presupuesto, periodo de ejecución, lugar de ejecución y el detalle de cada obra.</w:t>
      </w:r>
    </w:p>
    <w:p w14:paraId="4C63609A" w14:textId="77777777" w:rsidR="005A75CA" w:rsidRPr="00AD7DC3" w:rsidRDefault="00E96B90" w:rsidP="00D7204E">
      <w:pPr>
        <w:spacing w:before="280" w:after="28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Situación que motivó la interposición del recurso de revisión que nos ocupa, donde la persona solicitante alegó medularmente la negativa de la información.</w:t>
      </w:r>
    </w:p>
    <w:p w14:paraId="7648B144" w14:textId="015A4DC2" w:rsidR="00730C0F" w:rsidRPr="00AD7DC3" w:rsidRDefault="00E96B90" w:rsidP="00730C0F">
      <w:pPr>
        <w:spacing w:before="240" w:after="240" w:line="360" w:lineRule="auto"/>
        <w:ind w:right="49"/>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Ahora bien, con la finalidad de subsanar la omisión en que incurriera, en la etapa de manifestaciones, por conducto de la </w:t>
      </w:r>
      <w:r w:rsidR="005E09BD" w:rsidRPr="00AD7DC3">
        <w:rPr>
          <w:rFonts w:ascii="Palatino Linotype" w:eastAsia="Palatino Linotype" w:hAnsi="Palatino Linotype" w:cs="Palatino Linotype"/>
          <w:sz w:val="22"/>
          <w:szCs w:val="22"/>
        </w:rPr>
        <w:t>Dirección de Obras Públicas</w:t>
      </w:r>
      <w:r w:rsidR="00B212EF" w:rsidRPr="00AD7DC3">
        <w:rPr>
          <w:rFonts w:ascii="Palatino Linotype" w:eastAsia="Palatino Linotype" w:hAnsi="Palatino Linotype" w:cs="Palatino Linotype"/>
          <w:sz w:val="22"/>
          <w:szCs w:val="22"/>
        </w:rPr>
        <w:t>, refirió que el programa de obra pública 2025 aún se encontraba en proceso de revisión y validación por parte del área competente</w:t>
      </w:r>
      <w:r w:rsidR="00D14A16" w:rsidRPr="00AD7DC3">
        <w:rPr>
          <w:rFonts w:ascii="Palatino Linotype" w:eastAsia="Palatino Linotype" w:hAnsi="Palatino Linotype" w:cs="Palatino Linotype"/>
          <w:sz w:val="22"/>
          <w:szCs w:val="22"/>
        </w:rPr>
        <w:t>, por lo que está sujeto a modificaciones</w:t>
      </w:r>
      <w:r w:rsidR="00730C0F" w:rsidRPr="00AD7DC3">
        <w:rPr>
          <w:rFonts w:ascii="Palatino Linotype" w:eastAsia="Palatino Linotype" w:hAnsi="Palatino Linotype" w:cs="Palatino Linotype"/>
          <w:sz w:val="22"/>
          <w:szCs w:val="22"/>
        </w:rPr>
        <w:t xml:space="preserve"> antes de su aprobación definitiva, asimismo, indicó que dicho programa puede estar sujeto a cambios o adecuaciones durante el ejercicio fiscal, en función de la disponibilidad de recursos, las prioridades del ayuntamiento y la normatividad aplicable.</w:t>
      </w:r>
    </w:p>
    <w:p w14:paraId="5DC58133" w14:textId="603B7BD5" w:rsidR="00730C0F" w:rsidRPr="00AD7DC3" w:rsidRDefault="00730C0F" w:rsidP="00730C0F">
      <w:pPr>
        <w:spacing w:before="240" w:after="240" w:line="360" w:lineRule="auto"/>
        <w:ind w:right="49"/>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En otras palabras, refirió que el programa anual de obra no es inmutable, ya que durante el año puede sufrir ajustes: altas, bajas, o modificaciones de obras, ya sea porque cambian las prioridades, se obtienen recursos extraordinarios o alguna obra resulta no viable, razón por la cual actualmente no es posible proporcionarla en una versión definitiva y validada. </w:t>
      </w:r>
    </w:p>
    <w:p w14:paraId="508A6FC7" w14:textId="28460FD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Mientras que la parte </w:t>
      </w:r>
      <w:r w:rsidRPr="00AD7DC3">
        <w:rPr>
          <w:rFonts w:ascii="Palatino Linotype" w:eastAsia="Palatino Linotype" w:hAnsi="Palatino Linotype" w:cs="Palatino Linotype"/>
          <w:b/>
          <w:sz w:val="22"/>
          <w:szCs w:val="22"/>
        </w:rPr>
        <w:t xml:space="preserve">Recurrente, </w:t>
      </w:r>
      <w:r w:rsidRPr="00AD7DC3">
        <w:rPr>
          <w:rFonts w:ascii="Palatino Linotype" w:eastAsia="Palatino Linotype" w:hAnsi="Palatino Linotype" w:cs="Palatino Linotype"/>
          <w:sz w:val="22"/>
          <w:szCs w:val="22"/>
        </w:rPr>
        <w:t xml:space="preserve">presentó sus manifestaciones </w:t>
      </w:r>
      <w:r w:rsidR="00165B01" w:rsidRPr="00AD7DC3">
        <w:rPr>
          <w:rFonts w:ascii="Palatino Linotype" w:eastAsia="Palatino Linotype" w:hAnsi="Palatino Linotype" w:cs="Palatino Linotype"/>
          <w:sz w:val="22"/>
          <w:szCs w:val="22"/>
        </w:rPr>
        <w:t>argumentando que había pasado el plazo sin darse respuesta.</w:t>
      </w:r>
    </w:p>
    <w:p w14:paraId="69EF0C8B" w14:textId="77777777" w:rsidR="005A75CA" w:rsidRPr="00AD7DC3" w:rsidRDefault="00E96B90" w:rsidP="00D7204E">
      <w:pPr>
        <w:spacing w:before="240" w:after="240" w:line="360" w:lineRule="auto"/>
        <w:ind w:right="49"/>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Una vez establecidas las posturas de las partes,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12C115E1"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14710300" w14:textId="77777777" w:rsidR="005A75CA" w:rsidRPr="00AD7DC3" w:rsidRDefault="00E96B90" w:rsidP="00D7204E">
      <w:pPr>
        <w:spacing w:before="240" w:after="240" w:line="360" w:lineRule="auto"/>
        <w:ind w:right="51"/>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4E8CDB8F"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684CFBE4" w14:textId="03831C48" w:rsidR="00394FA6"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Al respecto, es de suma importancia mencionar que, derivado del análisis de las constancias que obran en el expediente electrónico en el que se actúa, se advirtió que la Unidad de Transparencia, turnó la solicitu</w:t>
      </w:r>
      <w:r w:rsidR="00394FA6" w:rsidRPr="00AD7DC3">
        <w:rPr>
          <w:rFonts w:ascii="Palatino Linotype" w:eastAsia="Palatino Linotype" w:hAnsi="Palatino Linotype" w:cs="Palatino Linotype"/>
          <w:sz w:val="22"/>
          <w:szCs w:val="22"/>
        </w:rPr>
        <w:t xml:space="preserve">d de información a la Dirección de Obras Públicas, </w:t>
      </w:r>
      <w:r w:rsidR="00295CB2" w:rsidRPr="00AD7DC3">
        <w:rPr>
          <w:rFonts w:ascii="Palatino Linotype" w:eastAsia="Palatino Linotype" w:hAnsi="Palatino Linotype" w:cs="Palatino Linotype"/>
          <w:sz w:val="22"/>
          <w:szCs w:val="22"/>
        </w:rPr>
        <w:t>como la dependencia competente para conocer de la información que es del interés de la persona solicitante.</w:t>
      </w:r>
    </w:p>
    <w:p w14:paraId="2A178936" w14:textId="77777777" w:rsidR="00295CB2" w:rsidRPr="00AD7DC3" w:rsidRDefault="00295CB2" w:rsidP="00295CB2">
      <w:pPr>
        <w:spacing w:before="240" w:after="240" w:line="360" w:lineRule="auto"/>
        <w:ind w:right="49"/>
        <w:jc w:val="both"/>
        <w:rPr>
          <w:rFonts w:ascii="Palatino Linotype" w:hAnsi="Palatino Linotype"/>
          <w:sz w:val="22"/>
          <w:szCs w:val="22"/>
        </w:rPr>
      </w:pPr>
      <w:r w:rsidRPr="00AD7DC3">
        <w:rPr>
          <w:rFonts w:ascii="Palatino Linotype" w:eastAsia="Palatino Linotype" w:hAnsi="Palatino Linotype" w:cs="Palatino Linotype"/>
          <w:sz w:val="22"/>
          <w:szCs w:val="22"/>
        </w:rPr>
        <w:t xml:space="preserve">Como sustento a lo anterior, es oportuno mencionar que de conformidad con el artículo 96 Bis de la Ley Orgánica Municipal del Estado de México confiere al titular de la Dirección de Obras Públicas las siguientes atribuciones </w:t>
      </w:r>
      <w:r w:rsidRPr="00AD7DC3">
        <w:rPr>
          <w:rFonts w:ascii="Palatino Linotype" w:hAnsi="Palatino Linotype"/>
          <w:sz w:val="22"/>
          <w:szCs w:val="22"/>
        </w:rPr>
        <w:t>en su parte conducente:</w:t>
      </w:r>
    </w:p>
    <w:p w14:paraId="63F7B4BB" w14:textId="77777777" w:rsidR="00295CB2" w:rsidRPr="00AD7DC3" w:rsidRDefault="00295CB2" w:rsidP="00295CB2">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AD7DC3">
        <w:rPr>
          <w:rFonts w:ascii="Palatino Linotype" w:hAnsi="Palatino Linotype"/>
          <w:sz w:val="22"/>
          <w:szCs w:val="22"/>
        </w:rPr>
        <w:t xml:space="preserve">- Realizar la programación y ejecución de las obras públicas y servicios relacionados, que por orden expresa del Ayuntamiento requieran prioridad; </w:t>
      </w:r>
    </w:p>
    <w:p w14:paraId="30DD5B27" w14:textId="77777777" w:rsidR="00295CB2" w:rsidRPr="00AD7DC3" w:rsidRDefault="00295CB2" w:rsidP="00295CB2">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AD7DC3">
        <w:rPr>
          <w:rFonts w:ascii="Palatino Linotype" w:hAnsi="Palatino Linotype"/>
          <w:sz w:val="22"/>
          <w:szCs w:val="22"/>
        </w:rPr>
        <w:t>- Planear y coordinar los proyectos de obras públicas y servicios relacionados con las mismas que autorice el Ayuntamiento, una vez que se cumplan los requisitos de licitación y otros que determine la ley de la materia;</w:t>
      </w:r>
    </w:p>
    <w:p w14:paraId="36FEAC41" w14:textId="77777777" w:rsidR="00295CB2" w:rsidRPr="00AD7DC3" w:rsidRDefault="00295CB2" w:rsidP="00295CB2">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AD7DC3">
        <w:rPr>
          <w:rFonts w:ascii="Palatino Linotype" w:hAnsi="Palatino Linotype"/>
          <w:sz w:val="22"/>
          <w:szCs w:val="22"/>
        </w:rPr>
        <w:t>- Proyectar las obras públicas y servicios relacionados, que realice el Municipio, incluyendo la conservación y mantenimiento de edificios, monumentos, calles, parques y jardines;</w:t>
      </w:r>
    </w:p>
    <w:p w14:paraId="6322FF38" w14:textId="77777777" w:rsidR="00295CB2" w:rsidRPr="00AD7DC3" w:rsidRDefault="00295CB2" w:rsidP="00295CB2">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AD7DC3">
        <w:rPr>
          <w:rFonts w:ascii="Palatino Linotype" w:hAnsi="Palatino Linotype"/>
          <w:sz w:val="22"/>
          <w:szCs w:val="22"/>
        </w:rPr>
        <w:t xml:space="preserve">- Construir y ejecutar todas aquellas obras públicas y servicios relacionados, que aumenten y mantengan la infraestructura municipal y que estén consideradas en el programa respectivo; </w:t>
      </w:r>
    </w:p>
    <w:p w14:paraId="50A5FDBB" w14:textId="77777777" w:rsidR="00295CB2" w:rsidRPr="00AD7DC3" w:rsidRDefault="00295CB2" w:rsidP="00295CB2">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AD7DC3">
        <w:rPr>
          <w:rFonts w:ascii="Palatino Linotype" w:hAnsi="Palatino Linotype"/>
          <w:sz w:val="22"/>
          <w:szCs w:val="22"/>
        </w:rPr>
        <w:t xml:space="preserve">- Determinar y cuantificar los materiales y trabajos necesarios para programas de construcción y mantenimiento de obras públicas y servicios relacionados; </w:t>
      </w:r>
    </w:p>
    <w:p w14:paraId="0B03C87A" w14:textId="77777777" w:rsidR="00295CB2" w:rsidRPr="00AD7DC3" w:rsidRDefault="00295CB2" w:rsidP="00295CB2">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AD7DC3">
        <w:rPr>
          <w:rFonts w:ascii="Palatino Linotype" w:hAnsi="Palatino Linotype"/>
          <w:sz w:val="22"/>
          <w:szCs w:val="22"/>
        </w:rPr>
        <w:t>- Vigilar que se cumplan y lleven a cabo los programas de construcción y mantenimiento de obras públicas y servicios relacionados;</w:t>
      </w:r>
    </w:p>
    <w:p w14:paraId="2B2EA61F" w14:textId="77777777" w:rsidR="00295CB2" w:rsidRPr="00AD7DC3" w:rsidRDefault="00295CB2" w:rsidP="00295CB2">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AD7DC3">
        <w:rPr>
          <w:rFonts w:ascii="Palatino Linotype" w:hAnsi="Palatino Linotype"/>
          <w:sz w:val="22"/>
          <w:szCs w:val="22"/>
        </w:rPr>
        <w:t>- Vigilar la construcción en las obras por contrato y por administración que hayan sido adjudicadas a los contratistas;</w:t>
      </w:r>
    </w:p>
    <w:p w14:paraId="37A7B6C6" w14:textId="77777777" w:rsidR="00295CB2" w:rsidRPr="00AD7DC3" w:rsidRDefault="00295CB2" w:rsidP="00295CB2">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AD7DC3">
        <w:rPr>
          <w:rFonts w:ascii="Palatino Linotype" w:hAnsi="Palatino Linotype"/>
          <w:sz w:val="22"/>
          <w:szCs w:val="22"/>
        </w:rPr>
        <w:t>-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381B96A8" w14:textId="77777777" w:rsidR="00295CB2" w:rsidRPr="00AD7DC3" w:rsidRDefault="00295CB2" w:rsidP="00295CB2">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AD7DC3">
        <w:rPr>
          <w:rFonts w:ascii="Palatino Linotype" w:hAnsi="Palatino Linotype"/>
          <w:sz w:val="22"/>
          <w:szCs w:val="22"/>
        </w:rPr>
        <w:t>- Verificar que las obras públicas y los servicios relacionados con la misma, hayan sido programadas, presupuestadas, ejecutadas, adquiridas y contratadas en estricto apego a las disposiciones legales aplicables;</w:t>
      </w:r>
    </w:p>
    <w:p w14:paraId="156F84E0" w14:textId="77777777" w:rsidR="00295CB2" w:rsidRPr="00AD7DC3" w:rsidRDefault="00295CB2" w:rsidP="00295CB2">
      <w:pPr>
        <w:spacing w:before="240" w:after="240" w:line="360" w:lineRule="auto"/>
        <w:ind w:left="284" w:right="49"/>
        <w:jc w:val="both"/>
        <w:rPr>
          <w:rFonts w:ascii="Palatino Linotype" w:eastAsia="Palatino Linotype" w:hAnsi="Palatino Linotype" w:cs="Palatino Linotype"/>
          <w:sz w:val="22"/>
          <w:szCs w:val="22"/>
        </w:rPr>
      </w:pPr>
      <w:r w:rsidRPr="00AD7DC3">
        <w:rPr>
          <w:rFonts w:ascii="Palatino Linotype" w:hAnsi="Palatino Linotype"/>
          <w:sz w:val="22"/>
          <w:szCs w:val="22"/>
        </w:rPr>
        <w:t>- Autorizar para su pago, previa validación del avance y calidad de las obras, los presupuestos y estimaciones que presenten los contratistas de obras públicas municipales</w:t>
      </w:r>
    </w:p>
    <w:p w14:paraId="1D97E7BD" w14:textId="7CDD82F6" w:rsidR="005A75CA" w:rsidRPr="00AD7DC3" w:rsidRDefault="00E96B90" w:rsidP="00D7204E">
      <w:pPr>
        <w:widowControl w:val="0"/>
        <w:spacing w:before="240" w:after="240" w:line="360" w:lineRule="auto"/>
        <w:ind w:right="49"/>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En este sentido se colige que la Unidad de Transparencia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2DD669DE" w14:textId="0A4F29B3" w:rsidR="00434108" w:rsidRPr="00AD7DC3" w:rsidRDefault="00434108" w:rsidP="00434108">
      <w:pPr>
        <w:spacing w:before="240" w:after="240" w:line="360" w:lineRule="auto"/>
        <w:ind w:right="49"/>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No obstante, debe decirse que el pronunciamiento emitido por el servidor público habilitado no colma el requerimiento de información formulado por la parte </w:t>
      </w:r>
      <w:r w:rsidRPr="00AD7DC3">
        <w:rPr>
          <w:rFonts w:ascii="Palatino Linotype" w:eastAsia="Palatino Linotype" w:hAnsi="Palatino Linotype" w:cs="Palatino Linotype"/>
          <w:b/>
          <w:sz w:val="22"/>
          <w:szCs w:val="22"/>
        </w:rPr>
        <w:t>Recurrente</w:t>
      </w:r>
      <w:r w:rsidRPr="00AD7DC3">
        <w:rPr>
          <w:rFonts w:ascii="Palatino Linotype" w:eastAsia="Palatino Linotype" w:hAnsi="Palatino Linotype" w:cs="Palatino Linotype"/>
          <w:sz w:val="22"/>
          <w:szCs w:val="22"/>
        </w:rPr>
        <w:t>, dado que se limitó a referir que se encontraba impedido para proporcionar información al encontrarse el proceso de revisión y validación</w:t>
      </w:r>
      <w:r w:rsidR="00C80A52" w:rsidRPr="00AD7DC3">
        <w:rPr>
          <w:rFonts w:ascii="Palatino Linotype" w:eastAsia="Palatino Linotype" w:hAnsi="Palatino Linotype" w:cs="Palatino Linotype"/>
          <w:sz w:val="22"/>
          <w:szCs w:val="22"/>
        </w:rPr>
        <w:t xml:space="preserve"> por parte del área competente</w:t>
      </w:r>
      <w:r w:rsidRPr="00AD7DC3">
        <w:rPr>
          <w:rFonts w:ascii="Palatino Linotype" w:eastAsia="Palatino Linotype" w:hAnsi="Palatino Linotype" w:cs="Palatino Linotype"/>
          <w:sz w:val="22"/>
          <w:szCs w:val="22"/>
        </w:rPr>
        <w:t>, además de estar sujeto a modificaciones antes de la aprobación definitiva</w:t>
      </w:r>
      <w:r w:rsidR="00035BF7" w:rsidRPr="00AD7DC3">
        <w:rPr>
          <w:rFonts w:ascii="Palatino Linotype" w:eastAsia="Palatino Linotype" w:hAnsi="Palatino Linotype" w:cs="Palatino Linotype"/>
          <w:sz w:val="22"/>
          <w:szCs w:val="22"/>
        </w:rPr>
        <w:t>, razón por la cual se notificaría una vez que se encontrare</w:t>
      </w:r>
      <w:r w:rsidR="008D6F8B" w:rsidRPr="00AD7DC3">
        <w:rPr>
          <w:rFonts w:ascii="Palatino Linotype" w:eastAsia="Palatino Linotype" w:hAnsi="Palatino Linotype" w:cs="Palatino Linotype"/>
          <w:sz w:val="22"/>
          <w:szCs w:val="22"/>
        </w:rPr>
        <w:t xml:space="preserve"> validado y disponible para su entrega.</w:t>
      </w:r>
      <w:r w:rsidR="00035BF7" w:rsidRPr="00AD7DC3">
        <w:rPr>
          <w:rFonts w:ascii="Palatino Linotype" w:eastAsia="Palatino Linotype" w:hAnsi="Palatino Linotype" w:cs="Palatino Linotype"/>
          <w:sz w:val="22"/>
          <w:szCs w:val="22"/>
        </w:rPr>
        <w:t xml:space="preserve"> </w:t>
      </w:r>
      <w:r w:rsidR="00F96807" w:rsidRPr="00AD7DC3">
        <w:rPr>
          <w:rFonts w:ascii="Palatino Linotype" w:eastAsia="Palatino Linotype" w:hAnsi="Palatino Linotype" w:cs="Palatino Linotype"/>
          <w:sz w:val="22"/>
          <w:szCs w:val="22"/>
        </w:rPr>
        <w:t xml:space="preserve"> </w:t>
      </w:r>
    </w:p>
    <w:p w14:paraId="76FDCC4F" w14:textId="68C50D4B" w:rsidR="00B118BE" w:rsidRPr="00AD7DC3" w:rsidRDefault="00B118BE" w:rsidP="00B118BE">
      <w:pPr>
        <w:spacing w:before="240" w:after="240" w:line="360" w:lineRule="auto"/>
        <w:ind w:right="49"/>
        <w:jc w:val="both"/>
        <w:rPr>
          <w:rFonts w:ascii="Palatino Linotype" w:hAnsi="Palatino Linotype"/>
          <w:sz w:val="22"/>
          <w:szCs w:val="22"/>
        </w:rPr>
      </w:pPr>
      <w:r w:rsidRPr="00AD7DC3">
        <w:rPr>
          <w:rFonts w:ascii="Palatino Linotype" w:eastAsia="Palatino Linotype" w:hAnsi="Palatino Linotype" w:cs="Palatino Linotype"/>
          <w:sz w:val="22"/>
          <w:szCs w:val="22"/>
        </w:rPr>
        <w:t xml:space="preserve">Sin embargo, debe decirse que el </w:t>
      </w:r>
      <w:r w:rsidRPr="00AD7DC3">
        <w:rPr>
          <w:rFonts w:ascii="Palatino Linotype" w:hAnsi="Palatino Linotype"/>
          <w:sz w:val="22"/>
          <w:szCs w:val="22"/>
        </w:rPr>
        <w:t xml:space="preserve">Programa Anual de Obra, es un documento que </w:t>
      </w:r>
      <w:r w:rsidRPr="00AD7DC3">
        <w:rPr>
          <w:rFonts w:ascii="Palatino Linotype" w:hAnsi="Palatino Linotype"/>
          <w:b/>
          <w:sz w:val="22"/>
          <w:szCs w:val="22"/>
          <w:u w:val="single"/>
        </w:rPr>
        <w:t>forma parte del Presupuesto de Egresos Municipal,</w:t>
      </w:r>
      <w:r w:rsidRPr="00AD7DC3">
        <w:rPr>
          <w:rFonts w:ascii="Palatino Linotype" w:hAnsi="Palatino Linotype"/>
          <w:sz w:val="22"/>
          <w:szCs w:val="22"/>
        </w:rPr>
        <w:t xml:space="preserve">  </w:t>
      </w:r>
      <w:r w:rsidRPr="00AD7DC3">
        <w:rPr>
          <w:rFonts w:ascii="Palatino Linotype" w:hAnsi="Palatino Linotype"/>
          <w:b/>
          <w:sz w:val="22"/>
          <w:szCs w:val="22"/>
        </w:rPr>
        <w:t>cuya versión definitiva se promulga y publica en la "Gaceta Municipal”,</w:t>
      </w:r>
      <w:r w:rsidRPr="00AD7DC3">
        <w:rPr>
          <w:rFonts w:ascii="Palatino Linotype" w:hAnsi="Palatino Linotype"/>
          <w:sz w:val="22"/>
          <w:szCs w:val="22"/>
        </w:rPr>
        <w:t xml:space="preserve"> por la Presidenta o el Presidente Municipal,  </w:t>
      </w:r>
      <w:r w:rsidRPr="00AD7DC3">
        <w:rPr>
          <w:rFonts w:ascii="Palatino Linotype" w:hAnsi="Palatino Linotype"/>
          <w:b/>
          <w:sz w:val="22"/>
          <w:szCs w:val="22"/>
          <w:u w:val="single"/>
        </w:rPr>
        <w:t>a más tardar el día veinticinco de febrero de cada año</w:t>
      </w:r>
      <w:r w:rsidRPr="00AD7DC3">
        <w:rPr>
          <w:rFonts w:ascii="Palatino Linotype" w:hAnsi="Palatino Linotype"/>
          <w:sz w:val="22"/>
          <w:szCs w:val="22"/>
        </w:rPr>
        <w:t>, de conformidad con los artículos 125, párrafo cuarto de la Constitución Política del Estado Libre y Soberano de México, 351, párrafo segundo del Código Financiero del Estado de México, y 47 de la Ley de Fiscalización Superior del Estado de México, a saber:</w:t>
      </w:r>
    </w:p>
    <w:p w14:paraId="0193F30E" w14:textId="77777777" w:rsidR="00B118BE" w:rsidRPr="00AD7DC3" w:rsidRDefault="00B118BE" w:rsidP="00B118BE">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i/>
          <w:sz w:val="22"/>
          <w:szCs w:val="22"/>
        </w:rPr>
        <w:t>“</w:t>
      </w:r>
      <w:r w:rsidRPr="00AD7DC3">
        <w:rPr>
          <w:rFonts w:ascii="Palatino Linotype" w:eastAsia="Palatino Linotype" w:hAnsi="Palatino Linotype" w:cs="Palatino Linotype"/>
          <w:b/>
          <w:i/>
          <w:sz w:val="22"/>
          <w:szCs w:val="22"/>
        </w:rPr>
        <w:t>Artículo 125</w:t>
      </w:r>
      <w:r w:rsidRPr="00AD7DC3">
        <w:rPr>
          <w:rFonts w:ascii="Palatino Linotype" w:eastAsia="Palatino Linotype" w:hAnsi="Palatino Linotype" w:cs="Palatino Linotype"/>
          <w:i/>
          <w:sz w:val="22"/>
          <w:szCs w:val="22"/>
        </w:rPr>
        <w:t>...</w:t>
      </w:r>
    </w:p>
    <w:p w14:paraId="23E01968" w14:textId="77777777" w:rsidR="00B118BE" w:rsidRPr="00AD7DC3" w:rsidRDefault="00B118BE" w:rsidP="00B118BE">
      <w:pPr>
        <w:spacing w:before="120" w:after="120"/>
        <w:ind w:left="851" w:right="902"/>
        <w:jc w:val="both"/>
        <w:rPr>
          <w:rFonts w:ascii="Palatino Linotype" w:eastAsia="Palatino Linotype" w:hAnsi="Palatino Linotype" w:cs="Palatino Linotype"/>
          <w:b/>
          <w:i/>
          <w:sz w:val="22"/>
          <w:szCs w:val="22"/>
        </w:rPr>
      </w:pPr>
      <w:r w:rsidRPr="00AD7DC3">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AD7DC3">
        <w:rPr>
          <w:rFonts w:ascii="Palatino Linotype" w:eastAsia="Palatino Linotype" w:hAnsi="Palatino Linotype" w:cs="Palatino Linotype"/>
          <w:b/>
          <w:i/>
          <w:sz w:val="22"/>
          <w:szCs w:val="22"/>
        </w:rPr>
        <w:t>La Presidenta o el Presidente Municipal, promulgará y publicará el Presupuesto de Egresos Municipal, a más tardar el día 25 de febrero de cada año debiendo enviarlo al Órgano Superior de Fiscalización en la misma fecha.”</w:t>
      </w:r>
    </w:p>
    <w:p w14:paraId="673B82E5" w14:textId="77777777" w:rsidR="00B118BE" w:rsidRPr="00AD7DC3" w:rsidRDefault="00B118BE" w:rsidP="00B118BE">
      <w:pPr>
        <w:spacing w:before="120" w:after="120"/>
        <w:ind w:left="851" w:right="902"/>
        <w:jc w:val="both"/>
        <w:rPr>
          <w:rFonts w:ascii="Palatino Linotype" w:eastAsia="Palatino Linotype" w:hAnsi="Palatino Linotype" w:cs="Palatino Linotype"/>
          <w:i/>
          <w:sz w:val="22"/>
          <w:szCs w:val="22"/>
        </w:rPr>
      </w:pPr>
      <w:r w:rsidRPr="00AD7DC3">
        <w:rPr>
          <w:rFonts w:ascii="Palatino Linotype" w:eastAsia="Palatino Linotype" w:hAnsi="Palatino Linotype" w:cs="Palatino Linotype"/>
          <w:b/>
          <w:i/>
          <w:sz w:val="22"/>
          <w:szCs w:val="22"/>
        </w:rPr>
        <w:t>“Artículo 351</w:t>
      </w:r>
      <w:r w:rsidRPr="00AD7DC3">
        <w:rPr>
          <w:rFonts w:ascii="Palatino Linotype" w:eastAsia="Palatino Linotype" w:hAnsi="Palatino Linotype" w:cs="Palatino Linotype"/>
          <w:i/>
          <w:sz w:val="22"/>
          <w:szCs w:val="22"/>
        </w:rPr>
        <w:t>...</w:t>
      </w:r>
    </w:p>
    <w:p w14:paraId="711987E8" w14:textId="77777777" w:rsidR="00B118BE" w:rsidRPr="00AD7DC3" w:rsidRDefault="00B118BE" w:rsidP="00B118BE">
      <w:pPr>
        <w:spacing w:before="120" w:after="120"/>
        <w:ind w:left="851" w:right="902"/>
        <w:jc w:val="both"/>
        <w:rPr>
          <w:rFonts w:ascii="Palatino Linotype" w:eastAsia="Palatino Linotype" w:hAnsi="Palatino Linotype" w:cs="Palatino Linotype"/>
          <w:b/>
          <w:i/>
          <w:sz w:val="22"/>
          <w:szCs w:val="22"/>
        </w:rPr>
      </w:pPr>
      <w:r w:rsidRPr="00AD7DC3">
        <w:rPr>
          <w:rFonts w:ascii="Palatino Linotype" w:eastAsia="Palatino Linotype" w:hAnsi="Palatino Linotype" w:cs="Palatino Linotype"/>
          <w:b/>
          <w:i/>
          <w:sz w:val="22"/>
          <w:szCs w:val="22"/>
        </w:rPr>
        <w:t>Los Ayuntamientos al aprobar en forma definitiva su presupuesto de egresos, deberán publicar en la "Gaceta Municipal</w:t>
      </w:r>
      <w:r w:rsidRPr="00AD7DC3">
        <w:rPr>
          <w:rFonts w:ascii="Palatino Linotype" w:eastAsia="Palatino Linotype" w:hAnsi="Palatino Linotype" w:cs="Palatino Linotype"/>
          <w:i/>
          <w:sz w:val="22"/>
          <w:szCs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AD7DC3">
        <w:rPr>
          <w:rFonts w:ascii="Palatino Linotype" w:eastAsia="Palatino Linotype" w:hAnsi="Palatino Linotype" w:cs="Palatino Linotype"/>
          <w:b/>
          <w:i/>
          <w:sz w:val="22"/>
          <w:szCs w:val="22"/>
        </w:rPr>
        <w:t>a más tardar el 25 de febrero del año para el cual habrá de aplicar dicho presupuesto.”</w:t>
      </w:r>
    </w:p>
    <w:p w14:paraId="7B7FC969" w14:textId="77777777" w:rsidR="00B118BE" w:rsidRPr="00AD7DC3" w:rsidRDefault="00B118BE" w:rsidP="00B118BE">
      <w:pPr>
        <w:spacing w:before="120" w:after="120"/>
        <w:ind w:left="851" w:right="902"/>
        <w:jc w:val="both"/>
        <w:rPr>
          <w:rFonts w:ascii="Palatino Linotype" w:eastAsia="Palatino Linotype" w:hAnsi="Palatino Linotype" w:cs="Palatino Linotype"/>
          <w:b/>
          <w:i/>
          <w:sz w:val="22"/>
          <w:szCs w:val="22"/>
        </w:rPr>
      </w:pPr>
      <w:r w:rsidRPr="00AD7DC3">
        <w:rPr>
          <w:rFonts w:ascii="Palatino Linotype" w:eastAsia="Palatino Linotype" w:hAnsi="Palatino Linotype" w:cs="Palatino Linotype"/>
          <w:b/>
          <w:i/>
          <w:sz w:val="22"/>
          <w:szCs w:val="22"/>
        </w:rPr>
        <w:t>“Artículo 47</w:t>
      </w:r>
      <w:r w:rsidRPr="00AD7DC3">
        <w:rPr>
          <w:rFonts w:ascii="Palatino Linotype" w:eastAsia="Palatino Linotype" w:hAnsi="Palatino Linotype" w:cs="Palatino Linotype"/>
          <w:i/>
          <w:sz w:val="22"/>
          <w:szCs w:val="22"/>
        </w:rPr>
        <w:t xml:space="preserve">.- Los Presidentes Municipales y los Síndicos estarán obligados a </w:t>
      </w:r>
      <w:r w:rsidRPr="00AD7DC3">
        <w:rPr>
          <w:rFonts w:ascii="Palatino Linotype" w:eastAsia="Palatino Linotype" w:hAnsi="Palatino Linotype" w:cs="Palatino Linotype"/>
          <w:b/>
          <w:i/>
          <w:sz w:val="22"/>
          <w:szCs w:val="22"/>
        </w:rPr>
        <w:t xml:space="preserve">informar al Órgano Superior, a más tardar el 25 de febrero de cada año, el Presupuesto de Egresos Municipal que haya aprobado el Ayuntamiento </w:t>
      </w:r>
      <w:r w:rsidRPr="00AD7DC3">
        <w:rPr>
          <w:rFonts w:ascii="Palatino Linotype" w:eastAsia="Palatino Linotype" w:hAnsi="Palatino Linotype" w:cs="Palatino Linotype"/>
          <w:i/>
          <w:sz w:val="22"/>
          <w:szCs w:val="22"/>
        </w:rPr>
        <w:t>correspondiente.”</w:t>
      </w:r>
    </w:p>
    <w:p w14:paraId="256F7A4C" w14:textId="1B33FC87" w:rsidR="00B118BE" w:rsidRPr="00AD7DC3" w:rsidRDefault="00B118BE" w:rsidP="00124573">
      <w:pPr>
        <w:spacing w:before="240" w:after="240" w:line="360" w:lineRule="auto"/>
        <w:jc w:val="both"/>
        <w:rPr>
          <w:rFonts w:ascii="Palatino Linotype" w:eastAsia="Palatino Linotype" w:hAnsi="Palatino Linotype" w:cs="Palatino Linotype"/>
          <w:b/>
          <w:sz w:val="22"/>
          <w:szCs w:val="22"/>
        </w:rPr>
      </w:pPr>
      <w:r w:rsidRPr="00AD7DC3">
        <w:rPr>
          <w:rFonts w:ascii="Palatino Linotype" w:eastAsia="Palatino Linotype" w:hAnsi="Palatino Linotype" w:cs="Palatino Linotype"/>
          <w:sz w:val="22"/>
          <w:szCs w:val="22"/>
        </w:rPr>
        <w:t xml:space="preserve">Así, </w:t>
      </w:r>
      <w:r w:rsidR="00124573" w:rsidRPr="00AD7DC3">
        <w:rPr>
          <w:rFonts w:ascii="Palatino Linotype" w:eastAsia="Palatino Linotype" w:hAnsi="Palatino Linotype" w:cs="Palatino Linotype"/>
          <w:sz w:val="22"/>
          <w:szCs w:val="22"/>
        </w:rPr>
        <w:t xml:space="preserve">entre los formatos que integran el Presupuesto de Egresos aprobado, de conformidad con el numeral 3.4.1 del Manual para la Planeación, Programación y Presupuesto de Egresos Municipal, se encuentra el </w:t>
      </w:r>
      <w:r w:rsidR="00124573" w:rsidRPr="00AD7DC3">
        <w:rPr>
          <w:rFonts w:ascii="Palatino Linotype" w:eastAsia="Palatino Linotype" w:hAnsi="Palatino Linotype" w:cs="Palatino Linotype"/>
          <w:b/>
          <w:sz w:val="22"/>
          <w:szCs w:val="22"/>
        </w:rPr>
        <w:t xml:space="preserve">PbRM-07a Programa Anual de Obra </w:t>
      </w:r>
      <w:r w:rsidR="00124573" w:rsidRPr="00AD7DC3">
        <w:rPr>
          <w:rFonts w:ascii="Palatino Linotype" w:eastAsia="Palatino Linotype" w:hAnsi="Palatino Linotype"/>
          <w:sz w:val="22"/>
          <w:szCs w:val="22"/>
        </w:rPr>
        <w:t xml:space="preserve">y el </w:t>
      </w:r>
      <w:r w:rsidR="00124573" w:rsidRPr="00AD7DC3">
        <w:rPr>
          <w:rFonts w:ascii="Palatino Linotype" w:eastAsia="Palatino Linotype" w:hAnsi="Palatino Linotype"/>
          <w:b/>
          <w:sz w:val="22"/>
          <w:szCs w:val="22"/>
        </w:rPr>
        <w:t>PbRM 07b Programa anual de obra (reparaciones y mantenimientos)</w:t>
      </w:r>
      <w:r w:rsidR="00124573" w:rsidRPr="00AD7DC3">
        <w:rPr>
          <w:rFonts w:ascii="Palatino Linotype" w:eastAsia="Palatino Linotype" w:hAnsi="Palatino Linotype" w:cs="Palatino Linotype"/>
          <w:b/>
          <w:sz w:val="22"/>
          <w:szCs w:val="22"/>
        </w:rPr>
        <w:t>,</w:t>
      </w:r>
      <w:r w:rsidR="00124573" w:rsidRPr="00AD7DC3">
        <w:rPr>
          <w:rFonts w:ascii="Palatino Linotype" w:eastAsia="Palatino Linotype" w:hAnsi="Palatino Linotype" w:cs="Palatino Linotype"/>
          <w:sz w:val="22"/>
          <w:szCs w:val="22"/>
        </w:rPr>
        <w:t xml:space="preserve"> los cuales especifican de manera precisa el período de ejecución y presupuesto ejercido de la obra pública de que se trate; así como la fuente de financiamiento con la que ésta se llevará a cabo, como se desprende de los formatos y los instructivo de llenado respectivos:</w:t>
      </w:r>
      <w:r w:rsidRPr="00AD7DC3">
        <w:rPr>
          <w:rFonts w:ascii="Palatino Linotype" w:eastAsia="Palatino Linotype" w:hAnsi="Palatino Linotype" w:cs="Palatino Linotype"/>
          <w:b/>
          <w:sz w:val="22"/>
          <w:szCs w:val="22"/>
        </w:rPr>
        <w:t xml:space="preserve"> </w:t>
      </w:r>
      <w:r w:rsidR="00124573" w:rsidRPr="00AD7DC3">
        <w:rPr>
          <w:rFonts w:ascii="Palatino Linotype" w:eastAsia="Palatino Linotype" w:hAnsi="Palatino Linotype" w:cs="Palatino Linotype"/>
          <w:noProof/>
          <w:sz w:val="22"/>
          <w:szCs w:val="22"/>
        </w:rPr>
        <w:drawing>
          <wp:inline distT="0" distB="0" distL="0" distR="0" wp14:anchorId="0C9F9B29" wp14:editId="62101C94">
            <wp:extent cx="5040000" cy="2908351"/>
            <wp:effectExtent l="0" t="0" r="825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0000" cy="2908351"/>
                    </a:xfrm>
                    <a:prstGeom prst="rect">
                      <a:avLst/>
                    </a:prstGeom>
                  </pic:spPr>
                </pic:pic>
              </a:graphicData>
            </a:graphic>
          </wp:inline>
        </w:drawing>
      </w:r>
    </w:p>
    <w:p w14:paraId="76285132" w14:textId="03BFEC6B" w:rsidR="00124573" w:rsidRPr="00AD7DC3" w:rsidRDefault="00124573" w:rsidP="00124573">
      <w:pPr>
        <w:spacing w:before="240" w:after="240" w:line="360" w:lineRule="auto"/>
        <w:ind w:right="49"/>
        <w:jc w:val="center"/>
        <w:rPr>
          <w:rFonts w:ascii="Palatino Linotype" w:eastAsia="Palatino Linotype" w:hAnsi="Palatino Linotype"/>
          <w:sz w:val="22"/>
          <w:szCs w:val="22"/>
        </w:rPr>
      </w:pPr>
      <w:r w:rsidRPr="00AD7DC3">
        <w:rPr>
          <w:rFonts w:ascii="Palatino Linotype" w:eastAsia="Palatino Linotype" w:hAnsi="Palatino Linotype" w:cs="Palatino Linotype"/>
          <w:noProof/>
          <w:sz w:val="22"/>
          <w:szCs w:val="22"/>
        </w:rPr>
        <w:drawing>
          <wp:inline distT="0" distB="0" distL="0" distR="0" wp14:anchorId="74DD8515" wp14:editId="1A9E4E1C">
            <wp:extent cx="4863600" cy="3463200"/>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3600" cy="3463200"/>
                    </a:xfrm>
                    <a:prstGeom prst="rect">
                      <a:avLst/>
                    </a:prstGeom>
                  </pic:spPr>
                </pic:pic>
              </a:graphicData>
            </a:graphic>
          </wp:inline>
        </w:drawing>
      </w:r>
    </w:p>
    <w:p w14:paraId="168E8B8E" w14:textId="747502EC" w:rsidR="00B118BE" w:rsidRPr="00AD7DC3" w:rsidRDefault="00124573" w:rsidP="00124573">
      <w:pPr>
        <w:spacing w:before="240" w:after="240" w:line="360" w:lineRule="auto"/>
        <w:ind w:right="49"/>
        <w:jc w:val="center"/>
        <w:rPr>
          <w:rFonts w:ascii="Palatino Linotype" w:eastAsia="Palatino Linotype" w:hAnsi="Palatino Linotype" w:cs="Palatino Linotype"/>
          <w:sz w:val="22"/>
          <w:szCs w:val="22"/>
        </w:rPr>
      </w:pPr>
      <w:r w:rsidRPr="00AD7DC3">
        <w:rPr>
          <w:rFonts w:ascii="Palatino Linotype" w:eastAsia="Palatino Linotype" w:hAnsi="Palatino Linotype" w:cs="Palatino Linotype"/>
          <w:noProof/>
          <w:sz w:val="22"/>
          <w:szCs w:val="22"/>
        </w:rPr>
        <w:drawing>
          <wp:inline distT="0" distB="0" distL="0" distR="0" wp14:anchorId="47FE1B62" wp14:editId="46275905">
            <wp:extent cx="4798800" cy="36072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8800" cy="3607200"/>
                    </a:xfrm>
                    <a:prstGeom prst="rect">
                      <a:avLst/>
                    </a:prstGeom>
                  </pic:spPr>
                </pic:pic>
              </a:graphicData>
            </a:graphic>
          </wp:inline>
        </w:drawing>
      </w:r>
    </w:p>
    <w:p w14:paraId="1377F61D" w14:textId="7C296031" w:rsidR="00124573" w:rsidRPr="00AD7DC3" w:rsidRDefault="00124573" w:rsidP="00124573">
      <w:pPr>
        <w:spacing w:before="240" w:after="240" w:line="360" w:lineRule="auto"/>
        <w:ind w:right="49"/>
        <w:jc w:val="center"/>
        <w:rPr>
          <w:rFonts w:ascii="Palatino Linotype" w:eastAsia="Palatino Linotype" w:hAnsi="Palatino Linotype" w:cs="Palatino Linotype"/>
          <w:sz w:val="22"/>
          <w:szCs w:val="22"/>
        </w:rPr>
      </w:pPr>
      <w:r w:rsidRPr="00AD7DC3">
        <w:rPr>
          <w:rFonts w:ascii="Palatino Linotype" w:eastAsia="Palatino Linotype" w:hAnsi="Palatino Linotype" w:cs="Palatino Linotype"/>
          <w:noProof/>
          <w:sz w:val="22"/>
          <w:szCs w:val="22"/>
        </w:rPr>
        <w:drawing>
          <wp:inline distT="0" distB="0" distL="0" distR="0" wp14:anchorId="5A5C37B4" wp14:editId="1ED1D0A1">
            <wp:extent cx="4860000" cy="276598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0000" cy="2765987"/>
                    </a:xfrm>
                    <a:prstGeom prst="rect">
                      <a:avLst/>
                    </a:prstGeom>
                  </pic:spPr>
                </pic:pic>
              </a:graphicData>
            </a:graphic>
          </wp:inline>
        </w:drawing>
      </w:r>
    </w:p>
    <w:p w14:paraId="449F1B89" w14:textId="77777777" w:rsidR="00124573" w:rsidRPr="00AD7DC3" w:rsidRDefault="00124573" w:rsidP="00124573">
      <w:pPr>
        <w:spacing w:before="240" w:after="240" w:line="360" w:lineRule="auto"/>
        <w:ind w:right="49"/>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De igual forma, el </w:t>
      </w:r>
      <w:r w:rsidRPr="00AD7DC3">
        <w:rPr>
          <w:rFonts w:ascii="Palatino Linotype" w:eastAsia="Palatino Linotype" w:hAnsi="Palatino Linotype" w:cs="Palatino Linotype"/>
          <w:b/>
          <w:sz w:val="22"/>
          <w:szCs w:val="22"/>
        </w:rPr>
        <w:t xml:space="preserve">Sujeto Obligado </w:t>
      </w:r>
      <w:r w:rsidRPr="00AD7DC3">
        <w:rPr>
          <w:rFonts w:ascii="Palatino Linotype" w:eastAsia="Palatino Linotype" w:hAnsi="Palatino Linotype" w:cs="Palatino Linotype"/>
          <w:sz w:val="22"/>
          <w:szCs w:val="22"/>
        </w:rPr>
        <w:t>se encuentra constreñido a entregar al Órgano Superior de Fiscalización del Estado de México, como parte de los informes trimestrales, el Avance del Programa Anal de Obras,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26F022C0" w14:textId="77777777" w:rsidR="00124573" w:rsidRPr="00AD7DC3" w:rsidRDefault="00124573" w:rsidP="00124573">
      <w:pPr>
        <w:spacing w:before="240" w:after="240" w:line="360" w:lineRule="auto"/>
        <w:ind w:right="49"/>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De conformidad con los Lineamientos del ejercicio 2025, la información que generan los entes fiscalizables de carácter municipal con motivo del avance del programa anual de obras, se encuentra contenida en el Módulo 2 Información Presupuestaria, Submódulo Información Presupuestal (Plataforma Digital), como se muestra a continuación:</w:t>
      </w:r>
    </w:p>
    <w:p w14:paraId="6571DA44" w14:textId="77777777" w:rsidR="00124573" w:rsidRPr="00AD7DC3" w:rsidRDefault="00124573" w:rsidP="00124573">
      <w:pPr>
        <w:spacing w:before="240" w:after="240" w:line="360" w:lineRule="auto"/>
        <w:ind w:right="49"/>
        <w:jc w:val="center"/>
        <w:rPr>
          <w:rFonts w:ascii="Palatino Linotype" w:eastAsia="Palatino Linotype" w:hAnsi="Palatino Linotype" w:cs="Palatino Linotype"/>
          <w:sz w:val="22"/>
          <w:szCs w:val="22"/>
        </w:rPr>
      </w:pPr>
      <w:r w:rsidRPr="00AD7DC3">
        <w:rPr>
          <w:rFonts w:ascii="Palatino Linotype" w:eastAsia="Palatino Linotype" w:hAnsi="Palatino Linotype" w:cs="Palatino Linotype"/>
          <w:noProof/>
          <w:sz w:val="22"/>
          <w:szCs w:val="22"/>
        </w:rPr>
        <w:drawing>
          <wp:inline distT="0" distB="0" distL="0" distR="0" wp14:anchorId="3FD3AAE8" wp14:editId="3650576E">
            <wp:extent cx="5040000" cy="248293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2482935"/>
                    </a:xfrm>
                    <a:prstGeom prst="rect">
                      <a:avLst/>
                    </a:prstGeom>
                  </pic:spPr>
                </pic:pic>
              </a:graphicData>
            </a:graphic>
          </wp:inline>
        </w:drawing>
      </w:r>
    </w:p>
    <w:p w14:paraId="5BCF5D96" w14:textId="77777777" w:rsidR="00124573" w:rsidRPr="00AD7DC3" w:rsidRDefault="00124573" w:rsidP="00124573">
      <w:pPr>
        <w:spacing w:before="240" w:after="240" w:line="360" w:lineRule="auto"/>
        <w:ind w:right="49"/>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noProof/>
          <w:sz w:val="22"/>
          <w:szCs w:val="22"/>
        </w:rPr>
        <mc:AlternateContent>
          <mc:Choice Requires="wps">
            <w:drawing>
              <wp:anchor distT="0" distB="0" distL="114300" distR="114300" simplePos="0" relativeHeight="251659264" behindDoc="0" locked="0" layoutInCell="1" allowOverlap="1" wp14:anchorId="4336E5EF" wp14:editId="2C1FECE6">
                <wp:simplePos x="0" y="0"/>
                <wp:positionH relativeFrom="column">
                  <wp:posOffset>677103</wp:posOffset>
                </wp:positionH>
                <wp:positionV relativeFrom="paragraph">
                  <wp:posOffset>3018127</wp:posOffset>
                </wp:positionV>
                <wp:extent cx="4818491" cy="270345"/>
                <wp:effectExtent l="57150" t="38100" r="77470" b="92075"/>
                <wp:wrapNone/>
                <wp:docPr id="11" name="Rectángulo 11"/>
                <wp:cNvGraphicFramePr/>
                <a:graphic xmlns:a="http://schemas.openxmlformats.org/drawingml/2006/main">
                  <a:graphicData uri="http://schemas.microsoft.com/office/word/2010/wordprocessingShape">
                    <wps:wsp>
                      <wps:cNvSpPr/>
                      <wps:spPr>
                        <a:xfrm>
                          <a:off x="0" y="0"/>
                          <a:ext cx="4818491" cy="27034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680724" id="Rectángulo 11" o:spid="_x0000_s1026" style="position:absolute;margin-left:53.3pt;margin-top:237.65pt;width:379.4pt;height:21.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" filled="f" strokecolor="#c00000" strokeweight="3pt">
                <v:shadow on="t" color="black" opacity="22937f" origin=",.5" offset="0,.63889mm"/>
              </v:rect>
            </w:pict>
          </mc:Fallback>
        </mc:AlternateContent>
      </w:r>
      <w:r w:rsidRPr="00AD7DC3">
        <w:rPr>
          <w:rFonts w:ascii="Palatino Linotype" w:eastAsia="Palatino Linotype" w:hAnsi="Palatino Linotype" w:cs="Palatino Linotype"/>
          <w:noProof/>
          <w:sz w:val="22"/>
          <w:szCs w:val="22"/>
        </w:rPr>
        <w:drawing>
          <wp:inline distT="0" distB="0" distL="0" distR="0" wp14:anchorId="5FCFFCAF" wp14:editId="491DAA34">
            <wp:extent cx="5612130" cy="349504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495040"/>
                    </a:xfrm>
                    <a:prstGeom prst="rect">
                      <a:avLst/>
                    </a:prstGeom>
                  </pic:spPr>
                </pic:pic>
              </a:graphicData>
            </a:graphic>
          </wp:inline>
        </w:drawing>
      </w:r>
    </w:p>
    <w:p w14:paraId="3D461923" w14:textId="77777777" w:rsidR="00124573" w:rsidRPr="00AD7DC3" w:rsidRDefault="00124573" w:rsidP="00124573">
      <w:pPr>
        <w:spacing w:before="240" w:after="240" w:line="360" w:lineRule="auto"/>
        <w:ind w:right="49"/>
        <w:jc w:val="center"/>
        <w:rPr>
          <w:rFonts w:ascii="Palatino Linotype" w:eastAsia="Palatino Linotype" w:hAnsi="Palatino Linotype" w:cs="Palatino Linotype"/>
          <w:sz w:val="22"/>
          <w:szCs w:val="22"/>
        </w:rPr>
      </w:pPr>
      <w:r w:rsidRPr="00AD7DC3">
        <w:rPr>
          <w:rFonts w:ascii="Palatino Linotype" w:eastAsia="Palatino Linotype" w:hAnsi="Palatino Linotype" w:cs="Palatino Linotype"/>
          <w:noProof/>
          <w:sz w:val="22"/>
          <w:szCs w:val="22"/>
        </w:rPr>
        <w:drawing>
          <wp:inline distT="0" distB="0" distL="0" distR="0" wp14:anchorId="1217648F" wp14:editId="2679895C">
            <wp:extent cx="5040000" cy="2837067"/>
            <wp:effectExtent l="0" t="0" r="825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837067"/>
                    </a:xfrm>
                    <a:prstGeom prst="rect">
                      <a:avLst/>
                    </a:prstGeom>
                  </pic:spPr>
                </pic:pic>
              </a:graphicData>
            </a:graphic>
          </wp:inline>
        </w:drawing>
      </w:r>
    </w:p>
    <w:p w14:paraId="453F1ECB" w14:textId="77777777" w:rsidR="00124573" w:rsidRPr="00AD7DC3" w:rsidRDefault="00124573" w:rsidP="00124573">
      <w:pPr>
        <w:spacing w:before="240" w:after="240" w:line="360" w:lineRule="auto"/>
        <w:ind w:right="49"/>
        <w:jc w:val="center"/>
        <w:rPr>
          <w:rFonts w:ascii="Palatino Linotype" w:eastAsia="Palatino Linotype" w:hAnsi="Palatino Linotype" w:cs="Palatino Linotype"/>
          <w:sz w:val="22"/>
          <w:szCs w:val="22"/>
        </w:rPr>
      </w:pPr>
      <w:r w:rsidRPr="00AD7DC3">
        <w:rPr>
          <w:rFonts w:ascii="Palatino Linotype" w:eastAsia="Palatino Linotype" w:hAnsi="Palatino Linotype" w:cs="Palatino Linotype"/>
          <w:noProof/>
          <w:sz w:val="22"/>
          <w:szCs w:val="22"/>
        </w:rPr>
        <w:drawing>
          <wp:inline distT="0" distB="0" distL="0" distR="0" wp14:anchorId="1F9745DF" wp14:editId="09603F60">
            <wp:extent cx="5040000" cy="261694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2616945"/>
                    </a:xfrm>
                    <a:prstGeom prst="rect">
                      <a:avLst/>
                    </a:prstGeom>
                  </pic:spPr>
                </pic:pic>
              </a:graphicData>
            </a:graphic>
          </wp:inline>
        </w:drawing>
      </w:r>
    </w:p>
    <w:p w14:paraId="218D2BBD" w14:textId="77777777" w:rsidR="00124573" w:rsidRPr="00AD7DC3" w:rsidRDefault="00124573" w:rsidP="00124573">
      <w:pPr>
        <w:spacing w:before="240" w:after="240" w:line="360" w:lineRule="auto"/>
        <w:ind w:right="49"/>
        <w:jc w:val="center"/>
        <w:rPr>
          <w:rFonts w:ascii="Palatino Linotype" w:eastAsia="Palatino Linotype" w:hAnsi="Palatino Linotype" w:cs="Palatino Linotype"/>
          <w:sz w:val="22"/>
          <w:szCs w:val="22"/>
        </w:rPr>
      </w:pPr>
      <w:r w:rsidRPr="00AD7DC3">
        <w:rPr>
          <w:rFonts w:ascii="Palatino Linotype" w:eastAsia="Palatino Linotype" w:hAnsi="Palatino Linotype" w:cs="Palatino Linotype"/>
          <w:noProof/>
          <w:sz w:val="22"/>
          <w:szCs w:val="22"/>
        </w:rPr>
        <w:drawing>
          <wp:inline distT="0" distB="0" distL="0" distR="0" wp14:anchorId="4C6C04AA" wp14:editId="66FBCFD6">
            <wp:extent cx="5040000" cy="194973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1949735"/>
                    </a:xfrm>
                    <a:prstGeom prst="rect">
                      <a:avLst/>
                    </a:prstGeom>
                  </pic:spPr>
                </pic:pic>
              </a:graphicData>
            </a:graphic>
          </wp:inline>
        </w:drawing>
      </w:r>
    </w:p>
    <w:p w14:paraId="4A2C1975" w14:textId="51FAD04E" w:rsidR="00E6039F" w:rsidRPr="00AD7DC3" w:rsidRDefault="00E6039F" w:rsidP="00E6039F">
      <w:pPr>
        <w:spacing w:before="240" w:after="240" w:line="360" w:lineRule="auto"/>
        <w:ind w:right="49"/>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Atento a lo anterior, se colige que en el caso particular, se pretende el acceso a documentos que ya obran en poder del </w:t>
      </w:r>
      <w:r w:rsidRPr="00AD7DC3">
        <w:rPr>
          <w:rFonts w:ascii="Palatino Linotype" w:eastAsia="Palatino Linotype" w:hAnsi="Palatino Linotype" w:cs="Palatino Linotype"/>
          <w:b/>
          <w:sz w:val="22"/>
          <w:szCs w:val="22"/>
        </w:rPr>
        <w:t>Sujeto Obligado</w:t>
      </w:r>
      <w:r w:rsidRPr="00AD7DC3">
        <w:rPr>
          <w:rFonts w:ascii="Palatino Linotype" w:eastAsia="Palatino Linotype" w:hAnsi="Palatino Linotype" w:cs="Palatino Linotype"/>
          <w:sz w:val="22"/>
          <w:szCs w:val="22"/>
        </w:rPr>
        <w:t xml:space="preserve"> que no sufren modificación alguna derivado de la revisión que realice, puesto que de ser el caso, es necesario que se genere otro documento.</w:t>
      </w:r>
    </w:p>
    <w:p w14:paraId="18D97D0A" w14:textId="77777777" w:rsidR="00E6039F" w:rsidRPr="00AD7DC3" w:rsidRDefault="00E6039F" w:rsidP="00E6039F">
      <w:pPr>
        <w:spacing w:before="240" w:after="240" w:line="360" w:lineRule="auto"/>
        <w:ind w:right="49"/>
        <w:jc w:val="both"/>
        <w:rPr>
          <w:sz w:val="22"/>
          <w:szCs w:val="22"/>
        </w:rPr>
      </w:pPr>
      <w:r w:rsidRPr="00AD7DC3">
        <w:rPr>
          <w:rFonts w:ascii="Palatino Linotype" w:eastAsia="Palatino Linotype" w:hAnsi="Palatino Linotype" w:cs="Palatino Linotype"/>
          <w:sz w:val="22"/>
          <w:szCs w:val="22"/>
        </w:rPr>
        <w:t>Como sustento a lo anterior, sirve de apoyo el C</w:t>
      </w:r>
      <w:r w:rsidRPr="00AD7DC3">
        <w:rPr>
          <w:rFonts w:ascii="Palatino Linotype" w:hAnsi="Palatino Linotype"/>
          <w:sz w:val="22"/>
          <w:szCs w:val="22"/>
        </w:rPr>
        <w:t>riterio 09/2004 emitido por el Comité de Acceso a la Información y de Protección de Datos Personales, la Suprema Corte de Justicia de la Nación, cuya literalidad es la siguiente:</w:t>
      </w:r>
    </w:p>
    <w:p w14:paraId="6A9EB2CF" w14:textId="77777777" w:rsidR="00E6039F" w:rsidRPr="00AD7DC3" w:rsidRDefault="00E6039F" w:rsidP="00E6039F">
      <w:pPr>
        <w:pStyle w:val="NormalWeb"/>
        <w:spacing w:before="120" w:beforeAutospacing="0" w:after="120" w:afterAutospacing="0"/>
        <w:ind w:left="851" w:right="902"/>
        <w:jc w:val="both"/>
        <w:rPr>
          <w:sz w:val="22"/>
          <w:szCs w:val="22"/>
        </w:rPr>
      </w:pPr>
      <w:r w:rsidRPr="00AD7DC3">
        <w:rPr>
          <w:rFonts w:ascii="Palatino Linotype" w:hAnsi="Palatino Linotype"/>
          <w:i/>
          <w:iCs/>
          <w:sz w:val="22"/>
          <w:szCs w:val="22"/>
        </w:rPr>
        <w:t>"</w:t>
      </w:r>
      <w:r w:rsidRPr="00AD7DC3">
        <w:rPr>
          <w:rFonts w:ascii="Palatino Linotype" w:hAnsi="Palatino Linotype"/>
          <w:b/>
          <w:bCs/>
          <w:i/>
          <w:iCs/>
          <w:sz w:val="22"/>
          <w:szCs w:val="22"/>
        </w:rPr>
        <w:t>INFORMACIÓN SUJETA A REVISIÓN. SI YA CONSTA EN UN DOCUMENTO DEFINITIVO, DEBE PERMITIRSE EL ACCESO A ÉSTE</w:t>
      </w:r>
      <w:r w:rsidRPr="00AD7DC3">
        <w:rPr>
          <w:rFonts w:ascii="Palatino Linotype" w:hAnsi="Palatino Linotype"/>
          <w:i/>
          <w:iCs/>
          <w:sz w:val="22"/>
          <w:szCs w:val="22"/>
        </w:rPr>
        <w:t>.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w:t>
      </w:r>
    </w:p>
    <w:p w14:paraId="653EA8A8" w14:textId="059B39AF" w:rsidR="00E6039F" w:rsidRPr="00AD7DC3" w:rsidRDefault="00E6039F" w:rsidP="00E6039F">
      <w:pPr>
        <w:pStyle w:val="NormalWeb"/>
        <w:spacing w:before="240" w:beforeAutospacing="0" w:after="240" w:afterAutospacing="0" w:line="360" w:lineRule="auto"/>
        <w:jc w:val="both"/>
        <w:rPr>
          <w:rFonts w:ascii="Palatino Linotype" w:hAnsi="Palatino Linotype"/>
          <w:sz w:val="22"/>
          <w:szCs w:val="22"/>
        </w:rPr>
      </w:pPr>
      <w:r w:rsidRPr="00AD7DC3">
        <w:rPr>
          <w:rFonts w:ascii="Palatino Linotype" w:hAnsi="Palatino Linotype"/>
          <w:sz w:val="22"/>
          <w:szCs w:val="22"/>
        </w:rPr>
        <w:t xml:space="preserve">Del anterior criterio se puede deducir que el acceso a la información que obra en un documento definitivo debe permitirse en los términos solicitados, sin ser óbice o impedimento que dichos documentos se encuentren sujetos a revisión, por lo tanto, no es procedente el argumento del </w:t>
      </w:r>
      <w:r w:rsidRPr="00AD7DC3">
        <w:rPr>
          <w:rFonts w:ascii="Palatino Linotype" w:hAnsi="Palatino Linotype"/>
          <w:b/>
          <w:bCs/>
          <w:sz w:val="22"/>
          <w:szCs w:val="22"/>
        </w:rPr>
        <w:t>Sujeto Obligado</w:t>
      </w:r>
      <w:r w:rsidRPr="00AD7DC3">
        <w:rPr>
          <w:rFonts w:ascii="Palatino Linotype" w:hAnsi="Palatino Linotype"/>
          <w:sz w:val="22"/>
          <w:szCs w:val="22"/>
        </w:rPr>
        <w:t xml:space="preserve"> en el sentido de restringir el acceso a la información insistiendo que la información solicitada consta ya en documentos definitivos en su poder o bajo su resguardo.</w:t>
      </w:r>
    </w:p>
    <w:p w14:paraId="61A669F3" w14:textId="009348C4" w:rsidR="00E26C96" w:rsidRPr="00AD7DC3" w:rsidRDefault="003E39B0" w:rsidP="00E26C96">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En este orden de ideas, </w:t>
      </w:r>
      <w:r w:rsidR="00E26C96" w:rsidRPr="00AD7DC3">
        <w:rPr>
          <w:rFonts w:ascii="Palatino Linotype" w:eastAsia="Palatino Linotype" w:hAnsi="Palatino Linotype" w:cs="Palatino Linotype"/>
          <w:sz w:val="22"/>
          <w:szCs w:val="22"/>
        </w:rPr>
        <w:t xml:space="preserve">es claro que, para efectos de garantizar el Derecho de acceso de la parte </w:t>
      </w:r>
      <w:r w:rsidR="00E26C96" w:rsidRPr="00AD7DC3">
        <w:rPr>
          <w:rFonts w:ascii="Palatino Linotype" w:eastAsia="Palatino Linotype" w:hAnsi="Palatino Linotype" w:cs="Palatino Linotype"/>
          <w:b/>
          <w:sz w:val="22"/>
          <w:szCs w:val="22"/>
        </w:rPr>
        <w:t xml:space="preserve">Recurrente, </w:t>
      </w:r>
      <w:r w:rsidR="00E26C96" w:rsidRPr="00AD7DC3">
        <w:rPr>
          <w:rFonts w:ascii="Palatino Linotype" w:eastAsia="Palatino Linotype" w:hAnsi="Palatino Linotype" w:cs="Palatino Linotype"/>
          <w:sz w:val="22"/>
          <w:szCs w:val="22"/>
        </w:rPr>
        <w:t xml:space="preserve">el </w:t>
      </w:r>
      <w:r w:rsidR="00E26C96" w:rsidRPr="00AD7DC3">
        <w:rPr>
          <w:rFonts w:ascii="Palatino Linotype" w:eastAsia="Palatino Linotype" w:hAnsi="Palatino Linotype" w:cs="Palatino Linotype"/>
          <w:b/>
          <w:sz w:val="22"/>
          <w:szCs w:val="22"/>
        </w:rPr>
        <w:t xml:space="preserve">Sujeto Obligado </w:t>
      </w:r>
      <w:r w:rsidRPr="00AD7DC3">
        <w:rPr>
          <w:rFonts w:ascii="Palatino Linotype" w:eastAsia="Palatino Linotype" w:hAnsi="Palatino Linotype" w:cs="Palatino Linotype"/>
          <w:sz w:val="22"/>
          <w:szCs w:val="22"/>
        </w:rPr>
        <w:t xml:space="preserve">deberá </w:t>
      </w:r>
      <w:r w:rsidR="00E26C96" w:rsidRPr="00AD7DC3">
        <w:rPr>
          <w:rFonts w:ascii="Palatino Linotype" w:eastAsia="Palatino Linotype" w:hAnsi="Palatino Linotype" w:cs="Palatino Linotype"/>
          <w:sz w:val="22"/>
          <w:szCs w:val="22"/>
        </w:rPr>
        <w:t>hacer entrega de la informa</w:t>
      </w:r>
      <w:r w:rsidRPr="00AD7DC3">
        <w:rPr>
          <w:rFonts w:ascii="Palatino Linotype" w:eastAsia="Palatino Linotype" w:hAnsi="Palatino Linotype" w:cs="Palatino Linotype"/>
          <w:sz w:val="22"/>
          <w:szCs w:val="22"/>
        </w:rPr>
        <w:t>ción que atienda lo solicitado.</w:t>
      </w:r>
    </w:p>
    <w:p w14:paraId="2A28C7BC"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En mérito de todo lo expuesto, ante lo fundado de las razones o motivos de inconformidad hechos valer por la parte</w:t>
      </w:r>
      <w:r w:rsidRPr="00AD7DC3">
        <w:rPr>
          <w:rFonts w:ascii="Palatino Linotype" w:eastAsia="Palatino Linotype" w:hAnsi="Palatino Linotype" w:cs="Palatino Linotype"/>
          <w:b/>
          <w:sz w:val="22"/>
          <w:szCs w:val="22"/>
        </w:rPr>
        <w:t xml:space="preserve"> Recurrente, </w:t>
      </w:r>
      <w:r w:rsidRPr="00AD7DC3">
        <w:rPr>
          <w:rFonts w:ascii="Palatino Linotype" w:eastAsia="Palatino Linotype" w:hAnsi="Palatino Linotype" w:cs="Palatino Linotype"/>
          <w:sz w:val="22"/>
          <w:szCs w:val="22"/>
        </w:rPr>
        <w:t xml:space="preserve">este Instituto estima que lo dable es </w:t>
      </w:r>
      <w:r w:rsidRPr="00AD7DC3">
        <w:rPr>
          <w:rFonts w:ascii="Palatino Linotype" w:eastAsia="Palatino Linotype" w:hAnsi="Palatino Linotype" w:cs="Palatino Linotype"/>
          <w:i/>
          <w:sz w:val="22"/>
          <w:szCs w:val="22"/>
        </w:rPr>
        <w:t>Ordenar</w:t>
      </w:r>
      <w:r w:rsidRPr="00AD7DC3">
        <w:rPr>
          <w:rFonts w:ascii="Palatino Linotype" w:eastAsia="Palatino Linotype" w:hAnsi="Palatino Linotype" w:cs="Palatino Linotype"/>
          <w:sz w:val="22"/>
          <w:szCs w:val="22"/>
        </w:rPr>
        <w:t xml:space="preserve"> al </w:t>
      </w:r>
      <w:r w:rsidRPr="00AD7DC3">
        <w:rPr>
          <w:rFonts w:ascii="Palatino Linotype" w:eastAsia="Palatino Linotype" w:hAnsi="Palatino Linotype" w:cs="Palatino Linotype"/>
          <w:b/>
          <w:sz w:val="22"/>
          <w:szCs w:val="22"/>
        </w:rPr>
        <w:t>Sujeto Obligado</w:t>
      </w:r>
      <w:r w:rsidRPr="00AD7DC3">
        <w:rPr>
          <w:rFonts w:ascii="Palatino Linotype" w:eastAsia="Palatino Linotype" w:hAnsi="Palatino Linotype" w:cs="Palatino Linotype"/>
          <w:sz w:val="22"/>
          <w:szCs w:val="22"/>
        </w:rPr>
        <w:t xml:space="preserve"> atienda la solicitud de acceso a la información en los términos ya precisados.</w:t>
      </w:r>
    </w:p>
    <w:p w14:paraId="79833363"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Finalmente, toda  vez que el presente recurso derivó de la omisión por parte del </w:t>
      </w:r>
      <w:r w:rsidRPr="00AD7DC3">
        <w:rPr>
          <w:rFonts w:ascii="Palatino Linotype" w:eastAsia="Palatino Linotype" w:hAnsi="Palatino Linotype" w:cs="Palatino Linotype"/>
          <w:b/>
          <w:sz w:val="22"/>
          <w:szCs w:val="22"/>
        </w:rPr>
        <w:t>Sujeto Obligado</w:t>
      </w:r>
      <w:r w:rsidRPr="00AD7DC3">
        <w:rPr>
          <w:rFonts w:ascii="Palatino Linotype" w:eastAsia="Palatino Linotype" w:hAnsi="Palatino Linotype" w:cs="Palatino Linotype"/>
          <w:sz w:val="22"/>
          <w:szCs w:val="22"/>
        </w:rPr>
        <w:t xml:space="preserve">, en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w:t>
      </w:r>
      <w:r w:rsidRPr="00AD7DC3">
        <w:rPr>
          <w:rFonts w:ascii="Palatino Linotype" w:eastAsia="Palatino Linotype" w:hAnsi="Palatino Linotype" w:cs="Palatino Linotype"/>
          <w:b/>
          <w:sz w:val="22"/>
          <w:szCs w:val="22"/>
        </w:rPr>
        <w:t>Secretaría Técnica del Pleno</w:t>
      </w:r>
      <w:r w:rsidRPr="00AD7DC3">
        <w:rPr>
          <w:rFonts w:ascii="Palatino Linotype" w:eastAsia="Palatino Linotype" w:hAnsi="Palatino Linotype" w:cs="Palatino Linotype"/>
          <w:sz w:val="22"/>
          <w:szCs w:val="22"/>
        </w:rPr>
        <w:t xml:space="preserve">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 </w:t>
      </w:r>
    </w:p>
    <w:p w14:paraId="2D424BB3" w14:textId="7538181D"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sz w:val="22"/>
          <w:szCs w:val="22"/>
        </w:rPr>
        <w:t xml:space="preserve">Así, con fundamento en lo prescrito en los artículos 5 </w:t>
      </w:r>
      <w:r w:rsidR="006A7899" w:rsidRPr="00AD7DC3">
        <w:rPr>
          <w:rFonts w:ascii="Palatino Linotype" w:eastAsia="Palatino Linotype" w:hAnsi="Palatino Linotype" w:cs="Palatino Linotype"/>
          <w:sz w:val="22"/>
          <w:szCs w:val="22"/>
        </w:rPr>
        <w:t xml:space="preserve">párrafos </w:t>
      </w:r>
      <w:r w:rsidR="00461F82" w:rsidRPr="00AD7DC3">
        <w:rPr>
          <w:rFonts w:ascii="Palatino Linotype" w:eastAsia="Palatino Linotype" w:hAnsi="Palatino Linotype" w:cs="Palatino Linotype"/>
          <w:sz w:val="22"/>
          <w:szCs w:val="22"/>
        </w:rPr>
        <w:t xml:space="preserve">cuadragésimo cuarto, </w:t>
      </w:r>
      <w:r w:rsidR="006A7899" w:rsidRPr="00AD7DC3">
        <w:rPr>
          <w:rFonts w:ascii="Palatino Linotype" w:eastAsia="Palatino Linotype" w:hAnsi="Palatino Linotype" w:cs="Palatino Linotype"/>
          <w:sz w:val="22"/>
          <w:szCs w:val="22"/>
        </w:rPr>
        <w:t xml:space="preserve">cuadragésimo quinto cuadragésimo sexto, de la Constitución Política del Estado Libre y Soberano de México; Transitorio Cuarto, párrafo segundo del Decreto número 198 de la “LXII” Legislatura del Estado de México; </w:t>
      </w:r>
      <w:r w:rsidRPr="00AD7DC3">
        <w:rPr>
          <w:rFonts w:ascii="Palatino Linotype" w:eastAsia="Palatino Linotype" w:hAnsi="Palatino Linotype" w:cs="Palatino Linotype"/>
          <w:sz w:val="22"/>
          <w:szCs w:val="22"/>
        </w:rPr>
        <w:t>2, fracción II; 29, 36 fracciones I y II; 176, 178, 181, 185 y 186 fracción II de la Ley de Transparencia y Acceso a la Información Pública del Estado de México y Municipios, este Pleno:</w:t>
      </w:r>
    </w:p>
    <w:p w14:paraId="635EEE69" w14:textId="77777777" w:rsidR="005A75CA" w:rsidRPr="00AD7DC3" w:rsidRDefault="00E96B90" w:rsidP="00D7204E">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AD7DC3">
        <w:rPr>
          <w:rFonts w:ascii="Palatino Linotype" w:eastAsia="Palatino Linotype" w:hAnsi="Palatino Linotype" w:cs="Palatino Linotype"/>
          <w:b/>
          <w:sz w:val="22"/>
          <w:szCs w:val="22"/>
        </w:rPr>
        <w:t>III. R E S U E L V E</w:t>
      </w:r>
    </w:p>
    <w:p w14:paraId="4BED30EC" w14:textId="77777777" w:rsidR="005A75CA" w:rsidRPr="00AD7DC3" w:rsidRDefault="00E96B90" w:rsidP="00D7204E">
      <w:pPr>
        <w:spacing w:before="240" w:after="240" w:line="360" w:lineRule="auto"/>
        <w:ind w:right="49"/>
        <w:jc w:val="both"/>
        <w:rPr>
          <w:rFonts w:ascii="Palatino Linotype" w:eastAsia="Palatino Linotype" w:hAnsi="Palatino Linotype" w:cs="Palatino Linotype"/>
          <w:sz w:val="22"/>
          <w:szCs w:val="22"/>
        </w:rPr>
      </w:pPr>
      <w:bookmarkStart w:id="8" w:name="_heading=h.1t3h5sf" w:colFirst="0" w:colLast="0"/>
      <w:bookmarkEnd w:id="8"/>
      <w:r w:rsidRPr="00AD7DC3">
        <w:rPr>
          <w:rFonts w:ascii="Palatino Linotype" w:eastAsia="Palatino Linotype" w:hAnsi="Palatino Linotype" w:cs="Palatino Linotype"/>
          <w:b/>
          <w:sz w:val="22"/>
          <w:szCs w:val="22"/>
        </w:rPr>
        <w:t xml:space="preserve">Primero. </w:t>
      </w:r>
      <w:r w:rsidRPr="00AD7DC3">
        <w:rPr>
          <w:rFonts w:ascii="Palatino Linotype" w:eastAsia="Palatino Linotype" w:hAnsi="Palatino Linotype" w:cs="Palatino Linotype"/>
          <w:sz w:val="22"/>
          <w:szCs w:val="22"/>
        </w:rPr>
        <w:t xml:space="preserve">Resultan </w:t>
      </w:r>
      <w:r w:rsidRPr="00AD7DC3">
        <w:rPr>
          <w:rFonts w:ascii="Palatino Linotype" w:eastAsia="Palatino Linotype" w:hAnsi="Palatino Linotype" w:cs="Palatino Linotype"/>
          <w:b/>
          <w:sz w:val="22"/>
          <w:szCs w:val="22"/>
        </w:rPr>
        <w:t>fundados</w:t>
      </w:r>
      <w:r w:rsidRPr="00AD7DC3">
        <w:rPr>
          <w:rFonts w:ascii="Palatino Linotype" w:eastAsia="Palatino Linotype" w:hAnsi="Palatino Linotype" w:cs="Palatino Linotype"/>
          <w:sz w:val="22"/>
          <w:szCs w:val="22"/>
        </w:rPr>
        <w:t xml:space="preserve"> los motivos de inconformidad de la parte </w:t>
      </w:r>
      <w:r w:rsidRPr="00AD7DC3">
        <w:rPr>
          <w:rFonts w:ascii="Palatino Linotype" w:eastAsia="Palatino Linotype" w:hAnsi="Palatino Linotype" w:cs="Palatino Linotype"/>
          <w:b/>
          <w:sz w:val="22"/>
          <w:szCs w:val="22"/>
        </w:rPr>
        <w:t>Recurrente</w:t>
      </w:r>
      <w:r w:rsidRPr="00AD7DC3">
        <w:rPr>
          <w:rFonts w:ascii="Palatino Linotype" w:eastAsia="Palatino Linotype" w:hAnsi="Palatino Linotype" w:cs="Palatino Linotype"/>
          <w:sz w:val="22"/>
          <w:szCs w:val="22"/>
        </w:rPr>
        <w:t xml:space="preserve">, en términos del Considerando </w:t>
      </w:r>
      <w:r w:rsidRPr="00AD7DC3">
        <w:rPr>
          <w:rFonts w:ascii="Palatino Linotype" w:eastAsia="Palatino Linotype" w:hAnsi="Palatino Linotype" w:cs="Palatino Linotype"/>
          <w:b/>
          <w:sz w:val="22"/>
          <w:szCs w:val="22"/>
        </w:rPr>
        <w:t>Cuarto</w:t>
      </w:r>
      <w:r w:rsidRPr="00AD7DC3">
        <w:rPr>
          <w:rFonts w:ascii="Palatino Linotype" w:eastAsia="Palatino Linotype" w:hAnsi="Palatino Linotype" w:cs="Palatino Linotype"/>
          <w:sz w:val="22"/>
          <w:szCs w:val="22"/>
        </w:rPr>
        <w:t xml:space="preserve"> de la presente resolución.</w:t>
      </w:r>
    </w:p>
    <w:p w14:paraId="657AB476" w14:textId="69CEE934"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b/>
          <w:sz w:val="22"/>
          <w:szCs w:val="22"/>
        </w:rPr>
        <w:t xml:space="preserve">Segundo. </w:t>
      </w:r>
      <w:r w:rsidRPr="00AD7DC3">
        <w:rPr>
          <w:rFonts w:ascii="Palatino Linotype" w:eastAsia="Palatino Linotype" w:hAnsi="Palatino Linotype" w:cs="Palatino Linotype"/>
          <w:sz w:val="22"/>
          <w:szCs w:val="22"/>
        </w:rPr>
        <w:t>Se</w:t>
      </w:r>
      <w:r w:rsidRPr="00AD7DC3">
        <w:rPr>
          <w:rFonts w:ascii="Palatino Linotype" w:eastAsia="Palatino Linotype" w:hAnsi="Palatino Linotype" w:cs="Palatino Linotype"/>
          <w:b/>
          <w:sz w:val="22"/>
          <w:szCs w:val="22"/>
        </w:rPr>
        <w:t xml:space="preserve"> Ordena </w:t>
      </w:r>
      <w:r w:rsidRPr="00AD7DC3">
        <w:rPr>
          <w:rFonts w:ascii="Palatino Linotype" w:eastAsia="Palatino Linotype" w:hAnsi="Palatino Linotype" w:cs="Palatino Linotype"/>
          <w:sz w:val="22"/>
          <w:szCs w:val="22"/>
        </w:rPr>
        <w:t xml:space="preserve">al </w:t>
      </w:r>
      <w:r w:rsidRPr="00AD7DC3">
        <w:rPr>
          <w:rFonts w:ascii="Palatino Linotype" w:eastAsia="Palatino Linotype" w:hAnsi="Palatino Linotype" w:cs="Palatino Linotype"/>
          <w:b/>
          <w:sz w:val="22"/>
          <w:szCs w:val="22"/>
        </w:rPr>
        <w:t xml:space="preserve">Sujeto Obligado </w:t>
      </w:r>
      <w:r w:rsidRPr="00AD7DC3">
        <w:rPr>
          <w:rFonts w:ascii="Palatino Linotype" w:eastAsia="Palatino Linotype" w:hAnsi="Palatino Linotype" w:cs="Palatino Linotype"/>
          <w:sz w:val="22"/>
          <w:szCs w:val="22"/>
        </w:rPr>
        <w:t xml:space="preserve">dé trámite a la solicitud de acceso a la información pública </w:t>
      </w:r>
      <w:r w:rsidR="00461F82" w:rsidRPr="00AD7DC3">
        <w:rPr>
          <w:rFonts w:ascii="Palatino Linotype" w:eastAsia="Palatino Linotype" w:hAnsi="Palatino Linotype" w:cs="Palatino Linotype"/>
          <w:b/>
          <w:sz w:val="22"/>
          <w:szCs w:val="22"/>
        </w:rPr>
        <w:t>00384/ALMOJU/IP/2025</w:t>
      </w:r>
      <w:r w:rsidRPr="00AD7DC3">
        <w:rPr>
          <w:rFonts w:ascii="Palatino Linotype" w:eastAsia="Palatino Linotype" w:hAnsi="Palatino Linotype" w:cs="Palatino Linotype"/>
          <w:b/>
          <w:sz w:val="22"/>
          <w:szCs w:val="22"/>
        </w:rPr>
        <w:t xml:space="preserve">, </w:t>
      </w:r>
      <w:r w:rsidRPr="00AD7DC3">
        <w:rPr>
          <w:rFonts w:ascii="Palatino Linotype" w:eastAsia="Palatino Linotype" w:hAnsi="Palatino Linotype" w:cs="Palatino Linotype"/>
          <w:sz w:val="22"/>
          <w:szCs w:val="22"/>
        </w:rPr>
        <w:t>que dio</w:t>
      </w:r>
      <w:bookmarkStart w:id="9" w:name="_GoBack"/>
      <w:bookmarkEnd w:id="9"/>
      <w:r w:rsidRPr="00AD7DC3">
        <w:rPr>
          <w:rFonts w:ascii="Palatino Linotype" w:eastAsia="Palatino Linotype" w:hAnsi="Palatino Linotype" w:cs="Palatino Linotype"/>
          <w:sz w:val="22"/>
          <w:szCs w:val="22"/>
        </w:rPr>
        <w:t xml:space="preserve"> origen al recurso de revisión </w:t>
      </w:r>
      <w:r w:rsidR="00461F82" w:rsidRPr="00AD7DC3">
        <w:rPr>
          <w:rFonts w:ascii="Palatino Linotype" w:eastAsia="Palatino Linotype" w:hAnsi="Palatino Linotype" w:cs="Palatino Linotype"/>
          <w:b/>
          <w:sz w:val="22"/>
          <w:szCs w:val="22"/>
        </w:rPr>
        <w:t>10854/INFOEM/IP/RR/2025</w:t>
      </w:r>
      <w:r w:rsidRPr="00AD7DC3">
        <w:rPr>
          <w:rFonts w:ascii="Palatino Linotype" w:eastAsia="Palatino Linotype" w:hAnsi="Palatino Linotype" w:cs="Palatino Linotype"/>
          <w:sz w:val="22"/>
          <w:szCs w:val="22"/>
        </w:rPr>
        <w:t>,</w:t>
      </w:r>
      <w:r w:rsidRPr="00AD7DC3">
        <w:rPr>
          <w:rFonts w:ascii="Palatino Linotype" w:eastAsia="Palatino Linotype" w:hAnsi="Palatino Linotype" w:cs="Palatino Linotype"/>
          <w:b/>
          <w:sz w:val="22"/>
          <w:szCs w:val="22"/>
        </w:rPr>
        <w:t xml:space="preserve"> </w:t>
      </w:r>
      <w:r w:rsidRPr="00AD7DC3">
        <w:rPr>
          <w:rFonts w:ascii="Palatino Linotype" w:eastAsia="Palatino Linotype" w:hAnsi="Palatino Linotype" w:cs="Palatino Linotype"/>
          <w:sz w:val="22"/>
          <w:szCs w:val="22"/>
        </w:rPr>
        <w:t>y</w:t>
      </w:r>
      <w:r w:rsidRPr="00AD7DC3">
        <w:rPr>
          <w:rFonts w:ascii="Palatino Linotype" w:eastAsia="Palatino Linotype" w:hAnsi="Palatino Linotype" w:cs="Palatino Linotype"/>
          <w:b/>
          <w:sz w:val="22"/>
          <w:szCs w:val="22"/>
        </w:rPr>
        <w:t xml:space="preserve"> </w:t>
      </w:r>
      <w:r w:rsidR="00461F82" w:rsidRPr="00AD7DC3">
        <w:rPr>
          <w:rFonts w:ascii="Palatino Linotype" w:eastAsia="Palatino Linotype" w:hAnsi="Palatino Linotype" w:cs="Palatino Linotype"/>
          <w:sz w:val="22"/>
          <w:szCs w:val="22"/>
        </w:rPr>
        <w:t>en términos del Considerando</w:t>
      </w:r>
      <w:r w:rsidRPr="00AD7DC3">
        <w:rPr>
          <w:rFonts w:ascii="Palatino Linotype" w:eastAsia="Palatino Linotype" w:hAnsi="Palatino Linotype" w:cs="Palatino Linotype"/>
          <w:b/>
          <w:sz w:val="22"/>
          <w:szCs w:val="22"/>
        </w:rPr>
        <w:t xml:space="preserve"> Cuarto</w:t>
      </w:r>
      <w:r w:rsidRPr="00AD7DC3">
        <w:rPr>
          <w:rFonts w:ascii="Palatino Linotype" w:eastAsia="Palatino Linotype" w:hAnsi="Palatino Linotype" w:cs="Palatino Linotype"/>
          <w:sz w:val="22"/>
          <w:szCs w:val="22"/>
        </w:rPr>
        <w:t xml:space="preserve"> haga entrega, vía </w:t>
      </w:r>
      <w:r w:rsidRPr="00AD7DC3">
        <w:rPr>
          <w:rFonts w:ascii="Palatino Linotype" w:eastAsia="Palatino Linotype" w:hAnsi="Palatino Linotype" w:cs="Palatino Linotype"/>
          <w:b/>
          <w:sz w:val="22"/>
          <w:szCs w:val="22"/>
        </w:rPr>
        <w:t>SAIMEX</w:t>
      </w:r>
      <w:r w:rsidRPr="00AD7DC3">
        <w:rPr>
          <w:rFonts w:ascii="Palatino Linotype" w:eastAsia="Palatino Linotype" w:hAnsi="Palatino Linotype" w:cs="Palatino Linotype"/>
          <w:sz w:val="22"/>
          <w:szCs w:val="22"/>
        </w:rPr>
        <w:t>, de lo siguiente:</w:t>
      </w:r>
    </w:p>
    <w:p w14:paraId="038E1945" w14:textId="2E757FA1" w:rsidR="00461F82" w:rsidRPr="00AD7DC3" w:rsidRDefault="00461F82" w:rsidP="00461F82">
      <w:pPr>
        <w:spacing w:before="240" w:after="240" w:line="360" w:lineRule="auto"/>
        <w:ind w:left="284"/>
        <w:jc w:val="both"/>
        <w:rPr>
          <w:rFonts w:ascii="Palatino Linotype" w:eastAsia="Palatino Linotype" w:hAnsi="Palatino Linotype" w:cs="Palatino Linotype"/>
        </w:rPr>
      </w:pPr>
      <w:r w:rsidRPr="00AD7DC3">
        <w:rPr>
          <w:rFonts w:ascii="Palatino Linotype" w:eastAsia="Palatino Linotype" w:hAnsi="Palatino Linotype" w:cs="Palatino Linotype"/>
        </w:rPr>
        <w:t>1. Programa Anual de Obras aprobado para el ejercicio 2025.</w:t>
      </w:r>
    </w:p>
    <w:p w14:paraId="5DEC3C58"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bookmarkStart w:id="10" w:name="_heading=h.hnzxsch5gysz" w:colFirst="0" w:colLast="0"/>
      <w:bookmarkEnd w:id="10"/>
      <w:r w:rsidRPr="00AD7DC3">
        <w:rPr>
          <w:rFonts w:ascii="Palatino Linotype" w:eastAsia="Palatino Linotype" w:hAnsi="Palatino Linotype" w:cs="Palatino Linotype"/>
          <w:b/>
          <w:sz w:val="22"/>
          <w:szCs w:val="22"/>
        </w:rPr>
        <w:t xml:space="preserve">Tercero. Notifíquese, </w:t>
      </w:r>
      <w:r w:rsidRPr="00AD7DC3">
        <w:rPr>
          <w:rFonts w:ascii="Palatino Linotype" w:eastAsia="Palatino Linotype" w:hAnsi="Palatino Linotype" w:cs="Palatino Linotype"/>
          <w:sz w:val="22"/>
          <w:szCs w:val="22"/>
        </w:rPr>
        <w:t xml:space="preserve">vía </w:t>
      </w:r>
      <w:r w:rsidRPr="00AD7DC3">
        <w:rPr>
          <w:rFonts w:ascii="Palatino Linotype" w:eastAsia="Palatino Linotype" w:hAnsi="Palatino Linotype" w:cs="Palatino Linotype"/>
          <w:b/>
          <w:sz w:val="22"/>
          <w:szCs w:val="22"/>
        </w:rPr>
        <w:t>SAIMEX</w:t>
      </w:r>
      <w:r w:rsidRPr="00AD7DC3">
        <w:rPr>
          <w:rFonts w:ascii="Palatino Linotype" w:eastAsia="Palatino Linotype" w:hAnsi="Palatino Linotype" w:cs="Palatino Linotype"/>
          <w:sz w:val="22"/>
          <w:szCs w:val="22"/>
        </w:rPr>
        <w:t xml:space="preserve">, al Titular de la Unidad de Transparencia del </w:t>
      </w:r>
      <w:r w:rsidRPr="00AD7DC3">
        <w:rPr>
          <w:rFonts w:ascii="Palatino Linotype" w:eastAsia="Palatino Linotype" w:hAnsi="Palatino Linotype" w:cs="Palatino Linotype"/>
          <w:b/>
          <w:sz w:val="22"/>
          <w:szCs w:val="22"/>
        </w:rPr>
        <w:t>Sujeto Obligado,</w:t>
      </w:r>
      <w:r w:rsidRPr="00AD7DC3">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AD3F62D"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bookmarkStart w:id="11" w:name="_heading=h.ot3qq6vxa08f" w:colFirst="0" w:colLast="0"/>
      <w:bookmarkEnd w:id="11"/>
      <w:r w:rsidRPr="00AD7DC3">
        <w:rPr>
          <w:rFonts w:ascii="Palatino Linotype" w:eastAsia="Palatino Linotype" w:hAnsi="Palatino Linotype" w:cs="Palatino Linotype"/>
          <w:b/>
          <w:sz w:val="22"/>
          <w:szCs w:val="22"/>
        </w:rPr>
        <w:t xml:space="preserve">Cuarto.  Notifíquese, </w:t>
      </w:r>
      <w:r w:rsidRPr="00AD7DC3">
        <w:rPr>
          <w:rFonts w:ascii="Palatino Linotype" w:eastAsia="Palatino Linotype" w:hAnsi="Palatino Linotype" w:cs="Palatino Linotype"/>
          <w:sz w:val="22"/>
          <w:szCs w:val="22"/>
        </w:rPr>
        <w:t xml:space="preserve">vía </w:t>
      </w:r>
      <w:r w:rsidRPr="00AD7DC3">
        <w:rPr>
          <w:rFonts w:ascii="Palatino Linotype" w:eastAsia="Palatino Linotype" w:hAnsi="Palatino Linotype" w:cs="Palatino Linotype"/>
          <w:b/>
          <w:sz w:val="22"/>
          <w:szCs w:val="22"/>
        </w:rPr>
        <w:t>SAIMEX</w:t>
      </w:r>
      <w:r w:rsidRPr="00AD7DC3">
        <w:rPr>
          <w:rFonts w:ascii="Palatino Linotype" w:eastAsia="Palatino Linotype" w:hAnsi="Palatino Linotype" w:cs="Palatino Linotype"/>
          <w:sz w:val="22"/>
          <w:szCs w:val="22"/>
        </w:rPr>
        <w:t xml:space="preserve"> a la parte </w:t>
      </w:r>
      <w:r w:rsidRPr="00AD7DC3">
        <w:rPr>
          <w:rFonts w:ascii="Palatino Linotype" w:eastAsia="Palatino Linotype" w:hAnsi="Palatino Linotype" w:cs="Palatino Linotype"/>
          <w:b/>
          <w:sz w:val="22"/>
          <w:szCs w:val="22"/>
        </w:rPr>
        <w:t>Recurrente</w:t>
      </w:r>
      <w:r w:rsidRPr="00AD7DC3">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40980001" w14:textId="77777777" w:rsidR="005A75CA" w:rsidRPr="00AD7DC3" w:rsidRDefault="00E96B90" w:rsidP="00D7204E">
      <w:pPr>
        <w:spacing w:before="240" w:after="240" w:line="360" w:lineRule="auto"/>
        <w:jc w:val="both"/>
        <w:rPr>
          <w:rFonts w:ascii="Palatino Linotype" w:eastAsia="Palatino Linotype" w:hAnsi="Palatino Linotype" w:cs="Palatino Linotype"/>
          <w:sz w:val="22"/>
          <w:szCs w:val="22"/>
        </w:rPr>
      </w:pPr>
      <w:r w:rsidRPr="00AD7DC3">
        <w:rPr>
          <w:rFonts w:ascii="Palatino Linotype" w:eastAsia="Palatino Linotype" w:hAnsi="Palatino Linotype" w:cs="Palatino Linotype"/>
          <w:b/>
          <w:sz w:val="22"/>
          <w:szCs w:val="22"/>
        </w:rPr>
        <w:t xml:space="preserve">Quinto. Hágase, </w:t>
      </w:r>
      <w:r w:rsidRPr="00AD7DC3">
        <w:rPr>
          <w:rFonts w:ascii="Palatino Linotype" w:eastAsia="Palatino Linotype" w:hAnsi="Palatino Linotype" w:cs="Palatino Linotype"/>
          <w:sz w:val="22"/>
          <w:szCs w:val="22"/>
        </w:rPr>
        <w:t xml:space="preserve">de conocimiento de la parte </w:t>
      </w:r>
      <w:r w:rsidRPr="00AD7DC3">
        <w:rPr>
          <w:rFonts w:ascii="Palatino Linotype" w:eastAsia="Palatino Linotype" w:hAnsi="Palatino Linotype" w:cs="Palatino Linotype"/>
          <w:b/>
          <w:sz w:val="22"/>
          <w:szCs w:val="22"/>
        </w:rPr>
        <w:t xml:space="preserve">Recurrente, </w:t>
      </w:r>
      <w:r w:rsidRPr="00AD7DC3">
        <w:rPr>
          <w:rFonts w:ascii="Palatino Linotype" w:eastAsia="Palatino Linotype" w:hAnsi="Palatino Linotype" w:cs="Palatino Linotype"/>
          <w:sz w:val="22"/>
          <w:szCs w:val="22"/>
        </w:rPr>
        <w:t xml:space="preserve">que la respuesta que dé el </w:t>
      </w:r>
      <w:r w:rsidRPr="00AD7DC3">
        <w:rPr>
          <w:rFonts w:ascii="Palatino Linotype" w:eastAsia="Palatino Linotype" w:hAnsi="Palatino Linotype" w:cs="Palatino Linotype"/>
          <w:b/>
          <w:sz w:val="22"/>
          <w:szCs w:val="22"/>
        </w:rPr>
        <w:t>Sujeto Obligado</w:t>
      </w:r>
      <w:r w:rsidRPr="00AD7DC3">
        <w:rPr>
          <w:rFonts w:ascii="Palatino Linotype" w:eastAsia="Palatino Linotype" w:hAnsi="Palatino Linotype" w:cs="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2244F02B" w14:textId="77777777" w:rsidR="005A75CA" w:rsidRPr="00AD7DC3" w:rsidRDefault="00E96B90" w:rsidP="00D7204E">
      <w:pPr>
        <w:spacing w:before="240" w:after="240" w:line="360" w:lineRule="auto"/>
        <w:jc w:val="both"/>
        <w:rPr>
          <w:rFonts w:ascii="Palatino Linotype" w:eastAsia="Palatino Linotype" w:hAnsi="Palatino Linotype" w:cs="Palatino Linotype"/>
          <w:b/>
          <w:sz w:val="22"/>
          <w:szCs w:val="22"/>
        </w:rPr>
      </w:pPr>
      <w:r w:rsidRPr="00AD7DC3">
        <w:rPr>
          <w:rFonts w:ascii="Palatino Linotype" w:eastAsia="Palatino Linotype" w:hAnsi="Palatino Linotype" w:cs="Palatino Linotype"/>
          <w:b/>
          <w:sz w:val="22"/>
          <w:szCs w:val="22"/>
        </w:rPr>
        <w:t>Sexto. Gírese,</w:t>
      </w:r>
      <w:r w:rsidRPr="00AD7DC3">
        <w:rPr>
          <w:rFonts w:ascii="Palatino Linotype" w:eastAsia="Palatino Linotype" w:hAnsi="Palatino Linotype" w:cs="Palatino Linotype"/>
          <w:sz w:val="22"/>
          <w:szCs w:val="22"/>
        </w:rPr>
        <w:t xml:space="preserve"> vista a la </w:t>
      </w:r>
      <w:r w:rsidRPr="00AD7DC3">
        <w:rPr>
          <w:rFonts w:ascii="Palatino Linotype" w:eastAsia="Palatino Linotype" w:hAnsi="Palatino Linotype" w:cs="Palatino Linotype"/>
          <w:b/>
          <w:sz w:val="22"/>
          <w:szCs w:val="22"/>
        </w:rPr>
        <w:t>Secretaría Técnica del Pleno de este Instituto</w:t>
      </w:r>
      <w:r w:rsidRPr="00AD7DC3">
        <w:rPr>
          <w:rFonts w:ascii="Palatino Linotype" w:eastAsia="Palatino Linotype" w:hAnsi="Palatino Linotype" w:cs="Palatino Linotype"/>
          <w:sz w:val="22"/>
          <w:szCs w:val="22"/>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AD7DC3">
        <w:rPr>
          <w:rFonts w:ascii="Palatino Linotype" w:eastAsia="Palatino Linotype" w:hAnsi="Palatino Linotype" w:cs="Palatino Linotype"/>
          <w:b/>
          <w:sz w:val="22"/>
          <w:szCs w:val="22"/>
        </w:rPr>
        <w:t xml:space="preserve"> Cuarto </w:t>
      </w:r>
      <w:r w:rsidRPr="00AD7DC3">
        <w:rPr>
          <w:rFonts w:ascii="Palatino Linotype" w:eastAsia="Palatino Linotype" w:hAnsi="Palatino Linotype" w:cs="Palatino Linotype"/>
          <w:sz w:val="22"/>
          <w:szCs w:val="22"/>
        </w:rPr>
        <w:t>de la presente resolución.</w:t>
      </w:r>
      <w:r w:rsidRPr="00AD7DC3">
        <w:rPr>
          <w:rFonts w:ascii="Palatino Linotype" w:eastAsia="Palatino Linotype" w:hAnsi="Palatino Linotype" w:cs="Palatino Linotype"/>
          <w:b/>
          <w:sz w:val="22"/>
          <w:szCs w:val="22"/>
        </w:rPr>
        <w:t xml:space="preserve"> </w:t>
      </w:r>
    </w:p>
    <w:p w14:paraId="49BE783D" w14:textId="4AFDCB92" w:rsidR="005A75CA" w:rsidRPr="00C43C4B" w:rsidRDefault="00E96B90" w:rsidP="00D7204E">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2" w:name="_heading=h.lnxbz9" w:colFirst="0" w:colLast="0"/>
      <w:bookmarkEnd w:id="12"/>
      <w:r w:rsidRPr="00AD7DC3">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739EC" w:rsidRPr="00AD7DC3">
        <w:rPr>
          <w:rFonts w:ascii="Palatino Linotype" w:eastAsia="Palatino Linotype" w:hAnsi="Palatino Linotype" w:cs="Palatino Linotype"/>
          <w:sz w:val="22"/>
          <w:szCs w:val="22"/>
        </w:rPr>
        <w:t xml:space="preserve">CUADRAGÉSIMA PRIMERA </w:t>
      </w:r>
      <w:r w:rsidRPr="00AD7DC3">
        <w:rPr>
          <w:rFonts w:ascii="Palatino Linotype" w:eastAsia="Palatino Linotype" w:hAnsi="Palatino Linotype" w:cs="Palatino Linotype"/>
          <w:sz w:val="22"/>
          <w:szCs w:val="22"/>
        </w:rPr>
        <w:t xml:space="preserve"> SESIÓN ORDINARIA CELEBRADA EL </w:t>
      </w:r>
      <w:r w:rsidR="001739EC" w:rsidRPr="00AD7DC3">
        <w:rPr>
          <w:rFonts w:ascii="Palatino Linotype" w:eastAsia="Palatino Linotype" w:hAnsi="Palatino Linotype" w:cs="Palatino Linotype"/>
          <w:sz w:val="22"/>
          <w:szCs w:val="22"/>
        </w:rPr>
        <w:t>VEINTE DE NOVIEMBRE</w:t>
      </w:r>
      <w:r w:rsidRPr="00AD7DC3">
        <w:rPr>
          <w:rFonts w:ascii="Palatino Linotype" w:eastAsia="Palatino Linotype" w:hAnsi="Palatino Linotype" w:cs="Palatino Linotype"/>
          <w:sz w:val="22"/>
          <w:szCs w:val="22"/>
        </w:rPr>
        <w:t xml:space="preserve"> DE DOS MIL VEINTICINCO, ANTE EL SECRETARIO TÉCNICO DEL PLENO ALEXIS TAPIA RAMÍREZ.</w:t>
      </w:r>
    </w:p>
    <w:p w14:paraId="2B17951A"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42BFD139"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53CA5C2F"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153F672B"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3C65AC45"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238EB021"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3407AC65"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256D6055"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701554D9"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7D64FCF8"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2649A4EA"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7248715B"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1CDC395F" w14:textId="77777777" w:rsidR="00033F56" w:rsidRPr="00C43C4B" w:rsidRDefault="00033F56" w:rsidP="00D7204E">
      <w:pPr>
        <w:spacing w:line="360" w:lineRule="auto"/>
        <w:jc w:val="both"/>
        <w:rPr>
          <w:rFonts w:ascii="Palatino Linotype" w:eastAsia="Palatino Linotype" w:hAnsi="Palatino Linotype" w:cs="Palatino Linotype"/>
          <w:sz w:val="22"/>
          <w:szCs w:val="22"/>
        </w:rPr>
      </w:pPr>
    </w:p>
    <w:p w14:paraId="4791ACC8" w14:textId="77777777" w:rsidR="00033F56" w:rsidRPr="00C43C4B" w:rsidRDefault="00033F56" w:rsidP="00D7204E">
      <w:pPr>
        <w:spacing w:line="360" w:lineRule="auto"/>
        <w:jc w:val="both"/>
        <w:rPr>
          <w:rFonts w:ascii="Palatino Linotype" w:eastAsia="Palatino Linotype" w:hAnsi="Palatino Linotype" w:cs="Palatino Linotype"/>
          <w:sz w:val="22"/>
          <w:szCs w:val="22"/>
        </w:rPr>
      </w:pPr>
    </w:p>
    <w:p w14:paraId="3A9E4222" w14:textId="77777777" w:rsidR="00033F56" w:rsidRPr="00C43C4B" w:rsidRDefault="00033F56" w:rsidP="00D7204E">
      <w:pPr>
        <w:spacing w:line="360" w:lineRule="auto"/>
        <w:jc w:val="both"/>
        <w:rPr>
          <w:rFonts w:ascii="Palatino Linotype" w:eastAsia="Palatino Linotype" w:hAnsi="Palatino Linotype" w:cs="Palatino Linotype"/>
          <w:sz w:val="22"/>
          <w:szCs w:val="22"/>
        </w:rPr>
      </w:pPr>
    </w:p>
    <w:p w14:paraId="645BE525" w14:textId="77777777" w:rsidR="00033F56" w:rsidRPr="00C43C4B" w:rsidRDefault="00033F56" w:rsidP="00D7204E">
      <w:pPr>
        <w:spacing w:line="360" w:lineRule="auto"/>
        <w:jc w:val="both"/>
        <w:rPr>
          <w:rFonts w:ascii="Palatino Linotype" w:eastAsia="Palatino Linotype" w:hAnsi="Palatino Linotype" w:cs="Palatino Linotype"/>
          <w:sz w:val="22"/>
          <w:szCs w:val="22"/>
        </w:rPr>
      </w:pPr>
    </w:p>
    <w:p w14:paraId="3472B1A1" w14:textId="77777777" w:rsidR="00033F56" w:rsidRPr="00C43C4B" w:rsidRDefault="00033F56" w:rsidP="00D7204E">
      <w:pPr>
        <w:spacing w:line="360" w:lineRule="auto"/>
        <w:jc w:val="both"/>
        <w:rPr>
          <w:rFonts w:ascii="Palatino Linotype" w:eastAsia="Palatino Linotype" w:hAnsi="Palatino Linotype" w:cs="Palatino Linotype"/>
          <w:sz w:val="22"/>
          <w:szCs w:val="22"/>
        </w:rPr>
      </w:pPr>
    </w:p>
    <w:p w14:paraId="2F154AA0" w14:textId="77777777" w:rsidR="00033F56" w:rsidRPr="00C43C4B" w:rsidRDefault="00033F56" w:rsidP="00D7204E">
      <w:pPr>
        <w:spacing w:line="360" w:lineRule="auto"/>
        <w:jc w:val="both"/>
        <w:rPr>
          <w:rFonts w:ascii="Palatino Linotype" w:eastAsia="Palatino Linotype" w:hAnsi="Palatino Linotype" w:cs="Palatino Linotype"/>
          <w:sz w:val="22"/>
          <w:szCs w:val="22"/>
        </w:rPr>
      </w:pPr>
    </w:p>
    <w:p w14:paraId="5EDCAD7F" w14:textId="77777777" w:rsidR="00033F56" w:rsidRPr="00C43C4B" w:rsidRDefault="00033F56" w:rsidP="00D7204E">
      <w:pPr>
        <w:spacing w:line="360" w:lineRule="auto"/>
        <w:jc w:val="both"/>
        <w:rPr>
          <w:rFonts w:ascii="Palatino Linotype" w:eastAsia="Palatino Linotype" w:hAnsi="Palatino Linotype" w:cs="Palatino Linotype"/>
          <w:sz w:val="22"/>
          <w:szCs w:val="22"/>
        </w:rPr>
      </w:pPr>
    </w:p>
    <w:p w14:paraId="52F8C504" w14:textId="77777777" w:rsidR="00033F56" w:rsidRPr="00C43C4B" w:rsidRDefault="00033F56" w:rsidP="00D7204E">
      <w:pPr>
        <w:spacing w:line="360" w:lineRule="auto"/>
        <w:jc w:val="both"/>
        <w:rPr>
          <w:rFonts w:ascii="Palatino Linotype" w:eastAsia="Palatino Linotype" w:hAnsi="Palatino Linotype" w:cs="Palatino Linotype"/>
          <w:sz w:val="22"/>
          <w:szCs w:val="22"/>
        </w:rPr>
      </w:pPr>
    </w:p>
    <w:p w14:paraId="2CAB092A" w14:textId="77777777" w:rsidR="00033F56" w:rsidRPr="00C43C4B" w:rsidRDefault="00033F56" w:rsidP="00D7204E">
      <w:pPr>
        <w:spacing w:line="360" w:lineRule="auto"/>
        <w:jc w:val="both"/>
        <w:rPr>
          <w:rFonts w:ascii="Palatino Linotype" w:eastAsia="Palatino Linotype" w:hAnsi="Palatino Linotype" w:cs="Palatino Linotype"/>
          <w:sz w:val="22"/>
          <w:szCs w:val="22"/>
        </w:rPr>
      </w:pPr>
    </w:p>
    <w:p w14:paraId="6031B3C8"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6DCAE615"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1BE99916"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6BA2925E" w14:textId="77777777" w:rsidR="005A75CA" w:rsidRPr="00C43C4B" w:rsidRDefault="005A75CA" w:rsidP="00D7204E">
      <w:pPr>
        <w:spacing w:line="360" w:lineRule="auto"/>
        <w:jc w:val="both"/>
        <w:rPr>
          <w:rFonts w:ascii="Palatino Linotype" w:eastAsia="Palatino Linotype" w:hAnsi="Palatino Linotype" w:cs="Palatino Linotype"/>
          <w:sz w:val="22"/>
          <w:szCs w:val="22"/>
        </w:rPr>
      </w:pPr>
    </w:p>
    <w:p w14:paraId="17C11245" w14:textId="3D7A6E0A" w:rsidR="005A75CA" w:rsidRPr="00C43C4B" w:rsidRDefault="005A75CA" w:rsidP="00D7204E">
      <w:pPr>
        <w:spacing w:line="360" w:lineRule="auto"/>
        <w:jc w:val="both"/>
        <w:rPr>
          <w:rFonts w:ascii="Palatino Linotype" w:eastAsia="Palatino Linotype" w:hAnsi="Palatino Linotype" w:cs="Palatino Linotype"/>
          <w:sz w:val="22"/>
          <w:szCs w:val="22"/>
        </w:rPr>
      </w:pPr>
    </w:p>
    <w:p w14:paraId="56C32FE7" w14:textId="77777777" w:rsidR="002456A1" w:rsidRPr="00C43C4B" w:rsidRDefault="002456A1" w:rsidP="00D7204E">
      <w:pPr>
        <w:spacing w:line="360" w:lineRule="auto"/>
        <w:jc w:val="both"/>
        <w:rPr>
          <w:rFonts w:ascii="Palatino Linotype" w:eastAsia="Palatino Linotype" w:hAnsi="Palatino Linotype" w:cs="Palatino Linotype"/>
          <w:sz w:val="22"/>
          <w:szCs w:val="22"/>
        </w:rPr>
      </w:pPr>
    </w:p>
    <w:sectPr w:rsidR="002456A1" w:rsidRPr="00C43C4B">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7F879" w14:textId="77777777" w:rsidR="008862FE" w:rsidRDefault="008862FE">
      <w:r>
        <w:separator/>
      </w:r>
    </w:p>
  </w:endnote>
  <w:endnote w:type="continuationSeparator" w:id="0">
    <w:p w14:paraId="0CA4784F" w14:textId="77777777" w:rsidR="008862FE" w:rsidRDefault="00886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22F03" w14:textId="3A89CCF3" w:rsidR="00D7204E" w:rsidRDefault="00D7204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71960">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71960">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0C3274EA" w14:textId="77777777" w:rsidR="00D7204E" w:rsidRDefault="00D7204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83AB2" w14:textId="459EBD4E" w:rsidR="00D7204E" w:rsidRDefault="00D7204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7196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71960">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75507642" w14:textId="77777777" w:rsidR="00D7204E" w:rsidRDefault="00D7204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B1184" w14:textId="77777777" w:rsidR="008862FE" w:rsidRDefault="008862FE">
      <w:r>
        <w:separator/>
      </w:r>
    </w:p>
  </w:footnote>
  <w:footnote w:type="continuationSeparator" w:id="0">
    <w:p w14:paraId="5DFD0B54" w14:textId="77777777" w:rsidR="008862FE" w:rsidRDefault="008862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CA3C9" w14:textId="6169BA1A" w:rsidR="00D7204E" w:rsidRDefault="00D7204E">
    <w:pPr>
      <w:rPr>
        <w:rFonts w:ascii="Cambria" w:eastAsia="Cambria" w:hAnsi="Cambria" w:cs="Cambria"/>
        <w:color w:val="000000"/>
      </w:rPr>
    </w:pPr>
  </w:p>
  <w:tbl>
    <w:tblPr>
      <w:tblStyle w:val="affa"/>
      <w:tblW w:w="5953" w:type="dxa"/>
      <w:tblInd w:w="3261" w:type="dxa"/>
      <w:tblLayout w:type="fixed"/>
      <w:tblLook w:val="0400" w:firstRow="0" w:lastRow="0" w:firstColumn="0" w:lastColumn="0" w:noHBand="0" w:noVBand="1"/>
    </w:tblPr>
    <w:tblGrid>
      <w:gridCol w:w="2489"/>
      <w:gridCol w:w="3464"/>
    </w:tblGrid>
    <w:tr w:rsidR="00D7204E" w14:paraId="7D7A7303" w14:textId="77777777">
      <w:tc>
        <w:tcPr>
          <w:tcW w:w="2489" w:type="dxa"/>
          <w:shd w:val="clear" w:color="auto" w:fill="auto"/>
        </w:tcPr>
        <w:p w14:paraId="0E742E37" w14:textId="77777777" w:rsidR="00D7204E" w:rsidRDefault="00D720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A1D9F71" w14:textId="0E4C017C" w:rsidR="00D7204E" w:rsidRDefault="00D7204E" w:rsidP="004C273B">
          <w:pPr>
            <w:ind w:right="175"/>
            <w:jc w:val="both"/>
            <w:rPr>
              <w:rFonts w:ascii="Palatino Linotype" w:eastAsia="Palatino Linotype" w:hAnsi="Palatino Linotype" w:cs="Palatino Linotype"/>
              <w:b/>
              <w:sz w:val="22"/>
              <w:szCs w:val="22"/>
            </w:rPr>
          </w:pPr>
          <w:r>
            <w:rPr>
              <w:noProof/>
            </w:rPr>
            <w:drawing>
              <wp:anchor distT="0" distB="0" distL="0" distR="0" simplePos="0" relativeHeight="251658240" behindDoc="1" locked="0" layoutInCell="1" hidden="0" allowOverlap="1" wp14:anchorId="72FFB153" wp14:editId="3405BE90">
                <wp:simplePos x="0" y="0"/>
                <wp:positionH relativeFrom="column">
                  <wp:posOffset>-4800600</wp:posOffset>
                </wp:positionH>
                <wp:positionV relativeFrom="paragraph">
                  <wp:posOffset>-641985</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sidR="004C273B">
            <w:rPr>
              <w:rFonts w:ascii="Palatino Linotype" w:eastAsia="Palatino Linotype" w:hAnsi="Palatino Linotype" w:cs="Palatino Linotype"/>
              <w:b/>
              <w:sz w:val="22"/>
              <w:szCs w:val="22"/>
            </w:rPr>
            <w:t>10854</w:t>
          </w:r>
          <w:r>
            <w:rPr>
              <w:rFonts w:ascii="Palatino Linotype" w:eastAsia="Palatino Linotype" w:hAnsi="Palatino Linotype" w:cs="Palatino Linotype"/>
              <w:b/>
              <w:sz w:val="22"/>
              <w:szCs w:val="22"/>
            </w:rPr>
            <w:t>/INFOEM/IP/RR/2025</w:t>
          </w:r>
        </w:p>
      </w:tc>
    </w:tr>
    <w:tr w:rsidR="00D7204E" w14:paraId="3CD5D37A" w14:textId="77777777">
      <w:trPr>
        <w:trHeight w:val="228"/>
      </w:trPr>
      <w:tc>
        <w:tcPr>
          <w:tcW w:w="2489" w:type="dxa"/>
          <w:shd w:val="clear" w:color="auto" w:fill="auto"/>
          <w:vAlign w:val="center"/>
        </w:tcPr>
        <w:p w14:paraId="5D9B266F" w14:textId="77777777" w:rsidR="00D7204E" w:rsidRDefault="00D720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41E6357" w14:textId="69B32301" w:rsidR="00D7204E" w:rsidRDefault="004C273B">
          <w:pPr>
            <w:ind w:left="-45" w:right="176"/>
            <w:jc w:val="both"/>
            <w:rPr>
              <w:rFonts w:ascii="Palatino Linotype" w:eastAsia="Palatino Linotype" w:hAnsi="Palatino Linotype" w:cs="Palatino Linotype"/>
              <w:b/>
              <w:sz w:val="22"/>
              <w:szCs w:val="22"/>
            </w:rPr>
          </w:pPr>
          <w:r w:rsidRPr="004C273B">
            <w:rPr>
              <w:rFonts w:ascii="Palatino Linotype" w:eastAsia="Palatino Linotype" w:hAnsi="Palatino Linotype" w:cs="Palatino Linotype"/>
              <w:b/>
              <w:sz w:val="22"/>
              <w:szCs w:val="22"/>
            </w:rPr>
            <w:t>Ayuntamiento de Almoloya de Juárez</w:t>
          </w:r>
        </w:p>
      </w:tc>
    </w:tr>
    <w:tr w:rsidR="00D7204E" w14:paraId="4A406CF8" w14:textId="77777777">
      <w:tc>
        <w:tcPr>
          <w:tcW w:w="2489" w:type="dxa"/>
          <w:shd w:val="clear" w:color="auto" w:fill="auto"/>
          <w:vAlign w:val="center"/>
        </w:tcPr>
        <w:p w14:paraId="721EC51C" w14:textId="77777777" w:rsidR="00D7204E" w:rsidRDefault="00D7204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17CC28D" w14:textId="77777777" w:rsidR="00D7204E" w:rsidRDefault="00D7204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4A14674" w14:textId="77777777" w:rsidR="00D7204E" w:rsidRDefault="00D7204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45FF" w14:textId="77777777" w:rsidR="00D7204E" w:rsidRDefault="00D7204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664C077" wp14:editId="72386D7E">
          <wp:simplePos x="0" y="0"/>
          <wp:positionH relativeFrom="column">
            <wp:posOffset>-1080134</wp:posOffset>
          </wp:positionH>
          <wp:positionV relativeFrom="paragraph">
            <wp:posOffset>-369892</wp:posOffset>
          </wp:positionV>
          <wp:extent cx="7809865" cy="10165715"/>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5953" w:type="dxa"/>
      <w:tblInd w:w="3261" w:type="dxa"/>
      <w:tblLayout w:type="fixed"/>
      <w:tblLook w:val="0400" w:firstRow="0" w:lastRow="0" w:firstColumn="0" w:lastColumn="0" w:noHBand="0" w:noVBand="1"/>
    </w:tblPr>
    <w:tblGrid>
      <w:gridCol w:w="2489"/>
      <w:gridCol w:w="3464"/>
    </w:tblGrid>
    <w:tr w:rsidR="00D7204E" w14:paraId="7EB27161" w14:textId="77777777">
      <w:tc>
        <w:tcPr>
          <w:tcW w:w="2489" w:type="dxa"/>
          <w:shd w:val="clear" w:color="auto" w:fill="auto"/>
        </w:tcPr>
        <w:p w14:paraId="31032DEA" w14:textId="77777777" w:rsidR="00D7204E" w:rsidRDefault="00D720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2054199" w14:textId="37EBC275" w:rsidR="00D7204E" w:rsidRDefault="004C273B" w:rsidP="004C273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10854</w:t>
          </w:r>
          <w:r w:rsidR="00D7204E">
            <w:rPr>
              <w:rFonts w:ascii="Palatino Linotype" w:eastAsia="Palatino Linotype" w:hAnsi="Palatino Linotype" w:cs="Palatino Linotype"/>
              <w:b/>
              <w:sz w:val="22"/>
              <w:szCs w:val="22"/>
            </w:rPr>
            <w:t>/INFOEM/IP/RR/2025</w:t>
          </w:r>
        </w:p>
      </w:tc>
    </w:tr>
    <w:tr w:rsidR="00D7204E" w14:paraId="3DB6A4A9" w14:textId="77777777">
      <w:tc>
        <w:tcPr>
          <w:tcW w:w="2489" w:type="dxa"/>
          <w:shd w:val="clear" w:color="auto" w:fill="auto"/>
        </w:tcPr>
        <w:p w14:paraId="1EB49E89" w14:textId="77777777" w:rsidR="00D7204E" w:rsidRDefault="00D720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1232B0D5" w14:textId="6FF20F6A" w:rsidR="00D7204E" w:rsidRDefault="00971960" w:rsidP="00971960">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XXXXXXXX XXXXX XXXXXXX</w:t>
          </w:r>
        </w:p>
      </w:tc>
    </w:tr>
    <w:tr w:rsidR="00D7204E" w14:paraId="6C9948E1" w14:textId="77777777">
      <w:trPr>
        <w:trHeight w:val="228"/>
      </w:trPr>
      <w:tc>
        <w:tcPr>
          <w:tcW w:w="2489" w:type="dxa"/>
          <w:shd w:val="clear" w:color="auto" w:fill="auto"/>
          <w:vAlign w:val="center"/>
        </w:tcPr>
        <w:p w14:paraId="22D7B399" w14:textId="77777777" w:rsidR="00D7204E" w:rsidRDefault="00D720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811C401" w14:textId="617C5991" w:rsidR="00D7204E" w:rsidRDefault="004C273B">
          <w:pPr>
            <w:ind w:left="-45" w:right="176"/>
            <w:jc w:val="both"/>
            <w:rPr>
              <w:rFonts w:ascii="Palatino Linotype" w:eastAsia="Palatino Linotype" w:hAnsi="Palatino Linotype" w:cs="Palatino Linotype"/>
              <w:b/>
              <w:sz w:val="22"/>
              <w:szCs w:val="22"/>
            </w:rPr>
          </w:pPr>
          <w:r w:rsidRPr="004C273B">
            <w:rPr>
              <w:rFonts w:ascii="Palatino Linotype" w:eastAsia="Palatino Linotype" w:hAnsi="Palatino Linotype" w:cs="Palatino Linotype"/>
              <w:b/>
              <w:sz w:val="22"/>
              <w:szCs w:val="22"/>
            </w:rPr>
            <w:t>Ayuntamiento de Almoloya de Juárez</w:t>
          </w:r>
        </w:p>
      </w:tc>
    </w:tr>
    <w:tr w:rsidR="00D7204E" w14:paraId="2B1C1852" w14:textId="77777777">
      <w:tc>
        <w:tcPr>
          <w:tcW w:w="2489" w:type="dxa"/>
          <w:shd w:val="clear" w:color="auto" w:fill="auto"/>
          <w:vAlign w:val="center"/>
        </w:tcPr>
        <w:p w14:paraId="4F8DDCDE" w14:textId="77777777" w:rsidR="00D7204E" w:rsidRDefault="00D7204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05F17AE" w14:textId="77777777" w:rsidR="00D7204E" w:rsidRDefault="00D7204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DDDEC6" w14:textId="77777777" w:rsidR="00D7204E" w:rsidRDefault="00D7204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F6193"/>
    <w:multiLevelType w:val="multilevel"/>
    <w:tmpl w:val="42AADD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AD561E3"/>
    <w:multiLevelType w:val="multilevel"/>
    <w:tmpl w:val="0F1047C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325938D9"/>
    <w:multiLevelType w:val="multilevel"/>
    <w:tmpl w:val="4E10266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0912925"/>
    <w:multiLevelType w:val="multilevel"/>
    <w:tmpl w:val="6EAE7F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5CA"/>
    <w:rsid w:val="0003239B"/>
    <w:rsid w:val="00033F56"/>
    <w:rsid w:val="00035BF7"/>
    <w:rsid w:val="00062182"/>
    <w:rsid w:val="00091061"/>
    <w:rsid w:val="000B7422"/>
    <w:rsid w:val="000C7806"/>
    <w:rsid w:val="000F4C63"/>
    <w:rsid w:val="001205A1"/>
    <w:rsid w:val="00124573"/>
    <w:rsid w:val="00133F88"/>
    <w:rsid w:val="00150A37"/>
    <w:rsid w:val="00165B01"/>
    <w:rsid w:val="001739EC"/>
    <w:rsid w:val="00203F01"/>
    <w:rsid w:val="00213E19"/>
    <w:rsid w:val="002456A1"/>
    <w:rsid w:val="00255D75"/>
    <w:rsid w:val="00295CB2"/>
    <w:rsid w:val="002D3FC3"/>
    <w:rsid w:val="00394119"/>
    <w:rsid w:val="00394FA6"/>
    <w:rsid w:val="003E39B0"/>
    <w:rsid w:val="00434108"/>
    <w:rsid w:val="00440948"/>
    <w:rsid w:val="00461F82"/>
    <w:rsid w:val="004C273B"/>
    <w:rsid w:val="00512949"/>
    <w:rsid w:val="00565B39"/>
    <w:rsid w:val="005A75CA"/>
    <w:rsid w:val="005D0B42"/>
    <w:rsid w:val="005E09BD"/>
    <w:rsid w:val="00601273"/>
    <w:rsid w:val="0060443E"/>
    <w:rsid w:val="00626BB5"/>
    <w:rsid w:val="00635B4A"/>
    <w:rsid w:val="006954AF"/>
    <w:rsid w:val="006A7899"/>
    <w:rsid w:val="006B4109"/>
    <w:rsid w:val="006C5AD6"/>
    <w:rsid w:val="006C72C4"/>
    <w:rsid w:val="007178AA"/>
    <w:rsid w:val="00730C0F"/>
    <w:rsid w:val="007E1455"/>
    <w:rsid w:val="008178BC"/>
    <w:rsid w:val="008302DA"/>
    <w:rsid w:val="008416B3"/>
    <w:rsid w:val="008862FE"/>
    <w:rsid w:val="008D3563"/>
    <w:rsid w:val="008D6F8B"/>
    <w:rsid w:val="008E3C41"/>
    <w:rsid w:val="00971960"/>
    <w:rsid w:val="00A011FF"/>
    <w:rsid w:val="00A63EAB"/>
    <w:rsid w:val="00A754BF"/>
    <w:rsid w:val="00A82127"/>
    <w:rsid w:val="00AD7DC3"/>
    <w:rsid w:val="00AE1BCD"/>
    <w:rsid w:val="00B118BE"/>
    <w:rsid w:val="00B212EF"/>
    <w:rsid w:val="00B24416"/>
    <w:rsid w:val="00B2448C"/>
    <w:rsid w:val="00B278DC"/>
    <w:rsid w:val="00B57C67"/>
    <w:rsid w:val="00BD3543"/>
    <w:rsid w:val="00BE57AC"/>
    <w:rsid w:val="00BE6FDF"/>
    <w:rsid w:val="00BF27F2"/>
    <w:rsid w:val="00BF2BEC"/>
    <w:rsid w:val="00C15E24"/>
    <w:rsid w:val="00C43C4B"/>
    <w:rsid w:val="00C62D06"/>
    <w:rsid w:val="00C6372B"/>
    <w:rsid w:val="00C710B0"/>
    <w:rsid w:val="00C80A52"/>
    <w:rsid w:val="00CB4FF7"/>
    <w:rsid w:val="00D14A16"/>
    <w:rsid w:val="00D23E2F"/>
    <w:rsid w:val="00D7204E"/>
    <w:rsid w:val="00DC26E1"/>
    <w:rsid w:val="00DD0B0F"/>
    <w:rsid w:val="00E22A4A"/>
    <w:rsid w:val="00E2315B"/>
    <w:rsid w:val="00E26C96"/>
    <w:rsid w:val="00E3627B"/>
    <w:rsid w:val="00E6039F"/>
    <w:rsid w:val="00E70C2D"/>
    <w:rsid w:val="00E83DE2"/>
    <w:rsid w:val="00E96B90"/>
    <w:rsid w:val="00EB5561"/>
    <w:rsid w:val="00F4152A"/>
    <w:rsid w:val="00F93D65"/>
    <w:rsid w:val="00F96807"/>
    <w:rsid w:val="00FA0045"/>
    <w:rsid w:val="00FB77D5"/>
    <w:rsid w:val="00FC11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B5C60"/>
  <w15:docId w15:val="{1A4982B5-CB8A-451E-A332-C2694A25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27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Qr8oyXmASkkdxUHD/BHbVPS6g==">CgMxLjAyCWguM3JkY3JqbjIOaC5kYWozajJ4bzZxNjYyCGguZ2pkZ3hzMgloLjNkeTZ2a20yCWguMzBqMHpsbDIJaC4yczhleW8xMgloLjN6bnlzaDcyCWguMmV0OTJwMDIJaC4xdDNoNXNmMg5oLmhuenhzY2g1Z3lzejIOaC5vdDNxcTZ2eGEwOGYyCGgubG54Yno5OAByITEycGNwNjJrZDZCbW00M09JLWdXbTBFLTItNFhnWVJKag==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7151</Words>
  <Characters>39336</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2025-11-24T16:46:00Z</cp:lastPrinted>
  <dcterms:created xsi:type="dcterms:W3CDTF">2025-12-15T02:18:00Z</dcterms:created>
  <dcterms:modified xsi:type="dcterms:W3CDTF">2025-12-15T02:18:00Z</dcterms:modified>
</cp:coreProperties>
</file>