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A746D" w14:textId="77777777" w:rsidR="004C20A0" w:rsidRPr="00B25F86" w:rsidRDefault="00781C22">
      <w:pPr>
        <w:spacing w:before="240" w:after="0" w:line="360" w:lineRule="auto"/>
        <w:ind w:right="49"/>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veinte de marzo de dos mil veinticinco.</w:t>
      </w:r>
    </w:p>
    <w:p w14:paraId="35815F0D" w14:textId="77777777" w:rsidR="004C20A0" w:rsidRPr="00B25F86" w:rsidRDefault="004C20A0">
      <w:pPr>
        <w:spacing w:after="0" w:line="360" w:lineRule="auto"/>
        <w:ind w:right="49"/>
        <w:jc w:val="both"/>
        <w:rPr>
          <w:rFonts w:ascii="Palatino Linotype" w:eastAsia="Palatino Linotype" w:hAnsi="Palatino Linotype" w:cs="Palatino Linotype"/>
          <w:sz w:val="24"/>
          <w:szCs w:val="24"/>
        </w:rPr>
      </w:pPr>
    </w:p>
    <w:p w14:paraId="3F284D50" w14:textId="77777777" w:rsidR="004C20A0" w:rsidRPr="00B25F86" w:rsidRDefault="00781C22">
      <w:pPr>
        <w:spacing w:after="0" w:line="360" w:lineRule="auto"/>
        <w:ind w:right="51"/>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Visto </w:t>
      </w:r>
      <w:r w:rsidRPr="00B25F86">
        <w:rPr>
          <w:rFonts w:ascii="Palatino Linotype" w:eastAsia="Palatino Linotype" w:hAnsi="Palatino Linotype" w:cs="Palatino Linotype"/>
          <w:sz w:val="24"/>
          <w:szCs w:val="24"/>
        </w:rPr>
        <w:t xml:space="preserve">el expediente relativo al recurso de revisión </w:t>
      </w:r>
      <w:r w:rsidRPr="00B25F86">
        <w:rPr>
          <w:rFonts w:ascii="Palatino Linotype" w:eastAsia="Palatino Linotype" w:hAnsi="Palatino Linotype" w:cs="Palatino Linotype"/>
          <w:b/>
          <w:sz w:val="24"/>
          <w:szCs w:val="24"/>
        </w:rPr>
        <w:t>01094/INFOEM/IP/RR/2025</w:t>
      </w:r>
      <w:r w:rsidRPr="00B25F86">
        <w:rPr>
          <w:rFonts w:ascii="Palatino Linotype" w:eastAsia="Palatino Linotype" w:hAnsi="Palatino Linotype" w:cs="Palatino Linotype"/>
          <w:sz w:val="24"/>
          <w:szCs w:val="24"/>
        </w:rPr>
        <w:t>, interpuesto por</w:t>
      </w:r>
      <w:r w:rsidRPr="00B25F86">
        <w:rPr>
          <w:rFonts w:ascii="Palatino Linotype" w:eastAsia="Palatino Linotype" w:hAnsi="Palatino Linotype" w:cs="Palatino Linotype"/>
          <w:b/>
          <w:sz w:val="24"/>
          <w:szCs w:val="24"/>
        </w:rPr>
        <w:t xml:space="preserve"> un particular de manera anónima</w:t>
      </w:r>
      <w:r w:rsidRPr="00B25F86">
        <w:rPr>
          <w:rFonts w:ascii="Palatino Linotype" w:eastAsia="Palatino Linotype" w:hAnsi="Palatino Linotype" w:cs="Palatino Linotype"/>
          <w:sz w:val="24"/>
          <w:szCs w:val="24"/>
        </w:rPr>
        <w:t xml:space="preserve">, en lo sucesivo se le denominara </w:t>
      </w:r>
      <w:r w:rsidRPr="00B25F86">
        <w:rPr>
          <w:rFonts w:ascii="Palatino Linotype" w:eastAsia="Palatino Linotype" w:hAnsi="Palatino Linotype" w:cs="Palatino Linotype"/>
          <w:b/>
          <w:sz w:val="24"/>
          <w:szCs w:val="24"/>
        </w:rPr>
        <w:t>LA PARTE RECURRENTE</w:t>
      </w:r>
      <w:r w:rsidRPr="00B25F86">
        <w:rPr>
          <w:rFonts w:ascii="Palatino Linotype" w:eastAsia="Palatino Linotype" w:hAnsi="Palatino Linotype" w:cs="Palatino Linotype"/>
          <w:sz w:val="24"/>
          <w:szCs w:val="24"/>
        </w:rPr>
        <w:t xml:space="preserve">, en contra de la falta de respuesta a la solicitud de información con número de folio </w:t>
      </w:r>
      <w:r w:rsidRPr="00B25F86">
        <w:rPr>
          <w:rFonts w:ascii="Palatino Linotype" w:eastAsia="Palatino Linotype" w:hAnsi="Palatino Linotype" w:cs="Palatino Linotype"/>
          <w:b/>
          <w:sz w:val="24"/>
          <w:szCs w:val="24"/>
        </w:rPr>
        <w:t>00351/TOLUCA/IP/2025</w:t>
      </w:r>
      <w:r w:rsidRPr="00B25F86">
        <w:rPr>
          <w:rFonts w:ascii="Palatino Linotype" w:eastAsia="Palatino Linotype" w:hAnsi="Palatino Linotype" w:cs="Palatino Linotype"/>
          <w:sz w:val="24"/>
          <w:szCs w:val="24"/>
        </w:rPr>
        <w:t xml:space="preserve">, por parte del </w:t>
      </w:r>
      <w:r w:rsidRPr="00B25F86">
        <w:rPr>
          <w:rFonts w:ascii="Palatino Linotype" w:eastAsia="Palatino Linotype" w:hAnsi="Palatino Linotype" w:cs="Palatino Linotype"/>
          <w:b/>
          <w:sz w:val="24"/>
          <w:szCs w:val="24"/>
        </w:rPr>
        <w:t>Ayuntamiento de Toluca</w:t>
      </w:r>
      <w:r w:rsidRPr="00B25F86">
        <w:rPr>
          <w:rFonts w:ascii="Palatino Linotype" w:eastAsia="Palatino Linotype" w:hAnsi="Palatino Linotype" w:cs="Palatino Linotype"/>
          <w:sz w:val="24"/>
          <w:szCs w:val="24"/>
        </w:rPr>
        <w:t>, en lo sucesivo</w:t>
      </w:r>
      <w:r w:rsidRPr="00B25F86">
        <w:rPr>
          <w:rFonts w:ascii="Palatino Linotype" w:eastAsia="Palatino Linotype" w:hAnsi="Palatino Linotype" w:cs="Palatino Linotype"/>
          <w:b/>
          <w:sz w:val="24"/>
          <w:szCs w:val="24"/>
        </w:rPr>
        <w:t xml:space="preserve"> EL SUJETO OBLIGADO; </w:t>
      </w:r>
      <w:r w:rsidRPr="00B25F86">
        <w:rPr>
          <w:rFonts w:ascii="Palatino Linotype" w:eastAsia="Palatino Linotype" w:hAnsi="Palatino Linotype" w:cs="Palatino Linotype"/>
          <w:sz w:val="24"/>
          <w:szCs w:val="24"/>
        </w:rPr>
        <w:t>se procede a dictar la presente resolución, con base en lo siguiente.</w:t>
      </w:r>
    </w:p>
    <w:p w14:paraId="082ADCDE" w14:textId="77777777" w:rsidR="004C20A0" w:rsidRPr="00B25F86" w:rsidRDefault="004C20A0"/>
    <w:p w14:paraId="6F67EC37" w14:textId="77777777" w:rsidR="004C20A0" w:rsidRPr="00B25F86" w:rsidRDefault="00781C22">
      <w:pPr>
        <w:pBdr>
          <w:top w:val="nil"/>
          <w:left w:val="nil"/>
          <w:bottom w:val="nil"/>
          <w:right w:val="nil"/>
          <w:between w:val="nil"/>
        </w:pBdr>
        <w:spacing w:after="0" w:line="360" w:lineRule="auto"/>
        <w:ind w:left="1077"/>
        <w:jc w:val="center"/>
        <w:rPr>
          <w:rFonts w:ascii="Palatino Linotype" w:eastAsia="Palatino Linotype" w:hAnsi="Palatino Linotype" w:cs="Palatino Linotype"/>
          <w:b/>
          <w:sz w:val="24"/>
          <w:szCs w:val="24"/>
        </w:rPr>
      </w:pPr>
      <w:r w:rsidRPr="00B25F86">
        <w:rPr>
          <w:rFonts w:ascii="Palatino Linotype" w:eastAsia="Palatino Linotype" w:hAnsi="Palatino Linotype" w:cs="Palatino Linotype"/>
          <w:b/>
          <w:sz w:val="24"/>
          <w:szCs w:val="24"/>
        </w:rPr>
        <w:t>A N T E C E D E N T E S:</w:t>
      </w:r>
    </w:p>
    <w:p w14:paraId="00DDE355" w14:textId="77777777" w:rsidR="004C20A0" w:rsidRPr="00B25F86" w:rsidRDefault="004C20A0">
      <w:pPr>
        <w:pBdr>
          <w:top w:val="nil"/>
          <w:left w:val="nil"/>
          <w:bottom w:val="nil"/>
          <w:right w:val="nil"/>
          <w:between w:val="nil"/>
        </w:pBdr>
        <w:spacing w:after="0" w:line="360" w:lineRule="auto"/>
        <w:ind w:left="1077"/>
        <w:rPr>
          <w:rFonts w:ascii="Palatino Linotype" w:eastAsia="Palatino Linotype" w:hAnsi="Palatino Linotype" w:cs="Palatino Linotype"/>
          <w:b/>
          <w:sz w:val="24"/>
          <w:szCs w:val="24"/>
        </w:rPr>
      </w:pPr>
    </w:p>
    <w:p w14:paraId="5B66F657"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1. SOLICITUD DE ACCESO A LA INFORMACIÓN. </w:t>
      </w:r>
      <w:r w:rsidRPr="00B25F86">
        <w:rPr>
          <w:rFonts w:ascii="Palatino Linotype" w:eastAsia="Palatino Linotype" w:hAnsi="Palatino Linotype" w:cs="Palatino Linotype"/>
          <w:sz w:val="24"/>
          <w:szCs w:val="24"/>
        </w:rPr>
        <w:t xml:space="preserve">Con fecha </w:t>
      </w:r>
      <w:r w:rsidRPr="00B25F86">
        <w:rPr>
          <w:rFonts w:ascii="Palatino Linotype" w:eastAsia="Palatino Linotype" w:hAnsi="Palatino Linotype" w:cs="Palatino Linotype"/>
          <w:b/>
          <w:sz w:val="24"/>
          <w:szCs w:val="24"/>
        </w:rPr>
        <w:t>diecisiete de enero de dos mil veinticinco</w:t>
      </w:r>
      <w:r w:rsidRPr="00B25F86">
        <w:rPr>
          <w:rFonts w:ascii="Palatino Linotype" w:eastAsia="Palatino Linotype" w:hAnsi="Palatino Linotype" w:cs="Palatino Linotype"/>
          <w:sz w:val="24"/>
          <w:szCs w:val="24"/>
        </w:rPr>
        <w:t xml:space="preserve">, </w:t>
      </w:r>
      <w:r w:rsidRPr="00B25F86">
        <w:rPr>
          <w:rFonts w:ascii="Palatino Linotype" w:eastAsia="Palatino Linotype" w:hAnsi="Palatino Linotype" w:cs="Palatino Linotype"/>
          <w:b/>
          <w:sz w:val="24"/>
          <w:szCs w:val="24"/>
        </w:rPr>
        <w:t>LA PARTE</w:t>
      </w:r>
      <w:r w:rsidRPr="00B25F86">
        <w:rPr>
          <w:rFonts w:ascii="Palatino Linotype" w:eastAsia="Palatino Linotype" w:hAnsi="Palatino Linotype" w:cs="Palatino Linotype"/>
          <w:sz w:val="24"/>
          <w:szCs w:val="24"/>
        </w:rPr>
        <w:t xml:space="preserve"> </w:t>
      </w:r>
      <w:r w:rsidRPr="00B25F86">
        <w:rPr>
          <w:rFonts w:ascii="Palatino Linotype" w:eastAsia="Palatino Linotype" w:hAnsi="Palatino Linotype" w:cs="Palatino Linotype"/>
          <w:b/>
          <w:sz w:val="24"/>
          <w:szCs w:val="24"/>
        </w:rPr>
        <w:t xml:space="preserve">RECURRENTE </w:t>
      </w:r>
      <w:r w:rsidRPr="00B25F86">
        <w:rPr>
          <w:rFonts w:ascii="Palatino Linotype" w:eastAsia="Palatino Linotype" w:hAnsi="Palatino Linotype" w:cs="Palatino Linotype"/>
          <w:sz w:val="24"/>
          <w:szCs w:val="24"/>
        </w:rPr>
        <w:t xml:space="preserve">formuló a través del Sistema de Acceso a la Información Mexiquense, en adelante </w:t>
      </w:r>
      <w:r w:rsidRPr="00B25F86">
        <w:rPr>
          <w:rFonts w:ascii="Palatino Linotype" w:eastAsia="Palatino Linotype" w:hAnsi="Palatino Linotype" w:cs="Palatino Linotype"/>
          <w:b/>
          <w:sz w:val="24"/>
          <w:szCs w:val="24"/>
        </w:rPr>
        <w:t>SAIMEX,</w:t>
      </w:r>
      <w:r w:rsidRPr="00B25F86">
        <w:rPr>
          <w:rFonts w:ascii="Palatino Linotype" w:eastAsia="Palatino Linotype" w:hAnsi="Palatino Linotype" w:cs="Palatino Linotype"/>
          <w:sz w:val="24"/>
          <w:szCs w:val="24"/>
        </w:rPr>
        <w:t xml:space="preserve"> solicitud de información al </w:t>
      </w:r>
      <w:r w:rsidRPr="00B25F86">
        <w:rPr>
          <w:rFonts w:ascii="Palatino Linotype" w:eastAsia="Palatino Linotype" w:hAnsi="Palatino Linotype" w:cs="Palatino Linotype"/>
          <w:b/>
          <w:sz w:val="24"/>
          <w:szCs w:val="24"/>
        </w:rPr>
        <w:t>SUJETO OBLIGADO</w:t>
      </w:r>
      <w:r w:rsidRPr="00B25F86">
        <w:rPr>
          <w:rFonts w:ascii="Palatino Linotype" w:eastAsia="Palatino Linotype" w:hAnsi="Palatino Linotype" w:cs="Palatino Linotype"/>
          <w:sz w:val="24"/>
          <w:szCs w:val="24"/>
        </w:rPr>
        <w:t xml:space="preserve"> requiriéndole lo siguiente:</w:t>
      </w:r>
    </w:p>
    <w:p w14:paraId="180545DF"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1D5627EC" w14:textId="77777777" w:rsidR="004C20A0" w:rsidRPr="00B25F86" w:rsidRDefault="00781C22">
      <w:pPr>
        <w:pBdr>
          <w:top w:val="nil"/>
          <w:left w:val="nil"/>
          <w:bottom w:val="nil"/>
          <w:right w:val="nil"/>
          <w:between w:val="nil"/>
        </w:pBdr>
        <w:spacing w:after="0" w:line="360" w:lineRule="auto"/>
        <w:ind w:left="567" w:right="616"/>
        <w:jc w:val="both"/>
        <w:rPr>
          <w:rFonts w:ascii="Palatino Linotype" w:eastAsia="Palatino Linotype" w:hAnsi="Palatino Linotype" w:cs="Palatino Linotype"/>
          <w:i/>
          <w:sz w:val="24"/>
          <w:szCs w:val="24"/>
        </w:rPr>
      </w:pPr>
      <w:r w:rsidRPr="00B25F86">
        <w:rPr>
          <w:rFonts w:ascii="Palatino Linotype" w:eastAsia="Palatino Linotype" w:hAnsi="Palatino Linotype" w:cs="Palatino Linotype"/>
          <w:i/>
          <w:sz w:val="24"/>
          <w:szCs w:val="24"/>
        </w:rPr>
        <w:t xml:space="preserve">“Cuanto dinero se han gastado en su imagen </w:t>
      </w:r>
      <w:proofErr w:type="spellStart"/>
      <w:r w:rsidRPr="00B25F86">
        <w:rPr>
          <w:rFonts w:ascii="Palatino Linotype" w:eastAsia="Palatino Linotype" w:hAnsi="Palatino Linotype" w:cs="Palatino Linotype"/>
          <w:i/>
          <w:sz w:val="24"/>
          <w:szCs w:val="24"/>
        </w:rPr>
        <w:t>imstitunal</w:t>
      </w:r>
      <w:proofErr w:type="spellEnd"/>
      <w:r w:rsidRPr="00B25F86">
        <w:rPr>
          <w:rFonts w:ascii="Palatino Linotype" w:eastAsia="Palatino Linotype" w:hAnsi="Palatino Linotype" w:cs="Palatino Linotype"/>
          <w:i/>
          <w:sz w:val="24"/>
          <w:szCs w:val="24"/>
        </w:rPr>
        <w:t xml:space="preserve">, cuantos y que vehículos se han rotulado, cuantos en hojas, en punta de bardas, en pinta de inmuebles del ayuntamiento qué tipo de vehículos se rotular </w:t>
      </w:r>
      <w:proofErr w:type="spellStart"/>
      <w:r w:rsidRPr="00B25F86">
        <w:rPr>
          <w:rFonts w:ascii="Palatino Linotype" w:eastAsia="Palatino Linotype" w:hAnsi="Palatino Linotype" w:cs="Palatino Linotype"/>
          <w:i/>
          <w:sz w:val="24"/>
          <w:szCs w:val="24"/>
        </w:rPr>
        <w:t>on</w:t>
      </w:r>
      <w:proofErr w:type="spellEnd"/>
      <w:r w:rsidRPr="00B25F86">
        <w:rPr>
          <w:rFonts w:ascii="Palatino Linotype" w:eastAsia="Palatino Linotype" w:hAnsi="Palatino Linotype" w:cs="Palatino Linotype"/>
          <w:i/>
          <w:sz w:val="24"/>
          <w:szCs w:val="24"/>
        </w:rPr>
        <w:t xml:space="preserve"> marca, placas, factura del vehículo, el contrato con la empresa o </w:t>
      </w:r>
      <w:proofErr w:type="spellStart"/>
      <w:r w:rsidRPr="00B25F86">
        <w:rPr>
          <w:rFonts w:ascii="Palatino Linotype" w:eastAsia="Palatino Linotype" w:hAnsi="Palatino Linotype" w:cs="Palatino Linotype"/>
          <w:i/>
          <w:sz w:val="24"/>
          <w:szCs w:val="24"/>
        </w:rPr>
        <w:t>prrovedoe</w:t>
      </w:r>
      <w:proofErr w:type="spellEnd"/>
      <w:r w:rsidRPr="00B25F86">
        <w:rPr>
          <w:rFonts w:ascii="Palatino Linotype" w:eastAsia="Palatino Linotype" w:hAnsi="Palatino Linotype" w:cs="Palatino Linotype"/>
          <w:i/>
          <w:sz w:val="24"/>
          <w:szCs w:val="24"/>
        </w:rPr>
        <w:t xml:space="preserve"> para hacer la </w:t>
      </w:r>
      <w:proofErr w:type="spellStart"/>
      <w:r w:rsidRPr="00B25F86">
        <w:rPr>
          <w:rFonts w:ascii="Palatino Linotype" w:eastAsia="Palatino Linotype" w:hAnsi="Palatino Linotype" w:cs="Palatino Linotype"/>
          <w:i/>
          <w:sz w:val="24"/>
          <w:szCs w:val="24"/>
        </w:rPr>
        <w:t>rotulacaion</w:t>
      </w:r>
      <w:proofErr w:type="spellEnd"/>
      <w:r w:rsidRPr="00B25F86">
        <w:rPr>
          <w:rFonts w:ascii="Palatino Linotype" w:eastAsia="Palatino Linotype" w:hAnsi="Palatino Linotype" w:cs="Palatino Linotype"/>
          <w:i/>
          <w:sz w:val="24"/>
          <w:szCs w:val="24"/>
        </w:rPr>
        <w:t xml:space="preserve">, cuantas patrullas, con los mismos datos, cuantas hojas se </w:t>
      </w:r>
      <w:proofErr w:type="spellStart"/>
      <w:r w:rsidRPr="00B25F86">
        <w:rPr>
          <w:rFonts w:ascii="Palatino Linotype" w:eastAsia="Palatino Linotype" w:hAnsi="Palatino Linotype" w:cs="Palatino Linotype"/>
          <w:i/>
          <w:sz w:val="24"/>
          <w:szCs w:val="24"/>
        </w:rPr>
        <w:t>rotualron</w:t>
      </w:r>
      <w:proofErr w:type="spellEnd"/>
      <w:r w:rsidRPr="00B25F86">
        <w:rPr>
          <w:rFonts w:ascii="Palatino Linotype" w:eastAsia="Palatino Linotype" w:hAnsi="Palatino Linotype" w:cs="Palatino Linotype"/>
          <w:i/>
          <w:sz w:val="24"/>
          <w:szCs w:val="24"/>
        </w:rPr>
        <w:t xml:space="preserve"> con el nuevo </w:t>
      </w:r>
      <w:r w:rsidRPr="00B25F86">
        <w:rPr>
          <w:rFonts w:ascii="Palatino Linotype" w:eastAsia="Palatino Linotype" w:hAnsi="Palatino Linotype" w:cs="Palatino Linotype"/>
          <w:i/>
          <w:sz w:val="24"/>
          <w:szCs w:val="24"/>
        </w:rPr>
        <w:lastRenderedPageBreak/>
        <w:t xml:space="preserve">logo de la administración, y que otro tipo de papelería oficial, manual de identidad y </w:t>
      </w:r>
      <w:proofErr w:type="spellStart"/>
      <w:r w:rsidRPr="00B25F86">
        <w:rPr>
          <w:rFonts w:ascii="Palatino Linotype" w:eastAsia="Palatino Linotype" w:hAnsi="Palatino Linotype" w:cs="Palatino Linotype"/>
          <w:i/>
          <w:sz w:val="24"/>
          <w:szCs w:val="24"/>
        </w:rPr>
        <w:t>qjeinndiseño</w:t>
      </w:r>
      <w:proofErr w:type="spellEnd"/>
      <w:r w:rsidRPr="00B25F86">
        <w:rPr>
          <w:rFonts w:ascii="Palatino Linotype" w:eastAsia="Palatino Linotype" w:hAnsi="Palatino Linotype" w:cs="Palatino Linotype"/>
          <w:i/>
          <w:sz w:val="24"/>
          <w:szCs w:val="24"/>
        </w:rPr>
        <w:t xml:space="preserve"> su logo y cuanto cobro” (Sic)</w:t>
      </w:r>
    </w:p>
    <w:p w14:paraId="0D464D26" w14:textId="77777777" w:rsidR="004C20A0" w:rsidRPr="00B25F86" w:rsidRDefault="004C20A0">
      <w:pPr>
        <w:pBdr>
          <w:top w:val="nil"/>
          <w:left w:val="nil"/>
          <w:bottom w:val="nil"/>
          <w:right w:val="nil"/>
          <w:between w:val="nil"/>
        </w:pBdr>
        <w:spacing w:after="0" w:line="360" w:lineRule="auto"/>
        <w:ind w:left="567" w:right="616"/>
        <w:jc w:val="both"/>
        <w:rPr>
          <w:rFonts w:ascii="Palatino Linotype" w:eastAsia="Palatino Linotype" w:hAnsi="Palatino Linotype" w:cs="Palatino Linotype"/>
          <w:i/>
          <w:sz w:val="24"/>
          <w:szCs w:val="24"/>
        </w:rPr>
      </w:pPr>
    </w:p>
    <w:p w14:paraId="5D0A580F"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Modalidad elegida para la entrega de la información: </w:t>
      </w:r>
      <w:r w:rsidRPr="00B25F86">
        <w:rPr>
          <w:rFonts w:ascii="Palatino Linotype" w:eastAsia="Palatino Linotype" w:hAnsi="Palatino Linotype" w:cs="Palatino Linotype"/>
          <w:sz w:val="24"/>
          <w:szCs w:val="24"/>
        </w:rPr>
        <w:t>a través del SAIMEX.</w:t>
      </w:r>
    </w:p>
    <w:p w14:paraId="70E12C8F"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0977667C"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2. RESPUESTA. EL SUJETO OBLIGADO </w:t>
      </w:r>
      <w:r w:rsidRPr="00B25F86">
        <w:rPr>
          <w:rFonts w:ascii="Palatino Linotype" w:eastAsia="Palatino Linotype" w:hAnsi="Palatino Linotype" w:cs="Palatino Linotype"/>
          <w:sz w:val="24"/>
          <w:szCs w:val="24"/>
        </w:rPr>
        <w:t xml:space="preserve">fue omiso en proporcionar respuesta. </w:t>
      </w:r>
    </w:p>
    <w:p w14:paraId="44A35254" w14:textId="77777777" w:rsidR="004C20A0" w:rsidRPr="00B25F86" w:rsidRDefault="004C20A0">
      <w:pPr>
        <w:spacing w:after="0" w:line="360" w:lineRule="auto"/>
        <w:ind w:right="51"/>
        <w:jc w:val="both"/>
        <w:rPr>
          <w:rFonts w:ascii="Palatino Linotype" w:eastAsia="Palatino Linotype" w:hAnsi="Palatino Linotype" w:cs="Palatino Linotype"/>
          <w:sz w:val="24"/>
          <w:szCs w:val="24"/>
        </w:rPr>
      </w:pPr>
    </w:p>
    <w:p w14:paraId="489A2B98"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3. INTERPOSICIÓN DEL RECURSO DE REVISIÓN. </w:t>
      </w:r>
      <w:r w:rsidRPr="00B25F86">
        <w:rPr>
          <w:rFonts w:ascii="Palatino Linotype" w:eastAsia="Palatino Linotype" w:hAnsi="Palatino Linotype" w:cs="Palatino Linotype"/>
          <w:sz w:val="24"/>
          <w:szCs w:val="24"/>
        </w:rPr>
        <w:t xml:space="preserve">Inconforme la parte solicitante con la falta de respuesta del </w:t>
      </w:r>
      <w:r w:rsidRPr="00B25F86">
        <w:rPr>
          <w:rFonts w:ascii="Palatino Linotype" w:eastAsia="Palatino Linotype" w:hAnsi="Palatino Linotype" w:cs="Palatino Linotype"/>
          <w:b/>
          <w:sz w:val="24"/>
          <w:szCs w:val="24"/>
        </w:rPr>
        <w:t>SUJETO OBLIGADO</w:t>
      </w:r>
      <w:r w:rsidRPr="00B25F86">
        <w:rPr>
          <w:rFonts w:ascii="Palatino Linotype" w:eastAsia="Palatino Linotype" w:hAnsi="Palatino Linotype" w:cs="Palatino Linotype"/>
          <w:sz w:val="24"/>
          <w:szCs w:val="24"/>
        </w:rPr>
        <w:t xml:space="preserve">, interpuso recurso de revisión a través del SAIMEX en fecha </w:t>
      </w:r>
      <w:r w:rsidRPr="00B25F86">
        <w:rPr>
          <w:rFonts w:ascii="Palatino Linotype" w:eastAsia="Palatino Linotype" w:hAnsi="Palatino Linotype" w:cs="Palatino Linotype"/>
          <w:b/>
          <w:sz w:val="24"/>
          <w:szCs w:val="24"/>
        </w:rPr>
        <w:t>once de febrero de dos mil veinticinco</w:t>
      </w:r>
      <w:r w:rsidRPr="00B25F86">
        <w:rPr>
          <w:rFonts w:ascii="Palatino Linotype" w:eastAsia="Palatino Linotype" w:hAnsi="Palatino Linotype" w:cs="Palatino Linotype"/>
          <w:sz w:val="24"/>
          <w:szCs w:val="24"/>
        </w:rPr>
        <w:t>, expresando lo siguiente:</w:t>
      </w:r>
    </w:p>
    <w:p w14:paraId="5D874035"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8B710DD" w14:textId="77777777" w:rsidR="004C20A0" w:rsidRPr="00B25F86" w:rsidRDefault="00781C22">
      <w:pPr>
        <w:spacing w:after="0" w:line="360" w:lineRule="auto"/>
        <w:ind w:left="567" w:right="616"/>
        <w:jc w:val="both"/>
        <w:rPr>
          <w:rFonts w:ascii="Palatino Linotype" w:eastAsia="Palatino Linotype" w:hAnsi="Palatino Linotype" w:cs="Palatino Linotype"/>
          <w:b/>
          <w:i/>
        </w:rPr>
      </w:pPr>
      <w:r w:rsidRPr="00B25F86">
        <w:rPr>
          <w:rFonts w:ascii="Palatino Linotype" w:eastAsia="Palatino Linotype" w:hAnsi="Palatino Linotype" w:cs="Palatino Linotype"/>
          <w:b/>
          <w:i/>
        </w:rPr>
        <w:t xml:space="preserve">a) Acto impugnado. </w:t>
      </w:r>
      <w:r w:rsidRPr="00B25F86">
        <w:rPr>
          <w:rFonts w:ascii="Palatino Linotype" w:eastAsia="Palatino Linotype" w:hAnsi="Palatino Linotype" w:cs="Palatino Linotype"/>
          <w:i/>
        </w:rPr>
        <w:t>“no contestaron la solicitud”</w:t>
      </w:r>
    </w:p>
    <w:p w14:paraId="120EBF70" w14:textId="77777777" w:rsidR="004C20A0" w:rsidRPr="00B25F86" w:rsidRDefault="004C20A0">
      <w:pPr>
        <w:spacing w:after="0" w:line="360" w:lineRule="auto"/>
        <w:ind w:left="567" w:right="616"/>
        <w:rPr>
          <w:rFonts w:ascii="Palatino Linotype" w:eastAsia="Palatino Linotype" w:hAnsi="Palatino Linotype" w:cs="Palatino Linotype"/>
          <w:b/>
          <w:sz w:val="24"/>
          <w:szCs w:val="24"/>
        </w:rPr>
      </w:pPr>
    </w:p>
    <w:p w14:paraId="5AD2D44C" w14:textId="77777777" w:rsidR="004C20A0" w:rsidRPr="00B25F86" w:rsidRDefault="00781C22">
      <w:pPr>
        <w:spacing w:after="0" w:line="360" w:lineRule="auto"/>
        <w:ind w:left="567" w:right="616"/>
        <w:jc w:val="both"/>
        <w:rPr>
          <w:rFonts w:ascii="Palatino Linotype" w:eastAsia="Palatino Linotype" w:hAnsi="Palatino Linotype" w:cs="Palatino Linotype"/>
        </w:rPr>
      </w:pPr>
      <w:r w:rsidRPr="00B25F86">
        <w:rPr>
          <w:rFonts w:ascii="Palatino Linotype" w:eastAsia="Palatino Linotype" w:hAnsi="Palatino Linotype" w:cs="Palatino Linotype"/>
          <w:b/>
        </w:rPr>
        <w:t xml:space="preserve">b) Motivos de inconformidad. </w:t>
      </w:r>
      <w:r w:rsidRPr="00B25F86">
        <w:rPr>
          <w:rFonts w:ascii="Palatino Linotype" w:eastAsia="Palatino Linotype" w:hAnsi="Palatino Linotype" w:cs="Palatino Linotype"/>
          <w:i/>
        </w:rPr>
        <w:t>“no contestaron la solicitud”</w:t>
      </w:r>
    </w:p>
    <w:p w14:paraId="652752AE" w14:textId="77777777" w:rsidR="004C20A0" w:rsidRPr="00B25F86" w:rsidRDefault="004C20A0">
      <w:pPr>
        <w:spacing w:after="0" w:line="360" w:lineRule="auto"/>
        <w:jc w:val="both"/>
        <w:rPr>
          <w:rFonts w:ascii="Palatino Linotype" w:eastAsia="Palatino Linotype" w:hAnsi="Palatino Linotype" w:cs="Palatino Linotype"/>
          <w:i/>
          <w:sz w:val="24"/>
          <w:szCs w:val="24"/>
        </w:rPr>
      </w:pPr>
    </w:p>
    <w:p w14:paraId="309BCCB5"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4. TURNO. </w:t>
      </w:r>
      <w:r w:rsidRPr="00B25F86">
        <w:rPr>
          <w:rFonts w:ascii="Palatino Linotype" w:eastAsia="Palatino Linotype" w:hAnsi="Palatino Linotype" w:cs="Palatino Linotype"/>
          <w:sz w:val="24"/>
          <w:szCs w:val="24"/>
        </w:rPr>
        <w:t>De conformidad con el artículo 185 Fracción I de la Ley Transparencia y Acceso a la Información Pública, el recurso de revisión número</w:t>
      </w:r>
      <w:r w:rsidRPr="00B25F86">
        <w:rPr>
          <w:rFonts w:ascii="Palatino Linotype" w:eastAsia="Palatino Linotype" w:hAnsi="Palatino Linotype" w:cs="Palatino Linotype"/>
          <w:b/>
          <w:sz w:val="24"/>
          <w:szCs w:val="24"/>
        </w:rPr>
        <w:t xml:space="preserve"> 01094/INFOEM/IP/RR/2025 </w:t>
      </w:r>
      <w:r w:rsidRPr="00B25F86">
        <w:rPr>
          <w:rFonts w:ascii="Palatino Linotype" w:eastAsia="Palatino Linotype" w:hAnsi="Palatino Linotype" w:cs="Palatino Linotype"/>
          <w:sz w:val="24"/>
          <w:szCs w:val="24"/>
        </w:rPr>
        <w:t xml:space="preserve">fue turnado a la Comisionada Ponente </w:t>
      </w:r>
      <w:r w:rsidRPr="00B25F86">
        <w:rPr>
          <w:rFonts w:ascii="Palatino Linotype" w:eastAsia="Palatino Linotype" w:hAnsi="Palatino Linotype" w:cs="Palatino Linotype"/>
          <w:b/>
          <w:sz w:val="24"/>
          <w:szCs w:val="24"/>
        </w:rPr>
        <w:t>Guadalupe Ramírez Peña</w:t>
      </w:r>
      <w:r w:rsidRPr="00B25F86">
        <w:rPr>
          <w:rFonts w:ascii="Palatino Linotype" w:eastAsia="Palatino Linotype" w:hAnsi="Palatino Linotype" w:cs="Palatino Linotype"/>
          <w:sz w:val="24"/>
          <w:szCs w:val="24"/>
        </w:rPr>
        <w:t>, a efecto de presentar al Pleno el proyecto de resolución correspondiente.</w:t>
      </w:r>
    </w:p>
    <w:p w14:paraId="6408FA04"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476C697B"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5. ADMISIÓN. </w:t>
      </w:r>
      <w:r w:rsidRPr="00B25F86">
        <w:rPr>
          <w:rFonts w:ascii="Palatino Linotype" w:eastAsia="Palatino Linotype" w:hAnsi="Palatino Linotype" w:cs="Palatino Linotype"/>
          <w:sz w:val="24"/>
          <w:szCs w:val="24"/>
        </w:rPr>
        <w:t xml:space="preserve">En fecha </w:t>
      </w:r>
      <w:r w:rsidRPr="00B25F86">
        <w:rPr>
          <w:rFonts w:ascii="Palatino Linotype" w:eastAsia="Palatino Linotype" w:hAnsi="Palatino Linotype" w:cs="Palatino Linotype"/>
          <w:b/>
          <w:sz w:val="24"/>
          <w:szCs w:val="24"/>
        </w:rPr>
        <w:t>trece de febrero de dos mil veinticinco</w:t>
      </w:r>
      <w:r w:rsidRPr="00B25F86">
        <w:rPr>
          <w:rFonts w:ascii="Palatino Linotype" w:eastAsia="Palatino Linotype" w:hAnsi="Palatino Linotype" w:cs="Palatino Linotype"/>
          <w:sz w:val="24"/>
          <w:szCs w:val="24"/>
        </w:rPr>
        <w:t xml:space="preserve">, en términos de lo dispuesto en el artículo 185 fracciones I, II y IV de la Ley de Transparencia y Acceso </w:t>
      </w:r>
      <w:r w:rsidRPr="00B25F86">
        <w:rPr>
          <w:rFonts w:ascii="Palatino Linotype" w:eastAsia="Palatino Linotype" w:hAnsi="Palatino Linotype" w:cs="Palatino Linotype"/>
          <w:sz w:val="24"/>
          <w:szCs w:val="24"/>
        </w:rPr>
        <w:lastRenderedPageBreak/>
        <w:t>a la Información Pública del Estado de México y Municipios, se admitió a trámite el recurso de revisión al rubro indicado.</w:t>
      </w:r>
    </w:p>
    <w:p w14:paraId="25178175" w14:textId="77777777" w:rsidR="004C20A0" w:rsidRPr="00B25F86" w:rsidRDefault="004C20A0">
      <w:pPr>
        <w:rPr>
          <w:rFonts w:ascii="Palatino Linotype" w:eastAsia="Palatino Linotype" w:hAnsi="Palatino Linotype" w:cs="Palatino Linotype"/>
          <w:sz w:val="24"/>
          <w:szCs w:val="24"/>
        </w:rPr>
      </w:pPr>
    </w:p>
    <w:p w14:paraId="11CE1CF4" w14:textId="77777777" w:rsidR="004C20A0" w:rsidRPr="00B25F86" w:rsidRDefault="00781C22">
      <w:pPr>
        <w:spacing w:after="0" w:line="360" w:lineRule="auto"/>
        <w:ind w:right="49"/>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6. MANIFESTACIONES</w:t>
      </w:r>
      <w:r w:rsidRPr="00B25F86">
        <w:rPr>
          <w:rFonts w:ascii="Palatino Linotype" w:eastAsia="Palatino Linotype" w:hAnsi="Palatino Linotype" w:cs="Palatino Linotype"/>
          <w:sz w:val="24"/>
          <w:szCs w:val="24"/>
        </w:rPr>
        <w:t xml:space="preserve">. Con fecha veinticuatro de febrero de dos mil veinticinco se recibió, a través del Sistema de Acceso a la Información Mexiquense (SAIMEX), el informe justificado del </w:t>
      </w:r>
      <w:r w:rsidRPr="00B25F86">
        <w:rPr>
          <w:rFonts w:ascii="Palatino Linotype" w:eastAsia="Palatino Linotype" w:hAnsi="Palatino Linotype" w:cs="Palatino Linotype"/>
          <w:b/>
          <w:sz w:val="24"/>
          <w:szCs w:val="24"/>
        </w:rPr>
        <w:t>SUJETO OBLIGADO</w:t>
      </w:r>
      <w:r w:rsidRPr="00B25F86">
        <w:rPr>
          <w:rFonts w:ascii="Palatino Linotype" w:eastAsia="Palatino Linotype" w:hAnsi="Palatino Linotype" w:cs="Palatino Linotype"/>
          <w:sz w:val="24"/>
          <w:szCs w:val="24"/>
        </w:rPr>
        <w:t>,</w:t>
      </w:r>
      <w:r w:rsidRPr="00B25F86">
        <w:rPr>
          <w:rFonts w:ascii="Palatino Linotype" w:eastAsia="Palatino Linotype" w:hAnsi="Palatino Linotype" w:cs="Palatino Linotype"/>
          <w:b/>
          <w:sz w:val="24"/>
          <w:szCs w:val="24"/>
        </w:rPr>
        <w:t xml:space="preserve"> </w:t>
      </w:r>
      <w:r w:rsidRPr="00B25F86">
        <w:rPr>
          <w:rFonts w:ascii="Palatino Linotype" w:eastAsia="Palatino Linotype" w:hAnsi="Palatino Linotype" w:cs="Palatino Linotype"/>
          <w:sz w:val="24"/>
          <w:szCs w:val="24"/>
        </w:rPr>
        <w:t xml:space="preserve">a través de los siguientes archivos electrónicos: </w:t>
      </w:r>
    </w:p>
    <w:p w14:paraId="2B398001" w14:textId="77777777" w:rsidR="004C20A0" w:rsidRPr="00B25F86" w:rsidRDefault="004C20A0">
      <w:pPr>
        <w:spacing w:after="0" w:line="360" w:lineRule="auto"/>
        <w:ind w:right="49"/>
        <w:jc w:val="both"/>
        <w:rPr>
          <w:rFonts w:ascii="Palatino Linotype" w:eastAsia="Palatino Linotype" w:hAnsi="Palatino Linotype" w:cs="Palatino Linotype"/>
          <w:sz w:val="24"/>
          <w:szCs w:val="24"/>
        </w:rPr>
      </w:pPr>
    </w:p>
    <w:p w14:paraId="57F06527" w14:textId="77777777" w:rsidR="004C20A0" w:rsidRPr="00B25F86" w:rsidRDefault="00781C22">
      <w:pPr>
        <w:spacing w:after="0" w:line="360" w:lineRule="auto"/>
        <w:ind w:right="49"/>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w:t>
      </w:r>
      <w:r w:rsidRPr="00B25F86">
        <w:rPr>
          <w:rFonts w:ascii="Palatino Linotype" w:eastAsia="Palatino Linotype" w:hAnsi="Palatino Linotype" w:cs="Palatino Linotype"/>
          <w:b/>
          <w:i/>
          <w:sz w:val="24"/>
          <w:szCs w:val="24"/>
          <w:u w:val="single"/>
        </w:rPr>
        <w:t>Informe Justificado 1094.pdf</w:t>
      </w:r>
      <w:r w:rsidRPr="00B25F86">
        <w:rPr>
          <w:rFonts w:ascii="Palatino Linotype" w:eastAsia="Palatino Linotype" w:hAnsi="Palatino Linotype" w:cs="Palatino Linotype"/>
          <w:sz w:val="24"/>
          <w:szCs w:val="24"/>
        </w:rPr>
        <w:t xml:space="preserve">”: Oficio de fecha diecinueve de febrero de dos mil veinticinco, signado por el Titular de la Unidad de Transparencia, mediante el cual describe las constancias que obran en el SAIMEX, señalando que la solicitud se turnó a las áreas competente y que cuentan con la información o deban tenerla de acuerdo a sus facultades, competencias y funciones, con el objeto de realizar una búsqueda exhaustiva y razonable de la información solicitada, estableciendo que aún y cuando hubo un pronunciamiento, el recurrente no está facultado para manifestarse sobre la veracidad, por lo que en términos generales, requiere se confirme la respuesta. </w:t>
      </w:r>
    </w:p>
    <w:p w14:paraId="3C656B40"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19D0472D"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w:t>
      </w:r>
      <w:r w:rsidRPr="00B25F86">
        <w:rPr>
          <w:rFonts w:ascii="Palatino Linotype" w:eastAsia="Palatino Linotype" w:hAnsi="Palatino Linotype" w:cs="Palatino Linotype"/>
          <w:b/>
          <w:i/>
          <w:sz w:val="24"/>
          <w:szCs w:val="24"/>
          <w:u w:val="single"/>
        </w:rPr>
        <w:t>Respuesta 351.pdf</w:t>
      </w:r>
      <w:r w:rsidRPr="00B25F86">
        <w:rPr>
          <w:rFonts w:ascii="Palatino Linotype" w:eastAsia="Palatino Linotype" w:hAnsi="Palatino Linotype" w:cs="Palatino Linotype"/>
          <w:sz w:val="24"/>
          <w:szCs w:val="24"/>
        </w:rPr>
        <w:t xml:space="preserve">”: Oficio de fecha diez de febrero de dos mil veinticinco, signado por el Titular de la Unidad de Transparencia, mediante el cual señala que la Dirección General de Administración señaló que de una búsqueda exhaustiva en sus archivos y departamentos, no se localizó  la información solicitada, por no ser materia de su competencia. </w:t>
      </w:r>
    </w:p>
    <w:p w14:paraId="6647436A"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lastRenderedPageBreak/>
        <w:t>La Tesorería Municipal, informó que a la fecha no se ha remitido a la Tesorería Municipal documentación que dé cuenta de lo solicitado, por lo que no es posible entregar lo solicitado.</w:t>
      </w:r>
    </w:p>
    <w:p w14:paraId="56F230F1"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44C7BEC"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La Dirección General de Seguridad y Protección Ciudadana, informó que dentro del parque vehicular de la Dirección General de Seguridad y Protección no se ha realizado la rotulación de ninguna patrulla con la nueva imagen institucional, con relación a la papelería utilizada en la Coordinación Administrativa y sus departamentos no se han adquirido con la imagen institucional.</w:t>
      </w:r>
    </w:p>
    <w:p w14:paraId="253AD591"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5D1FE46E" w14:textId="77777777" w:rsidR="004C20A0" w:rsidRPr="00B25F86" w:rsidRDefault="00781C22">
      <w:pPr>
        <w:spacing w:after="0" w:line="360" w:lineRule="auto"/>
        <w:ind w:right="49"/>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Documentos que se pusieron a la vista de </w:t>
      </w:r>
      <w:r w:rsidRPr="00B25F86">
        <w:rPr>
          <w:rFonts w:ascii="Palatino Linotype" w:eastAsia="Palatino Linotype" w:hAnsi="Palatino Linotype" w:cs="Palatino Linotype"/>
          <w:b/>
          <w:sz w:val="24"/>
          <w:szCs w:val="24"/>
        </w:rPr>
        <w:t xml:space="preserve">LA PARTE RECURRENTE </w:t>
      </w:r>
      <w:r w:rsidRPr="00B25F86">
        <w:rPr>
          <w:rFonts w:ascii="Palatino Linotype" w:eastAsia="Palatino Linotype" w:hAnsi="Palatino Linotype" w:cs="Palatino Linotype"/>
          <w:sz w:val="24"/>
          <w:szCs w:val="24"/>
        </w:rPr>
        <w:t xml:space="preserve">en fecha diez de marzo de dos mil veinticinco, mismo que resultó omiso de emitir sus manifestaciones, conforme a derecho le corresponde. </w:t>
      </w:r>
    </w:p>
    <w:p w14:paraId="2B8B381D" w14:textId="77777777" w:rsidR="004C20A0" w:rsidRPr="00B25F86" w:rsidRDefault="004C20A0"/>
    <w:p w14:paraId="16F47672"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7. CIERRE DE INSTRUCCIÓN. </w:t>
      </w:r>
      <w:r w:rsidRPr="00B25F86">
        <w:rPr>
          <w:rFonts w:ascii="Palatino Linotype" w:eastAsia="Palatino Linotype" w:hAnsi="Palatino Linotype" w:cs="Palatino Linotype"/>
          <w:sz w:val="24"/>
          <w:szCs w:val="24"/>
        </w:rPr>
        <w:t xml:space="preserve">Una vez transcurrido el periodo otorgado a las partes para realizar sus manifestaciones y no habiendo documentos que integrar al expediente, con fecha </w:t>
      </w:r>
      <w:r w:rsidRPr="00B25F86">
        <w:rPr>
          <w:rFonts w:ascii="Palatino Linotype" w:eastAsia="Palatino Linotype" w:hAnsi="Palatino Linotype" w:cs="Palatino Linotype"/>
          <w:b/>
          <w:sz w:val="24"/>
          <w:szCs w:val="24"/>
        </w:rPr>
        <w:t>catorce de marzo de dos mil veinticinco</w:t>
      </w:r>
      <w:r w:rsidRPr="00B25F86">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3B70B8F3"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6E740B54"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lastRenderedPageBreak/>
        <w:t xml:space="preserve">En razón de que fue debidamente sustanciado el expediente electrónico y no existe diligencia pendiente de desahogo, se emite la Resolución que conforme a Derecho proceda, de acuerdo con los siguientes: </w:t>
      </w:r>
    </w:p>
    <w:p w14:paraId="74E39989"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5A861F12" w14:textId="77777777" w:rsidR="004C20A0" w:rsidRPr="00B25F86" w:rsidRDefault="00781C22">
      <w:pPr>
        <w:widowControl w:val="0"/>
        <w:spacing w:after="0" w:line="360" w:lineRule="auto"/>
        <w:jc w:val="center"/>
        <w:rPr>
          <w:rFonts w:ascii="Palatino Linotype" w:eastAsia="Palatino Linotype" w:hAnsi="Palatino Linotype" w:cs="Palatino Linotype"/>
          <w:b/>
          <w:sz w:val="24"/>
          <w:szCs w:val="24"/>
        </w:rPr>
      </w:pPr>
      <w:r w:rsidRPr="00B25F86">
        <w:rPr>
          <w:rFonts w:ascii="Palatino Linotype" w:eastAsia="Palatino Linotype" w:hAnsi="Palatino Linotype" w:cs="Palatino Linotype"/>
          <w:b/>
        </w:rPr>
        <w:t xml:space="preserve">C O </w:t>
      </w:r>
      <w:r w:rsidRPr="00B25F86">
        <w:rPr>
          <w:rFonts w:ascii="Palatino Linotype" w:eastAsia="Palatino Linotype" w:hAnsi="Palatino Linotype" w:cs="Palatino Linotype"/>
          <w:b/>
          <w:sz w:val="24"/>
          <w:szCs w:val="24"/>
        </w:rPr>
        <w:t>N S I D E R A N D O S</w:t>
      </w:r>
    </w:p>
    <w:p w14:paraId="6662CA95" w14:textId="77777777" w:rsidR="004C20A0" w:rsidRPr="00B25F86" w:rsidRDefault="004C20A0">
      <w:pPr>
        <w:widowControl w:val="0"/>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7702962F"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PRIMERO. COMPETENCIA. </w:t>
      </w:r>
      <w:r w:rsidRPr="00B25F86">
        <w:rPr>
          <w:rFonts w:ascii="Palatino Linotype" w:eastAsia="Palatino Linotype" w:hAnsi="Palatino Linotype" w:cs="Palatino Linotype"/>
          <w:sz w:val="24"/>
          <w:szCs w:val="24"/>
        </w:rPr>
        <w:t xml:space="preserve">El Instituto de Transparencia, Acceso a la Información Pública y Protección de Datos Personales del Estado de México y Municipios, es competente para conocer y resolver el presente recurso de revisión interpuesto por </w:t>
      </w:r>
      <w:r w:rsidRPr="00B25F86">
        <w:rPr>
          <w:rFonts w:ascii="Palatino Linotype" w:eastAsia="Palatino Linotype" w:hAnsi="Palatino Linotype" w:cs="Palatino Linotype"/>
          <w:b/>
          <w:sz w:val="24"/>
          <w:szCs w:val="24"/>
        </w:rPr>
        <w:t>LA PARTE</w:t>
      </w:r>
      <w:r w:rsidRPr="00B25F86">
        <w:rPr>
          <w:rFonts w:ascii="Palatino Linotype" w:eastAsia="Palatino Linotype" w:hAnsi="Palatino Linotype" w:cs="Palatino Linotype"/>
          <w:sz w:val="24"/>
          <w:szCs w:val="24"/>
        </w:rPr>
        <w:t xml:space="preserve"> </w:t>
      </w:r>
      <w:r w:rsidRPr="00B25F86">
        <w:rPr>
          <w:rFonts w:ascii="Palatino Linotype" w:eastAsia="Palatino Linotype" w:hAnsi="Palatino Linotype" w:cs="Palatino Linotype"/>
          <w:b/>
          <w:sz w:val="24"/>
          <w:szCs w:val="24"/>
        </w:rPr>
        <w:t>RECURRENTE</w:t>
      </w:r>
      <w:r w:rsidRPr="00B25F86">
        <w:rPr>
          <w:rFonts w:ascii="Palatino Linotype" w:eastAsia="Palatino Linotype" w:hAnsi="Palatino Linotype" w:cs="Palatino Linotype"/>
          <w:sz w:val="24"/>
          <w:szCs w:val="24"/>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9488408"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DFE0398"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SEGUNDO. OPORTUNIDAD Y PROCEDIBILIDAD DEL RECURSO DE REVISIÓN. </w:t>
      </w:r>
      <w:r w:rsidRPr="00B25F86">
        <w:rPr>
          <w:rFonts w:ascii="Palatino Linotype" w:eastAsia="Palatino Linotype" w:hAnsi="Palatino Linotype" w:cs="Palatino Linotype"/>
          <w:sz w:val="24"/>
          <w:szCs w:val="24"/>
        </w:rPr>
        <w:t>Por cuanto hace a la oportunidad del recurso de revisión</w:t>
      </w:r>
      <w:r w:rsidRPr="00B25F86">
        <w:rPr>
          <w:rFonts w:ascii="Palatino Linotype" w:eastAsia="Palatino Linotype" w:hAnsi="Palatino Linotype" w:cs="Palatino Linotype"/>
          <w:b/>
          <w:sz w:val="24"/>
          <w:szCs w:val="24"/>
        </w:rPr>
        <w:t xml:space="preserve"> </w:t>
      </w:r>
      <w:r w:rsidRPr="00B25F86">
        <w:rPr>
          <w:rFonts w:ascii="Palatino Linotype" w:eastAsia="Palatino Linotype" w:hAnsi="Palatino Linotype" w:cs="Palatino Linotype"/>
          <w:sz w:val="24"/>
          <w:szCs w:val="24"/>
        </w:rPr>
        <w:t xml:space="preserve">es necesario considerar lo previsto en los artículos 163, párrafo primero; 166, penúltimo párrafo y 178, párrafo segundo; de la Ley de Transparencia y Acceso a la Información </w:t>
      </w:r>
      <w:r w:rsidRPr="00B25F86">
        <w:rPr>
          <w:rFonts w:ascii="Palatino Linotype" w:eastAsia="Palatino Linotype" w:hAnsi="Palatino Linotype" w:cs="Palatino Linotype"/>
          <w:sz w:val="24"/>
          <w:szCs w:val="24"/>
        </w:rPr>
        <w:lastRenderedPageBreak/>
        <w:t>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04DCAC26"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0C4DDB0"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Derivado de lo anterior, se constituye la figura jurídica de la </w:t>
      </w:r>
      <w:r w:rsidRPr="00B25F86">
        <w:rPr>
          <w:rFonts w:ascii="Palatino Linotype" w:eastAsia="Palatino Linotype" w:hAnsi="Palatino Linotype" w:cs="Palatino Linotype"/>
          <w:b/>
          <w:sz w:val="24"/>
          <w:szCs w:val="24"/>
        </w:rPr>
        <w:t>NEGATIVA FICTA</w:t>
      </w:r>
      <w:r w:rsidRPr="00B25F86">
        <w:rPr>
          <w:rFonts w:ascii="Palatino Linotype" w:eastAsia="Palatino Linotype" w:hAnsi="Palatino Linotype" w:cs="Palatino Linotype"/>
          <w:sz w:val="24"/>
          <w:szCs w:val="24"/>
        </w:rPr>
        <w:t>, cuya esencia consiste en atribuir un efecto negativo al silencio de la autoridad administrativa frente a las instancias y solicitudes que hagan los particulares.</w:t>
      </w:r>
    </w:p>
    <w:p w14:paraId="3B795F09"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3A3FBBA7"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De tal manera, en el presente recurso de revisión se actualizó la negativa ficta por parte del </w:t>
      </w:r>
      <w:r w:rsidRPr="00B25F86">
        <w:rPr>
          <w:rFonts w:ascii="Palatino Linotype" w:eastAsia="Palatino Linotype" w:hAnsi="Palatino Linotype" w:cs="Palatino Linotype"/>
          <w:b/>
          <w:sz w:val="24"/>
          <w:szCs w:val="24"/>
        </w:rPr>
        <w:t>SUJETO OBLIGADO</w:t>
      </w:r>
      <w:r w:rsidRPr="00B25F86">
        <w:rPr>
          <w:rFonts w:ascii="Palatino Linotype" w:eastAsia="Palatino Linotype" w:hAnsi="Palatino Linotype" w:cs="Palatino Linotype"/>
          <w:sz w:val="24"/>
          <w:szCs w:val="24"/>
        </w:rPr>
        <w:t xml:space="preserve"> al no haber respondido a </w:t>
      </w:r>
      <w:r w:rsidRPr="00B25F86">
        <w:rPr>
          <w:rFonts w:ascii="Palatino Linotype" w:eastAsia="Palatino Linotype" w:hAnsi="Palatino Linotype" w:cs="Palatino Linotype"/>
          <w:b/>
          <w:sz w:val="24"/>
          <w:szCs w:val="24"/>
        </w:rPr>
        <w:t>LA PARTE</w:t>
      </w:r>
      <w:r w:rsidRPr="00B25F86">
        <w:rPr>
          <w:rFonts w:ascii="Palatino Linotype" w:eastAsia="Palatino Linotype" w:hAnsi="Palatino Linotype" w:cs="Palatino Linotype"/>
          <w:sz w:val="24"/>
          <w:szCs w:val="24"/>
        </w:rPr>
        <w:t xml:space="preserve"> </w:t>
      </w:r>
      <w:r w:rsidRPr="00B25F86">
        <w:rPr>
          <w:rFonts w:ascii="Palatino Linotype" w:eastAsia="Palatino Linotype" w:hAnsi="Palatino Linotype" w:cs="Palatino Linotype"/>
          <w:b/>
          <w:sz w:val="24"/>
          <w:szCs w:val="24"/>
        </w:rPr>
        <w:t>RECURRENTE</w:t>
      </w:r>
      <w:r w:rsidRPr="00B25F86">
        <w:rPr>
          <w:rFonts w:ascii="Palatino Linotype" w:eastAsia="Palatino Linotype" w:hAnsi="Palatino Linotype" w:cs="Palatino Linotype"/>
          <w:sz w:val="24"/>
          <w:szCs w:val="24"/>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3A0ED846"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668BD0C4"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lastRenderedPageBreak/>
        <w:t>Si a ello se le suma lo previsto en el párrafo segundo del artículo 178, párrafo segundo</w:t>
      </w:r>
      <w:r w:rsidRPr="00B25F86">
        <w:rPr>
          <w:rFonts w:ascii="Palatino Linotype" w:eastAsia="Palatino Linotype" w:hAnsi="Palatino Linotype" w:cs="Palatino Linotype"/>
          <w:sz w:val="24"/>
          <w:szCs w:val="24"/>
          <w:vertAlign w:val="superscript"/>
        </w:rPr>
        <w:footnoteReference w:id="1"/>
      </w:r>
      <w:r w:rsidRPr="00B25F86">
        <w:rPr>
          <w:rFonts w:ascii="Palatino Linotype" w:eastAsia="Palatino Linotype" w:hAnsi="Palatino Linotype" w:cs="Palatino Linotype"/>
          <w:sz w:val="24"/>
          <w:szCs w:val="24"/>
        </w:rPr>
        <w:t xml:space="preserve"> de la Ley de Transparencia y Acceso a la Información Pública vigente en la entidad.</w:t>
      </w:r>
    </w:p>
    <w:p w14:paraId="1CD4D927"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C9B80DD"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64AB7400"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08E1C69" w14:textId="77777777" w:rsidR="004C20A0" w:rsidRPr="00B25F86" w:rsidRDefault="00781C22">
      <w:pPr>
        <w:spacing w:after="0" w:line="276" w:lineRule="auto"/>
        <w:ind w:left="567" w:right="618"/>
        <w:jc w:val="both"/>
        <w:rPr>
          <w:rFonts w:ascii="Palatino Linotype" w:eastAsia="Palatino Linotype" w:hAnsi="Palatino Linotype" w:cs="Palatino Linotype"/>
          <w:b/>
          <w:i/>
        </w:rPr>
      </w:pPr>
      <w:r w:rsidRPr="00B25F86">
        <w:rPr>
          <w:rFonts w:ascii="Palatino Linotype" w:eastAsia="Palatino Linotype" w:hAnsi="Palatino Linotype" w:cs="Palatino Linotype"/>
          <w:i/>
        </w:rPr>
        <w:t>“</w:t>
      </w:r>
      <w:r w:rsidRPr="00B25F86">
        <w:rPr>
          <w:rFonts w:ascii="Palatino Linotype" w:eastAsia="Palatino Linotype" w:hAnsi="Palatino Linotype" w:cs="Palatino Linotype"/>
          <w:b/>
          <w:i/>
        </w:rPr>
        <w:t>CRITERIO 0001-15 NEGATIVA FICTA. PLAZO PARA INTERPONER EL RECURSO DE REVISIÓN TRATÁNDOSE DE</w:t>
      </w:r>
      <w:r w:rsidRPr="00B25F86">
        <w:rPr>
          <w:rFonts w:ascii="Palatino Linotype" w:eastAsia="Palatino Linotype" w:hAnsi="Palatino Linotype" w:cs="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w:t>
      </w:r>
      <w:r w:rsidRPr="00B25F86">
        <w:rPr>
          <w:rFonts w:ascii="Palatino Linotype" w:eastAsia="Palatino Linotype" w:hAnsi="Palatino Linotype" w:cs="Palatino Linotype"/>
          <w:i/>
        </w:rPr>
        <w:lastRenderedPageBreak/>
        <w:t>en cualquier tiempo y hasta en tanto no se dicte resolución expresa; es decir, mientras no haya respuesta por parte del Sujeto Obligado, momento a partir del cual deberá computarse el plazo previsto en el artículo 72 de la citada Ley.”</w:t>
      </w:r>
    </w:p>
    <w:p w14:paraId="06E4BE04" w14:textId="77777777" w:rsidR="004C20A0" w:rsidRPr="00B25F86" w:rsidRDefault="004C20A0">
      <w:pPr>
        <w:spacing w:after="0" w:line="360" w:lineRule="auto"/>
        <w:ind w:left="567" w:right="851"/>
        <w:jc w:val="both"/>
        <w:rPr>
          <w:rFonts w:ascii="Palatino Linotype" w:eastAsia="Palatino Linotype" w:hAnsi="Palatino Linotype" w:cs="Palatino Linotype"/>
          <w:sz w:val="24"/>
          <w:szCs w:val="24"/>
        </w:rPr>
      </w:pPr>
    </w:p>
    <w:p w14:paraId="105A5914"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B25F86">
        <w:rPr>
          <w:rFonts w:ascii="Palatino Linotype" w:eastAsia="Palatino Linotype" w:hAnsi="Palatino Linotype" w:cs="Palatino Linotype"/>
          <w:b/>
          <w:sz w:val="24"/>
          <w:szCs w:val="24"/>
        </w:rPr>
        <w:t>LA PARTE</w:t>
      </w:r>
      <w:r w:rsidRPr="00B25F86">
        <w:rPr>
          <w:rFonts w:ascii="Palatino Linotype" w:eastAsia="Palatino Linotype" w:hAnsi="Palatino Linotype" w:cs="Palatino Linotype"/>
          <w:sz w:val="24"/>
          <w:szCs w:val="24"/>
        </w:rPr>
        <w:t xml:space="preserve"> </w:t>
      </w:r>
      <w:r w:rsidRPr="00B25F86">
        <w:rPr>
          <w:rFonts w:ascii="Palatino Linotype" w:eastAsia="Palatino Linotype" w:hAnsi="Palatino Linotype" w:cs="Palatino Linotype"/>
          <w:b/>
          <w:sz w:val="24"/>
          <w:szCs w:val="24"/>
        </w:rPr>
        <w:t>RECURRENTE</w:t>
      </w:r>
      <w:r w:rsidRPr="00B25F86">
        <w:rPr>
          <w:rFonts w:ascii="Palatino Linotype" w:eastAsia="Palatino Linotype" w:hAnsi="Palatino Linotype" w:cs="Palatino Linotype"/>
          <w:sz w:val="24"/>
          <w:szCs w:val="24"/>
        </w:rPr>
        <w:t>, no proporcionó un nombre como se advierte en el detalle de seguimiento del SAIMEX,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517FB86"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34194AC7" w14:textId="77777777" w:rsidR="004C20A0" w:rsidRPr="00B25F86" w:rsidRDefault="00781C22">
      <w:pPr>
        <w:spacing w:after="0" w:line="276" w:lineRule="auto"/>
        <w:ind w:left="851" w:right="902"/>
        <w:jc w:val="both"/>
        <w:rPr>
          <w:rFonts w:ascii="Palatino Linotype" w:eastAsia="Palatino Linotype" w:hAnsi="Palatino Linotype" w:cs="Palatino Linotype"/>
          <w:b/>
          <w:i/>
        </w:rPr>
      </w:pPr>
      <w:r w:rsidRPr="00B25F86">
        <w:rPr>
          <w:rFonts w:ascii="Palatino Linotype" w:eastAsia="Palatino Linotype" w:hAnsi="Palatino Linotype" w:cs="Palatino Linotype"/>
          <w:b/>
          <w:i/>
        </w:rPr>
        <w:t>"Las solicitudes anónimas, con nombre incompleto o seudónimo serán procedentes para su trámite por parte del sujeto obligado ante quien se presente. No podrá requerirse información adicional con motivo del nombre proporcionado por el solicitante."</w:t>
      </w:r>
    </w:p>
    <w:p w14:paraId="49567AF3" w14:textId="77777777" w:rsidR="004C20A0" w:rsidRPr="00B25F86" w:rsidRDefault="004C20A0">
      <w:pPr>
        <w:spacing w:after="0" w:line="360" w:lineRule="auto"/>
        <w:ind w:left="851" w:right="902"/>
        <w:jc w:val="both"/>
        <w:rPr>
          <w:rFonts w:ascii="Palatino Linotype" w:eastAsia="Palatino Linotype" w:hAnsi="Palatino Linotype" w:cs="Palatino Linotype"/>
          <w:sz w:val="24"/>
          <w:szCs w:val="24"/>
        </w:rPr>
      </w:pPr>
    </w:p>
    <w:p w14:paraId="15B7A122" w14:textId="77777777" w:rsidR="004C20A0" w:rsidRPr="00B25F86" w:rsidRDefault="00781C22">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B25F86">
        <w:rPr>
          <w:rFonts w:ascii="Palatino Linotype" w:eastAsia="Palatino Linotype" w:hAnsi="Palatino Linotype" w:cs="Palatino Linotype"/>
          <w:b/>
          <w:sz w:val="24"/>
          <w:szCs w:val="24"/>
        </w:rPr>
        <w:t>EL</w:t>
      </w:r>
      <w:r w:rsidRPr="00B25F86">
        <w:rPr>
          <w:rFonts w:ascii="Palatino Linotype" w:eastAsia="Palatino Linotype" w:hAnsi="Palatino Linotype" w:cs="Palatino Linotype"/>
          <w:sz w:val="24"/>
          <w:szCs w:val="24"/>
        </w:rPr>
        <w:t xml:space="preserve"> </w:t>
      </w:r>
      <w:r w:rsidRPr="00B25F86">
        <w:rPr>
          <w:rFonts w:ascii="Palatino Linotype" w:eastAsia="Palatino Linotype" w:hAnsi="Palatino Linotype" w:cs="Palatino Linotype"/>
          <w:b/>
          <w:sz w:val="24"/>
          <w:szCs w:val="24"/>
        </w:rPr>
        <w:t>SAIMEX</w:t>
      </w:r>
      <w:r w:rsidRPr="00B25F86">
        <w:rPr>
          <w:rFonts w:ascii="Palatino Linotype" w:eastAsia="Palatino Linotype" w:hAnsi="Palatino Linotype" w:cs="Palatino Linotype"/>
          <w:sz w:val="24"/>
          <w:szCs w:val="24"/>
        </w:rPr>
        <w:t>.</w:t>
      </w:r>
    </w:p>
    <w:p w14:paraId="40AD5B8F" w14:textId="77777777" w:rsidR="004C20A0" w:rsidRPr="00B25F86" w:rsidRDefault="004C20A0">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14:paraId="559E5E5B"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lastRenderedPageBreak/>
        <w:t xml:space="preserve">Ahora bien, resulta procedente la interposición del recurso de revisión, según lo aducido por </w:t>
      </w:r>
      <w:r w:rsidRPr="00B25F86">
        <w:rPr>
          <w:rFonts w:ascii="Palatino Linotype" w:eastAsia="Palatino Linotype" w:hAnsi="Palatino Linotype" w:cs="Palatino Linotype"/>
          <w:b/>
          <w:sz w:val="24"/>
          <w:szCs w:val="24"/>
        </w:rPr>
        <w:t>LA PARTE</w:t>
      </w:r>
      <w:r w:rsidRPr="00B25F86">
        <w:rPr>
          <w:rFonts w:ascii="Palatino Linotype" w:eastAsia="Palatino Linotype" w:hAnsi="Palatino Linotype" w:cs="Palatino Linotype"/>
          <w:sz w:val="24"/>
          <w:szCs w:val="24"/>
        </w:rPr>
        <w:t xml:space="preserve"> </w:t>
      </w:r>
      <w:r w:rsidRPr="00B25F86">
        <w:rPr>
          <w:rFonts w:ascii="Palatino Linotype" w:eastAsia="Palatino Linotype" w:hAnsi="Palatino Linotype" w:cs="Palatino Linotype"/>
          <w:b/>
          <w:sz w:val="24"/>
          <w:szCs w:val="24"/>
        </w:rPr>
        <w:t>RECURRENTE</w:t>
      </w:r>
      <w:r w:rsidRPr="00B25F86">
        <w:rPr>
          <w:rFonts w:ascii="Palatino Linotype" w:eastAsia="Palatino Linotype" w:hAnsi="Palatino Linotype" w:cs="Palatino Linotype"/>
          <w:sz w:val="24"/>
          <w:szCs w:val="24"/>
        </w:rPr>
        <w:t>, en términos del artículo 179, fracción VII del ordenamiento legal de la materia, que a la letra dice:</w:t>
      </w:r>
    </w:p>
    <w:p w14:paraId="3796A7FE"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9B79A6F" w14:textId="77777777" w:rsidR="004C20A0" w:rsidRPr="00B25F86" w:rsidRDefault="00781C22">
      <w:pPr>
        <w:spacing w:after="0" w:line="276" w:lineRule="auto"/>
        <w:ind w:left="567" w:right="618"/>
        <w:jc w:val="both"/>
        <w:rPr>
          <w:rFonts w:ascii="Palatino Linotype" w:eastAsia="Palatino Linotype" w:hAnsi="Palatino Linotype" w:cs="Palatino Linotype"/>
        </w:rPr>
      </w:pPr>
      <w:r w:rsidRPr="00B25F86">
        <w:rPr>
          <w:rFonts w:ascii="Palatino Linotype" w:eastAsia="Palatino Linotype" w:hAnsi="Palatino Linotype" w:cs="Palatino Linotype"/>
          <w:i/>
        </w:rPr>
        <w:t>“</w:t>
      </w:r>
      <w:r w:rsidRPr="00B25F86">
        <w:rPr>
          <w:rFonts w:ascii="Palatino Linotype" w:eastAsia="Palatino Linotype" w:hAnsi="Palatino Linotype" w:cs="Palatino Linotype"/>
          <w:b/>
        </w:rPr>
        <w:t>Artículo 179.</w:t>
      </w:r>
      <w:r w:rsidRPr="00B25F86">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r w:rsidRPr="00B25F86">
        <w:rPr>
          <w:rFonts w:ascii="Palatino Linotype" w:eastAsia="Palatino Linotype" w:hAnsi="Palatino Linotype" w:cs="Palatino Linotype"/>
        </w:rPr>
        <w:t> </w:t>
      </w:r>
    </w:p>
    <w:p w14:paraId="03AC6207" w14:textId="77777777" w:rsidR="004C20A0" w:rsidRPr="00B25F86" w:rsidRDefault="00781C22">
      <w:pPr>
        <w:spacing w:after="0" w:line="276" w:lineRule="auto"/>
        <w:ind w:left="567" w:right="618"/>
        <w:jc w:val="both"/>
        <w:rPr>
          <w:rFonts w:ascii="Palatino Linotype" w:eastAsia="Palatino Linotype" w:hAnsi="Palatino Linotype" w:cs="Palatino Linotype"/>
        </w:rPr>
      </w:pPr>
      <w:r w:rsidRPr="00B25F86">
        <w:rPr>
          <w:rFonts w:ascii="Palatino Linotype" w:eastAsia="Palatino Linotype" w:hAnsi="Palatino Linotype" w:cs="Palatino Linotype"/>
        </w:rPr>
        <w:t>(…)</w:t>
      </w:r>
    </w:p>
    <w:p w14:paraId="073967E2" w14:textId="77777777" w:rsidR="004C20A0" w:rsidRPr="00B25F86" w:rsidRDefault="00781C22">
      <w:pPr>
        <w:numPr>
          <w:ilvl w:val="0"/>
          <w:numId w:val="1"/>
        </w:numPr>
        <w:spacing w:after="0" w:line="276" w:lineRule="auto"/>
        <w:ind w:left="567" w:right="618" w:firstLine="0"/>
        <w:jc w:val="both"/>
        <w:rPr>
          <w:rFonts w:ascii="Palatino Linotype" w:eastAsia="Palatino Linotype" w:hAnsi="Palatino Linotype" w:cs="Palatino Linotype"/>
          <w:i/>
        </w:rPr>
      </w:pPr>
      <w:r w:rsidRPr="00B25F86">
        <w:rPr>
          <w:rFonts w:ascii="Palatino Linotype" w:eastAsia="Palatino Linotype" w:hAnsi="Palatino Linotype" w:cs="Palatino Linotype"/>
          <w:i/>
        </w:rPr>
        <w:t>La falta de respuesta a una solicitud de acceso a la información…”</w:t>
      </w:r>
    </w:p>
    <w:p w14:paraId="40530B90"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4CEF7192"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TERCERO. MATERIA DE LA REVISIÓN. </w:t>
      </w:r>
      <w:r w:rsidRPr="00B25F86">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el informe justificado emitido por </w:t>
      </w:r>
      <w:r w:rsidRPr="00B25F86">
        <w:rPr>
          <w:rFonts w:ascii="Palatino Linotype" w:eastAsia="Palatino Linotype" w:hAnsi="Palatino Linotype" w:cs="Palatino Linotype"/>
          <w:b/>
          <w:sz w:val="24"/>
          <w:szCs w:val="24"/>
        </w:rPr>
        <w:t>EL</w:t>
      </w:r>
      <w:r w:rsidRPr="00B25F86">
        <w:rPr>
          <w:rFonts w:ascii="Palatino Linotype" w:eastAsia="Palatino Linotype" w:hAnsi="Palatino Linotype" w:cs="Palatino Linotype"/>
          <w:sz w:val="24"/>
          <w:szCs w:val="24"/>
        </w:rPr>
        <w:t xml:space="preserve"> </w:t>
      </w:r>
      <w:r w:rsidRPr="00B25F86">
        <w:rPr>
          <w:rFonts w:ascii="Palatino Linotype" w:eastAsia="Palatino Linotype" w:hAnsi="Palatino Linotype" w:cs="Palatino Linotype"/>
          <w:b/>
          <w:sz w:val="24"/>
          <w:szCs w:val="24"/>
        </w:rPr>
        <w:t>SUJETO OBLIGADO</w:t>
      </w:r>
      <w:r w:rsidRPr="00B25F86">
        <w:rPr>
          <w:rFonts w:ascii="Palatino Linotype" w:eastAsia="Palatino Linotype" w:hAnsi="Palatino Linotype" w:cs="Palatino Linotype"/>
          <w:sz w:val="24"/>
          <w:szCs w:val="24"/>
        </w:rPr>
        <w:t xml:space="preserve"> satisface el derecho de acceso a la información pública de </w:t>
      </w:r>
      <w:r w:rsidRPr="00B25F86">
        <w:rPr>
          <w:rFonts w:ascii="Palatino Linotype" w:eastAsia="Palatino Linotype" w:hAnsi="Palatino Linotype" w:cs="Palatino Linotype"/>
          <w:b/>
          <w:sz w:val="24"/>
          <w:szCs w:val="24"/>
        </w:rPr>
        <w:t>LA PARTE</w:t>
      </w:r>
      <w:r w:rsidRPr="00B25F86">
        <w:rPr>
          <w:rFonts w:ascii="Palatino Linotype" w:eastAsia="Palatino Linotype" w:hAnsi="Palatino Linotype" w:cs="Palatino Linotype"/>
          <w:sz w:val="24"/>
          <w:szCs w:val="24"/>
        </w:rPr>
        <w:t xml:space="preserve"> </w:t>
      </w:r>
      <w:r w:rsidRPr="00B25F86">
        <w:rPr>
          <w:rFonts w:ascii="Palatino Linotype" w:eastAsia="Palatino Linotype" w:hAnsi="Palatino Linotype" w:cs="Palatino Linotype"/>
          <w:b/>
          <w:sz w:val="24"/>
          <w:szCs w:val="24"/>
        </w:rPr>
        <w:t>RECURRENTE</w:t>
      </w:r>
      <w:r w:rsidRPr="00B25F86">
        <w:rPr>
          <w:rFonts w:ascii="Palatino Linotype" w:eastAsia="Palatino Linotype" w:hAnsi="Palatino Linotype" w:cs="Palatino Linotype"/>
          <w:sz w:val="24"/>
          <w:szCs w:val="24"/>
        </w:rPr>
        <w:t>, o en su defecto, en caso de ser procedente, ordenar la entrega de información.</w:t>
      </w:r>
    </w:p>
    <w:p w14:paraId="18E4DB36"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1EBA730C"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CUARTO. ESTUDIO Y RESOLUCIÓN DEL ASUNTO.  </w:t>
      </w:r>
      <w:r w:rsidRPr="00B25F86">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1DC5153"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C28BF4F" w14:textId="77777777" w:rsidR="004C20A0" w:rsidRPr="00B25F86" w:rsidRDefault="00781C22">
      <w:pPr>
        <w:tabs>
          <w:tab w:val="left" w:pos="709"/>
        </w:tabs>
        <w:spacing w:after="0" w:line="276" w:lineRule="auto"/>
        <w:ind w:left="851" w:right="850"/>
        <w:jc w:val="both"/>
        <w:rPr>
          <w:rFonts w:ascii="Palatino Linotype" w:eastAsia="Palatino Linotype" w:hAnsi="Palatino Linotype" w:cs="Palatino Linotype"/>
          <w:i/>
        </w:rPr>
      </w:pPr>
      <w:r w:rsidRPr="00B25F86">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B25F86">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24011BE" w14:textId="77777777" w:rsidR="004C20A0" w:rsidRPr="00B25F86" w:rsidRDefault="00781C22">
      <w:pPr>
        <w:tabs>
          <w:tab w:val="left" w:pos="709"/>
        </w:tabs>
        <w:spacing w:after="0" w:line="276" w:lineRule="auto"/>
        <w:ind w:left="851" w:right="850"/>
        <w:jc w:val="both"/>
        <w:rPr>
          <w:rFonts w:ascii="Palatino Linotype" w:eastAsia="Palatino Linotype" w:hAnsi="Palatino Linotype" w:cs="Palatino Linotype"/>
          <w:b/>
          <w:i/>
        </w:rPr>
      </w:pPr>
      <w:r w:rsidRPr="00B25F86">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5EF569E8" w14:textId="77777777" w:rsidR="004C20A0" w:rsidRPr="00B25F86" w:rsidRDefault="00781C22">
      <w:pPr>
        <w:tabs>
          <w:tab w:val="left" w:pos="709"/>
        </w:tabs>
        <w:spacing w:after="0" w:line="276" w:lineRule="auto"/>
        <w:ind w:left="851" w:right="850"/>
        <w:jc w:val="both"/>
        <w:rPr>
          <w:rFonts w:ascii="Palatino Linotype" w:eastAsia="Palatino Linotype" w:hAnsi="Palatino Linotype" w:cs="Palatino Linotype"/>
          <w:i/>
        </w:rPr>
      </w:pPr>
      <w:r w:rsidRPr="00B25F86">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25F86">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07ECD8DA" w14:textId="77777777" w:rsidR="004C20A0" w:rsidRPr="00B25F86" w:rsidRDefault="00781C22">
      <w:pPr>
        <w:tabs>
          <w:tab w:val="left" w:pos="709"/>
        </w:tabs>
        <w:spacing w:after="0" w:line="276" w:lineRule="auto"/>
        <w:ind w:left="851" w:right="850"/>
        <w:jc w:val="both"/>
        <w:rPr>
          <w:rFonts w:ascii="Palatino Linotype" w:eastAsia="Palatino Linotype" w:hAnsi="Palatino Linotype" w:cs="Palatino Linotype"/>
          <w:i/>
        </w:rPr>
      </w:pPr>
      <w:r w:rsidRPr="00B25F86">
        <w:rPr>
          <w:rFonts w:ascii="Palatino Linotype" w:eastAsia="Palatino Linotype" w:hAnsi="Palatino Linotype" w:cs="Palatino Linotype"/>
          <w:i/>
        </w:rPr>
        <w:t>[…]</w:t>
      </w:r>
    </w:p>
    <w:p w14:paraId="2447E86E"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b/>
          <w:i/>
        </w:rPr>
        <w:t>“</w:t>
      </w:r>
      <w:r w:rsidRPr="00B25F86">
        <w:rPr>
          <w:rFonts w:ascii="Palatino Linotype" w:eastAsia="Palatino Linotype" w:hAnsi="Palatino Linotype" w:cs="Palatino Linotype"/>
          <w:i/>
        </w:rPr>
        <w:t>Artículo 6o.</w:t>
      </w:r>
    </w:p>
    <w:p w14:paraId="75AC9781"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w:t>
      </w:r>
    </w:p>
    <w:p w14:paraId="793D1E01"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38B50D2A"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B25F86">
        <w:rPr>
          <w:rFonts w:ascii="Palatino Linotype" w:eastAsia="Palatino Linotype" w:hAnsi="Palatino Linotype" w:cs="Palatino Linotype"/>
          <w:i/>
        </w:rPr>
        <w:lastRenderedPageBreak/>
        <w:t>funciones, la ley determinará los supuestos específicos bajo los cuales procederá la declaración de inexistencia de la información.</w:t>
      </w:r>
    </w:p>
    <w:p w14:paraId="14C6E764"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II. La información que se refiere a la vida privada y los datos personales será protegida en los términos y con las excepciones que fijen las leyes. Para tal efecto, los sujetos obligados contarán con las facultades suficientes para su atención.</w:t>
      </w:r>
    </w:p>
    <w:p w14:paraId="2DA7A6B8"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13B3ADF3"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14:paraId="6F24F33B"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IV. Se establecerán mecanismos de acceso a la información pública y procedimientos de revisión expeditos que se sustanciarán ante las instancias competentes en los términos que fija esta Constitución y las leyes.</w:t>
      </w:r>
    </w:p>
    <w:p w14:paraId="779401DC"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41856A0"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 xml:space="preserve">VI. Las leyes determinarán la manera en que los sujetos obligados deberán hacer pública la información relativa a los recursos públicos que entreguen a personas físicas o morales. </w:t>
      </w:r>
    </w:p>
    <w:p w14:paraId="34BFFBC9"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 xml:space="preserve">VII. La inobservancia a las disposiciones en materia de acceso a la información pública será sancionada en los términos que dispongan las leyes. </w:t>
      </w:r>
    </w:p>
    <w:p w14:paraId="442B28AF" w14:textId="77777777" w:rsidR="004C20A0" w:rsidRPr="00B25F86" w:rsidRDefault="004C20A0">
      <w:pPr>
        <w:spacing w:after="0" w:line="276" w:lineRule="auto"/>
        <w:ind w:left="851" w:right="901"/>
        <w:jc w:val="both"/>
        <w:rPr>
          <w:rFonts w:ascii="Palatino Linotype" w:eastAsia="Palatino Linotype" w:hAnsi="Palatino Linotype" w:cs="Palatino Linotype"/>
          <w:i/>
        </w:rPr>
      </w:pPr>
    </w:p>
    <w:p w14:paraId="46C4932C"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VIII. Los sujetos obligados deberán promover, respetar, proteger y garantizar los derechos de acceso a la información pública y a la protección de datos personales. Las leyes en la materia determinarán las bases, principios generales y procedimientos del ejercicio de estos derechos, así como la competencia de las autoridades de control interno y vigilancia u homólogos en el ámbito federal y local para conocer de los procedimientos de revisión contra los actos que emitan</w:t>
      </w:r>
    </w:p>
    <w:p w14:paraId="7E4ED167"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los sujetos obligados.</w:t>
      </w:r>
    </w:p>
    <w:p w14:paraId="30C45521" w14:textId="77777777" w:rsidR="004C20A0" w:rsidRPr="00B25F86" w:rsidRDefault="004C20A0">
      <w:pPr>
        <w:spacing w:after="0" w:line="276" w:lineRule="auto"/>
        <w:ind w:left="851" w:right="901"/>
        <w:jc w:val="both"/>
        <w:rPr>
          <w:rFonts w:ascii="Palatino Linotype" w:eastAsia="Palatino Linotype" w:hAnsi="Palatino Linotype" w:cs="Palatino Linotype"/>
          <w:i/>
        </w:rPr>
      </w:pPr>
    </w:p>
    <w:p w14:paraId="77029E70"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Los sujetos obligados se regirán por la ley general en materia de transparencia y acceso a la información pública y protección de datos personales, en los términos que ésta se emita por el Congreso de la Unión para establecer las bases, principios generales y procedimientos del ejercicio de este derecho.</w:t>
      </w:r>
    </w:p>
    <w:p w14:paraId="3A852B85" w14:textId="77777777" w:rsidR="004C20A0" w:rsidRPr="00B25F86" w:rsidRDefault="004C20A0">
      <w:pPr>
        <w:spacing w:after="0" w:line="276" w:lineRule="auto"/>
        <w:ind w:left="851" w:right="901"/>
        <w:jc w:val="both"/>
        <w:rPr>
          <w:rFonts w:ascii="Palatino Linotype" w:eastAsia="Palatino Linotype" w:hAnsi="Palatino Linotype" w:cs="Palatino Linotype"/>
          <w:i/>
        </w:rPr>
      </w:pPr>
    </w:p>
    <w:p w14:paraId="21E35879" w14:textId="77777777" w:rsidR="004C20A0" w:rsidRPr="00B25F86" w:rsidRDefault="00781C22">
      <w:pPr>
        <w:spacing w:after="0" w:line="276" w:lineRule="auto"/>
        <w:ind w:left="851" w:right="901"/>
        <w:jc w:val="both"/>
        <w:rPr>
          <w:rFonts w:ascii="Palatino Linotype" w:eastAsia="Palatino Linotype" w:hAnsi="Palatino Linotype" w:cs="Palatino Linotype"/>
          <w:i/>
        </w:rPr>
      </w:pPr>
      <w:r w:rsidRPr="00B25F86">
        <w:rPr>
          <w:rFonts w:ascii="Palatino Linotype" w:eastAsia="Palatino Linotype" w:hAnsi="Palatino Linotype" w:cs="Palatino Linotype"/>
          <w:i/>
        </w:rPr>
        <w:t>El ejercicio de este derecho se regirá por los principios de certeza, legalidad, independencia, imparcialidad, eficacia, objetividad, profesionalismo, transparencia y máxima publicidad.</w:t>
      </w:r>
    </w:p>
    <w:p w14:paraId="29C5D48D" w14:textId="77777777" w:rsidR="004C20A0" w:rsidRPr="00B25F86" w:rsidRDefault="004C20A0">
      <w:pPr>
        <w:spacing w:after="0" w:line="276" w:lineRule="auto"/>
        <w:ind w:left="851" w:right="851"/>
        <w:jc w:val="both"/>
        <w:rPr>
          <w:rFonts w:ascii="Palatino Linotype" w:eastAsia="Palatino Linotype" w:hAnsi="Palatino Linotype" w:cs="Palatino Linotype"/>
          <w:i/>
          <w:sz w:val="24"/>
          <w:szCs w:val="24"/>
        </w:rPr>
      </w:pPr>
    </w:p>
    <w:p w14:paraId="257800B6" w14:textId="77777777" w:rsidR="004C20A0" w:rsidRPr="00B25F86" w:rsidRDefault="00781C22">
      <w:pPr>
        <w:tabs>
          <w:tab w:val="left" w:pos="709"/>
        </w:tabs>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7C017A5" w14:textId="77777777" w:rsidR="004C20A0" w:rsidRPr="00B25F86" w:rsidRDefault="004C20A0">
      <w:pPr>
        <w:tabs>
          <w:tab w:val="left" w:pos="709"/>
        </w:tabs>
        <w:spacing w:after="0" w:line="360" w:lineRule="auto"/>
        <w:jc w:val="both"/>
        <w:rPr>
          <w:rFonts w:ascii="Palatino Linotype" w:eastAsia="Palatino Linotype" w:hAnsi="Palatino Linotype" w:cs="Palatino Linotype"/>
          <w:sz w:val="24"/>
          <w:szCs w:val="24"/>
        </w:rPr>
      </w:pPr>
    </w:p>
    <w:p w14:paraId="6F57BA07" w14:textId="77777777" w:rsidR="004C20A0" w:rsidRPr="00B25F86" w:rsidRDefault="00781C22">
      <w:pPr>
        <w:tabs>
          <w:tab w:val="left" w:pos="709"/>
        </w:tabs>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En primer lugar, es conveniente analizar si la respuesta del </w:t>
      </w:r>
      <w:r w:rsidRPr="00B25F86">
        <w:rPr>
          <w:rFonts w:ascii="Palatino Linotype" w:eastAsia="Palatino Linotype" w:hAnsi="Palatino Linotype" w:cs="Palatino Linotype"/>
          <w:b/>
          <w:sz w:val="24"/>
          <w:szCs w:val="24"/>
        </w:rPr>
        <w:t>SUJETO OBLIGADO</w:t>
      </w:r>
      <w:r w:rsidRPr="00B25F86">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w:t>
      </w:r>
      <w:r w:rsidRPr="00B25F86">
        <w:rPr>
          <w:rFonts w:ascii="Palatino Linotype" w:eastAsia="Palatino Linotype" w:hAnsi="Palatino Linotype" w:cs="Palatino Linotype"/>
          <w:sz w:val="24"/>
          <w:szCs w:val="24"/>
        </w:rPr>
        <w:lastRenderedPageBreak/>
        <w:t>establece dicha determinación, que a continuación se transcribe para un mejor entendimiento:</w:t>
      </w:r>
    </w:p>
    <w:p w14:paraId="13889B60" w14:textId="77777777" w:rsidR="004C20A0" w:rsidRPr="00B25F86" w:rsidRDefault="004C20A0">
      <w:pPr>
        <w:tabs>
          <w:tab w:val="left" w:pos="709"/>
        </w:tabs>
        <w:spacing w:after="0" w:line="360" w:lineRule="auto"/>
        <w:jc w:val="both"/>
        <w:rPr>
          <w:rFonts w:ascii="Palatino Linotype" w:eastAsia="Palatino Linotype" w:hAnsi="Palatino Linotype" w:cs="Palatino Linotype"/>
          <w:sz w:val="24"/>
          <w:szCs w:val="24"/>
        </w:rPr>
      </w:pPr>
    </w:p>
    <w:p w14:paraId="7ABD7D06" w14:textId="77777777" w:rsidR="004C20A0" w:rsidRPr="00B25F86" w:rsidRDefault="00781C22">
      <w:pPr>
        <w:spacing w:after="0" w:line="276" w:lineRule="auto"/>
        <w:ind w:left="709" w:right="760"/>
        <w:jc w:val="both"/>
        <w:rPr>
          <w:rFonts w:ascii="Palatino Linotype" w:eastAsia="Palatino Linotype" w:hAnsi="Palatino Linotype" w:cs="Palatino Linotype"/>
          <w:i/>
        </w:rPr>
      </w:pPr>
      <w:r w:rsidRPr="00B25F86">
        <w:rPr>
          <w:rFonts w:ascii="Palatino Linotype" w:eastAsia="Palatino Linotype" w:hAnsi="Palatino Linotype" w:cs="Palatino Linotype"/>
          <w:i/>
        </w:rPr>
        <w:t>“</w:t>
      </w:r>
      <w:r w:rsidRPr="00B25F86">
        <w:rPr>
          <w:rFonts w:ascii="Palatino Linotype" w:eastAsia="Palatino Linotype" w:hAnsi="Palatino Linotype" w:cs="Palatino Linotype"/>
          <w:b/>
          <w:i/>
        </w:rPr>
        <w:t>Artículo 4.</w:t>
      </w:r>
      <w:r w:rsidRPr="00B25F86">
        <w:rPr>
          <w:rFonts w:ascii="Palatino Linotype" w:eastAsia="Palatino Linotype" w:hAnsi="Palatino Linotype" w:cs="Palatino Linotype"/>
          <w:i/>
        </w:rPr>
        <w:t xml:space="preserve"> El derecho humano de acceso a la información pública es la de las personas para buscar, difundir, investigar, recabar, recibir y solicitar información pública, sin necesidad de acreditar personalidad ni interés jurídico. </w:t>
      </w:r>
    </w:p>
    <w:p w14:paraId="52725680" w14:textId="77777777" w:rsidR="004C20A0" w:rsidRPr="00B25F86" w:rsidRDefault="00781C22">
      <w:pPr>
        <w:spacing w:after="0" w:line="276" w:lineRule="auto"/>
        <w:ind w:left="709" w:right="760"/>
        <w:jc w:val="both"/>
        <w:rPr>
          <w:rFonts w:ascii="Palatino Linotype" w:eastAsia="Palatino Linotype" w:hAnsi="Palatino Linotype" w:cs="Palatino Linotype"/>
          <w:i/>
        </w:rPr>
      </w:pPr>
      <w:r w:rsidRPr="00B25F86">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B25F86">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76D4824" w14:textId="77777777" w:rsidR="004C20A0" w:rsidRPr="00B25F86" w:rsidRDefault="004C20A0">
      <w:pPr>
        <w:spacing w:after="0" w:line="276" w:lineRule="auto"/>
        <w:ind w:left="709" w:right="760"/>
        <w:jc w:val="both"/>
        <w:rPr>
          <w:rFonts w:ascii="Palatino Linotype" w:eastAsia="Palatino Linotype" w:hAnsi="Palatino Linotype" w:cs="Palatino Linotype"/>
          <w:i/>
        </w:rPr>
      </w:pPr>
    </w:p>
    <w:p w14:paraId="0675462D" w14:textId="77777777" w:rsidR="004C20A0" w:rsidRPr="00B25F86" w:rsidRDefault="00781C22">
      <w:pPr>
        <w:spacing w:after="0" w:line="276" w:lineRule="auto"/>
        <w:ind w:left="709" w:right="760"/>
        <w:jc w:val="both"/>
        <w:rPr>
          <w:rFonts w:ascii="Palatino Linotype" w:eastAsia="Palatino Linotype" w:hAnsi="Palatino Linotype" w:cs="Palatino Linotype"/>
          <w:i/>
        </w:rPr>
      </w:pPr>
      <w:r w:rsidRPr="00B25F86">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B25F86">
        <w:rPr>
          <w:rFonts w:ascii="Palatino Linotype" w:eastAsia="Palatino Linotype" w:hAnsi="Palatino Linotype" w:cs="Palatino Linotype"/>
          <w:i/>
        </w:rPr>
        <w:t>.”</w:t>
      </w:r>
    </w:p>
    <w:p w14:paraId="5C11EF8F" w14:textId="77777777" w:rsidR="004C20A0" w:rsidRPr="00B25F86" w:rsidRDefault="004C20A0">
      <w:pPr>
        <w:spacing w:after="0" w:line="276" w:lineRule="auto"/>
        <w:ind w:left="709" w:right="760"/>
        <w:jc w:val="both"/>
        <w:rPr>
          <w:rFonts w:ascii="Palatino Linotype" w:eastAsia="Palatino Linotype" w:hAnsi="Palatino Linotype" w:cs="Palatino Linotype"/>
          <w:i/>
          <w:sz w:val="24"/>
          <w:szCs w:val="24"/>
        </w:rPr>
      </w:pPr>
    </w:p>
    <w:p w14:paraId="3720182B"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54BED94"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CE63D4E" w14:textId="77777777" w:rsidR="004C20A0" w:rsidRPr="00B25F86" w:rsidRDefault="00781C22">
      <w:pPr>
        <w:spacing w:after="0" w:line="276" w:lineRule="auto"/>
        <w:ind w:left="567" w:right="760"/>
        <w:jc w:val="both"/>
        <w:rPr>
          <w:rFonts w:ascii="Palatino Linotype" w:eastAsia="Palatino Linotype" w:hAnsi="Palatino Linotype" w:cs="Palatino Linotype"/>
          <w:i/>
        </w:rPr>
      </w:pPr>
      <w:r w:rsidRPr="00B25F86">
        <w:rPr>
          <w:rFonts w:ascii="Palatino Linotype" w:eastAsia="Palatino Linotype" w:hAnsi="Palatino Linotype" w:cs="Palatino Linotype"/>
          <w:i/>
        </w:rPr>
        <w:lastRenderedPageBreak/>
        <w:t>“</w:t>
      </w:r>
      <w:r w:rsidRPr="00B25F86">
        <w:rPr>
          <w:rFonts w:ascii="Palatino Linotype" w:eastAsia="Palatino Linotype" w:hAnsi="Palatino Linotype" w:cs="Palatino Linotype"/>
          <w:b/>
          <w:i/>
        </w:rPr>
        <w:t>Artículo 12.-</w:t>
      </w:r>
      <w:r w:rsidRPr="00B25F86">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7CA9A74" w14:textId="77777777" w:rsidR="004C20A0" w:rsidRPr="00B25F86" w:rsidRDefault="004C20A0">
      <w:pPr>
        <w:spacing w:after="0" w:line="276" w:lineRule="auto"/>
        <w:ind w:left="567" w:right="760"/>
        <w:jc w:val="both"/>
        <w:rPr>
          <w:rFonts w:ascii="Palatino Linotype" w:eastAsia="Palatino Linotype" w:hAnsi="Palatino Linotype" w:cs="Palatino Linotype"/>
          <w:i/>
        </w:rPr>
      </w:pPr>
    </w:p>
    <w:p w14:paraId="529401B2" w14:textId="77777777" w:rsidR="004C20A0" w:rsidRPr="00B25F86" w:rsidRDefault="00781C22">
      <w:pPr>
        <w:spacing w:after="0" w:line="276" w:lineRule="auto"/>
        <w:ind w:left="567" w:right="760"/>
        <w:jc w:val="both"/>
        <w:rPr>
          <w:rFonts w:ascii="Palatino Linotype" w:eastAsia="Palatino Linotype" w:hAnsi="Palatino Linotype" w:cs="Palatino Linotype"/>
          <w:i/>
        </w:rPr>
      </w:pPr>
      <w:r w:rsidRPr="00B25F86">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B25F86">
        <w:rPr>
          <w:rFonts w:ascii="Palatino Linotype" w:eastAsia="Palatino Linotype" w:hAnsi="Palatino Linotype" w:cs="Palatino Linotype"/>
          <w:i/>
        </w:rPr>
        <w:t xml:space="preserve">. </w:t>
      </w:r>
      <w:r w:rsidRPr="00B25F86">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1311F44A"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32D58091"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B25F86">
        <w:rPr>
          <w:rFonts w:ascii="Palatino Linotype" w:eastAsia="Palatino Linotype" w:hAnsi="Palatino Linotype" w:cs="Palatino Linotype"/>
          <w:strike/>
          <w:sz w:val="24"/>
          <w:szCs w:val="24"/>
        </w:rPr>
        <w:t xml:space="preserve"> </w:t>
      </w:r>
    </w:p>
    <w:p w14:paraId="43B211AB"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15CA28B" w14:textId="77777777" w:rsidR="004C20A0" w:rsidRPr="00B25F86" w:rsidRDefault="00781C22">
      <w:pPr>
        <w:spacing w:after="0" w:line="360" w:lineRule="auto"/>
        <w:ind w:right="49"/>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9D464AB" w14:textId="77777777" w:rsidR="004C20A0" w:rsidRPr="00B25F86" w:rsidRDefault="004C20A0">
      <w:pPr>
        <w:spacing w:after="0" w:line="360" w:lineRule="auto"/>
        <w:ind w:right="49"/>
        <w:jc w:val="both"/>
        <w:rPr>
          <w:rFonts w:ascii="Palatino Linotype" w:eastAsia="Palatino Linotype" w:hAnsi="Palatino Linotype" w:cs="Palatino Linotype"/>
          <w:sz w:val="24"/>
          <w:szCs w:val="24"/>
        </w:rPr>
      </w:pPr>
    </w:p>
    <w:p w14:paraId="6426DA79"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lastRenderedPageBreak/>
        <w:t xml:space="preserve">Por otra parte, conviene mencionar que la Ley de Transparencia vigente en el Estado de México refiere: </w:t>
      </w:r>
    </w:p>
    <w:p w14:paraId="41983297"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06D9B482" w14:textId="77777777" w:rsidR="004C20A0" w:rsidRPr="00B25F86" w:rsidRDefault="00781C22">
      <w:pPr>
        <w:spacing w:after="0" w:line="276" w:lineRule="auto"/>
        <w:ind w:left="851" w:right="851"/>
        <w:jc w:val="both"/>
        <w:rPr>
          <w:rFonts w:ascii="Palatino Linotype" w:eastAsia="Palatino Linotype" w:hAnsi="Palatino Linotype" w:cs="Palatino Linotype"/>
          <w:i/>
        </w:rPr>
      </w:pPr>
      <w:r w:rsidRPr="00B25F86">
        <w:rPr>
          <w:rFonts w:ascii="Palatino Linotype" w:eastAsia="Palatino Linotype" w:hAnsi="Palatino Linotype" w:cs="Palatino Linotype"/>
          <w:b/>
          <w:i/>
        </w:rPr>
        <w:t>“Artículo 18.</w:t>
      </w:r>
      <w:r w:rsidRPr="00B25F86">
        <w:rPr>
          <w:rFonts w:ascii="Palatino Linotype" w:eastAsia="Palatino Linotype" w:hAnsi="Palatino Linotype" w:cs="Palatino Linotype"/>
          <w:i/>
        </w:rPr>
        <w:t xml:space="preserve"> </w:t>
      </w:r>
      <w:r w:rsidRPr="00B25F86">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B25F86">
        <w:rPr>
          <w:rFonts w:ascii="Palatino Linotype" w:eastAsia="Palatino Linotype" w:hAnsi="Palatino Linotype" w:cs="Palatino Linotype"/>
          <w:i/>
        </w:rPr>
        <w:t xml:space="preserve"> y reutilización de la información que generen.</w:t>
      </w:r>
    </w:p>
    <w:p w14:paraId="68EE970C" w14:textId="77777777" w:rsidR="004C20A0" w:rsidRPr="00B25F86" w:rsidRDefault="00781C22">
      <w:pPr>
        <w:spacing w:after="0" w:line="276" w:lineRule="auto"/>
        <w:ind w:left="851" w:right="851"/>
        <w:jc w:val="both"/>
        <w:rPr>
          <w:rFonts w:ascii="Palatino Linotype" w:eastAsia="Palatino Linotype" w:hAnsi="Palatino Linotype" w:cs="Palatino Linotype"/>
          <w:i/>
        </w:rPr>
      </w:pPr>
      <w:r w:rsidRPr="00B25F86">
        <w:rPr>
          <w:rFonts w:ascii="Palatino Linotype" w:eastAsia="Palatino Linotype" w:hAnsi="Palatino Linotype" w:cs="Palatino Linotype"/>
          <w:b/>
          <w:i/>
        </w:rPr>
        <w:t xml:space="preserve">Artículo 19. </w:t>
      </w:r>
      <w:r w:rsidRPr="00B25F86">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B25F86">
        <w:rPr>
          <w:rFonts w:ascii="Palatino Linotype" w:eastAsia="Palatino Linotype" w:hAnsi="Palatino Linotype" w:cs="Palatino Linotype"/>
          <w:i/>
        </w:rPr>
        <w:t>.</w:t>
      </w:r>
    </w:p>
    <w:p w14:paraId="24258D90" w14:textId="77777777" w:rsidR="004C20A0" w:rsidRPr="00B25F86" w:rsidRDefault="00781C22">
      <w:pPr>
        <w:spacing w:after="0" w:line="276" w:lineRule="auto"/>
        <w:ind w:left="851" w:right="851"/>
        <w:jc w:val="both"/>
        <w:rPr>
          <w:rFonts w:ascii="Palatino Linotype" w:eastAsia="Palatino Linotype" w:hAnsi="Palatino Linotype" w:cs="Palatino Linotype"/>
          <w:i/>
        </w:rPr>
      </w:pPr>
      <w:r w:rsidRPr="00B25F86">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4FB49DDC" w14:textId="77777777" w:rsidR="004C20A0" w:rsidRPr="00B25F86" w:rsidRDefault="00781C22">
      <w:pPr>
        <w:spacing w:after="0" w:line="276" w:lineRule="auto"/>
        <w:ind w:left="851" w:right="851"/>
        <w:jc w:val="both"/>
        <w:rPr>
          <w:rFonts w:ascii="Palatino Linotype" w:eastAsia="Palatino Linotype" w:hAnsi="Palatino Linotype" w:cs="Palatino Linotype"/>
          <w:i/>
        </w:rPr>
      </w:pPr>
      <w:r w:rsidRPr="00B25F86">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F18E4E0"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59114B0D"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7791E39"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4C8924C8"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454EFB6"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097CF7E8"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i/>
        </w:rPr>
        <w:t>“</w:t>
      </w:r>
      <w:r w:rsidRPr="00B25F86">
        <w:rPr>
          <w:rFonts w:ascii="Palatino Linotype" w:eastAsia="Palatino Linotype" w:hAnsi="Palatino Linotype" w:cs="Palatino Linotype"/>
          <w:b/>
          <w:i/>
        </w:rPr>
        <w:t xml:space="preserve">Artículo 3. </w:t>
      </w:r>
      <w:r w:rsidRPr="00B25F86">
        <w:rPr>
          <w:rFonts w:ascii="Palatino Linotype" w:eastAsia="Palatino Linotype" w:hAnsi="Palatino Linotype" w:cs="Palatino Linotype"/>
          <w:i/>
        </w:rPr>
        <w:t>Para los efectos de la presente Ley se entenderá por:</w:t>
      </w:r>
    </w:p>
    <w:p w14:paraId="1A3F2A25"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i/>
        </w:rPr>
        <w:t>…</w:t>
      </w:r>
    </w:p>
    <w:p w14:paraId="04407D06"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b/>
          <w:i/>
        </w:rPr>
        <w:t>XI. Documento:</w:t>
      </w:r>
      <w:r w:rsidRPr="00B25F86">
        <w:rPr>
          <w:rFonts w:ascii="Palatino Linotype" w:eastAsia="Palatino Linotype" w:hAnsi="Palatino Linotype" w:cs="Palatino Linotype"/>
          <w:i/>
        </w:rPr>
        <w:t xml:space="preserve"> Los expedientes, reportes, estudios, actas</w:t>
      </w:r>
      <w:r w:rsidRPr="00B25F86">
        <w:rPr>
          <w:rFonts w:ascii="Palatino Linotype" w:eastAsia="Palatino Linotype" w:hAnsi="Palatino Linotype" w:cs="Palatino Linotype"/>
          <w:b/>
          <w:i/>
        </w:rPr>
        <w:t>,</w:t>
      </w:r>
      <w:r w:rsidRPr="00B25F86">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9090FC5" w14:textId="77777777" w:rsidR="004C20A0" w:rsidRPr="00B25F86" w:rsidRDefault="004C20A0">
      <w:pPr>
        <w:spacing w:after="0" w:line="360" w:lineRule="auto"/>
        <w:ind w:left="851" w:right="899"/>
        <w:jc w:val="both"/>
        <w:rPr>
          <w:rFonts w:ascii="Palatino Linotype" w:eastAsia="Palatino Linotype" w:hAnsi="Palatino Linotype" w:cs="Palatino Linotype"/>
          <w:sz w:val="24"/>
          <w:szCs w:val="24"/>
        </w:rPr>
      </w:pPr>
    </w:p>
    <w:p w14:paraId="2BAEC213"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A580DA5"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4F105C5D" w14:textId="77777777" w:rsidR="004C20A0" w:rsidRPr="00B25F86" w:rsidRDefault="00781C22">
      <w:pPr>
        <w:spacing w:after="0" w:line="276" w:lineRule="auto"/>
        <w:ind w:left="851" w:right="902"/>
        <w:jc w:val="both"/>
        <w:rPr>
          <w:rFonts w:ascii="Palatino Linotype" w:eastAsia="Palatino Linotype" w:hAnsi="Palatino Linotype" w:cs="Palatino Linotype"/>
          <w:b/>
          <w:i/>
        </w:rPr>
      </w:pPr>
      <w:r w:rsidRPr="00B25F86">
        <w:rPr>
          <w:rFonts w:ascii="Palatino Linotype" w:eastAsia="Palatino Linotype" w:hAnsi="Palatino Linotype" w:cs="Palatino Linotype"/>
          <w:b/>
        </w:rPr>
        <w:lastRenderedPageBreak/>
        <w:t>“</w:t>
      </w:r>
      <w:r w:rsidRPr="00B25F86">
        <w:rPr>
          <w:rFonts w:ascii="Palatino Linotype" w:eastAsia="Palatino Linotype" w:hAnsi="Palatino Linotype" w:cs="Palatino Linotype"/>
          <w:b/>
          <w:i/>
        </w:rPr>
        <w:t>CRITERIO 0002-11</w:t>
      </w:r>
    </w:p>
    <w:p w14:paraId="41B44B6E"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B25F86">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CBE872A"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i/>
        </w:rPr>
        <w:t>En consecuencia el acceso a la información se refiere a que se cumplan cualquiera de los siguientes tres supuestos:</w:t>
      </w:r>
    </w:p>
    <w:p w14:paraId="745425AE"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5B3672BB"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52DC46C6"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14:paraId="679407C6" w14:textId="77777777" w:rsidR="004C20A0" w:rsidRPr="00B25F86" w:rsidRDefault="004C20A0">
      <w:pPr>
        <w:spacing w:after="0" w:line="276" w:lineRule="auto"/>
        <w:ind w:left="851" w:right="902"/>
        <w:jc w:val="both"/>
        <w:rPr>
          <w:rFonts w:ascii="Palatino Linotype" w:eastAsia="Palatino Linotype" w:hAnsi="Palatino Linotype" w:cs="Palatino Linotype"/>
          <w:sz w:val="24"/>
          <w:szCs w:val="24"/>
        </w:rPr>
      </w:pPr>
    </w:p>
    <w:p w14:paraId="34FB1BB6"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De ahí que </w:t>
      </w:r>
      <w:r w:rsidRPr="00B25F86">
        <w:rPr>
          <w:rFonts w:ascii="Palatino Linotype" w:eastAsia="Palatino Linotype" w:hAnsi="Palatino Linotype" w:cs="Palatino Linotype"/>
          <w:b/>
          <w:sz w:val="24"/>
          <w:szCs w:val="24"/>
        </w:rPr>
        <w:t>EL SUJETO OBLIGADO</w:t>
      </w:r>
      <w:r w:rsidRPr="00B25F86">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25F86">
        <w:rPr>
          <w:rFonts w:ascii="Palatino Linotype" w:eastAsia="Palatino Linotype" w:hAnsi="Palatino Linotype" w:cs="Palatino Linotype"/>
          <w:sz w:val="24"/>
          <w:szCs w:val="24"/>
          <w:vertAlign w:val="superscript"/>
        </w:rPr>
        <w:footnoteReference w:id="2"/>
      </w:r>
      <w:r w:rsidRPr="00B25F86">
        <w:rPr>
          <w:rFonts w:ascii="Palatino Linotype" w:eastAsia="Palatino Linotype" w:hAnsi="Palatino Linotype" w:cs="Palatino Linotype"/>
          <w:sz w:val="24"/>
          <w:szCs w:val="24"/>
        </w:rPr>
        <w:t xml:space="preserve">, así como de interés público, es decir, aquella que </w:t>
      </w:r>
      <w:r w:rsidRPr="00B25F86">
        <w:rPr>
          <w:rFonts w:ascii="Palatino Linotype" w:eastAsia="Palatino Linotype" w:hAnsi="Palatino Linotype" w:cs="Palatino Linotype"/>
          <w:sz w:val="24"/>
          <w:szCs w:val="24"/>
        </w:rPr>
        <w:lastRenderedPageBreak/>
        <w:t>resulta relevante o beneficiosa para la sociedad y no simplemente de interés individual, y cuya divulgación resulta útil para que el público comprenda las actividades que llevan a cabo los Sujetos Obligados</w:t>
      </w:r>
      <w:r w:rsidRPr="00B25F86">
        <w:rPr>
          <w:rFonts w:ascii="Palatino Linotype" w:eastAsia="Palatino Linotype" w:hAnsi="Palatino Linotype" w:cs="Palatino Linotype"/>
          <w:sz w:val="24"/>
          <w:szCs w:val="24"/>
          <w:vertAlign w:val="superscript"/>
        </w:rPr>
        <w:footnoteReference w:id="3"/>
      </w:r>
      <w:r w:rsidRPr="00B25F86">
        <w:rPr>
          <w:rFonts w:ascii="Palatino Linotype" w:eastAsia="Palatino Linotype" w:hAnsi="Palatino Linotype" w:cs="Palatino Linotype"/>
          <w:sz w:val="24"/>
          <w:szCs w:val="24"/>
        </w:rPr>
        <w:t>, como pudiera tratarse de aquella relacionada con las obligaciones de transparencia señaladas en los artículos 92 de la Ley de la Materia.</w:t>
      </w:r>
    </w:p>
    <w:p w14:paraId="2062D45C"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0A798C97" w14:textId="77777777" w:rsidR="004C20A0" w:rsidRPr="00B25F86" w:rsidRDefault="00781C22">
      <w:pPr>
        <w:spacing w:after="24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Una vez determinada la vía sobre la que versará el presente recurso, y previa revisión del expediente del recurso de revisión materia de la presente resolución, se advierte lo siguiente:</w:t>
      </w:r>
    </w:p>
    <w:p w14:paraId="7413350D" w14:textId="77777777" w:rsidR="004C20A0" w:rsidRPr="00B25F86" w:rsidRDefault="004C20A0">
      <w:pPr>
        <w:spacing w:after="240" w:line="360" w:lineRule="auto"/>
        <w:jc w:val="both"/>
        <w:rPr>
          <w:rFonts w:ascii="Palatino Linotype" w:eastAsia="Palatino Linotype" w:hAnsi="Palatino Linotype" w:cs="Palatino Linotype"/>
          <w:sz w:val="24"/>
          <w:szCs w:val="24"/>
        </w:rPr>
      </w:pPr>
    </w:p>
    <w:tbl>
      <w:tblPr>
        <w:tblStyle w:val="a3"/>
        <w:tblW w:w="86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1276"/>
        <w:gridCol w:w="3684"/>
      </w:tblGrid>
      <w:tr w:rsidR="00C35613" w:rsidRPr="00B25F86" w14:paraId="596C613A" w14:textId="77777777">
        <w:tc>
          <w:tcPr>
            <w:tcW w:w="3681" w:type="dxa"/>
            <w:shd w:val="clear" w:color="auto" w:fill="AEAAAA"/>
          </w:tcPr>
          <w:p w14:paraId="1FE71668" w14:textId="77777777" w:rsidR="004C20A0" w:rsidRPr="00B25F86" w:rsidRDefault="00781C22">
            <w:pPr>
              <w:spacing w:before="240" w:after="240" w:line="276" w:lineRule="auto"/>
              <w:jc w:val="both"/>
              <w:rPr>
                <w:rFonts w:ascii="Palatino Linotype" w:eastAsia="Palatino Linotype" w:hAnsi="Palatino Linotype" w:cs="Palatino Linotype"/>
                <w:sz w:val="20"/>
                <w:szCs w:val="20"/>
              </w:rPr>
            </w:pPr>
            <w:r w:rsidRPr="00B25F86">
              <w:rPr>
                <w:rFonts w:ascii="Palatino Linotype" w:eastAsia="Palatino Linotype" w:hAnsi="Palatino Linotype" w:cs="Palatino Linotype"/>
                <w:b/>
                <w:sz w:val="20"/>
                <w:szCs w:val="20"/>
              </w:rPr>
              <w:t>Solicitud</w:t>
            </w:r>
            <w:r w:rsidRPr="00B25F86">
              <w:rPr>
                <w:rFonts w:ascii="Palatino Linotype" w:eastAsia="Palatino Linotype" w:hAnsi="Palatino Linotype" w:cs="Palatino Linotype"/>
                <w:sz w:val="20"/>
                <w:szCs w:val="20"/>
              </w:rPr>
              <w:t xml:space="preserve"> </w:t>
            </w:r>
          </w:p>
        </w:tc>
        <w:tc>
          <w:tcPr>
            <w:tcW w:w="1276" w:type="dxa"/>
            <w:shd w:val="clear" w:color="auto" w:fill="AEAAAA"/>
          </w:tcPr>
          <w:p w14:paraId="7F534FCC" w14:textId="77777777" w:rsidR="004C20A0" w:rsidRPr="00B25F86" w:rsidRDefault="00781C22">
            <w:pPr>
              <w:tabs>
                <w:tab w:val="center" w:pos="1380"/>
                <w:tab w:val="right" w:pos="2760"/>
              </w:tabs>
              <w:spacing w:before="240" w:after="240" w:line="360" w:lineRule="auto"/>
              <w:jc w:val="center"/>
              <w:rPr>
                <w:rFonts w:ascii="Palatino Linotype" w:eastAsia="Palatino Linotype" w:hAnsi="Palatino Linotype" w:cs="Palatino Linotype"/>
                <w:b/>
                <w:sz w:val="20"/>
                <w:szCs w:val="20"/>
              </w:rPr>
            </w:pPr>
            <w:r w:rsidRPr="00B25F86">
              <w:rPr>
                <w:rFonts w:ascii="Palatino Linotype" w:eastAsia="Palatino Linotype" w:hAnsi="Palatino Linotype" w:cs="Palatino Linotype"/>
                <w:b/>
                <w:sz w:val="20"/>
                <w:szCs w:val="20"/>
              </w:rPr>
              <w:t>Respuesta</w:t>
            </w:r>
          </w:p>
        </w:tc>
        <w:tc>
          <w:tcPr>
            <w:tcW w:w="3684" w:type="dxa"/>
            <w:shd w:val="clear" w:color="auto" w:fill="AEAAAA"/>
          </w:tcPr>
          <w:p w14:paraId="3A2931E8" w14:textId="77777777" w:rsidR="004C20A0" w:rsidRPr="00B25F86" w:rsidRDefault="00781C22">
            <w:pPr>
              <w:tabs>
                <w:tab w:val="center" w:pos="1380"/>
                <w:tab w:val="right" w:pos="2760"/>
              </w:tabs>
              <w:spacing w:before="240" w:after="240" w:line="360" w:lineRule="auto"/>
              <w:jc w:val="center"/>
              <w:rPr>
                <w:rFonts w:ascii="Palatino Linotype" w:eastAsia="Palatino Linotype" w:hAnsi="Palatino Linotype" w:cs="Palatino Linotype"/>
                <w:b/>
                <w:sz w:val="20"/>
                <w:szCs w:val="20"/>
              </w:rPr>
            </w:pPr>
            <w:r w:rsidRPr="00B25F86">
              <w:rPr>
                <w:rFonts w:ascii="Palatino Linotype" w:eastAsia="Palatino Linotype" w:hAnsi="Palatino Linotype" w:cs="Palatino Linotype"/>
                <w:b/>
                <w:sz w:val="20"/>
                <w:szCs w:val="20"/>
              </w:rPr>
              <w:t>Informe Justificado</w:t>
            </w:r>
          </w:p>
        </w:tc>
      </w:tr>
      <w:tr w:rsidR="004C20A0" w:rsidRPr="00B25F86" w14:paraId="12FD27D8" w14:textId="77777777">
        <w:tc>
          <w:tcPr>
            <w:tcW w:w="3681" w:type="dxa"/>
            <w:shd w:val="clear" w:color="auto" w:fill="auto"/>
          </w:tcPr>
          <w:p w14:paraId="2DDAE702" w14:textId="77777777" w:rsidR="004C20A0" w:rsidRPr="00B25F86" w:rsidRDefault="00781C22">
            <w:pPr>
              <w:spacing w:before="240" w:after="240" w:line="276" w:lineRule="auto"/>
              <w:jc w:val="both"/>
              <w:rPr>
                <w:rFonts w:ascii="Palatino Linotype" w:eastAsia="Palatino Linotype" w:hAnsi="Palatino Linotype" w:cs="Palatino Linotype"/>
                <w:sz w:val="20"/>
                <w:szCs w:val="20"/>
              </w:rPr>
            </w:pPr>
            <w:r w:rsidRPr="00B25F86">
              <w:rPr>
                <w:rFonts w:ascii="Palatino Linotype" w:eastAsia="Palatino Linotype" w:hAnsi="Palatino Linotype" w:cs="Palatino Linotype"/>
                <w:sz w:val="20"/>
                <w:szCs w:val="20"/>
              </w:rPr>
              <w:t>Cuánto dinero se han gastado en el nuevo logo institucional.</w:t>
            </w:r>
          </w:p>
          <w:p w14:paraId="41DCF1A5" w14:textId="77777777" w:rsidR="004C20A0" w:rsidRPr="00B25F86" w:rsidRDefault="00781C22">
            <w:pPr>
              <w:spacing w:before="240" w:after="240" w:line="276" w:lineRule="auto"/>
              <w:jc w:val="both"/>
              <w:rPr>
                <w:rFonts w:ascii="Palatino Linotype" w:eastAsia="Palatino Linotype" w:hAnsi="Palatino Linotype" w:cs="Palatino Linotype"/>
                <w:sz w:val="20"/>
                <w:szCs w:val="20"/>
              </w:rPr>
            </w:pPr>
            <w:r w:rsidRPr="00B25F86">
              <w:rPr>
                <w:rFonts w:ascii="Palatino Linotype" w:eastAsia="Palatino Linotype" w:hAnsi="Palatino Linotype" w:cs="Palatino Linotype"/>
                <w:sz w:val="20"/>
                <w:szCs w:val="20"/>
              </w:rPr>
              <w:t>Manual de identidad.</w:t>
            </w:r>
          </w:p>
          <w:p w14:paraId="542F3071" w14:textId="77777777" w:rsidR="004C20A0" w:rsidRPr="00B25F86" w:rsidRDefault="00781C22">
            <w:pPr>
              <w:spacing w:before="240" w:after="240" w:line="276" w:lineRule="auto"/>
              <w:jc w:val="both"/>
              <w:rPr>
                <w:rFonts w:ascii="Palatino Linotype" w:eastAsia="Palatino Linotype" w:hAnsi="Palatino Linotype" w:cs="Palatino Linotype"/>
                <w:sz w:val="20"/>
                <w:szCs w:val="20"/>
              </w:rPr>
            </w:pPr>
            <w:r w:rsidRPr="00B25F86">
              <w:rPr>
                <w:rFonts w:ascii="Palatino Linotype" w:eastAsia="Palatino Linotype" w:hAnsi="Palatino Linotype" w:cs="Palatino Linotype"/>
                <w:sz w:val="20"/>
                <w:szCs w:val="20"/>
              </w:rPr>
              <w:t xml:space="preserve">Quien diseño y el costo del nuevo logo institucional. </w:t>
            </w:r>
          </w:p>
          <w:p w14:paraId="31622F4D" w14:textId="77777777" w:rsidR="004C20A0" w:rsidRPr="00B25F86" w:rsidRDefault="00781C22">
            <w:pPr>
              <w:spacing w:before="240" w:after="240" w:line="276" w:lineRule="auto"/>
              <w:jc w:val="both"/>
              <w:rPr>
                <w:rFonts w:ascii="Palatino Linotype" w:eastAsia="Palatino Linotype" w:hAnsi="Palatino Linotype" w:cs="Palatino Linotype"/>
                <w:sz w:val="20"/>
                <w:szCs w:val="20"/>
              </w:rPr>
            </w:pPr>
            <w:r w:rsidRPr="00B25F86">
              <w:rPr>
                <w:rFonts w:ascii="Palatino Linotype" w:eastAsia="Palatino Linotype" w:hAnsi="Palatino Linotype" w:cs="Palatino Linotype"/>
                <w:sz w:val="20"/>
                <w:szCs w:val="20"/>
              </w:rPr>
              <w:t>Cuánto se gastó en hojas, en pinta de bardas, en pinta de inmuebles del ayuntamiento, en papelería oficial, por el nuevo logo institucional.</w:t>
            </w:r>
          </w:p>
          <w:p w14:paraId="1EBD650E" w14:textId="77777777" w:rsidR="004C20A0" w:rsidRPr="00B25F86" w:rsidRDefault="00781C22">
            <w:pPr>
              <w:spacing w:before="240" w:after="240" w:line="276" w:lineRule="auto"/>
              <w:jc w:val="both"/>
              <w:rPr>
                <w:rFonts w:ascii="Palatino Linotype" w:eastAsia="Palatino Linotype" w:hAnsi="Palatino Linotype" w:cs="Palatino Linotype"/>
                <w:sz w:val="20"/>
                <w:szCs w:val="20"/>
              </w:rPr>
            </w:pPr>
            <w:r w:rsidRPr="00B25F86">
              <w:rPr>
                <w:rFonts w:ascii="Palatino Linotype" w:eastAsia="Palatino Linotype" w:hAnsi="Palatino Linotype" w:cs="Palatino Linotype"/>
                <w:sz w:val="20"/>
                <w:szCs w:val="20"/>
              </w:rPr>
              <w:lastRenderedPageBreak/>
              <w:t xml:space="preserve">Cuanto se ha gastado en el rótulo de vehículos y patrullas, su marca, placas, factura del vehículo, el contrato con la empresa o proveedor para hacer la rotulación del nuevo logo institucional. </w:t>
            </w:r>
          </w:p>
          <w:p w14:paraId="62DA99E2" w14:textId="77777777" w:rsidR="004C20A0" w:rsidRPr="00B25F86" w:rsidRDefault="004C20A0">
            <w:pPr>
              <w:spacing w:before="240" w:after="240" w:line="276" w:lineRule="auto"/>
              <w:jc w:val="both"/>
              <w:rPr>
                <w:rFonts w:ascii="Palatino Linotype" w:eastAsia="Palatino Linotype" w:hAnsi="Palatino Linotype" w:cs="Palatino Linotype"/>
                <w:sz w:val="20"/>
                <w:szCs w:val="20"/>
              </w:rPr>
            </w:pPr>
          </w:p>
        </w:tc>
        <w:tc>
          <w:tcPr>
            <w:tcW w:w="1276" w:type="dxa"/>
            <w:shd w:val="clear" w:color="auto" w:fill="auto"/>
          </w:tcPr>
          <w:p w14:paraId="774E5E19" w14:textId="77777777" w:rsidR="004C20A0" w:rsidRPr="00B25F86" w:rsidRDefault="00781C22">
            <w:pPr>
              <w:spacing w:before="240" w:after="240" w:line="360" w:lineRule="auto"/>
              <w:jc w:val="center"/>
              <w:rPr>
                <w:rFonts w:ascii="Palatino Linotype" w:eastAsia="Palatino Linotype" w:hAnsi="Palatino Linotype" w:cs="Palatino Linotype"/>
                <w:sz w:val="20"/>
                <w:szCs w:val="20"/>
              </w:rPr>
            </w:pPr>
            <w:r w:rsidRPr="00B25F86">
              <w:rPr>
                <w:rFonts w:ascii="Palatino Linotype" w:eastAsia="Palatino Linotype" w:hAnsi="Palatino Linotype" w:cs="Palatino Linotype"/>
                <w:sz w:val="20"/>
                <w:szCs w:val="20"/>
              </w:rPr>
              <w:lastRenderedPageBreak/>
              <w:t>N/A</w:t>
            </w:r>
          </w:p>
        </w:tc>
        <w:tc>
          <w:tcPr>
            <w:tcW w:w="3684" w:type="dxa"/>
          </w:tcPr>
          <w:p w14:paraId="147CCD9C" w14:textId="77777777" w:rsidR="004C20A0" w:rsidRPr="00B25F86" w:rsidRDefault="00781C22">
            <w:pPr>
              <w:spacing w:before="240" w:after="240" w:line="360" w:lineRule="auto"/>
              <w:jc w:val="both"/>
              <w:rPr>
                <w:rFonts w:ascii="Palatino Linotype" w:eastAsia="Palatino Linotype" w:hAnsi="Palatino Linotype" w:cs="Palatino Linotype"/>
                <w:sz w:val="20"/>
                <w:szCs w:val="20"/>
              </w:rPr>
            </w:pPr>
            <w:r w:rsidRPr="00B25F86">
              <w:rPr>
                <w:rFonts w:ascii="Palatino Linotype" w:eastAsia="Palatino Linotype" w:hAnsi="Palatino Linotype" w:cs="Palatino Linotype"/>
                <w:sz w:val="20"/>
                <w:szCs w:val="20"/>
              </w:rPr>
              <w:t xml:space="preserve">La Dirección General de Administración señaló que de una búsqueda exhaustiva en sus archivos y departamentos, no se localizó  la información solicitada, por no ser materia de su competencia. </w:t>
            </w:r>
          </w:p>
          <w:p w14:paraId="12E89C23" w14:textId="77777777" w:rsidR="004C20A0" w:rsidRPr="00B25F86" w:rsidRDefault="00781C22">
            <w:pPr>
              <w:spacing w:before="240" w:after="240" w:line="360" w:lineRule="auto"/>
              <w:jc w:val="both"/>
              <w:rPr>
                <w:rFonts w:ascii="Palatino Linotype" w:eastAsia="Palatino Linotype" w:hAnsi="Palatino Linotype" w:cs="Palatino Linotype"/>
                <w:sz w:val="20"/>
                <w:szCs w:val="20"/>
              </w:rPr>
            </w:pPr>
            <w:r w:rsidRPr="00B25F86">
              <w:rPr>
                <w:rFonts w:ascii="Palatino Linotype" w:eastAsia="Palatino Linotype" w:hAnsi="Palatino Linotype" w:cs="Palatino Linotype"/>
                <w:sz w:val="20"/>
                <w:szCs w:val="20"/>
              </w:rPr>
              <w:t xml:space="preserve">La Tesorería Municipal, informó que a la fecha no le han remitido </w:t>
            </w:r>
            <w:r w:rsidRPr="00B25F86">
              <w:rPr>
                <w:rFonts w:ascii="Palatino Linotype" w:eastAsia="Palatino Linotype" w:hAnsi="Palatino Linotype" w:cs="Palatino Linotype"/>
                <w:sz w:val="20"/>
                <w:szCs w:val="20"/>
              </w:rPr>
              <w:lastRenderedPageBreak/>
              <w:t>documentación que dé cuenta a lo solicitado, por lo que no es posible entregar lo solicitado.</w:t>
            </w:r>
          </w:p>
          <w:p w14:paraId="00BAA29E" w14:textId="77777777" w:rsidR="004C20A0" w:rsidRPr="00B25F86" w:rsidRDefault="00781C22">
            <w:pPr>
              <w:spacing w:before="240" w:after="240" w:line="360" w:lineRule="auto"/>
              <w:jc w:val="both"/>
              <w:rPr>
                <w:rFonts w:ascii="Palatino Linotype" w:eastAsia="Palatino Linotype" w:hAnsi="Palatino Linotype" w:cs="Palatino Linotype"/>
                <w:sz w:val="20"/>
                <w:szCs w:val="20"/>
              </w:rPr>
            </w:pPr>
            <w:r w:rsidRPr="00B25F86">
              <w:rPr>
                <w:rFonts w:ascii="Palatino Linotype" w:eastAsia="Palatino Linotype" w:hAnsi="Palatino Linotype" w:cs="Palatino Linotype"/>
                <w:sz w:val="20"/>
                <w:szCs w:val="20"/>
              </w:rPr>
              <w:t>La Dirección General de Seguridad y Protección Ciudadana, informó que dentro del parque vehicular de la Dirección General de Seguridad y Protección no se ha realizado la rotulación de ninguna patrulla con la nueva imagen institucional, con relación a la papelería utilizada en la Coordinación Administrativa y sus departamentos no se han adquirido con la imagen institucional</w:t>
            </w:r>
          </w:p>
        </w:tc>
      </w:tr>
    </w:tbl>
    <w:p w14:paraId="14EE55E6"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16622206" w14:textId="77777777" w:rsidR="004C20A0" w:rsidRPr="00B25F86" w:rsidRDefault="00781C22">
      <w:pPr>
        <w:spacing w:after="0" w:line="360" w:lineRule="auto"/>
        <w:ind w:right="51"/>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Si bien en primera instancia, </w:t>
      </w:r>
      <w:r w:rsidRPr="00B25F86">
        <w:rPr>
          <w:rFonts w:ascii="Palatino Linotype" w:eastAsia="Palatino Linotype" w:hAnsi="Palatino Linotype" w:cs="Palatino Linotype"/>
          <w:b/>
          <w:sz w:val="24"/>
          <w:szCs w:val="24"/>
        </w:rPr>
        <w:t xml:space="preserve">EL SUJETO OBLIGADO </w:t>
      </w:r>
      <w:r w:rsidRPr="00B25F86">
        <w:rPr>
          <w:rFonts w:ascii="Palatino Linotype" w:eastAsia="Palatino Linotype" w:hAnsi="Palatino Linotype" w:cs="Palatino Linotype"/>
          <w:sz w:val="24"/>
          <w:szCs w:val="24"/>
        </w:rPr>
        <w:t>resultó omiso de emitir respuesta; no obstante, se manifestó mediante informe justificado por conducto de la Dirección General de Administración, la Tesorería Municipal y la Dirección General de Seguridad y Protección Ciudadana, quienes cuentan con las siguientes atribuciones:</w:t>
      </w:r>
    </w:p>
    <w:p w14:paraId="4DC00A9F"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5B644E10" w14:textId="77777777" w:rsidR="004C20A0" w:rsidRPr="00B25F86" w:rsidRDefault="00781C22">
      <w:pPr>
        <w:spacing w:after="0" w:line="276" w:lineRule="auto"/>
        <w:ind w:left="851" w:right="902"/>
        <w:jc w:val="both"/>
        <w:rPr>
          <w:rFonts w:ascii="Palatino Linotype" w:eastAsia="Palatino Linotype" w:hAnsi="Palatino Linotype" w:cs="Palatino Linotype"/>
          <w:b/>
          <w:i/>
        </w:rPr>
      </w:pPr>
      <w:r w:rsidRPr="00B25F86">
        <w:rPr>
          <w:rFonts w:ascii="Palatino Linotype" w:eastAsia="Palatino Linotype" w:hAnsi="Palatino Linotype" w:cs="Palatino Linotype"/>
          <w:b/>
          <w:i/>
        </w:rPr>
        <w:t>CÓDIGO REGLAMENTARIO MUNICIPAL DE TOLUCA</w:t>
      </w:r>
    </w:p>
    <w:p w14:paraId="3213AB4F"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b/>
          <w:i/>
        </w:rPr>
        <w:t>Artículo 3.40.</w:t>
      </w:r>
      <w:r w:rsidRPr="00B25F86">
        <w:rPr>
          <w:rFonts w:ascii="Palatino Linotype" w:eastAsia="Palatino Linotype" w:hAnsi="Palatino Linotype" w:cs="Palatino Linotype"/>
          <w:i/>
        </w:rPr>
        <w:t xml:space="preserve"> La o el titular de la Dirección General de Administración, tiene las siguientes atribuciones:</w:t>
      </w:r>
    </w:p>
    <w:p w14:paraId="379FB3F7"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i/>
        </w:rPr>
        <w:t>(…)</w:t>
      </w:r>
    </w:p>
    <w:p w14:paraId="04C7E267"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i/>
        </w:rPr>
        <w:lastRenderedPageBreak/>
        <w:t>VII. Intervenir, vigilar y dar el seguimiento correspondiente a todos los procedimientos de adquisición, arrendamiento de inmuebles, contratación de servicios, enajenación y subasta de bienes, conforme a los lineamientos establecidos en la normatividad correspondiente;</w:t>
      </w:r>
    </w:p>
    <w:p w14:paraId="03452A77"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i/>
        </w:rPr>
        <w:t>VIII. Coordinar la elaboración del programa anual de adquisiciones del Ayuntamiento, con base en los montos establecidos para cada partida por objeto de gasto en el presupuesto, con el fin de ponerlo a disposición de los comités para su debida aprobación;</w:t>
      </w:r>
    </w:p>
    <w:p w14:paraId="0F7ACEAE" w14:textId="77777777" w:rsidR="004C20A0" w:rsidRPr="00B25F86" w:rsidRDefault="004C20A0">
      <w:pPr>
        <w:spacing w:after="0" w:line="276" w:lineRule="auto"/>
        <w:ind w:left="851" w:right="902"/>
        <w:jc w:val="both"/>
        <w:rPr>
          <w:rFonts w:ascii="Palatino Linotype" w:eastAsia="Palatino Linotype" w:hAnsi="Palatino Linotype" w:cs="Palatino Linotype"/>
          <w:i/>
        </w:rPr>
      </w:pPr>
    </w:p>
    <w:p w14:paraId="7557AC92"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b/>
          <w:i/>
        </w:rPr>
        <w:t xml:space="preserve">Artículo 3.19. </w:t>
      </w:r>
      <w:r w:rsidRPr="00B25F86">
        <w:rPr>
          <w:rFonts w:ascii="Palatino Linotype" w:eastAsia="Palatino Linotype" w:hAnsi="Palatino Linotype" w:cs="Palatino Linotype"/>
          <w:i/>
        </w:rPr>
        <w:t>La o el titular de la Tesorería Municipal tendrá las siguientes atribuciones:</w:t>
      </w:r>
    </w:p>
    <w:p w14:paraId="3F845932"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i/>
        </w:rPr>
        <w:t>(…)</w:t>
      </w:r>
    </w:p>
    <w:p w14:paraId="535EAC41"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i/>
        </w:rPr>
        <w:t>VI. Otorgar suficiencia presupuestal a las solicitudes de adquisiciones y servicios, así como las ampliaciones del monto del gasto operativo de las dependencias y organismos auxiliares;</w:t>
      </w:r>
    </w:p>
    <w:p w14:paraId="72031253" w14:textId="77777777" w:rsidR="004C20A0" w:rsidRPr="00B25F86" w:rsidRDefault="00781C22">
      <w:pPr>
        <w:spacing w:after="0" w:line="276" w:lineRule="auto"/>
        <w:ind w:left="851" w:right="902"/>
        <w:jc w:val="both"/>
        <w:rPr>
          <w:rFonts w:ascii="Palatino Linotype" w:eastAsia="Palatino Linotype" w:hAnsi="Palatino Linotype" w:cs="Palatino Linotype"/>
          <w:i/>
          <w:sz w:val="24"/>
          <w:szCs w:val="24"/>
        </w:rPr>
      </w:pPr>
      <w:r w:rsidRPr="00B25F86">
        <w:rPr>
          <w:rFonts w:ascii="Palatino Linotype" w:eastAsia="Palatino Linotype" w:hAnsi="Palatino Linotype" w:cs="Palatino Linotype"/>
          <w:i/>
          <w:sz w:val="24"/>
          <w:szCs w:val="24"/>
        </w:rPr>
        <w:t>Artículo 3.32. La o el titular de la Dirección Operativa tiene las siguientes atribuciones:</w:t>
      </w:r>
    </w:p>
    <w:p w14:paraId="7AE2FCC0" w14:textId="77777777" w:rsidR="004C20A0" w:rsidRPr="00B25F86" w:rsidRDefault="00781C22">
      <w:pPr>
        <w:spacing w:after="0" w:line="276" w:lineRule="auto"/>
        <w:ind w:left="851" w:right="902"/>
        <w:jc w:val="both"/>
        <w:rPr>
          <w:rFonts w:ascii="Palatino Linotype" w:eastAsia="Palatino Linotype" w:hAnsi="Palatino Linotype" w:cs="Palatino Linotype"/>
          <w:i/>
          <w:sz w:val="24"/>
          <w:szCs w:val="24"/>
        </w:rPr>
      </w:pPr>
      <w:r w:rsidRPr="00B25F86">
        <w:rPr>
          <w:rFonts w:ascii="Palatino Linotype" w:eastAsia="Palatino Linotype" w:hAnsi="Palatino Linotype" w:cs="Palatino Linotype"/>
          <w:i/>
          <w:sz w:val="24"/>
          <w:szCs w:val="24"/>
        </w:rPr>
        <w:t>(…)</w:t>
      </w:r>
    </w:p>
    <w:p w14:paraId="710742AA" w14:textId="77777777" w:rsidR="004C20A0" w:rsidRPr="00B25F86" w:rsidRDefault="00781C22">
      <w:pPr>
        <w:spacing w:after="0" w:line="276" w:lineRule="auto"/>
        <w:ind w:left="851" w:right="902"/>
        <w:jc w:val="both"/>
        <w:rPr>
          <w:rFonts w:ascii="Palatino Linotype" w:eastAsia="Palatino Linotype" w:hAnsi="Palatino Linotype" w:cs="Palatino Linotype"/>
          <w:i/>
          <w:sz w:val="24"/>
          <w:szCs w:val="24"/>
        </w:rPr>
      </w:pPr>
      <w:r w:rsidRPr="00B25F86">
        <w:rPr>
          <w:rFonts w:ascii="Palatino Linotype" w:eastAsia="Palatino Linotype" w:hAnsi="Palatino Linotype" w:cs="Palatino Linotype"/>
          <w:i/>
          <w:sz w:val="24"/>
          <w:szCs w:val="24"/>
        </w:rPr>
        <w:t>V. Establecer, coordinar, supervisar y actualizar los mecanismos de control de los bienes muebles e inmuebles del Ayuntamiento a su cargo, del armamento asignado al personal, y de la estadística criminal del municipio;</w:t>
      </w:r>
    </w:p>
    <w:p w14:paraId="3E9569C5" w14:textId="77777777" w:rsidR="004C20A0" w:rsidRPr="00B25F86" w:rsidRDefault="004C20A0">
      <w:pPr>
        <w:spacing w:after="0" w:line="276" w:lineRule="auto"/>
        <w:ind w:left="851" w:right="902"/>
        <w:jc w:val="both"/>
        <w:rPr>
          <w:rFonts w:ascii="Palatino Linotype" w:eastAsia="Palatino Linotype" w:hAnsi="Palatino Linotype" w:cs="Palatino Linotype"/>
          <w:i/>
          <w:sz w:val="24"/>
          <w:szCs w:val="24"/>
        </w:rPr>
      </w:pPr>
    </w:p>
    <w:p w14:paraId="050787B5"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De acuerdo a lo anterior, la Dirección General de Administración, interviene, vigila da seguimiento correspondiente a todos los procedimientos de adquisición, arrendamiento de inmuebles, contratación de servicios, enajenación y subasta de bienes y coordina Coordinar la elaboración del programa anual de adquisiciones del Ayuntamiento, con base en los montos establecidos para cada partida por objeto de gasto en el presupuesto, por su parte, la Tesorería Municipal otorga la suficiencia presupuestal a las solicitudes de adquisiciones y servicios, así como las ampliaciones </w:t>
      </w:r>
      <w:r w:rsidRPr="00B25F86">
        <w:rPr>
          <w:rFonts w:ascii="Palatino Linotype" w:eastAsia="Palatino Linotype" w:hAnsi="Palatino Linotype" w:cs="Palatino Linotype"/>
          <w:sz w:val="24"/>
          <w:szCs w:val="24"/>
        </w:rPr>
        <w:lastRenderedPageBreak/>
        <w:t xml:space="preserve">del monto del gasto operativo de las dependencias, aunado a ello, la Dirección General de Seguridad y Protección, cuenta con una Dirección Operativa, quien establece, coordina, supervisa y actualiza los mecanismos de control de los bienes muebles e inmuebles del Ayuntamiento a su cargo. </w:t>
      </w:r>
    </w:p>
    <w:p w14:paraId="0CEDD5C4" w14:textId="77777777" w:rsidR="004C20A0" w:rsidRPr="00B25F86" w:rsidRDefault="004C20A0">
      <w:pPr>
        <w:spacing w:after="0" w:line="360" w:lineRule="auto"/>
        <w:jc w:val="both"/>
        <w:rPr>
          <w:rFonts w:ascii="Palatino Linotype" w:eastAsia="Palatino Linotype" w:hAnsi="Palatino Linotype" w:cs="Palatino Linotype"/>
        </w:rPr>
      </w:pPr>
    </w:p>
    <w:p w14:paraId="1B2E7DB9" w14:textId="77777777" w:rsidR="004C20A0" w:rsidRPr="00B25F86" w:rsidRDefault="00781C22">
      <w:pPr>
        <w:spacing w:after="0" w:line="360" w:lineRule="auto"/>
        <w:ind w:right="49"/>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Por ende, se determina que el informe justificado fue proporcionado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6199DA8D" w14:textId="77777777" w:rsidR="004C20A0" w:rsidRPr="00B25F86" w:rsidRDefault="004C20A0">
      <w:pPr>
        <w:spacing w:after="0" w:line="360" w:lineRule="auto"/>
        <w:ind w:right="49"/>
        <w:jc w:val="both"/>
        <w:rPr>
          <w:rFonts w:ascii="Palatino Linotype" w:eastAsia="Palatino Linotype" w:hAnsi="Palatino Linotype" w:cs="Palatino Linotype"/>
          <w:sz w:val="24"/>
          <w:szCs w:val="24"/>
        </w:rPr>
      </w:pPr>
    </w:p>
    <w:p w14:paraId="666243D6" w14:textId="77777777" w:rsidR="004C20A0" w:rsidRPr="00B25F86" w:rsidRDefault="00781C22">
      <w:pPr>
        <w:pBdr>
          <w:top w:val="nil"/>
          <w:left w:val="nil"/>
          <w:bottom w:val="nil"/>
          <w:right w:val="nil"/>
          <w:between w:val="nil"/>
        </w:pBdr>
        <w:spacing w:after="0" w:line="276" w:lineRule="auto"/>
        <w:ind w:left="862" w:right="862"/>
        <w:jc w:val="both"/>
        <w:rPr>
          <w:rFonts w:ascii="Palatino Linotype" w:eastAsia="Palatino Linotype" w:hAnsi="Palatino Linotype" w:cs="Palatino Linotype"/>
          <w:i/>
        </w:rPr>
      </w:pPr>
      <w:r w:rsidRPr="00B25F86">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2D1692B" w14:textId="77777777" w:rsidR="004C20A0" w:rsidRPr="00B25F86" w:rsidRDefault="004C20A0">
      <w:pPr>
        <w:pBdr>
          <w:top w:val="nil"/>
          <w:left w:val="nil"/>
          <w:bottom w:val="nil"/>
          <w:right w:val="nil"/>
          <w:between w:val="nil"/>
        </w:pBdr>
        <w:spacing w:after="0" w:line="276" w:lineRule="auto"/>
        <w:ind w:left="862" w:right="862"/>
        <w:jc w:val="both"/>
        <w:rPr>
          <w:rFonts w:ascii="Palatino Linotype" w:eastAsia="Palatino Linotype" w:hAnsi="Palatino Linotype" w:cs="Palatino Linotype"/>
          <w:sz w:val="24"/>
          <w:szCs w:val="24"/>
        </w:rPr>
      </w:pPr>
    </w:p>
    <w:p w14:paraId="16BC7D33" w14:textId="77777777" w:rsidR="004C20A0" w:rsidRPr="00B25F86" w:rsidRDefault="00781C22">
      <w:pPr>
        <w:pBdr>
          <w:top w:val="nil"/>
          <w:left w:val="nil"/>
          <w:bottom w:val="nil"/>
          <w:right w:val="nil"/>
          <w:between w:val="nil"/>
        </w:pBdr>
        <w:shd w:val="clear" w:color="auto" w:fill="FFFFFF"/>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581BDA8D" w14:textId="77777777" w:rsidR="004C20A0" w:rsidRPr="00B25F86" w:rsidRDefault="004C20A0">
      <w:pPr>
        <w:pBdr>
          <w:top w:val="nil"/>
          <w:left w:val="nil"/>
          <w:bottom w:val="nil"/>
          <w:right w:val="nil"/>
          <w:between w:val="nil"/>
        </w:pBdr>
        <w:shd w:val="clear" w:color="auto" w:fill="FFFFFF"/>
        <w:spacing w:after="0" w:line="360" w:lineRule="auto"/>
        <w:jc w:val="both"/>
        <w:rPr>
          <w:sz w:val="24"/>
          <w:szCs w:val="24"/>
        </w:rPr>
      </w:pPr>
    </w:p>
    <w:p w14:paraId="3F9C48EF" w14:textId="77777777" w:rsidR="004C20A0" w:rsidRPr="00B25F86" w:rsidRDefault="00781C22">
      <w:pPr>
        <w:pBdr>
          <w:top w:val="nil"/>
          <w:left w:val="nil"/>
          <w:bottom w:val="nil"/>
          <w:right w:val="nil"/>
          <w:between w:val="nil"/>
        </w:pBdr>
        <w:spacing w:after="0" w:line="276" w:lineRule="auto"/>
        <w:ind w:left="862" w:right="862"/>
        <w:jc w:val="both"/>
        <w:rPr>
          <w:rFonts w:ascii="Palatino Linotype" w:eastAsia="Palatino Linotype" w:hAnsi="Palatino Linotype" w:cs="Palatino Linotype"/>
          <w:i/>
        </w:rPr>
      </w:pPr>
      <w:r w:rsidRPr="00B25F86">
        <w:rPr>
          <w:rFonts w:ascii="Palatino Linotype" w:eastAsia="Palatino Linotype" w:hAnsi="Palatino Linotype" w:cs="Palatino Linotype"/>
          <w:i/>
        </w:rPr>
        <w:t xml:space="preserve">“Artículo 162. Las unidades de transparencia deberán garantizar que las solicitudes </w:t>
      </w:r>
      <w:r w:rsidRPr="00B25F86">
        <w:rPr>
          <w:rFonts w:ascii="Palatino Linotype" w:eastAsia="Palatino Linotype" w:hAnsi="Palatino Linotype" w:cs="Palatino Linotype"/>
          <w:b/>
          <w:i/>
        </w:rPr>
        <w:t xml:space="preserve">se turnen a todas las Áreas competentes </w:t>
      </w:r>
      <w:r w:rsidRPr="00B25F86">
        <w:rPr>
          <w:rFonts w:ascii="Palatino Linotype" w:eastAsia="Palatino Linotype" w:hAnsi="Palatino Linotype" w:cs="Palatino Linotype"/>
          <w:i/>
        </w:rPr>
        <w:t xml:space="preserve">que cuenten con la </w:t>
      </w:r>
      <w:r w:rsidRPr="00B25F86">
        <w:rPr>
          <w:rFonts w:ascii="Palatino Linotype" w:eastAsia="Palatino Linotype" w:hAnsi="Palatino Linotype" w:cs="Palatino Linotype"/>
          <w:i/>
        </w:rPr>
        <w:lastRenderedPageBreak/>
        <w:t>información o deban tenerla de acuerdo a sus facultades, competencias y funciones, con el objeto de que realicen una búsqueda exhaustiva y razonable de la información solicitada.”</w:t>
      </w:r>
    </w:p>
    <w:p w14:paraId="69A6E05F" w14:textId="77777777" w:rsidR="004C20A0" w:rsidRPr="00B25F86" w:rsidRDefault="004C20A0">
      <w:pPr>
        <w:pBdr>
          <w:top w:val="nil"/>
          <w:left w:val="nil"/>
          <w:bottom w:val="nil"/>
          <w:right w:val="nil"/>
          <w:between w:val="nil"/>
        </w:pBdr>
        <w:spacing w:after="0" w:line="360" w:lineRule="auto"/>
        <w:ind w:left="864" w:right="864"/>
        <w:jc w:val="both"/>
        <w:rPr>
          <w:rFonts w:ascii="Palatino Linotype" w:eastAsia="Palatino Linotype" w:hAnsi="Palatino Linotype" w:cs="Palatino Linotype"/>
          <w:sz w:val="24"/>
          <w:szCs w:val="24"/>
        </w:rPr>
      </w:pPr>
    </w:p>
    <w:p w14:paraId="41FA9DC3"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Por consiguiente, se tiene que el procedimiento de búsqueda de la información se ejecutó conforme a derecho.</w:t>
      </w:r>
    </w:p>
    <w:p w14:paraId="46832857"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30AF7E07"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Bajo estas consideraciones, se analizara la información, bajo el siguiente orden:</w:t>
      </w:r>
    </w:p>
    <w:p w14:paraId="5782A603"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4A27A844" w14:textId="77777777" w:rsidR="004C20A0" w:rsidRPr="00B25F86" w:rsidRDefault="00781C22">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B25F86">
        <w:rPr>
          <w:rFonts w:ascii="Palatino Linotype" w:eastAsia="Palatino Linotype" w:hAnsi="Palatino Linotype" w:cs="Palatino Linotype"/>
          <w:b/>
          <w:sz w:val="24"/>
          <w:szCs w:val="24"/>
        </w:rPr>
        <w:t xml:space="preserve">Respecto a la contratación del servicio y gasto ejercido por los conceptos referidos en la solicitud. </w:t>
      </w:r>
    </w:p>
    <w:p w14:paraId="6E6F171C"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36D68848" w14:textId="77777777" w:rsidR="004C20A0" w:rsidRPr="00B25F86" w:rsidRDefault="00781C22">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B25F86">
        <w:rPr>
          <w:rFonts w:ascii="Palatino Linotype" w:eastAsia="Palatino Linotype" w:hAnsi="Palatino Linotype" w:cs="Palatino Linotype"/>
          <w:sz w:val="24"/>
          <w:szCs w:val="24"/>
        </w:rPr>
        <w:t xml:space="preserve">Por lo que de acuerdo al pronunciamiento hecho en informe justificado por </w:t>
      </w:r>
      <w:r w:rsidRPr="00B25F86">
        <w:rPr>
          <w:rFonts w:ascii="Palatino Linotype" w:eastAsia="Palatino Linotype" w:hAnsi="Palatino Linotype" w:cs="Palatino Linotype"/>
          <w:b/>
          <w:sz w:val="24"/>
          <w:szCs w:val="24"/>
        </w:rPr>
        <w:t xml:space="preserve">EL SUJETO OBLIGADO </w:t>
      </w:r>
      <w:r w:rsidRPr="00B25F86">
        <w:rPr>
          <w:rFonts w:ascii="Palatino Linotype" w:eastAsia="Palatino Linotype" w:hAnsi="Palatino Linotype" w:cs="Palatino Linotype"/>
          <w:sz w:val="24"/>
          <w:szCs w:val="24"/>
        </w:rPr>
        <w:t>se advierte que no cuenta con algún documento que dé cuenta de la contratación de los servicios y gastos ejercidos por los conceptos referidos en la solicitud de información.</w:t>
      </w:r>
    </w:p>
    <w:p w14:paraId="5F36F66A" w14:textId="77777777" w:rsidR="004C20A0" w:rsidRPr="00B25F86" w:rsidRDefault="00781C22">
      <w:pPr>
        <w:spacing w:after="0" w:line="360" w:lineRule="auto"/>
        <w:jc w:val="both"/>
        <w:rPr>
          <w:rFonts w:ascii="Palatino Linotype" w:eastAsia="Palatino Linotype" w:hAnsi="Palatino Linotype" w:cs="Palatino Linotype"/>
          <w:sz w:val="24"/>
          <w:szCs w:val="24"/>
        </w:rPr>
      </w:pPr>
      <w:bookmarkStart w:id="1" w:name="_heading=h.755na5z3kzwy" w:colFirst="0" w:colLast="0"/>
      <w:bookmarkEnd w:id="1"/>
      <w:r w:rsidRPr="00B25F86">
        <w:rPr>
          <w:rFonts w:ascii="Palatino Linotype" w:eastAsia="Palatino Linotype" w:hAnsi="Palatino Linotype" w:cs="Palatino Linotype"/>
          <w:sz w:val="24"/>
          <w:szCs w:val="24"/>
        </w:rPr>
        <w:t xml:space="preserve"> </w:t>
      </w:r>
    </w:p>
    <w:p w14:paraId="5A982C8E"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Encontrándonos ante un hecho negativo, destacando entonces que el Pleno de este Organismo Garante, ha sostenido que ante la presencia de un hecho negativo, </w:t>
      </w:r>
      <w:r w:rsidRPr="00B25F86">
        <w:rPr>
          <w:rFonts w:ascii="Palatino Linotype" w:eastAsia="Palatino Linotype" w:hAnsi="Palatino Linotype" w:cs="Palatino Linotype"/>
          <w:b/>
          <w:sz w:val="24"/>
          <w:szCs w:val="24"/>
        </w:rPr>
        <w:t>resultaría innecesaria una declaratoria de inexistencia</w:t>
      </w:r>
      <w:r w:rsidRPr="00B25F86">
        <w:rPr>
          <w:rFonts w:ascii="Palatino Linotype" w:eastAsia="Palatino Linotype" w:hAnsi="Palatino Linotype" w:cs="Palatino Linotype"/>
          <w:sz w:val="24"/>
          <w:szCs w:val="24"/>
        </w:rPr>
        <w:t xml:space="preserve">, como es en el presente caso, en donde </w:t>
      </w:r>
      <w:r w:rsidRPr="00B25F86">
        <w:rPr>
          <w:rFonts w:ascii="Palatino Linotype" w:eastAsia="Palatino Linotype" w:hAnsi="Palatino Linotype" w:cs="Palatino Linotype"/>
          <w:b/>
          <w:sz w:val="24"/>
          <w:szCs w:val="24"/>
        </w:rPr>
        <w:t xml:space="preserve">EL SUJETO OBLIGADO </w:t>
      </w:r>
      <w:r w:rsidRPr="00B25F86">
        <w:rPr>
          <w:rFonts w:ascii="Palatino Linotype" w:eastAsia="Palatino Linotype" w:hAnsi="Palatino Linotype" w:cs="Palatino Linotype"/>
          <w:sz w:val="24"/>
          <w:szCs w:val="24"/>
        </w:rPr>
        <w:t>declaró la inexistencia de la información solicitada, sin embargo, en términos de los artículos 19, 169 y 170 de la Ley de Transparencia y Acceso a la Información Pública del Estado de México y Municipios, y ante una hecho negativo resulta aplicable la siguiente tesis:</w:t>
      </w:r>
    </w:p>
    <w:p w14:paraId="1AF21A95" w14:textId="77777777" w:rsidR="004C20A0" w:rsidRPr="00B25F86" w:rsidRDefault="00781C22">
      <w:pPr>
        <w:spacing w:after="0" w:line="276" w:lineRule="auto"/>
        <w:ind w:left="862" w:right="561"/>
        <w:jc w:val="both"/>
      </w:pPr>
      <w:r w:rsidRPr="00B25F86">
        <w:rPr>
          <w:rFonts w:ascii="Palatino Linotype" w:eastAsia="Palatino Linotype" w:hAnsi="Palatino Linotype" w:cs="Palatino Linotype"/>
          <w:b/>
          <w:i/>
        </w:rPr>
        <w:lastRenderedPageBreak/>
        <w:t>“HECHOS NEGATIVOS, NO SON SUSCEPTIBLES DE DEMOSTRACIÓN.</w:t>
      </w:r>
    </w:p>
    <w:p w14:paraId="54F2752F" w14:textId="77777777" w:rsidR="004C20A0" w:rsidRPr="00B25F86" w:rsidRDefault="00781C22">
      <w:pPr>
        <w:spacing w:after="0" w:line="276" w:lineRule="auto"/>
        <w:ind w:left="862" w:right="561"/>
        <w:jc w:val="both"/>
      </w:pPr>
      <w:r w:rsidRPr="00B25F86">
        <w:rPr>
          <w:rFonts w:ascii="Palatino Linotype" w:eastAsia="Palatino Linotype" w:hAnsi="Palatino Linotype" w:cs="Palatino Linotype"/>
          <w:i/>
        </w:rPr>
        <w:t xml:space="preserve">Tratándose de un hecho negativo, el Juez no tiene </w:t>
      </w:r>
      <w:proofErr w:type="spellStart"/>
      <w:r w:rsidRPr="00B25F86">
        <w:rPr>
          <w:rFonts w:ascii="Palatino Linotype" w:eastAsia="Palatino Linotype" w:hAnsi="Palatino Linotype" w:cs="Palatino Linotype"/>
          <w:i/>
        </w:rPr>
        <w:t>por que</w:t>
      </w:r>
      <w:proofErr w:type="spellEnd"/>
      <w:r w:rsidRPr="00B25F86">
        <w:rPr>
          <w:rFonts w:ascii="Palatino Linotype" w:eastAsia="Palatino Linotype" w:hAnsi="Palatino Linotype" w:cs="Palatino Linotype"/>
          <w:i/>
        </w:rPr>
        <w:t xml:space="preserve"> invocar prueba alguna de la que se desprenda, ya que es bien sabido que esta clase de hechos no son susceptibles de demostración.</w:t>
      </w:r>
    </w:p>
    <w:p w14:paraId="7486689C" w14:textId="77777777" w:rsidR="004C20A0" w:rsidRPr="00B25F86" w:rsidRDefault="00781C22">
      <w:pPr>
        <w:spacing w:after="0" w:line="276" w:lineRule="auto"/>
        <w:ind w:left="862" w:right="561"/>
        <w:jc w:val="both"/>
        <w:rPr>
          <w:rFonts w:ascii="Palatino Linotype" w:eastAsia="Palatino Linotype" w:hAnsi="Palatino Linotype" w:cs="Palatino Linotype"/>
          <w:i/>
        </w:rPr>
      </w:pPr>
      <w:r w:rsidRPr="00B25F86">
        <w:rPr>
          <w:rFonts w:ascii="Palatino Linotype" w:eastAsia="Palatino Linotype" w:hAnsi="Palatino Linotype" w:cs="Palatino Linotype"/>
          <w:i/>
        </w:rPr>
        <w:t>Amparo en revisión 2022/61. José García Florín (Menor). 9 de octubre de 1961. Cinco votos. Ponente: José Rivera Pérez Campos.”</w:t>
      </w:r>
    </w:p>
    <w:p w14:paraId="63680F06" w14:textId="77777777" w:rsidR="004C20A0" w:rsidRPr="00B25F86" w:rsidRDefault="004C20A0">
      <w:pPr>
        <w:spacing w:after="0" w:line="276" w:lineRule="auto"/>
        <w:ind w:left="862" w:right="561"/>
        <w:jc w:val="both"/>
        <w:rPr>
          <w:rFonts w:ascii="Palatino Linotype" w:eastAsia="Palatino Linotype" w:hAnsi="Palatino Linotype" w:cs="Palatino Linotype"/>
          <w:i/>
          <w:sz w:val="24"/>
          <w:szCs w:val="24"/>
        </w:rPr>
      </w:pPr>
    </w:p>
    <w:p w14:paraId="2A1537D1"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Además, y de conformidad con lo establecido en el artículo 12 de la Ley de Transparencia y Acceso a la Información Pública del Estado de México y Municipios, anteriormente invocado </w:t>
      </w:r>
      <w:r w:rsidRPr="00B25F86">
        <w:rPr>
          <w:rFonts w:ascii="Palatino Linotype" w:eastAsia="Palatino Linotype" w:hAnsi="Palatino Linotype" w:cs="Palatino Linotype"/>
          <w:b/>
          <w:sz w:val="24"/>
          <w:szCs w:val="24"/>
        </w:rPr>
        <w:t>EL SUJETO OBLIGADO</w:t>
      </w:r>
      <w:r w:rsidRPr="00B25F86">
        <w:rPr>
          <w:rFonts w:ascii="Palatino Linotype" w:eastAsia="Palatino Linotype" w:hAnsi="Palatino Linotype" w:cs="Palatino Linotype"/>
          <w:sz w:val="24"/>
          <w:szCs w:val="24"/>
        </w:rPr>
        <w:t xml:space="preserve"> sólo proporcionará la información que obra en sus archivos, lo que a</w:t>
      </w:r>
      <w:r w:rsidRPr="00B25F86">
        <w:rPr>
          <w:rFonts w:ascii="Palatino Linotype" w:eastAsia="Palatino Linotype" w:hAnsi="Palatino Linotype" w:cs="Palatino Linotype"/>
          <w:i/>
          <w:sz w:val="24"/>
          <w:szCs w:val="24"/>
        </w:rPr>
        <w:t xml:space="preserve"> contrario sensu</w:t>
      </w:r>
      <w:r w:rsidRPr="00B25F86">
        <w:rPr>
          <w:rFonts w:ascii="Palatino Linotype" w:eastAsia="Palatino Linotype" w:hAnsi="Palatino Linotype" w:cs="Palatino Linotype"/>
          <w:sz w:val="24"/>
          <w:szCs w:val="24"/>
        </w:rPr>
        <w:t xml:space="preserve"> significa que no se está obligado a proporcionar lo que no obre en sus archivos; motivo por el cual se colma el derecho de acceso a la información pública del particular.</w:t>
      </w:r>
    </w:p>
    <w:p w14:paraId="0B0B1037"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4279C5CD"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Aunado a lo anterior, es de mencionar que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4A62FAD" w14:textId="77777777" w:rsidR="004C20A0" w:rsidRPr="00B25F86" w:rsidRDefault="004C20A0">
      <w:pPr>
        <w:tabs>
          <w:tab w:val="left" w:pos="709"/>
        </w:tabs>
        <w:spacing w:after="0" w:line="360" w:lineRule="auto"/>
        <w:ind w:right="40"/>
        <w:jc w:val="both"/>
        <w:rPr>
          <w:rFonts w:ascii="Palatino Linotype" w:eastAsia="Palatino Linotype" w:hAnsi="Palatino Linotype" w:cs="Palatino Linotype"/>
          <w:sz w:val="24"/>
          <w:szCs w:val="24"/>
        </w:rPr>
      </w:pPr>
    </w:p>
    <w:p w14:paraId="067FD066" w14:textId="77777777" w:rsidR="004C20A0" w:rsidRPr="00B25F86" w:rsidRDefault="00781C22">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Sirviendo de apoyo a lo anterior por analogía, el criterio 31-10 emitido por el ahora Instituto Nacional de Transparencia, Acceso a la Información y Protección de Datos Personales, que a la letra dice:</w:t>
      </w:r>
    </w:p>
    <w:p w14:paraId="706A96A5" w14:textId="77777777" w:rsidR="004C20A0" w:rsidRPr="00B25F86" w:rsidRDefault="004C20A0">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4221D9F" w14:textId="77777777" w:rsidR="004C20A0" w:rsidRPr="00B25F86" w:rsidRDefault="00781C22">
      <w:pPr>
        <w:spacing w:after="0" w:line="276" w:lineRule="auto"/>
        <w:ind w:left="567" w:right="618"/>
        <w:jc w:val="both"/>
        <w:rPr>
          <w:rFonts w:ascii="Palatino Linotype" w:eastAsia="Palatino Linotype" w:hAnsi="Palatino Linotype" w:cs="Palatino Linotype"/>
          <w:i/>
        </w:rPr>
      </w:pPr>
      <w:r w:rsidRPr="00B25F86">
        <w:rPr>
          <w:rFonts w:ascii="Palatino Linotype" w:eastAsia="Palatino Linotype" w:hAnsi="Palatino Linotype" w:cs="Palatino Linotype"/>
          <w:i/>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BD722F8" w14:textId="77777777" w:rsidR="004C20A0" w:rsidRPr="00B25F86" w:rsidRDefault="004C20A0">
      <w:pPr>
        <w:tabs>
          <w:tab w:val="left" w:pos="4962"/>
        </w:tabs>
        <w:spacing w:after="0" w:line="360" w:lineRule="auto"/>
        <w:jc w:val="both"/>
        <w:rPr>
          <w:rFonts w:ascii="Palatino Linotype" w:eastAsia="Palatino Linotype" w:hAnsi="Palatino Linotype" w:cs="Palatino Linotype"/>
          <w:sz w:val="24"/>
          <w:szCs w:val="24"/>
        </w:rPr>
      </w:pPr>
    </w:p>
    <w:p w14:paraId="37656580" w14:textId="77777777" w:rsidR="004C20A0" w:rsidRPr="00B25F86" w:rsidRDefault="00781C22">
      <w:pPr>
        <w:tabs>
          <w:tab w:val="left" w:pos="4962"/>
        </w:tabs>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Por lo anterior, lo procedente es </w:t>
      </w:r>
      <w:r w:rsidRPr="00B25F86">
        <w:rPr>
          <w:rFonts w:ascii="Palatino Linotype" w:eastAsia="Palatino Linotype" w:hAnsi="Palatino Linotype" w:cs="Palatino Linotype"/>
          <w:b/>
          <w:sz w:val="24"/>
          <w:szCs w:val="24"/>
        </w:rPr>
        <w:t xml:space="preserve">dar por colmado el informe justificado </w:t>
      </w:r>
      <w:r w:rsidRPr="00B25F86">
        <w:rPr>
          <w:rFonts w:ascii="Palatino Linotype" w:eastAsia="Palatino Linotype" w:hAnsi="Palatino Linotype" w:cs="Palatino Linotype"/>
          <w:sz w:val="24"/>
          <w:szCs w:val="24"/>
        </w:rPr>
        <w:t xml:space="preserve">brindado al requerimiento de información en estos puntos de la solicitud de información. </w:t>
      </w:r>
    </w:p>
    <w:p w14:paraId="47F3BE6F"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6CDD877B" w14:textId="77777777" w:rsidR="004C20A0" w:rsidRPr="00B25F86" w:rsidRDefault="00781C22">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u w:val="single"/>
        </w:rPr>
      </w:pPr>
      <w:r w:rsidRPr="00B25F86">
        <w:rPr>
          <w:rFonts w:ascii="Palatino Linotype" w:eastAsia="Palatino Linotype" w:hAnsi="Palatino Linotype" w:cs="Palatino Linotype"/>
          <w:b/>
          <w:sz w:val="24"/>
          <w:szCs w:val="24"/>
          <w:u w:val="single"/>
        </w:rPr>
        <w:t xml:space="preserve">Respecto a quién diseño y el costo del nuevo logo institucional.  </w:t>
      </w:r>
    </w:p>
    <w:p w14:paraId="09A36DC0" w14:textId="77777777" w:rsidR="004C20A0" w:rsidRPr="00B25F86" w:rsidRDefault="004C20A0">
      <w:pPr>
        <w:spacing w:after="0" w:line="360" w:lineRule="auto"/>
        <w:jc w:val="both"/>
        <w:rPr>
          <w:rFonts w:ascii="Palatino Linotype" w:eastAsia="Palatino Linotype" w:hAnsi="Palatino Linotype" w:cs="Palatino Linotype"/>
          <w:b/>
          <w:sz w:val="24"/>
          <w:szCs w:val="24"/>
          <w:u w:val="single"/>
        </w:rPr>
      </w:pPr>
    </w:p>
    <w:p w14:paraId="5DB62029"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En este punto de la solicitud, es necesario señalar que para realizar el logo institucional del </w:t>
      </w:r>
      <w:r w:rsidRPr="00B25F86">
        <w:rPr>
          <w:rFonts w:ascii="Palatino Linotype" w:eastAsia="Palatino Linotype" w:hAnsi="Palatino Linotype" w:cs="Palatino Linotype"/>
          <w:b/>
          <w:sz w:val="24"/>
          <w:szCs w:val="24"/>
        </w:rPr>
        <w:t xml:space="preserve">SUJETO OBLIGADO </w:t>
      </w:r>
      <w:r w:rsidRPr="00B25F86">
        <w:rPr>
          <w:rFonts w:ascii="Palatino Linotype" w:eastAsia="Palatino Linotype" w:hAnsi="Palatino Linotype" w:cs="Palatino Linotype"/>
          <w:sz w:val="24"/>
          <w:szCs w:val="24"/>
        </w:rPr>
        <w:t>se efectuó una convocatoria pública mediante las redes sociales del entonces Presidente Municipal electo, como se advierte en las siguientes imágenes:</w:t>
      </w:r>
    </w:p>
    <w:p w14:paraId="2EFCB4B0" w14:textId="77777777" w:rsidR="004C20A0" w:rsidRPr="00B25F86" w:rsidRDefault="00781C22">
      <w:pPr>
        <w:jc w:val="center"/>
        <w:rPr>
          <w:rFonts w:ascii="Palatino Linotype" w:eastAsia="Palatino Linotype" w:hAnsi="Palatino Linotype" w:cs="Palatino Linotype"/>
          <w:sz w:val="24"/>
          <w:szCs w:val="24"/>
        </w:rPr>
      </w:pPr>
      <w:r w:rsidRPr="00B25F86">
        <w:rPr>
          <w:rFonts w:ascii="Palatino Linotype" w:eastAsia="Palatino Linotype" w:hAnsi="Palatino Linotype" w:cs="Palatino Linotype"/>
          <w:noProof/>
          <w:sz w:val="24"/>
          <w:szCs w:val="24"/>
        </w:rPr>
        <w:lastRenderedPageBreak/>
        <w:drawing>
          <wp:inline distT="0" distB="0" distL="0" distR="0" wp14:anchorId="782B3913" wp14:editId="2D3998F9">
            <wp:extent cx="4615369" cy="5478207"/>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15369" cy="5478207"/>
                    </a:xfrm>
                    <a:prstGeom prst="rect">
                      <a:avLst/>
                    </a:prstGeom>
                    <a:ln/>
                  </pic:spPr>
                </pic:pic>
              </a:graphicData>
            </a:graphic>
          </wp:inline>
        </w:drawing>
      </w:r>
    </w:p>
    <w:p w14:paraId="2FAC9E14" w14:textId="77777777" w:rsidR="004C20A0" w:rsidRPr="00B25F86" w:rsidRDefault="00781C22">
      <w:pPr>
        <w:spacing w:after="0" w:line="360" w:lineRule="auto"/>
        <w:jc w:val="center"/>
        <w:rPr>
          <w:rFonts w:ascii="Palatino Linotype" w:eastAsia="Palatino Linotype" w:hAnsi="Palatino Linotype" w:cs="Palatino Linotype"/>
          <w:sz w:val="24"/>
          <w:szCs w:val="24"/>
        </w:rPr>
      </w:pPr>
      <w:r w:rsidRPr="00B25F86">
        <w:rPr>
          <w:rFonts w:ascii="Palatino Linotype" w:eastAsia="Palatino Linotype" w:hAnsi="Palatino Linotype" w:cs="Palatino Linotype"/>
          <w:noProof/>
          <w:sz w:val="24"/>
          <w:szCs w:val="24"/>
        </w:rPr>
        <w:lastRenderedPageBreak/>
        <w:drawing>
          <wp:inline distT="0" distB="0" distL="0" distR="0" wp14:anchorId="15AE40BB" wp14:editId="58F60938">
            <wp:extent cx="5092400" cy="5881364"/>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092400" cy="5881364"/>
                    </a:xfrm>
                    <a:prstGeom prst="rect">
                      <a:avLst/>
                    </a:prstGeom>
                    <a:ln/>
                  </pic:spPr>
                </pic:pic>
              </a:graphicData>
            </a:graphic>
          </wp:inline>
        </w:drawing>
      </w:r>
    </w:p>
    <w:p w14:paraId="0C392C73"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Por lo anterior, se advierte que en una de las cláusulas de la convocatoria,  se otorga una premiación al autor del logo ganador,  sin embargo, la publicación y el resultado </w:t>
      </w:r>
      <w:r w:rsidRPr="00B25F86">
        <w:rPr>
          <w:rFonts w:ascii="Palatino Linotype" w:eastAsia="Palatino Linotype" w:hAnsi="Palatino Linotype" w:cs="Palatino Linotype"/>
          <w:b/>
          <w:sz w:val="24"/>
          <w:szCs w:val="24"/>
          <w:u w:val="single"/>
        </w:rPr>
        <w:t>fueron emitidos antes se tomar posesión de su carg</w:t>
      </w:r>
      <w:r w:rsidRPr="00B25F86">
        <w:rPr>
          <w:rFonts w:ascii="Palatino Linotype" w:eastAsia="Palatino Linotype" w:hAnsi="Palatino Linotype" w:cs="Palatino Linotype"/>
          <w:sz w:val="24"/>
          <w:szCs w:val="24"/>
        </w:rPr>
        <w:t xml:space="preserve">o, por lo que se concluye de que </w:t>
      </w:r>
      <w:r w:rsidRPr="00B25F86">
        <w:rPr>
          <w:rFonts w:ascii="Palatino Linotype" w:eastAsia="Palatino Linotype" w:hAnsi="Palatino Linotype" w:cs="Palatino Linotype"/>
          <w:b/>
          <w:sz w:val="24"/>
          <w:szCs w:val="24"/>
        </w:rPr>
        <w:t xml:space="preserve">EL SUJETO OBLIGADO </w:t>
      </w:r>
      <w:r w:rsidRPr="00B25F86">
        <w:rPr>
          <w:rFonts w:ascii="Palatino Linotype" w:eastAsia="Palatino Linotype" w:hAnsi="Palatino Linotype" w:cs="Palatino Linotype"/>
          <w:sz w:val="24"/>
          <w:szCs w:val="24"/>
        </w:rPr>
        <w:t xml:space="preserve">no cuenta con la información requerida, toda vez que esto </w:t>
      </w:r>
      <w:r w:rsidRPr="00B25F86">
        <w:rPr>
          <w:rFonts w:ascii="Palatino Linotype" w:eastAsia="Palatino Linotype" w:hAnsi="Palatino Linotype" w:cs="Palatino Linotype"/>
          <w:sz w:val="24"/>
          <w:szCs w:val="24"/>
        </w:rPr>
        <w:lastRenderedPageBreak/>
        <w:t xml:space="preserve">se celebró con anterioridad de la toma de posesión del Presidente Municipal de Toluca, aunado a ello,  las áreas competentes ya refirieron que no tienen información de gasto por ese concepto del nuevo logo, por lo que a su vez no hubo erogación de recursos públicos para el pago del ganador del logo de la nueva administración. </w:t>
      </w:r>
    </w:p>
    <w:p w14:paraId="086B00B0" w14:textId="77777777" w:rsidR="004C20A0" w:rsidRPr="00B25F86" w:rsidRDefault="004C20A0">
      <w:pPr>
        <w:spacing w:after="0" w:line="360" w:lineRule="auto"/>
        <w:jc w:val="both"/>
        <w:rPr>
          <w:rFonts w:ascii="Palatino Linotype" w:eastAsia="Palatino Linotype" w:hAnsi="Palatino Linotype" w:cs="Palatino Linotype"/>
          <w:b/>
          <w:sz w:val="24"/>
          <w:szCs w:val="24"/>
        </w:rPr>
      </w:pPr>
    </w:p>
    <w:p w14:paraId="0C06094D" w14:textId="77777777" w:rsidR="004C20A0" w:rsidRPr="00B25F86" w:rsidRDefault="00781C22">
      <w:pPr>
        <w:spacing w:after="0" w:line="360" w:lineRule="auto"/>
        <w:jc w:val="both"/>
        <w:rPr>
          <w:rFonts w:ascii="Palatino Linotype" w:eastAsia="Palatino Linotype" w:hAnsi="Palatino Linotype" w:cs="Palatino Linotype"/>
          <w:sz w:val="24"/>
          <w:szCs w:val="24"/>
        </w:rPr>
      </w:pPr>
      <w:bookmarkStart w:id="2" w:name="_heading=h.leyossr2aext" w:colFirst="0" w:colLast="0"/>
      <w:bookmarkEnd w:id="2"/>
      <w:r w:rsidRPr="00B25F86">
        <w:rPr>
          <w:rFonts w:ascii="Palatino Linotype" w:eastAsia="Palatino Linotype" w:hAnsi="Palatino Linotype" w:cs="Palatino Linotype"/>
          <w:sz w:val="24"/>
          <w:szCs w:val="24"/>
        </w:rPr>
        <w:t xml:space="preserve">No obstante de las cláusulas de la convocatoria analizada, se establece que el autor del logo ganador  le cederá los derechos al Ayuntamiento de Toluca, en este sentido, toda vez que el autor del logo usado en la nueva administración debió donar los derechos de su obra al Ayuntamiento, por lo tanto, debe de conocer su nombre, sin embargo, como se señaló con anterioridad, la premiación se realizó con anterioridad de que comenzara la actual administración municipal, por lo que tal acto fue realizado en carácter de particulares, por lo que no se ejercieron recursos públicos. </w:t>
      </w:r>
    </w:p>
    <w:p w14:paraId="5E9F8CA3" w14:textId="77777777" w:rsidR="004C20A0" w:rsidRPr="00B25F86" w:rsidRDefault="004C20A0">
      <w:pPr>
        <w:spacing w:after="0" w:line="360" w:lineRule="auto"/>
        <w:ind w:right="-28"/>
        <w:jc w:val="both"/>
        <w:rPr>
          <w:rFonts w:ascii="Palatino Linotype" w:eastAsia="Palatino Linotype" w:hAnsi="Palatino Linotype" w:cs="Palatino Linotype"/>
          <w:sz w:val="24"/>
          <w:szCs w:val="24"/>
        </w:rPr>
      </w:pPr>
    </w:p>
    <w:p w14:paraId="29E335DD" w14:textId="77777777" w:rsidR="004C20A0" w:rsidRPr="00B25F86" w:rsidRDefault="00781C22">
      <w:pPr>
        <w:spacing w:after="0" w:line="360" w:lineRule="auto"/>
        <w:jc w:val="both"/>
        <w:rPr>
          <w:rFonts w:ascii="Palatino Linotype" w:eastAsia="Palatino Linotype" w:hAnsi="Palatino Linotype" w:cs="Palatino Linotype"/>
          <w:b/>
          <w:sz w:val="24"/>
          <w:szCs w:val="24"/>
        </w:rPr>
      </w:pPr>
      <w:r w:rsidRPr="00B25F86">
        <w:rPr>
          <w:rFonts w:ascii="Palatino Linotype" w:eastAsia="Palatino Linotype" w:hAnsi="Palatino Linotype" w:cs="Palatino Linotype"/>
          <w:sz w:val="24"/>
          <w:szCs w:val="24"/>
        </w:rPr>
        <w:t xml:space="preserve">Aclarado lo anterior,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B25F86">
        <w:rPr>
          <w:rFonts w:ascii="Palatino Linotype" w:eastAsia="Palatino Linotype" w:hAnsi="Palatino Linotype" w:cs="Palatino Linotype"/>
          <w:i/>
          <w:sz w:val="24"/>
          <w:szCs w:val="24"/>
        </w:rPr>
        <w:t>per se</w:t>
      </w:r>
      <w:r w:rsidRPr="00B25F86">
        <w:rPr>
          <w:rFonts w:ascii="Palatino Linotype" w:eastAsia="Palatino Linotype" w:hAnsi="Palatino Linotype" w:cs="Palatino Linotype"/>
          <w:sz w:val="24"/>
          <w:szCs w:val="24"/>
        </w:rPr>
        <w:t xml:space="preserve"> es un elemento que hace a una persona física identificada o identificable, por lo que, </w:t>
      </w:r>
      <w:r w:rsidRPr="00B25F86">
        <w:rPr>
          <w:rFonts w:ascii="Palatino Linotype" w:eastAsia="Palatino Linotype" w:hAnsi="Palatino Linotype" w:cs="Palatino Linotype"/>
          <w:b/>
          <w:sz w:val="24"/>
          <w:szCs w:val="24"/>
        </w:rPr>
        <w:t>se considera un dato personal.</w:t>
      </w:r>
    </w:p>
    <w:p w14:paraId="0C96214D" w14:textId="77777777" w:rsidR="004C20A0" w:rsidRPr="00B25F86" w:rsidRDefault="004C20A0">
      <w:pPr>
        <w:spacing w:line="360" w:lineRule="auto"/>
        <w:jc w:val="both"/>
        <w:rPr>
          <w:rFonts w:ascii="Palatino Linotype" w:eastAsia="Palatino Linotype" w:hAnsi="Palatino Linotype" w:cs="Palatino Linotype"/>
          <w:b/>
        </w:rPr>
      </w:pPr>
    </w:p>
    <w:p w14:paraId="76883B6B" w14:textId="77777777" w:rsidR="004C20A0" w:rsidRPr="00B25F86" w:rsidRDefault="00781C22">
      <w:pPr>
        <w:spacing w:line="360" w:lineRule="auto"/>
        <w:ind w:right="-93"/>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Al respecto cabe señalar lo previsto en la tesis aislada número 1a. CCXIV/2009, emitida por la Primera Sala de la Suprema Corte de Justicia de la Nación, publicada en la Gaceta del Semanario Judicial de la Federación, Tomo XXX, de diciembre de </w:t>
      </w:r>
      <w:r w:rsidRPr="00B25F86">
        <w:rPr>
          <w:rFonts w:ascii="Palatino Linotype" w:eastAsia="Palatino Linotype" w:hAnsi="Palatino Linotype" w:cs="Palatino Linotype"/>
          <w:sz w:val="24"/>
          <w:szCs w:val="24"/>
        </w:rPr>
        <w:lastRenderedPageBreak/>
        <w:t>2009, página 277, de la Novena Época, materia constitucional, que establece lo siguiente:</w:t>
      </w:r>
    </w:p>
    <w:p w14:paraId="635C7DC4" w14:textId="77777777" w:rsidR="004C20A0" w:rsidRPr="00B25F86" w:rsidRDefault="004C20A0">
      <w:pPr>
        <w:spacing w:after="0" w:line="276" w:lineRule="auto"/>
        <w:ind w:right="-93"/>
        <w:jc w:val="both"/>
        <w:rPr>
          <w:rFonts w:ascii="Palatino Linotype" w:eastAsia="Palatino Linotype" w:hAnsi="Palatino Linotype" w:cs="Palatino Linotype"/>
          <w:sz w:val="24"/>
          <w:szCs w:val="24"/>
        </w:rPr>
      </w:pPr>
    </w:p>
    <w:p w14:paraId="6E51B8D1" w14:textId="77777777" w:rsidR="004C20A0" w:rsidRPr="00B25F86" w:rsidRDefault="00781C22">
      <w:pPr>
        <w:spacing w:after="0" w:line="276" w:lineRule="auto"/>
        <w:ind w:left="567" w:right="567"/>
        <w:jc w:val="both"/>
        <w:rPr>
          <w:rFonts w:ascii="Palatino Linotype" w:eastAsia="Palatino Linotype" w:hAnsi="Palatino Linotype" w:cs="Palatino Linotype"/>
          <w:i/>
        </w:rPr>
      </w:pPr>
      <w:r w:rsidRPr="00B25F86">
        <w:rPr>
          <w:rFonts w:ascii="Palatino Linotype" w:eastAsia="Palatino Linotype" w:hAnsi="Palatino Linotype" w:cs="Palatino Linotype"/>
          <w:i/>
        </w:rPr>
        <w:t>“</w:t>
      </w:r>
      <w:r w:rsidRPr="00B25F86">
        <w:rPr>
          <w:rFonts w:ascii="Palatino Linotype" w:eastAsia="Palatino Linotype" w:hAnsi="Palatino Linotype" w:cs="Palatino Linotype"/>
          <w:b/>
          <w:i/>
        </w:rPr>
        <w:t xml:space="preserve">DERECHO A LA VIDA PRIVADA. SU CONTENIDO GENERAL Y LA IMPORTANCIA DE NO DESCONTEXTUALIZAR LAS REFERENCIAS A LA MISMA. </w:t>
      </w:r>
      <w:r w:rsidRPr="00B25F86">
        <w:rPr>
          <w:rFonts w:ascii="Palatino Linotype" w:eastAsia="Palatino Linotype" w:hAnsi="Palatino Linotype" w:cs="Palatino Linotype"/>
          <w:i/>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B25F86">
        <w:rPr>
          <w:rFonts w:ascii="Palatino Linotype" w:eastAsia="Palatino Linotype" w:hAnsi="Palatino Linotype" w:cs="Palatino Linotype"/>
          <w:b/>
          <w:i/>
        </w:rPr>
        <w:t xml:space="preserve">Según esta noción, las personas tienen derecho a gozar de un ámbito de proyección de su existencia que </w:t>
      </w:r>
      <w:r w:rsidRPr="00B25F86">
        <w:rPr>
          <w:rFonts w:ascii="Palatino Linotype" w:eastAsia="Palatino Linotype" w:hAnsi="Palatino Linotype" w:cs="Palatino Linotype"/>
          <w:b/>
          <w:i/>
        </w:rPr>
        <w:lastRenderedPageBreak/>
        <w:t>quede reservado de la invasión y la mirada de los demás, que les concierna sólo a ellos y les provea de condiciones adecuadas para el despliegue de su individualidad -para el desarrollo de su autonomía y su libertad-.</w:t>
      </w:r>
      <w:r w:rsidRPr="00B25F86">
        <w:rPr>
          <w:rFonts w:ascii="Palatino Linotype" w:eastAsia="Palatino Linotype" w:hAnsi="Palatino Linotype" w:cs="Palatino Linotype"/>
          <w:i/>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B25F86">
        <w:rPr>
          <w:rFonts w:ascii="Palatino Linotype" w:eastAsia="Palatino Linotype" w:hAnsi="Palatino Linotype" w:cs="Palatino Linotype"/>
          <w:b/>
          <w:i/>
        </w:rPr>
        <w:t>En un sentido amplio, entonces, la protección constitucional de la vida privada implica poder conducir parte de la vida de uno protegido de la mirada y las injerencias de los demás</w:t>
      </w:r>
      <w:r w:rsidRPr="00B25F86">
        <w:rPr>
          <w:rFonts w:ascii="Palatino Linotype" w:eastAsia="Palatino Linotype" w:hAnsi="Palatino Linotype" w:cs="Palatino Linotype"/>
          <w:i/>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502C2A5A" w14:textId="77777777" w:rsidR="004C20A0" w:rsidRPr="00B25F86" w:rsidRDefault="004C20A0">
      <w:pPr>
        <w:spacing w:after="0" w:line="276" w:lineRule="auto"/>
        <w:ind w:left="567" w:right="567"/>
        <w:jc w:val="both"/>
        <w:rPr>
          <w:rFonts w:ascii="Palatino Linotype" w:eastAsia="Palatino Linotype" w:hAnsi="Palatino Linotype" w:cs="Palatino Linotype"/>
          <w:sz w:val="24"/>
          <w:szCs w:val="24"/>
        </w:rPr>
      </w:pPr>
    </w:p>
    <w:p w14:paraId="4961A56C" w14:textId="77777777" w:rsidR="004C20A0" w:rsidRPr="00B25F86" w:rsidRDefault="00781C22">
      <w:pPr>
        <w:spacing w:after="0" w:line="360" w:lineRule="auto"/>
        <w:ind w:right="-93"/>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De conformidad con lo señalado, se colige que las actividades que realicen los particulares, dentro del ámbito privado, o dentro de la esfera particular, es información que debe protegerse.</w:t>
      </w:r>
    </w:p>
    <w:p w14:paraId="4213FB33" w14:textId="77777777" w:rsidR="004C20A0" w:rsidRPr="00B25F86" w:rsidRDefault="004C20A0">
      <w:pPr>
        <w:spacing w:after="0" w:line="360" w:lineRule="auto"/>
        <w:ind w:right="-93"/>
        <w:jc w:val="both"/>
        <w:rPr>
          <w:rFonts w:ascii="Palatino Linotype" w:eastAsia="Palatino Linotype" w:hAnsi="Palatino Linotype" w:cs="Palatino Linotype"/>
          <w:sz w:val="24"/>
          <w:szCs w:val="24"/>
        </w:rPr>
      </w:pPr>
    </w:p>
    <w:p w14:paraId="13989AA3" w14:textId="77777777" w:rsidR="004C20A0" w:rsidRPr="00B25F86" w:rsidRDefault="00781C22">
      <w:pPr>
        <w:spacing w:after="0" w:line="360" w:lineRule="auto"/>
        <w:ind w:right="-28"/>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En consecuencia, resulta procedente la clasificación del nombre del autor del logo utilizado en la administración 2025-2027, en términos del artículo 143, fracción I de la Ley de Transparencia y Acceso a la Información Pública del Estado de México y Municipios. </w:t>
      </w:r>
    </w:p>
    <w:p w14:paraId="60712126"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6F11A903" w14:textId="77777777" w:rsidR="004C20A0" w:rsidRPr="00B25F86" w:rsidRDefault="00781C22">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bookmarkStart w:id="3" w:name="_heading=h.30j0zll" w:colFirst="0" w:colLast="0"/>
      <w:bookmarkEnd w:id="3"/>
      <w:r w:rsidRPr="00B25F86">
        <w:rPr>
          <w:rFonts w:ascii="Palatino Linotype" w:eastAsia="Palatino Linotype" w:hAnsi="Palatino Linotype" w:cs="Palatino Linotype"/>
          <w:b/>
          <w:sz w:val="24"/>
          <w:szCs w:val="24"/>
        </w:rPr>
        <w:lastRenderedPageBreak/>
        <w:t xml:space="preserve">Respecto al manual de identidad. </w:t>
      </w:r>
    </w:p>
    <w:p w14:paraId="138DBBBF" w14:textId="77777777" w:rsidR="004C20A0" w:rsidRPr="00B25F86" w:rsidRDefault="004C20A0">
      <w:pPr>
        <w:spacing w:after="0" w:line="360" w:lineRule="auto"/>
        <w:jc w:val="both"/>
        <w:rPr>
          <w:rFonts w:ascii="Palatino Linotype" w:eastAsia="Palatino Linotype" w:hAnsi="Palatino Linotype" w:cs="Palatino Linotype"/>
          <w:b/>
          <w:sz w:val="24"/>
          <w:szCs w:val="24"/>
        </w:rPr>
      </w:pPr>
    </w:p>
    <w:p w14:paraId="3F685857" w14:textId="77777777" w:rsidR="004C20A0" w:rsidRPr="00B25F86" w:rsidRDefault="00781C22">
      <w:pPr>
        <w:spacing w:after="0" w:line="360" w:lineRule="auto"/>
        <w:jc w:val="both"/>
        <w:rPr>
          <w:rFonts w:ascii="Palatino Linotype" w:eastAsia="Palatino Linotype" w:hAnsi="Palatino Linotype" w:cs="Palatino Linotype"/>
          <w:b/>
          <w:sz w:val="24"/>
          <w:szCs w:val="24"/>
        </w:rPr>
      </w:pPr>
      <w:r w:rsidRPr="00B25F86">
        <w:rPr>
          <w:rFonts w:ascii="Palatino Linotype" w:eastAsia="Palatino Linotype" w:hAnsi="Palatino Linotype" w:cs="Palatino Linotype"/>
          <w:sz w:val="24"/>
          <w:szCs w:val="24"/>
        </w:rPr>
        <w:t>En este punto de la solicitud, se advierte que no hubo un pronunciamiento expreso por parte del</w:t>
      </w:r>
      <w:r w:rsidRPr="00B25F86">
        <w:rPr>
          <w:rFonts w:ascii="Palatino Linotype" w:eastAsia="Palatino Linotype" w:hAnsi="Palatino Linotype" w:cs="Palatino Linotype"/>
          <w:b/>
          <w:sz w:val="24"/>
          <w:szCs w:val="24"/>
        </w:rPr>
        <w:t xml:space="preserve"> SUJETO OBLIGADO, </w:t>
      </w:r>
      <w:r w:rsidRPr="00B25F86">
        <w:rPr>
          <w:rFonts w:ascii="Palatino Linotype" w:eastAsia="Palatino Linotype" w:hAnsi="Palatino Linotype" w:cs="Palatino Linotype"/>
          <w:sz w:val="24"/>
          <w:szCs w:val="24"/>
        </w:rPr>
        <w:t>por lo que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2111E629"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46B78398" w14:textId="77777777" w:rsidR="004C20A0" w:rsidRPr="00B25F86" w:rsidRDefault="00781C22">
      <w:pPr>
        <w:spacing w:after="0" w:line="276" w:lineRule="auto"/>
        <w:ind w:left="851" w:right="902"/>
        <w:jc w:val="both"/>
        <w:rPr>
          <w:rFonts w:ascii="Palatino Linotype" w:eastAsia="Palatino Linotype" w:hAnsi="Palatino Linotype" w:cs="Palatino Linotype"/>
          <w:i/>
        </w:rPr>
      </w:pPr>
      <w:r w:rsidRPr="00B25F86">
        <w:rPr>
          <w:rFonts w:ascii="Palatino Linotype" w:eastAsia="Palatino Linotype" w:hAnsi="Palatino Linotype" w:cs="Palatino Linotype"/>
          <w:i/>
        </w:rPr>
        <w:t xml:space="preserve">“Congruencia y exhaustividad.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se debe </w:t>
      </w:r>
      <w:proofErr w:type="spellStart"/>
      <w:r w:rsidRPr="00B25F86">
        <w:rPr>
          <w:rFonts w:ascii="Palatino Linotype" w:eastAsia="Palatino Linotype" w:hAnsi="Palatino Linotype" w:cs="Palatino Linotype"/>
          <w:i/>
        </w:rPr>
        <w:t>señacongruencia</w:t>
      </w:r>
      <w:proofErr w:type="spellEnd"/>
      <w:r w:rsidRPr="00B25F86">
        <w:rPr>
          <w:rFonts w:ascii="Palatino Linotype" w:eastAsia="Palatino Linotype" w:hAnsi="Palatino Linotype" w:cs="Palatino Linotype"/>
          <w:i/>
        </w:rPr>
        <w:t xml:space="preserve">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094029C0" w14:textId="77777777" w:rsidR="004C20A0" w:rsidRPr="00B25F86" w:rsidRDefault="004C20A0">
      <w:pPr>
        <w:spacing w:after="0" w:line="276" w:lineRule="auto"/>
        <w:ind w:right="902"/>
        <w:jc w:val="both"/>
        <w:rPr>
          <w:rFonts w:ascii="Palatino Linotype" w:eastAsia="Palatino Linotype" w:hAnsi="Palatino Linotype" w:cs="Palatino Linotype"/>
          <w:sz w:val="24"/>
          <w:szCs w:val="24"/>
        </w:rPr>
      </w:pPr>
    </w:p>
    <w:p w14:paraId="7D8E61D2"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Por lo que resulta oportuno citar la siguiente normatividad:</w:t>
      </w:r>
    </w:p>
    <w:p w14:paraId="5A4BA289" w14:textId="77777777" w:rsidR="004C20A0" w:rsidRPr="00B25F86" w:rsidRDefault="004C20A0">
      <w:pPr>
        <w:spacing w:after="0" w:line="360" w:lineRule="auto"/>
        <w:jc w:val="both"/>
        <w:rPr>
          <w:rFonts w:ascii="Palatino Linotype" w:eastAsia="Palatino Linotype" w:hAnsi="Palatino Linotype" w:cs="Palatino Linotype"/>
          <w:b/>
          <w:sz w:val="24"/>
          <w:szCs w:val="24"/>
        </w:rPr>
      </w:pPr>
    </w:p>
    <w:p w14:paraId="22A73551" w14:textId="77777777" w:rsidR="004C20A0" w:rsidRPr="00B25F86" w:rsidRDefault="00781C22">
      <w:pPr>
        <w:spacing w:after="0" w:line="360" w:lineRule="auto"/>
        <w:ind w:left="851" w:right="900"/>
        <w:jc w:val="both"/>
        <w:rPr>
          <w:rFonts w:ascii="Palatino Linotype" w:eastAsia="Palatino Linotype" w:hAnsi="Palatino Linotype" w:cs="Palatino Linotype"/>
          <w:b/>
          <w:i/>
        </w:rPr>
      </w:pPr>
      <w:r w:rsidRPr="00B25F86">
        <w:rPr>
          <w:rFonts w:ascii="Palatino Linotype" w:eastAsia="Palatino Linotype" w:hAnsi="Palatino Linotype" w:cs="Palatino Linotype"/>
          <w:b/>
          <w:i/>
        </w:rPr>
        <w:t>Manual de Organización de la Presidencia Municipal</w:t>
      </w:r>
    </w:p>
    <w:p w14:paraId="03B52C36" w14:textId="77777777" w:rsidR="004C20A0" w:rsidRPr="00B25F86" w:rsidRDefault="00781C22">
      <w:pPr>
        <w:spacing w:after="0" w:line="360" w:lineRule="auto"/>
        <w:ind w:left="851" w:right="900"/>
        <w:jc w:val="both"/>
        <w:rPr>
          <w:rFonts w:ascii="Palatino Linotype" w:eastAsia="Palatino Linotype" w:hAnsi="Palatino Linotype" w:cs="Palatino Linotype"/>
          <w:b/>
          <w:i/>
        </w:rPr>
      </w:pPr>
      <w:r w:rsidRPr="00B25F86">
        <w:rPr>
          <w:rFonts w:ascii="Palatino Linotype" w:eastAsia="Palatino Linotype" w:hAnsi="Palatino Linotype" w:cs="Palatino Linotype"/>
          <w:b/>
          <w:i/>
        </w:rPr>
        <w:t>200012001 Departamento de Diseño e Imagen</w:t>
      </w:r>
    </w:p>
    <w:p w14:paraId="586DC78B" w14:textId="77777777" w:rsidR="004C20A0" w:rsidRPr="00B25F86" w:rsidRDefault="00781C22">
      <w:pPr>
        <w:spacing w:after="0" w:line="360" w:lineRule="auto"/>
        <w:ind w:left="851" w:right="900"/>
        <w:jc w:val="both"/>
        <w:rPr>
          <w:rFonts w:ascii="Palatino Linotype" w:eastAsia="Palatino Linotype" w:hAnsi="Palatino Linotype" w:cs="Palatino Linotype"/>
          <w:i/>
        </w:rPr>
      </w:pPr>
      <w:r w:rsidRPr="00B25F86">
        <w:rPr>
          <w:rFonts w:ascii="Palatino Linotype" w:eastAsia="Palatino Linotype" w:hAnsi="Palatino Linotype" w:cs="Palatino Linotype"/>
          <w:i/>
        </w:rPr>
        <w:t xml:space="preserve">Funciones: </w:t>
      </w:r>
    </w:p>
    <w:p w14:paraId="068CF49E" w14:textId="77777777" w:rsidR="004C20A0" w:rsidRPr="00B25F86" w:rsidRDefault="00781C22">
      <w:pPr>
        <w:spacing w:after="0" w:line="360" w:lineRule="auto"/>
        <w:ind w:left="851" w:right="900"/>
        <w:jc w:val="both"/>
        <w:rPr>
          <w:rFonts w:ascii="Palatino Linotype" w:eastAsia="Palatino Linotype" w:hAnsi="Palatino Linotype" w:cs="Palatino Linotype"/>
          <w:b/>
          <w:i/>
        </w:rPr>
      </w:pPr>
      <w:r w:rsidRPr="00B25F86">
        <w:rPr>
          <w:rFonts w:ascii="Palatino Linotype" w:eastAsia="Palatino Linotype" w:hAnsi="Palatino Linotype" w:cs="Palatino Linotype"/>
          <w:i/>
        </w:rPr>
        <w:lastRenderedPageBreak/>
        <w:t>1. Coordinar y revisar la integración y elaboración del manual de identidad gráfica, así como los elementos que lo integran;</w:t>
      </w:r>
    </w:p>
    <w:p w14:paraId="6891120F"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06EC04A"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De tal forma se advierte que el Departamento de Diseño e Imagen, quien depende de la Presidencia Municipal es la responsable de coordinar y revisar la integración y elaboración del manual de identidad gráfica, por lo que en este punto de la solicitud no cumplió con lo establecido en el artículo 162 de la Ley de Transparencia y Acceso a la Información Pública del Estado de México y Municipios, citado con anterioridad. </w:t>
      </w:r>
    </w:p>
    <w:p w14:paraId="53D38D81"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75E877A9"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Por lo tanto, se ordena el Manual de Identidad Gráfica vigente al diecisiete de enero de dos mil veinticinco sin embargo, en caso de que no se llegara a localizar la información,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2437A83"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1BFF7FE" w14:textId="77777777" w:rsidR="004C20A0" w:rsidRPr="00B25F86" w:rsidRDefault="00781C22">
      <w:pPr>
        <w:spacing w:after="0" w:line="276" w:lineRule="auto"/>
        <w:ind w:left="1134" w:right="902"/>
        <w:jc w:val="both"/>
        <w:rPr>
          <w:rFonts w:ascii="Palatino Linotype" w:eastAsia="Palatino Linotype" w:hAnsi="Palatino Linotype" w:cs="Palatino Linotype"/>
          <w:i/>
          <w:sz w:val="20"/>
          <w:szCs w:val="20"/>
        </w:rPr>
      </w:pPr>
      <w:r w:rsidRPr="00B25F86">
        <w:rPr>
          <w:rFonts w:ascii="Palatino Linotype" w:eastAsia="Palatino Linotype" w:hAnsi="Palatino Linotype" w:cs="Palatino Linotype"/>
          <w:sz w:val="24"/>
          <w:szCs w:val="24"/>
        </w:rPr>
        <w:t xml:space="preserve"> </w:t>
      </w:r>
      <w:r w:rsidRPr="00B25F86">
        <w:rPr>
          <w:rFonts w:ascii="Palatino Linotype" w:eastAsia="Palatino Linotype" w:hAnsi="Palatino Linotype" w:cs="Palatino Linotype"/>
          <w:i/>
        </w:rPr>
        <w:t>“Artículo 19…</w:t>
      </w:r>
    </w:p>
    <w:p w14:paraId="5C997D40" w14:textId="77777777" w:rsidR="004C20A0" w:rsidRPr="00B25F86" w:rsidRDefault="00781C22">
      <w:pPr>
        <w:spacing w:after="0" w:line="276" w:lineRule="auto"/>
        <w:ind w:left="1134" w:right="902"/>
        <w:jc w:val="both"/>
        <w:rPr>
          <w:rFonts w:ascii="Palatino Linotype" w:eastAsia="Palatino Linotype" w:hAnsi="Palatino Linotype" w:cs="Palatino Linotype"/>
          <w:i/>
        </w:rPr>
      </w:pPr>
      <w:r w:rsidRPr="00B25F86">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14:paraId="0766E003" w14:textId="77777777" w:rsidR="004C20A0" w:rsidRPr="00B25F86" w:rsidRDefault="004C20A0">
      <w:pPr>
        <w:spacing w:after="0" w:line="360" w:lineRule="auto"/>
        <w:ind w:left="1134" w:right="899"/>
        <w:jc w:val="both"/>
        <w:rPr>
          <w:rFonts w:ascii="Palatino Linotype" w:eastAsia="Palatino Linotype" w:hAnsi="Palatino Linotype" w:cs="Palatino Linotype"/>
          <w:i/>
        </w:rPr>
      </w:pPr>
    </w:p>
    <w:p w14:paraId="10AC8BD0"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En al supuesto, es improcedente, la entrega de documento alguno, o en su caso, el Acuerdo de Inexistencia, toda vez que el pronunciamiento del Sujeto Obligado </w:t>
      </w:r>
      <w:r w:rsidRPr="00B25F86">
        <w:rPr>
          <w:rFonts w:ascii="Palatino Linotype" w:eastAsia="Palatino Linotype" w:hAnsi="Palatino Linotype" w:cs="Palatino Linotype"/>
          <w:sz w:val="24"/>
          <w:szCs w:val="24"/>
        </w:rPr>
        <w:lastRenderedPageBreak/>
        <w:t>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467C714B" w14:textId="77777777" w:rsidR="004C20A0" w:rsidRPr="00B25F86" w:rsidRDefault="004C20A0">
      <w:pPr>
        <w:spacing w:after="0" w:line="360" w:lineRule="auto"/>
        <w:ind w:right="49"/>
        <w:jc w:val="both"/>
        <w:rPr>
          <w:rFonts w:ascii="Palatino Linotype" w:eastAsia="Palatino Linotype" w:hAnsi="Palatino Linotype" w:cs="Palatino Linotype"/>
          <w:sz w:val="24"/>
          <w:szCs w:val="24"/>
        </w:rPr>
      </w:pPr>
    </w:p>
    <w:p w14:paraId="2F133612" w14:textId="77777777" w:rsidR="004C20A0" w:rsidRPr="00B25F86" w:rsidRDefault="00781C22">
      <w:pPr>
        <w:spacing w:after="0" w:line="360" w:lineRule="auto"/>
        <w:ind w:right="49"/>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Finalmente, es de señalar que, como ya se mencionó </w:t>
      </w:r>
      <w:r w:rsidRPr="00B25F86">
        <w:rPr>
          <w:rFonts w:ascii="Palatino Linotype" w:eastAsia="Palatino Linotype" w:hAnsi="Palatino Linotype" w:cs="Palatino Linotype"/>
          <w:b/>
          <w:sz w:val="24"/>
          <w:szCs w:val="24"/>
        </w:rPr>
        <w:t>EL SUJETO OBLIGADO,</w:t>
      </w:r>
      <w:r w:rsidRPr="00B25F86">
        <w:rPr>
          <w:rFonts w:ascii="Palatino Linotype" w:eastAsia="Palatino Linotype" w:hAnsi="Palatino Linotype" w:cs="Palatino Linotype"/>
          <w:sz w:val="24"/>
          <w:szCs w:val="24"/>
        </w:rPr>
        <w:t xml:space="preserve"> omitió proporcionar respuesta a la solicitud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w:t>
      </w:r>
      <w:r w:rsidRPr="00B25F86">
        <w:rPr>
          <w:rFonts w:ascii="Palatino Linotype" w:eastAsia="Palatino Linotype" w:hAnsi="Palatino Linotype" w:cs="Palatino Linotype"/>
          <w:b/>
          <w:sz w:val="24"/>
          <w:szCs w:val="24"/>
        </w:rPr>
        <w:t xml:space="preserve">ORDENA </w:t>
      </w:r>
      <w:r w:rsidRPr="00B25F86">
        <w:rPr>
          <w:rFonts w:ascii="Palatino Linotype" w:eastAsia="Palatino Linotype" w:hAnsi="Palatino Linotype" w:cs="Palatino Linotype"/>
          <w:sz w:val="24"/>
          <w:szCs w:val="24"/>
        </w:rPr>
        <w:t xml:space="preserve">dar vista a la </w:t>
      </w:r>
      <w:r w:rsidRPr="00B25F86">
        <w:rPr>
          <w:rFonts w:ascii="Palatino Linotype" w:eastAsia="Palatino Linotype" w:hAnsi="Palatino Linotype" w:cs="Palatino Linotype"/>
          <w:b/>
          <w:sz w:val="24"/>
          <w:szCs w:val="24"/>
        </w:rPr>
        <w:t>SECRETARÍA TÉCNICA DEL PLENO</w:t>
      </w:r>
      <w:r w:rsidRPr="00B25F86">
        <w:rPr>
          <w:rFonts w:ascii="Palatino Linotype" w:eastAsia="Palatino Linotype" w:hAnsi="Palatino Linotype" w:cs="Palatino Linotype"/>
          <w:sz w:val="24"/>
          <w:szCs w:val="24"/>
        </w:rPr>
        <w:t xml:space="preserve"> a efecto de que ejerza las atribuciones previstas en la normatividad aplicable y comunique al </w:t>
      </w:r>
      <w:r w:rsidRPr="00B25F86">
        <w:rPr>
          <w:rFonts w:ascii="Palatino Linotype" w:eastAsia="Palatino Linotype" w:hAnsi="Palatino Linotype" w:cs="Palatino Linotype"/>
          <w:b/>
          <w:sz w:val="24"/>
          <w:szCs w:val="24"/>
        </w:rPr>
        <w:t>ÓRGANO INTERNO DE CONTROL COMPETENTE</w:t>
      </w:r>
      <w:r w:rsidRPr="00B25F86">
        <w:rPr>
          <w:rFonts w:ascii="Palatino Linotype" w:eastAsia="Palatino Linotype" w:hAnsi="Palatino Linotype" w:cs="Palatino Linotype"/>
          <w:sz w:val="24"/>
          <w:szCs w:val="24"/>
        </w:rPr>
        <w:t xml:space="preserve"> para que éste último, en ejercicio de sus atribuciones resuelva lo conducente y determine en su caso el grado de responsabilidad en el incumplimiento de las obligaciones establecidas en la citada ley, de ser procedente en versión pública, en términos del considerando quinto. </w:t>
      </w:r>
    </w:p>
    <w:p w14:paraId="0F0E12A1"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9ED65E8"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136B50B2" w14:textId="77777777" w:rsidR="004C20A0" w:rsidRPr="00B25F86" w:rsidRDefault="004C20A0">
      <w:pPr>
        <w:spacing w:after="0" w:line="360" w:lineRule="auto"/>
        <w:rPr>
          <w:rFonts w:ascii="Palatino Linotype" w:eastAsia="Palatino Linotype" w:hAnsi="Palatino Linotype" w:cs="Palatino Linotype"/>
          <w:sz w:val="24"/>
          <w:szCs w:val="24"/>
        </w:rPr>
      </w:pPr>
    </w:p>
    <w:p w14:paraId="17038738" w14:textId="77777777" w:rsidR="004C20A0" w:rsidRPr="00B25F86" w:rsidRDefault="00781C22">
      <w:pPr>
        <w:spacing w:after="0" w:line="360" w:lineRule="auto"/>
        <w:jc w:val="center"/>
        <w:rPr>
          <w:rFonts w:ascii="Palatino Linotype" w:eastAsia="Palatino Linotype" w:hAnsi="Palatino Linotype" w:cs="Palatino Linotype"/>
          <w:b/>
          <w:sz w:val="24"/>
          <w:szCs w:val="24"/>
        </w:rPr>
      </w:pPr>
      <w:r w:rsidRPr="00B25F86">
        <w:rPr>
          <w:rFonts w:ascii="Palatino Linotype" w:eastAsia="Palatino Linotype" w:hAnsi="Palatino Linotype" w:cs="Palatino Linotype"/>
          <w:b/>
          <w:sz w:val="24"/>
          <w:szCs w:val="24"/>
        </w:rPr>
        <w:lastRenderedPageBreak/>
        <w:t>R E S U E L V E</w:t>
      </w:r>
    </w:p>
    <w:p w14:paraId="7D673EEA" w14:textId="77777777" w:rsidR="004C20A0" w:rsidRPr="00B25F86" w:rsidRDefault="004C20A0">
      <w:pPr>
        <w:spacing w:after="0" w:line="360" w:lineRule="auto"/>
        <w:rPr>
          <w:rFonts w:ascii="Palatino Linotype" w:eastAsia="Palatino Linotype" w:hAnsi="Palatino Linotype" w:cs="Palatino Linotype"/>
          <w:b/>
          <w:sz w:val="24"/>
          <w:szCs w:val="24"/>
        </w:rPr>
      </w:pPr>
    </w:p>
    <w:p w14:paraId="7CE59376"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PRIMERO.</w:t>
      </w:r>
      <w:r w:rsidRPr="00B25F86">
        <w:rPr>
          <w:rFonts w:ascii="Palatino Linotype" w:eastAsia="Palatino Linotype" w:hAnsi="Palatino Linotype" w:cs="Palatino Linotype"/>
          <w:sz w:val="24"/>
          <w:szCs w:val="24"/>
        </w:rPr>
        <w:t xml:space="preserve"> Resultan fundados los motivos de inconformidad hechos valer por </w:t>
      </w:r>
      <w:r w:rsidRPr="00B25F86">
        <w:rPr>
          <w:rFonts w:ascii="Palatino Linotype" w:eastAsia="Palatino Linotype" w:hAnsi="Palatino Linotype" w:cs="Palatino Linotype"/>
          <w:b/>
          <w:sz w:val="24"/>
          <w:szCs w:val="24"/>
        </w:rPr>
        <w:t>LA PARTE RECURRENTE</w:t>
      </w:r>
      <w:r w:rsidRPr="00B25F86">
        <w:rPr>
          <w:rFonts w:ascii="Palatino Linotype" w:eastAsia="Palatino Linotype" w:hAnsi="Palatino Linotype" w:cs="Palatino Linotype"/>
          <w:sz w:val="24"/>
          <w:szCs w:val="24"/>
        </w:rPr>
        <w:t xml:space="preserve"> en el Recurso de Revisión </w:t>
      </w:r>
      <w:r w:rsidRPr="00B25F86">
        <w:rPr>
          <w:rFonts w:ascii="Palatino Linotype" w:eastAsia="Palatino Linotype" w:hAnsi="Palatino Linotype" w:cs="Palatino Linotype"/>
          <w:b/>
          <w:sz w:val="24"/>
          <w:szCs w:val="24"/>
        </w:rPr>
        <w:t>01094/INFOEM/IP/RR/2025</w:t>
      </w:r>
      <w:r w:rsidRPr="00B25F86">
        <w:rPr>
          <w:rFonts w:ascii="Palatino Linotype" w:eastAsia="Palatino Linotype" w:hAnsi="Palatino Linotype" w:cs="Palatino Linotype"/>
          <w:sz w:val="24"/>
          <w:szCs w:val="24"/>
        </w:rPr>
        <w:t xml:space="preserve"> en términos del Considerando Cuarto de la presente resolución. </w:t>
      </w:r>
    </w:p>
    <w:p w14:paraId="0E570AD5"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3C4755AF"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SEGUNDO. </w:t>
      </w:r>
      <w:r w:rsidRPr="00B25F86">
        <w:rPr>
          <w:rFonts w:ascii="Palatino Linotype" w:eastAsia="Palatino Linotype" w:hAnsi="Palatino Linotype" w:cs="Palatino Linotype"/>
          <w:sz w:val="24"/>
          <w:szCs w:val="24"/>
        </w:rPr>
        <w:t>Se</w:t>
      </w:r>
      <w:r w:rsidRPr="00B25F86">
        <w:rPr>
          <w:rFonts w:ascii="Palatino Linotype" w:eastAsia="Palatino Linotype" w:hAnsi="Palatino Linotype" w:cs="Palatino Linotype"/>
          <w:b/>
          <w:sz w:val="24"/>
          <w:szCs w:val="24"/>
        </w:rPr>
        <w:t xml:space="preserve"> ORDENA </w:t>
      </w:r>
      <w:r w:rsidRPr="00B25F86">
        <w:rPr>
          <w:rFonts w:ascii="Palatino Linotype" w:eastAsia="Palatino Linotype" w:hAnsi="Palatino Linotype" w:cs="Palatino Linotype"/>
          <w:sz w:val="24"/>
          <w:szCs w:val="24"/>
        </w:rPr>
        <w:t xml:space="preserve">al </w:t>
      </w:r>
      <w:r w:rsidRPr="00B25F86">
        <w:rPr>
          <w:rFonts w:ascii="Palatino Linotype" w:eastAsia="Palatino Linotype" w:hAnsi="Palatino Linotype" w:cs="Palatino Linotype"/>
          <w:b/>
          <w:sz w:val="24"/>
          <w:szCs w:val="24"/>
        </w:rPr>
        <w:t>SUJETO OBLIGADO</w:t>
      </w:r>
      <w:r w:rsidRPr="00B25F86">
        <w:rPr>
          <w:rFonts w:ascii="Palatino Linotype" w:eastAsia="Palatino Linotype" w:hAnsi="Palatino Linotype" w:cs="Palatino Linotype"/>
          <w:sz w:val="24"/>
          <w:szCs w:val="24"/>
        </w:rPr>
        <w:t xml:space="preserve"> en términos de los  Considerandos </w:t>
      </w:r>
      <w:r w:rsidRPr="00B25F86">
        <w:rPr>
          <w:rFonts w:ascii="Palatino Linotype" w:eastAsia="Palatino Linotype" w:hAnsi="Palatino Linotype" w:cs="Palatino Linotype"/>
          <w:b/>
          <w:sz w:val="24"/>
          <w:szCs w:val="24"/>
        </w:rPr>
        <w:t xml:space="preserve">Cuarto </w:t>
      </w:r>
      <w:r w:rsidRPr="00B25F86">
        <w:rPr>
          <w:rFonts w:ascii="Palatino Linotype" w:eastAsia="Palatino Linotype" w:hAnsi="Palatino Linotype" w:cs="Palatino Linotype"/>
          <w:sz w:val="24"/>
          <w:szCs w:val="24"/>
        </w:rPr>
        <w:t>de esta resolución, haga entrega de lo siguiente:</w:t>
      </w:r>
    </w:p>
    <w:p w14:paraId="17AEFF48"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F84256E" w14:textId="77777777" w:rsidR="004C20A0" w:rsidRPr="00B25F86" w:rsidRDefault="00781C22">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Acuerdo emitido por el Comité de Transparencia en donde se funde y motive la clasificación de la información como confidencial del nombre del autor del logo utilizado en la administración 2025-2027, por tratarse de datos personales con fundamento en el artículo 143, fracción I de la Ley de Transparencia y Acceso a la Información Pública del Estado de México y Municipios.</w:t>
      </w:r>
    </w:p>
    <w:p w14:paraId="7B9CB03E" w14:textId="77777777" w:rsidR="004C20A0" w:rsidRPr="00B25F86" w:rsidRDefault="00781C22" w:rsidP="00C3561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 xml:space="preserve">Manual de Identidad Gráfica vigente al diecisiete de enero de dos mil veinticinco. </w:t>
      </w:r>
    </w:p>
    <w:p w14:paraId="45223F12" w14:textId="77777777" w:rsidR="004C20A0" w:rsidRPr="00B25F86" w:rsidRDefault="00781C22">
      <w:pPr>
        <w:pBdr>
          <w:top w:val="nil"/>
          <w:left w:val="nil"/>
          <w:bottom w:val="nil"/>
          <w:right w:val="nil"/>
          <w:between w:val="nil"/>
        </w:pBdr>
        <w:spacing w:after="0" w:line="276" w:lineRule="auto"/>
        <w:jc w:val="both"/>
        <w:rPr>
          <w:rFonts w:ascii="Palatino Linotype" w:eastAsia="Palatino Linotype" w:hAnsi="Palatino Linotype" w:cs="Palatino Linotype"/>
          <w:i/>
        </w:rPr>
      </w:pPr>
      <w:r w:rsidRPr="00B25F86">
        <w:rPr>
          <w:rFonts w:ascii="Palatino Linotype" w:eastAsia="Palatino Linotype" w:hAnsi="Palatino Linotype" w:cs="Palatino Linotype"/>
          <w:i/>
        </w:rPr>
        <w:t xml:space="preserve">En el supuesto que no cuente con la información que se ordena en el inciso b), por no haberse generado, bastará con que así lo haga del conocimiento de </w:t>
      </w:r>
      <w:r w:rsidRPr="00B25F86">
        <w:rPr>
          <w:rFonts w:ascii="Palatino Linotype" w:eastAsia="Palatino Linotype" w:hAnsi="Palatino Linotype" w:cs="Palatino Linotype"/>
          <w:b/>
          <w:i/>
        </w:rPr>
        <w:t>LA PARTE RECURRENTE</w:t>
      </w:r>
      <w:r w:rsidRPr="00B25F86">
        <w:rPr>
          <w:rFonts w:ascii="Palatino Linotype" w:eastAsia="Palatino Linotype" w:hAnsi="Palatino Linotype" w:cs="Palatino Linotype"/>
          <w:i/>
        </w:rPr>
        <w:t>, de manera fundada y motivada, en términos del artículo 19, párrafo segundo de la Ley de Transparencia y Acceso a la Información Pública del Estado de México y Municipios, para tener por colmado el requerimiento de información.</w:t>
      </w:r>
    </w:p>
    <w:p w14:paraId="4DDA7BD1"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51CCD871" w14:textId="77777777" w:rsidR="004C20A0" w:rsidRPr="00B25F86" w:rsidRDefault="00781C22">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TERCERO. Notifíquese vía SAIMEX</w:t>
      </w:r>
      <w:r w:rsidRPr="00B25F86">
        <w:rPr>
          <w:rFonts w:ascii="Palatino Linotype" w:eastAsia="Palatino Linotype" w:hAnsi="Palatino Linotype" w:cs="Palatino Linotype"/>
          <w:sz w:val="24"/>
          <w:szCs w:val="24"/>
        </w:rPr>
        <w:t xml:space="preserve"> la presente resolución al Titular de la Unidad de Transparencia del </w:t>
      </w:r>
      <w:r w:rsidRPr="00B25F86">
        <w:rPr>
          <w:rFonts w:ascii="Palatino Linotype" w:eastAsia="Palatino Linotype" w:hAnsi="Palatino Linotype" w:cs="Palatino Linotype"/>
          <w:b/>
          <w:sz w:val="24"/>
          <w:szCs w:val="24"/>
        </w:rPr>
        <w:t>SUJETO OBLIGADO</w:t>
      </w:r>
      <w:r w:rsidRPr="00B25F86">
        <w:rPr>
          <w:rFonts w:ascii="Palatino Linotype" w:eastAsia="Palatino Linotype" w:hAnsi="Palatino Linotype" w:cs="Palatino Linotype"/>
          <w:sz w:val="24"/>
          <w:szCs w:val="24"/>
        </w:rPr>
        <w:t xml:space="preserve">, para que conforme al artículo 186 </w:t>
      </w:r>
      <w:r w:rsidRPr="00B25F86">
        <w:rPr>
          <w:rFonts w:ascii="Palatino Linotype" w:eastAsia="Palatino Linotype" w:hAnsi="Palatino Linotype" w:cs="Palatino Linotype"/>
          <w:sz w:val="24"/>
          <w:szCs w:val="24"/>
        </w:rPr>
        <w:lastRenderedPageBreak/>
        <w:t>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9846E2" w14:textId="77777777" w:rsidR="004C20A0" w:rsidRPr="00B25F86" w:rsidRDefault="004C20A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7EE43226"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CUARTO. Notifíquese vía SAIMEX a LA PARTE RECURRENTE, </w:t>
      </w:r>
      <w:r w:rsidRPr="00B25F86">
        <w:rPr>
          <w:rFonts w:ascii="Palatino Linotype" w:eastAsia="Palatino Linotype" w:hAnsi="Palatino Linotype" w:cs="Palatino Linotype"/>
          <w:sz w:val="24"/>
          <w:szCs w:val="24"/>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364EB25"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219DB05A" w14:textId="77777777" w:rsidR="004C20A0" w:rsidRPr="00B25F86" w:rsidRDefault="00781C22">
      <w:pPr>
        <w:spacing w:after="0" w:line="360" w:lineRule="auto"/>
        <w:ind w:right="49"/>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 xml:space="preserve">QUINTO. Notifíquese vía SAIMEX a LA PARTE RECURRENTE </w:t>
      </w:r>
      <w:r w:rsidRPr="00B25F86">
        <w:rPr>
          <w:rFonts w:ascii="Palatino Linotype" w:eastAsia="Palatino Linotype" w:hAnsi="Palatino Linotype" w:cs="Palatino Linotype"/>
          <w:sz w:val="24"/>
          <w:szCs w:val="24"/>
        </w:rPr>
        <w:t>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3983323B" w14:textId="77777777" w:rsidR="004C20A0" w:rsidRPr="00B25F86" w:rsidRDefault="00781C22">
      <w:pPr>
        <w:spacing w:before="240" w:after="24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lastRenderedPageBreak/>
        <w:t xml:space="preserve">SEXTO. Hágase, </w:t>
      </w:r>
      <w:r w:rsidRPr="00B25F86">
        <w:rPr>
          <w:rFonts w:ascii="Palatino Linotype" w:eastAsia="Palatino Linotype" w:hAnsi="Palatino Linotype" w:cs="Palatino Linotype"/>
          <w:sz w:val="24"/>
          <w:szCs w:val="24"/>
        </w:rPr>
        <w:t xml:space="preserve">de conocimiento de </w:t>
      </w:r>
      <w:r w:rsidRPr="00B25F86">
        <w:rPr>
          <w:rFonts w:ascii="Palatino Linotype" w:eastAsia="Palatino Linotype" w:hAnsi="Palatino Linotype" w:cs="Palatino Linotype"/>
          <w:b/>
          <w:sz w:val="24"/>
          <w:szCs w:val="24"/>
        </w:rPr>
        <w:t xml:space="preserve">LA PARTE RECURRENTE, </w:t>
      </w:r>
      <w:r w:rsidRPr="00B25F86">
        <w:rPr>
          <w:rFonts w:ascii="Palatino Linotype" w:eastAsia="Palatino Linotype" w:hAnsi="Palatino Linotype" w:cs="Palatino Linotype"/>
          <w:sz w:val="24"/>
          <w:szCs w:val="24"/>
        </w:rPr>
        <w:t xml:space="preserve">que la respuesta que dé </w:t>
      </w:r>
      <w:r w:rsidRPr="00B25F86">
        <w:rPr>
          <w:rFonts w:ascii="Palatino Linotype" w:eastAsia="Palatino Linotype" w:hAnsi="Palatino Linotype" w:cs="Palatino Linotype"/>
          <w:b/>
          <w:sz w:val="24"/>
          <w:szCs w:val="24"/>
        </w:rPr>
        <w:t>EL SUJETO OBLIGADO</w:t>
      </w:r>
      <w:r w:rsidRPr="00B25F86">
        <w:rPr>
          <w:rFonts w:ascii="Palatino Linotype" w:eastAsia="Palatino Linotype" w:hAnsi="Palatino Linotype" w:cs="Palatino Linotype"/>
          <w:sz w:val="24"/>
          <w:szCs w:val="24"/>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92ACA7C" w14:textId="77777777" w:rsidR="004C20A0" w:rsidRPr="00B25F86" w:rsidRDefault="00781C22">
      <w:pPr>
        <w:spacing w:after="0" w:line="360" w:lineRule="auto"/>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b/>
          <w:sz w:val="24"/>
          <w:szCs w:val="24"/>
        </w:rPr>
        <w:t>SÉPTIMO.</w:t>
      </w:r>
      <w:r w:rsidRPr="00B25F86">
        <w:rPr>
          <w:rFonts w:ascii="Palatino Linotype" w:eastAsia="Palatino Linotype" w:hAnsi="Palatino Linotype" w:cs="Palatino Linotype"/>
          <w:sz w:val="24"/>
          <w:szCs w:val="24"/>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 de la presente resolución.</w:t>
      </w:r>
    </w:p>
    <w:p w14:paraId="79A6FB11" w14:textId="77777777" w:rsidR="004C20A0" w:rsidRPr="00B25F86" w:rsidRDefault="004C20A0">
      <w:pPr>
        <w:spacing w:after="0" w:line="360" w:lineRule="auto"/>
        <w:jc w:val="both"/>
        <w:rPr>
          <w:rFonts w:ascii="Palatino Linotype" w:eastAsia="Palatino Linotype" w:hAnsi="Palatino Linotype" w:cs="Palatino Linotype"/>
          <w:sz w:val="24"/>
          <w:szCs w:val="24"/>
        </w:rPr>
      </w:pPr>
    </w:p>
    <w:p w14:paraId="15FABD7B" w14:textId="77777777" w:rsidR="004C20A0" w:rsidRPr="00C35613" w:rsidRDefault="00781C22">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B25F86">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VEINTE DE MARZO DE DOS MIL VEINTICINCO, ANTE EL SECRETARIO TÉCNICO DEL PLENO ALEXIS TAPIA RAMÍREZ.</w:t>
      </w:r>
    </w:p>
    <w:p w14:paraId="4F43C65D" w14:textId="77777777" w:rsidR="004C20A0" w:rsidRPr="00C35613" w:rsidRDefault="004C20A0">
      <w:pPr>
        <w:spacing w:line="360" w:lineRule="auto"/>
        <w:jc w:val="both"/>
        <w:rPr>
          <w:rFonts w:ascii="Palatino Linotype" w:eastAsia="Palatino Linotype" w:hAnsi="Palatino Linotype" w:cs="Palatino Linotype"/>
          <w:sz w:val="24"/>
          <w:szCs w:val="24"/>
        </w:rPr>
      </w:pPr>
    </w:p>
    <w:p w14:paraId="761DBDD7"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6E08DC0F"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64EF2E7F"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46D7B280"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5BE7B5B6"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6332DF75"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31B36B43"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4B26C86C"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29E3C455"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21EFB657"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0432E9B2"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303C0D15"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0ACEBA0C"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37C4028D"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75A2AACB"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7C7F2A33" w14:textId="77777777" w:rsidR="007735AE" w:rsidRPr="00C35613" w:rsidRDefault="007735AE">
      <w:pPr>
        <w:spacing w:line="360" w:lineRule="auto"/>
        <w:jc w:val="both"/>
        <w:rPr>
          <w:rFonts w:ascii="Palatino Linotype" w:eastAsia="Palatino Linotype" w:hAnsi="Palatino Linotype" w:cs="Palatino Linotype"/>
          <w:sz w:val="24"/>
          <w:szCs w:val="24"/>
        </w:rPr>
      </w:pPr>
    </w:p>
    <w:p w14:paraId="3582DB7E" w14:textId="77777777" w:rsidR="007735AE" w:rsidRPr="00C35613" w:rsidRDefault="007735AE">
      <w:pPr>
        <w:spacing w:line="360" w:lineRule="auto"/>
        <w:jc w:val="both"/>
        <w:rPr>
          <w:rFonts w:ascii="Palatino Linotype" w:eastAsia="Palatino Linotype" w:hAnsi="Palatino Linotype" w:cs="Palatino Linotype"/>
          <w:sz w:val="24"/>
          <w:szCs w:val="24"/>
        </w:rPr>
      </w:pPr>
    </w:p>
    <w:sectPr w:rsidR="007735AE" w:rsidRPr="00C35613">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41C9F" w14:textId="77777777" w:rsidR="00867E26" w:rsidRDefault="00867E26">
      <w:pPr>
        <w:spacing w:after="0" w:line="240" w:lineRule="auto"/>
      </w:pPr>
      <w:r>
        <w:separator/>
      </w:r>
    </w:p>
  </w:endnote>
  <w:endnote w:type="continuationSeparator" w:id="0">
    <w:p w14:paraId="4E0D6493" w14:textId="77777777" w:rsidR="00867E26" w:rsidRDefault="00867E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653B9" w14:textId="77777777" w:rsidR="004C20A0" w:rsidRDefault="00781C22">
    <w:pPr>
      <w:pBdr>
        <w:top w:val="nil"/>
        <w:left w:val="nil"/>
        <w:bottom w:val="nil"/>
        <w:right w:val="nil"/>
        <w:between w:val="nil"/>
      </w:pBdr>
      <w:tabs>
        <w:tab w:val="center" w:pos="4419"/>
        <w:tab w:val="right" w:pos="8838"/>
      </w:tabs>
      <w:spacing w:after="0" w:line="240" w:lineRule="auto"/>
      <w:jc w:val="right"/>
      <w:rPr>
        <w:color w:val="000000"/>
      </w:rPr>
    </w:pPr>
    <w:r>
      <w:rPr>
        <w:rFonts w:ascii="Palatino Linotype" w:eastAsia="Palatino Linotype" w:hAnsi="Palatino Linotype" w:cs="Palatino Linotype"/>
        <w:color w:val="000000"/>
        <w:sz w:val="24"/>
        <w:szCs w:val="24"/>
      </w:rPr>
      <w:t xml:space="preserve">Página </w:t>
    </w:r>
    <w:r>
      <w:rPr>
        <w:rFonts w:ascii="Palatino Linotype" w:eastAsia="Palatino Linotype" w:hAnsi="Palatino Linotype" w:cs="Palatino Linotype"/>
        <w:color w:val="000000"/>
        <w:sz w:val="24"/>
        <w:szCs w:val="24"/>
      </w:rPr>
      <w:fldChar w:fldCharType="begin"/>
    </w:r>
    <w:r>
      <w:rPr>
        <w:rFonts w:ascii="Palatino Linotype" w:eastAsia="Palatino Linotype" w:hAnsi="Palatino Linotype" w:cs="Palatino Linotype"/>
        <w:color w:val="000000"/>
        <w:sz w:val="24"/>
        <w:szCs w:val="24"/>
      </w:rPr>
      <w:instrText>PAGE</w:instrText>
    </w:r>
    <w:r>
      <w:rPr>
        <w:rFonts w:ascii="Palatino Linotype" w:eastAsia="Palatino Linotype" w:hAnsi="Palatino Linotype" w:cs="Palatino Linotype"/>
        <w:color w:val="000000"/>
        <w:sz w:val="24"/>
        <w:szCs w:val="24"/>
      </w:rPr>
      <w:fldChar w:fldCharType="separate"/>
    </w:r>
    <w:r w:rsidR="00B25F86">
      <w:rPr>
        <w:rFonts w:ascii="Palatino Linotype" w:eastAsia="Palatino Linotype" w:hAnsi="Palatino Linotype" w:cs="Palatino Linotype"/>
        <w:noProof/>
        <w:color w:val="000000"/>
        <w:sz w:val="24"/>
        <w:szCs w:val="24"/>
      </w:rPr>
      <w:t>34</w:t>
    </w:r>
    <w:r>
      <w:rPr>
        <w:rFonts w:ascii="Palatino Linotype" w:eastAsia="Palatino Linotype" w:hAnsi="Palatino Linotype" w:cs="Palatino Linotype"/>
        <w:color w:val="000000"/>
        <w:sz w:val="24"/>
        <w:szCs w:val="24"/>
      </w:rPr>
      <w:fldChar w:fldCharType="end"/>
    </w:r>
    <w:r>
      <w:rPr>
        <w:rFonts w:ascii="Palatino Linotype" w:eastAsia="Palatino Linotype" w:hAnsi="Palatino Linotype" w:cs="Palatino Linotype"/>
        <w:color w:val="000000"/>
        <w:sz w:val="24"/>
        <w:szCs w:val="24"/>
      </w:rPr>
      <w:t xml:space="preserve"> de </w:t>
    </w:r>
    <w:r>
      <w:rPr>
        <w:rFonts w:ascii="Palatino Linotype" w:eastAsia="Palatino Linotype" w:hAnsi="Palatino Linotype" w:cs="Palatino Linotype"/>
        <w:color w:val="000000"/>
        <w:sz w:val="24"/>
        <w:szCs w:val="24"/>
      </w:rPr>
      <w:fldChar w:fldCharType="begin"/>
    </w:r>
    <w:r>
      <w:rPr>
        <w:rFonts w:ascii="Palatino Linotype" w:eastAsia="Palatino Linotype" w:hAnsi="Palatino Linotype" w:cs="Palatino Linotype"/>
        <w:color w:val="000000"/>
        <w:sz w:val="24"/>
        <w:szCs w:val="24"/>
      </w:rPr>
      <w:instrText>NUMPAGES</w:instrText>
    </w:r>
    <w:r>
      <w:rPr>
        <w:rFonts w:ascii="Palatino Linotype" w:eastAsia="Palatino Linotype" w:hAnsi="Palatino Linotype" w:cs="Palatino Linotype"/>
        <w:color w:val="000000"/>
        <w:sz w:val="24"/>
        <w:szCs w:val="24"/>
      </w:rPr>
      <w:fldChar w:fldCharType="separate"/>
    </w:r>
    <w:r w:rsidR="00B25F86">
      <w:rPr>
        <w:rFonts w:ascii="Palatino Linotype" w:eastAsia="Palatino Linotype" w:hAnsi="Palatino Linotype" w:cs="Palatino Linotype"/>
        <w:noProof/>
        <w:color w:val="000000"/>
        <w:sz w:val="24"/>
        <w:szCs w:val="24"/>
      </w:rPr>
      <w:t>36</w:t>
    </w:r>
    <w:r>
      <w:rPr>
        <w:rFonts w:ascii="Palatino Linotype" w:eastAsia="Palatino Linotype" w:hAnsi="Palatino Linotype" w:cs="Palatino Linotype"/>
        <w:color w:val="000000"/>
        <w:sz w:val="24"/>
        <w:szCs w:val="24"/>
      </w:rPr>
      <w:fldChar w:fldCharType="end"/>
    </w:r>
  </w:p>
  <w:p w14:paraId="0246E0A3" w14:textId="77777777" w:rsidR="004C20A0" w:rsidRDefault="00781C22">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4950AFFE" wp14:editId="377C873B">
          <wp:simplePos x="0" y="0"/>
          <wp:positionH relativeFrom="column">
            <wp:posOffset>-152398</wp:posOffset>
          </wp:positionH>
          <wp:positionV relativeFrom="paragraph">
            <wp:posOffset>328743552</wp:posOffset>
          </wp:positionV>
          <wp:extent cx="7086600" cy="9561830"/>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086600" cy="95618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C8787" w14:textId="77777777" w:rsidR="00867E26" w:rsidRDefault="00867E26">
      <w:pPr>
        <w:spacing w:after="0" w:line="240" w:lineRule="auto"/>
      </w:pPr>
      <w:r>
        <w:separator/>
      </w:r>
    </w:p>
  </w:footnote>
  <w:footnote w:type="continuationSeparator" w:id="0">
    <w:p w14:paraId="73463D6F" w14:textId="77777777" w:rsidR="00867E26" w:rsidRDefault="00867E26">
      <w:pPr>
        <w:spacing w:after="0" w:line="240" w:lineRule="auto"/>
      </w:pPr>
      <w:r>
        <w:continuationSeparator/>
      </w:r>
    </w:p>
  </w:footnote>
  <w:footnote w:id="1">
    <w:p w14:paraId="3F5CA1C0" w14:textId="77777777" w:rsidR="004C20A0" w:rsidRDefault="00781C22">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5FB608E2" w14:textId="77777777" w:rsidR="004C20A0" w:rsidRDefault="00781C22">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657FA08A" w14:textId="77777777" w:rsidR="004C20A0" w:rsidRDefault="00781C22">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6C3EB130" w14:textId="77777777" w:rsidR="004C20A0" w:rsidRDefault="00781C2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3">
    <w:p w14:paraId="3C205D39" w14:textId="77777777" w:rsidR="004C20A0" w:rsidRDefault="00781C2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ABFE" w14:textId="77777777" w:rsidR="004C20A0" w:rsidRDefault="007735AE">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60288" behindDoc="1" locked="0" layoutInCell="1" hidden="0" allowOverlap="1" wp14:anchorId="09DE811F" wp14:editId="380C421A">
          <wp:simplePos x="0" y="0"/>
          <wp:positionH relativeFrom="column">
            <wp:posOffset>-708025</wp:posOffset>
          </wp:positionH>
          <wp:positionV relativeFrom="paragraph">
            <wp:posOffset>-95250</wp:posOffset>
          </wp:positionV>
          <wp:extent cx="7353300" cy="8658225"/>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bl>
    <w:tblPr>
      <w:tblStyle w:val="a4"/>
      <w:tblW w:w="10538" w:type="dxa"/>
      <w:tblInd w:w="-1281" w:type="dxa"/>
      <w:tblLayout w:type="fixed"/>
      <w:tblLook w:val="0400" w:firstRow="0" w:lastRow="0" w:firstColumn="0" w:lastColumn="0" w:noHBand="0" w:noVBand="1"/>
    </w:tblPr>
    <w:tblGrid>
      <w:gridCol w:w="5660"/>
      <w:gridCol w:w="4878"/>
    </w:tblGrid>
    <w:tr w:rsidR="004C20A0" w14:paraId="56DCE627" w14:textId="77777777">
      <w:trPr>
        <w:trHeight w:val="260"/>
      </w:trPr>
      <w:tc>
        <w:tcPr>
          <w:tcW w:w="5660" w:type="dxa"/>
        </w:tcPr>
        <w:p w14:paraId="5ABC2416" w14:textId="77777777" w:rsidR="004C20A0" w:rsidRDefault="00781C2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878" w:type="dxa"/>
        </w:tcPr>
        <w:p w14:paraId="7EC140B9" w14:textId="77777777" w:rsidR="004C20A0" w:rsidRDefault="00781C22">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01094/INFOEM/IP/RR/2025.</w:t>
          </w:r>
        </w:p>
      </w:tc>
    </w:tr>
    <w:tr w:rsidR="004C20A0" w14:paraId="35D37279" w14:textId="77777777">
      <w:trPr>
        <w:trHeight w:val="224"/>
      </w:trPr>
      <w:tc>
        <w:tcPr>
          <w:tcW w:w="5660" w:type="dxa"/>
        </w:tcPr>
        <w:p w14:paraId="73764433" w14:textId="77777777" w:rsidR="004C20A0" w:rsidRDefault="00781C22">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878" w:type="dxa"/>
        </w:tcPr>
        <w:p w14:paraId="1B235729" w14:textId="77777777" w:rsidR="004C20A0" w:rsidRDefault="004C20A0">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4C20A0" w14:paraId="7929F205" w14:textId="77777777">
      <w:trPr>
        <w:trHeight w:val="278"/>
      </w:trPr>
      <w:tc>
        <w:tcPr>
          <w:tcW w:w="5660" w:type="dxa"/>
        </w:tcPr>
        <w:p w14:paraId="0BDB56BD" w14:textId="77777777" w:rsidR="004C20A0" w:rsidRDefault="00781C22">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878" w:type="dxa"/>
        </w:tcPr>
        <w:p w14:paraId="789B4EC6" w14:textId="77777777" w:rsidR="004C20A0" w:rsidRDefault="00781C22">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Ayuntamiento de Toluca.</w:t>
          </w:r>
        </w:p>
      </w:tc>
    </w:tr>
    <w:tr w:rsidR="004C20A0" w14:paraId="1A9B5A8B" w14:textId="77777777">
      <w:trPr>
        <w:trHeight w:val="393"/>
      </w:trPr>
      <w:tc>
        <w:tcPr>
          <w:tcW w:w="5660" w:type="dxa"/>
        </w:tcPr>
        <w:p w14:paraId="59369FD4" w14:textId="77777777" w:rsidR="004C20A0" w:rsidRDefault="00781C22">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878" w:type="dxa"/>
        </w:tcPr>
        <w:p w14:paraId="1F9E6527" w14:textId="77777777" w:rsidR="004C20A0" w:rsidRDefault="00781C22">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54ED4403" w14:textId="77777777" w:rsidR="004C20A0" w:rsidRDefault="004C20A0">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D80A5A"/>
    <w:multiLevelType w:val="multilevel"/>
    <w:tmpl w:val="AB78BBC4"/>
    <w:lvl w:ilvl="0">
      <w:start w:val="1"/>
      <w:numFmt w:val="lowerLetter"/>
      <w:lvlText w:val="%1)"/>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D706EA6"/>
    <w:multiLevelType w:val="multilevel"/>
    <w:tmpl w:val="6C3C908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E9651D"/>
    <w:multiLevelType w:val="multilevel"/>
    <w:tmpl w:val="B2840A5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0A0"/>
    <w:rsid w:val="00233F95"/>
    <w:rsid w:val="004C20A0"/>
    <w:rsid w:val="007735AE"/>
    <w:rsid w:val="00781C22"/>
    <w:rsid w:val="00867E26"/>
    <w:rsid w:val="00B25F86"/>
    <w:rsid w:val="00C35613"/>
    <w:rsid w:val="00C35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E8443"/>
  <w15:docId w15:val="{875E8482-8C05-4BC6-ADB6-087BCDA73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C8E"/>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F5C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5C8E"/>
  </w:style>
  <w:style w:type="paragraph" w:styleId="Piedepgina">
    <w:name w:val="footer"/>
    <w:basedOn w:val="Normal"/>
    <w:link w:val="PiedepginaCar"/>
    <w:uiPriority w:val="99"/>
    <w:unhideWhenUsed/>
    <w:rsid w:val="00DF5C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5C8E"/>
  </w:style>
  <w:style w:type="paragraph" w:styleId="Prrafodelista">
    <w:name w:val="List Paragraph"/>
    <w:basedOn w:val="Normal"/>
    <w:uiPriority w:val="34"/>
    <w:qFormat/>
    <w:rsid w:val="00547412"/>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j8m4aLdkIu+LM+T5nPOLtWOYA==">CgMxLjAyCGguZ2pkZ3hzMg5oLjc1NW5hNXoza3p3eTIOaC5sZXlvc3NyMmFleHQyCWguMzBqMHpsbDgAciExcEVpS0ZTZ2E2dWZGQV9ldXdoMVhqa1NBTmR2V19wVXU=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7946</Words>
  <Characters>43703</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INFOEM505</dc:creator>
  <cp:lastModifiedBy>Maricela Villagómez Martínez</cp:lastModifiedBy>
  <cp:revision>2</cp:revision>
  <cp:lastPrinted>2025-03-21T20:53:00Z</cp:lastPrinted>
  <dcterms:created xsi:type="dcterms:W3CDTF">2025-04-02T19:57:00Z</dcterms:created>
  <dcterms:modified xsi:type="dcterms:W3CDTF">2025-04-02T19:57:00Z</dcterms:modified>
</cp:coreProperties>
</file>