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79F45" w14:textId="77777777" w:rsidR="002340AF" w:rsidRDefault="002340AF">
      <w:pPr>
        <w:widowControl w:val="0"/>
        <w:pBdr>
          <w:top w:val="nil"/>
          <w:left w:val="nil"/>
          <w:bottom w:val="nil"/>
          <w:right w:val="nil"/>
          <w:between w:val="nil"/>
        </w:pBdr>
        <w:spacing w:after="0" w:line="276" w:lineRule="auto"/>
        <w:jc w:val="left"/>
      </w:pPr>
    </w:p>
    <w:sdt>
      <w:sdtPr>
        <w:rPr>
          <w:rFonts w:ascii="Palatino Linotype" w:eastAsia="Palatino Linotype" w:hAnsi="Palatino Linotype" w:cs="Palatino Linotype"/>
          <w:color w:val="auto"/>
          <w:sz w:val="22"/>
          <w:szCs w:val="22"/>
          <w:lang w:val="es-ES"/>
        </w:rPr>
        <w:id w:val="209381345"/>
        <w:docPartObj>
          <w:docPartGallery w:val="Table of Contents"/>
          <w:docPartUnique/>
        </w:docPartObj>
      </w:sdtPr>
      <w:sdtEndPr>
        <w:rPr>
          <w:b/>
          <w:bCs/>
        </w:rPr>
      </w:sdtEndPr>
      <w:sdtContent>
        <w:p w14:paraId="5EA30993" w14:textId="7C027B32" w:rsidR="009B70B3" w:rsidRDefault="009B70B3">
          <w:pPr>
            <w:pStyle w:val="TtulodeTDC"/>
          </w:pPr>
          <w:r>
            <w:rPr>
              <w:lang w:val="es-ES"/>
            </w:rPr>
            <w:t>Tabla de contenido</w:t>
          </w:r>
        </w:p>
        <w:p w14:paraId="3C25DEDC" w14:textId="77777777" w:rsidR="009B70B3" w:rsidRDefault="009B70B3">
          <w:pPr>
            <w:pStyle w:val="TDC1"/>
            <w:tabs>
              <w:tab w:val="right" w:leader="dot" w:pos="9204"/>
            </w:tabs>
            <w:rPr>
              <w:rFonts w:asciiTheme="minorHAnsi" w:eastAsiaTheme="minorEastAsia" w:hAnsiTheme="minorHAnsi"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209708550" w:history="1">
            <w:r w:rsidRPr="00CF0FD4">
              <w:rPr>
                <w:rStyle w:val="Hipervnculo"/>
                <w:noProof/>
              </w:rPr>
              <w:t>A N T E C E D E N T E S</w:t>
            </w:r>
            <w:r>
              <w:rPr>
                <w:noProof/>
                <w:webHidden/>
              </w:rPr>
              <w:tab/>
            </w:r>
            <w:r>
              <w:rPr>
                <w:noProof/>
                <w:webHidden/>
              </w:rPr>
              <w:fldChar w:fldCharType="begin"/>
            </w:r>
            <w:r>
              <w:rPr>
                <w:noProof/>
                <w:webHidden/>
              </w:rPr>
              <w:instrText xml:space="preserve"> PAGEREF _Toc209708550 \h </w:instrText>
            </w:r>
            <w:r>
              <w:rPr>
                <w:noProof/>
                <w:webHidden/>
              </w:rPr>
            </w:r>
            <w:r>
              <w:rPr>
                <w:noProof/>
                <w:webHidden/>
              </w:rPr>
              <w:fldChar w:fldCharType="separate"/>
            </w:r>
            <w:r w:rsidR="004B2AB9">
              <w:rPr>
                <w:noProof/>
                <w:webHidden/>
              </w:rPr>
              <w:t>2</w:t>
            </w:r>
            <w:r>
              <w:rPr>
                <w:noProof/>
                <w:webHidden/>
              </w:rPr>
              <w:fldChar w:fldCharType="end"/>
            </w:r>
          </w:hyperlink>
        </w:p>
        <w:p w14:paraId="13E38134" w14:textId="77777777" w:rsidR="009B70B3" w:rsidRDefault="00625504">
          <w:pPr>
            <w:pStyle w:val="TDC2"/>
            <w:tabs>
              <w:tab w:val="right" w:leader="dot" w:pos="9204"/>
            </w:tabs>
            <w:rPr>
              <w:rFonts w:asciiTheme="minorHAnsi" w:eastAsiaTheme="minorEastAsia" w:hAnsiTheme="minorHAnsi" w:cstheme="minorBidi"/>
              <w:noProof/>
            </w:rPr>
          </w:pPr>
          <w:hyperlink w:anchor="_Toc209708551" w:history="1">
            <w:r w:rsidR="009B70B3" w:rsidRPr="00CF0FD4">
              <w:rPr>
                <w:rStyle w:val="Hipervnculo"/>
                <w:noProof/>
              </w:rPr>
              <w:t>I. Presentación de la solicitud de información</w:t>
            </w:r>
            <w:r w:rsidR="009B70B3">
              <w:rPr>
                <w:noProof/>
                <w:webHidden/>
              </w:rPr>
              <w:tab/>
            </w:r>
            <w:r w:rsidR="009B70B3">
              <w:rPr>
                <w:noProof/>
                <w:webHidden/>
              </w:rPr>
              <w:fldChar w:fldCharType="begin"/>
            </w:r>
            <w:r w:rsidR="009B70B3">
              <w:rPr>
                <w:noProof/>
                <w:webHidden/>
              </w:rPr>
              <w:instrText xml:space="preserve"> PAGEREF _Toc209708551 \h </w:instrText>
            </w:r>
            <w:r w:rsidR="009B70B3">
              <w:rPr>
                <w:noProof/>
                <w:webHidden/>
              </w:rPr>
            </w:r>
            <w:r w:rsidR="009B70B3">
              <w:rPr>
                <w:noProof/>
                <w:webHidden/>
              </w:rPr>
              <w:fldChar w:fldCharType="separate"/>
            </w:r>
            <w:r w:rsidR="004B2AB9">
              <w:rPr>
                <w:noProof/>
                <w:webHidden/>
              </w:rPr>
              <w:t>2</w:t>
            </w:r>
            <w:r w:rsidR="009B70B3">
              <w:rPr>
                <w:noProof/>
                <w:webHidden/>
              </w:rPr>
              <w:fldChar w:fldCharType="end"/>
            </w:r>
          </w:hyperlink>
        </w:p>
        <w:p w14:paraId="19E07538" w14:textId="77777777" w:rsidR="009B70B3" w:rsidRDefault="00625504">
          <w:pPr>
            <w:pStyle w:val="TDC2"/>
            <w:tabs>
              <w:tab w:val="right" w:leader="dot" w:pos="9204"/>
            </w:tabs>
            <w:rPr>
              <w:rFonts w:asciiTheme="minorHAnsi" w:eastAsiaTheme="minorEastAsia" w:hAnsiTheme="minorHAnsi" w:cstheme="minorBidi"/>
              <w:noProof/>
            </w:rPr>
          </w:pPr>
          <w:hyperlink w:anchor="_Toc209708552" w:history="1">
            <w:r w:rsidR="009B70B3" w:rsidRPr="00CF0FD4">
              <w:rPr>
                <w:rStyle w:val="Hipervnculo"/>
                <w:noProof/>
              </w:rPr>
              <w:t>V. Respuesta del Sujeto Obligado</w:t>
            </w:r>
            <w:r w:rsidR="009B70B3">
              <w:rPr>
                <w:noProof/>
                <w:webHidden/>
              </w:rPr>
              <w:tab/>
            </w:r>
            <w:r w:rsidR="009B70B3">
              <w:rPr>
                <w:noProof/>
                <w:webHidden/>
              </w:rPr>
              <w:fldChar w:fldCharType="begin"/>
            </w:r>
            <w:r w:rsidR="009B70B3">
              <w:rPr>
                <w:noProof/>
                <w:webHidden/>
              </w:rPr>
              <w:instrText xml:space="preserve"> PAGEREF _Toc209708552 \h </w:instrText>
            </w:r>
            <w:r w:rsidR="009B70B3">
              <w:rPr>
                <w:noProof/>
                <w:webHidden/>
              </w:rPr>
            </w:r>
            <w:r w:rsidR="009B70B3">
              <w:rPr>
                <w:noProof/>
                <w:webHidden/>
              </w:rPr>
              <w:fldChar w:fldCharType="separate"/>
            </w:r>
            <w:r w:rsidR="004B2AB9">
              <w:rPr>
                <w:noProof/>
                <w:webHidden/>
              </w:rPr>
              <w:t>4</w:t>
            </w:r>
            <w:r w:rsidR="009B70B3">
              <w:rPr>
                <w:noProof/>
                <w:webHidden/>
              </w:rPr>
              <w:fldChar w:fldCharType="end"/>
            </w:r>
          </w:hyperlink>
        </w:p>
        <w:p w14:paraId="52FDAA34" w14:textId="77777777" w:rsidR="009B70B3" w:rsidRDefault="00625504">
          <w:pPr>
            <w:pStyle w:val="TDC2"/>
            <w:tabs>
              <w:tab w:val="right" w:leader="dot" w:pos="9204"/>
            </w:tabs>
            <w:rPr>
              <w:rFonts w:asciiTheme="minorHAnsi" w:eastAsiaTheme="minorEastAsia" w:hAnsiTheme="minorHAnsi" w:cstheme="minorBidi"/>
              <w:noProof/>
            </w:rPr>
          </w:pPr>
          <w:hyperlink w:anchor="_Toc209708553" w:history="1">
            <w:r w:rsidR="009B70B3" w:rsidRPr="00CF0FD4">
              <w:rPr>
                <w:rStyle w:val="Hipervnculo"/>
                <w:noProof/>
              </w:rPr>
              <w:t>VI. Interposición del Recurso de Revisión</w:t>
            </w:r>
            <w:r w:rsidR="009B70B3">
              <w:rPr>
                <w:noProof/>
                <w:webHidden/>
              </w:rPr>
              <w:tab/>
            </w:r>
            <w:r w:rsidR="009B70B3">
              <w:rPr>
                <w:noProof/>
                <w:webHidden/>
              </w:rPr>
              <w:fldChar w:fldCharType="begin"/>
            </w:r>
            <w:r w:rsidR="009B70B3">
              <w:rPr>
                <w:noProof/>
                <w:webHidden/>
              </w:rPr>
              <w:instrText xml:space="preserve"> PAGEREF _Toc209708553 \h </w:instrText>
            </w:r>
            <w:r w:rsidR="009B70B3">
              <w:rPr>
                <w:noProof/>
                <w:webHidden/>
              </w:rPr>
            </w:r>
            <w:r w:rsidR="009B70B3">
              <w:rPr>
                <w:noProof/>
                <w:webHidden/>
              </w:rPr>
              <w:fldChar w:fldCharType="separate"/>
            </w:r>
            <w:r w:rsidR="004B2AB9">
              <w:rPr>
                <w:noProof/>
                <w:webHidden/>
              </w:rPr>
              <w:t>5</w:t>
            </w:r>
            <w:r w:rsidR="009B70B3">
              <w:rPr>
                <w:noProof/>
                <w:webHidden/>
              </w:rPr>
              <w:fldChar w:fldCharType="end"/>
            </w:r>
          </w:hyperlink>
        </w:p>
        <w:p w14:paraId="687763F5" w14:textId="77777777" w:rsidR="009B70B3" w:rsidRDefault="00625504">
          <w:pPr>
            <w:pStyle w:val="TDC2"/>
            <w:tabs>
              <w:tab w:val="right" w:leader="dot" w:pos="9204"/>
            </w:tabs>
            <w:rPr>
              <w:rFonts w:asciiTheme="minorHAnsi" w:eastAsiaTheme="minorEastAsia" w:hAnsiTheme="minorHAnsi" w:cstheme="minorBidi"/>
              <w:noProof/>
            </w:rPr>
          </w:pPr>
          <w:hyperlink w:anchor="_Toc209708554" w:history="1">
            <w:r w:rsidR="009B70B3" w:rsidRPr="00CF0FD4">
              <w:rPr>
                <w:rStyle w:val="Hipervnculo"/>
                <w:noProof/>
              </w:rPr>
              <w:t>VII. Trámite del Recurso de Revisión ante este Instituto</w:t>
            </w:r>
            <w:r w:rsidR="009B70B3">
              <w:rPr>
                <w:noProof/>
                <w:webHidden/>
              </w:rPr>
              <w:tab/>
            </w:r>
            <w:r w:rsidR="009B70B3">
              <w:rPr>
                <w:noProof/>
                <w:webHidden/>
              </w:rPr>
              <w:fldChar w:fldCharType="begin"/>
            </w:r>
            <w:r w:rsidR="009B70B3">
              <w:rPr>
                <w:noProof/>
                <w:webHidden/>
              </w:rPr>
              <w:instrText xml:space="preserve"> PAGEREF _Toc209708554 \h </w:instrText>
            </w:r>
            <w:r w:rsidR="009B70B3">
              <w:rPr>
                <w:noProof/>
                <w:webHidden/>
              </w:rPr>
            </w:r>
            <w:r w:rsidR="009B70B3">
              <w:rPr>
                <w:noProof/>
                <w:webHidden/>
              </w:rPr>
              <w:fldChar w:fldCharType="separate"/>
            </w:r>
            <w:r w:rsidR="004B2AB9">
              <w:rPr>
                <w:noProof/>
                <w:webHidden/>
              </w:rPr>
              <w:t>5</w:t>
            </w:r>
            <w:r w:rsidR="009B70B3">
              <w:rPr>
                <w:noProof/>
                <w:webHidden/>
              </w:rPr>
              <w:fldChar w:fldCharType="end"/>
            </w:r>
          </w:hyperlink>
        </w:p>
        <w:p w14:paraId="47428A64" w14:textId="77777777" w:rsidR="009B70B3" w:rsidRDefault="00625504">
          <w:pPr>
            <w:pStyle w:val="TDC1"/>
            <w:tabs>
              <w:tab w:val="right" w:leader="dot" w:pos="9204"/>
            </w:tabs>
            <w:rPr>
              <w:rFonts w:asciiTheme="minorHAnsi" w:eastAsiaTheme="minorEastAsia" w:hAnsiTheme="minorHAnsi" w:cstheme="minorBidi"/>
              <w:noProof/>
            </w:rPr>
          </w:pPr>
          <w:hyperlink w:anchor="_Toc209708555" w:history="1">
            <w:r w:rsidR="009B70B3" w:rsidRPr="00CF0FD4">
              <w:rPr>
                <w:rStyle w:val="Hipervnculo"/>
                <w:noProof/>
              </w:rPr>
              <w:t>C O N S I D E R A N D O S</w:t>
            </w:r>
            <w:r w:rsidR="009B70B3">
              <w:rPr>
                <w:noProof/>
                <w:webHidden/>
              </w:rPr>
              <w:tab/>
            </w:r>
            <w:r w:rsidR="009B70B3">
              <w:rPr>
                <w:noProof/>
                <w:webHidden/>
              </w:rPr>
              <w:fldChar w:fldCharType="begin"/>
            </w:r>
            <w:r w:rsidR="009B70B3">
              <w:rPr>
                <w:noProof/>
                <w:webHidden/>
              </w:rPr>
              <w:instrText xml:space="preserve"> PAGEREF _Toc209708555 \h </w:instrText>
            </w:r>
            <w:r w:rsidR="009B70B3">
              <w:rPr>
                <w:noProof/>
                <w:webHidden/>
              </w:rPr>
            </w:r>
            <w:r w:rsidR="009B70B3">
              <w:rPr>
                <w:noProof/>
                <w:webHidden/>
              </w:rPr>
              <w:fldChar w:fldCharType="separate"/>
            </w:r>
            <w:r w:rsidR="004B2AB9">
              <w:rPr>
                <w:noProof/>
                <w:webHidden/>
              </w:rPr>
              <w:t>6</w:t>
            </w:r>
            <w:r w:rsidR="009B70B3">
              <w:rPr>
                <w:noProof/>
                <w:webHidden/>
              </w:rPr>
              <w:fldChar w:fldCharType="end"/>
            </w:r>
          </w:hyperlink>
        </w:p>
        <w:p w14:paraId="5EC3F6BE" w14:textId="77777777" w:rsidR="009B70B3" w:rsidRDefault="00625504">
          <w:pPr>
            <w:pStyle w:val="TDC2"/>
            <w:tabs>
              <w:tab w:val="right" w:leader="dot" w:pos="9204"/>
            </w:tabs>
            <w:rPr>
              <w:rFonts w:asciiTheme="minorHAnsi" w:eastAsiaTheme="minorEastAsia" w:hAnsiTheme="minorHAnsi" w:cstheme="minorBidi"/>
              <w:noProof/>
            </w:rPr>
          </w:pPr>
          <w:hyperlink w:anchor="_Toc209708556" w:history="1">
            <w:r w:rsidR="009B70B3" w:rsidRPr="00CF0FD4">
              <w:rPr>
                <w:rStyle w:val="Hipervnculo"/>
                <w:noProof/>
              </w:rPr>
              <w:t>PRIMERO. Competencia</w:t>
            </w:r>
            <w:r w:rsidR="009B70B3">
              <w:rPr>
                <w:noProof/>
                <w:webHidden/>
              </w:rPr>
              <w:tab/>
            </w:r>
            <w:r w:rsidR="009B70B3">
              <w:rPr>
                <w:noProof/>
                <w:webHidden/>
              </w:rPr>
              <w:fldChar w:fldCharType="begin"/>
            </w:r>
            <w:r w:rsidR="009B70B3">
              <w:rPr>
                <w:noProof/>
                <w:webHidden/>
              </w:rPr>
              <w:instrText xml:space="preserve"> PAGEREF _Toc209708556 \h </w:instrText>
            </w:r>
            <w:r w:rsidR="009B70B3">
              <w:rPr>
                <w:noProof/>
                <w:webHidden/>
              </w:rPr>
            </w:r>
            <w:r w:rsidR="009B70B3">
              <w:rPr>
                <w:noProof/>
                <w:webHidden/>
              </w:rPr>
              <w:fldChar w:fldCharType="separate"/>
            </w:r>
            <w:r w:rsidR="004B2AB9">
              <w:rPr>
                <w:noProof/>
                <w:webHidden/>
              </w:rPr>
              <w:t>7</w:t>
            </w:r>
            <w:r w:rsidR="009B70B3">
              <w:rPr>
                <w:noProof/>
                <w:webHidden/>
              </w:rPr>
              <w:fldChar w:fldCharType="end"/>
            </w:r>
          </w:hyperlink>
        </w:p>
        <w:p w14:paraId="1EDDBDC1" w14:textId="77777777" w:rsidR="009B70B3" w:rsidRDefault="00625504">
          <w:pPr>
            <w:pStyle w:val="TDC2"/>
            <w:tabs>
              <w:tab w:val="right" w:leader="dot" w:pos="9204"/>
            </w:tabs>
            <w:rPr>
              <w:rFonts w:asciiTheme="minorHAnsi" w:eastAsiaTheme="minorEastAsia" w:hAnsiTheme="minorHAnsi" w:cstheme="minorBidi"/>
              <w:noProof/>
            </w:rPr>
          </w:pPr>
          <w:hyperlink w:anchor="_Toc209708557" w:history="1">
            <w:r w:rsidR="009B70B3" w:rsidRPr="00CF0FD4">
              <w:rPr>
                <w:rStyle w:val="Hipervnculo"/>
                <w:noProof/>
              </w:rPr>
              <w:t>SEGUNDO. Causales de improcedencia y sobreseimiento</w:t>
            </w:r>
            <w:r w:rsidR="009B70B3">
              <w:rPr>
                <w:noProof/>
                <w:webHidden/>
              </w:rPr>
              <w:tab/>
            </w:r>
            <w:r w:rsidR="009B70B3">
              <w:rPr>
                <w:noProof/>
                <w:webHidden/>
              </w:rPr>
              <w:fldChar w:fldCharType="begin"/>
            </w:r>
            <w:r w:rsidR="009B70B3">
              <w:rPr>
                <w:noProof/>
                <w:webHidden/>
              </w:rPr>
              <w:instrText xml:space="preserve"> PAGEREF _Toc209708557 \h </w:instrText>
            </w:r>
            <w:r w:rsidR="009B70B3">
              <w:rPr>
                <w:noProof/>
                <w:webHidden/>
              </w:rPr>
            </w:r>
            <w:r w:rsidR="009B70B3">
              <w:rPr>
                <w:noProof/>
                <w:webHidden/>
              </w:rPr>
              <w:fldChar w:fldCharType="separate"/>
            </w:r>
            <w:r w:rsidR="004B2AB9">
              <w:rPr>
                <w:noProof/>
                <w:webHidden/>
              </w:rPr>
              <w:t>7</w:t>
            </w:r>
            <w:r w:rsidR="009B70B3">
              <w:rPr>
                <w:noProof/>
                <w:webHidden/>
              </w:rPr>
              <w:fldChar w:fldCharType="end"/>
            </w:r>
          </w:hyperlink>
        </w:p>
        <w:p w14:paraId="3BC549B7" w14:textId="77777777" w:rsidR="009B70B3" w:rsidRDefault="00625504">
          <w:pPr>
            <w:pStyle w:val="TDC2"/>
            <w:tabs>
              <w:tab w:val="right" w:leader="dot" w:pos="9204"/>
            </w:tabs>
            <w:rPr>
              <w:rFonts w:asciiTheme="minorHAnsi" w:eastAsiaTheme="minorEastAsia" w:hAnsiTheme="minorHAnsi" w:cstheme="minorBidi"/>
              <w:noProof/>
            </w:rPr>
          </w:pPr>
          <w:hyperlink w:anchor="_Toc209708558" w:history="1">
            <w:r w:rsidR="009B70B3" w:rsidRPr="00CF0FD4">
              <w:rPr>
                <w:rStyle w:val="Hipervnculo"/>
                <w:noProof/>
              </w:rPr>
              <w:t>TERCERO. Determinación de la Controversia</w:t>
            </w:r>
            <w:r w:rsidR="009B70B3">
              <w:rPr>
                <w:noProof/>
                <w:webHidden/>
              </w:rPr>
              <w:tab/>
            </w:r>
            <w:r w:rsidR="009B70B3">
              <w:rPr>
                <w:noProof/>
                <w:webHidden/>
              </w:rPr>
              <w:fldChar w:fldCharType="begin"/>
            </w:r>
            <w:r w:rsidR="009B70B3">
              <w:rPr>
                <w:noProof/>
                <w:webHidden/>
              </w:rPr>
              <w:instrText xml:space="preserve"> PAGEREF _Toc209708558 \h </w:instrText>
            </w:r>
            <w:r w:rsidR="009B70B3">
              <w:rPr>
                <w:noProof/>
                <w:webHidden/>
              </w:rPr>
            </w:r>
            <w:r w:rsidR="009B70B3">
              <w:rPr>
                <w:noProof/>
                <w:webHidden/>
              </w:rPr>
              <w:fldChar w:fldCharType="separate"/>
            </w:r>
            <w:r w:rsidR="004B2AB9">
              <w:rPr>
                <w:noProof/>
                <w:webHidden/>
              </w:rPr>
              <w:t>8</w:t>
            </w:r>
            <w:r w:rsidR="009B70B3">
              <w:rPr>
                <w:noProof/>
                <w:webHidden/>
              </w:rPr>
              <w:fldChar w:fldCharType="end"/>
            </w:r>
          </w:hyperlink>
        </w:p>
        <w:p w14:paraId="1AA9B897" w14:textId="77777777" w:rsidR="009B70B3" w:rsidRDefault="00625504">
          <w:pPr>
            <w:pStyle w:val="TDC2"/>
            <w:tabs>
              <w:tab w:val="right" w:leader="dot" w:pos="9204"/>
            </w:tabs>
            <w:rPr>
              <w:rFonts w:asciiTheme="minorHAnsi" w:eastAsiaTheme="minorEastAsia" w:hAnsiTheme="minorHAnsi" w:cstheme="minorBidi"/>
              <w:noProof/>
            </w:rPr>
          </w:pPr>
          <w:hyperlink w:anchor="_Toc209708559" w:history="1">
            <w:r w:rsidR="009B70B3" w:rsidRPr="00CF0FD4">
              <w:rPr>
                <w:rStyle w:val="Hipervnculo"/>
                <w:noProof/>
              </w:rPr>
              <w:t>CUARTO. Marco normativo aplicable en materia de transparencia y acceso a la información pública</w:t>
            </w:r>
            <w:r w:rsidR="009B70B3">
              <w:rPr>
                <w:noProof/>
                <w:webHidden/>
              </w:rPr>
              <w:tab/>
            </w:r>
            <w:r w:rsidR="009B70B3">
              <w:rPr>
                <w:noProof/>
                <w:webHidden/>
              </w:rPr>
              <w:fldChar w:fldCharType="begin"/>
            </w:r>
            <w:r w:rsidR="009B70B3">
              <w:rPr>
                <w:noProof/>
                <w:webHidden/>
              </w:rPr>
              <w:instrText xml:space="preserve"> PAGEREF _Toc209708559 \h </w:instrText>
            </w:r>
            <w:r w:rsidR="009B70B3">
              <w:rPr>
                <w:noProof/>
                <w:webHidden/>
              </w:rPr>
            </w:r>
            <w:r w:rsidR="009B70B3">
              <w:rPr>
                <w:noProof/>
                <w:webHidden/>
              </w:rPr>
              <w:fldChar w:fldCharType="separate"/>
            </w:r>
            <w:r w:rsidR="004B2AB9">
              <w:rPr>
                <w:noProof/>
                <w:webHidden/>
              </w:rPr>
              <w:t>10</w:t>
            </w:r>
            <w:r w:rsidR="009B70B3">
              <w:rPr>
                <w:noProof/>
                <w:webHidden/>
              </w:rPr>
              <w:fldChar w:fldCharType="end"/>
            </w:r>
          </w:hyperlink>
        </w:p>
        <w:p w14:paraId="7C1B3ACA" w14:textId="77777777" w:rsidR="009B70B3" w:rsidRDefault="00625504">
          <w:pPr>
            <w:pStyle w:val="TDC2"/>
            <w:tabs>
              <w:tab w:val="right" w:leader="dot" w:pos="9204"/>
            </w:tabs>
            <w:rPr>
              <w:rFonts w:asciiTheme="minorHAnsi" w:eastAsiaTheme="minorEastAsia" w:hAnsiTheme="minorHAnsi" w:cstheme="minorBidi"/>
              <w:noProof/>
            </w:rPr>
          </w:pPr>
          <w:hyperlink w:anchor="_Toc209708560" w:history="1">
            <w:r w:rsidR="009B70B3" w:rsidRPr="00CF0FD4">
              <w:rPr>
                <w:rStyle w:val="Hipervnculo"/>
                <w:smallCaps/>
                <w:noProof/>
              </w:rPr>
              <w:t>QUINTO.</w:t>
            </w:r>
            <w:r w:rsidR="009B70B3" w:rsidRPr="00CF0FD4">
              <w:rPr>
                <w:rStyle w:val="Hipervnculo"/>
                <w:noProof/>
              </w:rPr>
              <w:t xml:space="preserve"> Estudio de Fondo</w:t>
            </w:r>
            <w:r w:rsidR="009B70B3">
              <w:rPr>
                <w:noProof/>
                <w:webHidden/>
              </w:rPr>
              <w:tab/>
            </w:r>
            <w:r w:rsidR="009B70B3">
              <w:rPr>
                <w:noProof/>
                <w:webHidden/>
              </w:rPr>
              <w:fldChar w:fldCharType="begin"/>
            </w:r>
            <w:r w:rsidR="009B70B3">
              <w:rPr>
                <w:noProof/>
                <w:webHidden/>
              </w:rPr>
              <w:instrText xml:space="preserve"> PAGEREF _Toc209708560 \h </w:instrText>
            </w:r>
            <w:r w:rsidR="009B70B3">
              <w:rPr>
                <w:noProof/>
                <w:webHidden/>
              </w:rPr>
            </w:r>
            <w:r w:rsidR="009B70B3">
              <w:rPr>
                <w:noProof/>
                <w:webHidden/>
              </w:rPr>
              <w:fldChar w:fldCharType="separate"/>
            </w:r>
            <w:r w:rsidR="004B2AB9">
              <w:rPr>
                <w:noProof/>
                <w:webHidden/>
              </w:rPr>
              <w:t>11</w:t>
            </w:r>
            <w:r w:rsidR="009B70B3">
              <w:rPr>
                <w:noProof/>
                <w:webHidden/>
              </w:rPr>
              <w:fldChar w:fldCharType="end"/>
            </w:r>
          </w:hyperlink>
        </w:p>
        <w:p w14:paraId="3BAB5197" w14:textId="77777777" w:rsidR="009B70B3" w:rsidRDefault="00625504">
          <w:pPr>
            <w:pStyle w:val="TDC2"/>
            <w:tabs>
              <w:tab w:val="right" w:leader="dot" w:pos="9204"/>
            </w:tabs>
            <w:rPr>
              <w:rFonts w:asciiTheme="minorHAnsi" w:eastAsiaTheme="minorEastAsia" w:hAnsiTheme="minorHAnsi" w:cstheme="minorBidi"/>
              <w:noProof/>
            </w:rPr>
          </w:pPr>
          <w:hyperlink w:anchor="_Toc209708561" w:history="1">
            <w:r w:rsidR="009B70B3" w:rsidRPr="00CF0FD4">
              <w:rPr>
                <w:rStyle w:val="Hipervnculo"/>
                <w:noProof/>
              </w:rPr>
              <w:t>CUARTO. Decisión</w:t>
            </w:r>
            <w:r w:rsidR="009B70B3">
              <w:rPr>
                <w:noProof/>
                <w:webHidden/>
              </w:rPr>
              <w:tab/>
            </w:r>
            <w:r w:rsidR="009B70B3">
              <w:rPr>
                <w:noProof/>
                <w:webHidden/>
              </w:rPr>
              <w:fldChar w:fldCharType="begin"/>
            </w:r>
            <w:r w:rsidR="009B70B3">
              <w:rPr>
                <w:noProof/>
                <w:webHidden/>
              </w:rPr>
              <w:instrText xml:space="preserve"> PAGEREF _Toc209708561 \h </w:instrText>
            </w:r>
            <w:r w:rsidR="009B70B3">
              <w:rPr>
                <w:noProof/>
                <w:webHidden/>
              </w:rPr>
            </w:r>
            <w:r w:rsidR="009B70B3">
              <w:rPr>
                <w:noProof/>
                <w:webHidden/>
              </w:rPr>
              <w:fldChar w:fldCharType="separate"/>
            </w:r>
            <w:r w:rsidR="004B2AB9">
              <w:rPr>
                <w:noProof/>
                <w:webHidden/>
              </w:rPr>
              <w:t>21</w:t>
            </w:r>
            <w:r w:rsidR="009B70B3">
              <w:rPr>
                <w:noProof/>
                <w:webHidden/>
              </w:rPr>
              <w:fldChar w:fldCharType="end"/>
            </w:r>
          </w:hyperlink>
        </w:p>
        <w:p w14:paraId="3665F196" w14:textId="77777777" w:rsidR="009B70B3" w:rsidRDefault="00625504">
          <w:pPr>
            <w:pStyle w:val="TDC1"/>
            <w:tabs>
              <w:tab w:val="right" w:leader="dot" w:pos="9204"/>
            </w:tabs>
            <w:rPr>
              <w:rFonts w:asciiTheme="minorHAnsi" w:eastAsiaTheme="minorEastAsia" w:hAnsiTheme="minorHAnsi" w:cstheme="minorBidi"/>
              <w:noProof/>
            </w:rPr>
          </w:pPr>
          <w:hyperlink w:anchor="_Toc209708562" w:history="1">
            <w:r w:rsidR="009B70B3" w:rsidRPr="00CF0FD4">
              <w:rPr>
                <w:rStyle w:val="Hipervnculo"/>
                <w:noProof/>
              </w:rPr>
              <w:t>R E S U E L V E</w:t>
            </w:r>
            <w:r w:rsidR="009B70B3">
              <w:rPr>
                <w:noProof/>
                <w:webHidden/>
              </w:rPr>
              <w:tab/>
            </w:r>
            <w:r w:rsidR="009B70B3">
              <w:rPr>
                <w:noProof/>
                <w:webHidden/>
              </w:rPr>
              <w:fldChar w:fldCharType="begin"/>
            </w:r>
            <w:r w:rsidR="009B70B3">
              <w:rPr>
                <w:noProof/>
                <w:webHidden/>
              </w:rPr>
              <w:instrText xml:space="preserve"> PAGEREF _Toc209708562 \h </w:instrText>
            </w:r>
            <w:r w:rsidR="009B70B3">
              <w:rPr>
                <w:noProof/>
                <w:webHidden/>
              </w:rPr>
            </w:r>
            <w:r w:rsidR="009B70B3">
              <w:rPr>
                <w:noProof/>
                <w:webHidden/>
              </w:rPr>
              <w:fldChar w:fldCharType="separate"/>
            </w:r>
            <w:r w:rsidR="004B2AB9">
              <w:rPr>
                <w:noProof/>
                <w:webHidden/>
              </w:rPr>
              <w:t>21</w:t>
            </w:r>
            <w:r w:rsidR="009B70B3">
              <w:rPr>
                <w:noProof/>
                <w:webHidden/>
              </w:rPr>
              <w:fldChar w:fldCharType="end"/>
            </w:r>
          </w:hyperlink>
        </w:p>
        <w:p w14:paraId="2FB33F6B" w14:textId="7FF1D843" w:rsidR="009B70B3" w:rsidRDefault="009B70B3">
          <w:r>
            <w:rPr>
              <w:b/>
              <w:bCs/>
              <w:lang w:val="es-ES"/>
            </w:rPr>
            <w:fldChar w:fldCharType="end"/>
          </w:r>
        </w:p>
      </w:sdtContent>
    </w:sdt>
    <w:p w14:paraId="0E13B26C" w14:textId="77777777" w:rsidR="002340AF" w:rsidRPr="009B70B3" w:rsidRDefault="009B70B3">
      <w:pPr>
        <w:pStyle w:val="Ttulo2"/>
        <w:spacing w:before="0" w:after="0"/>
      </w:pPr>
      <w:r w:rsidRPr="009B70B3">
        <w:br w:type="page"/>
      </w:r>
    </w:p>
    <w:p w14:paraId="24B0A178" w14:textId="77777777" w:rsidR="002340AF" w:rsidRPr="009B70B3" w:rsidRDefault="009B70B3">
      <w:pPr>
        <w:spacing w:after="0" w:line="360" w:lineRule="auto"/>
      </w:pPr>
      <w:r w:rsidRPr="009B70B3">
        <w:lastRenderedPageBreak/>
        <w:t>Resolución del Pleno del Instituto de Transparencia, Acceso a la Información Pública y Protección de Datos Personales del Estado de México y Municipios, con domicilio en Metepec, Estado de México, de fecha veinticuatro de septiembre de dos mil veinticinco.</w:t>
      </w:r>
    </w:p>
    <w:p w14:paraId="272F2FF8" w14:textId="77777777" w:rsidR="002340AF" w:rsidRPr="009B70B3" w:rsidRDefault="002340AF">
      <w:pPr>
        <w:spacing w:after="0" w:line="360" w:lineRule="auto"/>
        <w:rPr>
          <w:b/>
        </w:rPr>
      </w:pPr>
    </w:p>
    <w:p w14:paraId="584FF97C" w14:textId="77777777" w:rsidR="002340AF" w:rsidRPr="009B70B3" w:rsidRDefault="009B70B3">
      <w:pPr>
        <w:spacing w:after="0" w:line="360" w:lineRule="auto"/>
      </w:pPr>
      <w:r w:rsidRPr="009B70B3">
        <w:rPr>
          <w:b/>
        </w:rPr>
        <w:t>VISTO</w:t>
      </w:r>
      <w:r w:rsidRPr="009B70B3">
        <w:t xml:space="preserve"> el expediente conformado con motivo del Recurso de Revisión </w:t>
      </w:r>
      <w:r w:rsidRPr="00712284">
        <w:rPr>
          <w:b/>
        </w:rPr>
        <w:t>09056/INFOEM/IP/RR/2025</w:t>
      </w:r>
      <w:r w:rsidRPr="009B70B3">
        <w:t xml:space="preserve">, interpuesto por un Particular, en lo sucesivo, la persona Recurrente o Particular, en contra de la respuesta del Sujeto Obligado, </w:t>
      </w:r>
      <w:bookmarkStart w:id="0" w:name="_GoBack"/>
      <w:r w:rsidRPr="00712284">
        <w:rPr>
          <w:b/>
        </w:rPr>
        <w:t>Ayuntamiento de Tenancingo,</w:t>
      </w:r>
      <w:r w:rsidRPr="009B70B3">
        <w:t xml:space="preserve"> </w:t>
      </w:r>
      <w:bookmarkEnd w:id="0"/>
      <w:r w:rsidRPr="009B70B3">
        <w:t>se emite la presente Resolución, con base en los antecedentes y considerandos que se exponen a continuación:</w:t>
      </w:r>
    </w:p>
    <w:p w14:paraId="0F22F353" w14:textId="77777777" w:rsidR="002340AF" w:rsidRPr="009B70B3" w:rsidRDefault="002340AF">
      <w:pPr>
        <w:spacing w:after="0" w:line="360" w:lineRule="auto"/>
      </w:pPr>
    </w:p>
    <w:p w14:paraId="4ADD727F" w14:textId="77777777" w:rsidR="002340AF" w:rsidRPr="009B70B3" w:rsidRDefault="009B70B3">
      <w:pPr>
        <w:pStyle w:val="Ttulo1"/>
        <w:spacing w:before="0" w:after="0"/>
        <w:rPr>
          <w:sz w:val="22"/>
          <w:szCs w:val="22"/>
        </w:rPr>
      </w:pPr>
      <w:bookmarkStart w:id="1" w:name="_Toc209708550"/>
      <w:r w:rsidRPr="009B70B3">
        <w:rPr>
          <w:sz w:val="22"/>
          <w:szCs w:val="22"/>
        </w:rPr>
        <w:t>A N T E C E D E N T E S</w:t>
      </w:r>
      <w:bookmarkEnd w:id="1"/>
    </w:p>
    <w:p w14:paraId="2C7E4695" w14:textId="77777777" w:rsidR="002340AF" w:rsidRPr="009B70B3" w:rsidRDefault="002340AF">
      <w:pPr>
        <w:spacing w:after="0" w:line="360" w:lineRule="auto"/>
      </w:pPr>
      <w:bookmarkStart w:id="2" w:name="_heading=h.gjdgxs" w:colFirst="0" w:colLast="0"/>
      <w:bookmarkEnd w:id="2"/>
    </w:p>
    <w:p w14:paraId="036690CF" w14:textId="77777777" w:rsidR="002340AF" w:rsidRPr="009B70B3" w:rsidRDefault="009B70B3">
      <w:pPr>
        <w:pStyle w:val="Ttulo2"/>
        <w:spacing w:before="0" w:after="0"/>
      </w:pPr>
      <w:bookmarkStart w:id="3" w:name="_Toc209708551"/>
      <w:r w:rsidRPr="009B70B3">
        <w:t>I. Presentación de la solicitud de información</w:t>
      </w:r>
      <w:bookmarkEnd w:id="3"/>
    </w:p>
    <w:p w14:paraId="10CDFE0A" w14:textId="77777777" w:rsidR="002340AF" w:rsidRPr="009B70B3" w:rsidRDefault="002340AF">
      <w:pPr>
        <w:tabs>
          <w:tab w:val="left" w:pos="567"/>
        </w:tabs>
        <w:spacing w:after="0" w:line="360" w:lineRule="auto"/>
      </w:pPr>
    </w:p>
    <w:p w14:paraId="499778E2" w14:textId="77777777" w:rsidR="002340AF" w:rsidRPr="009B70B3" w:rsidRDefault="009B70B3">
      <w:pPr>
        <w:spacing w:after="0" w:line="360" w:lineRule="auto"/>
      </w:pPr>
      <w:bookmarkStart w:id="4" w:name="_heading=h.su0jssiigkpq" w:colFirst="0" w:colLast="0"/>
      <w:bookmarkEnd w:id="4"/>
      <w:r w:rsidRPr="009B70B3">
        <w:t>Con fecha once de junio de dos mil veinticinco, la parte Solicitante presentó una solicitud de acceso a la información pública, a través del Sistema de Acceso a la Información Mexiquense, en lo sucesivo el SAIMEX, ante el Ayuntamiento de Tenancingo, en la que requirió lo siguiente:</w:t>
      </w:r>
    </w:p>
    <w:p w14:paraId="5305593B" w14:textId="77777777" w:rsidR="002340AF" w:rsidRPr="009B70B3" w:rsidRDefault="002340AF">
      <w:pPr>
        <w:spacing w:after="0" w:line="360" w:lineRule="auto"/>
      </w:pPr>
    </w:p>
    <w:p w14:paraId="0F3D1231" w14:textId="77777777" w:rsidR="002340AF" w:rsidRPr="009B70B3" w:rsidRDefault="009B70B3">
      <w:pPr>
        <w:tabs>
          <w:tab w:val="left" w:pos="567"/>
        </w:tabs>
        <w:spacing w:after="0" w:line="360" w:lineRule="auto"/>
        <w:ind w:left="567" w:right="709"/>
        <w:rPr>
          <w:b/>
          <w:sz w:val="20"/>
          <w:szCs w:val="20"/>
        </w:rPr>
      </w:pPr>
      <w:r w:rsidRPr="009B70B3">
        <w:rPr>
          <w:b/>
          <w:sz w:val="20"/>
          <w:szCs w:val="20"/>
        </w:rPr>
        <w:t>Folio de la solicitud: 00406/TENANCIN/IP/2025</w:t>
      </w:r>
    </w:p>
    <w:p w14:paraId="34EF888A" w14:textId="77777777" w:rsidR="002340AF" w:rsidRPr="009B70B3" w:rsidRDefault="009B70B3">
      <w:pPr>
        <w:tabs>
          <w:tab w:val="left" w:pos="567"/>
        </w:tabs>
        <w:spacing w:after="0" w:line="360" w:lineRule="auto"/>
        <w:ind w:left="567" w:right="709"/>
        <w:rPr>
          <w:b/>
          <w:sz w:val="20"/>
          <w:szCs w:val="20"/>
        </w:rPr>
      </w:pPr>
      <w:r w:rsidRPr="009B70B3">
        <w:rPr>
          <w:b/>
          <w:sz w:val="20"/>
          <w:szCs w:val="20"/>
        </w:rPr>
        <w:t>DESCRIPCIÓN CLARA Y PRECISA DE LA INFORMACIÓN SOLICITADA</w:t>
      </w:r>
    </w:p>
    <w:p w14:paraId="6455EC73" w14:textId="77777777" w:rsidR="002340AF" w:rsidRPr="009B70B3" w:rsidRDefault="009B70B3">
      <w:pPr>
        <w:tabs>
          <w:tab w:val="left" w:pos="4667"/>
        </w:tabs>
        <w:spacing w:after="0" w:line="360" w:lineRule="auto"/>
        <w:ind w:left="567" w:right="709"/>
        <w:rPr>
          <w:i/>
          <w:sz w:val="20"/>
          <w:szCs w:val="20"/>
        </w:rPr>
      </w:pPr>
      <w:r w:rsidRPr="009B70B3">
        <w:rPr>
          <w:i/>
          <w:sz w:val="20"/>
          <w:szCs w:val="20"/>
        </w:rPr>
        <w:t xml:space="preserve">“DE ACUERDO AL PUESTO NOMINAL ASIGNADO A LA </w:t>
      </w:r>
      <w:proofErr w:type="spellStart"/>
      <w:r w:rsidRPr="009B70B3">
        <w:rPr>
          <w:i/>
          <w:sz w:val="20"/>
          <w:szCs w:val="20"/>
        </w:rPr>
        <w:t>LA</w:t>
      </w:r>
      <w:proofErr w:type="spellEnd"/>
      <w:r w:rsidRPr="009B70B3">
        <w:rPr>
          <w:i/>
          <w:sz w:val="20"/>
          <w:szCs w:val="20"/>
        </w:rPr>
        <w:t xml:space="preserve"> SERVIDORA PÚBLICA DAYRA LIZBETH ARRIAGA LEGUIZAMO, COMO ANALISTA ESPECIALIZADO A, SOLICITO SE ME INFORME LAS ACTIVIDADES REALIZADAS SOBRE LA ELABORACIÓN DE DICTAMENES TÉCNICOS, ESTUDIOS Y TRABAJOS DE ANÁLISIS ESPECIALIZADOS, ADJUNTANDO LA EVIDENCIA DOCUMENTAL QUE ACREDITE EL CUMPLIMIETO DE SUS FUNCIONES ASIGNADAS” (Sic.)</w:t>
      </w:r>
    </w:p>
    <w:p w14:paraId="4F5CDB35" w14:textId="77777777" w:rsidR="002340AF" w:rsidRPr="009B70B3" w:rsidRDefault="002340AF">
      <w:pPr>
        <w:tabs>
          <w:tab w:val="left" w:pos="4667"/>
        </w:tabs>
        <w:spacing w:after="0" w:line="360" w:lineRule="auto"/>
        <w:ind w:left="567" w:right="709"/>
        <w:rPr>
          <w:i/>
          <w:sz w:val="20"/>
          <w:szCs w:val="20"/>
        </w:rPr>
      </w:pPr>
    </w:p>
    <w:p w14:paraId="38525B84" w14:textId="77777777" w:rsidR="002340AF" w:rsidRPr="009B70B3" w:rsidRDefault="009B70B3">
      <w:pPr>
        <w:tabs>
          <w:tab w:val="left" w:pos="4667"/>
        </w:tabs>
        <w:spacing w:after="0" w:line="360" w:lineRule="auto"/>
        <w:ind w:left="567" w:right="709"/>
        <w:rPr>
          <w:b/>
          <w:sz w:val="20"/>
          <w:szCs w:val="20"/>
        </w:rPr>
      </w:pPr>
      <w:r w:rsidRPr="009B70B3">
        <w:rPr>
          <w:b/>
          <w:sz w:val="20"/>
          <w:szCs w:val="20"/>
        </w:rPr>
        <w:lastRenderedPageBreak/>
        <w:t xml:space="preserve">MODALIDAD DE ENTREGA </w:t>
      </w:r>
      <w:r w:rsidRPr="009B70B3">
        <w:rPr>
          <w:i/>
          <w:sz w:val="20"/>
          <w:szCs w:val="20"/>
        </w:rPr>
        <w:t>“A través del SAIMEX.”</w:t>
      </w:r>
    </w:p>
    <w:p w14:paraId="4A8DB9EF" w14:textId="77777777" w:rsidR="002340AF" w:rsidRPr="009B70B3" w:rsidRDefault="002340AF">
      <w:pPr>
        <w:tabs>
          <w:tab w:val="left" w:pos="4667"/>
        </w:tabs>
        <w:spacing w:after="0" w:line="360" w:lineRule="auto"/>
        <w:ind w:right="709"/>
      </w:pPr>
    </w:p>
    <w:p w14:paraId="3A22DDA4" w14:textId="77777777" w:rsidR="002340AF" w:rsidRPr="009B70B3" w:rsidRDefault="002340AF">
      <w:pPr>
        <w:tabs>
          <w:tab w:val="left" w:pos="4667"/>
        </w:tabs>
        <w:spacing w:after="0" w:line="360" w:lineRule="auto"/>
        <w:ind w:right="709"/>
      </w:pPr>
    </w:p>
    <w:p w14:paraId="669DB1EB" w14:textId="77777777" w:rsidR="002340AF" w:rsidRPr="009B70B3" w:rsidRDefault="009B70B3">
      <w:pPr>
        <w:keepNext/>
        <w:keepLines/>
        <w:spacing w:after="0" w:line="360" w:lineRule="auto"/>
        <w:rPr>
          <w:b/>
          <w:color w:val="000000"/>
        </w:rPr>
      </w:pPr>
      <w:bookmarkStart w:id="5" w:name="_heading=h.dezhiien5gsa" w:colFirst="0" w:colLast="0"/>
      <w:bookmarkEnd w:id="5"/>
      <w:r w:rsidRPr="009B70B3">
        <w:rPr>
          <w:b/>
          <w:color w:val="000000"/>
        </w:rPr>
        <w:t>II. Solicitud de aclaración</w:t>
      </w:r>
    </w:p>
    <w:p w14:paraId="4ABF804D" w14:textId="77777777" w:rsidR="002340AF" w:rsidRPr="009B70B3" w:rsidRDefault="002340AF">
      <w:pPr>
        <w:spacing w:after="0" w:line="360" w:lineRule="auto"/>
        <w:rPr>
          <w:color w:val="000000"/>
        </w:rPr>
      </w:pPr>
    </w:p>
    <w:p w14:paraId="2FA9F472" w14:textId="77777777" w:rsidR="002340AF" w:rsidRPr="009B70B3" w:rsidRDefault="009B70B3">
      <w:pPr>
        <w:spacing w:after="0" w:line="360" w:lineRule="auto"/>
        <w:rPr>
          <w:color w:val="000000"/>
        </w:rPr>
      </w:pPr>
      <w:r w:rsidRPr="009B70B3">
        <w:rPr>
          <w:color w:val="000000"/>
        </w:rPr>
        <w:t>En fecha diecisiete de junio de dos mil veinticinco, el Sujeto Obligado a través de SAIMEX requirió la parte Solicitante que realizara una aclaración, dentro del plazo de diez días hábiles, en los siguientes términos:</w:t>
      </w:r>
    </w:p>
    <w:p w14:paraId="26139787" w14:textId="77777777" w:rsidR="002340AF" w:rsidRPr="009B70B3" w:rsidRDefault="002340AF">
      <w:pPr>
        <w:spacing w:after="0" w:line="360" w:lineRule="auto"/>
        <w:rPr>
          <w:color w:val="000000"/>
        </w:rPr>
      </w:pPr>
    </w:p>
    <w:p w14:paraId="58A8CEEA" w14:textId="77777777" w:rsidR="002340AF" w:rsidRPr="009B70B3" w:rsidRDefault="009B70B3">
      <w:pPr>
        <w:spacing w:after="0" w:line="360" w:lineRule="auto"/>
        <w:ind w:left="567" w:right="709"/>
        <w:rPr>
          <w:i/>
          <w:color w:val="000000"/>
          <w:sz w:val="20"/>
          <w:szCs w:val="20"/>
        </w:rPr>
      </w:pPr>
      <w:r w:rsidRPr="009B70B3">
        <w:rPr>
          <w:i/>
          <w:color w:val="000000"/>
          <w:sz w:val="20"/>
          <w:szCs w:val="20"/>
        </w:rPr>
        <w:t xml:space="preserve">“…Con fundamento en el </w:t>
      </w:r>
      <w:proofErr w:type="spellStart"/>
      <w:r w:rsidRPr="009B70B3">
        <w:rPr>
          <w:i/>
          <w:color w:val="000000"/>
          <w:sz w:val="20"/>
          <w:szCs w:val="20"/>
        </w:rPr>
        <w:t>articulo</w:t>
      </w:r>
      <w:proofErr w:type="spellEnd"/>
      <w:r w:rsidRPr="009B70B3">
        <w:rPr>
          <w:i/>
          <w:color w:val="000000"/>
          <w:sz w:val="20"/>
          <w:szCs w:val="20"/>
        </w:rPr>
        <w:t xml:space="preserve"> 159 de la Ley de Transparencia y Acceso a la Información Pública del Estado de México y Municipios, se le requiere para que dentro del plazo de diez días hábiles realice lo siguiente:</w:t>
      </w:r>
    </w:p>
    <w:p w14:paraId="5F16BBAD" w14:textId="77777777" w:rsidR="002340AF" w:rsidRPr="009B70B3" w:rsidRDefault="002340AF">
      <w:pPr>
        <w:spacing w:after="0" w:line="360" w:lineRule="auto"/>
        <w:ind w:left="567" w:right="709"/>
        <w:rPr>
          <w:i/>
          <w:color w:val="000000"/>
          <w:sz w:val="20"/>
          <w:szCs w:val="20"/>
        </w:rPr>
      </w:pPr>
    </w:p>
    <w:p w14:paraId="062ABF6E" w14:textId="77777777" w:rsidR="002340AF" w:rsidRPr="009B70B3" w:rsidRDefault="009B70B3">
      <w:pPr>
        <w:spacing w:after="0" w:line="360" w:lineRule="auto"/>
        <w:ind w:left="567" w:right="709"/>
        <w:rPr>
          <w:i/>
          <w:color w:val="000000"/>
          <w:sz w:val="20"/>
          <w:szCs w:val="20"/>
        </w:rPr>
      </w:pPr>
      <w:r w:rsidRPr="009B70B3">
        <w:rPr>
          <w:i/>
          <w:color w:val="000000"/>
          <w:sz w:val="20"/>
          <w:szCs w:val="20"/>
        </w:rPr>
        <w:t>ÚNICO: Especifique la temporalidad (fecha) de la cual requiere la información que peticiona.”</w:t>
      </w:r>
    </w:p>
    <w:p w14:paraId="30FEA1CC" w14:textId="77777777" w:rsidR="002340AF" w:rsidRPr="009B70B3" w:rsidRDefault="009B70B3">
      <w:pPr>
        <w:spacing w:after="0" w:line="360" w:lineRule="auto"/>
        <w:ind w:left="567" w:right="709"/>
        <w:rPr>
          <w:i/>
          <w:color w:val="000000"/>
          <w:sz w:val="20"/>
          <w:szCs w:val="20"/>
        </w:rPr>
      </w:pPr>
      <w:r w:rsidRPr="009B70B3">
        <w:rPr>
          <w:i/>
          <w:color w:val="000000"/>
          <w:sz w:val="20"/>
          <w:szCs w:val="2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391E9D9" w14:textId="77777777" w:rsidR="002340AF" w:rsidRPr="009B70B3" w:rsidRDefault="009B70B3">
      <w:pPr>
        <w:spacing w:after="0" w:line="360" w:lineRule="auto"/>
        <w:ind w:left="567" w:right="709"/>
        <w:rPr>
          <w:i/>
          <w:color w:val="000000"/>
          <w:sz w:val="20"/>
          <w:szCs w:val="20"/>
        </w:rPr>
      </w:pPr>
      <w:r w:rsidRPr="009B70B3">
        <w:rPr>
          <w:i/>
          <w:color w:val="000000"/>
          <w:sz w:val="20"/>
          <w:szCs w:val="20"/>
        </w:rPr>
        <w:t>…”</w:t>
      </w:r>
    </w:p>
    <w:p w14:paraId="7FC50265" w14:textId="77777777" w:rsidR="002340AF" w:rsidRPr="009B70B3" w:rsidRDefault="002340AF">
      <w:pPr>
        <w:spacing w:after="0" w:line="360" w:lineRule="auto"/>
        <w:jc w:val="right"/>
        <w:rPr>
          <w:i/>
          <w:color w:val="000000"/>
        </w:rPr>
      </w:pPr>
    </w:p>
    <w:p w14:paraId="43F9D15B" w14:textId="77777777" w:rsidR="002340AF" w:rsidRPr="009B70B3" w:rsidRDefault="009B70B3">
      <w:pPr>
        <w:keepNext/>
        <w:keepLines/>
        <w:spacing w:after="0" w:line="360" w:lineRule="auto"/>
        <w:rPr>
          <w:b/>
          <w:color w:val="000000"/>
        </w:rPr>
      </w:pPr>
      <w:bookmarkStart w:id="6" w:name="_heading=h.u868mdr5s3zo" w:colFirst="0" w:colLast="0"/>
      <w:bookmarkEnd w:id="6"/>
      <w:r w:rsidRPr="009B70B3">
        <w:rPr>
          <w:b/>
          <w:color w:val="000000"/>
        </w:rPr>
        <w:t>III. Desahogo de aclaración</w:t>
      </w:r>
    </w:p>
    <w:p w14:paraId="61E162DA" w14:textId="77777777" w:rsidR="002340AF" w:rsidRPr="009B70B3" w:rsidRDefault="002340AF">
      <w:pPr>
        <w:spacing w:after="0" w:line="360" w:lineRule="auto"/>
        <w:rPr>
          <w:color w:val="000000"/>
        </w:rPr>
      </w:pPr>
    </w:p>
    <w:p w14:paraId="1E9A3A63" w14:textId="77777777" w:rsidR="002340AF" w:rsidRPr="009B70B3" w:rsidRDefault="009B70B3">
      <w:pPr>
        <w:spacing w:after="0" w:line="360" w:lineRule="auto"/>
        <w:rPr>
          <w:color w:val="000000"/>
        </w:rPr>
      </w:pPr>
      <w:r w:rsidRPr="009B70B3">
        <w:rPr>
          <w:color w:val="000000"/>
        </w:rPr>
        <w:t>En fecha dieciocho de junio de dos mil veinticinco, la parte Recurrente desahogó la aclaración a través de SAIMEX, en los siguientes términos:</w:t>
      </w:r>
    </w:p>
    <w:p w14:paraId="1DBE9EBD" w14:textId="77777777" w:rsidR="002340AF" w:rsidRPr="009B70B3" w:rsidRDefault="002340AF">
      <w:pPr>
        <w:spacing w:after="0" w:line="360" w:lineRule="auto"/>
        <w:rPr>
          <w:color w:val="000000"/>
        </w:rPr>
      </w:pPr>
    </w:p>
    <w:p w14:paraId="34DC8A09" w14:textId="77777777" w:rsidR="002340AF" w:rsidRPr="009B70B3" w:rsidRDefault="009B70B3">
      <w:pPr>
        <w:spacing w:after="0" w:line="360" w:lineRule="auto"/>
        <w:ind w:left="567" w:right="709"/>
        <w:rPr>
          <w:b/>
          <w:color w:val="000000"/>
        </w:rPr>
      </w:pPr>
      <w:r w:rsidRPr="009B70B3">
        <w:rPr>
          <w:b/>
          <w:color w:val="000000"/>
        </w:rPr>
        <w:t>DATOS A COMPLETAR, CORREGIR, AMPLIAR O ACLARAR</w:t>
      </w:r>
      <w:r w:rsidRPr="009B70B3">
        <w:rPr>
          <w:b/>
          <w:color w:val="000000"/>
        </w:rPr>
        <w:tab/>
        <w:t xml:space="preserve">  </w:t>
      </w:r>
    </w:p>
    <w:p w14:paraId="0BA838CA" w14:textId="77777777" w:rsidR="002340AF" w:rsidRPr="009B70B3" w:rsidRDefault="009B70B3">
      <w:pPr>
        <w:spacing w:after="0" w:line="360" w:lineRule="auto"/>
        <w:ind w:left="567" w:right="709"/>
        <w:rPr>
          <w:i/>
          <w:color w:val="000000"/>
          <w:sz w:val="20"/>
          <w:szCs w:val="20"/>
        </w:rPr>
      </w:pPr>
      <w:r w:rsidRPr="009B70B3">
        <w:rPr>
          <w:i/>
          <w:color w:val="000000"/>
          <w:sz w:val="20"/>
          <w:szCs w:val="20"/>
        </w:rPr>
        <w:t>“Durante el tiempo que lleva la presente administración pública municipal 2025-2027”</w:t>
      </w:r>
    </w:p>
    <w:p w14:paraId="4F9755BA" w14:textId="77777777" w:rsidR="002340AF" w:rsidRPr="009B70B3" w:rsidRDefault="002340AF">
      <w:pPr>
        <w:spacing w:after="0" w:line="360" w:lineRule="auto"/>
      </w:pPr>
    </w:p>
    <w:p w14:paraId="7BC0B12F" w14:textId="77777777" w:rsidR="002340AF" w:rsidRPr="009B70B3" w:rsidRDefault="009B70B3">
      <w:pPr>
        <w:keepNext/>
        <w:keepLines/>
        <w:spacing w:after="0" w:line="360" w:lineRule="auto"/>
        <w:rPr>
          <w:b/>
          <w:color w:val="000000"/>
        </w:rPr>
      </w:pPr>
      <w:r w:rsidRPr="009B70B3">
        <w:rPr>
          <w:b/>
          <w:color w:val="000000"/>
        </w:rPr>
        <w:lastRenderedPageBreak/>
        <w:t>IV. Prórroga</w:t>
      </w:r>
    </w:p>
    <w:p w14:paraId="75472CCE" w14:textId="77777777" w:rsidR="007F4431" w:rsidRPr="009B70B3" w:rsidRDefault="007F4431">
      <w:pPr>
        <w:keepNext/>
        <w:keepLines/>
        <w:spacing w:after="0" w:line="360" w:lineRule="auto"/>
        <w:rPr>
          <w:b/>
          <w:color w:val="000000"/>
        </w:rPr>
      </w:pPr>
    </w:p>
    <w:p w14:paraId="2A5A5881" w14:textId="6ED53EA4" w:rsidR="002340AF" w:rsidRPr="009B70B3" w:rsidRDefault="009B70B3">
      <w:pPr>
        <w:tabs>
          <w:tab w:val="left" w:pos="4667"/>
        </w:tabs>
        <w:spacing w:after="0" w:line="360" w:lineRule="auto"/>
        <w:rPr>
          <w:b/>
          <w:color w:val="000000"/>
        </w:rPr>
      </w:pPr>
      <w:r w:rsidRPr="009B70B3">
        <w:rPr>
          <w:color w:val="000000"/>
        </w:rPr>
        <w:t xml:space="preserve">Con fecha nueve de julio de dos mil veinticinco, el Sujeto Obligado, a través del SAIMEX y mediante la Responsable de la Unidad de Transparencia, informó que se </w:t>
      </w:r>
      <w:r w:rsidRPr="009B70B3">
        <w:t>prorrogó</w:t>
      </w:r>
      <w:r w:rsidRPr="009B70B3">
        <w:rPr>
          <w:color w:val="000000"/>
        </w:rPr>
        <w:t xml:space="preserve"> el plazo para dar respuesta</w:t>
      </w:r>
      <w:r w:rsidR="007F4431" w:rsidRPr="009B70B3">
        <w:rPr>
          <w:color w:val="000000"/>
        </w:rPr>
        <w:t>.</w:t>
      </w:r>
      <w:r w:rsidRPr="009B70B3">
        <w:rPr>
          <w:b/>
          <w:color w:val="000000"/>
        </w:rPr>
        <w:t xml:space="preserve"> </w:t>
      </w:r>
    </w:p>
    <w:p w14:paraId="67020D3A" w14:textId="77777777" w:rsidR="002340AF" w:rsidRPr="009B70B3" w:rsidRDefault="002340AF">
      <w:pPr>
        <w:tabs>
          <w:tab w:val="left" w:pos="4667"/>
        </w:tabs>
        <w:spacing w:after="0" w:line="360" w:lineRule="auto"/>
        <w:ind w:right="709"/>
      </w:pPr>
    </w:p>
    <w:p w14:paraId="54C24508" w14:textId="77777777" w:rsidR="002340AF" w:rsidRPr="009B70B3" w:rsidRDefault="009B70B3">
      <w:pPr>
        <w:pStyle w:val="Ttulo2"/>
        <w:spacing w:before="0" w:after="0"/>
      </w:pPr>
      <w:bookmarkStart w:id="7" w:name="_Toc209708552"/>
      <w:r w:rsidRPr="009B70B3">
        <w:t>V. Respuesta del Sujeto Obligado</w:t>
      </w:r>
      <w:bookmarkEnd w:id="7"/>
    </w:p>
    <w:p w14:paraId="3BDF3161" w14:textId="77777777" w:rsidR="002340AF" w:rsidRPr="009B70B3" w:rsidRDefault="002340AF">
      <w:pPr>
        <w:spacing w:after="0" w:line="360" w:lineRule="auto"/>
      </w:pPr>
    </w:p>
    <w:p w14:paraId="7C76182C" w14:textId="77777777" w:rsidR="002340AF" w:rsidRPr="009B70B3" w:rsidRDefault="009B70B3">
      <w:pPr>
        <w:spacing w:after="0" w:line="360" w:lineRule="auto"/>
      </w:pPr>
      <w:r w:rsidRPr="009B70B3">
        <w:t>El dieciocho de julio de dos mil veinticinco, el Sujeto Obligado a través de SAIMEX, dio respuesta, en los siguientes términos:</w:t>
      </w:r>
    </w:p>
    <w:p w14:paraId="598A4A31" w14:textId="77777777" w:rsidR="002340AF" w:rsidRPr="009B70B3" w:rsidRDefault="009B70B3">
      <w:pPr>
        <w:spacing w:after="0" w:line="360" w:lineRule="auto"/>
      </w:pPr>
      <w:r w:rsidRPr="009B70B3">
        <w:t xml:space="preserve"> </w:t>
      </w:r>
    </w:p>
    <w:p w14:paraId="294D1D88" w14:textId="77777777" w:rsidR="002340AF" w:rsidRPr="009B70B3" w:rsidRDefault="009B70B3">
      <w:pPr>
        <w:spacing w:after="0" w:line="360" w:lineRule="auto"/>
        <w:ind w:left="567" w:right="709"/>
        <w:rPr>
          <w:i/>
          <w:sz w:val="20"/>
          <w:szCs w:val="20"/>
        </w:rPr>
      </w:pPr>
      <w:r w:rsidRPr="009B70B3">
        <w:rPr>
          <w:i/>
          <w:sz w:val="20"/>
          <w:szCs w:val="20"/>
        </w:rPr>
        <w:t>“Folio de la solicitud: 00406/TENANCIN/IP/2025 Estimado solicitante: Sirva este medio para enviarle un afectuoso saludo, al mismo tiempo con fundamento en el artículo 53 fracciones II, IV y V de la Ley de Transparencia y Acceso a la Información Pública del Estado de México y Municipios, remito la contestación a su solicitud de información, y le informo lo siguiente: Dando atención a su solicitud de información con folio 00406/TENANCIN/IP/2025, se adjunta al presente en archivos PDF, los siguientes documentos: 1.Turno a Servidor Público Habilitado. 2.Respuesta del Servidor Público Habilitado. Archivos en los cuales se precisa todo lo referente a su solicitud de información. Haciendo de su conocimiento que de acuerdo a lo establecido por los artículos 176, 177 y 178 de la Ley de Transparencia y Acceso a la Información Pública del Estado de México y Municipios, podrá ejercer su segunda garantía del Derecho de Acceso a la Información pública, al interponer un recurso de revisión, ante el INFOEM o ante esta Unidad de Transparencia, dentro de los quince días hábiles posteriores a la fecha de recepción de su respuesta, por alguna de las causales establecidas en el artículo 179 de la Ley de Transparencia y Acceso a la Información Pública del Estado de México y Municipios, atendiendo los criterios señalados en los artículos 180 y 181 de la misma Ley.”</w:t>
      </w:r>
    </w:p>
    <w:p w14:paraId="0E72BB2F" w14:textId="77777777" w:rsidR="002340AF" w:rsidRPr="009B70B3" w:rsidRDefault="002340AF">
      <w:pPr>
        <w:spacing w:after="0" w:line="360" w:lineRule="auto"/>
        <w:ind w:left="567" w:right="709"/>
        <w:rPr>
          <w:i/>
        </w:rPr>
      </w:pPr>
    </w:p>
    <w:p w14:paraId="6283A635" w14:textId="77777777" w:rsidR="002340AF" w:rsidRPr="009B70B3" w:rsidRDefault="009B70B3">
      <w:pPr>
        <w:spacing w:after="0" w:line="360" w:lineRule="auto"/>
      </w:pPr>
      <w:r w:rsidRPr="009B70B3">
        <w:t>Es pertinente precisar que el Sujeto Obligado no anexó documento o archivo alguno.</w:t>
      </w:r>
    </w:p>
    <w:p w14:paraId="6F8C1891" w14:textId="77777777" w:rsidR="002340AF" w:rsidRPr="009B70B3" w:rsidRDefault="002340AF">
      <w:pPr>
        <w:spacing w:after="0" w:line="360" w:lineRule="auto"/>
      </w:pPr>
    </w:p>
    <w:p w14:paraId="6C97604B" w14:textId="77777777" w:rsidR="002340AF" w:rsidRPr="009B70B3" w:rsidRDefault="009B70B3">
      <w:pPr>
        <w:pStyle w:val="Ttulo2"/>
        <w:spacing w:before="0" w:after="0"/>
      </w:pPr>
      <w:bookmarkStart w:id="8" w:name="_Toc209708553"/>
      <w:r w:rsidRPr="009B70B3">
        <w:lastRenderedPageBreak/>
        <w:t>VI. Interposición del Recurso de Revisión</w:t>
      </w:r>
      <w:bookmarkEnd w:id="8"/>
    </w:p>
    <w:p w14:paraId="06561390" w14:textId="77777777" w:rsidR="002340AF" w:rsidRPr="009B70B3" w:rsidRDefault="002340AF">
      <w:pPr>
        <w:spacing w:after="0" w:line="360" w:lineRule="auto"/>
        <w:rPr>
          <w:b/>
        </w:rPr>
      </w:pPr>
    </w:p>
    <w:p w14:paraId="2F392799" w14:textId="77777777" w:rsidR="002340AF" w:rsidRPr="009B70B3" w:rsidRDefault="009B70B3">
      <w:pPr>
        <w:spacing w:after="0" w:line="360" w:lineRule="auto"/>
      </w:pPr>
      <w:bookmarkStart w:id="9" w:name="_heading=h.2et92p0" w:colFirst="0" w:colLast="0"/>
      <w:bookmarkEnd w:id="9"/>
      <w:r w:rsidRPr="009B70B3">
        <w:t>Con fecha veinticinco de julio de dos mil veinticinco, se recibió a través del SAIMEX, el Recurso de Revisión interpuesto por la persona Recurrente; el cual se radicó el cuatro de agosto del mismo año, por tratarse del siguiente día hábil de conformidad con el calendario aprobado por el Pleno de este Instituto; en los siguientes términos:</w:t>
      </w:r>
    </w:p>
    <w:p w14:paraId="3EB0D978" w14:textId="77777777" w:rsidR="002340AF" w:rsidRPr="009B70B3" w:rsidRDefault="002340AF">
      <w:pPr>
        <w:spacing w:after="0" w:line="360" w:lineRule="auto"/>
      </w:pPr>
    </w:p>
    <w:p w14:paraId="2193B5F9" w14:textId="77777777" w:rsidR="002340AF" w:rsidRPr="009B70B3" w:rsidRDefault="009B70B3">
      <w:pPr>
        <w:spacing w:after="0" w:line="360" w:lineRule="auto"/>
        <w:ind w:left="567" w:right="709"/>
        <w:rPr>
          <w:b/>
          <w:sz w:val="20"/>
          <w:szCs w:val="20"/>
        </w:rPr>
      </w:pPr>
      <w:r w:rsidRPr="009B70B3">
        <w:rPr>
          <w:b/>
          <w:sz w:val="20"/>
          <w:szCs w:val="20"/>
        </w:rPr>
        <w:t>ACTO IMPUGNADO</w:t>
      </w:r>
      <w:r w:rsidRPr="009B70B3">
        <w:rPr>
          <w:b/>
          <w:sz w:val="20"/>
          <w:szCs w:val="20"/>
        </w:rPr>
        <w:tab/>
      </w:r>
    </w:p>
    <w:p w14:paraId="3AB8E215" w14:textId="77777777" w:rsidR="002340AF" w:rsidRPr="009B70B3" w:rsidRDefault="009B70B3">
      <w:pPr>
        <w:spacing w:after="0" w:line="360" w:lineRule="auto"/>
        <w:ind w:left="567" w:right="709"/>
        <w:rPr>
          <w:b/>
          <w:sz w:val="20"/>
          <w:szCs w:val="20"/>
        </w:rPr>
      </w:pPr>
      <w:r w:rsidRPr="009B70B3">
        <w:rPr>
          <w:i/>
          <w:sz w:val="20"/>
          <w:szCs w:val="20"/>
        </w:rPr>
        <w:t xml:space="preserve">“No se dio respuesta de forma completa a mi solicitud” </w:t>
      </w:r>
    </w:p>
    <w:p w14:paraId="61C60430" w14:textId="77777777" w:rsidR="002340AF" w:rsidRPr="009B70B3" w:rsidRDefault="002340AF">
      <w:pPr>
        <w:spacing w:after="0" w:line="360" w:lineRule="auto"/>
        <w:ind w:left="567" w:right="709"/>
        <w:rPr>
          <w:sz w:val="20"/>
          <w:szCs w:val="20"/>
        </w:rPr>
      </w:pPr>
    </w:p>
    <w:p w14:paraId="049B8700" w14:textId="77777777" w:rsidR="002340AF" w:rsidRPr="009B70B3" w:rsidRDefault="009B70B3">
      <w:pPr>
        <w:spacing w:after="0" w:line="360" w:lineRule="auto"/>
        <w:ind w:left="567" w:right="709"/>
        <w:rPr>
          <w:b/>
          <w:sz w:val="20"/>
          <w:szCs w:val="20"/>
        </w:rPr>
      </w:pPr>
      <w:r w:rsidRPr="009B70B3">
        <w:rPr>
          <w:b/>
          <w:sz w:val="20"/>
          <w:szCs w:val="20"/>
        </w:rPr>
        <w:t>RAZONES O MOTIVOS DE LA INCONFORMIDAD</w:t>
      </w:r>
      <w:r w:rsidRPr="009B70B3">
        <w:rPr>
          <w:b/>
          <w:sz w:val="20"/>
          <w:szCs w:val="20"/>
        </w:rPr>
        <w:tab/>
      </w:r>
    </w:p>
    <w:p w14:paraId="5D96AB25" w14:textId="77777777" w:rsidR="002340AF" w:rsidRPr="009B70B3" w:rsidRDefault="009B70B3">
      <w:pPr>
        <w:tabs>
          <w:tab w:val="left" w:pos="4667"/>
        </w:tabs>
        <w:spacing w:after="0" w:line="360" w:lineRule="auto"/>
        <w:ind w:left="567" w:right="709"/>
        <w:rPr>
          <w:i/>
          <w:sz w:val="20"/>
          <w:szCs w:val="20"/>
        </w:rPr>
      </w:pPr>
      <w:r w:rsidRPr="009B70B3">
        <w:rPr>
          <w:i/>
          <w:sz w:val="20"/>
          <w:szCs w:val="20"/>
        </w:rPr>
        <w:t>“en estricto sentido no se dio respuesta a mi solicitud ya que no presentan los documentos anexos a que hacen referencia” (Sic.)</w:t>
      </w:r>
    </w:p>
    <w:p w14:paraId="7830815B" w14:textId="77777777" w:rsidR="002340AF" w:rsidRPr="009B70B3" w:rsidRDefault="002340AF">
      <w:pPr>
        <w:tabs>
          <w:tab w:val="left" w:pos="4667"/>
        </w:tabs>
        <w:spacing w:after="0" w:line="360" w:lineRule="auto"/>
      </w:pPr>
    </w:p>
    <w:p w14:paraId="77DF74DE" w14:textId="77777777" w:rsidR="002340AF" w:rsidRPr="009B70B3" w:rsidRDefault="009B70B3">
      <w:pPr>
        <w:pStyle w:val="Ttulo2"/>
        <w:spacing w:before="0" w:after="0"/>
      </w:pPr>
      <w:bookmarkStart w:id="10" w:name="_Toc209708554"/>
      <w:r w:rsidRPr="009B70B3">
        <w:t>VII. Trámite del Recurso de Revisión ante este Instituto</w:t>
      </w:r>
      <w:bookmarkEnd w:id="10"/>
    </w:p>
    <w:p w14:paraId="52936FBE" w14:textId="77777777" w:rsidR="002340AF" w:rsidRPr="009B70B3" w:rsidRDefault="002340AF">
      <w:pPr>
        <w:spacing w:after="0" w:line="360" w:lineRule="auto"/>
        <w:rPr>
          <w:b/>
        </w:rPr>
      </w:pPr>
    </w:p>
    <w:p w14:paraId="7D32B90A" w14:textId="77777777" w:rsidR="002340AF" w:rsidRPr="009B70B3" w:rsidRDefault="009B70B3">
      <w:pPr>
        <w:spacing w:after="0" w:line="360" w:lineRule="auto"/>
      </w:pPr>
      <w:r w:rsidRPr="009B70B3">
        <w:rPr>
          <w:b/>
        </w:rPr>
        <w:t>a) Turno del Medio de Impugnación.</w:t>
      </w:r>
      <w:r w:rsidRPr="009B70B3">
        <w:t xml:space="preserve"> El veinticinco de julio de dos mil veinticinco, el SAIMEX, asignó el número de expediente</w:t>
      </w:r>
      <w:r w:rsidRPr="009B70B3">
        <w:rPr>
          <w:b/>
        </w:rPr>
        <w:t xml:space="preserve"> 09056/INFOEM/IP/RR/2025, </w:t>
      </w:r>
      <w:r w:rsidRPr="009B70B3">
        <w:t>al medio de impugnación que nos ocupan, con base en el sistema aprobado por el Pleno de este Órgano Garante y se turnó al Comisionado Ponente Luis Gustavo Parra Noriega, para los efectos del artículo 185, fracción I de la Ley de Transparencia y Acceso a la Información Pública del Estado de México y Municipios.</w:t>
      </w:r>
    </w:p>
    <w:p w14:paraId="1DF1BFDA" w14:textId="77777777" w:rsidR="002340AF" w:rsidRPr="009B70B3" w:rsidRDefault="002340AF">
      <w:pPr>
        <w:spacing w:after="0" w:line="360" w:lineRule="auto"/>
      </w:pPr>
    </w:p>
    <w:p w14:paraId="5E59D48D" w14:textId="77777777" w:rsidR="002340AF" w:rsidRPr="009B70B3" w:rsidRDefault="009B70B3">
      <w:pPr>
        <w:spacing w:after="0" w:line="360" w:lineRule="auto"/>
      </w:pPr>
      <w:r w:rsidRPr="009B70B3">
        <w:rPr>
          <w:b/>
        </w:rPr>
        <w:t>b) Admisión del Recurso de Revisión.</w:t>
      </w:r>
      <w:r w:rsidRPr="009B70B3">
        <w:t xml:space="preserve"> El siete de agosto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la cual fue notificada a las partes en </w:t>
      </w:r>
      <w:r w:rsidRPr="009B70B3">
        <w:lastRenderedPageBreak/>
        <w:t>la misma fecha través del SAIMEX, en el que se les otorgó un plazo de siete días hábiles posteriores a la misma, para que manifestara lo que a su derecho conviniera y formularán alegatos.</w:t>
      </w:r>
    </w:p>
    <w:p w14:paraId="373C1491" w14:textId="77777777" w:rsidR="002340AF" w:rsidRPr="009B70B3" w:rsidRDefault="002340AF">
      <w:pPr>
        <w:spacing w:after="0" w:line="360" w:lineRule="auto"/>
      </w:pPr>
    </w:p>
    <w:p w14:paraId="16EDD55F" w14:textId="77777777" w:rsidR="002340AF" w:rsidRPr="009B70B3" w:rsidRDefault="009B70B3">
      <w:pPr>
        <w:spacing w:after="0" w:line="360" w:lineRule="auto"/>
      </w:pPr>
      <w:bookmarkStart w:id="11" w:name="_heading=h.blfsoiy1ze0b" w:colFirst="0" w:colLast="0"/>
      <w:bookmarkEnd w:id="11"/>
      <w:r w:rsidRPr="009B70B3">
        <w:rPr>
          <w:b/>
        </w:rPr>
        <w:t xml:space="preserve">c) </w:t>
      </w:r>
      <w:r w:rsidRPr="009B70B3">
        <w:rPr>
          <w:b/>
          <w:color w:val="000000"/>
        </w:rPr>
        <w:t>Informe Justificado y</w:t>
      </w:r>
      <w:r w:rsidRPr="009B70B3">
        <w:rPr>
          <w:b/>
        </w:rPr>
        <w:t xml:space="preserve"> Manifestaciones de la parte Recurrente. </w:t>
      </w:r>
      <w:r w:rsidRPr="009B70B3">
        <w:t>De las constancias que integran el expediente se advierte que el Sujeto Obligado no rindió informe justificado y la parte Recurrente no añadió manifestaciones.</w:t>
      </w:r>
    </w:p>
    <w:p w14:paraId="3D1F570F" w14:textId="77777777" w:rsidR="002340AF" w:rsidRPr="009B70B3" w:rsidRDefault="009B70B3">
      <w:pPr>
        <w:spacing w:after="0" w:line="360" w:lineRule="auto"/>
      </w:pPr>
      <w:r w:rsidRPr="009B70B3">
        <w:t xml:space="preserve"> </w:t>
      </w:r>
    </w:p>
    <w:p w14:paraId="765BA11B" w14:textId="77777777" w:rsidR="002340AF" w:rsidRPr="009B70B3" w:rsidRDefault="009B70B3">
      <w:pPr>
        <w:spacing w:after="0" w:line="360" w:lineRule="auto"/>
        <w:rPr>
          <w:b/>
          <w:color w:val="000000"/>
        </w:rPr>
      </w:pPr>
      <w:r w:rsidRPr="009B70B3">
        <w:rPr>
          <w:b/>
          <w:color w:val="000000"/>
        </w:rPr>
        <w:t>d)</w:t>
      </w:r>
      <w:r w:rsidRPr="009B70B3">
        <w:rPr>
          <w:color w:val="000000"/>
        </w:rPr>
        <w:t xml:space="preserve"> </w:t>
      </w:r>
      <w:r w:rsidRPr="009B70B3">
        <w:rPr>
          <w:b/>
          <w:color w:val="000000"/>
        </w:rPr>
        <w:t>Ampliación de plazo para resolver</w:t>
      </w:r>
      <w:r w:rsidRPr="009B70B3">
        <w:rPr>
          <w:color w:val="000000"/>
        </w:rPr>
        <w:t>. El diecisiete de septiembre de dos mil veinticinco, el Comisionado Ponente, con fundamento en lo dispuesto por el artículo 181, párrafo tercero, de la Ley de Transparencia y Acceso a la Información Pública del Estado de México y Municipios, acordó ampliar por quince días hábiles, el plazo para resolver el Recurso de Revisión que nos ocupa; acto que fue notificado a las partes en la misma fecha, mediante el SAIMEX.</w:t>
      </w:r>
    </w:p>
    <w:p w14:paraId="34406DAA" w14:textId="77777777" w:rsidR="002340AF" w:rsidRPr="009B70B3" w:rsidRDefault="002340AF">
      <w:pPr>
        <w:spacing w:after="0" w:line="360" w:lineRule="auto"/>
      </w:pPr>
    </w:p>
    <w:p w14:paraId="26BBD91E" w14:textId="77777777" w:rsidR="002340AF" w:rsidRPr="009B70B3" w:rsidRDefault="009B70B3">
      <w:pPr>
        <w:spacing w:after="0" w:line="360" w:lineRule="auto"/>
      </w:pPr>
      <w:r w:rsidRPr="009B70B3">
        <w:rPr>
          <w:b/>
        </w:rPr>
        <w:t>e) Cierre de instrucción.</w:t>
      </w:r>
      <w:r w:rsidRPr="009B70B3">
        <w:t xml:space="preserve"> El </w:t>
      </w:r>
      <w:r w:rsidRPr="009B70B3">
        <w:rPr>
          <w:color w:val="000000"/>
        </w:rPr>
        <w:t xml:space="preserve">diecisiete de septiembre </w:t>
      </w:r>
      <w:r w:rsidRPr="009B70B3">
        <w:t>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en la misma fecha, mediante el SAIMEX.</w:t>
      </w:r>
    </w:p>
    <w:p w14:paraId="0F851CE2" w14:textId="77777777" w:rsidR="002340AF" w:rsidRPr="009B70B3" w:rsidRDefault="002340AF">
      <w:pPr>
        <w:spacing w:after="0" w:line="360" w:lineRule="auto"/>
      </w:pPr>
    </w:p>
    <w:p w14:paraId="00B1BA6F" w14:textId="77777777" w:rsidR="002340AF" w:rsidRPr="009B70B3" w:rsidRDefault="009B70B3">
      <w:pPr>
        <w:spacing w:after="0" w:line="360" w:lineRule="auto"/>
      </w:pPr>
      <w:r w:rsidRPr="009B70B3">
        <w:t xml:space="preserve">En razón de que fue debidamente sustanciado e integrado el expediente electrónico y no existir diligencia pendiente de desahogo, se emite la resolución que conforme a Derecho proceda, de acuerdo a los siguientes: </w:t>
      </w:r>
    </w:p>
    <w:p w14:paraId="3D49EDDF" w14:textId="77777777" w:rsidR="002340AF" w:rsidRPr="009B70B3" w:rsidRDefault="002340AF">
      <w:pPr>
        <w:spacing w:after="0" w:line="360" w:lineRule="auto"/>
        <w:rPr>
          <w:b/>
        </w:rPr>
      </w:pPr>
    </w:p>
    <w:p w14:paraId="58374AAB" w14:textId="77777777" w:rsidR="002340AF" w:rsidRPr="009B70B3" w:rsidRDefault="009B70B3">
      <w:pPr>
        <w:pStyle w:val="Ttulo1"/>
        <w:spacing w:before="0" w:after="0"/>
        <w:rPr>
          <w:sz w:val="22"/>
          <w:szCs w:val="22"/>
        </w:rPr>
      </w:pPr>
      <w:bookmarkStart w:id="12" w:name="_Toc209708555"/>
      <w:r w:rsidRPr="009B70B3">
        <w:rPr>
          <w:sz w:val="22"/>
          <w:szCs w:val="22"/>
        </w:rPr>
        <w:t>C O N S I D E R A N D O S</w:t>
      </w:r>
      <w:bookmarkEnd w:id="12"/>
    </w:p>
    <w:p w14:paraId="5C387270" w14:textId="77777777" w:rsidR="002340AF" w:rsidRPr="009B70B3" w:rsidRDefault="002340AF">
      <w:pPr>
        <w:spacing w:after="0" w:line="360" w:lineRule="auto"/>
        <w:rPr>
          <w:b/>
        </w:rPr>
      </w:pPr>
    </w:p>
    <w:p w14:paraId="7C8B173D" w14:textId="77777777" w:rsidR="002340AF" w:rsidRPr="009B70B3" w:rsidRDefault="009B70B3">
      <w:pPr>
        <w:pStyle w:val="Ttulo2"/>
        <w:spacing w:before="0" w:after="0"/>
      </w:pPr>
      <w:bookmarkStart w:id="13" w:name="_Toc209708556"/>
      <w:r w:rsidRPr="009B70B3">
        <w:lastRenderedPageBreak/>
        <w:t>PRIMERO. Competencia</w:t>
      </w:r>
      <w:bookmarkEnd w:id="13"/>
    </w:p>
    <w:p w14:paraId="7F077638" w14:textId="77777777" w:rsidR="002340AF" w:rsidRPr="009B70B3" w:rsidRDefault="002340AF">
      <w:pPr>
        <w:spacing w:after="0" w:line="360" w:lineRule="auto"/>
      </w:pPr>
    </w:p>
    <w:p w14:paraId="5C4F344F" w14:textId="77777777" w:rsidR="002340AF" w:rsidRPr="009B70B3" w:rsidRDefault="009B70B3">
      <w:pPr>
        <w:spacing w:after="0" w:line="360" w:lineRule="auto"/>
      </w:pPr>
      <w:r w:rsidRPr="009B70B3">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5969F2D" w14:textId="77777777" w:rsidR="002340AF" w:rsidRPr="009B70B3" w:rsidRDefault="002340AF">
      <w:pPr>
        <w:spacing w:after="0" w:line="360" w:lineRule="auto"/>
      </w:pPr>
    </w:p>
    <w:p w14:paraId="5E657170" w14:textId="77777777" w:rsidR="002340AF" w:rsidRPr="009B70B3" w:rsidRDefault="009B70B3">
      <w:pPr>
        <w:pStyle w:val="Ttulo2"/>
        <w:spacing w:before="0" w:after="0"/>
      </w:pPr>
      <w:bookmarkStart w:id="14" w:name="_Toc209708557"/>
      <w:r w:rsidRPr="009B70B3">
        <w:t>SEGUNDO. Causales de improcedencia y sobreseimiento</w:t>
      </w:r>
      <w:bookmarkEnd w:id="14"/>
    </w:p>
    <w:p w14:paraId="74BDCBB2" w14:textId="77777777" w:rsidR="002340AF" w:rsidRPr="009B70B3" w:rsidRDefault="002340AF">
      <w:pPr>
        <w:spacing w:after="0" w:line="360" w:lineRule="auto"/>
      </w:pPr>
    </w:p>
    <w:p w14:paraId="303C6F17" w14:textId="77777777" w:rsidR="002340AF" w:rsidRPr="009B70B3" w:rsidRDefault="009B70B3">
      <w:pPr>
        <w:spacing w:after="0" w:line="360" w:lineRule="auto"/>
      </w:pPr>
      <w:r w:rsidRPr="009B70B3">
        <w:t xml:space="preserve">De las constancias que forman parte del Recurso de Revisión que se analiza, se advierte que previo al estudio del fondo de la </w:t>
      </w:r>
      <w:r w:rsidRPr="009B70B3">
        <w:rPr>
          <w:i/>
        </w:rPr>
        <w:t>litis</w:t>
      </w:r>
      <w:r w:rsidRPr="009B70B3">
        <w:t>, es necesario estudiar las causales de improcedencia y sobreseimiento que se adviertan, para determinar lo que en Derecho proceda.</w:t>
      </w:r>
    </w:p>
    <w:p w14:paraId="197E8FE9" w14:textId="77777777" w:rsidR="002340AF" w:rsidRPr="009B70B3" w:rsidRDefault="002340AF">
      <w:pPr>
        <w:spacing w:after="0" w:line="360" w:lineRule="auto"/>
      </w:pPr>
    </w:p>
    <w:p w14:paraId="2763AD38" w14:textId="77777777" w:rsidR="002340AF" w:rsidRPr="009B70B3" w:rsidRDefault="009B70B3">
      <w:pPr>
        <w:spacing w:after="0" w:line="360" w:lineRule="auto"/>
        <w:rPr>
          <w:b/>
        </w:rPr>
      </w:pPr>
      <w:r w:rsidRPr="009B70B3">
        <w:rPr>
          <w:b/>
        </w:rPr>
        <w:t>Causales de improcedencia</w:t>
      </w:r>
    </w:p>
    <w:p w14:paraId="35F91370" w14:textId="77777777" w:rsidR="002340AF" w:rsidRPr="009B70B3" w:rsidRDefault="002340AF">
      <w:pPr>
        <w:spacing w:after="0" w:line="360" w:lineRule="auto"/>
      </w:pPr>
    </w:p>
    <w:p w14:paraId="2F6B7E37" w14:textId="77777777" w:rsidR="002340AF" w:rsidRPr="009B70B3" w:rsidRDefault="009B70B3">
      <w:pPr>
        <w:spacing w:after="0" w:line="360" w:lineRule="auto"/>
      </w:pPr>
      <w:r w:rsidRPr="009B70B3">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9B70B3">
        <w:rPr>
          <w:b/>
        </w:rPr>
        <w:t xml:space="preserve"> </w:t>
      </w:r>
      <w:r w:rsidRPr="009B70B3">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w:t>
      </w:r>
      <w:r w:rsidRPr="009B70B3">
        <w:lastRenderedPageBreak/>
        <w:t xml:space="preserve">la Información Pública del Estado de México y Municipios, dará lugar a que el presente Recurso de Revisión sea sobreseído. </w:t>
      </w:r>
    </w:p>
    <w:p w14:paraId="49D5C53E" w14:textId="77777777" w:rsidR="002340AF" w:rsidRPr="009B70B3" w:rsidRDefault="002340AF">
      <w:pPr>
        <w:spacing w:after="0" w:line="360" w:lineRule="auto"/>
      </w:pPr>
    </w:p>
    <w:p w14:paraId="28FCBD62" w14:textId="77777777" w:rsidR="002340AF" w:rsidRPr="009B70B3" w:rsidRDefault="009B70B3">
      <w:pPr>
        <w:spacing w:after="0" w:line="360" w:lineRule="auto"/>
      </w:pPr>
      <w:r w:rsidRPr="009B70B3">
        <w:t xml:space="preserve">En el presente caso, </w:t>
      </w:r>
      <w:r w:rsidRPr="009B70B3">
        <w:rPr>
          <w:b/>
        </w:rPr>
        <w:t>no se actualiza ninguna de las causales de improcedencia</w:t>
      </w:r>
      <w:r w:rsidRPr="009B70B3">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02FA14A0" w14:textId="77777777" w:rsidR="002340AF" w:rsidRPr="009B70B3" w:rsidRDefault="002340AF">
      <w:pPr>
        <w:spacing w:after="0" w:line="360" w:lineRule="auto"/>
        <w:rPr>
          <w:b/>
        </w:rPr>
      </w:pPr>
    </w:p>
    <w:p w14:paraId="4EF5DE32" w14:textId="77777777" w:rsidR="002340AF" w:rsidRPr="009B70B3" w:rsidRDefault="009B70B3">
      <w:pPr>
        <w:spacing w:after="0" w:line="360" w:lineRule="auto"/>
        <w:ind w:right="-28"/>
        <w:rPr>
          <w:b/>
        </w:rPr>
      </w:pPr>
      <w:r w:rsidRPr="009B70B3">
        <w:rPr>
          <w:b/>
        </w:rPr>
        <w:t>Causales de sobreseimiento</w:t>
      </w:r>
    </w:p>
    <w:p w14:paraId="4959F41D" w14:textId="77777777" w:rsidR="002340AF" w:rsidRPr="009B70B3" w:rsidRDefault="002340AF">
      <w:pPr>
        <w:spacing w:after="0" w:line="360" w:lineRule="auto"/>
        <w:ind w:right="-28"/>
        <w:rPr>
          <w:b/>
        </w:rPr>
      </w:pPr>
    </w:p>
    <w:p w14:paraId="1AF6E61D" w14:textId="77777777" w:rsidR="002340AF" w:rsidRPr="009B70B3" w:rsidRDefault="009B70B3">
      <w:pPr>
        <w:spacing w:after="0" w:line="360" w:lineRule="auto"/>
      </w:pPr>
      <w:r w:rsidRPr="009B70B3">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IV y V,</w:t>
      </w:r>
      <w:r w:rsidRPr="009B70B3">
        <w:rPr>
          <w:b/>
        </w:rPr>
        <w:t xml:space="preserve"> </w:t>
      </w:r>
      <w:r w:rsidRPr="009B70B3">
        <w:t>toda vez que no hay constancias en el expediente en que se actúa, de que la persona Recurrente se haya desistido, fallecido, que el Sujeto Obligado hubiese modificado o revocado el acto impugnado o bien, que admitido una vez admitido el Recurso de Revisión, aparezca alguna causal de improcedencia o haya quedado sin materia.</w:t>
      </w:r>
    </w:p>
    <w:p w14:paraId="0CE69764" w14:textId="77777777" w:rsidR="002340AF" w:rsidRPr="009B70B3" w:rsidRDefault="002340AF">
      <w:pPr>
        <w:spacing w:after="0" w:line="360" w:lineRule="auto"/>
      </w:pPr>
    </w:p>
    <w:p w14:paraId="054A9B4B" w14:textId="77777777" w:rsidR="002340AF" w:rsidRPr="009B70B3" w:rsidRDefault="009B70B3">
      <w:pPr>
        <w:pStyle w:val="Ttulo2"/>
        <w:spacing w:before="0" w:after="0"/>
      </w:pPr>
      <w:bookmarkStart w:id="15" w:name="_Toc209708558"/>
      <w:r w:rsidRPr="009B70B3">
        <w:t>TERCERO. Determinación de la Controversia</w:t>
      </w:r>
      <w:bookmarkEnd w:id="15"/>
    </w:p>
    <w:p w14:paraId="1A34360F" w14:textId="77777777" w:rsidR="002340AF" w:rsidRPr="009B70B3" w:rsidRDefault="002340AF">
      <w:pPr>
        <w:spacing w:after="0" w:line="360" w:lineRule="auto"/>
      </w:pPr>
    </w:p>
    <w:p w14:paraId="600A9E8F" w14:textId="77777777" w:rsidR="002340AF" w:rsidRPr="009B70B3" w:rsidRDefault="009B70B3">
      <w:pPr>
        <w:spacing w:after="0" w:line="360" w:lineRule="auto"/>
      </w:pPr>
      <w:r w:rsidRPr="009B70B3">
        <w:t xml:space="preserve">Así, se realizará la relatoría de las actuaciones efectuadas por las partes durante el procedimiento de acceso a la información pública con el propósito de dar claridad en el tratamiento del tema en estudio; por lo que en primer término tenemos que la parte Recurrente solicitó la entrega de diversa documentación, ante lo cual el Sujeto Obligado solicitó la </w:t>
      </w:r>
      <w:r w:rsidRPr="009B70B3">
        <w:lastRenderedPageBreak/>
        <w:t>aclaración de la temporalidad de la información y resultado de la aclaración, se advierte que la persona Solicitante requiere lo siguiente:</w:t>
      </w:r>
    </w:p>
    <w:p w14:paraId="1271CE3C" w14:textId="77777777" w:rsidR="002340AF" w:rsidRPr="009B70B3" w:rsidRDefault="002340AF">
      <w:pPr>
        <w:spacing w:after="0" w:line="360" w:lineRule="auto"/>
      </w:pPr>
    </w:p>
    <w:p w14:paraId="3301980F" w14:textId="1D225749" w:rsidR="002340AF" w:rsidRPr="009B70B3" w:rsidRDefault="009B70B3">
      <w:pPr>
        <w:spacing w:after="0" w:line="360" w:lineRule="auto"/>
      </w:pPr>
      <w:r w:rsidRPr="009B70B3">
        <w:t xml:space="preserve">De la servidora pública identificada en la solicitud, con puesto de analista especializado A, del periodo del </w:t>
      </w:r>
      <w:r w:rsidR="007F4431" w:rsidRPr="009B70B3">
        <w:t>primero</w:t>
      </w:r>
      <w:r w:rsidRPr="009B70B3">
        <w:t xml:space="preserve"> de enero al </w:t>
      </w:r>
      <w:r w:rsidR="007F4431" w:rsidRPr="009B70B3">
        <w:t>once</w:t>
      </w:r>
      <w:r w:rsidRPr="009B70B3">
        <w:t xml:space="preserve"> de junio de </w:t>
      </w:r>
      <w:r w:rsidR="007F4431" w:rsidRPr="009B70B3">
        <w:t>dos mil veinticinco</w:t>
      </w:r>
      <w:r w:rsidRPr="009B70B3">
        <w:t>, lo siguiente:</w:t>
      </w:r>
    </w:p>
    <w:p w14:paraId="5F333D22" w14:textId="77777777" w:rsidR="002340AF" w:rsidRPr="009B70B3" w:rsidRDefault="002340AF">
      <w:pPr>
        <w:spacing w:after="0" w:line="360" w:lineRule="auto"/>
      </w:pPr>
    </w:p>
    <w:p w14:paraId="4BBD1858" w14:textId="05D0FF2F" w:rsidR="002340AF" w:rsidRPr="009B70B3" w:rsidRDefault="009B70B3">
      <w:pPr>
        <w:numPr>
          <w:ilvl w:val="0"/>
          <w:numId w:val="3"/>
        </w:numPr>
        <w:pBdr>
          <w:top w:val="nil"/>
          <w:left w:val="nil"/>
          <w:bottom w:val="nil"/>
          <w:right w:val="nil"/>
          <w:between w:val="nil"/>
        </w:pBdr>
        <w:spacing w:after="0" w:line="360" w:lineRule="auto"/>
        <w:rPr>
          <w:color w:val="000000"/>
        </w:rPr>
      </w:pPr>
      <w:r w:rsidRPr="009B70B3">
        <w:rPr>
          <w:color w:val="000000"/>
        </w:rPr>
        <w:t>Actividades realizadas sobre la elaboración de dictámenes técnicos, estudios y trabajos de análisis especializados</w:t>
      </w:r>
      <w:r w:rsidR="007F4431" w:rsidRPr="009B70B3">
        <w:rPr>
          <w:color w:val="000000"/>
        </w:rPr>
        <w:t>.</w:t>
      </w:r>
    </w:p>
    <w:p w14:paraId="305BBD63" w14:textId="77777777" w:rsidR="002340AF" w:rsidRPr="009B70B3" w:rsidRDefault="009B70B3">
      <w:pPr>
        <w:numPr>
          <w:ilvl w:val="0"/>
          <w:numId w:val="3"/>
        </w:numPr>
        <w:pBdr>
          <w:top w:val="nil"/>
          <w:left w:val="nil"/>
          <w:bottom w:val="nil"/>
          <w:right w:val="nil"/>
          <w:between w:val="nil"/>
        </w:pBdr>
        <w:spacing w:after="0" w:line="360" w:lineRule="auto"/>
        <w:rPr>
          <w:color w:val="000000"/>
        </w:rPr>
      </w:pPr>
      <w:r w:rsidRPr="009B70B3">
        <w:rPr>
          <w:color w:val="000000"/>
        </w:rPr>
        <w:t xml:space="preserve">Evidencia documental que acredite el cumplimiento de sus funciones asignadas. </w:t>
      </w:r>
    </w:p>
    <w:p w14:paraId="4A7D5B80" w14:textId="77777777" w:rsidR="002340AF" w:rsidRPr="009B70B3" w:rsidRDefault="002340AF">
      <w:pPr>
        <w:spacing w:after="0" w:line="360" w:lineRule="auto"/>
      </w:pPr>
    </w:p>
    <w:p w14:paraId="462C23DA" w14:textId="77777777" w:rsidR="002340AF" w:rsidRPr="009B70B3" w:rsidRDefault="009B70B3">
      <w:pPr>
        <w:spacing w:after="0" w:line="360" w:lineRule="auto"/>
      </w:pPr>
      <w:r w:rsidRPr="009B70B3">
        <w:t>En este tenor, en respuesta el Sujeto Obligado</w:t>
      </w:r>
      <w:r w:rsidRPr="009B70B3">
        <w:rPr>
          <w:b/>
        </w:rPr>
        <w:t xml:space="preserve">, </w:t>
      </w:r>
      <w:r w:rsidRPr="009B70B3">
        <w:t xml:space="preserve">dijo adjuntar el turno al servidor público habilitado y la respuesta, sin embargo, no adjuntó la documentación.  Derivado de ello, la parte </w:t>
      </w:r>
      <w:r w:rsidRPr="009B70B3">
        <w:rPr>
          <w:b/>
        </w:rPr>
        <w:t xml:space="preserve">Recurrente </w:t>
      </w:r>
      <w:r w:rsidRPr="009B70B3">
        <w:t xml:space="preserve">se inconformó y señaló que no le entregaron los documentos anexos a los que se hace referencia en la respuesta. Durante la sustanciación del Recurso de Revisión ambas partes fueron omisas en remitir información adicional. </w:t>
      </w:r>
    </w:p>
    <w:p w14:paraId="266840AF" w14:textId="77777777" w:rsidR="002340AF" w:rsidRPr="009B70B3" w:rsidRDefault="002340AF">
      <w:pPr>
        <w:spacing w:after="0" w:line="360" w:lineRule="auto"/>
      </w:pPr>
    </w:p>
    <w:p w14:paraId="08862EED" w14:textId="77777777" w:rsidR="002340AF" w:rsidRPr="009B70B3" w:rsidRDefault="009B70B3">
      <w:pPr>
        <w:tabs>
          <w:tab w:val="left" w:pos="4962"/>
        </w:tabs>
        <w:spacing w:after="0" w:line="360" w:lineRule="auto"/>
      </w:pPr>
      <w:r w:rsidRPr="009B70B3">
        <w:t xml:space="preserve">Así pues, de las constancias que integran el expediente, se advierte que en el asunto que nos ocupa se actualiza la causal de procedencia señalada en el artículo 179, fracciones I, de la Ley de la materia; por la negativa a la información solicitada. </w:t>
      </w:r>
    </w:p>
    <w:p w14:paraId="1EC2FA2A" w14:textId="77777777" w:rsidR="002340AF" w:rsidRPr="009B70B3" w:rsidRDefault="002340AF">
      <w:pPr>
        <w:tabs>
          <w:tab w:val="left" w:pos="4962"/>
        </w:tabs>
        <w:spacing w:after="0" w:line="360" w:lineRule="auto"/>
      </w:pPr>
    </w:p>
    <w:p w14:paraId="3903DC59" w14:textId="77777777" w:rsidR="002340AF" w:rsidRPr="009B70B3" w:rsidRDefault="009B70B3">
      <w:pPr>
        <w:tabs>
          <w:tab w:val="left" w:pos="4962"/>
        </w:tabs>
        <w:spacing w:after="0" w:line="360" w:lineRule="auto"/>
      </w:pPr>
      <w:r w:rsidRPr="009B70B3">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642919EC" w14:textId="77777777" w:rsidR="002340AF" w:rsidRPr="009B70B3" w:rsidRDefault="002340AF">
      <w:pPr>
        <w:spacing w:after="0" w:line="360" w:lineRule="auto"/>
      </w:pPr>
    </w:p>
    <w:p w14:paraId="17D4598A" w14:textId="77777777" w:rsidR="002340AF" w:rsidRPr="009B70B3" w:rsidRDefault="009B70B3">
      <w:pPr>
        <w:pStyle w:val="Ttulo2"/>
        <w:spacing w:before="0" w:after="0"/>
      </w:pPr>
      <w:bookmarkStart w:id="16" w:name="_Toc209708559"/>
      <w:r w:rsidRPr="009B70B3">
        <w:lastRenderedPageBreak/>
        <w:t>CUARTO. Marco normativo aplicable en materia de transparencia y acceso a la información pública</w:t>
      </w:r>
      <w:bookmarkEnd w:id="16"/>
    </w:p>
    <w:p w14:paraId="487BBEB3" w14:textId="77777777" w:rsidR="002340AF" w:rsidRPr="009B70B3" w:rsidRDefault="002340AF">
      <w:pPr>
        <w:spacing w:after="0" w:line="360" w:lineRule="auto"/>
      </w:pPr>
    </w:p>
    <w:p w14:paraId="4E4FC260" w14:textId="77777777" w:rsidR="002340AF" w:rsidRPr="009B70B3" w:rsidRDefault="009B70B3">
      <w:pPr>
        <w:spacing w:after="0" w:line="360" w:lineRule="auto"/>
      </w:pPr>
      <w:r w:rsidRPr="009B70B3">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4E0C58C" w14:textId="77777777" w:rsidR="002340AF" w:rsidRPr="009B70B3" w:rsidRDefault="002340AF">
      <w:pPr>
        <w:spacing w:after="0" w:line="360" w:lineRule="auto"/>
      </w:pPr>
    </w:p>
    <w:p w14:paraId="1E07828C" w14:textId="77777777" w:rsidR="002340AF" w:rsidRPr="009B70B3" w:rsidRDefault="009B70B3">
      <w:pPr>
        <w:spacing w:after="0" w:line="360" w:lineRule="auto"/>
      </w:pPr>
      <w:r w:rsidRPr="009B70B3">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12803E9" w14:textId="77777777" w:rsidR="002340AF" w:rsidRPr="009B70B3" w:rsidRDefault="009B70B3">
      <w:pPr>
        <w:spacing w:after="0" w:line="360" w:lineRule="auto"/>
      </w:pPr>
      <w:r w:rsidRPr="009B70B3">
        <w:t>Por su parte, la Ley de Transparencia y Acceso a la Información Pública del Estado de México y Municipios (Reglamentaria del artículo 5° de la Constitución Local), establece lo siguiente:</w:t>
      </w:r>
    </w:p>
    <w:p w14:paraId="172ACD53" w14:textId="77777777" w:rsidR="002340AF" w:rsidRPr="009B70B3" w:rsidRDefault="002340AF">
      <w:pPr>
        <w:spacing w:after="0" w:line="360" w:lineRule="auto"/>
      </w:pPr>
    </w:p>
    <w:p w14:paraId="6013AE29" w14:textId="77777777" w:rsidR="002340AF" w:rsidRPr="009B70B3" w:rsidRDefault="009B70B3">
      <w:pPr>
        <w:spacing w:after="0" w:line="360" w:lineRule="auto"/>
      </w:pPr>
      <w:r w:rsidRPr="009B70B3">
        <w:t>El artículo 12 dice que, quienes generen, recopilen, administren, manejen, procesen, archiven o conserven información pública serán responsables de la misma.</w:t>
      </w:r>
    </w:p>
    <w:p w14:paraId="6E0D3FE5" w14:textId="77777777" w:rsidR="002340AF" w:rsidRPr="009B70B3" w:rsidRDefault="002340AF">
      <w:pPr>
        <w:spacing w:after="0" w:line="360" w:lineRule="auto"/>
      </w:pPr>
    </w:p>
    <w:p w14:paraId="0D592EB4" w14:textId="77777777" w:rsidR="002340AF" w:rsidRPr="009B70B3" w:rsidRDefault="009B70B3">
      <w:pPr>
        <w:spacing w:after="0" w:line="360" w:lineRule="auto"/>
      </w:pPr>
      <w:r w:rsidRPr="009B70B3">
        <w:t>El artículo 18, que, los Sujetos Obligados deberán documentar todo acto que derive del ejercicio de sus facultades, competencias o funciones, considerando desde su origen la eventual publicidad y reutilización de la información que generen.</w:t>
      </w:r>
    </w:p>
    <w:p w14:paraId="31616245" w14:textId="77777777" w:rsidR="002340AF" w:rsidRPr="009B70B3" w:rsidRDefault="002340AF">
      <w:pPr>
        <w:spacing w:after="0" w:line="360" w:lineRule="auto"/>
      </w:pPr>
    </w:p>
    <w:p w14:paraId="0003B15C" w14:textId="77777777" w:rsidR="002340AF" w:rsidRPr="009B70B3" w:rsidRDefault="009B70B3">
      <w:pPr>
        <w:spacing w:after="0" w:line="360" w:lineRule="auto"/>
      </w:pPr>
      <w:r w:rsidRPr="009B70B3">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CE91851" w14:textId="77777777" w:rsidR="002340AF" w:rsidRPr="009B70B3" w:rsidRDefault="009B70B3">
      <w:pPr>
        <w:pStyle w:val="Ttulo2"/>
        <w:spacing w:before="0" w:after="0"/>
      </w:pPr>
      <w:bookmarkStart w:id="17" w:name="_Toc209708560"/>
      <w:r w:rsidRPr="009B70B3">
        <w:rPr>
          <w:smallCaps/>
        </w:rPr>
        <w:lastRenderedPageBreak/>
        <w:t>QUINTO.</w:t>
      </w:r>
      <w:r w:rsidRPr="009B70B3">
        <w:t xml:space="preserve"> Estudio de Fondo</w:t>
      </w:r>
      <w:bookmarkEnd w:id="17"/>
    </w:p>
    <w:p w14:paraId="0556AAD1" w14:textId="77777777" w:rsidR="002340AF" w:rsidRPr="009B70B3" w:rsidRDefault="002340AF">
      <w:pPr>
        <w:spacing w:after="0" w:line="360" w:lineRule="auto"/>
      </w:pPr>
    </w:p>
    <w:p w14:paraId="68E3C56A" w14:textId="77777777" w:rsidR="002340AF" w:rsidRPr="009B70B3" w:rsidRDefault="009B70B3">
      <w:pPr>
        <w:spacing w:after="0" w:line="360" w:lineRule="auto"/>
      </w:pPr>
      <w:r w:rsidRPr="009B70B3">
        <w:t>Una vez expuesto lo anterior, es menester contextualizar la solicitud de información, la cual se relaciona con actividades y evidencia documental de funciones de una servidora pública.</w:t>
      </w:r>
    </w:p>
    <w:p w14:paraId="05195F85" w14:textId="77777777" w:rsidR="002340AF" w:rsidRPr="009B70B3" w:rsidRDefault="002340AF">
      <w:pPr>
        <w:spacing w:after="0" w:line="360" w:lineRule="auto"/>
      </w:pPr>
    </w:p>
    <w:p w14:paraId="3972319B" w14:textId="77777777" w:rsidR="002340AF" w:rsidRPr="009B70B3" w:rsidRDefault="009B70B3">
      <w:pPr>
        <w:spacing w:after="0" w:line="360" w:lineRule="auto"/>
      </w:pPr>
      <w:bookmarkStart w:id="18" w:name="_heading=h.n77r1nkf6zv3" w:colFirst="0" w:colLast="0"/>
      <w:bookmarkEnd w:id="18"/>
      <w:r w:rsidRPr="009B70B3">
        <w:t>Aunado a lo anterior, respecto a las funciones, vale la pena analizar en conjunto los requerimientos relacionados con las funciones y actividades de los servidores públicos de mandos medios y superiores; al respecto, es preciso señalar que los Lineamientos Técnicos Generales para la publicación, homologación y estandarización de la información de las obligaciones establecidas en el Título Quinto señalan que los Sujetos Obligados deben de difundir en los portales de Internet, la estructura orgánica, en el que se advierta por cada puesto y/o cargo: “atribuciones, responsabilidades y/o funciones”.</w:t>
      </w:r>
    </w:p>
    <w:p w14:paraId="6CE5DB4D" w14:textId="77777777" w:rsidR="002340AF" w:rsidRPr="009B70B3" w:rsidRDefault="002340AF">
      <w:pPr>
        <w:spacing w:after="0" w:line="360" w:lineRule="auto"/>
      </w:pPr>
    </w:p>
    <w:p w14:paraId="491B0A90" w14:textId="77777777" w:rsidR="002340AF" w:rsidRPr="009B70B3" w:rsidRDefault="009B70B3">
      <w:pPr>
        <w:spacing w:after="0" w:line="360" w:lineRule="auto"/>
      </w:pPr>
      <w:r w:rsidRPr="009B70B3">
        <w:t xml:space="preserve">Por su parte, la Ley de Transparencia y Acceso a la Información Pública del Estado de México y Municipios, establece en sus artículos 3, fracción XI, 4 y 18 que todo acto que derive del ejercicio de sus facultades debe ser documentado, de igual forma este tipo de documentación constituye información pública; además, entiende a los documentos como cualquier registro que documente el ejercicio de facultades, funciones y competencias de los Sujetos Obligados, así como de sus servidores públicos e integrantes. </w:t>
      </w:r>
    </w:p>
    <w:p w14:paraId="2D711E3D" w14:textId="77777777" w:rsidR="002340AF" w:rsidRPr="009B70B3" w:rsidRDefault="002340AF">
      <w:pPr>
        <w:spacing w:after="0" w:line="360" w:lineRule="auto"/>
      </w:pPr>
    </w:p>
    <w:p w14:paraId="67A1E186" w14:textId="77777777" w:rsidR="002340AF" w:rsidRPr="009B70B3" w:rsidRDefault="009B70B3">
      <w:pPr>
        <w:spacing w:after="0" w:line="360" w:lineRule="auto"/>
      </w:pPr>
      <w:r w:rsidRPr="009B70B3">
        <w:t xml:space="preserve">Por su parte, el artículo 92, fracciones II y III del mismo ordenamiento legal, establece que, dentro de las obligaciones comunes, la publicación de manera permanente y actualizada, de acuerdo con sus facultades, atribuciones y funciones; de la estructura orgánica completa, en un formato que permita vincular cada parte de la estructura con sus atribuciones y responsabilidades que le correspondan a cada servidor público de mando medio y superior, prestador de servicios o miembro de los Sujetos Obligados; así como las facultades de cada área; </w:t>
      </w:r>
      <w:r w:rsidRPr="009B70B3">
        <w:lastRenderedPageBreak/>
        <w:t>por tanto puede conocer de la información relacionada con las funciones de los servidores públicos.</w:t>
      </w:r>
    </w:p>
    <w:p w14:paraId="4855C9F0" w14:textId="77777777" w:rsidR="002340AF" w:rsidRPr="009B70B3" w:rsidRDefault="002340AF">
      <w:pPr>
        <w:spacing w:after="0" w:line="360" w:lineRule="auto"/>
      </w:pPr>
    </w:p>
    <w:p w14:paraId="1E30EA7C" w14:textId="77777777" w:rsidR="002340AF" w:rsidRPr="009B70B3" w:rsidRDefault="009B70B3">
      <w:pPr>
        <w:spacing w:after="0" w:line="360" w:lineRule="auto"/>
      </w:pPr>
      <w:r w:rsidRPr="009B70B3">
        <w:t>Aunado a lo anterior,  respecto a las evidencias que sustenten sus actividades, el artículo 18 de la Ley de Transparencia y Acceso a la Información Pública del Estado de México y Municipios, prevé que los Sujetos Obligados deberán documentar todo acto que derive del ejercicio de sus facultades, por tanto, se aprecia que el Sujeto Obligado debió documentar el ejercicio de sus funciones y uno de los resultados de ello, es la realización de oficios, de dictámenes, o diversos documentos, por tanto, el Sujeto Obligado resulta competente para conocer de la información solicitada.</w:t>
      </w:r>
    </w:p>
    <w:p w14:paraId="55A058E8" w14:textId="77777777" w:rsidR="002340AF" w:rsidRPr="009B70B3" w:rsidRDefault="002340AF">
      <w:pPr>
        <w:spacing w:after="0" w:line="360" w:lineRule="auto"/>
      </w:pPr>
    </w:p>
    <w:p w14:paraId="037FAF86" w14:textId="77777777" w:rsidR="002340AF" w:rsidRPr="009B70B3" w:rsidRDefault="009B70B3">
      <w:pPr>
        <w:spacing w:after="0" w:line="360" w:lineRule="auto"/>
      </w:pPr>
      <w:r w:rsidRPr="009B70B3">
        <w:t xml:space="preserve">Ahora bien, de los registros del Sitio de Información Pública de Oficio Mexiquense, en lo subsecuente IPOMEX, del Sujeto Obligado del año en curso, específicamente en el apartado de </w:t>
      </w:r>
      <w:r w:rsidRPr="009B70B3">
        <w:rPr>
          <w:i/>
        </w:rPr>
        <w:t xml:space="preserve">Facultades de cada área, </w:t>
      </w:r>
      <w:r w:rsidRPr="009B70B3">
        <w:t xml:space="preserve"> se localizó una Gaceta Municipal Año 03 / Gaceta Municipal No. 173; 22 de febrero de 2024, en el que se establece que dentro de la Dirección de Administración, se cuenta con una Coordinación de Recursos Humanos, que tiene entre otras funciones, la de elaborar mecanismos de control para la selección, contratación, inducción, rotación y promoción del personal al servicio del Ayuntamiento; por lo que podría conocer de las funciones para las que fue contratada la servidora pública o bien, señalar sí la persona identificada no es una servidora pública. </w:t>
      </w:r>
    </w:p>
    <w:p w14:paraId="547D6917" w14:textId="77777777" w:rsidR="002340AF" w:rsidRPr="009B70B3" w:rsidRDefault="002340AF">
      <w:pPr>
        <w:spacing w:after="0" w:line="360" w:lineRule="auto"/>
      </w:pPr>
    </w:p>
    <w:p w14:paraId="6A358725" w14:textId="1C17C12D" w:rsidR="002340AF" w:rsidRPr="009B70B3" w:rsidRDefault="009B70B3">
      <w:pPr>
        <w:spacing w:after="0" w:line="360" w:lineRule="auto"/>
      </w:pPr>
      <w:r w:rsidRPr="009B70B3">
        <w:t xml:space="preserve">De igual forma, el área en la que se desempeñan las personas servidoras públicas </w:t>
      </w:r>
      <w:r w:rsidR="007F4431" w:rsidRPr="009B70B3">
        <w:t>puede</w:t>
      </w:r>
      <w:r w:rsidRPr="009B70B3">
        <w:t xml:space="preserve"> conocer de la documentación que es generada en sus áreas y específicamente por las personas de las que se requiere la información, sin embargo, para el caso que nos ocupa, no se advierten elementos para considerar el área en el que se desarrolla la persona identificada en la solicitud.</w:t>
      </w:r>
    </w:p>
    <w:p w14:paraId="228E96F2" w14:textId="77777777" w:rsidR="002340AF" w:rsidRPr="009B70B3" w:rsidRDefault="002340AF">
      <w:pPr>
        <w:spacing w:after="0" w:line="360" w:lineRule="auto"/>
      </w:pPr>
    </w:p>
    <w:p w14:paraId="53418918" w14:textId="77777777" w:rsidR="002340AF" w:rsidRPr="009B70B3" w:rsidRDefault="009B70B3">
      <w:pPr>
        <w:spacing w:after="0" w:line="360" w:lineRule="auto"/>
        <w:rPr>
          <w:color w:val="000000"/>
        </w:rPr>
      </w:pPr>
      <w:r w:rsidRPr="009B70B3">
        <w:rPr>
          <w:color w:val="000000"/>
        </w:rPr>
        <w:lastRenderedPageBreak/>
        <w:t xml:space="preserve">Ante dicha circunstancia, es necesario precisar que de las constancias que obran en el expediente electrónico, se logra advertir que el Sujeto Obligado turnó la solicitud de información a Dirección de Administración, y a otra área que no pudo ser identificada, dado que el nombre de su titular no se localizó en los registros del IPOMEX en el apartado de directorio y remuneraciones, por lo que, resulta necesario hacer referencia al </w:t>
      </w:r>
      <w:r w:rsidRPr="009B70B3">
        <w:rPr>
          <w:b/>
          <w:color w:val="000000"/>
        </w:rPr>
        <w:t>procedimiento de búsqueda que deben seguir los Sujetos Obligados para localizar la información,</w:t>
      </w:r>
      <w:r w:rsidRPr="009B70B3">
        <w:rPr>
          <w:color w:val="000000"/>
        </w:rP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14354CFE" w14:textId="77777777" w:rsidR="002340AF" w:rsidRPr="009B70B3" w:rsidRDefault="002340AF">
      <w:pPr>
        <w:spacing w:after="0" w:line="360" w:lineRule="auto"/>
        <w:rPr>
          <w:color w:val="FF0000"/>
        </w:rPr>
      </w:pPr>
    </w:p>
    <w:p w14:paraId="5BD755A2" w14:textId="77777777" w:rsidR="002340AF" w:rsidRPr="009B70B3" w:rsidRDefault="009B70B3">
      <w:pPr>
        <w:spacing w:after="0" w:line="360" w:lineRule="auto"/>
        <w:rPr>
          <w:color w:val="FF0000"/>
        </w:rPr>
      </w:pPr>
      <w:r w:rsidRPr="009B70B3">
        <w:rPr>
          <w:color w:val="000000"/>
        </w:rPr>
        <w:t xml:space="preserve">Conforme a lo anterior se logra advertir </w:t>
      </w:r>
      <w:r w:rsidRPr="009B70B3">
        <w:rPr>
          <w:b/>
          <w:color w:val="000000"/>
        </w:rPr>
        <w:t xml:space="preserve">que el Sujeto Obligado cumplió con el procedimiento de búsqueda </w:t>
      </w:r>
      <w:r w:rsidRPr="009B70B3">
        <w:rPr>
          <w:color w:val="000000"/>
        </w:rPr>
        <w:t>previsto en el artículo 162 de la Ley de Transparencia y Acceso a la Información Pública del Estado de México y Municipios, toda vez que turnó la solicitud de información al área competente para conocer respecto de lo solicitado.</w:t>
      </w:r>
    </w:p>
    <w:p w14:paraId="6EFD0BE1" w14:textId="77777777" w:rsidR="002340AF" w:rsidRPr="009B70B3" w:rsidRDefault="002340AF">
      <w:pPr>
        <w:spacing w:after="0" w:line="360" w:lineRule="auto"/>
      </w:pPr>
    </w:p>
    <w:p w14:paraId="7CBDA362" w14:textId="77777777" w:rsidR="002340AF" w:rsidRPr="009B70B3" w:rsidRDefault="009B70B3">
      <w:pPr>
        <w:spacing w:after="0" w:line="360" w:lineRule="auto"/>
      </w:pPr>
      <w:r w:rsidRPr="009B70B3">
        <w:t xml:space="preserve">Ahora bien, cabe precisar que de la respuesta proporcionada por el Sujeto Obligado no se advierte información o documentación alguna que implique la satisfacción del requerimiento formulado por la parte Recurrente, dado que sí bien anunció que adjuntaría la respuesta, de las constancias que obran en el expediente digital no se muestran documentos adjuntos, por tanto, no es posible tener por atendido lo requerido. </w:t>
      </w:r>
    </w:p>
    <w:p w14:paraId="1231CF21" w14:textId="77777777" w:rsidR="002340AF" w:rsidRPr="009B70B3" w:rsidRDefault="002340AF">
      <w:pPr>
        <w:spacing w:after="0" w:line="360" w:lineRule="auto"/>
      </w:pPr>
    </w:p>
    <w:p w14:paraId="1BE3E774" w14:textId="77777777" w:rsidR="002340AF" w:rsidRPr="009B70B3" w:rsidRDefault="009B70B3">
      <w:pPr>
        <w:spacing w:after="0" w:line="360" w:lineRule="auto"/>
      </w:pPr>
      <w:r w:rsidRPr="009B70B3">
        <w:t xml:space="preserve">Además, de los elementos proporcionados tanto por la parte Recurrente mediante la solicitud, aclaración y Recurso de Revisión, así como de las constancias que obran en el expediente emitidas por el Sujeto Obligado en respuesta, no se advierte el área a la que pertenece la </w:t>
      </w:r>
      <w:r w:rsidRPr="009B70B3">
        <w:lastRenderedPageBreak/>
        <w:t xml:space="preserve">servidora pública o bien, si pertenece a la administración pública, por lo que este Organismo Garante no cuenta con elementos para determinar si la persona identificada en la solicitud es o no servidora pública. </w:t>
      </w:r>
    </w:p>
    <w:p w14:paraId="1133050A" w14:textId="77777777" w:rsidR="002340AF" w:rsidRPr="009B70B3" w:rsidRDefault="002340AF">
      <w:pPr>
        <w:spacing w:after="0" w:line="360" w:lineRule="auto"/>
      </w:pPr>
    </w:p>
    <w:p w14:paraId="6D551770" w14:textId="77777777" w:rsidR="002340AF" w:rsidRPr="009B70B3" w:rsidRDefault="009B70B3">
      <w:pPr>
        <w:spacing w:after="0" w:line="360" w:lineRule="auto"/>
      </w:pPr>
      <w:r w:rsidRPr="009B70B3">
        <w:t xml:space="preserve">Sumado a lo anterior, este Organismo Garante realizó la búsqueda de la persona identificada en la solicitud en los registros de IPOMEX del Sujeto Obligado, específicamente en el apartado de directorio y de remuneraciones, sin embargo, no se localizó ningún registro que acredite que la persona forma parte de la administración municipal. </w:t>
      </w:r>
    </w:p>
    <w:p w14:paraId="7471167A" w14:textId="77777777" w:rsidR="002340AF" w:rsidRPr="009B70B3" w:rsidRDefault="002340AF">
      <w:pPr>
        <w:spacing w:after="0" w:line="360" w:lineRule="auto"/>
      </w:pPr>
    </w:p>
    <w:p w14:paraId="31782AA7" w14:textId="77777777" w:rsidR="002340AF" w:rsidRPr="009B70B3" w:rsidRDefault="009B70B3">
      <w:pPr>
        <w:spacing w:after="0" w:line="360" w:lineRule="auto"/>
      </w:pPr>
      <w:r w:rsidRPr="009B70B3">
        <w:t xml:space="preserve">Aunado a lo anterior, cabe señalar que, en las constancias que obran en el SAIMEX, específicamente en el apartado de </w:t>
      </w:r>
      <w:r w:rsidRPr="009B70B3">
        <w:rPr>
          <w:i/>
        </w:rPr>
        <w:t>Requerimientos</w:t>
      </w:r>
      <w:r w:rsidRPr="009B70B3">
        <w:t xml:space="preserve">, </w:t>
      </w:r>
      <w:r w:rsidRPr="009B70B3">
        <w:rPr>
          <w:b/>
        </w:rPr>
        <w:t>el cual no es visible para la parte Recurrente,</w:t>
      </w:r>
      <w:r w:rsidRPr="009B70B3">
        <w:t xml:space="preserve"> se aprecia un oficio suscrito por la Directora de Administración en la que describe las funciones de un analista especializado y señala la inexistencia de la documentación relacionada con la evidencia documental de las funciones en el que señaló que es innecesaria la declaración de inexistencia, de dicho documento, no se advierte con claridad si se describen las funciones específicamente de la persona identificada en la solicitud, o incluso, sí o no cuenta con dicha categoría, además no se indica claramente las razones por las que no cuenta con la evidencia documental de las actividades realizadas. </w:t>
      </w:r>
    </w:p>
    <w:p w14:paraId="6A090489" w14:textId="77777777" w:rsidR="002340AF" w:rsidRPr="009B70B3" w:rsidRDefault="002340AF">
      <w:pPr>
        <w:spacing w:after="0" w:line="360" w:lineRule="auto"/>
      </w:pPr>
    </w:p>
    <w:p w14:paraId="76FFDAA0" w14:textId="6C1CE2B5" w:rsidR="002340AF" w:rsidRPr="009B70B3" w:rsidRDefault="009B70B3">
      <w:pPr>
        <w:spacing w:after="0" w:line="360" w:lineRule="auto"/>
      </w:pPr>
      <w:r w:rsidRPr="009B70B3">
        <w:t xml:space="preserve">En consecuencia, resultan </w:t>
      </w:r>
      <w:r w:rsidRPr="009B70B3">
        <w:rPr>
          <w:b/>
        </w:rPr>
        <w:t>FUNDADOS</w:t>
      </w:r>
      <w:r w:rsidRPr="009B70B3">
        <w:t xml:space="preserve"> los motivos de agravio </w:t>
      </w:r>
      <w:r w:rsidR="00F82C2E" w:rsidRPr="009B70B3">
        <w:t xml:space="preserve">de la persona Recurrente, pues el Sujeto Obligado no se pronunció específicamente de lo peticionado, es decir, si contaba con la servidora pública referida en la solicitud, si tenía el cargo referido y si contaba con algún documento que diera cuenta de lo solicitado; pues si bien, la Dirección de Administración conoce de manera general de las funciones que realizan los servidores públicos, también lo es que las actividades específicas </w:t>
      </w:r>
      <w:r w:rsidR="0058734E" w:rsidRPr="009B70B3">
        <w:t>y los documentos pudieran obrar en el área en la cual se encuentra adscrita.</w:t>
      </w:r>
    </w:p>
    <w:p w14:paraId="4133DA56" w14:textId="77777777" w:rsidR="0058734E" w:rsidRPr="009B70B3" w:rsidRDefault="0058734E">
      <w:pPr>
        <w:spacing w:after="0" w:line="360" w:lineRule="auto"/>
      </w:pPr>
    </w:p>
    <w:p w14:paraId="61F80EA4" w14:textId="4EC82AFC" w:rsidR="0058734E" w:rsidRPr="009B70B3" w:rsidRDefault="0058734E">
      <w:pPr>
        <w:spacing w:after="0" w:line="360" w:lineRule="auto"/>
      </w:pPr>
      <w:r w:rsidRPr="009B70B3">
        <w:lastRenderedPageBreak/>
        <w:t>Conforme a lo anterior, se advierte que, para atender el requerimiento de información, el Sujeto Obligado deberá realizar una búsqueda exhaustiva y razonable, en los archivos de las unidades administrativas competentes, a efecto de que proporcione, respecto a la servidora pública señalada en la solicitud de información, del primero de enero al once de junio de dos mil veinticinco, lo siguiente:</w:t>
      </w:r>
    </w:p>
    <w:p w14:paraId="70E3AF5B" w14:textId="77777777" w:rsidR="0058734E" w:rsidRPr="009B70B3" w:rsidRDefault="0058734E">
      <w:pPr>
        <w:spacing w:after="0" w:line="360" w:lineRule="auto"/>
      </w:pPr>
    </w:p>
    <w:p w14:paraId="26BBCD3C" w14:textId="03E45374" w:rsidR="0058734E" w:rsidRPr="009B70B3" w:rsidRDefault="0058734E" w:rsidP="0058734E">
      <w:pPr>
        <w:numPr>
          <w:ilvl w:val="0"/>
          <w:numId w:val="5"/>
        </w:numPr>
        <w:pBdr>
          <w:top w:val="nil"/>
          <w:left w:val="nil"/>
          <w:bottom w:val="nil"/>
          <w:right w:val="nil"/>
          <w:between w:val="nil"/>
        </w:pBdr>
        <w:spacing w:after="0" w:line="360" w:lineRule="auto"/>
        <w:rPr>
          <w:color w:val="000000"/>
        </w:rPr>
      </w:pPr>
      <w:r w:rsidRPr="009B70B3">
        <w:rPr>
          <w:color w:val="000000"/>
        </w:rPr>
        <w:t>Los dictámenes técnicos, estudios y trabajos de análisis especializados realizados, y</w:t>
      </w:r>
    </w:p>
    <w:p w14:paraId="7940851E" w14:textId="77777777" w:rsidR="0058734E" w:rsidRPr="009B70B3" w:rsidRDefault="0058734E" w:rsidP="0058734E">
      <w:pPr>
        <w:pBdr>
          <w:top w:val="nil"/>
          <w:left w:val="nil"/>
          <w:bottom w:val="nil"/>
          <w:right w:val="nil"/>
          <w:between w:val="nil"/>
        </w:pBdr>
        <w:spacing w:after="0" w:line="360" w:lineRule="auto"/>
        <w:ind w:left="720"/>
        <w:rPr>
          <w:color w:val="000000"/>
        </w:rPr>
      </w:pPr>
    </w:p>
    <w:p w14:paraId="41E5F279" w14:textId="32BBE3AB" w:rsidR="0058734E" w:rsidRPr="009B70B3" w:rsidRDefault="0058734E" w:rsidP="0058734E">
      <w:pPr>
        <w:numPr>
          <w:ilvl w:val="0"/>
          <w:numId w:val="5"/>
        </w:numPr>
        <w:pBdr>
          <w:top w:val="nil"/>
          <w:left w:val="nil"/>
          <w:bottom w:val="nil"/>
          <w:right w:val="nil"/>
          <w:between w:val="nil"/>
        </w:pBdr>
        <w:spacing w:after="0" w:line="360" w:lineRule="auto"/>
        <w:rPr>
          <w:color w:val="000000"/>
        </w:rPr>
      </w:pPr>
      <w:r w:rsidRPr="009B70B3">
        <w:rPr>
          <w:color w:val="000000"/>
        </w:rPr>
        <w:t xml:space="preserve">Los documentos generados que acrediten el cumplimiento de sus funciones asignadas. </w:t>
      </w:r>
    </w:p>
    <w:p w14:paraId="50732AAE" w14:textId="77777777" w:rsidR="002340AF" w:rsidRPr="009B70B3" w:rsidRDefault="002340AF">
      <w:pPr>
        <w:spacing w:after="0" w:line="360" w:lineRule="auto"/>
      </w:pPr>
    </w:p>
    <w:p w14:paraId="62CCA35C" w14:textId="77777777" w:rsidR="009820F7" w:rsidRPr="009B70B3" w:rsidRDefault="009820F7" w:rsidP="009820F7">
      <w:pPr>
        <w:spacing w:after="0" w:line="360" w:lineRule="auto"/>
        <w:ind w:right="-28"/>
        <w:contextualSpacing/>
        <w:rPr>
          <w:rFonts w:eastAsia="Times New Roman" w:cs="Tahoma"/>
          <w:lang w:eastAsia="es-ES"/>
        </w:rPr>
      </w:pPr>
      <w:r w:rsidRPr="009B70B3">
        <w:rPr>
          <w:rFonts w:eastAsia="Calibri" w:cs="Tahoma"/>
          <w:bCs/>
        </w:rPr>
        <w:t>Dicha</w:t>
      </w:r>
      <w:r w:rsidRPr="009B70B3">
        <w:rPr>
          <w:rFonts w:eastAsia="Times New Roman" w:cs="Tahoma"/>
          <w:bCs/>
          <w:iCs/>
          <w:szCs w:val="24"/>
          <w:lang w:val="es-ES" w:eastAsia="es-ES"/>
        </w:rPr>
        <w:t xml:space="preserve"> determinación toma relevancia, pues </w:t>
      </w:r>
      <w:r w:rsidRPr="009B70B3">
        <w:rPr>
          <w:rFonts w:eastAsia="Times New Roman" w:cs="Tahoma"/>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FA3FDDA" w14:textId="77777777" w:rsidR="009820F7" w:rsidRPr="009B70B3" w:rsidRDefault="009820F7" w:rsidP="009820F7">
      <w:pPr>
        <w:spacing w:after="0" w:line="360" w:lineRule="auto"/>
        <w:ind w:right="-28"/>
        <w:contextualSpacing/>
        <w:rPr>
          <w:rFonts w:cs="Tahoma"/>
        </w:rPr>
      </w:pPr>
    </w:p>
    <w:p w14:paraId="314E7095" w14:textId="77777777" w:rsidR="009820F7" w:rsidRPr="009B70B3" w:rsidRDefault="009820F7" w:rsidP="009820F7">
      <w:pPr>
        <w:spacing w:after="0" w:line="360" w:lineRule="auto"/>
        <w:contextualSpacing/>
        <w:rPr>
          <w:rFonts w:eastAsia="Calibri" w:cs="Tahoma"/>
          <w:bCs/>
          <w:iCs/>
        </w:rPr>
      </w:pPr>
      <w:r w:rsidRPr="009B70B3">
        <w:rPr>
          <w:rFonts w:eastAsia="Calibri" w:cs="Tahoma"/>
          <w:bCs/>
          <w:iCs/>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2941DC8C" w14:textId="77777777" w:rsidR="009820F7" w:rsidRPr="009B70B3" w:rsidRDefault="009820F7" w:rsidP="009820F7">
      <w:pPr>
        <w:spacing w:after="0" w:line="360" w:lineRule="auto"/>
        <w:contextualSpacing/>
        <w:rPr>
          <w:rFonts w:eastAsia="Calibri" w:cs="Tahoma"/>
          <w:bCs/>
          <w:iCs/>
        </w:rPr>
      </w:pPr>
    </w:p>
    <w:p w14:paraId="5B0FC8B1" w14:textId="66960171" w:rsidR="009820F7" w:rsidRPr="009B70B3" w:rsidRDefault="009820F7" w:rsidP="009820F7">
      <w:pPr>
        <w:spacing w:after="0" w:line="360" w:lineRule="auto"/>
        <w:rPr>
          <w:rFonts w:eastAsia="Calibri" w:cs="Tahoma"/>
          <w:bCs/>
          <w:iCs/>
        </w:rPr>
      </w:pPr>
      <w:r w:rsidRPr="009B70B3">
        <w:rPr>
          <w:rFonts w:eastAsia="Calibri" w:cs="Tahoma"/>
          <w:bCs/>
          <w:iC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el </w:t>
      </w:r>
      <w:r w:rsidRPr="009B70B3">
        <w:rPr>
          <w:rFonts w:eastAsia="Calibri" w:cs="Tahoma"/>
          <w:bCs/>
          <w:iCs/>
        </w:rPr>
        <w:lastRenderedPageBreak/>
        <w:t xml:space="preserve">Sujeto Obligado deberá entregar la información que obre en sus archivos y que </w:t>
      </w:r>
      <w:proofErr w:type="spellStart"/>
      <w:r w:rsidRPr="009B70B3">
        <w:rPr>
          <w:rFonts w:eastAsia="Calibri" w:cs="Tahoma"/>
          <w:bCs/>
          <w:iCs/>
        </w:rPr>
        <w:t>de</w:t>
      </w:r>
      <w:proofErr w:type="spellEnd"/>
      <w:r w:rsidRPr="009B70B3">
        <w:rPr>
          <w:rFonts w:eastAsia="Calibri" w:cs="Tahoma"/>
          <w:bCs/>
          <w:iCs/>
        </w:rPr>
        <w:t xml:space="preserve"> cuenta de lo peticionado.</w:t>
      </w:r>
    </w:p>
    <w:p w14:paraId="6FEB8BAC" w14:textId="77777777" w:rsidR="009820F7" w:rsidRPr="009B70B3" w:rsidRDefault="009820F7" w:rsidP="009820F7">
      <w:pPr>
        <w:spacing w:after="0" w:line="360" w:lineRule="auto"/>
      </w:pPr>
    </w:p>
    <w:p w14:paraId="6D39271B" w14:textId="316CC95D" w:rsidR="002340AF" w:rsidRPr="009B70B3" w:rsidRDefault="009B70B3">
      <w:pPr>
        <w:spacing w:after="0" w:line="360" w:lineRule="auto"/>
      </w:pPr>
      <w:r w:rsidRPr="009B70B3">
        <w:t>Cabe precisar que para el caso de que la persona identificada en la solicitud no fue</w:t>
      </w:r>
      <w:r w:rsidR="0058734E" w:rsidRPr="009B70B3">
        <w:t>ra</w:t>
      </w:r>
      <w:r w:rsidRPr="009B70B3">
        <w:t xml:space="preserve"> servidora pública del Sujeto Obligado durante la temporalidad requerida</w:t>
      </w:r>
      <w:r w:rsidR="0058734E" w:rsidRPr="009B70B3">
        <w:t xml:space="preserve">, o bien, no haya generado </w:t>
      </w:r>
      <w:r w:rsidR="009820F7" w:rsidRPr="009B70B3">
        <w:t>algún documento que de cuenta del punto 1,</w:t>
      </w:r>
      <w:r w:rsidRPr="009B70B3">
        <w:t xml:space="preserve"> bastará que lo haga del conocimiento del Recurrente de manera precisa y clara</w:t>
      </w:r>
      <w:r w:rsidR="009820F7" w:rsidRPr="009B70B3">
        <w:t>, en términos del artículo 19, párrafo segundo, de la Ley de Transparencia y Acceso a al Información Pública del Estado de México y Municipios.</w:t>
      </w:r>
    </w:p>
    <w:p w14:paraId="449E251A" w14:textId="77777777" w:rsidR="002340AF" w:rsidRPr="009B70B3" w:rsidRDefault="002340AF">
      <w:pPr>
        <w:spacing w:after="0" w:line="360" w:lineRule="auto"/>
      </w:pPr>
    </w:p>
    <w:p w14:paraId="2F78C634" w14:textId="77777777" w:rsidR="002340AF" w:rsidRPr="009B70B3" w:rsidRDefault="009B70B3">
      <w:pPr>
        <w:spacing w:after="0" w:line="360" w:lineRule="auto"/>
        <w:rPr>
          <w:b/>
          <w:color w:val="000000"/>
        </w:rPr>
      </w:pPr>
      <w:r w:rsidRPr="009B70B3">
        <w:rPr>
          <w:b/>
          <w:color w:val="000000"/>
        </w:rPr>
        <w:t>Versión Pública</w:t>
      </w:r>
    </w:p>
    <w:p w14:paraId="475872F6" w14:textId="77777777" w:rsidR="002340AF" w:rsidRPr="009B70B3" w:rsidRDefault="002340AF">
      <w:pPr>
        <w:spacing w:after="0" w:line="360" w:lineRule="auto"/>
        <w:rPr>
          <w:b/>
          <w:smallCaps/>
          <w:color w:val="000000"/>
        </w:rPr>
      </w:pPr>
    </w:p>
    <w:p w14:paraId="273F1871" w14:textId="77777777" w:rsidR="002340AF" w:rsidRPr="009B70B3" w:rsidRDefault="009B70B3">
      <w:pPr>
        <w:spacing w:after="0" w:line="360" w:lineRule="auto"/>
        <w:rPr>
          <w:color w:val="000000"/>
        </w:rPr>
      </w:pPr>
      <w:r w:rsidRPr="009B70B3">
        <w:rPr>
          <w:color w:val="000000"/>
        </w:rPr>
        <w:t xml:space="preserve">Establecido lo anterior, cabe mencionar que el artículo 6°, Apartado A), fracción II, de la Constitución Política de los Estados Unidos Mexicanos, prevé que la información que se refiere a la vida privada y los datos personales será protegida en los términos y con las excepciones que fijen las leyes. </w:t>
      </w:r>
    </w:p>
    <w:p w14:paraId="3A996F0F" w14:textId="77777777" w:rsidR="002340AF" w:rsidRPr="009B70B3" w:rsidRDefault="002340AF">
      <w:pPr>
        <w:spacing w:after="0" w:line="360" w:lineRule="auto"/>
        <w:rPr>
          <w:color w:val="000000"/>
        </w:rPr>
      </w:pPr>
    </w:p>
    <w:p w14:paraId="2B465B48" w14:textId="77777777" w:rsidR="002340AF" w:rsidRPr="009B70B3" w:rsidRDefault="009B70B3">
      <w:pPr>
        <w:spacing w:after="0" w:line="360" w:lineRule="auto"/>
        <w:rPr>
          <w:color w:val="000000"/>
        </w:rPr>
      </w:pPr>
      <w:r w:rsidRPr="009B70B3">
        <w:rPr>
          <w:color w:val="000000"/>
        </w:rPr>
        <w:t xml:space="preserve">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p>
    <w:p w14:paraId="4528A1E9" w14:textId="77777777" w:rsidR="002340AF" w:rsidRPr="009B70B3" w:rsidRDefault="002340AF">
      <w:pPr>
        <w:spacing w:after="0" w:line="360" w:lineRule="auto"/>
        <w:rPr>
          <w:color w:val="000000"/>
        </w:rPr>
      </w:pPr>
    </w:p>
    <w:p w14:paraId="42D84FCC" w14:textId="77777777" w:rsidR="002340AF" w:rsidRPr="009B70B3" w:rsidRDefault="009B70B3">
      <w:pPr>
        <w:spacing w:after="0" w:line="360" w:lineRule="auto"/>
        <w:rPr>
          <w:color w:val="000000"/>
        </w:rPr>
      </w:pPr>
      <w:r w:rsidRPr="009B70B3">
        <w:rPr>
          <w:color w:val="000000"/>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w:t>
      </w:r>
      <w:r w:rsidRPr="009B70B3">
        <w:rPr>
          <w:color w:val="000000"/>
        </w:rPr>
        <w:lastRenderedPageBreak/>
        <w:t>personas, será protegida a través de un marco jurídico rígido, de tratamiento y manejo de datos personales.</w:t>
      </w:r>
    </w:p>
    <w:p w14:paraId="7F7A0B04" w14:textId="77777777" w:rsidR="002340AF" w:rsidRPr="009B70B3" w:rsidRDefault="002340AF">
      <w:pPr>
        <w:spacing w:after="0" w:line="360" w:lineRule="auto"/>
        <w:rPr>
          <w:color w:val="000000"/>
        </w:rPr>
      </w:pPr>
    </w:p>
    <w:p w14:paraId="0805845B" w14:textId="77777777" w:rsidR="002340AF" w:rsidRPr="009B70B3" w:rsidRDefault="009B70B3">
      <w:pPr>
        <w:spacing w:after="0" w:line="360" w:lineRule="auto"/>
        <w:rPr>
          <w:color w:val="000000"/>
        </w:rPr>
      </w:pPr>
      <w:r w:rsidRPr="009B70B3">
        <w:rPr>
          <w:color w:val="000000"/>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56B339C0" w14:textId="77777777" w:rsidR="002340AF" w:rsidRPr="009B70B3" w:rsidRDefault="002340AF">
      <w:pPr>
        <w:spacing w:after="0" w:line="360" w:lineRule="auto"/>
        <w:rPr>
          <w:color w:val="000000"/>
        </w:rPr>
      </w:pPr>
    </w:p>
    <w:p w14:paraId="34BB5869" w14:textId="77777777" w:rsidR="002340AF" w:rsidRPr="009B70B3" w:rsidRDefault="009B70B3">
      <w:pPr>
        <w:spacing w:after="0" w:line="360" w:lineRule="auto"/>
        <w:rPr>
          <w:color w:val="000000"/>
        </w:rPr>
      </w:pPr>
      <w:r w:rsidRPr="009B70B3">
        <w:rPr>
          <w:color w:val="000000"/>
        </w:rPr>
        <w:t>En concordancia con lo previó, el artículo 143, fracción I, de la Ley previamente citada, establece que la información privada y los datos personales, concernientes a una persona física o jurídica colectiva identificada o identificable son confidenciales.</w:t>
      </w:r>
    </w:p>
    <w:p w14:paraId="123B8FEF" w14:textId="77777777" w:rsidR="002340AF" w:rsidRPr="009B70B3" w:rsidRDefault="002340AF">
      <w:pPr>
        <w:spacing w:after="0" w:line="360" w:lineRule="auto"/>
        <w:rPr>
          <w:color w:val="000000"/>
        </w:rPr>
      </w:pPr>
    </w:p>
    <w:p w14:paraId="120D8ADC" w14:textId="77777777" w:rsidR="002340AF" w:rsidRPr="009B70B3" w:rsidRDefault="009B70B3">
      <w:pPr>
        <w:spacing w:after="0" w:line="360" w:lineRule="auto"/>
        <w:rPr>
          <w:color w:val="000000"/>
        </w:rPr>
      </w:pPr>
      <w:r w:rsidRPr="009B70B3">
        <w:rPr>
          <w:color w:val="000000"/>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9B70B3">
        <w:rPr>
          <w:smallCaps/>
          <w:color w:val="000000"/>
        </w:rPr>
        <w:t>I</w:t>
      </w:r>
      <w:r w:rsidRPr="009B70B3">
        <w:rPr>
          <w:color w:val="000000"/>
        </w:rPr>
        <w:t xml:space="preserve">) la información se encuentre en registros públicos o fuentes de acceso público, </w:t>
      </w:r>
      <w:r w:rsidRPr="009B70B3">
        <w:rPr>
          <w:smallCaps/>
          <w:color w:val="000000"/>
        </w:rPr>
        <w:t>II</w:t>
      </w:r>
      <w:r w:rsidRPr="009B70B3">
        <w:rPr>
          <w:color w:val="000000"/>
        </w:rPr>
        <w:t xml:space="preserve">) por ley tenga el carácter de pública, </w:t>
      </w:r>
      <w:r w:rsidRPr="009B70B3">
        <w:rPr>
          <w:smallCaps/>
          <w:color w:val="000000"/>
        </w:rPr>
        <w:t>III</w:t>
      </w:r>
      <w:r w:rsidRPr="009B70B3">
        <w:rPr>
          <w:color w:val="000000"/>
        </w:rPr>
        <w:t xml:space="preserve">) exista una orden judicial, </w:t>
      </w:r>
      <w:r w:rsidRPr="009B70B3">
        <w:rPr>
          <w:smallCaps/>
          <w:color w:val="000000"/>
        </w:rPr>
        <w:t>IV</w:t>
      </w:r>
      <w:r w:rsidRPr="009B70B3">
        <w:rPr>
          <w:color w:val="000000"/>
        </w:rPr>
        <w:t xml:space="preserve">) por razones de seguridad nacional y salubridad general o </w:t>
      </w:r>
      <w:r w:rsidRPr="009B70B3">
        <w:rPr>
          <w:smallCaps/>
          <w:color w:val="000000"/>
        </w:rPr>
        <w:t>V</w:t>
      </w:r>
      <w:r w:rsidRPr="009B70B3">
        <w:rPr>
          <w:color w:val="000000"/>
        </w:rPr>
        <w:t>) para proteger los derechos de terceros o cuando se transmitan entre sujetos obligados en términos de los tratados y los acuerdos interinstitucionales.</w:t>
      </w:r>
    </w:p>
    <w:p w14:paraId="2C94D4E4" w14:textId="77777777" w:rsidR="002340AF" w:rsidRPr="009B70B3" w:rsidRDefault="002340AF">
      <w:pPr>
        <w:spacing w:after="0" w:line="360" w:lineRule="auto"/>
        <w:rPr>
          <w:color w:val="000000"/>
        </w:rPr>
      </w:pPr>
    </w:p>
    <w:p w14:paraId="64B806CB" w14:textId="77777777" w:rsidR="002340AF" w:rsidRPr="009B70B3" w:rsidRDefault="009B70B3">
      <w:pPr>
        <w:spacing w:after="0" w:line="360" w:lineRule="auto"/>
        <w:rPr>
          <w:color w:val="000000"/>
        </w:rPr>
      </w:pPr>
      <w:r w:rsidRPr="009B70B3">
        <w:rPr>
          <w:color w:val="000000"/>
        </w:rPr>
        <w:t>En términos de lo expuesto, la documentación y aquellos datos que se consideren confidenciales, serán una limitante del derecho de acceso a la información, siempre y cuando:</w:t>
      </w:r>
    </w:p>
    <w:p w14:paraId="02E97D08" w14:textId="77777777" w:rsidR="002340AF" w:rsidRPr="009B70B3" w:rsidRDefault="002340AF">
      <w:pPr>
        <w:spacing w:after="0" w:line="360" w:lineRule="auto"/>
        <w:rPr>
          <w:color w:val="000000"/>
        </w:rPr>
      </w:pPr>
    </w:p>
    <w:p w14:paraId="526E42DE" w14:textId="77777777" w:rsidR="002340AF" w:rsidRPr="009B70B3" w:rsidRDefault="009B70B3">
      <w:pPr>
        <w:numPr>
          <w:ilvl w:val="0"/>
          <w:numId w:val="2"/>
        </w:numPr>
        <w:spacing w:after="0" w:line="360" w:lineRule="auto"/>
        <w:rPr>
          <w:color w:val="000000"/>
        </w:rPr>
      </w:pPr>
      <w:r w:rsidRPr="009B70B3">
        <w:rPr>
          <w:color w:val="000000"/>
        </w:rPr>
        <w:t xml:space="preserve">Se trate de datos personales o información privada; esto es, información concerniente a una persona física o jurídica colectiva y que esta sea identificada o identificable. </w:t>
      </w:r>
    </w:p>
    <w:p w14:paraId="6B0829DF" w14:textId="77777777" w:rsidR="002340AF" w:rsidRPr="009B70B3" w:rsidRDefault="009B70B3">
      <w:pPr>
        <w:numPr>
          <w:ilvl w:val="0"/>
          <w:numId w:val="2"/>
        </w:numPr>
        <w:spacing w:after="0" w:line="360" w:lineRule="auto"/>
        <w:rPr>
          <w:color w:val="000000"/>
        </w:rPr>
      </w:pPr>
      <w:r w:rsidRPr="009B70B3">
        <w:rPr>
          <w:color w:val="000000"/>
        </w:rPr>
        <w:t xml:space="preserve">Para la difusión de los datos, se requiere el consentimiento del titular. </w:t>
      </w:r>
    </w:p>
    <w:p w14:paraId="333B3E15" w14:textId="77777777" w:rsidR="002340AF" w:rsidRPr="009B70B3" w:rsidRDefault="002340AF">
      <w:pPr>
        <w:spacing w:after="0" w:line="360" w:lineRule="auto"/>
        <w:rPr>
          <w:color w:val="000000"/>
        </w:rPr>
      </w:pPr>
    </w:p>
    <w:p w14:paraId="02C97F07" w14:textId="77777777" w:rsidR="002340AF" w:rsidRPr="009B70B3" w:rsidRDefault="009B70B3">
      <w:pPr>
        <w:spacing w:after="0" w:line="360" w:lineRule="auto"/>
        <w:rPr>
          <w:color w:val="000000"/>
        </w:rPr>
      </w:pPr>
      <w:r w:rsidRPr="009B70B3">
        <w:rPr>
          <w:color w:val="000000"/>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071AE964" w14:textId="77777777" w:rsidR="002340AF" w:rsidRPr="009B70B3" w:rsidRDefault="002340AF">
      <w:pPr>
        <w:spacing w:after="0" w:line="360" w:lineRule="auto"/>
        <w:rPr>
          <w:color w:val="000000"/>
        </w:rPr>
      </w:pPr>
    </w:p>
    <w:p w14:paraId="2E785D80" w14:textId="77777777" w:rsidR="002340AF" w:rsidRPr="009B70B3" w:rsidRDefault="009B70B3">
      <w:pPr>
        <w:spacing w:after="0" w:line="360" w:lineRule="auto"/>
        <w:rPr>
          <w:color w:val="000000"/>
        </w:rPr>
      </w:pPr>
      <w:r w:rsidRPr="009B70B3">
        <w:rPr>
          <w:color w:val="000000"/>
        </w:rPr>
        <w:t>Además, en el artículo 5° de dicho ordenamiento jurídico, establece que es la Ley aplicable para todo tratamiento de datos personales.</w:t>
      </w:r>
    </w:p>
    <w:p w14:paraId="5AA7BC80" w14:textId="77777777" w:rsidR="002340AF" w:rsidRPr="009B70B3" w:rsidRDefault="002340AF">
      <w:pPr>
        <w:spacing w:after="0" w:line="360" w:lineRule="auto"/>
        <w:rPr>
          <w:color w:val="000000"/>
        </w:rPr>
      </w:pPr>
    </w:p>
    <w:p w14:paraId="6FF75041" w14:textId="77777777" w:rsidR="002340AF" w:rsidRPr="009B70B3" w:rsidRDefault="009B70B3">
      <w:pPr>
        <w:spacing w:after="0" w:line="360" w:lineRule="auto"/>
        <w:rPr>
          <w:color w:val="000000"/>
        </w:rPr>
      </w:pPr>
      <w:r w:rsidRPr="009B70B3">
        <w:rPr>
          <w:color w:val="000000"/>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DCEB65C" w14:textId="77777777" w:rsidR="002340AF" w:rsidRPr="009B70B3" w:rsidRDefault="002340AF">
      <w:pPr>
        <w:spacing w:after="0" w:line="360" w:lineRule="auto"/>
        <w:rPr>
          <w:color w:val="000000"/>
        </w:rPr>
      </w:pPr>
    </w:p>
    <w:p w14:paraId="7E36E539" w14:textId="77777777" w:rsidR="002340AF" w:rsidRPr="009B70B3" w:rsidRDefault="009B70B3">
      <w:pPr>
        <w:spacing w:after="0" w:line="360" w:lineRule="auto"/>
        <w:rPr>
          <w:color w:val="000000"/>
        </w:rPr>
      </w:pPr>
      <w:r w:rsidRPr="009B70B3">
        <w:rPr>
          <w:color w:val="000000"/>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B04BB03" w14:textId="77777777" w:rsidR="002340AF" w:rsidRPr="009B70B3" w:rsidRDefault="002340AF">
      <w:pPr>
        <w:spacing w:after="0" w:line="360" w:lineRule="auto"/>
        <w:rPr>
          <w:color w:val="000000"/>
        </w:rPr>
      </w:pPr>
    </w:p>
    <w:p w14:paraId="1F872CF2" w14:textId="77777777" w:rsidR="002340AF" w:rsidRPr="009B70B3" w:rsidRDefault="009B70B3">
      <w:pPr>
        <w:spacing w:after="0" w:line="360" w:lineRule="auto"/>
        <w:rPr>
          <w:color w:val="000000"/>
        </w:rPr>
      </w:pPr>
      <w:r w:rsidRPr="009B70B3">
        <w:rPr>
          <w:color w:val="000000"/>
        </w:rPr>
        <w:lastRenderedPageBreak/>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FD40500" w14:textId="77777777" w:rsidR="002340AF" w:rsidRPr="009B70B3" w:rsidRDefault="002340AF">
      <w:pPr>
        <w:spacing w:after="0" w:line="360" w:lineRule="auto"/>
        <w:rPr>
          <w:color w:val="000000"/>
        </w:rPr>
      </w:pPr>
    </w:p>
    <w:p w14:paraId="23D0969C" w14:textId="77777777" w:rsidR="002340AF" w:rsidRPr="009B70B3" w:rsidRDefault="009B70B3">
      <w:pPr>
        <w:spacing w:after="0" w:line="360" w:lineRule="auto"/>
        <w:rPr>
          <w:color w:val="000000"/>
        </w:rPr>
      </w:pPr>
      <w:r w:rsidRPr="009B70B3">
        <w:rPr>
          <w:color w:val="000000"/>
        </w:rPr>
        <w:t>De tal suerte, las instituciones públicas tienen la doble responsabilidad, por un lado, de proteger los datos personales y por otro, darles publicidad cuando la relevancia de esos datos sea de interés público.</w:t>
      </w:r>
    </w:p>
    <w:p w14:paraId="142EAEB3" w14:textId="77777777" w:rsidR="002340AF" w:rsidRPr="009B70B3" w:rsidRDefault="002340AF">
      <w:pPr>
        <w:spacing w:after="0" w:line="360" w:lineRule="auto"/>
        <w:rPr>
          <w:color w:val="000000"/>
        </w:rPr>
      </w:pPr>
    </w:p>
    <w:p w14:paraId="5DF0BC34" w14:textId="77777777" w:rsidR="002340AF" w:rsidRPr="009B70B3" w:rsidRDefault="009B70B3">
      <w:pPr>
        <w:spacing w:after="0" w:line="360" w:lineRule="auto"/>
        <w:rPr>
          <w:color w:val="000000"/>
        </w:rPr>
      </w:pPr>
      <w:r w:rsidRPr="009B70B3">
        <w:rPr>
          <w:color w:val="000000"/>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7770F30D" w14:textId="77777777" w:rsidR="002340AF" w:rsidRPr="009B70B3" w:rsidRDefault="002340AF">
      <w:pPr>
        <w:spacing w:after="0" w:line="360" w:lineRule="auto"/>
        <w:rPr>
          <w:color w:val="000000"/>
        </w:rPr>
      </w:pPr>
    </w:p>
    <w:p w14:paraId="43292399" w14:textId="77777777" w:rsidR="002340AF" w:rsidRPr="009B70B3" w:rsidRDefault="009B70B3">
      <w:pPr>
        <w:spacing w:after="0" w:line="360" w:lineRule="auto"/>
        <w:rPr>
          <w:color w:val="000000"/>
        </w:rPr>
      </w:pPr>
      <w:r w:rsidRPr="009B70B3">
        <w:rPr>
          <w:color w:val="000000"/>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w:t>
      </w:r>
      <w:r w:rsidRPr="009B70B3">
        <w:rPr>
          <w:color w:val="000000"/>
        </w:rPr>
        <w:lastRenderedPageBreak/>
        <w:t xml:space="preserve">la rendición de cuentas, constituyen información de naturaleza pública, en razón de que el beneficio de su publicidad es mayor que el beneficio de su clasificación, </w:t>
      </w:r>
      <w:proofErr w:type="spellStart"/>
      <w:r w:rsidRPr="009B70B3">
        <w:t>aún</w:t>
      </w:r>
      <w:proofErr w:type="spellEnd"/>
      <w:r w:rsidRPr="009B70B3">
        <w:rPr>
          <w:color w:val="000000"/>
        </w:rPr>
        <w:t xml:space="preserve"> tratándose de información personal.</w:t>
      </w:r>
    </w:p>
    <w:p w14:paraId="1C477163" w14:textId="77777777" w:rsidR="002340AF" w:rsidRPr="009B70B3" w:rsidRDefault="002340AF">
      <w:pPr>
        <w:spacing w:after="0" w:line="360" w:lineRule="auto"/>
        <w:rPr>
          <w:color w:val="000000"/>
        </w:rPr>
      </w:pPr>
    </w:p>
    <w:p w14:paraId="7BD59D68" w14:textId="77777777" w:rsidR="002340AF" w:rsidRPr="009B70B3" w:rsidRDefault="009B70B3">
      <w:pPr>
        <w:spacing w:after="0" w:line="360" w:lineRule="auto"/>
        <w:rPr>
          <w:color w:val="000000"/>
        </w:rPr>
      </w:pPr>
      <w:r w:rsidRPr="009B70B3">
        <w:rPr>
          <w:color w:val="000000"/>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4D0492B2" w14:textId="77777777" w:rsidR="002340AF" w:rsidRPr="009B70B3" w:rsidRDefault="002340AF">
      <w:pPr>
        <w:spacing w:after="0" w:line="360" w:lineRule="auto"/>
        <w:rPr>
          <w:color w:val="000000"/>
        </w:rPr>
      </w:pPr>
    </w:p>
    <w:p w14:paraId="437C9081" w14:textId="77777777" w:rsidR="002340AF" w:rsidRPr="009B70B3" w:rsidRDefault="009B70B3">
      <w:pPr>
        <w:spacing w:after="0" w:line="360" w:lineRule="auto"/>
        <w:rPr>
          <w:color w:val="000000"/>
        </w:rPr>
      </w:pPr>
      <w:r w:rsidRPr="009B70B3">
        <w:rPr>
          <w:color w:val="000000"/>
        </w:rPr>
        <w:t xml:space="preserve">Bajo ese contexto, se analizarán de manera enunciativa más no limitativa algunos datos personales que pueden encontrarse dentro de los documentos que pueden dar cuenta de lo requerido por el Particular y que actualiza el supuesto de información confidencial por corresponder a la vida privada de las personas </w:t>
      </w:r>
      <w:r w:rsidRPr="009B70B3">
        <w:rPr>
          <w:color w:val="000000"/>
          <w:u w:val="single"/>
        </w:rPr>
        <w:t>son nombres de particulares, domicilios de particulares, números telefónicos de particulares, correos electrónicos particulares, CURP, RFC,  entre otros</w:t>
      </w:r>
      <w:r w:rsidRPr="009B70B3">
        <w:rPr>
          <w:color w:val="000000"/>
        </w:rPr>
        <w:t>, los cuales  actualizan la causal de clasificación establecida en el artículo 143, fracción I, de la Ley de Transparencia y Acceso a la Información Pública del Estado de México y Municipios.</w:t>
      </w:r>
    </w:p>
    <w:p w14:paraId="1CC0768A" w14:textId="77777777" w:rsidR="002340AF" w:rsidRPr="009B70B3" w:rsidRDefault="002340AF">
      <w:pPr>
        <w:spacing w:after="0" w:line="360" w:lineRule="auto"/>
        <w:rPr>
          <w:color w:val="000000"/>
        </w:rPr>
      </w:pPr>
    </w:p>
    <w:p w14:paraId="1E903F29" w14:textId="77777777" w:rsidR="002340AF" w:rsidRPr="009B70B3" w:rsidRDefault="009B70B3">
      <w:pPr>
        <w:spacing w:after="0" w:line="360" w:lineRule="auto"/>
      </w:pPr>
      <w:r w:rsidRPr="009B70B3">
        <w:rPr>
          <w:color w:val="000000"/>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1ED3D61F" w14:textId="77777777" w:rsidR="002340AF" w:rsidRPr="009B70B3" w:rsidRDefault="002340AF">
      <w:pPr>
        <w:spacing w:after="0" w:line="360" w:lineRule="auto"/>
      </w:pPr>
    </w:p>
    <w:p w14:paraId="3FCA2F04" w14:textId="77777777" w:rsidR="002340AF" w:rsidRPr="009B70B3" w:rsidRDefault="009B70B3">
      <w:pPr>
        <w:pStyle w:val="Ttulo2"/>
        <w:spacing w:before="0" w:after="0"/>
        <w:rPr>
          <w:b w:val="0"/>
        </w:rPr>
      </w:pPr>
      <w:bookmarkStart w:id="19" w:name="_Toc209708561"/>
      <w:r w:rsidRPr="009B70B3">
        <w:lastRenderedPageBreak/>
        <w:t>CUARTO. Decisión</w:t>
      </w:r>
      <w:bookmarkEnd w:id="19"/>
    </w:p>
    <w:p w14:paraId="4A7A786E" w14:textId="77777777" w:rsidR="002340AF" w:rsidRPr="009B70B3" w:rsidRDefault="002340AF">
      <w:pPr>
        <w:spacing w:after="0" w:line="360" w:lineRule="auto"/>
        <w:rPr>
          <w:b/>
        </w:rPr>
      </w:pPr>
    </w:p>
    <w:p w14:paraId="576AF4D8" w14:textId="77777777" w:rsidR="002340AF" w:rsidRPr="009B70B3" w:rsidRDefault="009B70B3">
      <w:pPr>
        <w:spacing w:after="0" w:line="360" w:lineRule="auto"/>
      </w:pPr>
      <w:r w:rsidRPr="009B70B3">
        <w:t xml:space="preserve">Con fundamento en el artículo 186, fracción III, de la Ley de Transparencia y Acceso a la Información Pública del Estado de México y Municipios, este Instituto considera procedente </w:t>
      </w:r>
      <w:r w:rsidRPr="009B70B3">
        <w:rPr>
          <w:b/>
        </w:rPr>
        <w:t>REVOCAR</w:t>
      </w:r>
      <w:r w:rsidRPr="009B70B3">
        <w:t xml:space="preserve"> la respuesta otorgada por el Sujeto Obligado a la solicitud de información </w:t>
      </w:r>
      <w:r w:rsidRPr="009B70B3">
        <w:rPr>
          <w:b/>
        </w:rPr>
        <w:t>00406/TENANCIN/IP/2025</w:t>
      </w:r>
      <w:r w:rsidRPr="009B70B3">
        <w:t xml:space="preserve">, por resultar fundadas las razones o motivos de inconformidad hechos valer por la parte Recurrente, en el Recurso de Revisión </w:t>
      </w:r>
      <w:r w:rsidRPr="009B70B3">
        <w:rPr>
          <w:b/>
        </w:rPr>
        <w:t>09056/INFOEM/IP/RR/2025</w:t>
      </w:r>
      <w:r w:rsidRPr="009B70B3">
        <w:t xml:space="preserve">, en consecuencia procede </w:t>
      </w:r>
      <w:r w:rsidRPr="009B70B3">
        <w:rPr>
          <w:b/>
        </w:rPr>
        <w:t xml:space="preserve">ORDENAR, </w:t>
      </w:r>
      <w:r w:rsidRPr="009B70B3">
        <w:t>la entrega de la información en los términos expuestos.</w:t>
      </w:r>
    </w:p>
    <w:p w14:paraId="3D3FD6FD" w14:textId="77777777" w:rsidR="002340AF" w:rsidRPr="009B70B3" w:rsidRDefault="002340AF">
      <w:pPr>
        <w:spacing w:after="0" w:line="360" w:lineRule="auto"/>
      </w:pPr>
    </w:p>
    <w:p w14:paraId="55277D8D" w14:textId="534F2EBD" w:rsidR="002340AF" w:rsidRPr="009B70B3" w:rsidRDefault="009B70B3">
      <w:pPr>
        <w:spacing w:after="0" w:line="360" w:lineRule="auto"/>
        <w:rPr>
          <w:b/>
          <w:u w:val="single"/>
        </w:rPr>
      </w:pPr>
      <w:r w:rsidRPr="009B70B3">
        <w:rPr>
          <w:b/>
          <w:u w:val="single"/>
        </w:rPr>
        <w:t>Términos de la Resolución para la parte Recurrente</w:t>
      </w:r>
    </w:p>
    <w:p w14:paraId="67087BA9" w14:textId="77777777" w:rsidR="002340AF" w:rsidRPr="009B70B3" w:rsidRDefault="002340AF">
      <w:pPr>
        <w:spacing w:after="0" w:line="360" w:lineRule="auto"/>
      </w:pPr>
    </w:p>
    <w:p w14:paraId="4B7D02BF" w14:textId="77777777" w:rsidR="002340AF" w:rsidRPr="009B70B3" w:rsidRDefault="009B70B3">
      <w:pPr>
        <w:spacing w:after="0" w:line="360" w:lineRule="auto"/>
        <w:rPr>
          <w:u w:val="single"/>
        </w:rPr>
      </w:pPr>
      <w:r w:rsidRPr="009B70B3">
        <w:rPr>
          <w:u w:val="single"/>
        </w:rPr>
        <w:t xml:space="preserve">Se hace del conocimiento de parte Recurrente que este Organismo Garante determinó concederle la razón, puesto que el Sujeto Obligado no entregó la información requerida, por tanto, se procede a ordenar la entrega de la información. </w:t>
      </w:r>
    </w:p>
    <w:p w14:paraId="15DF3900" w14:textId="77777777" w:rsidR="002340AF" w:rsidRPr="009B70B3" w:rsidRDefault="002340AF">
      <w:pPr>
        <w:spacing w:after="0" w:line="360" w:lineRule="auto"/>
        <w:rPr>
          <w:u w:val="single"/>
        </w:rPr>
      </w:pPr>
    </w:p>
    <w:p w14:paraId="2F9A5FC9" w14:textId="77777777" w:rsidR="002340AF" w:rsidRPr="009B70B3" w:rsidRDefault="009B70B3">
      <w:pPr>
        <w:spacing w:after="0" w:line="360" w:lineRule="auto"/>
        <w:rPr>
          <w:u w:val="single"/>
        </w:rPr>
      </w:pPr>
      <w:r w:rsidRPr="009B70B3">
        <w:rPr>
          <w:u w:val="single"/>
        </w:rPr>
        <w:t>Es necesario mencionar que para el caso de que la información tenga información confidencial o reservada, la misma debe ser testada y se entregará acompañada de un acuerdo en el que se expresen las razones por las que se protege dicha información.</w:t>
      </w:r>
    </w:p>
    <w:p w14:paraId="505970FE" w14:textId="77777777" w:rsidR="002340AF" w:rsidRPr="009B70B3" w:rsidRDefault="002340AF">
      <w:pPr>
        <w:spacing w:after="0" w:line="360" w:lineRule="auto"/>
        <w:rPr>
          <w:u w:val="single"/>
        </w:rPr>
      </w:pPr>
    </w:p>
    <w:p w14:paraId="1250AB59" w14:textId="77777777" w:rsidR="002340AF" w:rsidRPr="009B70B3" w:rsidRDefault="009B70B3">
      <w:pPr>
        <w:spacing w:after="0" w:line="360" w:lineRule="auto"/>
        <w:rPr>
          <w:u w:val="single"/>
        </w:rPr>
      </w:pPr>
      <w:r w:rsidRPr="009B70B3">
        <w:rPr>
          <w:u w:val="single"/>
        </w:rPr>
        <w:t>La labor del INFOEM, es apoyar a la población para acceder a la información pública y garantizar la protección de sus datos personales.</w:t>
      </w:r>
    </w:p>
    <w:p w14:paraId="3BCA3E76" w14:textId="77777777" w:rsidR="002340AF" w:rsidRPr="009B70B3" w:rsidRDefault="002340AF">
      <w:pPr>
        <w:spacing w:after="0" w:line="360" w:lineRule="auto"/>
        <w:rPr>
          <w:u w:val="single"/>
        </w:rPr>
      </w:pPr>
    </w:p>
    <w:p w14:paraId="58CB197F" w14:textId="77777777" w:rsidR="002340AF" w:rsidRPr="009B70B3" w:rsidRDefault="009B70B3">
      <w:pPr>
        <w:pStyle w:val="Ttulo1"/>
        <w:spacing w:before="0" w:after="0"/>
        <w:rPr>
          <w:b w:val="0"/>
          <w:sz w:val="22"/>
          <w:szCs w:val="22"/>
        </w:rPr>
      </w:pPr>
      <w:bookmarkStart w:id="20" w:name="_Toc209708562"/>
      <w:r w:rsidRPr="009B70B3">
        <w:rPr>
          <w:sz w:val="22"/>
          <w:szCs w:val="22"/>
        </w:rPr>
        <w:t>R E S U E L V E</w:t>
      </w:r>
      <w:bookmarkEnd w:id="20"/>
    </w:p>
    <w:p w14:paraId="029DF4CF" w14:textId="77777777" w:rsidR="002340AF" w:rsidRPr="009B70B3" w:rsidRDefault="002340AF">
      <w:pPr>
        <w:spacing w:after="0" w:line="360" w:lineRule="auto"/>
        <w:rPr>
          <w:b/>
        </w:rPr>
      </w:pPr>
    </w:p>
    <w:p w14:paraId="00C54A3F" w14:textId="77777777" w:rsidR="002340AF" w:rsidRPr="009B70B3" w:rsidRDefault="009B70B3">
      <w:pPr>
        <w:spacing w:after="0" w:line="360" w:lineRule="auto"/>
      </w:pPr>
      <w:r w:rsidRPr="009B70B3">
        <w:rPr>
          <w:b/>
        </w:rPr>
        <w:t xml:space="preserve">PRIMERO. </w:t>
      </w:r>
      <w:r w:rsidRPr="009B70B3">
        <w:t xml:space="preserve">Se </w:t>
      </w:r>
      <w:r w:rsidRPr="009B70B3">
        <w:rPr>
          <w:b/>
        </w:rPr>
        <w:t>REVOCA</w:t>
      </w:r>
      <w:r w:rsidRPr="009B70B3">
        <w:t xml:space="preserve"> la respuesta entregada por el Ayuntamiento de Tenancingo a la solicitud de información </w:t>
      </w:r>
      <w:r w:rsidRPr="009B70B3">
        <w:rPr>
          <w:bCs/>
        </w:rPr>
        <w:t>00406/TENANCIN/IP/2025</w:t>
      </w:r>
      <w:r w:rsidRPr="009B70B3">
        <w:rPr>
          <w:b/>
        </w:rPr>
        <w:t xml:space="preserve"> </w:t>
      </w:r>
      <w:r w:rsidRPr="009B70B3">
        <w:t xml:space="preserve">por resultar </w:t>
      </w:r>
      <w:r w:rsidRPr="009B70B3">
        <w:rPr>
          <w:b/>
        </w:rPr>
        <w:t>FUNDADAS</w:t>
      </w:r>
      <w:r w:rsidRPr="009B70B3">
        <w:t xml:space="preserve"> las razones o motivos de inconformidad hechos valer por la persona Recurrente en el Recurso de Revisión </w:t>
      </w:r>
      <w:r w:rsidRPr="009B70B3">
        <w:lastRenderedPageBreak/>
        <w:t>09056/INFOEM/IP/RR/2025, en términos de los considerandos QUINTO y SEXTO de la presente Resolución.</w:t>
      </w:r>
    </w:p>
    <w:p w14:paraId="2BBE0A56" w14:textId="77777777" w:rsidR="002340AF" w:rsidRPr="009B70B3" w:rsidRDefault="002340AF">
      <w:pPr>
        <w:spacing w:after="0" w:line="360" w:lineRule="auto"/>
      </w:pPr>
    </w:p>
    <w:p w14:paraId="2C2D384B" w14:textId="7B1E556B" w:rsidR="009820F7" w:rsidRPr="009B70B3" w:rsidRDefault="009B70B3" w:rsidP="009820F7">
      <w:pPr>
        <w:spacing w:after="0" w:line="360" w:lineRule="auto"/>
      </w:pPr>
      <w:r w:rsidRPr="009B70B3">
        <w:rPr>
          <w:b/>
        </w:rPr>
        <w:t xml:space="preserve">SEGUNDO. </w:t>
      </w:r>
      <w:r w:rsidRPr="009B70B3">
        <w:t xml:space="preserve">Se </w:t>
      </w:r>
      <w:r w:rsidRPr="009B70B3">
        <w:rPr>
          <w:b/>
        </w:rPr>
        <w:t>ORDENA</w:t>
      </w:r>
      <w:r w:rsidRPr="009B70B3">
        <w:t xml:space="preserve"> al Sujeto Obligado, a efecto de entregue, previa búsqueda exhaustiva y razonable, a través del SAIMEX, en su caso en versión pública, </w:t>
      </w:r>
      <w:r w:rsidR="009820F7" w:rsidRPr="009B70B3">
        <w:t>respecto a la servidora pública señalada en la solicitud de información, del primero de enero al once de junio de dos mil veinticinco, lo siguiente:</w:t>
      </w:r>
    </w:p>
    <w:p w14:paraId="5DD56857" w14:textId="77777777" w:rsidR="009820F7" w:rsidRPr="009B70B3" w:rsidRDefault="009820F7" w:rsidP="009820F7">
      <w:pPr>
        <w:spacing w:after="0" w:line="360" w:lineRule="auto"/>
      </w:pPr>
    </w:p>
    <w:p w14:paraId="5F10BC4D" w14:textId="77777777" w:rsidR="009820F7" w:rsidRPr="009B70B3" w:rsidRDefault="009820F7" w:rsidP="009820F7">
      <w:pPr>
        <w:numPr>
          <w:ilvl w:val="0"/>
          <w:numId w:val="6"/>
        </w:numPr>
        <w:pBdr>
          <w:top w:val="nil"/>
          <w:left w:val="nil"/>
          <w:bottom w:val="nil"/>
          <w:right w:val="nil"/>
          <w:between w:val="nil"/>
        </w:pBdr>
        <w:spacing w:after="0" w:line="360" w:lineRule="auto"/>
        <w:rPr>
          <w:color w:val="000000"/>
        </w:rPr>
      </w:pPr>
      <w:r w:rsidRPr="009B70B3">
        <w:rPr>
          <w:color w:val="000000"/>
        </w:rPr>
        <w:t>Los dictámenes técnicos, estudios y trabajos de análisis especializados realizados, y</w:t>
      </w:r>
    </w:p>
    <w:p w14:paraId="2014C8FD" w14:textId="77777777" w:rsidR="009820F7" w:rsidRPr="009B70B3" w:rsidRDefault="009820F7" w:rsidP="009820F7">
      <w:pPr>
        <w:pBdr>
          <w:top w:val="nil"/>
          <w:left w:val="nil"/>
          <w:bottom w:val="nil"/>
          <w:right w:val="nil"/>
          <w:between w:val="nil"/>
        </w:pBdr>
        <w:spacing w:after="0" w:line="360" w:lineRule="auto"/>
        <w:ind w:left="720"/>
        <w:rPr>
          <w:color w:val="000000"/>
        </w:rPr>
      </w:pPr>
    </w:p>
    <w:p w14:paraId="586F64C8" w14:textId="77777777" w:rsidR="009820F7" w:rsidRPr="009B70B3" w:rsidRDefault="009820F7" w:rsidP="009820F7">
      <w:pPr>
        <w:numPr>
          <w:ilvl w:val="0"/>
          <w:numId w:val="6"/>
        </w:numPr>
        <w:pBdr>
          <w:top w:val="nil"/>
          <w:left w:val="nil"/>
          <w:bottom w:val="nil"/>
          <w:right w:val="nil"/>
          <w:between w:val="nil"/>
        </w:pBdr>
        <w:spacing w:after="0" w:line="360" w:lineRule="auto"/>
        <w:rPr>
          <w:color w:val="000000"/>
        </w:rPr>
      </w:pPr>
      <w:r w:rsidRPr="009B70B3">
        <w:rPr>
          <w:color w:val="000000"/>
        </w:rPr>
        <w:t xml:space="preserve">Los documentos generados que acrediten el cumplimiento de sus funciones asignadas. </w:t>
      </w:r>
    </w:p>
    <w:p w14:paraId="61235FE3" w14:textId="447A2273" w:rsidR="002340AF" w:rsidRPr="009B70B3" w:rsidRDefault="002340AF">
      <w:pPr>
        <w:spacing w:after="0" w:line="360" w:lineRule="auto"/>
        <w:rPr>
          <w:color w:val="000000"/>
        </w:rPr>
      </w:pPr>
    </w:p>
    <w:p w14:paraId="50E284BA" w14:textId="5336F3C9" w:rsidR="002340AF" w:rsidRPr="009B70B3" w:rsidRDefault="009B70B3">
      <w:pPr>
        <w:spacing w:after="0" w:line="360" w:lineRule="auto"/>
      </w:pPr>
      <w:r w:rsidRPr="009B70B3">
        <w:t xml:space="preserve">Además, para el caso de requerir la entrega de la información en versión pública, deberá proporcionar el Acuerdo de Clasificación donde el Comité de Transparencia, confirme la eliminación de los datos </w:t>
      </w:r>
      <w:r w:rsidR="009820F7" w:rsidRPr="009B70B3">
        <w:t>o información clasificada</w:t>
      </w:r>
      <w:r w:rsidRPr="009B70B3">
        <w:t xml:space="preserve">, de conformidad con los artículos 49, fracciones II y VIII, 132, fracción II, de la Ley de Transparencia y Acceso a la Información Pública del Estado de México y Municipios. </w:t>
      </w:r>
    </w:p>
    <w:p w14:paraId="1D0AC431" w14:textId="77777777" w:rsidR="002340AF" w:rsidRPr="009B70B3" w:rsidRDefault="002340AF">
      <w:pPr>
        <w:spacing w:after="0" w:line="360" w:lineRule="auto"/>
      </w:pPr>
    </w:p>
    <w:p w14:paraId="41153F80" w14:textId="6A15EBAD" w:rsidR="002340AF" w:rsidRPr="009B70B3" w:rsidRDefault="009B70B3">
      <w:pPr>
        <w:spacing w:after="0" w:line="360" w:lineRule="auto"/>
      </w:pPr>
      <w:r w:rsidRPr="009B70B3">
        <w:t>Para el supuesto de que la persona identificada en la solicitud no se haya desempeñado como servidora pública durante la temporalidad requerida</w:t>
      </w:r>
      <w:r w:rsidR="009820F7" w:rsidRPr="009B70B3">
        <w:t xml:space="preserve"> o bien no haya realizado algún documento que dé cuenta del numeral 1, al no haber sido requerido por algún área</w:t>
      </w:r>
      <w:r w:rsidRPr="009B70B3">
        <w:t>, bastará que lo haga del conocimiento de la parte Recurrente de manera precisa y clara.</w:t>
      </w:r>
    </w:p>
    <w:p w14:paraId="6731F813" w14:textId="77777777" w:rsidR="002340AF" w:rsidRPr="009B70B3" w:rsidRDefault="002340AF">
      <w:pPr>
        <w:spacing w:after="0" w:line="360" w:lineRule="auto"/>
      </w:pPr>
    </w:p>
    <w:p w14:paraId="0306E44C" w14:textId="77777777" w:rsidR="002340AF" w:rsidRPr="009B70B3" w:rsidRDefault="009B70B3">
      <w:pPr>
        <w:spacing w:after="0" w:line="360" w:lineRule="auto"/>
      </w:pPr>
      <w:r w:rsidRPr="009B70B3">
        <w:rPr>
          <w:b/>
        </w:rPr>
        <w:t xml:space="preserve">TERCERO. NOTIFÍQUESE POR SAIMEX </w:t>
      </w:r>
      <w:r w:rsidRPr="009B70B3">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w:t>
      </w:r>
      <w:r w:rsidRPr="009B70B3">
        <w:lastRenderedPageBreak/>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A70E099" w14:textId="77777777" w:rsidR="002340AF" w:rsidRPr="009B70B3" w:rsidRDefault="002340AF">
      <w:pPr>
        <w:spacing w:after="0" w:line="360" w:lineRule="auto"/>
      </w:pPr>
    </w:p>
    <w:p w14:paraId="17650EC6" w14:textId="77777777" w:rsidR="002340AF" w:rsidRPr="009B70B3" w:rsidRDefault="009B70B3">
      <w:pPr>
        <w:spacing w:after="0" w:line="360" w:lineRule="auto"/>
      </w:pPr>
      <w:r w:rsidRPr="009B70B3">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AF48D76" w14:textId="77777777" w:rsidR="002340AF" w:rsidRPr="009B70B3" w:rsidRDefault="002340AF">
      <w:pPr>
        <w:spacing w:after="0" w:line="360" w:lineRule="auto"/>
      </w:pPr>
    </w:p>
    <w:p w14:paraId="32E39EF1" w14:textId="77777777" w:rsidR="002340AF" w:rsidRPr="009B70B3" w:rsidRDefault="009B70B3">
      <w:pPr>
        <w:spacing w:after="0" w:line="360" w:lineRule="auto"/>
      </w:pPr>
      <w:r w:rsidRPr="009B70B3">
        <w:rPr>
          <w:b/>
        </w:rPr>
        <w:t>CUARTO. NOTIFÍQUESE</w:t>
      </w:r>
      <w:r w:rsidRPr="009B70B3">
        <w:t xml:space="preserve"> </w:t>
      </w:r>
      <w:r w:rsidRPr="009B70B3">
        <w:rPr>
          <w:b/>
        </w:rPr>
        <w:t xml:space="preserve">POR SAIMEX </w:t>
      </w:r>
      <w:r w:rsidRPr="009B70B3">
        <w:t>a la parte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01557B9" w14:textId="77777777" w:rsidR="002340AF" w:rsidRPr="009B70B3" w:rsidRDefault="002340AF">
      <w:pPr>
        <w:spacing w:after="0" w:line="360" w:lineRule="auto"/>
      </w:pPr>
    </w:p>
    <w:p w14:paraId="6DD30E0D" w14:textId="77777777" w:rsidR="002340AF" w:rsidRDefault="009B70B3">
      <w:pPr>
        <w:spacing w:after="0" w:line="360" w:lineRule="auto"/>
      </w:pPr>
      <w:r w:rsidRPr="009B70B3">
        <w:t xml:space="preserve">ASÍ LO RESUELVE, POR </w:t>
      </w:r>
      <w:r w:rsidRPr="009B70B3">
        <w:rPr>
          <w:b/>
        </w:rPr>
        <w:t>UNANIMIDAD</w:t>
      </w:r>
      <w:r w:rsidRPr="009B70B3">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CUARTA SESIÓN ORDINARIA, CELEBRADA EL VEINTICUATRO DE SEPTIEMBRE DE DOS MIL VEINTICINCO, ANTE EL SECRETARIO TÉCNICO DEL PLENO, ALEXIS TAPIA RAMÍREZ.</w:t>
      </w:r>
    </w:p>
    <w:p w14:paraId="54CEEB41" w14:textId="77777777" w:rsidR="002340AF" w:rsidRDefault="002340AF">
      <w:pPr>
        <w:pStyle w:val="Ttulo2"/>
        <w:spacing w:before="0" w:after="0"/>
        <w:rPr>
          <w:b w:val="0"/>
        </w:rPr>
      </w:pPr>
    </w:p>
    <w:p w14:paraId="2123F10F" w14:textId="77777777" w:rsidR="002340AF" w:rsidRDefault="002340AF">
      <w:pPr>
        <w:spacing w:after="0" w:line="360" w:lineRule="auto"/>
      </w:pPr>
    </w:p>
    <w:p w14:paraId="7AE39B1F" w14:textId="77777777" w:rsidR="002340AF" w:rsidRDefault="002340AF">
      <w:pPr>
        <w:spacing w:after="0" w:line="360" w:lineRule="auto"/>
      </w:pPr>
    </w:p>
    <w:p w14:paraId="08C2E9D4" w14:textId="77777777" w:rsidR="002340AF" w:rsidRDefault="002340AF">
      <w:pPr>
        <w:spacing w:after="0" w:line="360" w:lineRule="auto"/>
      </w:pPr>
    </w:p>
    <w:p w14:paraId="38911D58" w14:textId="77777777" w:rsidR="002340AF" w:rsidRDefault="002340AF">
      <w:pPr>
        <w:spacing w:after="0" w:line="360" w:lineRule="auto"/>
      </w:pPr>
    </w:p>
    <w:p w14:paraId="321F7CB5" w14:textId="77777777" w:rsidR="002340AF" w:rsidRDefault="002340AF">
      <w:pPr>
        <w:spacing w:after="0" w:line="360" w:lineRule="auto"/>
      </w:pPr>
    </w:p>
    <w:p w14:paraId="7CFFE705" w14:textId="77777777" w:rsidR="002340AF" w:rsidRDefault="002340AF">
      <w:pPr>
        <w:spacing w:after="0" w:line="360" w:lineRule="auto"/>
      </w:pPr>
    </w:p>
    <w:p w14:paraId="004E9EA9" w14:textId="77777777" w:rsidR="002340AF" w:rsidRDefault="002340AF">
      <w:pPr>
        <w:spacing w:after="0" w:line="360" w:lineRule="auto"/>
      </w:pPr>
    </w:p>
    <w:p w14:paraId="632965FA" w14:textId="77777777" w:rsidR="002340AF" w:rsidRDefault="002340AF">
      <w:pPr>
        <w:spacing w:after="0" w:line="360" w:lineRule="auto"/>
      </w:pPr>
    </w:p>
    <w:p w14:paraId="463A0495" w14:textId="77777777" w:rsidR="002340AF" w:rsidRDefault="002340AF">
      <w:pPr>
        <w:spacing w:after="0" w:line="360" w:lineRule="auto"/>
      </w:pPr>
    </w:p>
    <w:p w14:paraId="3ACEAB69" w14:textId="77777777" w:rsidR="002340AF" w:rsidRDefault="002340AF">
      <w:pPr>
        <w:spacing w:after="0" w:line="360" w:lineRule="auto"/>
      </w:pPr>
    </w:p>
    <w:p w14:paraId="2592A879" w14:textId="77777777" w:rsidR="002340AF" w:rsidRDefault="002340AF">
      <w:pPr>
        <w:spacing w:after="0" w:line="360" w:lineRule="auto"/>
      </w:pPr>
    </w:p>
    <w:p w14:paraId="0655EED2" w14:textId="77777777" w:rsidR="002340AF" w:rsidRDefault="002340AF">
      <w:pPr>
        <w:spacing w:after="0" w:line="360" w:lineRule="auto"/>
      </w:pPr>
    </w:p>
    <w:p w14:paraId="29B79EFF" w14:textId="77777777" w:rsidR="002340AF" w:rsidRDefault="002340AF">
      <w:pPr>
        <w:spacing w:after="0" w:line="360" w:lineRule="auto"/>
      </w:pPr>
    </w:p>
    <w:p w14:paraId="045B52AA" w14:textId="77777777" w:rsidR="002340AF" w:rsidRDefault="002340AF">
      <w:pPr>
        <w:spacing w:after="0" w:line="360" w:lineRule="auto"/>
      </w:pPr>
    </w:p>
    <w:p w14:paraId="3E7EF5CF" w14:textId="77777777" w:rsidR="002340AF" w:rsidRDefault="002340AF">
      <w:pPr>
        <w:spacing w:after="0" w:line="360" w:lineRule="auto"/>
      </w:pPr>
    </w:p>
    <w:p w14:paraId="27A8ECED" w14:textId="77777777" w:rsidR="002340AF" w:rsidRDefault="002340AF">
      <w:pPr>
        <w:spacing w:after="0" w:line="360" w:lineRule="auto"/>
      </w:pPr>
    </w:p>
    <w:p w14:paraId="16961B10" w14:textId="77777777" w:rsidR="002340AF" w:rsidRDefault="002340AF">
      <w:pPr>
        <w:spacing w:after="0" w:line="360" w:lineRule="auto"/>
      </w:pPr>
    </w:p>
    <w:p w14:paraId="1798FBEC" w14:textId="77777777" w:rsidR="002340AF" w:rsidRDefault="002340AF">
      <w:pPr>
        <w:spacing w:after="0" w:line="360" w:lineRule="auto"/>
      </w:pPr>
    </w:p>
    <w:p w14:paraId="63054EAB" w14:textId="77777777" w:rsidR="002340AF" w:rsidRDefault="002340AF">
      <w:pPr>
        <w:spacing w:after="0" w:line="360" w:lineRule="auto"/>
      </w:pPr>
    </w:p>
    <w:p w14:paraId="5DA7F054" w14:textId="77777777" w:rsidR="002340AF" w:rsidRDefault="002340AF">
      <w:pPr>
        <w:spacing w:after="0" w:line="360" w:lineRule="auto"/>
      </w:pPr>
    </w:p>
    <w:p w14:paraId="0EBBAA2C" w14:textId="77777777" w:rsidR="002340AF" w:rsidRDefault="002340AF">
      <w:pPr>
        <w:spacing w:after="0" w:line="360" w:lineRule="auto"/>
      </w:pPr>
    </w:p>
    <w:p w14:paraId="507C23CA" w14:textId="77777777" w:rsidR="002340AF" w:rsidRDefault="002340AF">
      <w:pPr>
        <w:spacing w:after="0" w:line="360" w:lineRule="auto"/>
      </w:pPr>
    </w:p>
    <w:p w14:paraId="4575D300" w14:textId="77777777" w:rsidR="002340AF" w:rsidRDefault="002340AF">
      <w:pPr>
        <w:spacing w:after="0" w:line="360" w:lineRule="auto"/>
      </w:pPr>
    </w:p>
    <w:sectPr w:rsidR="002340AF">
      <w:headerReference w:type="even" r:id="rId9"/>
      <w:headerReference w:type="default" r:id="rId10"/>
      <w:footerReference w:type="even" r:id="rId11"/>
      <w:footerReference w:type="default" r:id="rId12"/>
      <w:headerReference w:type="first" r:id="rId13"/>
      <w:footerReference w:type="first" r:id="rId14"/>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40093" w14:textId="77777777" w:rsidR="00625504" w:rsidRDefault="00625504">
      <w:pPr>
        <w:spacing w:after="0" w:line="240" w:lineRule="auto"/>
      </w:pPr>
      <w:r>
        <w:separator/>
      </w:r>
    </w:p>
  </w:endnote>
  <w:endnote w:type="continuationSeparator" w:id="0">
    <w:p w14:paraId="2000C59D" w14:textId="77777777" w:rsidR="00625504" w:rsidRDefault="00625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2AED9" w14:textId="77777777" w:rsidR="002340AF" w:rsidRDefault="009B70B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4B2AB9">
      <w:rPr>
        <w:b/>
        <w:color w:val="000000"/>
        <w:sz w:val="24"/>
        <w:szCs w:val="24"/>
      </w:rPr>
      <w:fldChar w:fldCharType="separate"/>
    </w:r>
    <w:r w:rsidR="004B2AB9">
      <w:rPr>
        <w:b/>
        <w:noProof/>
        <w:color w:val="000000"/>
        <w:sz w:val="24"/>
        <w:szCs w:val="24"/>
      </w:rPr>
      <w:t>24</w:t>
    </w:r>
    <w:r>
      <w:rPr>
        <w:b/>
        <w:color w:val="000000"/>
        <w:sz w:val="24"/>
        <w:szCs w:val="24"/>
      </w:rPr>
      <w:fldChar w:fldCharType="end"/>
    </w:r>
  </w:p>
  <w:p w14:paraId="549A8B4E" w14:textId="77777777" w:rsidR="002340AF" w:rsidRDefault="002340A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88F96" w14:textId="77777777" w:rsidR="002340AF" w:rsidRDefault="009B70B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B2AB9">
      <w:rPr>
        <w:b/>
        <w:noProof/>
        <w:color w:val="000000"/>
        <w:sz w:val="24"/>
        <w:szCs w:val="24"/>
      </w:rPr>
      <w:t>23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B2AB9">
      <w:rPr>
        <w:b/>
        <w:noProof/>
        <w:color w:val="000000"/>
        <w:sz w:val="24"/>
        <w:szCs w:val="24"/>
      </w:rPr>
      <w:t>24</w:t>
    </w:r>
    <w:r>
      <w:rPr>
        <w:b/>
        <w:color w:val="000000"/>
        <w:sz w:val="24"/>
        <w:szCs w:val="24"/>
      </w:rPr>
      <w:fldChar w:fldCharType="end"/>
    </w:r>
  </w:p>
  <w:p w14:paraId="3ED9599D" w14:textId="77777777" w:rsidR="002340AF" w:rsidRDefault="002340A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EFED1" w14:textId="77777777" w:rsidR="002340AF" w:rsidRDefault="009B70B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B2AB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B2AB9">
      <w:rPr>
        <w:b/>
        <w:noProof/>
        <w:color w:val="000000"/>
        <w:sz w:val="24"/>
        <w:szCs w:val="24"/>
      </w:rPr>
      <w:t>24</w:t>
    </w:r>
    <w:r>
      <w:rPr>
        <w:b/>
        <w:color w:val="000000"/>
        <w:sz w:val="24"/>
        <w:szCs w:val="24"/>
      </w:rPr>
      <w:fldChar w:fldCharType="end"/>
    </w:r>
  </w:p>
  <w:p w14:paraId="34426EB2" w14:textId="77777777" w:rsidR="002340AF" w:rsidRDefault="002340A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2977F" w14:textId="77777777" w:rsidR="00625504" w:rsidRDefault="00625504">
      <w:pPr>
        <w:spacing w:after="0" w:line="240" w:lineRule="auto"/>
      </w:pPr>
      <w:r>
        <w:separator/>
      </w:r>
    </w:p>
  </w:footnote>
  <w:footnote w:type="continuationSeparator" w:id="0">
    <w:p w14:paraId="35E03D79" w14:textId="77777777" w:rsidR="00625504" w:rsidRDefault="006255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84FF4" w14:textId="77777777" w:rsidR="002340AF" w:rsidRDefault="002340AF">
    <w:pPr>
      <w:widowControl w:val="0"/>
      <w:pBdr>
        <w:top w:val="nil"/>
        <w:left w:val="nil"/>
        <w:bottom w:val="nil"/>
        <w:right w:val="nil"/>
        <w:between w:val="nil"/>
      </w:pBdr>
      <w:spacing w:after="0" w:line="276" w:lineRule="auto"/>
      <w:jc w:val="left"/>
      <w:rPr>
        <w:color w:val="000000"/>
      </w:rPr>
    </w:pPr>
  </w:p>
  <w:tbl>
    <w:tblPr>
      <w:tblStyle w:val="affffff6"/>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2340AF" w14:paraId="2007B709" w14:textId="77777777">
      <w:trPr>
        <w:trHeight w:val="141"/>
      </w:trPr>
      <w:tc>
        <w:tcPr>
          <w:tcW w:w="2404" w:type="dxa"/>
        </w:tcPr>
        <w:p w14:paraId="7B700BF1" w14:textId="77777777" w:rsidR="002340AF" w:rsidRDefault="009B70B3">
          <w:pPr>
            <w:tabs>
              <w:tab w:val="right" w:pos="8838"/>
            </w:tabs>
            <w:ind w:right="-105"/>
            <w:rPr>
              <w:b/>
            </w:rPr>
          </w:pPr>
          <w:r>
            <w:rPr>
              <w:b/>
            </w:rPr>
            <w:t>Recurso de Revisión:</w:t>
          </w:r>
        </w:p>
      </w:tc>
      <w:tc>
        <w:tcPr>
          <w:tcW w:w="3587" w:type="dxa"/>
        </w:tcPr>
        <w:p w14:paraId="1487279F" w14:textId="77777777" w:rsidR="002340AF" w:rsidRDefault="009B70B3">
          <w:pPr>
            <w:tabs>
              <w:tab w:val="right" w:pos="8838"/>
            </w:tabs>
            <w:ind w:left="-28" w:right="683"/>
          </w:pPr>
          <w:r>
            <w:t>04196/INFOEM/IP/RR/2020</w:t>
          </w:r>
        </w:p>
      </w:tc>
    </w:tr>
    <w:tr w:rsidR="002340AF" w14:paraId="10EE6BC6" w14:textId="77777777">
      <w:trPr>
        <w:trHeight w:val="276"/>
      </w:trPr>
      <w:tc>
        <w:tcPr>
          <w:tcW w:w="2404" w:type="dxa"/>
        </w:tcPr>
        <w:p w14:paraId="6305978E" w14:textId="77777777" w:rsidR="002340AF" w:rsidRDefault="009B70B3">
          <w:pPr>
            <w:tabs>
              <w:tab w:val="right" w:pos="8838"/>
            </w:tabs>
            <w:ind w:right="-105"/>
            <w:rPr>
              <w:b/>
            </w:rPr>
          </w:pPr>
          <w:r>
            <w:rPr>
              <w:b/>
            </w:rPr>
            <w:t>Sujeto Obligado:</w:t>
          </w:r>
        </w:p>
      </w:tc>
      <w:tc>
        <w:tcPr>
          <w:tcW w:w="3587" w:type="dxa"/>
        </w:tcPr>
        <w:p w14:paraId="689400C5" w14:textId="77777777" w:rsidR="002340AF" w:rsidRDefault="009B70B3">
          <w:pPr>
            <w:tabs>
              <w:tab w:val="right" w:pos="8838"/>
            </w:tabs>
            <w:ind w:right="116"/>
          </w:pPr>
          <w:r>
            <w:t>Ayuntamiento de Chapultepec</w:t>
          </w:r>
        </w:p>
      </w:tc>
    </w:tr>
    <w:tr w:rsidR="002340AF" w14:paraId="08460A17" w14:textId="77777777">
      <w:trPr>
        <w:trHeight w:val="276"/>
      </w:trPr>
      <w:tc>
        <w:tcPr>
          <w:tcW w:w="2404" w:type="dxa"/>
        </w:tcPr>
        <w:p w14:paraId="25A9351E" w14:textId="77777777" w:rsidR="002340AF" w:rsidRDefault="009B70B3">
          <w:pPr>
            <w:tabs>
              <w:tab w:val="right" w:pos="8838"/>
            </w:tabs>
            <w:ind w:right="-105"/>
            <w:rPr>
              <w:b/>
            </w:rPr>
          </w:pPr>
          <w:r>
            <w:rPr>
              <w:b/>
            </w:rPr>
            <w:t>Comisionado Ponente:</w:t>
          </w:r>
        </w:p>
      </w:tc>
      <w:tc>
        <w:tcPr>
          <w:tcW w:w="3587" w:type="dxa"/>
        </w:tcPr>
        <w:p w14:paraId="67677D7D" w14:textId="77777777" w:rsidR="002340AF" w:rsidRDefault="009B70B3">
          <w:pPr>
            <w:tabs>
              <w:tab w:val="right" w:pos="8838"/>
            </w:tabs>
            <w:ind w:right="-32"/>
          </w:pPr>
          <w:r>
            <w:t>Luis Gustavo Parra Noriega</w:t>
          </w:r>
        </w:p>
      </w:tc>
    </w:tr>
  </w:tbl>
  <w:p w14:paraId="01FDDA7E" w14:textId="77777777" w:rsidR="002340AF" w:rsidRDefault="00625504">
    <w:pPr>
      <w:pBdr>
        <w:top w:val="nil"/>
        <w:left w:val="nil"/>
        <w:bottom w:val="nil"/>
        <w:right w:val="nil"/>
        <w:between w:val="nil"/>
      </w:pBdr>
      <w:tabs>
        <w:tab w:val="center" w:pos="4419"/>
        <w:tab w:val="right" w:pos="8838"/>
      </w:tabs>
      <w:spacing w:after="0" w:line="240" w:lineRule="auto"/>
      <w:rPr>
        <w:color w:val="000000"/>
      </w:rPr>
    </w:pPr>
    <w:r>
      <w:rPr>
        <w:color w:val="000000"/>
      </w:rPr>
      <w:pict w14:anchorId="31ADBC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6B2E4" w14:textId="77777777" w:rsidR="002340AF" w:rsidRDefault="002340AF">
    <w:pPr>
      <w:rPr>
        <w:sz w:val="16"/>
        <w:szCs w:val="16"/>
      </w:rPr>
    </w:pPr>
  </w:p>
  <w:tbl>
    <w:tblPr>
      <w:tblStyle w:val="affffff7"/>
      <w:tblW w:w="6095"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409"/>
      <w:gridCol w:w="3686"/>
    </w:tblGrid>
    <w:tr w:rsidR="002340AF" w14:paraId="1ED780BE" w14:textId="77777777">
      <w:trPr>
        <w:trHeight w:val="141"/>
      </w:trPr>
      <w:tc>
        <w:tcPr>
          <w:tcW w:w="2409" w:type="dxa"/>
        </w:tcPr>
        <w:p w14:paraId="0A09A440" w14:textId="77777777" w:rsidR="002340AF" w:rsidRDefault="009B70B3">
          <w:pPr>
            <w:tabs>
              <w:tab w:val="right" w:pos="8838"/>
            </w:tabs>
            <w:ind w:left="-395" w:right="-105" w:firstLine="395"/>
            <w:rPr>
              <w:b/>
            </w:rPr>
          </w:pPr>
          <w:r>
            <w:rPr>
              <w:b/>
            </w:rPr>
            <w:t>Recurso de Revisión:</w:t>
          </w:r>
        </w:p>
      </w:tc>
      <w:tc>
        <w:tcPr>
          <w:tcW w:w="3686" w:type="dxa"/>
        </w:tcPr>
        <w:p w14:paraId="2EEEEBC4" w14:textId="77777777" w:rsidR="002340AF" w:rsidRPr="007F4431" w:rsidRDefault="009B70B3">
          <w:pPr>
            <w:tabs>
              <w:tab w:val="right" w:pos="8838"/>
            </w:tabs>
            <w:ind w:right="176"/>
            <w:rPr>
              <w:bCs/>
            </w:rPr>
          </w:pPr>
          <w:r w:rsidRPr="007F4431">
            <w:rPr>
              <w:bCs/>
            </w:rPr>
            <w:t>09056/INFOEM/IP/RR/2025</w:t>
          </w:r>
        </w:p>
      </w:tc>
    </w:tr>
    <w:tr w:rsidR="002340AF" w14:paraId="32875CC1" w14:textId="77777777">
      <w:trPr>
        <w:trHeight w:val="276"/>
      </w:trPr>
      <w:tc>
        <w:tcPr>
          <w:tcW w:w="2409" w:type="dxa"/>
        </w:tcPr>
        <w:p w14:paraId="4C72B7E3" w14:textId="77777777" w:rsidR="002340AF" w:rsidRDefault="009B70B3">
          <w:pPr>
            <w:tabs>
              <w:tab w:val="right" w:pos="8838"/>
            </w:tabs>
            <w:ind w:right="-105"/>
            <w:rPr>
              <w:b/>
            </w:rPr>
          </w:pPr>
          <w:r>
            <w:rPr>
              <w:b/>
            </w:rPr>
            <w:t>Sujeto Obligado:</w:t>
          </w:r>
        </w:p>
      </w:tc>
      <w:tc>
        <w:tcPr>
          <w:tcW w:w="3686" w:type="dxa"/>
        </w:tcPr>
        <w:p w14:paraId="68056883" w14:textId="77777777" w:rsidR="002340AF" w:rsidRDefault="009B70B3">
          <w:pPr>
            <w:tabs>
              <w:tab w:val="left" w:pos="3158"/>
              <w:tab w:val="left" w:pos="4292"/>
              <w:tab w:val="right" w:pos="8838"/>
            </w:tabs>
            <w:ind w:right="176"/>
          </w:pPr>
          <w:r>
            <w:t>Ayuntamiento de Tenancingo</w:t>
          </w:r>
        </w:p>
      </w:tc>
    </w:tr>
    <w:tr w:rsidR="002340AF" w14:paraId="01FFF861" w14:textId="77777777">
      <w:trPr>
        <w:trHeight w:val="276"/>
      </w:trPr>
      <w:tc>
        <w:tcPr>
          <w:tcW w:w="2409" w:type="dxa"/>
        </w:tcPr>
        <w:p w14:paraId="0DFE38ED" w14:textId="77777777" w:rsidR="002340AF" w:rsidRDefault="009B70B3">
          <w:pPr>
            <w:tabs>
              <w:tab w:val="right" w:pos="8838"/>
            </w:tabs>
            <w:ind w:right="-105"/>
            <w:rPr>
              <w:b/>
            </w:rPr>
          </w:pPr>
          <w:r>
            <w:rPr>
              <w:b/>
            </w:rPr>
            <w:t>Comisionado Ponente:</w:t>
          </w:r>
        </w:p>
      </w:tc>
      <w:tc>
        <w:tcPr>
          <w:tcW w:w="3686" w:type="dxa"/>
        </w:tcPr>
        <w:p w14:paraId="6CDA8348" w14:textId="77777777" w:rsidR="002340AF" w:rsidRDefault="009B70B3">
          <w:pPr>
            <w:tabs>
              <w:tab w:val="right" w:pos="8838"/>
            </w:tabs>
            <w:ind w:right="176"/>
          </w:pPr>
          <w:r>
            <w:t>Luis Gustavo Parra Noriega</w:t>
          </w:r>
        </w:p>
        <w:p w14:paraId="15EB6149" w14:textId="77777777" w:rsidR="002340AF" w:rsidRDefault="002340AF">
          <w:pPr>
            <w:tabs>
              <w:tab w:val="right" w:pos="8838"/>
            </w:tabs>
            <w:ind w:right="176"/>
          </w:pPr>
        </w:p>
      </w:tc>
    </w:tr>
  </w:tbl>
  <w:p w14:paraId="53E83FF5" w14:textId="77777777" w:rsidR="002340AF" w:rsidRDefault="00625504">
    <w:pPr>
      <w:pBdr>
        <w:top w:val="nil"/>
        <w:left w:val="nil"/>
        <w:bottom w:val="nil"/>
        <w:right w:val="nil"/>
        <w:between w:val="nil"/>
      </w:pBdr>
      <w:tabs>
        <w:tab w:val="center" w:pos="4419"/>
        <w:tab w:val="right" w:pos="8838"/>
      </w:tabs>
      <w:spacing w:after="0" w:line="240" w:lineRule="auto"/>
      <w:rPr>
        <w:color w:val="000000"/>
      </w:rPr>
    </w:pPr>
    <w:r>
      <w:rPr>
        <w:color w:val="000000"/>
      </w:rPr>
      <w:pict w14:anchorId="71168D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MARCA DE AGUA - HOJA RESOLUCIÓN" style="position:absolute;left:0;text-align:left;margin-left:0;margin-top:0;width:663.5pt;height:12in;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F3CF0" w14:textId="77777777" w:rsidR="002340AF" w:rsidRDefault="00625504">
    <w:pPr>
      <w:widowControl w:val="0"/>
      <w:pBdr>
        <w:top w:val="nil"/>
        <w:left w:val="nil"/>
        <w:bottom w:val="nil"/>
        <w:right w:val="nil"/>
        <w:between w:val="nil"/>
      </w:pBdr>
      <w:spacing w:after="0" w:line="276" w:lineRule="auto"/>
      <w:jc w:val="left"/>
      <w:rPr>
        <w:color w:val="000000"/>
      </w:rPr>
    </w:pPr>
    <w:r>
      <w:rPr>
        <w:color w:val="000000"/>
      </w:rPr>
      <w:pict w14:anchorId="094560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MARCA DE AGUA - HOJA RESOLUCIÓN" style="position:absolute;margin-left:-97.1pt;margin-top:-123.85pt;width:663.5pt;height:12in;z-index:-251658752;mso-position-horizontal:absolute;mso-position-horizontal-relative:margin;mso-position-vertical:absolute;mso-position-vertical-relative:margin">
          <v:imagedata r:id="rId1" o:title="image1"/>
          <w10:wrap anchorx="margin" anchory="margin"/>
        </v:shape>
      </w:pict>
    </w:r>
  </w:p>
  <w:tbl>
    <w:tblPr>
      <w:tblStyle w:val="affffff8"/>
      <w:tblW w:w="9214" w:type="dxa"/>
      <w:tblInd w:w="0" w:type="dxa"/>
      <w:tblLayout w:type="fixed"/>
      <w:tblLook w:val="0400" w:firstRow="0" w:lastRow="0" w:firstColumn="0" w:lastColumn="0" w:noHBand="0" w:noVBand="1"/>
    </w:tblPr>
    <w:tblGrid>
      <w:gridCol w:w="2127"/>
      <w:gridCol w:w="7087"/>
    </w:tblGrid>
    <w:tr w:rsidR="002340AF" w14:paraId="2EE3510C" w14:textId="77777777">
      <w:trPr>
        <w:trHeight w:val="1546"/>
      </w:trPr>
      <w:tc>
        <w:tcPr>
          <w:tcW w:w="2127" w:type="dxa"/>
        </w:tcPr>
        <w:p w14:paraId="3BF179BC" w14:textId="77777777" w:rsidR="002340AF" w:rsidRDefault="002340AF">
          <w:pPr>
            <w:tabs>
              <w:tab w:val="right" w:pos="4273"/>
            </w:tabs>
            <w:rPr>
              <w:rFonts w:ascii="Garamond" w:eastAsia="Garamond" w:hAnsi="Garamond" w:cs="Garamond"/>
              <w:sz w:val="16"/>
              <w:szCs w:val="16"/>
            </w:rPr>
          </w:pPr>
        </w:p>
      </w:tc>
      <w:tc>
        <w:tcPr>
          <w:tcW w:w="7087" w:type="dxa"/>
        </w:tcPr>
        <w:p w14:paraId="39D80421" w14:textId="77777777" w:rsidR="002340AF" w:rsidRDefault="002340AF">
          <w:pPr>
            <w:rPr>
              <w:sz w:val="10"/>
              <w:szCs w:val="10"/>
            </w:rPr>
          </w:pPr>
        </w:p>
        <w:tbl>
          <w:tblPr>
            <w:tblStyle w:val="affffff9"/>
            <w:tblW w:w="6525" w:type="dxa"/>
            <w:tblInd w:w="454" w:type="dxa"/>
            <w:tblLayout w:type="fixed"/>
            <w:tblLook w:val="0400" w:firstRow="0" w:lastRow="0" w:firstColumn="0" w:lastColumn="0" w:noHBand="0" w:noVBand="1"/>
          </w:tblPr>
          <w:tblGrid>
            <w:gridCol w:w="2500"/>
            <w:gridCol w:w="4025"/>
          </w:tblGrid>
          <w:tr w:rsidR="002340AF" w14:paraId="18F85F8E" w14:textId="77777777">
            <w:trPr>
              <w:trHeight w:val="427"/>
            </w:trPr>
            <w:tc>
              <w:tcPr>
                <w:tcW w:w="2500" w:type="dxa"/>
                <w:vAlign w:val="bottom"/>
              </w:tcPr>
              <w:p w14:paraId="2F232FDE" w14:textId="77777777" w:rsidR="002340AF" w:rsidRDefault="009B70B3">
                <w:pPr>
                  <w:tabs>
                    <w:tab w:val="right" w:pos="8838"/>
                  </w:tabs>
                  <w:ind w:right="-105"/>
                  <w:rPr>
                    <w:b/>
                  </w:rPr>
                </w:pPr>
                <w:r>
                  <w:rPr>
                    <w:b/>
                  </w:rPr>
                  <w:t>Recurso de Revisión:</w:t>
                </w:r>
              </w:p>
            </w:tc>
            <w:tc>
              <w:tcPr>
                <w:tcW w:w="4025" w:type="dxa"/>
              </w:tcPr>
              <w:p w14:paraId="73F0353B" w14:textId="77777777" w:rsidR="002340AF" w:rsidRDefault="002340AF">
                <w:pPr>
                  <w:tabs>
                    <w:tab w:val="right" w:pos="8838"/>
                  </w:tabs>
                  <w:ind w:left="-28" w:right="-107"/>
                  <w:rPr>
                    <w:b/>
                  </w:rPr>
                </w:pPr>
              </w:p>
              <w:p w14:paraId="6137139D" w14:textId="77777777" w:rsidR="002340AF" w:rsidRPr="007F4431" w:rsidRDefault="009B70B3">
                <w:pPr>
                  <w:tabs>
                    <w:tab w:val="right" w:pos="8838"/>
                  </w:tabs>
                  <w:ind w:left="-28" w:right="-107"/>
                  <w:rPr>
                    <w:bCs/>
                  </w:rPr>
                </w:pPr>
                <w:r w:rsidRPr="007F4431">
                  <w:rPr>
                    <w:bCs/>
                  </w:rPr>
                  <w:t>09056/INFOEM/IP/RR/2025</w:t>
                </w:r>
              </w:p>
            </w:tc>
          </w:tr>
          <w:tr w:rsidR="002340AF" w14:paraId="1B00A30D" w14:textId="77777777">
            <w:trPr>
              <w:trHeight w:val="141"/>
            </w:trPr>
            <w:tc>
              <w:tcPr>
                <w:tcW w:w="2500" w:type="dxa"/>
              </w:tcPr>
              <w:p w14:paraId="0B76852F" w14:textId="77777777" w:rsidR="002340AF" w:rsidRDefault="009B70B3">
                <w:pPr>
                  <w:tabs>
                    <w:tab w:val="right" w:pos="8838"/>
                  </w:tabs>
                  <w:ind w:right="-105"/>
                  <w:rPr>
                    <w:b/>
                  </w:rPr>
                </w:pPr>
                <w:r>
                  <w:rPr>
                    <w:b/>
                  </w:rPr>
                  <w:t>Recurrente:</w:t>
                </w:r>
              </w:p>
            </w:tc>
            <w:tc>
              <w:tcPr>
                <w:tcW w:w="4025" w:type="dxa"/>
              </w:tcPr>
              <w:p w14:paraId="5CE01132" w14:textId="77777777" w:rsidR="002340AF" w:rsidRDefault="002340AF">
                <w:pPr>
                  <w:tabs>
                    <w:tab w:val="right" w:pos="8838"/>
                  </w:tabs>
                  <w:ind w:right="-107"/>
                </w:pPr>
              </w:p>
            </w:tc>
          </w:tr>
          <w:tr w:rsidR="002340AF" w14:paraId="1B753DEF" w14:textId="77777777">
            <w:trPr>
              <w:trHeight w:val="276"/>
            </w:trPr>
            <w:tc>
              <w:tcPr>
                <w:tcW w:w="2500" w:type="dxa"/>
              </w:tcPr>
              <w:p w14:paraId="027BF52E" w14:textId="77777777" w:rsidR="002340AF" w:rsidRDefault="009B70B3">
                <w:pPr>
                  <w:tabs>
                    <w:tab w:val="right" w:pos="8838"/>
                  </w:tabs>
                  <w:ind w:right="-105"/>
                  <w:rPr>
                    <w:b/>
                  </w:rPr>
                </w:pPr>
                <w:r>
                  <w:rPr>
                    <w:b/>
                  </w:rPr>
                  <w:t>Sujeto Obligado:</w:t>
                </w:r>
              </w:p>
            </w:tc>
            <w:tc>
              <w:tcPr>
                <w:tcW w:w="4025" w:type="dxa"/>
              </w:tcPr>
              <w:p w14:paraId="687995D0" w14:textId="77777777" w:rsidR="002340AF" w:rsidRDefault="009B70B3">
                <w:pPr>
                  <w:tabs>
                    <w:tab w:val="right" w:pos="8838"/>
                  </w:tabs>
                  <w:ind w:right="33"/>
                </w:pPr>
                <w:r>
                  <w:t>Ayuntamiento de Tenancingo</w:t>
                </w:r>
              </w:p>
            </w:tc>
          </w:tr>
          <w:tr w:rsidR="002340AF" w14:paraId="2A67CFDE" w14:textId="77777777">
            <w:trPr>
              <w:trHeight w:val="276"/>
            </w:trPr>
            <w:tc>
              <w:tcPr>
                <w:tcW w:w="2500" w:type="dxa"/>
              </w:tcPr>
              <w:p w14:paraId="7BD5BD7B" w14:textId="77777777" w:rsidR="002340AF" w:rsidRDefault="009B70B3">
                <w:pPr>
                  <w:tabs>
                    <w:tab w:val="right" w:pos="8838"/>
                  </w:tabs>
                  <w:ind w:right="-105"/>
                  <w:rPr>
                    <w:b/>
                  </w:rPr>
                </w:pPr>
                <w:r>
                  <w:rPr>
                    <w:b/>
                  </w:rPr>
                  <w:t>Comisionado Ponente:</w:t>
                </w:r>
              </w:p>
            </w:tc>
            <w:tc>
              <w:tcPr>
                <w:tcW w:w="4025" w:type="dxa"/>
              </w:tcPr>
              <w:p w14:paraId="51D318B6" w14:textId="77777777" w:rsidR="002340AF" w:rsidRDefault="009B70B3">
                <w:pPr>
                  <w:tabs>
                    <w:tab w:val="right" w:pos="8838"/>
                  </w:tabs>
                  <w:ind w:right="-107"/>
                </w:pPr>
                <w:r>
                  <w:t>Luis Gustavo Parra Noriega</w:t>
                </w:r>
              </w:p>
            </w:tc>
          </w:tr>
        </w:tbl>
        <w:p w14:paraId="6B9E31A4" w14:textId="77777777" w:rsidR="002340AF" w:rsidRDefault="002340AF">
          <w:pPr>
            <w:tabs>
              <w:tab w:val="right" w:pos="8838"/>
            </w:tabs>
            <w:ind w:left="-28"/>
            <w:rPr>
              <w:rFonts w:ascii="Arial" w:eastAsia="Arial" w:hAnsi="Arial" w:cs="Arial"/>
              <w:b/>
            </w:rPr>
          </w:pPr>
        </w:p>
      </w:tc>
    </w:tr>
  </w:tbl>
  <w:p w14:paraId="61A9058F" w14:textId="77777777" w:rsidR="002340AF" w:rsidRDefault="002340A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A37C4"/>
    <w:multiLevelType w:val="multilevel"/>
    <w:tmpl w:val="37A41A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B34BF3"/>
    <w:multiLevelType w:val="multilevel"/>
    <w:tmpl w:val="E69EC6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324098"/>
    <w:multiLevelType w:val="multilevel"/>
    <w:tmpl w:val="37A41A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CC5117A"/>
    <w:multiLevelType w:val="multilevel"/>
    <w:tmpl w:val="2F88D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D3371B"/>
    <w:multiLevelType w:val="multilevel"/>
    <w:tmpl w:val="37A41A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9F58CE"/>
    <w:multiLevelType w:val="multilevel"/>
    <w:tmpl w:val="37A41A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0AF"/>
    <w:rsid w:val="00115A93"/>
    <w:rsid w:val="00183A22"/>
    <w:rsid w:val="002340AF"/>
    <w:rsid w:val="0025680E"/>
    <w:rsid w:val="004B2AB9"/>
    <w:rsid w:val="0058734E"/>
    <w:rsid w:val="00625504"/>
    <w:rsid w:val="00712284"/>
    <w:rsid w:val="007957D6"/>
    <w:rsid w:val="007F4431"/>
    <w:rsid w:val="009820F7"/>
    <w:rsid w:val="009B70B3"/>
    <w:rsid w:val="00A91C5D"/>
    <w:rsid w:val="00F82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4E5C94"/>
  <w15:docId w15:val="{B71E0ECD-0814-40A7-B556-C4AAF282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line="360" w:lineRule="auto"/>
      <w:jc w:val="center"/>
      <w:outlineLvl w:val="0"/>
    </w:pPr>
    <w:rPr>
      <w:b/>
      <w:sz w:val="24"/>
      <w:szCs w:val="24"/>
    </w:rPr>
  </w:style>
  <w:style w:type="paragraph" w:styleId="Ttulo2">
    <w:name w:val="heading 2"/>
    <w:basedOn w:val="Normal"/>
    <w:next w:val="Normal"/>
    <w:uiPriority w:val="9"/>
    <w:unhideWhenUsed/>
    <w:qFormat/>
    <w:pPr>
      <w:keepNext/>
      <w:keepLines/>
      <w:spacing w:before="360" w:after="80" w:line="360" w:lineRule="auto"/>
      <w:jc w:val="left"/>
      <w:outlineLvl w:val="1"/>
    </w:pPr>
    <w:rPr>
      <w:b/>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qFormat/>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table" w:customStyle="1" w:styleId="a">
    <w:basedOn w:val="TableNormalf3"/>
    <w:pPr>
      <w:spacing w:after="0" w:line="240" w:lineRule="auto"/>
    </w:pPr>
    <w:tblPr>
      <w:tblStyleRowBandSize w:val="1"/>
      <w:tblStyleColBandSize w:val="1"/>
      <w:tblCellMar>
        <w:left w:w="108" w:type="dxa"/>
        <w:right w:w="108" w:type="dxa"/>
      </w:tblCellMar>
    </w:tblPr>
  </w:style>
  <w:style w:type="table" w:customStyle="1" w:styleId="a0">
    <w:basedOn w:val="TableNormalf3"/>
    <w:pPr>
      <w:spacing w:after="0" w:line="240" w:lineRule="auto"/>
    </w:pPr>
    <w:tblPr>
      <w:tblStyleRowBandSize w:val="1"/>
      <w:tblStyleColBandSize w:val="1"/>
      <w:tblCellMar>
        <w:left w:w="108" w:type="dxa"/>
        <w:right w:w="108" w:type="dxa"/>
      </w:tblCellMar>
    </w:tblPr>
  </w:style>
  <w:style w:type="table" w:customStyle="1" w:styleId="a1">
    <w:basedOn w:val="TableNormalf3"/>
    <w:tblPr>
      <w:tblStyleRowBandSize w:val="1"/>
      <w:tblStyleColBandSize w:val="1"/>
      <w:tblCellMar>
        <w:left w:w="115" w:type="dxa"/>
        <w:right w:w="115" w:type="dxa"/>
      </w:tblCellMar>
    </w:tblPr>
  </w:style>
  <w:style w:type="table" w:customStyle="1" w:styleId="a2">
    <w:basedOn w:val="TableNormalf3"/>
    <w:pPr>
      <w:spacing w:after="0" w:line="240" w:lineRule="auto"/>
    </w:pPr>
    <w:tblPr>
      <w:tblStyleRowBandSize w:val="1"/>
      <w:tblStyleColBandSize w:val="1"/>
      <w:tblCellMar>
        <w:left w:w="108" w:type="dxa"/>
        <w:right w:w="108" w:type="dxa"/>
      </w:tblCellMar>
    </w:tblPr>
  </w:style>
  <w:style w:type="paragraph" w:styleId="TtulodeTDC">
    <w:name w:val="TOC Heading"/>
    <w:next w:val="Normal"/>
    <w:uiPriority w:val="39"/>
    <w:unhideWhenUsed/>
    <w:qFormat/>
    <w:rsid w:val="00A50615"/>
    <w:pPr>
      <w:spacing w:before="240" w:after="0"/>
      <w:jc w:val="left"/>
    </w:pPr>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A50615"/>
    <w:pPr>
      <w:spacing w:after="100"/>
      <w:ind w:left="220"/>
    </w:pPr>
  </w:style>
  <w:style w:type="character" w:customStyle="1" w:styleId="Mencinsinresolver3">
    <w:name w:val="Mención sin resolver3"/>
    <w:basedOn w:val="Fuentedeprrafopredeter"/>
    <w:uiPriority w:val="99"/>
    <w:semiHidden/>
    <w:unhideWhenUsed/>
    <w:rsid w:val="00BE1DC0"/>
    <w:rPr>
      <w:color w:val="605E5C"/>
      <w:shd w:val="clear" w:color="auto" w:fill="E1DFDD"/>
    </w:rPr>
  </w:style>
  <w:style w:type="table" w:customStyle="1" w:styleId="a3">
    <w:basedOn w:val="TableNormalf3"/>
    <w:pPr>
      <w:spacing w:after="0" w:line="240" w:lineRule="auto"/>
    </w:pPr>
    <w:tblPr>
      <w:tblStyleRowBandSize w:val="1"/>
      <w:tblStyleColBandSize w:val="1"/>
      <w:tblCellMar>
        <w:left w:w="108" w:type="dxa"/>
        <w:right w:w="108" w:type="dxa"/>
      </w:tblCellMar>
    </w:tblPr>
  </w:style>
  <w:style w:type="table" w:customStyle="1" w:styleId="a4">
    <w:basedOn w:val="TableNormalf3"/>
    <w:pPr>
      <w:spacing w:after="0" w:line="240" w:lineRule="auto"/>
    </w:pPr>
    <w:tblPr>
      <w:tblStyleRowBandSize w:val="1"/>
      <w:tblStyleColBandSize w:val="1"/>
      <w:tblCellMar>
        <w:left w:w="108" w:type="dxa"/>
        <w:right w:w="108" w:type="dxa"/>
      </w:tblCellMar>
    </w:tblPr>
  </w:style>
  <w:style w:type="table" w:customStyle="1" w:styleId="a5">
    <w:basedOn w:val="TableNormalf3"/>
    <w:pPr>
      <w:spacing w:after="0" w:line="240" w:lineRule="auto"/>
    </w:pPr>
    <w:tblPr>
      <w:tblStyleRowBandSize w:val="1"/>
      <w:tblStyleColBandSize w:val="1"/>
      <w:tblCellMar>
        <w:left w:w="108" w:type="dxa"/>
        <w:right w:w="108" w:type="dxa"/>
      </w:tblCellMar>
    </w:tblPr>
  </w:style>
  <w:style w:type="table" w:customStyle="1" w:styleId="a6">
    <w:basedOn w:val="TableNormalf3"/>
    <w:pPr>
      <w:spacing w:after="0" w:line="240" w:lineRule="auto"/>
    </w:pPr>
    <w:tblPr>
      <w:tblStyleRowBandSize w:val="1"/>
      <w:tblStyleColBandSize w:val="1"/>
      <w:tblCellMar>
        <w:left w:w="108" w:type="dxa"/>
        <w:right w:w="108" w:type="dxa"/>
      </w:tblCellMar>
    </w:tblPr>
  </w:style>
  <w:style w:type="table" w:customStyle="1" w:styleId="a7">
    <w:basedOn w:val="TableNormalf2"/>
    <w:pPr>
      <w:spacing w:after="0" w:line="240" w:lineRule="auto"/>
    </w:pPr>
    <w:tblPr>
      <w:tblStyleRowBandSize w:val="1"/>
      <w:tblStyleColBandSize w:val="1"/>
      <w:tblCellMar>
        <w:left w:w="108" w:type="dxa"/>
        <w:right w:w="108" w:type="dxa"/>
      </w:tblCellMar>
    </w:tblPr>
  </w:style>
  <w:style w:type="table" w:customStyle="1" w:styleId="a8">
    <w:basedOn w:val="TableNormalf2"/>
    <w:pPr>
      <w:spacing w:after="0" w:line="240" w:lineRule="auto"/>
    </w:pPr>
    <w:tblPr>
      <w:tblStyleRowBandSize w:val="1"/>
      <w:tblStyleColBandSize w:val="1"/>
      <w:tblCellMar>
        <w:left w:w="108" w:type="dxa"/>
        <w:right w:w="108" w:type="dxa"/>
      </w:tblCellMar>
    </w:tblPr>
  </w:style>
  <w:style w:type="table" w:customStyle="1" w:styleId="a9">
    <w:basedOn w:val="TableNormalf2"/>
    <w:pPr>
      <w:spacing w:after="0" w:line="240" w:lineRule="auto"/>
    </w:pPr>
    <w:tblPr>
      <w:tblStyleRowBandSize w:val="1"/>
      <w:tblStyleColBandSize w:val="1"/>
      <w:tblCellMar>
        <w:left w:w="108" w:type="dxa"/>
        <w:right w:w="108" w:type="dxa"/>
      </w:tblCellMar>
    </w:tblPr>
  </w:style>
  <w:style w:type="table" w:customStyle="1" w:styleId="aa">
    <w:basedOn w:val="TableNormalf2"/>
    <w:pPr>
      <w:spacing w:after="0" w:line="240" w:lineRule="auto"/>
    </w:pPr>
    <w:tblPr>
      <w:tblStyleRowBandSize w:val="1"/>
      <w:tblStyleColBandSize w:val="1"/>
      <w:tblCellMar>
        <w:left w:w="108" w:type="dxa"/>
        <w:right w:w="108" w:type="dxa"/>
      </w:tblCellMar>
    </w:tblPr>
  </w:style>
  <w:style w:type="table" w:customStyle="1" w:styleId="ab">
    <w:basedOn w:val="TableNormalf1"/>
    <w:pPr>
      <w:spacing w:after="0" w:line="240" w:lineRule="auto"/>
    </w:pPr>
    <w:tblPr>
      <w:tblStyleRowBandSize w:val="1"/>
      <w:tblStyleColBandSize w:val="1"/>
      <w:tblCellMar>
        <w:left w:w="108" w:type="dxa"/>
        <w:right w:w="108" w:type="dxa"/>
      </w:tblCellMar>
    </w:tblPr>
  </w:style>
  <w:style w:type="table" w:customStyle="1" w:styleId="ac">
    <w:basedOn w:val="TableNormalf1"/>
    <w:pPr>
      <w:spacing w:after="0" w:line="240" w:lineRule="auto"/>
    </w:pPr>
    <w:tblPr>
      <w:tblStyleRowBandSize w:val="1"/>
      <w:tblStyleColBandSize w:val="1"/>
      <w:tblCellMar>
        <w:left w:w="108" w:type="dxa"/>
        <w:right w:w="108" w:type="dxa"/>
      </w:tblCellMar>
    </w:tblPr>
  </w:style>
  <w:style w:type="table" w:customStyle="1" w:styleId="ad">
    <w:basedOn w:val="TableNormalf1"/>
    <w:pPr>
      <w:spacing w:after="0" w:line="240" w:lineRule="auto"/>
    </w:pPr>
    <w:tblPr>
      <w:tblStyleRowBandSize w:val="1"/>
      <w:tblStyleColBandSize w:val="1"/>
      <w:tblCellMar>
        <w:left w:w="108" w:type="dxa"/>
        <w:right w:w="108" w:type="dxa"/>
      </w:tblCellMar>
    </w:tblPr>
  </w:style>
  <w:style w:type="table" w:customStyle="1" w:styleId="ae">
    <w:basedOn w:val="TableNormalf1"/>
    <w:pPr>
      <w:spacing w:after="0" w:line="240" w:lineRule="auto"/>
    </w:pPr>
    <w:tblPr>
      <w:tblStyleRowBandSize w:val="1"/>
      <w:tblStyleColBandSize w:val="1"/>
      <w:tblCellMar>
        <w:left w:w="108" w:type="dxa"/>
        <w:right w:w="108" w:type="dxa"/>
      </w:tblCellMar>
    </w:tblPr>
  </w:style>
  <w:style w:type="table" w:customStyle="1" w:styleId="af">
    <w:basedOn w:val="TableNormalf0"/>
    <w:pPr>
      <w:spacing w:after="0" w:line="240" w:lineRule="auto"/>
    </w:pPr>
    <w:tblPr>
      <w:tblStyleRowBandSize w:val="1"/>
      <w:tblStyleColBandSize w:val="1"/>
      <w:tblCellMar>
        <w:left w:w="108" w:type="dxa"/>
        <w:right w:w="108" w:type="dxa"/>
      </w:tblCellMar>
    </w:tblPr>
  </w:style>
  <w:style w:type="table" w:customStyle="1" w:styleId="af0">
    <w:basedOn w:val="TableNormalf0"/>
    <w:pPr>
      <w:spacing w:after="0" w:line="240" w:lineRule="auto"/>
    </w:pPr>
    <w:tblPr>
      <w:tblStyleRowBandSize w:val="1"/>
      <w:tblStyleColBandSize w:val="1"/>
      <w:tblCellMar>
        <w:left w:w="108" w:type="dxa"/>
        <w:right w:w="108" w:type="dxa"/>
      </w:tblCellMar>
    </w:tblPr>
  </w:style>
  <w:style w:type="table" w:customStyle="1" w:styleId="af1">
    <w:basedOn w:val="TableNormalf0"/>
    <w:pPr>
      <w:spacing w:after="0" w:line="240" w:lineRule="auto"/>
    </w:pPr>
    <w:tblPr>
      <w:tblStyleRowBandSize w:val="1"/>
      <w:tblStyleColBandSize w:val="1"/>
      <w:tblCellMar>
        <w:left w:w="108" w:type="dxa"/>
        <w:right w:w="108" w:type="dxa"/>
      </w:tblCellMar>
    </w:tblPr>
  </w:style>
  <w:style w:type="table" w:customStyle="1" w:styleId="af2">
    <w:basedOn w:val="TableNormalf0"/>
    <w:pPr>
      <w:spacing w:after="0" w:line="240" w:lineRule="auto"/>
    </w:pPr>
    <w:tblPr>
      <w:tblStyleRowBandSize w:val="1"/>
      <w:tblStyleColBandSize w:val="1"/>
      <w:tblCellMar>
        <w:left w:w="108" w:type="dxa"/>
        <w:right w:w="108" w:type="dxa"/>
      </w:tblCellMar>
    </w:tblPr>
  </w:style>
  <w:style w:type="table" w:customStyle="1" w:styleId="af3">
    <w:basedOn w:val="TableNormalf"/>
    <w:pPr>
      <w:spacing w:after="0" w:line="240" w:lineRule="auto"/>
    </w:pPr>
    <w:tblPr>
      <w:tblStyleRowBandSize w:val="1"/>
      <w:tblStyleColBandSize w:val="1"/>
      <w:tblCellMar>
        <w:left w:w="108" w:type="dxa"/>
        <w:right w:w="108" w:type="dxa"/>
      </w:tblCellMar>
    </w:tblPr>
  </w:style>
  <w:style w:type="table" w:customStyle="1" w:styleId="af4">
    <w:basedOn w:val="TableNormalf"/>
    <w:pPr>
      <w:spacing w:after="0" w:line="240" w:lineRule="auto"/>
    </w:pPr>
    <w:tblPr>
      <w:tblStyleRowBandSize w:val="1"/>
      <w:tblStyleColBandSize w:val="1"/>
      <w:tblCellMar>
        <w:left w:w="108" w:type="dxa"/>
        <w:right w:w="108" w:type="dxa"/>
      </w:tblCellMar>
    </w:tblPr>
  </w:style>
  <w:style w:type="table" w:customStyle="1" w:styleId="af5">
    <w:basedOn w:val="TableNormalf"/>
    <w:pPr>
      <w:spacing w:after="0" w:line="240" w:lineRule="auto"/>
    </w:pPr>
    <w:tblPr>
      <w:tblStyleRowBandSize w:val="1"/>
      <w:tblStyleColBandSize w:val="1"/>
      <w:tblCellMar>
        <w:left w:w="108" w:type="dxa"/>
        <w:right w:w="108" w:type="dxa"/>
      </w:tblCellMar>
    </w:tblPr>
  </w:style>
  <w:style w:type="table" w:customStyle="1" w:styleId="af6">
    <w:basedOn w:val="TableNormalf"/>
    <w:pPr>
      <w:spacing w:after="0" w:line="240" w:lineRule="auto"/>
    </w:pPr>
    <w:tblPr>
      <w:tblStyleRowBandSize w:val="1"/>
      <w:tblStyleColBandSize w:val="1"/>
      <w:tblCellMar>
        <w:left w:w="108" w:type="dxa"/>
        <w:right w:w="108" w:type="dxa"/>
      </w:tblCellMar>
    </w:tblPr>
  </w:style>
  <w:style w:type="table" w:customStyle="1" w:styleId="af7">
    <w:basedOn w:val="TableNormale"/>
    <w:pPr>
      <w:spacing w:after="0" w:line="240" w:lineRule="auto"/>
    </w:pPr>
    <w:tblPr>
      <w:tblStyleRowBandSize w:val="1"/>
      <w:tblStyleColBandSize w:val="1"/>
      <w:tblCellMar>
        <w:left w:w="108" w:type="dxa"/>
        <w:right w:w="108" w:type="dxa"/>
      </w:tblCellMar>
    </w:tblPr>
  </w:style>
  <w:style w:type="table" w:customStyle="1" w:styleId="af8">
    <w:basedOn w:val="TableNormale"/>
    <w:pPr>
      <w:spacing w:after="0" w:line="240" w:lineRule="auto"/>
    </w:pPr>
    <w:tblPr>
      <w:tblStyleRowBandSize w:val="1"/>
      <w:tblStyleColBandSize w:val="1"/>
      <w:tblCellMar>
        <w:left w:w="108" w:type="dxa"/>
        <w:right w:w="108" w:type="dxa"/>
      </w:tblCellMar>
    </w:tblPr>
  </w:style>
  <w:style w:type="table" w:customStyle="1" w:styleId="af9">
    <w:basedOn w:val="TableNormale"/>
    <w:pPr>
      <w:spacing w:after="0" w:line="240" w:lineRule="auto"/>
    </w:pPr>
    <w:tblPr>
      <w:tblStyleRowBandSize w:val="1"/>
      <w:tblStyleColBandSize w:val="1"/>
      <w:tblCellMar>
        <w:left w:w="108" w:type="dxa"/>
        <w:right w:w="108" w:type="dxa"/>
      </w:tblCellMar>
    </w:tblPr>
  </w:style>
  <w:style w:type="table" w:customStyle="1" w:styleId="afa">
    <w:basedOn w:val="TableNormale"/>
    <w:pPr>
      <w:spacing w:after="0" w:line="240" w:lineRule="auto"/>
    </w:pPr>
    <w:tblPr>
      <w:tblStyleRowBandSize w:val="1"/>
      <w:tblStyleColBandSize w:val="1"/>
      <w:tblCellMar>
        <w:left w:w="108" w:type="dxa"/>
        <w:right w:w="108" w:type="dxa"/>
      </w:tblCellMar>
    </w:tblPr>
  </w:style>
  <w:style w:type="table" w:customStyle="1" w:styleId="afb">
    <w:basedOn w:val="TableNormald"/>
    <w:pPr>
      <w:spacing w:after="0" w:line="240" w:lineRule="auto"/>
    </w:pPr>
    <w:tblPr>
      <w:tblStyleRowBandSize w:val="1"/>
      <w:tblStyleColBandSize w:val="1"/>
      <w:tblCellMar>
        <w:left w:w="108" w:type="dxa"/>
        <w:right w:w="108" w:type="dxa"/>
      </w:tblCellMar>
    </w:tblPr>
  </w:style>
  <w:style w:type="table" w:customStyle="1" w:styleId="afc">
    <w:basedOn w:val="TableNormald"/>
    <w:pPr>
      <w:spacing w:after="0" w:line="240" w:lineRule="auto"/>
    </w:pPr>
    <w:tblPr>
      <w:tblStyleRowBandSize w:val="1"/>
      <w:tblStyleColBandSize w:val="1"/>
      <w:tblCellMar>
        <w:left w:w="108" w:type="dxa"/>
        <w:right w:w="108" w:type="dxa"/>
      </w:tblCellMar>
    </w:tblPr>
  </w:style>
  <w:style w:type="table" w:customStyle="1" w:styleId="afd">
    <w:basedOn w:val="TableNormald"/>
    <w:pPr>
      <w:spacing w:after="0" w:line="240" w:lineRule="auto"/>
    </w:pPr>
    <w:tblPr>
      <w:tblStyleRowBandSize w:val="1"/>
      <w:tblStyleColBandSize w:val="1"/>
      <w:tblCellMar>
        <w:left w:w="108" w:type="dxa"/>
        <w:right w:w="108" w:type="dxa"/>
      </w:tblCellMar>
    </w:tblPr>
  </w:style>
  <w:style w:type="table" w:customStyle="1" w:styleId="afe">
    <w:basedOn w:val="TableNormald"/>
    <w:pPr>
      <w:spacing w:after="0" w:line="240" w:lineRule="auto"/>
    </w:pPr>
    <w:tblPr>
      <w:tblStyleRowBandSize w:val="1"/>
      <w:tblStyleColBandSize w:val="1"/>
      <w:tblCellMar>
        <w:left w:w="108" w:type="dxa"/>
        <w:right w:w="108" w:type="dxa"/>
      </w:tblCellMar>
    </w:tblPr>
  </w:style>
  <w:style w:type="table" w:customStyle="1" w:styleId="aff">
    <w:basedOn w:val="TableNormalc"/>
    <w:pPr>
      <w:spacing w:after="0" w:line="240" w:lineRule="auto"/>
    </w:pPr>
    <w:tblPr>
      <w:tblStyleRowBandSize w:val="1"/>
      <w:tblStyleColBandSize w:val="1"/>
      <w:tblCellMar>
        <w:left w:w="108" w:type="dxa"/>
        <w:right w:w="108" w:type="dxa"/>
      </w:tblCellMar>
    </w:tblPr>
  </w:style>
  <w:style w:type="table" w:customStyle="1" w:styleId="aff0">
    <w:basedOn w:val="TableNormalc"/>
    <w:pPr>
      <w:spacing w:after="0" w:line="240" w:lineRule="auto"/>
    </w:pPr>
    <w:tblPr>
      <w:tblStyleRowBandSize w:val="1"/>
      <w:tblStyleColBandSize w:val="1"/>
      <w:tblCellMar>
        <w:left w:w="108" w:type="dxa"/>
        <w:right w:w="108" w:type="dxa"/>
      </w:tblCellMar>
    </w:tblPr>
  </w:style>
  <w:style w:type="table" w:customStyle="1" w:styleId="aff1">
    <w:basedOn w:val="TableNormalc"/>
    <w:pPr>
      <w:spacing w:after="0" w:line="240" w:lineRule="auto"/>
    </w:pPr>
    <w:tblPr>
      <w:tblStyleRowBandSize w:val="1"/>
      <w:tblStyleColBandSize w:val="1"/>
      <w:tblCellMar>
        <w:left w:w="108" w:type="dxa"/>
        <w:right w:w="108" w:type="dxa"/>
      </w:tblCellMar>
    </w:tblPr>
  </w:style>
  <w:style w:type="table" w:customStyle="1" w:styleId="aff2">
    <w:basedOn w:val="TableNormalc"/>
    <w:pPr>
      <w:spacing w:after="0" w:line="240" w:lineRule="auto"/>
    </w:pPr>
    <w:tblPr>
      <w:tblStyleRowBandSize w:val="1"/>
      <w:tblStyleColBandSize w:val="1"/>
      <w:tblCellMar>
        <w:left w:w="108" w:type="dxa"/>
        <w:right w:w="108" w:type="dxa"/>
      </w:tblCellMar>
    </w:tblPr>
  </w:style>
  <w:style w:type="table" w:customStyle="1" w:styleId="aff3">
    <w:basedOn w:val="TableNormalb"/>
    <w:pPr>
      <w:spacing w:after="0" w:line="240" w:lineRule="auto"/>
    </w:pPr>
    <w:tblPr>
      <w:tblStyleRowBandSize w:val="1"/>
      <w:tblStyleColBandSize w:val="1"/>
      <w:tblCellMar>
        <w:left w:w="108" w:type="dxa"/>
        <w:right w:w="108" w:type="dxa"/>
      </w:tblCellMar>
    </w:tblPr>
  </w:style>
  <w:style w:type="table" w:customStyle="1" w:styleId="aff4">
    <w:basedOn w:val="TableNormalb"/>
    <w:pPr>
      <w:spacing w:after="0" w:line="240" w:lineRule="auto"/>
    </w:pPr>
    <w:tblPr>
      <w:tblStyleRowBandSize w:val="1"/>
      <w:tblStyleColBandSize w:val="1"/>
      <w:tblCellMar>
        <w:left w:w="108" w:type="dxa"/>
        <w:right w:w="108" w:type="dxa"/>
      </w:tblCellMar>
    </w:tblPr>
  </w:style>
  <w:style w:type="table" w:customStyle="1" w:styleId="aff5">
    <w:basedOn w:val="TableNormalb"/>
    <w:pPr>
      <w:spacing w:after="0" w:line="240" w:lineRule="auto"/>
    </w:pPr>
    <w:tblPr>
      <w:tblStyleRowBandSize w:val="1"/>
      <w:tblStyleColBandSize w:val="1"/>
      <w:tblCellMar>
        <w:left w:w="108" w:type="dxa"/>
        <w:right w:w="108" w:type="dxa"/>
      </w:tblCellMar>
    </w:tblPr>
  </w:style>
  <w:style w:type="table" w:customStyle="1" w:styleId="aff6">
    <w:basedOn w:val="TableNormalb"/>
    <w:pPr>
      <w:spacing w:after="0" w:line="240" w:lineRule="auto"/>
    </w:pPr>
    <w:tblPr>
      <w:tblStyleRowBandSize w:val="1"/>
      <w:tblStyleColBandSize w:val="1"/>
      <w:tblCellMar>
        <w:left w:w="108" w:type="dxa"/>
        <w:right w:w="108" w:type="dxa"/>
      </w:tblCellMar>
    </w:tblPr>
  </w:style>
  <w:style w:type="table" w:customStyle="1" w:styleId="aff7">
    <w:basedOn w:val="TableNormala"/>
    <w:pPr>
      <w:spacing w:after="0" w:line="240" w:lineRule="auto"/>
    </w:pPr>
    <w:tblPr>
      <w:tblStyleRowBandSize w:val="1"/>
      <w:tblStyleColBandSize w:val="1"/>
      <w:tblCellMar>
        <w:left w:w="108" w:type="dxa"/>
        <w:right w:w="108" w:type="dxa"/>
      </w:tblCellMar>
    </w:tblPr>
  </w:style>
  <w:style w:type="table" w:customStyle="1" w:styleId="aff8">
    <w:basedOn w:val="TableNormala"/>
    <w:pPr>
      <w:spacing w:after="0" w:line="240" w:lineRule="auto"/>
    </w:pPr>
    <w:tblPr>
      <w:tblStyleRowBandSize w:val="1"/>
      <w:tblStyleColBandSize w:val="1"/>
      <w:tblCellMar>
        <w:left w:w="108" w:type="dxa"/>
        <w:right w:w="108" w:type="dxa"/>
      </w:tblCellMar>
    </w:tblPr>
  </w:style>
  <w:style w:type="table" w:customStyle="1" w:styleId="aff9">
    <w:basedOn w:val="TableNormala"/>
    <w:pPr>
      <w:spacing w:after="0" w:line="240" w:lineRule="auto"/>
    </w:pPr>
    <w:tblPr>
      <w:tblStyleRowBandSize w:val="1"/>
      <w:tblStyleColBandSize w:val="1"/>
      <w:tblCellMar>
        <w:left w:w="108" w:type="dxa"/>
        <w:right w:w="108" w:type="dxa"/>
      </w:tblCellMar>
    </w:tblPr>
  </w:style>
  <w:style w:type="table" w:customStyle="1" w:styleId="affa">
    <w:basedOn w:val="TableNormala"/>
    <w:pPr>
      <w:spacing w:after="0" w:line="240" w:lineRule="auto"/>
    </w:pPr>
    <w:tblPr>
      <w:tblStyleRowBandSize w:val="1"/>
      <w:tblStyleColBandSize w:val="1"/>
      <w:tblCellMar>
        <w:left w:w="108" w:type="dxa"/>
        <w:right w:w="108" w:type="dxa"/>
      </w:tblCellMar>
    </w:tblPr>
  </w:style>
  <w:style w:type="table" w:customStyle="1" w:styleId="affb">
    <w:basedOn w:val="TableNormala"/>
    <w:pPr>
      <w:spacing w:after="0" w:line="240" w:lineRule="auto"/>
    </w:pPr>
    <w:tblPr>
      <w:tblStyleRowBandSize w:val="1"/>
      <w:tblStyleColBandSize w:val="1"/>
      <w:tblCellMar>
        <w:left w:w="108" w:type="dxa"/>
        <w:right w:w="108" w:type="dxa"/>
      </w:tblCellMar>
    </w:tblPr>
  </w:style>
  <w:style w:type="table" w:customStyle="1" w:styleId="affc">
    <w:basedOn w:val="TableNormala"/>
    <w:pPr>
      <w:spacing w:after="0" w:line="240" w:lineRule="auto"/>
    </w:pPr>
    <w:tblPr>
      <w:tblStyleRowBandSize w:val="1"/>
      <w:tblStyleColBandSize w:val="1"/>
      <w:tblCellMar>
        <w:left w:w="108" w:type="dxa"/>
        <w:right w:w="108" w:type="dxa"/>
      </w:tblCellMar>
    </w:tblPr>
  </w:style>
  <w:style w:type="table" w:customStyle="1" w:styleId="affd">
    <w:basedOn w:val="TableNormala"/>
    <w:pPr>
      <w:spacing w:after="0" w:line="240" w:lineRule="auto"/>
    </w:pPr>
    <w:tblPr>
      <w:tblStyleRowBandSize w:val="1"/>
      <w:tblStyleColBandSize w:val="1"/>
      <w:tblCellMar>
        <w:left w:w="108" w:type="dxa"/>
        <w:right w:w="108" w:type="dxa"/>
      </w:tblCellMar>
    </w:tblPr>
  </w:style>
  <w:style w:type="table" w:customStyle="1" w:styleId="affe">
    <w:basedOn w:val="TableNormala"/>
    <w:pPr>
      <w:spacing w:after="0" w:line="240" w:lineRule="auto"/>
    </w:pPr>
    <w:tblPr>
      <w:tblStyleRowBandSize w:val="1"/>
      <w:tblStyleColBandSize w:val="1"/>
      <w:tblCellMar>
        <w:left w:w="108" w:type="dxa"/>
        <w:right w:w="108" w:type="dxa"/>
      </w:tblCellMar>
    </w:tblPr>
  </w:style>
  <w:style w:type="table" w:customStyle="1" w:styleId="afff">
    <w:basedOn w:val="TableNormala"/>
    <w:pPr>
      <w:spacing w:after="0" w:line="240" w:lineRule="auto"/>
    </w:pPr>
    <w:tblPr>
      <w:tblStyleRowBandSize w:val="1"/>
      <w:tblStyleColBandSize w:val="1"/>
      <w:tblCellMar>
        <w:left w:w="108" w:type="dxa"/>
        <w:right w:w="108" w:type="dxa"/>
      </w:tblCellMar>
    </w:tblPr>
  </w:style>
  <w:style w:type="table" w:customStyle="1" w:styleId="afff0">
    <w:basedOn w:val="TableNormala"/>
    <w:pPr>
      <w:spacing w:after="0" w:line="240" w:lineRule="auto"/>
    </w:pPr>
    <w:tblPr>
      <w:tblStyleRowBandSize w:val="1"/>
      <w:tblStyleColBandSize w:val="1"/>
      <w:tblCellMar>
        <w:left w:w="108" w:type="dxa"/>
        <w:right w:w="108" w:type="dxa"/>
      </w:tblCellMar>
    </w:tblPr>
  </w:style>
  <w:style w:type="table" w:customStyle="1" w:styleId="afff1">
    <w:basedOn w:val="TableNormala"/>
    <w:pPr>
      <w:spacing w:after="0" w:line="240" w:lineRule="auto"/>
    </w:pPr>
    <w:tblPr>
      <w:tblStyleRowBandSize w:val="1"/>
      <w:tblStyleColBandSize w:val="1"/>
      <w:tblCellMar>
        <w:left w:w="108" w:type="dxa"/>
        <w:right w:w="108" w:type="dxa"/>
      </w:tblCellMar>
    </w:tblPr>
  </w:style>
  <w:style w:type="table" w:customStyle="1" w:styleId="afff2">
    <w:basedOn w:val="TableNormala"/>
    <w:pPr>
      <w:spacing w:after="0" w:line="240" w:lineRule="auto"/>
    </w:pPr>
    <w:tblPr>
      <w:tblStyleRowBandSize w:val="1"/>
      <w:tblStyleColBandSize w:val="1"/>
      <w:tblCellMar>
        <w:left w:w="108" w:type="dxa"/>
        <w:right w:w="108" w:type="dxa"/>
      </w:tblCellMar>
    </w:tblPr>
  </w:style>
  <w:style w:type="table" w:customStyle="1" w:styleId="afff3">
    <w:basedOn w:val="TableNormala"/>
    <w:pPr>
      <w:spacing w:after="0" w:line="240" w:lineRule="auto"/>
    </w:pPr>
    <w:tblPr>
      <w:tblStyleRowBandSize w:val="1"/>
      <w:tblStyleColBandSize w:val="1"/>
      <w:tblCellMar>
        <w:left w:w="108" w:type="dxa"/>
        <w:right w:w="108" w:type="dxa"/>
      </w:tblCellMar>
    </w:tblPr>
  </w:style>
  <w:style w:type="table" w:customStyle="1" w:styleId="afff4">
    <w:basedOn w:val="TableNormala"/>
    <w:pPr>
      <w:spacing w:after="0" w:line="240" w:lineRule="auto"/>
    </w:pPr>
    <w:tblPr>
      <w:tblStyleRowBandSize w:val="1"/>
      <w:tblStyleColBandSize w:val="1"/>
      <w:tblCellMar>
        <w:left w:w="108" w:type="dxa"/>
        <w:right w:w="108" w:type="dxa"/>
      </w:tblCellMar>
    </w:tblPr>
  </w:style>
  <w:style w:type="table" w:customStyle="1" w:styleId="afff5">
    <w:basedOn w:val="TableNormala"/>
    <w:pPr>
      <w:spacing w:after="0" w:line="240" w:lineRule="auto"/>
    </w:pPr>
    <w:tblPr>
      <w:tblStyleRowBandSize w:val="1"/>
      <w:tblStyleColBandSize w:val="1"/>
      <w:tblCellMar>
        <w:left w:w="108" w:type="dxa"/>
        <w:right w:w="108" w:type="dxa"/>
      </w:tblCellMar>
    </w:tblPr>
  </w:style>
  <w:style w:type="table" w:customStyle="1" w:styleId="afff6">
    <w:basedOn w:val="TableNormala"/>
    <w:pPr>
      <w:spacing w:after="0" w:line="240" w:lineRule="auto"/>
    </w:pPr>
    <w:tblPr>
      <w:tblStyleRowBandSize w:val="1"/>
      <w:tblStyleColBandSize w:val="1"/>
      <w:tblCellMar>
        <w:left w:w="108" w:type="dxa"/>
        <w:right w:w="108" w:type="dxa"/>
      </w:tblCellMar>
    </w:tblPr>
  </w:style>
  <w:style w:type="table" w:customStyle="1" w:styleId="afff7">
    <w:basedOn w:val="TableNormala"/>
    <w:pPr>
      <w:spacing w:after="0" w:line="240" w:lineRule="auto"/>
    </w:pPr>
    <w:tblPr>
      <w:tblStyleRowBandSize w:val="1"/>
      <w:tblStyleColBandSize w:val="1"/>
      <w:tblCellMar>
        <w:left w:w="108" w:type="dxa"/>
        <w:right w:w="108" w:type="dxa"/>
      </w:tblCellMar>
    </w:tblPr>
  </w:style>
  <w:style w:type="table" w:customStyle="1" w:styleId="afff8">
    <w:basedOn w:val="TableNormala"/>
    <w:pPr>
      <w:spacing w:after="0" w:line="240" w:lineRule="auto"/>
    </w:pPr>
    <w:tblPr>
      <w:tblStyleRowBandSize w:val="1"/>
      <w:tblStyleColBandSize w:val="1"/>
      <w:tblCellMar>
        <w:left w:w="108" w:type="dxa"/>
        <w:right w:w="108" w:type="dxa"/>
      </w:tblCellMar>
    </w:tblPr>
  </w:style>
  <w:style w:type="table" w:customStyle="1" w:styleId="afff9">
    <w:basedOn w:val="TableNormala"/>
    <w:pPr>
      <w:spacing w:after="0" w:line="240" w:lineRule="auto"/>
    </w:pPr>
    <w:tblPr>
      <w:tblStyleRowBandSize w:val="1"/>
      <w:tblStyleColBandSize w:val="1"/>
      <w:tblCellMar>
        <w:left w:w="108" w:type="dxa"/>
        <w:right w:w="108" w:type="dxa"/>
      </w:tblCellMar>
    </w:tblPr>
  </w:style>
  <w:style w:type="table" w:customStyle="1" w:styleId="afffa">
    <w:basedOn w:val="TableNormala"/>
    <w:pPr>
      <w:spacing w:after="0" w:line="240" w:lineRule="auto"/>
    </w:pPr>
    <w:tblPr>
      <w:tblStyleRowBandSize w:val="1"/>
      <w:tblStyleColBandSize w:val="1"/>
      <w:tblCellMar>
        <w:left w:w="108" w:type="dxa"/>
        <w:right w:w="108" w:type="dxa"/>
      </w:tblCellMar>
    </w:tblPr>
  </w:style>
  <w:style w:type="table" w:customStyle="1" w:styleId="afffb">
    <w:basedOn w:val="TableNormala"/>
    <w:pPr>
      <w:spacing w:after="0" w:line="240" w:lineRule="auto"/>
    </w:pPr>
    <w:tblPr>
      <w:tblStyleRowBandSize w:val="1"/>
      <w:tblStyleColBandSize w:val="1"/>
      <w:tblCellMar>
        <w:left w:w="108" w:type="dxa"/>
        <w:right w:w="108" w:type="dxa"/>
      </w:tblCellMar>
    </w:tblPr>
  </w:style>
  <w:style w:type="table" w:customStyle="1" w:styleId="afffc">
    <w:basedOn w:val="TableNormala"/>
    <w:pPr>
      <w:spacing w:after="0" w:line="240" w:lineRule="auto"/>
    </w:pPr>
    <w:tblPr>
      <w:tblStyleRowBandSize w:val="1"/>
      <w:tblStyleColBandSize w:val="1"/>
      <w:tblCellMar>
        <w:left w:w="108" w:type="dxa"/>
        <w:right w:w="108" w:type="dxa"/>
      </w:tblCellMar>
    </w:tblPr>
  </w:style>
  <w:style w:type="table" w:customStyle="1" w:styleId="afffd">
    <w:basedOn w:val="TableNormal9"/>
    <w:pPr>
      <w:spacing w:after="0" w:line="240" w:lineRule="auto"/>
    </w:pPr>
    <w:tblPr>
      <w:tblStyleRowBandSize w:val="1"/>
      <w:tblStyleColBandSize w:val="1"/>
      <w:tblCellMar>
        <w:left w:w="108" w:type="dxa"/>
        <w:right w:w="108" w:type="dxa"/>
      </w:tblCellMar>
    </w:tblPr>
  </w:style>
  <w:style w:type="table" w:customStyle="1" w:styleId="afffe">
    <w:basedOn w:val="TableNormal9"/>
    <w:pPr>
      <w:spacing w:after="0" w:line="240" w:lineRule="auto"/>
    </w:pPr>
    <w:tblPr>
      <w:tblStyleRowBandSize w:val="1"/>
      <w:tblStyleColBandSize w:val="1"/>
      <w:tblCellMar>
        <w:left w:w="108" w:type="dxa"/>
        <w:right w:w="108" w:type="dxa"/>
      </w:tblCellMar>
    </w:tblPr>
  </w:style>
  <w:style w:type="table" w:customStyle="1" w:styleId="affff">
    <w:basedOn w:val="TableNormal9"/>
    <w:pPr>
      <w:spacing w:after="0" w:line="240" w:lineRule="auto"/>
    </w:pPr>
    <w:tblPr>
      <w:tblStyleRowBandSize w:val="1"/>
      <w:tblStyleColBandSize w:val="1"/>
      <w:tblCellMar>
        <w:left w:w="108" w:type="dxa"/>
        <w:right w:w="108" w:type="dxa"/>
      </w:tblCellMar>
    </w:tblPr>
  </w:style>
  <w:style w:type="table" w:customStyle="1" w:styleId="affff0">
    <w:basedOn w:val="TableNormal9"/>
    <w:pPr>
      <w:spacing w:after="0" w:line="240" w:lineRule="auto"/>
    </w:pPr>
    <w:tblPr>
      <w:tblStyleRowBandSize w:val="1"/>
      <w:tblStyleColBandSize w:val="1"/>
      <w:tblCellMar>
        <w:left w:w="108" w:type="dxa"/>
        <w:right w:w="108" w:type="dxa"/>
      </w:tblCellMar>
    </w:tblPr>
  </w:style>
  <w:style w:type="table" w:customStyle="1" w:styleId="affff1">
    <w:basedOn w:val="TableNormal9"/>
    <w:pPr>
      <w:spacing w:after="0" w:line="240" w:lineRule="auto"/>
    </w:p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1C2C58"/>
    <w:rPr>
      <w:color w:val="605E5C"/>
      <w:shd w:val="clear" w:color="auto" w:fill="E1DFDD"/>
    </w:rPr>
  </w:style>
  <w:style w:type="table" w:customStyle="1" w:styleId="affff2">
    <w:basedOn w:val="TableNormal8"/>
    <w:pPr>
      <w:spacing w:after="0" w:line="240" w:lineRule="auto"/>
    </w:pPr>
    <w:tblPr>
      <w:tblStyleRowBandSize w:val="1"/>
      <w:tblStyleColBandSize w:val="1"/>
      <w:tblCellMar>
        <w:left w:w="108" w:type="dxa"/>
        <w:right w:w="108" w:type="dxa"/>
      </w:tblCellMar>
    </w:tblPr>
  </w:style>
  <w:style w:type="table" w:customStyle="1" w:styleId="affff3">
    <w:basedOn w:val="TableNormal8"/>
    <w:pPr>
      <w:spacing w:after="0" w:line="240" w:lineRule="auto"/>
    </w:pPr>
    <w:tblPr>
      <w:tblStyleRowBandSize w:val="1"/>
      <w:tblStyleColBandSize w:val="1"/>
      <w:tblCellMar>
        <w:left w:w="108" w:type="dxa"/>
        <w:right w:w="108" w:type="dxa"/>
      </w:tblCellMar>
    </w:tblPr>
  </w:style>
  <w:style w:type="table" w:customStyle="1" w:styleId="affff4">
    <w:basedOn w:val="TableNormal8"/>
    <w:pPr>
      <w:spacing w:after="0" w:line="240" w:lineRule="auto"/>
    </w:pPr>
    <w:tblPr>
      <w:tblStyleRowBandSize w:val="1"/>
      <w:tblStyleColBandSize w:val="1"/>
      <w:tblCellMar>
        <w:left w:w="108" w:type="dxa"/>
        <w:right w:w="108" w:type="dxa"/>
      </w:tblCellMar>
    </w:tblPr>
  </w:style>
  <w:style w:type="table" w:customStyle="1" w:styleId="affff5">
    <w:basedOn w:val="TableNormal8"/>
    <w:pPr>
      <w:spacing w:after="0" w:line="240" w:lineRule="auto"/>
    </w:pPr>
    <w:tblPr>
      <w:tblStyleRowBandSize w:val="1"/>
      <w:tblStyleColBandSize w:val="1"/>
      <w:tblCellMar>
        <w:left w:w="108" w:type="dxa"/>
        <w:right w:w="108" w:type="dxa"/>
      </w:tblCellMar>
    </w:tblPr>
  </w:style>
  <w:style w:type="character" w:customStyle="1" w:styleId="Mencinsinresolver5">
    <w:name w:val="Mención sin resolver5"/>
    <w:basedOn w:val="Fuentedeprrafopredeter"/>
    <w:uiPriority w:val="99"/>
    <w:semiHidden/>
    <w:unhideWhenUsed/>
    <w:rsid w:val="0058145F"/>
    <w:rPr>
      <w:color w:val="605E5C"/>
      <w:shd w:val="clear" w:color="auto" w:fill="E1DFDD"/>
    </w:rPr>
  </w:style>
  <w:style w:type="table" w:customStyle="1" w:styleId="affff6">
    <w:basedOn w:val="TableNormal7"/>
    <w:pPr>
      <w:spacing w:after="0" w:line="240" w:lineRule="auto"/>
    </w:pPr>
    <w:tblPr>
      <w:tblStyleRowBandSize w:val="1"/>
      <w:tblStyleColBandSize w:val="1"/>
      <w:tblCellMar>
        <w:left w:w="108" w:type="dxa"/>
        <w:right w:w="108" w:type="dxa"/>
      </w:tblCellMar>
    </w:tblPr>
  </w:style>
  <w:style w:type="table" w:customStyle="1" w:styleId="affff7">
    <w:basedOn w:val="TableNormal7"/>
    <w:pPr>
      <w:spacing w:after="0" w:line="240" w:lineRule="auto"/>
    </w:pPr>
    <w:tblPr>
      <w:tblStyleRowBandSize w:val="1"/>
      <w:tblStyleColBandSize w:val="1"/>
      <w:tblCellMar>
        <w:left w:w="108" w:type="dxa"/>
        <w:right w:w="108" w:type="dxa"/>
      </w:tblCellMar>
    </w:tblPr>
  </w:style>
  <w:style w:type="table" w:customStyle="1" w:styleId="affff8">
    <w:basedOn w:val="TableNormal7"/>
    <w:pPr>
      <w:spacing w:after="0" w:line="240" w:lineRule="auto"/>
    </w:pPr>
    <w:tblPr>
      <w:tblStyleRowBandSize w:val="1"/>
      <w:tblStyleColBandSize w:val="1"/>
      <w:tblCellMar>
        <w:left w:w="108" w:type="dxa"/>
        <w:right w:w="108" w:type="dxa"/>
      </w:tblCellMar>
    </w:tblPr>
  </w:style>
  <w:style w:type="table" w:customStyle="1" w:styleId="affff9">
    <w:basedOn w:val="TableNormal7"/>
    <w:pPr>
      <w:spacing w:after="0" w:line="240" w:lineRule="auto"/>
    </w:pPr>
    <w:tblPr>
      <w:tblStyleRowBandSize w:val="1"/>
      <w:tblStyleColBandSize w:val="1"/>
      <w:tblCellMar>
        <w:left w:w="108" w:type="dxa"/>
        <w:right w:w="108" w:type="dxa"/>
      </w:tblCellMar>
    </w:tblPr>
  </w:style>
  <w:style w:type="table" w:customStyle="1" w:styleId="affffa">
    <w:basedOn w:val="TableNormal7"/>
    <w:pPr>
      <w:spacing w:after="0" w:line="240" w:lineRule="auto"/>
    </w:pPr>
    <w:tblPr>
      <w:tblStyleRowBandSize w:val="1"/>
      <w:tblStyleColBandSize w:val="1"/>
      <w:tblCellMar>
        <w:left w:w="108" w:type="dxa"/>
        <w:right w:w="108" w:type="dxa"/>
      </w:tblCellMar>
    </w:tblPr>
  </w:style>
  <w:style w:type="character" w:customStyle="1" w:styleId="Mencinsinresolver6">
    <w:name w:val="Mención sin resolver6"/>
    <w:basedOn w:val="Fuentedeprrafopredeter"/>
    <w:uiPriority w:val="99"/>
    <w:semiHidden/>
    <w:unhideWhenUsed/>
    <w:rsid w:val="00745900"/>
    <w:rPr>
      <w:color w:val="605E5C"/>
      <w:shd w:val="clear" w:color="auto" w:fill="E1DFDD"/>
    </w:rPr>
  </w:style>
  <w:style w:type="table" w:customStyle="1" w:styleId="affffb">
    <w:basedOn w:val="TableNormal6"/>
    <w:pPr>
      <w:spacing w:after="0" w:line="240" w:lineRule="auto"/>
    </w:pPr>
    <w:tblPr>
      <w:tblStyleRowBandSize w:val="1"/>
      <w:tblStyleColBandSize w:val="1"/>
      <w:tblCellMar>
        <w:left w:w="108" w:type="dxa"/>
        <w:right w:w="108" w:type="dxa"/>
      </w:tblCellMar>
    </w:tblPr>
  </w:style>
  <w:style w:type="table" w:customStyle="1" w:styleId="affffc">
    <w:basedOn w:val="TableNormal6"/>
    <w:pPr>
      <w:spacing w:after="0" w:line="240" w:lineRule="auto"/>
    </w:pPr>
    <w:tblPr>
      <w:tblStyleRowBandSize w:val="1"/>
      <w:tblStyleColBandSize w:val="1"/>
      <w:tblCellMar>
        <w:left w:w="108" w:type="dxa"/>
        <w:right w:w="108" w:type="dxa"/>
      </w:tblCellMar>
    </w:tblPr>
  </w:style>
  <w:style w:type="table" w:customStyle="1" w:styleId="affffd">
    <w:basedOn w:val="TableNormal6"/>
    <w:pPr>
      <w:spacing w:after="0" w:line="240" w:lineRule="auto"/>
    </w:pPr>
    <w:tblPr>
      <w:tblStyleRowBandSize w:val="1"/>
      <w:tblStyleColBandSize w:val="1"/>
      <w:tblCellMar>
        <w:left w:w="108" w:type="dxa"/>
        <w:right w:w="108" w:type="dxa"/>
      </w:tblCellMar>
    </w:tblPr>
  </w:style>
  <w:style w:type="table" w:customStyle="1" w:styleId="affffe">
    <w:basedOn w:val="TableNormal6"/>
    <w:pPr>
      <w:spacing w:after="0" w:line="240" w:lineRule="auto"/>
    </w:pPr>
    <w:tblPr>
      <w:tblStyleRowBandSize w:val="1"/>
      <w:tblStyleColBandSize w:val="1"/>
      <w:tblCellMar>
        <w:left w:w="108" w:type="dxa"/>
        <w:right w:w="108" w:type="dxa"/>
      </w:tblCellMar>
    </w:tblPr>
  </w:style>
  <w:style w:type="table" w:customStyle="1" w:styleId="afffff">
    <w:basedOn w:val="TableNormal5"/>
    <w:pPr>
      <w:spacing w:after="0" w:line="240" w:lineRule="auto"/>
    </w:pPr>
    <w:tblPr>
      <w:tblStyleRowBandSize w:val="1"/>
      <w:tblStyleColBandSize w:val="1"/>
      <w:tblCellMar>
        <w:left w:w="108" w:type="dxa"/>
        <w:right w:w="108" w:type="dxa"/>
      </w:tblCellMar>
    </w:tblPr>
  </w:style>
  <w:style w:type="table" w:customStyle="1" w:styleId="afffff0">
    <w:basedOn w:val="TableNormal5"/>
    <w:pPr>
      <w:spacing w:after="0" w:line="240" w:lineRule="auto"/>
    </w:pPr>
    <w:tblPr>
      <w:tblStyleRowBandSize w:val="1"/>
      <w:tblStyleColBandSize w:val="1"/>
      <w:tblCellMar>
        <w:left w:w="108" w:type="dxa"/>
        <w:right w:w="108" w:type="dxa"/>
      </w:tblCellMar>
    </w:tblPr>
  </w:style>
  <w:style w:type="table" w:customStyle="1" w:styleId="afffff1">
    <w:basedOn w:val="TableNormal5"/>
    <w:pPr>
      <w:spacing w:after="0" w:line="240" w:lineRule="auto"/>
    </w:pPr>
    <w:tblPr>
      <w:tblStyleRowBandSize w:val="1"/>
      <w:tblStyleColBandSize w:val="1"/>
      <w:tblCellMar>
        <w:left w:w="108" w:type="dxa"/>
        <w:right w:w="108" w:type="dxa"/>
      </w:tblCellMar>
    </w:tblPr>
  </w:style>
  <w:style w:type="table" w:customStyle="1" w:styleId="afffff2">
    <w:basedOn w:val="TableNormal5"/>
    <w:pPr>
      <w:spacing w:after="0" w:line="240" w:lineRule="auto"/>
    </w:pPr>
    <w:tblPr>
      <w:tblStyleRowBandSize w:val="1"/>
      <w:tblStyleColBandSize w:val="1"/>
      <w:tblCellMar>
        <w:left w:w="108" w:type="dxa"/>
        <w:right w:w="108" w:type="dxa"/>
      </w:tblCellMar>
    </w:tblPr>
  </w:style>
  <w:style w:type="table" w:customStyle="1" w:styleId="afffff3">
    <w:basedOn w:val="TableNormal5"/>
    <w:pPr>
      <w:spacing w:after="0" w:line="240" w:lineRule="auto"/>
    </w:pPr>
    <w:tblPr>
      <w:tblStyleRowBandSize w:val="1"/>
      <w:tblStyleColBandSize w:val="1"/>
      <w:tblCellMar>
        <w:left w:w="108" w:type="dxa"/>
        <w:right w:w="108" w:type="dxa"/>
      </w:tblCellMar>
    </w:tblPr>
  </w:style>
  <w:style w:type="table" w:customStyle="1" w:styleId="afffff4">
    <w:basedOn w:val="TableNormal4"/>
    <w:pPr>
      <w:spacing w:after="0" w:line="240" w:lineRule="auto"/>
    </w:pPr>
    <w:tblPr>
      <w:tblStyleRowBandSize w:val="1"/>
      <w:tblStyleColBandSize w:val="1"/>
      <w:tblCellMar>
        <w:left w:w="108" w:type="dxa"/>
        <w:right w:w="108" w:type="dxa"/>
      </w:tblCellMar>
    </w:tblPr>
  </w:style>
  <w:style w:type="table" w:customStyle="1" w:styleId="afffff5">
    <w:basedOn w:val="TableNormal4"/>
    <w:pPr>
      <w:spacing w:after="0" w:line="240" w:lineRule="auto"/>
    </w:pPr>
    <w:tblPr>
      <w:tblStyleRowBandSize w:val="1"/>
      <w:tblStyleColBandSize w:val="1"/>
      <w:tblCellMar>
        <w:left w:w="108" w:type="dxa"/>
        <w:right w:w="108" w:type="dxa"/>
      </w:tblCellMar>
    </w:tblPr>
  </w:style>
  <w:style w:type="table" w:customStyle="1" w:styleId="afffff6">
    <w:basedOn w:val="TableNormal4"/>
    <w:pPr>
      <w:spacing w:after="0" w:line="240" w:lineRule="auto"/>
    </w:pPr>
    <w:tblPr>
      <w:tblStyleRowBandSize w:val="1"/>
      <w:tblStyleColBandSize w:val="1"/>
      <w:tblCellMar>
        <w:left w:w="108" w:type="dxa"/>
        <w:right w:w="108" w:type="dxa"/>
      </w:tblCellMar>
    </w:tblPr>
  </w:style>
  <w:style w:type="table" w:customStyle="1" w:styleId="afffff7">
    <w:basedOn w:val="TableNormal4"/>
    <w:pPr>
      <w:spacing w:after="0" w:line="240" w:lineRule="auto"/>
    </w:pPr>
    <w:tblPr>
      <w:tblStyleRowBandSize w:val="1"/>
      <w:tblStyleColBandSize w:val="1"/>
      <w:tblCellMar>
        <w:left w:w="108" w:type="dxa"/>
        <w:right w:w="108" w:type="dxa"/>
      </w:tblCellMar>
    </w:tblPr>
  </w:style>
  <w:style w:type="character" w:customStyle="1" w:styleId="Mencinsinresolver7">
    <w:name w:val="Mención sin resolver7"/>
    <w:basedOn w:val="Fuentedeprrafopredeter"/>
    <w:uiPriority w:val="99"/>
    <w:semiHidden/>
    <w:unhideWhenUsed/>
    <w:rsid w:val="00D82F25"/>
    <w:rPr>
      <w:color w:val="605E5C"/>
      <w:shd w:val="clear" w:color="auto" w:fill="E1DFDD"/>
    </w:rPr>
  </w:style>
  <w:style w:type="table" w:customStyle="1" w:styleId="afffff8">
    <w:basedOn w:val="TableNormal3"/>
    <w:pPr>
      <w:spacing w:after="0" w:line="240" w:lineRule="auto"/>
    </w:pPr>
    <w:tblPr>
      <w:tblStyleRowBandSize w:val="1"/>
      <w:tblStyleColBandSize w:val="1"/>
      <w:tblCellMar>
        <w:left w:w="108" w:type="dxa"/>
        <w:right w:w="108" w:type="dxa"/>
      </w:tblCellMar>
    </w:tblPr>
  </w:style>
  <w:style w:type="table" w:customStyle="1" w:styleId="afffff9">
    <w:basedOn w:val="TableNormal3"/>
    <w:pPr>
      <w:spacing w:after="0" w:line="240" w:lineRule="auto"/>
    </w:pPr>
    <w:tblPr>
      <w:tblStyleRowBandSize w:val="1"/>
      <w:tblStyleColBandSize w:val="1"/>
      <w:tblCellMar>
        <w:left w:w="108" w:type="dxa"/>
        <w:right w:w="108" w:type="dxa"/>
      </w:tblCellMar>
    </w:tblPr>
  </w:style>
  <w:style w:type="table" w:customStyle="1" w:styleId="afffffa">
    <w:basedOn w:val="TableNormal3"/>
    <w:pPr>
      <w:spacing w:after="0" w:line="240" w:lineRule="auto"/>
    </w:pPr>
    <w:tblPr>
      <w:tblStyleRowBandSize w:val="1"/>
      <w:tblStyleColBandSize w:val="1"/>
      <w:tblCellMar>
        <w:left w:w="108" w:type="dxa"/>
        <w:right w:w="108" w:type="dxa"/>
      </w:tblCellMar>
    </w:tblPr>
  </w:style>
  <w:style w:type="table" w:customStyle="1" w:styleId="afffffb">
    <w:basedOn w:val="TableNormal3"/>
    <w:pPr>
      <w:spacing w:after="0" w:line="240" w:lineRule="auto"/>
    </w:pPr>
    <w:tblPr>
      <w:tblStyleRowBandSize w:val="1"/>
      <w:tblStyleColBandSize w:val="1"/>
      <w:tblCellMar>
        <w:left w:w="108" w:type="dxa"/>
        <w:right w:w="108" w:type="dxa"/>
      </w:tblCellMar>
    </w:tblPr>
  </w:style>
  <w:style w:type="table" w:customStyle="1" w:styleId="afffffc">
    <w:basedOn w:val="TableNormal3"/>
    <w:pPr>
      <w:spacing w:after="0" w:line="240" w:lineRule="auto"/>
    </w:pPr>
    <w:tblPr>
      <w:tblStyleRowBandSize w:val="1"/>
      <w:tblStyleColBandSize w:val="1"/>
      <w:tblCellMar>
        <w:left w:w="108" w:type="dxa"/>
        <w:right w:w="108" w:type="dxa"/>
      </w:tblCellMar>
    </w:tblPr>
  </w:style>
  <w:style w:type="table" w:customStyle="1" w:styleId="afffffd">
    <w:basedOn w:val="TableNormal2"/>
    <w:pPr>
      <w:spacing w:after="0" w:line="240" w:lineRule="auto"/>
    </w:pPr>
    <w:tblPr>
      <w:tblStyleRowBandSize w:val="1"/>
      <w:tblStyleColBandSize w:val="1"/>
      <w:tblCellMar>
        <w:left w:w="108" w:type="dxa"/>
        <w:right w:w="108" w:type="dxa"/>
      </w:tblCellMar>
    </w:tblPr>
  </w:style>
  <w:style w:type="table" w:customStyle="1" w:styleId="afffffe">
    <w:basedOn w:val="TableNormal2"/>
    <w:pPr>
      <w:spacing w:after="0" w:line="240" w:lineRule="auto"/>
    </w:pPr>
    <w:tblPr>
      <w:tblStyleRowBandSize w:val="1"/>
      <w:tblStyleColBandSize w:val="1"/>
      <w:tblCellMar>
        <w:left w:w="108" w:type="dxa"/>
        <w:right w:w="108" w:type="dxa"/>
      </w:tblCellMar>
    </w:tblPr>
  </w:style>
  <w:style w:type="table" w:customStyle="1" w:styleId="affffff">
    <w:basedOn w:val="TableNormal2"/>
    <w:pPr>
      <w:spacing w:after="0" w:line="240" w:lineRule="auto"/>
    </w:pPr>
    <w:tblPr>
      <w:tblStyleRowBandSize w:val="1"/>
      <w:tblStyleColBandSize w:val="1"/>
      <w:tblCellMar>
        <w:left w:w="108" w:type="dxa"/>
        <w:right w:w="108" w:type="dxa"/>
      </w:tblCellMar>
    </w:tblPr>
  </w:style>
  <w:style w:type="table" w:customStyle="1" w:styleId="affffff0">
    <w:basedOn w:val="TableNormal2"/>
    <w:pPr>
      <w:spacing w:after="0" w:line="240" w:lineRule="auto"/>
    </w:pPr>
    <w:tblPr>
      <w:tblStyleRowBandSize w:val="1"/>
      <w:tblStyleColBandSize w:val="1"/>
      <w:tblCellMar>
        <w:left w:w="108" w:type="dxa"/>
        <w:right w:w="108" w:type="dxa"/>
      </w:tblCellMar>
    </w:tblPr>
  </w:style>
  <w:style w:type="character" w:customStyle="1" w:styleId="Mencinsinresolver8">
    <w:name w:val="Mención sin resolver8"/>
    <w:basedOn w:val="Fuentedeprrafopredeter"/>
    <w:uiPriority w:val="99"/>
    <w:semiHidden/>
    <w:unhideWhenUsed/>
    <w:rsid w:val="00BF2B20"/>
    <w:rPr>
      <w:color w:val="605E5C"/>
      <w:shd w:val="clear" w:color="auto" w:fill="E1DFDD"/>
    </w:rPr>
  </w:style>
  <w:style w:type="table" w:customStyle="1" w:styleId="affffff1">
    <w:basedOn w:val="TableNormal1"/>
    <w:pPr>
      <w:spacing w:after="0" w:line="240" w:lineRule="auto"/>
    </w:pPr>
    <w:tblPr>
      <w:tblStyleRowBandSize w:val="1"/>
      <w:tblStyleColBandSize w:val="1"/>
      <w:tblCellMar>
        <w:left w:w="108" w:type="dxa"/>
        <w:right w:w="108" w:type="dxa"/>
      </w:tblCellMar>
    </w:tblPr>
  </w:style>
  <w:style w:type="table" w:customStyle="1" w:styleId="affffff2">
    <w:basedOn w:val="TableNormal1"/>
    <w:pPr>
      <w:spacing w:after="0" w:line="240" w:lineRule="auto"/>
    </w:pPr>
    <w:tblPr>
      <w:tblStyleRowBandSize w:val="1"/>
      <w:tblStyleColBandSize w:val="1"/>
      <w:tblCellMar>
        <w:left w:w="108" w:type="dxa"/>
        <w:right w:w="108" w:type="dxa"/>
      </w:tblCellMar>
    </w:tblPr>
  </w:style>
  <w:style w:type="table" w:customStyle="1" w:styleId="affffff3">
    <w:basedOn w:val="TableNormal1"/>
    <w:pPr>
      <w:spacing w:after="0" w:line="240" w:lineRule="auto"/>
    </w:pPr>
    <w:tblPr>
      <w:tblStyleRowBandSize w:val="1"/>
      <w:tblStyleColBandSize w:val="1"/>
      <w:tblCellMar>
        <w:left w:w="108" w:type="dxa"/>
        <w:right w:w="108" w:type="dxa"/>
      </w:tblCellMar>
    </w:tblPr>
  </w:style>
  <w:style w:type="table" w:customStyle="1" w:styleId="affffff4">
    <w:basedOn w:val="TableNormal1"/>
    <w:pPr>
      <w:spacing w:after="0" w:line="240" w:lineRule="auto"/>
    </w:pPr>
    <w:tblPr>
      <w:tblStyleRowBandSize w:val="1"/>
      <w:tblStyleColBandSize w:val="1"/>
      <w:tblCellMar>
        <w:left w:w="108" w:type="dxa"/>
        <w:right w:w="108" w:type="dxa"/>
      </w:tblCellMar>
    </w:tblPr>
  </w:style>
  <w:style w:type="table" w:customStyle="1" w:styleId="affffff5">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f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f7">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f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f9">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4DxgK4D2oO8lquJ9ibgjDKfLOA==">CgMxLjAyDmguMnp6ZGl4Yzg2ZHhlMghoLmdqZGd4czIOaC45YmR2cnpzYjJkanUyDmguc3UwanNzaWlna3BxMg5oLmRlemhpaWVuNWdzYTIOaC51ODY4bWRyNXMzem8yDmgudWZsYXYxZWM5cTV3Mg5oLnMwZms3NTRhcjd1NjIJaC4yZXQ5MnAwMg5oLjc1eXlrdmdndWp2NTIOaC5ibGZzb2l5MXplMGIyDmguaHZqN2wwM2Z5bHRxMg5oLnl2dHZ5Nms5ZW9majIOaC5kc20yYTlyNGRib3AyDmgudHlmdDZja2c5MTMzMg5oLjYyMTBia2t6Z3ptMjIOaC55MnkwczRzbHg3Z24yDmgubjc3cjFua2Y2enYzMg5oLmNvYzUxam05cW1wcTIOaC5zbnI2Yjc1YWk0bDM4AHIhMURGUjZJRUl1eFR1T2g3UjZjVElzY2RVWUFkUzRXUnV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93033F-3108-4F8F-92A9-73D45E7BE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6054</Words>
  <Characters>33302</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USUARIO</cp:lastModifiedBy>
  <cp:revision>3</cp:revision>
  <cp:lastPrinted>2025-09-25T23:08:00Z</cp:lastPrinted>
  <dcterms:created xsi:type="dcterms:W3CDTF">2025-09-25T23:08:00Z</dcterms:created>
  <dcterms:modified xsi:type="dcterms:W3CDTF">2025-09-25T23:08:00Z</dcterms:modified>
</cp:coreProperties>
</file>