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B6" w:rsidRPr="00D43700" w:rsidRDefault="00813BB6">
      <w:pPr>
        <w:widowControl w:val="0"/>
        <w:pBdr>
          <w:top w:val="nil"/>
          <w:left w:val="nil"/>
          <w:bottom w:val="nil"/>
          <w:right w:val="nil"/>
          <w:between w:val="nil"/>
        </w:pBdr>
        <w:spacing w:line="276" w:lineRule="auto"/>
        <w:rPr>
          <w:sz w:val="22"/>
          <w:szCs w:val="22"/>
        </w:rPr>
      </w:pPr>
    </w:p>
    <w:p w:rsidR="00813BB6" w:rsidRPr="00592CAB" w:rsidRDefault="00DA6780">
      <w:pPr>
        <w:tabs>
          <w:tab w:val="left" w:pos="0"/>
        </w:tabs>
        <w:spacing w:line="360" w:lineRule="auto"/>
        <w:ind w:right="-592"/>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(06) de febrero de dos mil  veinticinco. </w:t>
      </w:r>
    </w:p>
    <w:p w:rsidR="00813BB6" w:rsidRPr="00592CAB" w:rsidRDefault="00813BB6">
      <w:pPr>
        <w:tabs>
          <w:tab w:val="left" w:pos="0"/>
        </w:tabs>
        <w:spacing w:line="360" w:lineRule="auto"/>
        <w:ind w:right="-592"/>
        <w:jc w:val="both"/>
        <w:rPr>
          <w:rFonts w:ascii="Palatino Linotype" w:eastAsia="Palatino Linotype" w:hAnsi="Palatino Linotype" w:cs="Palatino Linotype"/>
          <w:sz w:val="22"/>
          <w:szCs w:val="22"/>
        </w:rPr>
      </w:pPr>
    </w:p>
    <w:p w:rsidR="00813BB6" w:rsidRPr="00592CAB" w:rsidRDefault="00DA6780">
      <w:pPr>
        <w:spacing w:line="360" w:lineRule="auto"/>
        <w:ind w:right="-592"/>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sz w:val="22"/>
          <w:szCs w:val="22"/>
        </w:rPr>
        <w:t>VISTO</w:t>
      </w:r>
      <w:r w:rsidRPr="00592CAB">
        <w:rPr>
          <w:rFonts w:ascii="Palatino Linotype" w:eastAsia="Palatino Linotype" w:hAnsi="Palatino Linotype" w:cs="Palatino Linotype"/>
          <w:sz w:val="22"/>
          <w:szCs w:val="22"/>
        </w:rPr>
        <w:t xml:space="preserve"> el expediente electrónico formado con motivo del recurso de revisión </w:t>
      </w:r>
      <w:r w:rsidRPr="00592CAB">
        <w:rPr>
          <w:rFonts w:ascii="Palatino Linotype" w:eastAsia="Palatino Linotype" w:hAnsi="Palatino Linotype" w:cs="Palatino Linotype"/>
          <w:b/>
          <w:sz w:val="22"/>
          <w:szCs w:val="22"/>
        </w:rPr>
        <w:t xml:space="preserve">01228/INFOEM/IP/RR/2024, </w:t>
      </w:r>
      <w:r w:rsidRPr="00592CAB">
        <w:rPr>
          <w:rFonts w:ascii="Palatino Linotype" w:eastAsia="Palatino Linotype" w:hAnsi="Palatino Linotype" w:cs="Palatino Linotype"/>
          <w:sz w:val="22"/>
          <w:szCs w:val="22"/>
        </w:rPr>
        <w:t>promovido por</w:t>
      </w:r>
      <w:bookmarkStart w:id="0" w:name="_GoBack"/>
      <w:bookmarkEnd w:id="0"/>
      <w:r w:rsidRPr="00592CAB">
        <w:rPr>
          <w:rFonts w:ascii="Palatino Linotype" w:eastAsia="Palatino Linotype" w:hAnsi="Palatino Linotype" w:cs="Palatino Linotype"/>
          <w:sz w:val="22"/>
          <w:szCs w:val="22"/>
        </w:rPr>
        <w:t xml:space="preserve"> </w:t>
      </w:r>
      <w:r w:rsidR="00840C49">
        <w:rPr>
          <w:rFonts w:ascii="Palatino Linotype" w:eastAsia="Palatino Linotype" w:hAnsi="Palatino Linotype" w:cs="Palatino Linotype"/>
          <w:b/>
          <w:sz w:val="22"/>
          <w:szCs w:val="22"/>
        </w:rPr>
        <w:t>XXXX XXXXX XXXXX</w:t>
      </w:r>
      <w:r w:rsidRPr="00592CAB">
        <w:rPr>
          <w:rFonts w:ascii="Palatino Linotype" w:eastAsia="Palatino Linotype" w:hAnsi="Palatino Linotype" w:cs="Palatino Linotype"/>
          <w:sz w:val="22"/>
          <w:szCs w:val="22"/>
        </w:rPr>
        <w:t xml:space="preserve">, quien en lo sucesivo se le identificara como </w:t>
      </w:r>
      <w:r w:rsidRPr="00592CAB">
        <w:rPr>
          <w:rFonts w:ascii="Palatino Linotype" w:eastAsia="Palatino Linotype" w:hAnsi="Palatino Linotype" w:cs="Palatino Linotype"/>
          <w:b/>
          <w:sz w:val="22"/>
          <w:szCs w:val="22"/>
        </w:rPr>
        <w:t>RECURRENTE</w:t>
      </w:r>
      <w:r w:rsidRPr="00592CAB">
        <w:rPr>
          <w:rFonts w:ascii="Palatino Linotype" w:eastAsia="Palatino Linotype" w:hAnsi="Palatino Linotype" w:cs="Palatino Linotype"/>
          <w:sz w:val="22"/>
          <w:szCs w:val="22"/>
        </w:rPr>
        <w:t xml:space="preserve">, en contra de la respuesta del </w:t>
      </w:r>
      <w:r w:rsidRPr="00592CAB">
        <w:rPr>
          <w:rFonts w:ascii="Palatino Linotype" w:eastAsia="Palatino Linotype" w:hAnsi="Palatino Linotype" w:cs="Palatino Linotype"/>
          <w:b/>
          <w:sz w:val="22"/>
          <w:szCs w:val="22"/>
        </w:rPr>
        <w:t xml:space="preserve">Ayuntamiento de Tezoyuca, </w:t>
      </w:r>
      <w:r w:rsidRPr="00592CAB">
        <w:rPr>
          <w:rFonts w:ascii="Palatino Linotype" w:eastAsia="Palatino Linotype" w:hAnsi="Palatino Linotype" w:cs="Palatino Linotype"/>
          <w:sz w:val="22"/>
          <w:szCs w:val="22"/>
        </w:rPr>
        <w:t>en adelante el</w:t>
      </w:r>
      <w:r w:rsidRPr="00592CAB">
        <w:rPr>
          <w:rFonts w:ascii="Palatino Linotype" w:eastAsia="Palatino Linotype" w:hAnsi="Palatino Linotype" w:cs="Palatino Linotype"/>
          <w:b/>
          <w:sz w:val="22"/>
          <w:szCs w:val="22"/>
        </w:rPr>
        <w:t xml:space="preserve"> SUJETO OBLIGADO, </w:t>
      </w:r>
      <w:r w:rsidRPr="00592CAB">
        <w:rPr>
          <w:rFonts w:ascii="Palatino Linotype" w:eastAsia="Palatino Linotype" w:hAnsi="Palatino Linotype" w:cs="Palatino Linotype"/>
          <w:sz w:val="22"/>
          <w:szCs w:val="22"/>
        </w:rPr>
        <w:t xml:space="preserve">se procede a dictar la presente resolución, con base en los siguientes: </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keepNext/>
        <w:keepLines/>
        <w:tabs>
          <w:tab w:val="left" w:pos="0"/>
        </w:tabs>
        <w:spacing w:line="360" w:lineRule="auto"/>
        <w:ind w:right="-592"/>
        <w:jc w:val="center"/>
        <w:rPr>
          <w:rFonts w:ascii="Palatino Linotype" w:eastAsia="Palatino Linotype" w:hAnsi="Palatino Linotype" w:cs="Palatino Linotype"/>
          <w:b/>
          <w:sz w:val="22"/>
          <w:szCs w:val="22"/>
        </w:rPr>
      </w:pPr>
      <w:r w:rsidRPr="00592CAB">
        <w:rPr>
          <w:rFonts w:ascii="Palatino Linotype" w:eastAsia="Palatino Linotype" w:hAnsi="Palatino Linotype" w:cs="Palatino Linotype"/>
          <w:b/>
          <w:sz w:val="22"/>
          <w:szCs w:val="22"/>
        </w:rPr>
        <w:t>A N T E C E D E N T E S</w:t>
      </w:r>
    </w:p>
    <w:p w:rsidR="00813BB6" w:rsidRPr="00592CAB" w:rsidRDefault="00813BB6">
      <w:pPr>
        <w:keepNext/>
        <w:keepLines/>
        <w:tabs>
          <w:tab w:val="left" w:pos="0"/>
        </w:tabs>
        <w:spacing w:line="360" w:lineRule="auto"/>
        <w:ind w:right="-592"/>
        <w:jc w:val="center"/>
        <w:rPr>
          <w:rFonts w:ascii="Palatino Linotype" w:eastAsia="Palatino Linotype" w:hAnsi="Palatino Linotype" w:cs="Palatino Linotype"/>
          <w:b/>
          <w:sz w:val="22"/>
          <w:szCs w:val="22"/>
        </w:rPr>
      </w:pPr>
    </w:p>
    <w:p w:rsidR="00813BB6" w:rsidRPr="00592CAB" w:rsidRDefault="00DA6780">
      <w:pPr>
        <w:numPr>
          <w:ilvl w:val="0"/>
          <w:numId w:val="2"/>
        </w:numPr>
        <w:tabs>
          <w:tab w:val="left" w:pos="0"/>
        </w:tabs>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El </w:t>
      </w:r>
      <w:r w:rsidRPr="00592CAB">
        <w:rPr>
          <w:rFonts w:ascii="Palatino Linotype" w:eastAsia="Palatino Linotype" w:hAnsi="Palatino Linotype" w:cs="Palatino Linotype"/>
          <w:b/>
          <w:sz w:val="22"/>
          <w:szCs w:val="22"/>
        </w:rPr>
        <w:t>siete de febrero de dos mil veinticuatro,</w:t>
      </w:r>
      <w:r w:rsidRPr="00592CAB">
        <w:rPr>
          <w:rFonts w:ascii="Palatino Linotype" w:eastAsia="Palatino Linotype" w:hAnsi="Palatino Linotype" w:cs="Palatino Linotype"/>
          <w:sz w:val="22"/>
          <w:szCs w:val="22"/>
        </w:rPr>
        <w:t xml:space="preserve"> el</w:t>
      </w:r>
      <w:r w:rsidRPr="00592CAB">
        <w:rPr>
          <w:rFonts w:ascii="Palatino Linotype" w:eastAsia="Palatino Linotype" w:hAnsi="Palatino Linotype" w:cs="Palatino Linotype"/>
          <w:b/>
          <w:sz w:val="22"/>
          <w:szCs w:val="22"/>
        </w:rPr>
        <w:t xml:space="preserve"> </w:t>
      </w:r>
      <w:r w:rsidRPr="00592CAB">
        <w:rPr>
          <w:rFonts w:ascii="Palatino Linotype" w:eastAsia="Palatino Linotype" w:hAnsi="Palatino Linotype" w:cs="Palatino Linotype"/>
          <w:sz w:val="22"/>
          <w:szCs w:val="22"/>
        </w:rPr>
        <w:t>solicitante</w:t>
      </w:r>
      <w:r w:rsidRPr="00592CAB">
        <w:rPr>
          <w:rFonts w:ascii="Palatino Linotype" w:eastAsia="Palatino Linotype" w:hAnsi="Palatino Linotype" w:cs="Palatino Linotype"/>
          <w:b/>
          <w:sz w:val="22"/>
          <w:szCs w:val="22"/>
        </w:rPr>
        <w:t xml:space="preserve">  </w:t>
      </w:r>
      <w:r w:rsidRPr="00592CAB">
        <w:rPr>
          <w:rFonts w:ascii="Palatino Linotype" w:eastAsia="Palatino Linotype" w:hAnsi="Palatino Linotype" w:cs="Palatino Linotype"/>
          <w:sz w:val="22"/>
          <w:szCs w:val="22"/>
        </w:rPr>
        <w:t>presentó</w:t>
      </w:r>
      <w:r w:rsidRPr="00592CAB">
        <w:rPr>
          <w:rFonts w:ascii="Palatino Linotype" w:eastAsia="Palatino Linotype" w:hAnsi="Palatino Linotype" w:cs="Palatino Linotype"/>
          <w:b/>
          <w:sz w:val="22"/>
          <w:szCs w:val="22"/>
        </w:rPr>
        <w:t xml:space="preserve"> </w:t>
      </w:r>
      <w:r w:rsidRPr="00592CAB">
        <w:rPr>
          <w:rFonts w:ascii="Palatino Linotype" w:eastAsia="Palatino Linotype" w:hAnsi="Palatino Linotype" w:cs="Palatino Linotype"/>
          <w:sz w:val="22"/>
          <w:szCs w:val="22"/>
        </w:rPr>
        <w:t xml:space="preserve">ante el </w:t>
      </w:r>
      <w:r w:rsidRPr="00592CAB">
        <w:rPr>
          <w:rFonts w:ascii="Palatino Linotype" w:eastAsia="Palatino Linotype" w:hAnsi="Palatino Linotype" w:cs="Palatino Linotype"/>
          <w:b/>
          <w:sz w:val="22"/>
          <w:szCs w:val="22"/>
        </w:rPr>
        <w:t>SUJETO OBLIGADO,</w:t>
      </w:r>
      <w:r w:rsidRPr="00592CAB">
        <w:rPr>
          <w:rFonts w:ascii="Palatino Linotype" w:eastAsia="Palatino Linotype" w:hAnsi="Palatino Linotype" w:cs="Palatino Linotype"/>
          <w:sz w:val="22"/>
          <w:szCs w:val="22"/>
        </w:rPr>
        <w:t xml:space="preserve"> a través del Sistema de Acceso a la Información Mexiquense (SAIMEX), la solicitud de información pública registrada con el número </w:t>
      </w:r>
      <w:r w:rsidRPr="00592CAB">
        <w:rPr>
          <w:rFonts w:ascii="Palatino Linotype" w:eastAsia="Palatino Linotype" w:hAnsi="Palatino Linotype" w:cs="Palatino Linotype"/>
          <w:b/>
          <w:sz w:val="22"/>
          <w:szCs w:val="22"/>
        </w:rPr>
        <w:t> 00008/TEZOYUCA/IP/2024</w:t>
      </w:r>
      <w:r w:rsidRPr="00592CAB">
        <w:rPr>
          <w:rFonts w:ascii="Palatino Linotype" w:eastAsia="Palatino Linotype" w:hAnsi="Palatino Linotype" w:cs="Palatino Linotype"/>
          <w:sz w:val="22"/>
          <w:szCs w:val="22"/>
        </w:rPr>
        <w:t>, en la que se solicitó:</w:t>
      </w:r>
    </w:p>
    <w:p w:rsidR="00813BB6" w:rsidRPr="00592CAB" w:rsidRDefault="00813BB6">
      <w:pPr>
        <w:tabs>
          <w:tab w:val="left" w:pos="0"/>
        </w:tabs>
        <w:spacing w:line="360" w:lineRule="auto"/>
        <w:ind w:left="360" w:right="-592"/>
        <w:jc w:val="both"/>
        <w:rPr>
          <w:rFonts w:ascii="Palatino Linotype" w:eastAsia="Palatino Linotype" w:hAnsi="Palatino Linotype" w:cs="Palatino Linotype"/>
          <w:sz w:val="22"/>
          <w:szCs w:val="22"/>
        </w:rPr>
      </w:pPr>
    </w:p>
    <w:p w:rsidR="00813BB6" w:rsidRPr="00592CAB" w:rsidRDefault="00DA6780">
      <w:pPr>
        <w:tabs>
          <w:tab w:val="left" w:pos="0"/>
        </w:tabs>
        <w:spacing w:line="276" w:lineRule="auto"/>
        <w:ind w:left="567" w:right="-592"/>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w:t>
      </w:r>
      <w:r w:rsidRPr="00592CAB">
        <w:rPr>
          <w:rFonts w:ascii="Palatino Linotype" w:eastAsia="Palatino Linotype" w:hAnsi="Palatino Linotype" w:cs="Palatino Linotype"/>
          <w:i/>
          <w:color w:val="000000"/>
          <w:sz w:val="22"/>
          <w:szCs w:val="22"/>
        </w:rPr>
        <w:t>Referente al Sistema Anticorrupción del Estado de México y Municipios (SAEMM) Todas las convocatorias para integrar la Comisión de Selección Municipal y el Comité de Participación Ciudadana Municipal, así como los documentos que se recibieron de todos los aspirantes (CV, cartas, etc.) y demás documentos que hayan surgido de los procesos de selección.</w:t>
      </w:r>
      <w:r w:rsidRPr="00592CAB">
        <w:rPr>
          <w:rFonts w:ascii="Palatino Linotype" w:eastAsia="Palatino Linotype" w:hAnsi="Palatino Linotype" w:cs="Palatino Linotype"/>
          <w:i/>
          <w:sz w:val="22"/>
          <w:szCs w:val="22"/>
        </w:rPr>
        <w:t>” (Sic)</w:t>
      </w:r>
    </w:p>
    <w:p w:rsidR="00813BB6" w:rsidRPr="00592CAB" w:rsidRDefault="00813BB6">
      <w:pPr>
        <w:tabs>
          <w:tab w:val="left" w:pos="0"/>
        </w:tabs>
        <w:spacing w:line="360" w:lineRule="auto"/>
        <w:ind w:left="567" w:right="-592"/>
        <w:jc w:val="both"/>
        <w:rPr>
          <w:rFonts w:ascii="Palatino Linotype" w:eastAsia="Palatino Linotype" w:hAnsi="Palatino Linotype" w:cs="Palatino Linotype"/>
          <w:i/>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Se hace constar que se señaló como modalidad de entrega de la información a través de SAIMEX.</w:t>
      </w:r>
      <w:r w:rsidRPr="00592CAB">
        <w:rPr>
          <w:rFonts w:ascii="Palatino Linotype" w:eastAsia="Palatino Linotype" w:hAnsi="Palatino Linotype" w:cs="Palatino Linotype"/>
          <w:b/>
          <w:color w:val="000000"/>
          <w:sz w:val="22"/>
          <w:szCs w:val="22"/>
        </w:rPr>
        <w:t xml:space="preserve">  </w:t>
      </w:r>
    </w:p>
    <w:p w:rsidR="00813BB6" w:rsidRPr="00592CAB" w:rsidRDefault="00813BB6">
      <w:pPr>
        <w:pBdr>
          <w:top w:val="nil"/>
          <w:left w:val="nil"/>
          <w:bottom w:val="nil"/>
          <w:right w:val="nil"/>
          <w:between w:val="nil"/>
        </w:pBdr>
        <w:ind w:right="-592"/>
        <w:rPr>
          <w:rFonts w:ascii="Palatino Linotype" w:eastAsia="Palatino Linotype" w:hAnsi="Palatino Linotype" w:cs="Palatino Linotype"/>
          <w:color w:val="000000"/>
          <w:sz w:val="22"/>
          <w:szCs w:val="22"/>
        </w:rPr>
      </w:pPr>
    </w:p>
    <w:p w:rsidR="00813BB6" w:rsidRPr="00592CAB" w:rsidRDefault="00DA6780">
      <w:pPr>
        <w:numPr>
          <w:ilvl w:val="0"/>
          <w:numId w:val="2"/>
        </w:numPr>
        <w:tabs>
          <w:tab w:val="left" w:pos="0"/>
        </w:tabs>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 xml:space="preserve">El </w:t>
      </w:r>
      <w:r w:rsidRPr="00592CAB">
        <w:rPr>
          <w:rFonts w:ascii="Palatino Linotype" w:eastAsia="Palatino Linotype" w:hAnsi="Palatino Linotype" w:cs="Palatino Linotype"/>
          <w:b/>
          <w:sz w:val="22"/>
          <w:szCs w:val="22"/>
        </w:rPr>
        <w:t>veintinueve de febrero de dos mil veinticuatro</w:t>
      </w:r>
      <w:r w:rsidRPr="00592CAB">
        <w:rPr>
          <w:rFonts w:ascii="Palatino Linotype" w:eastAsia="Palatino Linotype" w:hAnsi="Palatino Linotype" w:cs="Palatino Linotype"/>
          <w:sz w:val="22"/>
          <w:szCs w:val="22"/>
        </w:rPr>
        <w:t xml:space="preserve">, el </w:t>
      </w:r>
      <w:r w:rsidRPr="00592CAB">
        <w:rPr>
          <w:rFonts w:ascii="Palatino Linotype" w:eastAsia="Palatino Linotype" w:hAnsi="Palatino Linotype" w:cs="Palatino Linotype"/>
          <w:b/>
          <w:sz w:val="22"/>
          <w:szCs w:val="22"/>
        </w:rPr>
        <w:t xml:space="preserve">SUJETO OBLIGADO </w:t>
      </w:r>
      <w:r w:rsidRPr="00592CAB">
        <w:rPr>
          <w:rFonts w:ascii="Palatino Linotype" w:eastAsia="Palatino Linotype" w:hAnsi="Palatino Linotype" w:cs="Palatino Linotype"/>
          <w:sz w:val="22"/>
          <w:szCs w:val="22"/>
        </w:rPr>
        <w:t>dio respuesta a la solicitud en el siguiente sentido:</w:t>
      </w:r>
    </w:p>
    <w:tbl>
      <w:tblPr>
        <w:tblStyle w:val="a"/>
        <w:tblW w:w="7832" w:type="dxa"/>
        <w:jc w:val="center"/>
        <w:tblInd w:w="0" w:type="dxa"/>
        <w:tblLayout w:type="fixed"/>
        <w:tblLook w:val="0400" w:firstRow="0" w:lastRow="0" w:firstColumn="0" w:lastColumn="0" w:noHBand="0" w:noVBand="1"/>
      </w:tblPr>
      <w:tblGrid>
        <w:gridCol w:w="7832"/>
      </w:tblGrid>
      <w:tr w:rsidR="00813BB6" w:rsidRPr="00592CAB">
        <w:trPr>
          <w:trHeight w:val="335"/>
          <w:jc w:val="center"/>
        </w:trPr>
        <w:tc>
          <w:tcPr>
            <w:tcW w:w="7832" w:type="dxa"/>
            <w:vAlign w:val="center"/>
          </w:tcPr>
          <w:p w:rsidR="00813BB6" w:rsidRPr="00592CAB" w:rsidRDefault="00DA6780">
            <w:pPr>
              <w:ind w:right="-592"/>
              <w:jc w:val="right"/>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lastRenderedPageBreak/>
              <w:br/>
              <w:t>“Tezoyuca, México a 29 de Febrero de 2024</w:t>
            </w:r>
          </w:p>
        </w:tc>
      </w:tr>
      <w:tr w:rsidR="00813BB6" w:rsidRPr="00592CAB">
        <w:trPr>
          <w:trHeight w:val="335"/>
          <w:jc w:val="center"/>
        </w:trPr>
        <w:tc>
          <w:tcPr>
            <w:tcW w:w="7832" w:type="dxa"/>
            <w:vAlign w:val="center"/>
          </w:tcPr>
          <w:p w:rsidR="00813BB6" w:rsidRPr="00592CAB" w:rsidRDefault="00DA6780">
            <w:pPr>
              <w:ind w:right="-592"/>
              <w:jc w:val="right"/>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Nombre del solicitante: C. Solicitante</w:t>
            </w:r>
          </w:p>
        </w:tc>
      </w:tr>
      <w:tr w:rsidR="00813BB6" w:rsidRPr="00592CAB">
        <w:trPr>
          <w:trHeight w:val="335"/>
          <w:jc w:val="center"/>
        </w:trPr>
        <w:tc>
          <w:tcPr>
            <w:tcW w:w="7832" w:type="dxa"/>
            <w:vAlign w:val="center"/>
          </w:tcPr>
          <w:p w:rsidR="00813BB6" w:rsidRPr="00592CAB" w:rsidRDefault="00DA6780">
            <w:pPr>
              <w:ind w:right="-592"/>
              <w:jc w:val="right"/>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Folio de la solicitud: 00008/TEZOYUCA/IP/2024</w:t>
            </w:r>
          </w:p>
        </w:tc>
      </w:tr>
      <w:tr w:rsidR="00813BB6" w:rsidRPr="00592CAB">
        <w:trPr>
          <w:trHeight w:val="503"/>
          <w:jc w:val="center"/>
        </w:trPr>
        <w:tc>
          <w:tcPr>
            <w:tcW w:w="7832" w:type="dxa"/>
            <w:vAlign w:val="center"/>
          </w:tcPr>
          <w:p w:rsidR="00813BB6" w:rsidRPr="00592CAB" w:rsidRDefault="00813BB6">
            <w:pPr>
              <w:ind w:right="-592"/>
              <w:jc w:val="right"/>
              <w:rPr>
                <w:rFonts w:ascii="Palatino Linotype" w:eastAsia="Palatino Linotype" w:hAnsi="Palatino Linotype" w:cs="Palatino Linotype"/>
                <w:i/>
                <w:sz w:val="22"/>
                <w:szCs w:val="22"/>
              </w:rPr>
            </w:pPr>
          </w:p>
        </w:tc>
      </w:tr>
      <w:tr w:rsidR="00813BB6" w:rsidRPr="00592CAB">
        <w:trPr>
          <w:trHeight w:val="167"/>
          <w:jc w:val="center"/>
        </w:trPr>
        <w:tc>
          <w:tcPr>
            <w:tcW w:w="7832" w:type="dxa"/>
            <w:vAlign w:val="center"/>
          </w:tcPr>
          <w:p w:rsidR="00813BB6" w:rsidRPr="00592CAB" w:rsidRDefault="00813BB6">
            <w:pPr>
              <w:ind w:right="-592"/>
              <w:jc w:val="center"/>
              <w:rPr>
                <w:rFonts w:ascii="Palatino Linotype" w:eastAsia="Palatino Linotype" w:hAnsi="Palatino Linotype" w:cs="Palatino Linotype"/>
                <w:i/>
                <w:sz w:val="22"/>
                <w:szCs w:val="22"/>
              </w:rPr>
            </w:pPr>
          </w:p>
        </w:tc>
      </w:tr>
      <w:tr w:rsidR="00813BB6" w:rsidRPr="00592CAB">
        <w:trPr>
          <w:trHeight w:val="167"/>
          <w:jc w:val="center"/>
        </w:trPr>
        <w:tc>
          <w:tcPr>
            <w:tcW w:w="7832" w:type="dxa"/>
            <w:vAlign w:val="center"/>
          </w:tcPr>
          <w:p w:rsidR="00813BB6" w:rsidRPr="00592CAB" w:rsidRDefault="00DA6780">
            <w:pPr>
              <w:ind w:right="-592"/>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Suscribe Lic. Maria Concepcion Cruz Villafaña en mi carácter de Directora de la Unidad de Transparencia del H. Ayuntamiento de Tezoyuca, Estado de México le informo que su solicitud fue atendida y en este momento se le da una debida contestación en tiempo y en forma mediante un archivo PDF. Sin mas por el momento me despido de usted quedando a sus ordenes para cualquier duda o aclaración.</w:t>
            </w:r>
          </w:p>
        </w:tc>
      </w:tr>
      <w:tr w:rsidR="00813BB6" w:rsidRPr="00592CAB">
        <w:trPr>
          <w:trHeight w:val="419"/>
          <w:jc w:val="center"/>
        </w:trPr>
        <w:tc>
          <w:tcPr>
            <w:tcW w:w="7832" w:type="dxa"/>
            <w:vAlign w:val="center"/>
          </w:tcPr>
          <w:p w:rsidR="00813BB6" w:rsidRPr="00592CAB" w:rsidRDefault="00813BB6">
            <w:pPr>
              <w:ind w:right="-592"/>
              <w:rPr>
                <w:rFonts w:ascii="Palatino Linotype" w:eastAsia="Palatino Linotype" w:hAnsi="Palatino Linotype" w:cs="Palatino Linotype"/>
                <w:i/>
                <w:sz w:val="22"/>
                <w:szCs w:val="22"/>
              </w:rPr>
            </w:pPr>
          </w:p>
        </w:tc>
      </w:tr>
      <w:tr w:rsidR="00813BB6" w:rsidRPr="00592CAB">
        <w:trPr>
          <w:trHeight w:val="167"/>
          <w:jc w:val="center"/>
        </w:trPr>
        <w:tc>
          <w:tcPr>
            <w:tcW w:w="7832" w:type="dxa"/>
            <w:vAlign w:val="center"/>
          </w:tcPr>
          <w:p w:rsidR="00813BB6" w:rsidRPr="00592CAB" w:rsidRDefault="00813BB6">
            <w:pPr>
              <w:ind w:right="-592"/>
              <w:jc w:val="center"/>
              <w:rPr>
                <w:rFonts w:ascii="Palatino Linotype" w:eastAsia="Palatino Linotype" w:hAnsi="Palatino Linotype" w:cs="Palatino Linotype"/>
                <w:i/>
                <w:sz w:val="22"/>
                <w:szCs w:val="22"/>
              </w:rPr>
            </w:pPr>
          </w:p>
        </w:tc>
      </w:tr>
      <w:tr w:rsidR="00813BB6" w:rsidRPr="00592CAB">
        <w:trPr>
          <w:trHeight w:val="167"/>
          <w:jc w:val="center"/>
        </w:trPr>
        <w:tc>
          <w:tcPr>
            <w:tcW w:w="7832" w:type="dxa"/>
            <w:vAlign w:val="center"/>
          </w:tcPr>
          <w:p w:rsidR="00813BB6" w:rsidRPr="00592CAB" w:rsidRDefault="00813BB6">
            <w:pPr>
              <w:ind w:right="-592"/>
              <w:rPr>
                <w:rFonts w:ascii="Palatino Linotype" w:eastAsia="Palatino Linotype" w:hAnsi="Palatino Linotype" w:cs="Palatino Linotype"/>
                <w:i/>
                <w:sz w:val="22"/>
                <w:szCs w:val="22"/>
              </w:rPr>
            </w:pPr>
          </w:p>
        </w:tc>
      </w:tr>
      <w:tr w:rsidR="00813BB6" w:rsidRPr="00592CAB">
        <w:trPr>
          <w:trHeight w:val="167"/>
          <w:jc w:val="center"/>
        </w:trPr>
        <w:tc>
          <w:tcPr>
            <w:tcW w:w="7832" w:type="dxa"/>
            <w:vAlign w:val="center"/>
          </w:tcPr>
          <w:p w:rsidR="00813BB6" w:rsidRPr="00592CAB" w:rsidRDefault="00DA6780">
            <w:pPr>
              <w:ind w:right="-592"/>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ATENTAMENTE</w:t>
            </w:r>
          </w:p>
        </w:tc>
      </w:tr>
      <w:tr w:rsidR="00813BB6" w:rsidRPr="00592CAB">
        <w:trPr>
          <w:trHeight w:val="251"/>
          <w:jc w:val="center"/>
        </w:trPr>
        <w:tc>
          <w:tcPr>
            <w:tcW w:w="7832" w:type="dxa"/>
            <w:vAlign w:val="center"/>
          </w:tcPr>
          <w:p w:rsidR="00813BB6" w:rsidRPr="00592CAB" w:rsidRDefault="00813BB6">
            <w:pPr>
              <w:ind w:right="-592"/>
              <w:rPr>
                <w:rFonts w:ascii="Palatino Linotype" w:eastAsia="Palatino Linotype" w:hAnsi="Palatino Linotype" w:cs="Palatino Linotype"/>
                <w:i/>
                <w:sz w:val="22"/>
                <w:szCs w:val="22"/>
              </w:rPr>
            </w:pPr>
          </w:p>
        </w:tc>
      </w:tr>
      <w:tr w:rsidR="00813BB6" w:rsidRPr="00592CAB">
        <w:trPr>
          <w:trHeight w:val="167"/>
          <w:jc w:val="center"/>
        </w:trPr>
        <w:tc>
          <w:tcPr>
            <w:tcW w:w="7832" w:type="dxa"/>
            <w:vAlign w:val="center"/>
          </w:tcPr>
          <w:p w:rsidR="00813BB6" w:rsidRPr="00592CAB" w:rsidRDefault="00DA6780">
            <w:pPr>
              <w:ind w:right="-592"/>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Lic. María Concepción Cruz Villafaña”</w:t>
            </w:r>
          </w:p>
        </w:tc>
      </w:tr>
    </w:tbl>
    <w:p w:rsidR="00813BB6" w:rsidRPr="00592CAB" w:rsidRDefault="00813BB6">
      <w:pPr>
        <w:tabs>
          <w:tab w:val="left" w:pos="0"/>
        </w:tabs>
        <w:spacing w:line="360" w:lineRule="auto"/>
        <w:ind w:right="-592"/>
        <w:jc w:val="both"/>
        <w:rPr>
          <w:rFonts w:ascii="Palatino Linotype" w:eastAsia="Palatino Linotype" w:hAnsi="Palatino Linotype" w:cs="Palatino Linotype"/>
          <w:b/>
          <w:sz w:val="22"/>
          <w:szCs w:val="22"/>
        </w:rPr>
      </w:pPr>
    </w:p>
    <w:p w:rsidR="00813BB6" w:rsidRPr="00592CAB" w:rsidRDefault="00813BB6">
      <w:pPr>
        <w:tabs>
          <w:tab w:val="left" w:pos="0"/>
        </w:tabs>
        <w:spacing w:line="360" w:lineRule="auto"/>
        <w:ind w:right="-592"/>
        <w:rPr>
          <w:rFonts w:ascii="Palatino Linotype" w:eastAsia="Palatino Linotype" w:hAnsi="Palatino Linotype" w:cs="Palatino Linotype"/>
          <w:sz w:val="22"/>
          <w:szCs w:val="22"/>
        </w:rPr>
      </w:pPr>
    </w:p>
    <w:p w:rsidR="00813BB6" w:rsidRPr="00592CAB" w:rsidRDefault="00DA6780">
      <w:pPr>
        <w:numPr>
          <w:ilvl w:val="0"/>
          <w:numId w:val="2"/>
        </w:numPr>
        <w:pBdr>
          <w:top w:val="nil"/>
          <w:left w:val="nil"/>
          <w:bottom w:val="nil"/>
          <w:right w:val="nil"/>
          <w:between w:val="nil"/>
        </w:pBdr>
        <w:tabs>
          <w:tab w:val="left" w:pos="0"/>
        </w:tabs>
        <w:spacing w:line="360" w:lineRule="auto"/>
        <w:ind w:left="0" w:right="-592" w:firstLine="0"/>
        <w:jc w:val="both"/>
        <w:rPr>
          <w:rFonts w:ascii="Palatino Linotype" w:eastAsia="Palatino Linotype" w:hAnsi="Palatino Linotype" w:cs="Palatino Linotype"/>
          <w:b/>
          <w:color w:val="000000"/>
          <w:sz w:val="22"/>
          <w:szCs w:val="22"/>
        </w:rPr>
      </w:pPr>
      <w:r w:rsidRPr="00592CAB">
        <w:rPr>
          <w:rFonts w:ascii="Palatino Linotype" w:eastAsia="Palatino Linotype" w:hAnsi="Palatino Linotype" w:cs="Palatino Linotype"/>
          <w:color w:val="000000"/>
          <w:sz w:val="22"/>
          <w:szCs w:val="22"/>
        </w:rPr>
        <w:t xml:space="preserve">El </w:t>
      </w:r>
      <w:r w:rsidRPr="00592CAB">
        <w:rPr>
          <w:rFonts w:ascii="Palatino Linotype" w:eastAsia="Palatino Linotype" w:hAnsi="Palatino Linotype" w:cs="Palatino Linotype"/>
          <w:b/>
          <w:color w:val="000000"/>
          <w:sz w:val="22"/>
          <w:szCs w:val="22"/>
        </w:rPr>
        <w:t>cinco de marzo de dos mil veinticuatro,</w:t>
      </w:r>
      <w:r w:rsidRPr="00592CAB">
        <w:rPr>
          <w:rFonts w:ascii="Palatino Linotype" w:eastAsia="Palatino Linotype" w:hAnsi="Palatino Linotype" w:cs="Palatino Linotype"/>
          <w:color w:val="000000"/>
          <w:sz w:val="22"/>
          <w:szCs w:val="22"/>
        </w:rPr>
        <w:t xml:space="preserve"> </w:t>
      </w:r>
      <w:r w:rsidRPr="00592CAB">
        <w:rPr>
          <w:rFonts w:ascii="Palatino Linotype" w:eastAsia="Palatino Linotype" w:hAnsi="Palatino Linotype" w:cs="Palatino Linotype"/>
          <w:b/>
          <w:color w:val="000000"/>
          <w:sz w:val="22"/>
          <w:szCs w:val="22"/>
        </w:rPr>
        <w:t xml:space="preserve"> </w:t>
      </w:r>
      <w:r w:rsidRPr="00592CAB">
        <w:rPr>
          <w:rFonts w:ascii="Palatino Linotype" w:eastAsia="Palatino Linotype" w:hAnsi="Palatino Linotype" w:cs="Palatino Linotype"/>
          <w:color w:val="000000"/>
          <w:sz w:val="22"/>
          <w:szCs w:val="22"/>
        </w:rPr>
        <w:t>el solicitante interpuso el recurso de revisión, señalando como:</w:t>
      </w:r>
    </w:p>
    <w:p w:rsidR="00813BB6" w:rsidRPr="00592CAB" w:rsidRDefault="00DA6780">
      <w:pPr>
        <w:numPr>
          <w:ilvl w:val="0"/>
          <w:numId w:val="4"/>
        </w:numPr>
        <w:tabs>
          <w:tab w:val="left" w:pos="851"/>
          <w:tab w:val="left" w:pos="8222"/>
        </w:tabs>
        <w:spacing w:line="360" w:lineRule="auto"/>
        <w:ind w:right="-2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sz w:val="22"/>
          <w:szCs w:val="22"/>
        </w:rPr>
        <w:t>Acto impugnado:</w:t>
      </w:r>
      <w:r w:rsidRPr="00592CAB">
        <w:rPr>
          <w:rFonts w:ascii="Palatino Linotype" w:eastAsia="Palatino Linotype" w:hAnsi="Palatino Linotype" w:cs="Palatino Linotype"/>
          <w:i/>
          <w:sz w:val="22"/>
          <w:szCs w:val="22"/>
        </w:rPr>
        <w:t xml:space="preserve"> </w:t>
      </w:r>
      <w:r w:rsidRPr="00592CAB">
        <w:rPr>
          <w:rFonts w:ascii="Palatino Linotype" w:eastAsia="Palatino Linotype" w:hAnsi="Palatino Linotype" w:cs="Palatino Linotype"/>
          <w:sz w:val="22"/>
          <w:szCs w:val="22"/>
        </w:rPr>
        <w:t>“</w:t>
      </w:r>
      <w:r w:rsidRPr="00592CAB">
        <w:rPr>
          <w:rFonts w:ascii="Palatino Linotype" w:eastAsia="Palatino Linotype" w:hAnsi="Palatino Linotype" w:cs="Palatino Linotype"/>
          <w:i/>
          <w:color w:val="000000"/>
          <w:sz w:val="22"/>
          <w:szCs w:val="22"/>
        </w:rPr>
        <w:t>Respuesta a la solicitud de información”</w:t>
      </w:r>
      <w:r w:rsidRPr="00592CAB">
        <w:rPr>
          <w:rFonts w:ascii="Palatino Linotype" w:eastAsia="Palatino Linotype" w:hAnsi="Palatino Linotype" w:cs="Palatino Linotype"/>
          <w:i/>
          <w:sz w:val="22"/>
          <w:szCs w:val="22"/>
        </w:rPr>
        <w:t xml:space="preserve"> (Sic) </w:t>
      </w:r>
    </w:p>
    <w:p w:rsidR="00813BB6" w:rsidRPr="00592CAB" w:rsidRDefault="00DA6780">
      <w:pPr>
        <w:numPr>
          <w:ilvl w:val="0"/>
          <w:numId w:val="4"/>
        </w:numPr>
        <w:tabs>
          <w:tab w:val="left" w:pos="851"/>
        </w:tabs>
        <w:spacing w:line="360" w:lineRule="auto"/>
        <w:ind w:right="-2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sz w:val="22"/>
          <w:szCs w:val="22"/>
        </w:rPr>
        <w:t>Razones o Motivos de inconformidad: “</w:t>
      </w:r>
      <w:r w:rsidRPr="00592CAB">
        <w:rPr>
          <w:rFonts w:ascii="Palatino Linotype" w:eastAsia="Palatino Linotype" w:hAnsi="Palatino Linotype" w:cs="Palatino Linotype"/>
          <w:i/>
          <w:sz w:val="22"/>
          <w:szCs w:val="22"/>
        </w:rPr>
        <w:t>No hubo respuesta, aún cuando se menciona que se adjuntaría un PDF” (sic)</w:t>
      </w:r>
    </w:p>
    <w:p w:rsidR="00813BB6" w:rsidRPr="00592CAB" w:rsidRDefault="00813BB6">
      <w:pPr>
        <w:tabs>
          <w:tab w:val="left" w:pos="851"/>
        </w:tabs>
        <w:spacing w:line="360" w:lineRule="auto"/>
        <w:ind w:right="-592"/>
        <w:jc w:val="both"/>
        <w:rPr>
          <w:rFonts w:ascii="Palatino Linotype" w:eastAsia="Palatino Linotype" w:hAnsi="Palatino Linotype" w:cs="Palatino Linotype"/>
          <w:i/>
          <w:sz w:val="22"/>
          <w:szCs w:val="22"/>
        </w:rPr>
      </w:pPr>
    </w:p>
    <w:p w:rsidR="00813BB6" w:rsidRPr="00592CAB" w:rsidRDefault="00DA6780">
      <w:pPr>
        <w:numPr>
          <w:ilvl w:val="0"/>
          <w:numId w:val="2"/>
        </w:numPr>
        <w:spacing w:line="360" w:lineRule="auto"/>
        <w:ind w:left="0" w:right="-592" w:firstLine="0"/>
        <w:jc w:val="both"/>
        <w:rPr>
          <w:color w:val="000000"/>
          <w:sz w:val="22"/>
          <w:szCs w:val="22"/>
        </w:rPr>
      </w:pPr>
      <w:r w:rsidRPr="00592CAB">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sidRPr="00592CAB">
        <w:rPr>
          <w:rFonts w:ascii="Palatino Linotype" w:eastAsia="Palatino Linotype" w:hAnsi="Palatino Linotype" w:cs="Palatino Linotype"/>
          <w:b/>
          <w:sz w:val="22"/>
          <w:szCs w:val="22"/>
        </w:rPr>
        <w:t>Comisionada María del Rosario Mejía Ayala,</w:t>
      </w:r>
      <w:r w:rsidRPr="00592CAB">
        <w:rPr>
          <w:rFonts w:ascii="Palatino Linotype" w:eastAsia="Palatino Linotype" w:hAnsi="Palatino Linotype" w:cs="Palatino Linotype"/>
          <w:sz w:val="22"/>
          <w:szCs w:val="22"/>
        </w:rPr>
        <w:t xml:space="preserve"> para su análisis.</w:t>
      </w:r>
    </w:p>
    <w:p w:rsidR="00813BB6" w:rsidRPr="00592CAB" w:rsidRDefault="00813BB6">
      <w:pPr>
        <w:spacing w:line="360" w:lineRule="auto"/>
        <w:ind w:left="360"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color w:val="000000"/>
          <w:sz w:val="22"/>
          <w:szCs w:val="22"/>
        </w:rPr>
      </w:pPr>
      <w:r w:rsidRPr="00592CAB">
        <w:rPr>
          <w:rFonts w:ascii="Palatino Linotype" w:eastAsia="Palatino Linotype" w:hAnsi="Palatino Linotype" w:cs="Palatino Linotype"/>
          <w:sz w:val="22"/>
          <w:szCs w:val="22"/>
        </w:rPr>
        <w:lastRenderedPageBreak/>
        <w:t xml:space="preserve">La Comisionada Ponente con fundamento en lo dispuesto por el artículo 185 fracción II de la ley de la materia, a través del acuerdo de admisión del </w:t>
      </w:r>
      <w:r w:rsidRPr="00592CAB">
        <w:rPr>
          <w:rFonts w:ascii="Palatino Linotype" w:eastAsia="Palatino Linotype" w:hAnsi="Palatino Linotype" w:cs="Palatino Linotype"/>
          <w:b/>
          <w:sz w:val="22"/>
          <w:szCs w:val="22"/>
        </w:rPr>
        <w:t>once de marzo de dos mil veinticuatro</w:t>
      </w:r>
      <w:r w:rsidRPr="00592CAB">
        <w:rPr>
          <w:rFonts w:ascii="Palatino Linotype" w:eastAsia="Palatino Linotype" w:hAnsi="Palatino Linotype" w:cs="Palatino Linotype"/>
          <w:sz w:val="22"/>
          <w:szCs w:val="22"/>
        </w:rPr>
        <w:t xml:space="preserve">, puso a disposición de las partes el expediente electrónico vía Sistema de Acceso a la Información Mexiquense </w:t>
      </w:r>
      <w:r w:rsidRPr="00592CAB">
        <w:rPr>
          <w:rFonts w:ascii="Palatino Linotype" w:eastAsia="Palatino Linotype" w:hAnsi="Palatino Linotype" w:cs="Palatino Linotype"/>
          <w:b/>
          <w:sz w:val="22"/>
          <w:szCs w:val="22"/>
        </w:rPr>
        <w:t xml:space="preserve">(SAIMEX) </w:t>
      </w:r>
      <w:r w:rsidRPr="00592CAB">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592CAB">
        <w:rPr>
          <w:rFonts w:ascii="Palatino Linotype" w:eastAsia="Palatino Linotype" w:hAnsi="Palatino Linotype" w:cs="Palatino Linotype"/>
          <w:b/>
          <w:sz w:val="22"/>
          <w:szCs w:val="22"/>
        </w:rPr>
        <w:t>SUJETO OBLIGADO</w:t>
      </w:r>
      <w:r w:rsidRPr="00592CAB">
        <w:rPr>
          <w:rFonts w:ascii="Palatino Linotype" w:eastAsia="Palatino Linotype" w:hAnsi="Palatino Linotype" w:cs="Palatino Linotype"/>
          <w:sz w:val="22"/>
          <w:szCs w:val="22"/>
        </w:rPr>
        <w:t xml:space="preserve"> presentará el Informe Justificado procedente.  </w:t>
      </w:r>
    </w:p>
    <w:p w:rsidR="00813BB6" w:rsidRPr="00592CAB" w:rsidRDefault="00813BB6">
      <w:pPr>
        <w:spacing w:line="360" w:lineRule="auto"/>
        <w:ind w:right="-592"/>
        <w:jc w:val="both"/>
        <w:rPr>
          <w:rFonts w:ascii="Palatino Linotype" w:eastAsia="Palatino Linotype" w:hAnsi="Palatino Linotype" w:cs="Palatino Linotype"/>
          <w:i/>
          <w:color w:val="000000"/>
          <w:sz w:val="22"/>
          <w:szCs w:val="22"/>
        </w:rPr>
      </w:pPr>
    </w:p>
    <w:p w:rsidR="00813BB6" w:rsidRPr="00592CAB" w:rsidRDefault="00DA6780">
      <w:pPr>
        <w:numPr>
          <w:ilvl w:val="0"/>
          <w:numId w:val="2"/>
        </w:numPr>
        <w:spacing w:line="360" w:lineRule="auto"/>
        <w:ind w:left="0" w:right="-592" w:firstLine="0"/>
        <w:jc w:val="both"/>
        <w:rPr>
          <w:color w:val="000000"/>
          <w:sz w:val="22"/>
          <w:szCs w:val="22"/>
        </w:rPr>
      </w:pPr>
      <w:r w:rsidRPr="00592CAB">
        <w:rPr>
          <w:rFonts w:ascii="Palatino Linotype" w:eastAsia="Palatino Linotype" w:hAnsi="Palatino Linotype" w:cs="Palatino Linotype"/>
          <w:sz w:val="22"/>
          <w:szCs w:val="22"/>
        </w:rPr>
        <w:t xml:space="preserve">De las constancias que obran en el expediente electrónico SAIMEX, se advierte que el particular no realizó manifestaciones, ni ofreció pruebas o alegatos que a su derecho conviniera; por su parte, el Sujeto Obligado remitió informe justificado el catorce de octubre de dos mil veinticuatro y fue puesto a la vista del particular el veintiocho de enero de dos mil veinticinco, a través del archivo denominado </w:t>
      </w:r>
      <w:r w:rsidRPr="00592CAB">
        <w:rPr>
          <w:rFonts w:ascii="Palatino Linotype" w:eastAsia="Palatino Linotype" w:hAnsi="Palatino Linotype" w:cs="Palatino Linotype"/>
          <w:b/>
          <w:sz w:val="22"/>
          <w:szCs w:val="22"/>
        </w:rPr>
        <w:t>IMG_20241014_0007 (4).pdf</w:t>
      </w:r>
      <w:r w:rsidRPr="00592CAB">
        <w:rPr>
          <w:rFonts w:ascii="Palatino Linotype" w:eastAsia="Palatino Linotype" w:hAnsi="Palatino Linotype" w:cs="Palatino Linotype"/>
          <w:sz w:val="22"/>
          <w:szCs w:val="22"/>
        </w:rPr>
        <w:t xml:space="preserve">, el que se advierte respuesta a una solicitud de información diversa. </w:t>
      </w:r>
    </w:p>
    <w:p w:rsidR="00813BB6" w:rsidRPr="00592CAB" w:rsidRDefault="00813BB6">
      <w:pP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El </w:t>
      </w:r>
      <w:r w:rsidRPr="00592CAB">
        <w:rPr>
          <w:rFonts w:ascii="Palatino Linotype" w:eastAsia="Palatino Linotype" w:hAnsi="Palatino Linotype" w:cs="Palatino Linotype"/>
          <w:b/>
          <w:sz w:val="22"/>
          <w:szCs w:val="22"/>
        </w:rPr>
        <w:t xml:space="preserve">siete de junio de dos mil veinticuatro, </w:t>
      </w:r>
      <w:r w:rsidRPr="00592CAB">
        <w:rPr>
          <w:rFonts w:ascii="Palatino Linotype" w:eastAsia="Palatino Linotype" w:hAnsi="Palatino Linotype" w:cs="Palatino Linotype"/>
          <w:sz w:val="22"/>
          <w:szCs w:val="22"/>
        </w:rPr>
        <w:t xml:space="preserve">se notificó el acuerdo a través del cual se notificó la ampliación de plazo para emitir resolución. </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el cual  se ha incrementado, circunstancia atípica que ha rebasado las capacidades técnicas y humanas del personal encargado de la proyección de las resoluciones a dichos medios de impugnación.</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w:t>
      </w:r>
      <w:r w:rsidRPr="00592CAB">
        <w:rPr>
          <w:rFonts w:ascii="Palatino Linotype" w:eastAsia="Palatino Linotype" w:hAnsi="Palatino Linotype" w:cs="Palatino Linotype"/>
          <w:sz w:val="22"/>
          <w:szCs w:val="22"/>
        </w:rPr>
        <w:lastRenderedPageBreak/>
        <w:t>resolución de asuntos conforme a los parámetros establecidos por diversos órganos jurisdiccionales federales, aplicables también en procedimientos análogos, como el que nos ocupa.</w:t>
      </w:r>
    </w:p>
    <w:p w:rsidR="00813BB6" w:rsidRPr="00592CAB" w:rsidRDefault="00813BB6">
      <w:pPr>
        <w:pBdr>
          <w:top w:val="nil"/>
          <w:left w:val="nil"/>
          <w:bottom w:val="nil"/>
          <w:right w:val="nil"/>
          <w:between w:val="nil"/>
        </w:pBdr>
        <w:ind w:left="720" w:right="-592"/>
        <w:rPr>
          <w:rFonts w:ascii="Palatino Linotype" w:eastAsia="Palatino Linotype" w:hAnsi="Palatino Linotype" w:cs="Palatino Linotype"/>
          <w:color w:val="000000"/>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13BB6" w:rsidRPr="00592CAB" w:rsidRDefault="00813BB6">
      <w:pPr>
        <w:pBdr>
          <w:top w:val="nil"/>
          <w:left w:val="nil"/>
          <w:bottom w:val="nil"/>
          <w:right w:val="nil"/>
          <w:between w:val="nil"/>
        </w:pBdr>
        <w:ind w:left="720" w:right="-592"/>
        <w:rPr>
          <w:rFonts w:ascii="Palatino Linotype" w:eastAsia="Palatino Linotype" w:hAnsi="Palatino Linotype" w:cs="Palatino Linotype"/>
          <w:color w:val="000000"/>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813BB6" w:rsidRPr="00592CAB" w:rsidRDefault="00813BB6">
      <w:pPr>
        <w:pBdr>
          <w:top w:val="nil"/>
          <w:left w:val="nil"/>
          <w:bottom w:val="nil"/>
          <w:right w:val="nil"/>
          <w:between w:val="nil"/>
        </w:pBdr>
        <w:ind w:left="720" w:right="-592"/>
        <w:rPr>
          <w:rFonts w:ascii="Palatino Linotype" w:eastAsia="Palatino Linotype" w:hAnsi="Palatino Linotype" w:cs="Palatino Linotype"/>
          <w:color w:val="000000"/>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813BB6" w:rsidRPr="00592CAB" w:rsidRDefault="00DA6780">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92CAB">
        <w:rPr>
          <w:rFonts w:ascii="Palatino Linotype" w:eastAsia="Palatino Linotype" w:hAnsi="Palatino Linotype" w:cs="Palatino Linotype"/>
          <w:color w:val="000000"/>
          <w:sz w:val="22"/>
          <w:szCs w:val="22"/>
        </w:rPr>
        <w:t xml:space="preserve">Complejidad del </w:t>
      </w:r>
      <w:r w:rsidRPr="00592CAB">
        <w:rPr>
          <w:rFonts w:ascii="Palatino Linotype" w:eastAsia="Palatino Linotype" w:hAnsi="Palatino Linotype" w:cs="Palatino Linotype"/>
          <w:sz w:val="22"/>
          <w:szCs w:val="22"/>
        </w:rPr>
        <w:t>asunto</w:t>
      </w:r>
      <w:r w:rsidRPr="00592CAB">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813BB6" w:rsidRPr="00592CAB" w:rsidRDefault="00DA6780">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92CAB">
        <w:rPr>
          <w:rFonts w:ascii="Palatino Linotype" w:eastAsia="Palatino Linotype" w:hAnsi="Palatino Linotype" w:cs="Palatino Linotype"/>
          <w:color w:val="000000"/>
          <w:sz w:val="22"/>
          <w:szCs w:val="22"/>
        </w:rPr>
        <w:t>Actividad Procesal del interesado. Acciones u omisiones del interesado.</w:t>
      </w:r>
    </w:p>
    <w:p w:rsidR="00813BB6" w:rsidRPr="00592CAB" w:rsidRDefault="00DA6780">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92CAB">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813BB6" w:rsidRPr="00592CAB" w:rsidRDefault="00DA6780">
      <w:pPr>
        <w:spacing w:line="360" w:lineRule="auto"/>
        <w:ind w:left="567" w:right="-2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813BB6" w:rsidRPr="00592CAB" w:rsidRDefault="00813BB6">
      <w:pPr>
        <w:spacing w:line="360" w:lineRule="auto"/>
        <w:ind w:right="-592"/>
        <w:rPr>
          <w:rFonts w:ascii="Palatino Linotype" w:eastAsia="Palatino Linotype" w:hAnsi="Palatino Linotype" w:cs="Palatino Linotype"/>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592CAB">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13BB6" w:rsidRPr="00592CAB" w:rsidRDefault="00813BB6">
      <w:pPr>
        <w:spacing w:line="360" w:lineRule="auto"/>
        <w:ind w:right="-592"/>
        <w:jc w:val="both"/>
        <w:rPr>
          <w:rFonts w:ascii="Palatino Linotype" w:eastAsia="Palatino Linotype" w:hAnsi="Palatino Linotype" w:cs="Palatino Linotype"/>
          <w:b/>
          <w:sz w:val="22"/>
          <w:szCs w:val="22"/>
        </w:rPr>
      </w:pPr>
    </w:p>
    <w:p w:rsidR="00813BB6" w:rsidRPr="00592CAB" w:rsidRDefault="00DA6780">
      <w:pPr>
        <w:numPr>
          <w:ilvl w:val="0"/>
          <w:numId w:val="2"/>
        </w:numPr>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592CAB">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592CAB">
        <w:rPr>
          <w:rFonts w:ascii="Palatino Linotype" w:eastAsia="Palatino Linotype" w:hAnsi="Palatino Linotype" w:cs="Palatino Linotype"/>
          <w:sz w:val="22"/>
          <w:szCs w:val="22"/>
        </w:rPr>
        <w:t>, visible en la Gaceta del Semanario Judicial de la Federación con el registro digital 205635.</w:t>
      </w:r>
    </w:p>
    <w:p w:rsidR="00813BB6" w:rsidRPr="00592CAB" w:rsidRDefault="00813BB6">
      <w:pPr>
        <w:spacing w:line="360" w:lineRule="auto"/>
        <w:ind w:right="-592"/>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13BB6" w:rsidRPr="00592CAB" w:rsidRDefault="00813BB6">
      <w:pPr>
        <w:spacing w:line="360" w:lineRule="auto"/>
        <w:ind w:right="-592"/>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813BB6" w:rsidRPr="00592CAB" w:rsidRDefault="00813BB6">
      <w:pPr>
        <w:spacing w:line="360" w:lineRule="auto"/>
        <w:ind w:right="-592"/>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813BB6" w:rsidRPr="00592CAB" w:rsidRDefault="00DA6780">
      <w:pPr>
        <w:spacing w:line="360" w:lineRule="auto"/>
        <w:ind w:left="851" w:right="-2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lastRenderedPageBreak/>
        <w:t xml:space="preserve"> </w:t>
      </w:r>
      <w:r w:rsidRPr="00592CAB">
        <w:rPr>
          <w:rFonts w:ascii="Palatino Linotype" w:eastAsia="Palatino Linotype" w:hAnsi="Palatino Linotype" w:cs="Palatino Linotype"/>
          <w:i/>
          <w:sz w:val="22"/>
          <w:szCs w:val="22"/>
        </w:rPr>
        <w:t>“PLAZO RAZONABLE PARA RESOLVER. DIMENSIÓN Y EFECTOS DE ESTE CONCEPTO CUANDO SE ADUCE EXCESIVA CARGA DE TRABAJO.”</w:t>
      </w:r>
      <w:r w:rsidRPr="00592CAB">
        <w:rPr>
          <w:rFonts w:ascii="Palatino Linotype" w:eastAsia="Palatino Linotype" w:hAnsi="Palatino Linotype" w:cs="Palatino Linotype"/>
          <w:sz w:val="22"/>
          <w:szCs w:val="22"/>
        </w:rPr>
        <w:t xml:space="preserve"> consultable en el Semanario Judicial de la Federación y su gaceta, con el registro digital 2002351.</w:t>
      </w:r>
    </w:p>
    <w:p w:rsidR="00813BB6" w:rsidRPr="00592CAB" w:rsidRDefault="00813BB6">
      <w:pPr>
        <w:spacing w:line="360" w:lineRule="auto"/>
        <w:ind w:left="851" w:right="-25"/>
        <w:jc w:val="both"/>
        <w:rPr>
          <w:rFonts w:ascii="Palatino Linotype" w:eastAsia="Palatino Linotype" w:hAnsi="Palatino Linotype" w:cs="Palatino Linotype"/>
          <w:b/>
          <w:sz w:val="22"/>
          <w:szCs w:val="22"/>
        </w:rPr>
      </w:pPr>
    </w:p>
    <w:p w:rsidR="00813BB6" w:rsidRPr="00592CAB" w:rsidRDefault="00DA6780">
      <w:pPr>
        <w:spacing w:line="360" w:lineRule="auto"/>
        <w:ind w:left="851" w:right="-2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592CAB">
        <w:rPr>
          <w:rFonts w:ascii="Palatino Linotype" w:eastAsia="Palatino Linotype" w:hAnsi="Palatino Linotype" w:cs="Palatino Linotype"/>
          <w:sz w:val="22"/>
          <w:szCs w:val="22"/>
        </w:rPr>
        <w:t>, visible en el Semanario Judicial de la Federación y su gaceta, con el registro digital 2002350.</w:t>
      </w:r>
    </w:p>
    <w:p w:rsidR="00813BB6" w:rsidRPr="00592CAB" w:rsidRDefault="00813BB6">
      <w:pPr>
        <w:spacing w:line="360" w:lineRule="auto"/>
        <w:ind w:right="-592"/>
        <w:jc w:val="both"/>
        <w:rPr>
          <w:rFonts w:ascii="Palatino Linotype" w:eastAsia="Palatino Linotype" w:hAnsi="Palatino Linotype" w:cs="Palatino Linotype"/>
          <w:i/>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La Comisionada Ponente decretó el cierre de instrucción mediante acuerdo del veintidós (22) de octubre de dos mil veinticuatro, por lo que, ordenó turnar el expediente a resolución, misma que a continuación se pronuncia.</w:t>
      </w:r>
    </w:p>
    <w:p w:rsidR="00813BB6" w:rsidRPr="00592CAB" w:rsidRDefault="00813BB6">
      <w:pPr>
        <w:spacing w:line="360" w:lineRule="auto"/>
        <w:ind w:right="-592"/>
        <w:jc w:val="both"/>
        <w:rPr>
          <w:rFonts w:ascii="Palatino Linotype" w:eastAsia="Palatino Linotype" w:hAnsi="Palatino Linotype" w:cs="Palatino Linotype"/>
          <w:b/>
          <w:sz w:val="22"/>
          <w:szCs w:val="22"/>
        </w:rPr>
      </w:pPr>
    </w:p>
    <w:p w:rsidR="00813BB6" w:rsidRPr="00592CAB" w:rsidRDefault="00DA6780">
      <w:pPr>
        <w:keepNext/>
        <w:keepLines/>
        <w:spacing w:line="360" w:lineRule="auto"/>
        <w:ind w:right="-592"/>
        <w:jc w:val="center"/>
        <w:rPr>
          <w:rFonts w:ascii="Palatino Linotype" w:eastAsia="Palatino Linotype" w:hAnsi="Palatino Linotype" w:cs="Palatino Linotype"/>
          <w:b/>
          <w:sz w:val="22"/>
          <w:szCs w:val="22"/>
        </w:rPr>
      </w:pPr>
      <w:r w:rsidRPr="00592CAB">
        <w:rPr>
          <w:rFonts w:ascii="Palatino Linotype" w:eastAsia="Palatino Linotype" w:hAnsi="Palatino Linotype" w:cs="Palatino Linotype"/>
          <w:b/>
          <w:sz w:val="22"/>
          <w:szCs w:val="22"/>
        </w:rPr>
        <w:t>C O N S I D E R A N D O</w:t>
      </w:r>
    </w:p>
    <w:p w:rsidR="00813BB6" w:rsidRPr="00592CAB" w:rsidRDefault="00813BB6">
      <w:pPr>
        <w:keepNext/>
        <w:keepLines/>
        <w:spacing w:line="360" w:lineRule="auto"/>
        <w:ind w:right="-592"/>
        <w:jc w:val="center"/>
        <w:rPr>
          <w:rFonts w:ascii="Palatino Linotype" w:eastAsia="Palatino Linotype" w:hAnsi="Palatino Linotype" w:cs="Palatino Linotype"/>
          <w:b/>
          <w:sz w:val="22"/>
          <w:szCs w:val="22"/>
        </w:rPr>
      </w:pPr>
    </w:p>
    <w:p w:rsidR="00813BB6" w:rsidRPr="00592CAB" w:rsidRDefault="00DA6780">
      <w:pPr>
        <w:keepNext/>
        <w:keepLines/>
        <w:spacing w:line="360" w:lineRule="auto"/>
        <w:ind w:right="-592"/>
        <w:rPr>
          <w:rFonts w:ascii="Palatino Linotype" w:eastAsia="Palatino Linotype" w:hAnsi="Palatino Linotype" w:cs="Palatino Linotype"/>
          <w:b/>
          <w:sz w:val="22"/>
          <w:szCs w:val="22"/>
        </w:rPr>
      </w:pPr>
      <w:bookmarkStart w:id="1" w:name="_heading=h.3znysh7" w:colFirst="0" w:colLast="0"/>
      <w:bookmarkEnd w:id="1"/>
      <w:r w:rsidRPr="00592CAB">
        <w:rPr>
          <w:rFonts w:ascii="Palatino Linotype" w:eastAsia="Palatino Linotype" w:hAnsi="Palatino Linotype" w:cs="Palatino Linotype"/>
          <w:b/>
          <w:sz w:val="22"/>
          <w:szCs w:val="22"/>
        </w:rPr>
        <w:t>PRIMERO. De la competencia.</w:t>
      </w:r>
    </w:p>
    <w:p w:rsidR="00813BB6" w:rsidRPr="00592CAB" w:rsidRDefault="00DA6780">
      <w:pPr>
        <w:numPr>
          <w:ilvl w:val="0"/>
          <w:numId w:val="2"/>
        </w:numPr>
        <w:pBdr>
          <w:top w:val="nil"/>
          <w:left w:val="nil"/>
          <w:bottom w:val="nil"/>
          <w:right w:val="nil"/>
          <w:between w:val="nil"/>
        </w:pBdr>
        <w:spacing w:before="240" w:after="240"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592CAB">
        <w:rPr>
          <w:rFonts w:ascii="Palatino Linotype" w:eastAsia="Palatino Linotype" w:hAnsi="Palatino Linotype" w:cs="Palatino Linotype"/>
          <w:b/>
          <w:color w:val="000000"/>
          <w:sz w:val="22"/>
          <w:szCs w:val="22"/>
        </w:rPr>
        <w:t>Constitución Política de los Estados Unidos Mexicanos</w:t>
      </w:r>
      <w:r w:rsidRPr="00592CAB">
        <w:rPr>
          <w:rFonts w:ascii="Palatino Linotype" w:eastAsia="Palatino Linotype" w:hAnsi="Palatino Linotype" w:cs="Palatino Linotype"/>
          <w:color w:val="000000"/>
          <w:sz w:val="22"/>
          <w:szCs w:val="22"/>
        </w:rPr>
        <w:t xml:space="preserve">; 5, párrafos trigésimo segundo y trigésimo tercero, fracciones IV y V, de la </w:t>
      </w:r>
      <w:r w:rsidRPr="00592CAB">
        <w:rPr>
          <w:rFonts w:ascii="Palatino Linotype" w:eastAsia="Palatino Linotype" w:hAnsi="Palatino Linotype" w:cs="Palatino Linotype"/>
          <w:b/>
          <w:color w:val="000000"/>
          <w:sz w:val="22"/>
          <w:szCs w:val="22"/>
        </w:rPr>
        <w:t>Constitución Política del Estado Libre y Soberano de México</w:t>
      </w:r>
      <w:r w:rsidRPr="00592CAB">
        <w:rPr>
          <w:rFonts w:ascii="Palatino Linotype" w:eastAsia="Palatino Linotype" w:hAnsi="Palatino Linotype" w:cs="Palatino Linotype"/>
          <w:color w:val="000000"/>
          <w:sz w:val="22"/>
          <w:szCs w:val="22"/>
        </w:rPr>
        <w:t xml:space="preserve">; artículos 1, 2 fracción II, 13, 29, 36 </w:t>
      </w:r>
      <w:r w:rsidRPr="00592CAB">
        <w:rPr>
          <w:rFonts w:ascii="Palatino Linotype" w:eastAsia="Palatino Linotype" w:hAnsi="Palatino Linotype" w:cs="Palatino Linotype"/>
          <w:color w:val="000000"/>
          <w:sz w:val="22"/>
          <w:szCs w:val="22"/>
        </w:rPr>
        <w:lastRenderedPageBreak/>
        <w:t xml:space="preserve">fracciones I y II, 176, 178, 179, 181 párrafo tercero y 185 de la </w:t>
      </w:r>
      <w:r w:rsidRPr="00592CAB">
        <w:rPr>
          <w:rFonts w:ascii="Palatino Linotype" w:eastAsia="Palatino Linotype" w:hAnsi="Palatino Linotype" w:cs="Palatino Linotype"/>
          <w:b/>
          <w:color w:val="000000"/>
          <w:sz w:val="22"/>
          <w:szCs w:val="22"/>
        </w:rPr>
        <w:t>Ley de Transparencia y Acceso a la Información Pública del Estado de México y Municipios</w:t>
      </w:r>
      <w:r w:rsidRPr="00592CAB">
        <w:rPr>
          <w:rFonts w:ascii="Palatino Linotype" w:eastAsia="Palatino Linotype" w:hAnsi="Palatino Linotype" w:cs="Palatino Linotype"/>
          <w:color w:val="000000"/>
          <w:sz w:val="22"/>
          <w:szCs w:val="22"/>
        </w:rPr>
        <w:t xml:space="preserve">; y 7, 9 fracciones I y XXIII, y 11 del </w:t>
      </w:r>
      <w:r w:rsidRPr="00592CAB">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rsidR="00813BB6" w:rsidRPr="00592CAB" w:rsidRDefault="00813BB6">
      <w:pPr>
        <w:pBdr>
          <w:top w:val="nil"/>
          <w:left w:val="nil"/>
          <w:bottom w:val="nil"/>
          <w:right w:val="nil"/>
          <w:between w:val="nil"/>
        </w:pBdr>
        <w:spacing w:before="240" w:after="240" w:line="360" w:lineRule="auto"/>
        <w:ind w:left="360" w:right="-592"/>
        <w:jc w:val="both"/>
        <w:rPr>
          <w:rFonts w:ascii="Palatino Linotype" w:eastAsia="Palatino Linotype" w:hAnsi="Palatino Linotype" w:cs="Palatino Linotype"/>
          <w:b/>
          <w:sz w:val="22"/>
          <w:szCs w:val="22"/>
        </w:rPr>
      </w:pPr>
    </w:p>
    <w:p w:rsidR="00813BB6" w:rsidRPr="00592CAB" w:rsidRDefault="00DA6780">
      <w:pPr>
        <w:keepNext/>
        <w:keepLines/>
        <w:spacing w:line="360" w:lineRule="auto"/>
        <w:ind w:right="-592"/>
        <w:rPr>
          <w:rFonts w:ascii="Palatino Linotype" w:eastAsia="Palatino Linotype" w:hAnsi="Palatino Linotype" w:cs="Palatino Linotype"/>
          <w:b/>
          <w:sz w:val="22"/>
          <w:szCs w:val="22"/>
        </w:rPr>
      </w:pPr>
      <w:bookmarkStart w:id="2" w:name="_heading=h.2et92p0" w:colFirst="0" w:colLast="0"/>
      <w:bookmarkEnd w:id="2"/>
      <w:r w:rsidRPr="00592CAB">
        <w:rPr>
          <w:rFonts w:ascii="Palatino Linotype" w:eastAsia="Palatino Linotype" w:hAnsi="Palatino Linotype" w:cs="Palatino Linotype"/>
          <w:b/>
          <w:sz w:val="22"/>
          <w:szCs w:val="22"/>
        </w:rPr>
        <w:t>SEGUNDO. De la oportunidad y procedencia.</w:t>
      </w: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El medio de impugnación fue presentado a través del </w:t>
      </w:r>
      <w:r w:rsidRPr="00592CAB">
        <w:rPr>
          <w:rFonts w:ascii="Palatino Linotype" w:eastAsia="Palatino Linotype" w:hAnsi="Palatino Linotype" w:cs="Palatino Linotype"/>
          <w:b/>
          <w:sz w:val="22"/>
          <w:szCs w:val="22"/>
        </w:rPr>
        <w:t>SAIMEX,</w:t>
      </w:r>
      <w:r w:rsidRPr="00592CAB">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592CAB">
        <w:rPr>
          <w:rFonts w:ascii="Palatino Linotype" w:eastAsia="Palatino Linotype" w:hAnsi="Palatino Linotype" w:cs="Palatino Linotype"/>
          <w:b/>
          <w:sz w:val="22"/>
          <w:szCs w:val="22"/>
        </w:rPr>
        <w:t>SUJETO OBLIGADO</w:t>
      </w:r>
      <w:r w:rsidRPr="00592CAB">
        <w:rPr>
          <w:rFonts w:ascii="Palatino Linotype" w:eastAsia="Palatino Linotype" w:hAnsi="Palatino Linotype" w:cs="Palatino Linotype"/>
          <w:sz w:val="22"/>
          <w:szCs w:val="22"/>
        </w:rPr>
        <w:t xml:space="preserve"> entregó respuesta el día </w:t>
      </w:r>
      <w:r w:rsidRPr="00592CAB">
        <w:rPr>
          <w:rFonts w:ascii="Palatino Linotype" w:eastAsia="Palatino Linotype" w:hAnsi="Palatino Linotype" w:cs="Palatino Linotype"/>
          <w:b/>
          <w:sz w:val="22"/>
          <w:szCs w:val="22"/>
        </w:rPr>
        <w:t>veintinueve de febrero de dos mil veinticuatro</w:t>
      </w:r>
      <w:r w:rsidRPr="00592CAB">
        <w:rPr>
          <w:rFonts w:ascii="Palatino Linotype" w:eastAsia="Palatino Linotype" w:hAnsi="Palatino Linotype" w:cs="Palatino Linotype"/>
          <w:sz w:val="22"/>
          <w:szCs w:val="22"/>
        </w:rPr>
        <w:t xml:space="preserve">, de tal forma que el plazo para interponer el recurso transcurrió del </w:t>
      </w:r>
      <w:r w:rsidRPr="00592CAB">
        <w:rPr>
          <w:rFonts w:ascii="Palatino Linotype" w:eastAsia="Palatino Linotype" w:hAnsi="Palatino Linotype" w:cs="Palatino Linotype"/>
          <w:b/>
          <w:sz w:val="22"/>
          <w:szCs w:val="22"/>
        </w:rPr>
        <w:t>cuatro de marzo al primero de abril de dos mil veinticuatro</w:t>
      </w:r>
      <w:r w:rsidRPr="00592CAB">
        <w:rPr>
          <w:rFonts w:ascii="Palatino Linotype" w:eastAsia="Palatino Linotype" w:hAnsi="Palatino Linotype" w:cs="Palatino Linotype"/>
          <w:sz w:val="22"/>
          <w:szCs w:val="22"/>
        </w:rPr>
        <w:t xml:space="preserve">, de acuerdo al calendario oficial del Instituto de Transparencia del Estado de México y Municipios; en consecuencia, si el particular presentó su inconformidad el día </w:t>
      </w:r>
      <w:r w:rsidRPr="00592CAB">
        <w:rPr>
          <w:rFonts w:ascii="Palatino Linotype" w:eastAsia="Palatino Linotype" w:hAnsi="Palatino Linotype" w:cs="Palatino Linotype"/>
          <w:b/>
          <w:sz w:val="22"/>
          <w:szCs w:val="22"/>
        </w:rPr>
        <w:t>cinco de marzo de dos mil veinticuatro</w:t>
      </w:r>
      <w:r w:rsidRPr="00592CAB">
        <w:rPr>
          <w:rFonts w:ascii="Palatino Linotype" w:eastAsia="Palatino Linotype" w:hAnsi="Palatino Linotype" w:cs="Palatino Linotype"/>
          <w:sz w:val="22"/>
          <w:szCs w:val="22"/>
        </w:rPr>
        <w:t xml:space="preserve">, se encuentra dentro de los márgenes temporales previstos en el artículo 178 de la </w:t>
      </w:r>
      <w:r w:rsidRPr="00592CAB">
        <w:rPr>
          <w:rFonts w:ascii="Palatino Linotype" w:eastAsia="Palatino Linotype" w:hAnsi="Palatino Linotype" w:cs="Palatino Linotype"/>
          <w:b/>
          <w:sz w:val="22"/>
          <w:szCs w:val="22"/>
        </w:rPr>
        <w:t xml:space="preserve">Ley de Transparencia y Acceso a la Información Pública del Estado de México y Municipios </w:t>
      </w:r>
      <w:r w:rsidRPr="00592CAB">
        <w:rPr>
          <w:rFonts w:ascii="Palatino Linotype" w:eastAsia="Palatino Linotype" w:hAnsi="Palatino Linotype" w:cs="Palatino Linotype"/>
          <w:sz w:val="22"/>
          <w:szCs w:val="22"/>
        </w:rPr>
        <w:t xml:space="preserve">vigente. </w:t>
      </w:r>
    </w:p>
    <w:p w:rsidR="00813BB6" w:rsidRPr="00592CAB" w:rsidRDefault="00813BB6">
      <w:pPr>
        <w:ind w:right="-592"/>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rFonts w:ascii="Palatino Linotype" w:eastAsia="Palatino Linotype" w:hAnsi="Palatino Linotype" w:cs="Palatino Linotype"/>
          <w:b/>
          <w:sz w:val="22"/>
          <w:szCs w:val="22"/>
        </w:rPr>
      </w:pPr>
      <w:r w:rsidRPr="00592CAB">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13BB6" w:rsidRPr="00592CAB" w:rsidRDefault="00813BB6">
      <w:pPr>
        <w:spacing w:line="360" w:lineRule="auto"/>
        <w:ind w:right="-592"/>
        <w:jc w:val="both"/>
        <w:rPr>
          <w:rFonts w:ascii="Palatino Linotype" w:eastAsia="Palatino Linotype" w:hAnsi="Palatino Linotype" w:cs="Palatino Linotype"/>
          <w:b/>
          <w:sz w:val="22"/>
          <w:szCs w:val="22"/>
        </w:rPr>
      </w:pPr>
    </w:p>
    <w:p w:rsidR="00813BB6" w:rsidRPr="00592CAB" w:rsidRDefault="00DA6780">
      <w:pPr>
        <w:keepNext/>
        <w:keepLines/>
        <w:spacing w:line="360" w:lineRule="auto"/>
        <w:ind w:right="-592"/>
        <w:rPr>
          <w:rFonts w:ascii="Palatino Linotype" w:eastAsia="Palatino Linotype" w:hAnsi="Palatino Linotype" w:cs="Palatino Linotype"/>
          <w:b/>
          <w:sz w:val="22"/>
          <w:szCs w:val="22"/>
        </w:rPr>
      </w:pPr>
      <w:bookmarkStart w:id="3" w:name="_heading=h.tyjcwt" w:colFirst="0" w:colLast="0"/>
      <w:bookmarkEnd w:id="3"/>
      <w:r w:rsidRPr="00592CAB">
        <w:rPr>
          <w:rFonts w:ascii="Palatino Linotype" w:eastAsia="Palatino Linotype" w:hAnsi="Palatino Linotype" w:cs="Palatino Linotype"/>
          <w:b/>
          <w:sz w:val="22"/>
          <w:szCs w:val="22"/>
        </w:rPr>
        <w:t>TERCERO. Planteamiento de la Litis.</w:t>
      </w: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El particular solicitó las convocatorias para integrar la Comisión de Selección Municipal y el Comité de Participación Ciudadana, así como los documentos que se recibieron de los aspirantes en el proceso de selección. </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En respuesta, el Sujeto Obligado señaló que información mediante archivo PDF, sin embargo, no se advierte el documento señalado. Posteriormente, el particular se inconformó, de forma medular, por la negativa de la información.  </w:t>
      </w:r>
    </w:p>
    <w:p w:rsidR="00813BB6" w:rsidRPr="00592CAB" w:rsidRDefault="00813BB6">
      <w:pPr>
        <w:tabs>
          <w:tab w:val="left" w:pos="0"/>
        </w:tabs>
        <w:spacing w:line="360" w:lineRule="auto"/>
        <w:ind w:right="-592"/>
        <w:jc w:val="both"/>
        <w:rPr>
          <w:rFonts w:ascii="Palatino Linotype" w:eastAsia="Palatino Linotype" w:hAnsi="Palatino Linotype" w:cs="Palatino Linotype"/>
          <w:i/>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   </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pStyle w:val="Ttulo1"/>
        <w:spacing w:before="0" w:line="360" w:lineRule="auto"/>
        <w:ind w:right="-592"/>
        <w:rPr>
          <w:rFonts w:ascii="Palatino Linotype" w:eastAsia="Palatino Linotype" w:hAnsi="Palatino Linotype" w:cs="Palatino Linotype"/>
          <w:b/>
          <w:color w:val="000000"/>
          <w:sz w:val="22"/>
          <w:szCs w:val="22"/>
        </w:rPr>
      </w:pPr>
      <w:bookmarkStart w:id="4" w:name="_heading=h.3dy6vkm" w:colFirst="0" w:colLast="0"/>
      <w:bookmarkEnd w:id="4"/>
      <w:r w:rsidRPr="00592CAB">
        <w:rPr>
          <w:rFonts w:ascii="Palatino Linotype" w:eastAsia="Palatino Linotype" w:hAnsi="Palatino Linotype" w:cs="Palatino Linotype"/>
          <w:b/>
          <w:color w:val="000000"/>
          <w:sz w:val="22"/>
          <w:szCs w:val="22"/>
        </w:rPr>
        <w:t>CUARTO. Del estudio y resolución del recurso de revisión.</w:t>
      </w: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De las constancias del expediente SAIMEX, se advierte que el particular requiere las convocatorias para integrar la Comisión de Selección Municipal y el Comité de Participación Ciudadana, así como los documentos que se recibieron de los aspirantes en el proceso de selección. </w:t>
      </w:r>
    </w:p>
    <w:p w:rsidR="00813BB6" w:rsidRPr="00592CAB" w:rsidRDefault="00813BB6">
      <w:pPr>
        <w:spacing w:line="360" w:lineRule="auto"/>
        <w:ind w:right="-592"/>
        <w:jc w:val="both"/>
        <w:rPr>
          <w:rFonts w:ascii="Palatino Linotype" w:eastAsia="Palatino Linotype" w:hAnsi="Palatino Linotype" w:cs="Palatino Linotype"/>
          <w:i/>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En ese sentido, conviene señalar la naturaleza de la información solicitada, por ello, es necesario referir el artículo 123 de la Constitución Política de </w:t>
      </w:r>
      <w:r w:rsidRPr="00592CAB">
        <w:rPr>
          <w:rFonts w:ascii="Palatino Linotype" w:eastAsia="Palatino Linotype" w:hAnsi="Palatino Linotype" w:cs="Palatino Linotype"/>
          <w:sz w:val="22"/>
          <w:szCs w:val="22"/>
        </w:rPr>
        <w:t>los</w:t>
      </w:r>
      <w:r w:rsidRPr="00592CAB">
        <w:rPr>
          <w:rFonts w:ascii="Palatino Linotype" w:eastAsia="Palatino Linotype" w:hAnsi="Palatino Linotype" w:cs="Palatino Linotype"/>
          <w:color w:val="000000"/>
          <w:sz w:val="22"/>
          <w:szCs w:val="22"/>
        </w:rPr>
        <w:t xml:space="preserve"> Estado Unidos Mexicanos que establece que los Ayuntamientos en el ámbito de su competencia, desempeñarán facultades normativas, para el régimen de gobierno y administración del Municipio, así como lo relacionado al Sistema Municipal Anticorrupción y funciones de inspección, concernientes al cumplimiento de las disposiciones de observancia general aplicables. Asimismo, el artículo 130 Bis del Ordenamiento </w:t>
      </w:r>
      <w:r w:rsidRPr="00592CAB">
        <w:rPr>
          <w:rFonts w:ascii="Palatino Linotype" w:eastAsia="Palatino Linotype" w:hAnsi="Palatino Linotype" w:cs="Palatino Linotype"/>
          <w:color w:val="000000"/>
          <w:sz w:val="22"/>
          <w:szCs w:val="22"/>
        </w:rPr>
        <w:lastRenderedPageBreak/>
        <w:t>señalado, establece que 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w:t>
      </w:r>
    </w:p>
    <w:p w:rsidR="00813BB6" w:rsidRPr="00592CAB" w:rsidRDefault="00813BB6">
      <w:pPr>
        <w:pBdr>
          <w:top w:val="nil"/>
          <w:left w:val="nil"/>
          <w:bottom w:val="nil"/>
          <w:right w:val="nil"/>
          <w:between w:val="nil"/>
        </w:pBdr>
        <w:ind w:left="720" w:right="-592"/>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Por su parte, la Ley del Sistema Estatal Anticorrupción del Estado de México y Municipios establece en su artículo 3, lo siguiente:</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 xml:space="preserve">“Artículo 3. Para efectos de la presente Ley, se entenderá por: </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 xml:space="preserve">IV. Comité de Participación Ciudadana: A la instancia colegiada a que se refiere la Constitución Política del Estado Libre y Soberano de México, el cual contará con las facultades que establece la presente Ley. </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 xml:space="preserve">V. Comité de Participación Ciudadana Municipal: A la instancia colegiada a nivel Municipal a que se refiere la Constitución Política del Estado Libre y Soberano de México, el cual contará con las facultades que establece la presente Ley. </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VI. Comisión Estatal de Selección: A la que se constituya en términos de esta ley, para nombrar a los integrantes del Comité de Participación Ciudadana.</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i/>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Al respecto, de conformidad con el numeral 63 de la Ley del Sistema Anticorrupción, el Comité Coordinador Municipal se integra de la siguiente manera:</w:t>
      </w:r>
    </w:p>
    <w:p w:rsidR="00813BB6" w:rsidRPr="00592CAB" w:rsidRDefault="00DA6780">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“Artículo 63. El Comité Coordinador Municipal se integrará por:</w:t>
      </w:r>
    </w:p>
    <w:p w:rsidR="00813BB6" w:rsidRPr="00592CAB" w:rsidRDefault="00DA6780">
      <w:pPr>
        <w:numPr>
          <w:ilvl w:val="0"/>
          <w:numId w:val="3"/>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 xml:space="preserve">El titular de la contraloría municipal. </w:t>
      </w:r>
    </w:p>
    <w:p w:rsidR="00813BB6" w:rsidRPr="00592CAB" w:rsidRDefault="00DA6780">
      <w:pPr>
        <w:numPr>
          <w:ilvl w:val="0"/>
          <w:numId w:val="3"/>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 xml:space="preserve">El titular de la unidad de transparencia y acceso a la información del municipio. </w:t>
      </w:r>
    </w:p>
    <w:p w:rsidR="00813BB6" w:rsidRPr="00592CAB" w:rsidRDefault="00DA6780">
      <w:pPr>
        <w:numPr>
          <w:ilvl w:val="0"/>
          <w:numId w:val="3"/>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lastRenderedPageBreak/>
        <w:t>Un representante del Comité de Participación Ciudadana Municipal, quien lo presidirá.”</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Igualmente, la Ley en cita determina que el Comité de Participación Ciudadana funge como la instancia de vinculación con  organizaciones sociales y académicas relacionadas con las materias del Sistema Municipal Anticorrupción; </w:t>
      </w:r>
      <w:r w:rsidRPr="00592CAB">
        <w:rPr>
          <w:rFonts w:ascii="Palatino Linotype" w:eastAsia="Palatino Linotype" w:hAnsi="Palatino Linotype" w:cs="Palatino Linotype"/>
          <w:b/>
          <w:sz w:val="22"/>
          <w:szCs w:val="22"/>
        </w:rPr>
        <w:t>asimismo, su integración se encuentra  compuesta por tres ciudadanos que se hayan destacado por su contribución al combate a la corrupción de notoria buena conducta</w:t>
      </w:r>
      <w:r w:rsidRPr="00592CAB">
        <w:rPr>
          <w:rFonts w:ascii="Palatino Linotype" w:eastAsia="Palatino Linotype" w:hAnsi="Palatino Linotype" w:cs="Palatino Linotype"/>
          <w:sz w:val="22"/>
          <w:szCs w:val="22"/>
        </w:rPr>
        <w:t xml:space="preserve"> y honorabilidad manifiesta según lo dispuesto en el artículo 69 en el marco normativo.</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Asimismo. Conviene señalar que el artículo 72 del ordenamiento ya referido establece lo siguiente:</w:t>
      </w:r>
    </w:p>
    <w:p w:rsidR="00813BB6" w:rsidRPr="00592CAB" w:rsidRDefault="00DA6780">
      <w:pP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 xml:space="preserve">Artículo 72. Los integrantes del Comité de Participación Ciudadana Municipal, serán nombrados conforme al procedimiento siguiente: </w:t>
      </w:r>
    </w:p>
    <w:p w:rsidR="00813BB6" w:rsidRPr="00592CAB" w:rsidRDefault="00DA6780">
      <w:pP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 xml:space="preserve">I. El Ayuntamiento constituirá una </w:t>
      </w:r>
      <w:r w:rsidRPr="00592CAB">
        <w:rPr>
          <w:rFonts w:ascii="Palatino Linotype" w:eastAsia="Palatino Linotype" w:hAnsi="Palatino Linotype" w:cs="Palatino Linotype"/>
          <w:b/>
          <w:i/>
          <w:sz w:val="22"/>
          <w:szCs w:val="22"/>
        </w:rPr>
        <w:t>Comisión de Selección Municipal</w:t>
      </w:r>
      <w:r w:rsidRPr="00592CAB">
        <w:rPr>
          <w:rFonts w:ascii="Palatino Linotype" w:eastAsia="Palatino Linotype" w:hAnsi="Palatino Linotype" w:cs="Palatino Linotype"/>
          <w:i/>
          <w:sz w:val="22"/>
          <w:szCs w:val="22"/>
        </w:rPr>
        <w:t xml:space="preserve">, integrada por cinco mexiquenses por un periodo de dieciocho meses, de la siguiente manera: </w:t>
      </w:r>
    </w:p>
    <w:p w:rsidR="00813BB6" w:rsidRPr="00592CAB" w:rsidRDefault="00DA6780">
      <w:pP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b/>
          <w:i/>
          <w:sz w:val="22"/>
          <w:szCs w:val="22"/>
        </w:rPr>
        <w:t>a) Convocará a las instituciones de educación e investigación del Municipio para proponer candidatos a fin de conformar la Comisión de referencia</w:t>
      </w:r>
      <w:r w:rsidRPr="00592CAB">
        <w:rPr>
          <w:rFonts w:ascii="Palatino Linotype" w:eastAsia="Palatino Linotype" w:hAnsi="Palatino Linotype" w:cs="Palatino Linotype"/>
          <w:i/>
          <w:sz w:val="22"/>
          <w:szCs w:val="22"/>
        </w:rPr>
        <w:t xml:space="preserve">, para lo cual deberán enviar los documentos que acrediten el perfil solicitado en la convocatoria,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 </w:t>
      </w:r>
    </w:p>
    <w:p w:rsidR="00813BB6" w:rsidRPr="00592CAB" w:rsidRDefault="00DA6780">
      <w:pP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b/>
          <w:i/>
          <w:sz w:val="22"/>
          <w:szCs w:val="22"/>
        </w:rPr>
        <w:t>b) Convocará a organizaciones de la sociedad civil o en su caso, personas con conocimientos en materia de fiscalización, de rendición de cuentas y combate a la corrupción para seleccionar a dos integrantes</w:t>
      </w:r>
      <w:r w:rsidRPr="00592CAB">
        <w:rPr>
          <w:rFonts w:ascii="Palatino Linotype" w:eastAsia="Palatino Linotype" w:hAnsi="Palatino Linotype" w:cs="Palatino Linotype"/>
          <w:i/>
          <w:sz w:val="22"/>
          <w:szCs w:val="22"/>
        </w:rPr>
        <w:t xml:space="preserve">, en los mismos términos del inciso anterior. </w:t>
      </w:r>
    </w:p>
    <w:p w:rsidR="00813BB6" w:rsidRPr="00592CAB" w:rsidRDefault="00DA6780">
      <w:pP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lastRenderedPageBreak/>
        <w:t xml:space="preserve">El cargo de miembro de la Comisión de Selección Municipal será honorario. </w:t>
      </w:r>
    </w:p>
    <w:p w:rsidR="00813BB6" w:rsidRPr="00592CAB" w:rsidRDefault="00DA6780">
      <w:pPr>
        <w:spacing w:line="360" w:lineRule="auto"/>
        <w:ind w:left="851"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Quienes funjan como integrantes no podrán ser designados como integrantes del Comité de Participación Ciudadana Municipal, por un periodo de tres años contados a partir de la disolución de la Comisión de Selección Municipal.</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 xml:space="preserve">Como se advierte, ichos integrantes, serán nombrados bajo el procedimiento ya referido, donde se determina que el Ayuntamiento deberá de constituir una </w:t>
      </w:r>
      <w:r w:rsidRPr="00592CAB">
        <w:rPr>
          <w:rFonts w:ascii="Palatino Linotype" w:eastAsia="Palatino Linotype" w:hAnsi="Palatino Linotype" w:cs="Palatino Linotype"/>
          <w:b/>
          <w:sz w:val="22"/>
          <w:szCs w:val="22"/>
        </w:rPr>
        <w:t>Comisión de Selección Municipal</w:t>
      </w:r>
      <w:r w:rsidRPr="00592CAB">
        <w:rPr>
          <w:rFonts w:ascii="Palatino Linotype" w:eastAsia="Palatino Linotype" w:hAnsi="Palatino Linotype" w:cs="Palatino Linotype"/>
          <w:sz w:val="22"/>
          <w:szCs w:val="22"/>
        </w:rPr>
        <w:t>, integrada por cinco mexiquenses por un periodo de dieciocho meses, siendo convocadas instituciones de educación e investigación así como organizaciones de la sociedad civil para proponer a los cinco integrantes, tres del primer grupo y dos del segundo, siendo cargos honorarios.</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0"/>
          <w:numId w:val="2"/>
        </w:numPr>
        <w:spacing w:line="360" w:lineRule="auto"/>
        <w:ind w:left="0" w:right="-592" w:firstLine="0"/>
        <w:jc w:val="both"/>
        <w:rPr>
          <w:sz w:val="22"/>
          <w:szCs w:val="22"/>
        </w:rPr>
      </w:pPr>
      <w:r w:rsidRPr="00592CAB">
        <w:rPr>
          <w:rFonts w:ascii="Palatino Linotype" w:eastAsia="Palatino Linotype" w:hAnsi="Palatino Linotype" w:cs="Palatino Linotype"/>
          <w:sz w:val="22"/>
          <w:szCs w:val="22"/>
        </w:rPr>
        <w:t>Integrada la Comisión de Selección Municipal, deberá emitir una convocatoria con el objeto de realizar una consulta pública municipal para que presenten sus postulaciones de aspirantes a ocupar el cargo. Para ello, definirá la metodología, plazos y criterios de selección de los integrantes del Comité de Participación Ciudadana Municipal, conforme a lo siguiente:</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 xml:space="preserve"> a) El método de registro y evaluación de los aspirantes.</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b) Hacer pública la lista de los aspirantes.</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b/>
          <w:i/>
          <w:color w:val="000000"/>
          <w:sz w:val="22"/>
          <w:szCs w:val="22"/>
        </w:rPr>
      </w:pPr>
      <w:r w:rsidRPr="00592CAB">
        <w:rPr>
          <w:rFonts w:ascii="Palatino Linotype" w:eastAsia="Palatino Linotype" w:hAnsi="Palatino Linotype" w:cs="Palatino Linotype"/>
          <w:b/>
          <w:i/>
          <w:color w:val="000000"/>
          <w:sz w:val="22"/>
          <w:szCs w:val="22"/>
        </w:rPr>
        <w:t>c) Hacer públicos los documentos que hayan sido entregados para su inscripción en versiones públicas.</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d) Hacer público el cronograma de audiencias.</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e) Podrán efectuarse audiencias públicas en las que se invitará a participar a investigadores, académicos y a organizaciones de la sociedad civil, especialistas en la materia.</w:t>
      </w:r>
    </w:p>
    <w:p w:rsidR="00813BB6" w:rsidRPr="00592CAB" w:rsidRDefault="00DA6780">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 xml:space="preserve">f) El plazo en que se deberá hacer la designación que al efecto se determine y que se tomará, en sesión pública, por el voto de la mayoría de sus miembros. En caso de generar vacantes imprevistas, el proceso de selección del nuevo integrante no podrá exceder el límite de cuarenta y </w:t>
      </w:r>
      <w:r w:rsidRPr="00592CAB">
        <w:rPr>
          <w:rFonts w:ascii="Palatino Linotype" w:eastAsia="Palatino Linotype" w:hAnsi="Palatino Linotype" w:cs="Palatino Linotype"/>
          <w:i/>
          <w:color w:val="000000"/>
          <w:sz w:val="22"/>
          <w:szCs w:val="22"/>
        </w:rPr>
        <w:lastRenderedPageBreak/>
        <w:t>cinco días hábiles y el ciudadano que resulte electo desempeñará el encargo por el tiempo restante de la vacante a ocupar.”</w:t>
      </w:r>
    </w:p>
    <w:p w:rsidR="00813BB6" w:rsidRPr="00592CAB" w:rsidRDefault="00813BB6">
      <w:pPr>
        <w:pBdr>
          <w:top w:val="nil"/>
          <w:left w:val="nil"/>
          <w:bottom w:val="nil"/>
          <w:right w:val="nil"/>
          <w:between w:val="nil"/>
        </w:pBdr>
        <w:ind w:left="567" w:right="-592"/>
        <w:jc w:val="both"/>
        <w:rPr>
          <w:i/>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Como se advierte, la normatividad establece que para la selección de los integrantes del Comité de Participación Ciudadana Municipal, se deberán considerar ciertas características, entre las que se advierte la publicación, en versión pública, de los documentos que hayan sido entregados para la inscripción de los aspirantes.</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Ahora bien, en el presente caso el Sujeto Obligado señaló que se adjuntaba formato PDF en respuesta, pero dentro del expediente SAIMEX no se advierte el documento señalado, sin embargo, como ya fue establecido en párrafos anteriores, el Sujeto Obligado tiene atribuciones para generar la información solicitada, por lo tanto, procede ordenar su entrega. </w:t>
      </w:r>
    </w:p>
    <w:p w:rsidR="00813BB6" w:rsidRPr="00592CAB" w:rsidRDefault="00813BB6">
      <w:pPr>
        <w:pBdr>
          <w:top w:val="nil"/>
          <w:left w:val="nil"/>
          <w:bottom w:val="nil"/>
          <w:right w:val="nil"/>
          <w:between w:val="nil"/>
        </w:pBdr>
        <w:ind w:left="720" w:right="-592"/>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25" w:firstLine="0"/>
        <w:jc w:val="both"/>
        <w:rPr>
          <w:color w:val="000000"/>
          <w:sz w:val="22"/>
          <w:szCs w:val="22"/>
        </w:rPr>
      </w:pPr>
      <w:r w:rsidRPr="00592CAB">
        <w:rPr>
          <w:rFonts w:ascii="Palatino Linotype" w:eastAsia="Palatino Linotype" w:hAnsi="Palatino Linotype" w:cs="Palatino Linotype"/>
          <w:color w:val="000000"/>
          <w:sz w:val="22"/>
          <w:szCs w:val="22"/>
        </w:rPr>
        <w:t>Además, debemos tomar en cuenta los artículos 4 y 12, de la Ley de Transparencia y Acceso a la Información Pública del Estado de México y Municipios, los cuales establecen lo siguiente:</w:t>
      </w:r>
    </w:p>
    <w:p w:rsidR="00813BB6" w:rsidRPr="00592CAB" w:rsidRDefault="00DA6780">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b/>
          <w:i/>
          <w:sz w:val="22"/>
          <w:szCs w:val="22"/>
        </w:rPr>
        <w:t xml:space="preserve">Artículo 4. </w:t>
      </w:r>
      <w:r w:rsidRPr="00592CAB">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813BB6" w:rsidRPr="00592CAB" w:rsidRDefault="00813BB6">
      <w:pPr>
        <w:spacing w:line="360" w:lineRule="auto"/>
        <w:ind w:left="567" w:right="-25"/>
        <w:jc w:val="both"/>
        <w:rPr>
          <w:rFonts w:ascii="Palatino Linotype" w:eastAsia="Palatino Linotype" w:hAnsi="Palatino Linotype" w:cs="Palatino Linotype"/>
          <w:i/>
          <w:sz w:val="22"/>
          <w:szCs w:val="22"/>
        </w:rPr>
      </w:pPr>
    </w:p>
    <w:p w:rsidR="00813BB6" w:rsidRPr="00592CAB" w:rsidRDefault="00DA6780">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13BB6" w:rsidRPr="00592CAB" w:rsidRDefault="00813BB6">
      <w:pPr>
        <w:spacing w:line="360" w:lineRule="auto"/>
        <w:ind w:left="567" w:right="-25"/>
        <w:jc w:val="both"/>
        <w:rPr>
          <w:rFonts w:ascii="Palatino Linotype" w:eastAsia="Palatino Linotype" w:hAnsi="Palatino Linotype" w:cs="Palatino Linotype"/>
          <w:i/>
          <w:sz w:val="22"/>
          <w:szCs w:val="22"/>
        </w:rPr>
      </w:pPr>
    </w:p>
    <w:p w:rsidR="00813BB6" w:rsidRPr="00592CAB" w:rsidRDefault="00DA6780">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813BB6" w:rsidRPr="00592CAB" w:rsidRDefault="00813BB6">
      <w:pPr>
        <w:spacing w:line="360" w:lineRule="auto"/>
        <w:ind w:right="-25"/>
        <w:jc w:val="both"/>
        <w:rPr>
          <w:rFonts w:ascii="Palatino Linotype" w:eastAsia="Palatino Linotype" w:hAnsi="Palatino Linotype" w:cs="Palatino Linotype"/>
          <w:i/>
          <w:color w:val="000000"/>
          <w:sz w:val="22"/>
          <w:szCs w:val="22"/>
        </w:rPr>
      </w:pPr>
    </w:p>
    <w:p w:rsidR="00813BB6" w:rsidRPr="00592CAB" w:rsidRDefault="00DA6780">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b/>
          <w:i/>
          <w:sz w:val="22"/>
          <w:szCs w:val="22"/>
        </w:rPr>
        <w:t xml:space="preserve">Artículo 12. </w:t>
      </w:r>
      <w:r w:rsidRPr="00592CAB">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rsidR="00813BB6" w:rsidRPr="00592CAB" w:rsidRDefault="00813BB6">
      <w:pPr>
        <w:spacing w:line="360" w:lineRule="auto"/>
        <w:ind w:left="567" w:right="-25"/>
        <w:jc w:val="both"/>
        <w:rPr>
          <w:rFonts w:ascii="Palatino Linotype" w:eastAsia="Palatino Linotype" w:hAnsi="Palatino Linotype" w:cs="Palatino Linotype"/>
          <w:i/>
          <w:sz w:val="22"/>
          <w:szCs w:val="22"/>
        </w:rPr>
      </w:pPr>
    </w:p>
    <w:p w:rsidR="00813BB6" w:rsidRPr="00592CAB" w:rsidRDefault="00DA6780">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592CA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813BB6" w:rsidRPr="00592CAB" w:rsidRDefault="00813BB6">
      <w:pPr>
        <w:spacing w:line="360" w:lineRule="auto"/>
        <w:ind w:left="567" w:right="-592"/>
        <w:jc w:val="both"/>
        <w:rPr>
          <w:rFonts w:ascii="Palatino Linotype" w:eastAsia="Palatino Linotype" w:hAnsi="Palatino Linotype" w:cs="Palatino Linotype"/>
          <w:i/>
          <w:color w:val="000000"/>
          <w:sz w:val="22"/>
          <w:szCs w:val="22"/>
        </w:rPr>
      </w:pPr>
    </w:p>
    <w:p w:rsidR="00813BB6" w:rsidRPr="00592CAB" w:rsidRDefault="00DA6780">
      <w:pPr>
        <w:numPr>
          <w:ilvl w:val="0"/>
          <w:numId w:val="2"/>
        </w:numPr>
        <w:pBdr>
          <w:top w:val="nil"/>
          <w:left w:val="nil"/>
          <w:bottom w:val="nil"/>
          <w:right w:val="nil"/>
          <w:between w:val="nil"/>
        </w:pBdr>
        <w:tabs>
          <w:tab w:val="left" w:pos="851"/>
        </w:tabs>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92CAB">
        <w:rPr>
          <w:rFonts w:ascii="Palatino Linotype" w:eastAsia="Palatino Linotype" w:hAnsi="Palatino Linotype" w:cs="Palatino Linotype"/>
          <w:color w:val="000000"/>
          <w:sz w:val="22"/>
          <w:szCs w:val="22"/>
          <w:vertAlign w:val="superscript"/>
        </w:rPr>
        <w:footnoteReference w:id="1"/>
      </w:r>
      <w:r w:rsidRPr="00592CAB">
        <w:rPr>
          <w:rFonts w:ascii="Palatino Linotype" w:eastAsia="Palatino Linotype" w:hAnsi="Palatino Linotype" w:cs="Palatino Linotype"/>
          <w:color w:val="000000"/>
          <w:sz w:val="22"/>
          <w:szCs w:val="22"/>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813BB6" w:rsidRPr="00592CAB" w:rsidRDefault="00813BB6">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tabs>
          <w:tab w:val="left" w:pos="851"/>
        </w:tabs>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lastRenderedPageBreak/>
        <w:t>Robustece lo anterior la Tesis aislada identificada con la clave I.4º.A.40 A del Cuarto Tribunal colegiado en Materia Administrativa del Primer Circuito, publicada en el Sem</w:t>
      </w:r>
      <w:r w:rsidRPr="00592CAB">
        <w:rPr>
          <w:rFonts w:ascii="Palatino Linotype" w:eastAsia="Palatino Linotype" w:hAnsi="Palatino Linotype" w:cs="Palatino Linotype"/>
          <w:sz w:val="22"/>
          <w:szCs w:val="22"/>
        </w:rPr>
        <w:t>a</w:t>
      </w:r>
      <w:r w:rsidRPr="00592CAB">
        <w:rPr>
          <w:rFonts w:ascii="Palatino Linotype" w:eastAsia="Palatino Linotype" w:hAnsi="Palatino Linotype" w:cs="Palatino Linotype"/>
          <w:color w:val="000000"/>
          <w:sz w:val="22"/>
          <w:szCs w:val="22"/>
        </w:rPr>
        <w:t>nario Judicial de la Federación y su Gaceta en el libro XVIII, Marzo 2013, Página 1899.</w:t>
      </w:r>
    </w:p>
    <w:p w:rsidR="00813BB6" w:rsidRPr="00592CAB" w:rsidRDefault="00DA6780">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592CAB">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813BB6" w:rsidRPr="00592CAB" w:rsidRDefault="00813BB6">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2"/>
          <w:szCs w:val="22"/>
        </w:rPr>
      </w:pPr>
    </w:p>
    <w:p w:rsidR="00813BB6" w:rsidRPr="00592CAB" w:rsidRDefault="00DA6780">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lastRenderedPageBreak/>
        <w:t xml:space="preserve">CUARTO TRIBUNAL COLEGIADO EN MATERIA ADMINISTRATIVA DEL PRIMER CIRCUITO. </w:t>
      </w:r>
    </w:p>
    <w:p w:rsidR="00813BB6" w:rsidRPr="00592CAB" w:rsidRDefault="00813BB6">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2"/>
          <w:szCs w:val="22"/>
        </w:rPr>
      </w:pPr>
    </w:p>
    <w:p w:rsidR="00813BB6" w:rsidRPr="00592CAB" w:rsidRDefault="00DA6780">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rsidR="00813BB6" w:rsidRPr="00592CAB" w:rsidRDefault="00813BB6">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tabs>
          <w:tab w:val="left" w:pos="851"/>
        </w:tabs>
        <w:spacing w:after="240"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El derecho de acceso a la información encuentra su materia elemental en los documentos, y la Ley de Transparencia local  nos brinda el siguiente concepto, para darnos un mejor panorama:</w:t>
      </w:r>
    </w:p>
    <w:p w:rsidR="00813BB6" w:rsidRPr="00592CAB" w:rsidRDefault="00DA6780">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b/>
          <w:i/>
          <w:sz w:val="22"/>
          <w:szCs w:val="22"/>
        </w:rPr>
        <w:t xml:space="preserve">XI. Documento: </w:t>
      </w:r>
      <w:r w:rsidRPr="00592CAB">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sidRPr="00592CAB">
        <w:rPr>
          <w:rFonts w:ascii="Palatino Linotype" w:eastAsia="Palatino Linotype" w:hAnsi="Palatino Linotype" w:cs="Palatino Linotype"/>
          <w:b/>
          <w:i/>
          <w:sz w:val="22"/>
          <w:szCs w:val="22"/>
        </w:rPr>
        <w:t>cualquier otro registro</w:t>
      </w:r>
      <w:r w:rsidRPr="00592CAB">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813BB6" w:rsidRPr="00592CAB" w:rsidRDefault="00813BB6">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tabs>
          <w:tab w:val="left" w:pos="851"/>
        </w:tabs>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813BB6" w:rsidRPr="00592CAB" w:rsidRDefault="00813BB6">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Por todo lo anteriormente referido, este órgano Garante advierte que la información remitida en respuesta no colma con lo solicitado. </w:t>
      </w:r>
      <w:r w:rsidRPr="00592CAB">
        <w:rPr>
          <w:rFonts w:ascii="Palatino Linotype" w:eastAsia="Palatino Linotype" w:hAnsi="Palatino Linotype" w:cs="Palatino Linotype"/>
          <w:sz w:val="22"/>
          <w:szCs w:val="22"/>
        </w:rPr>
        <w:t xml:space="preserve">En consecuencia, una vez analizadas las constancias que integran el expediente electrónico, y en mérito de lo expuesto en líneas anteriores, resultan fundadas las razones o motivos de inconformidad hechos valer por el </w:t>
      </w:r>
      <w:r w:rsidRPr="00592CAB">
        <w:rPr>
          <w:rFonts w:ascii="Palatino Linotype" w:eastAsia="Palatino Linotype" w:hAnsi="Palatino Linotype" w:cs="Palatino Linotype"/>
          <w:b/>
          <w:sz w:val="22"/>
          <w:szCs w:val="22"/>
        </w:rPr>
        <w:t>RECURRENTE</w:t>
      </w:r>
      <w:r w:rsidRPr="00592CAB">
        <w:rPr>
          <w:rFonts w:ascii="Palatino Linotype" w:eastAsia="Palatino Linotype" w:hAnsi="Palatino Linotype" w:cs="Palatino Linotype"/>
          <w:sz w:val="22"/>
          <w:szCs w:val="22"/>
        </w:rPr>
        <w:t xml:space="preserve"> dentro del recurso de revisión </w:t>
      </w:r>
      <w:r w:rsidRPr="00592CAB">
        <w:rPr>
          <w:rFonts w:ascii="Palatino Linotype" w:eastAsia="Palatino Linotype" w:hAnsi="Palatino Linotype" w:cs="Palatino Linotype"/>
          <w:b/>
          <w:sz w:val="22"/>
          <w:szCs w:val="22"/>
        </w:rPr>
        <w:t>01228/INFOEM/IP/RR/2024</w:t>
      </w:r>
      <w:r w:rsidRPr="00592CAB">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w:t>
      </w:r>
      <w:r w:rsidRPr="00592CAB">
        <w:rPr>
          <w:rFonts w:ascii="Palatino Linotype" w:eastAsia="Palatino Linotype" w:hAnsi="Palatino Linotype" w:cs="Palatino Linotype"/>
          <w:sz w:val="22"/>
          <w:szCs w:val="22"/>
        </w:rPr>
        <w:lastRenderedPageBreak/>
        <w:t xml:space="preserve">se </w:t>
      </w:r>
      <w:r w:rsidRPr="00592CAB">
        <w:rPr>
          <w:rFonts w:ascii="Palatino Linotype" w:eastAsia="Palatino Linotype" w:hAnsi="Palatino Linotype" w:cs="Palatino Linotype"/>
          <w:b/>
          <w:sz w:val="22"/>
          <w:szCs w:val="22"/>
        </w:rPr>
        <w:t>REVOCA</w:t>
      </w:r>
      <w:r w:rsidRPr="00592CAB">
        <w:rPr>
          <w:rFonts w:ascii="Palatino Linotype" w:eastAsia="Palatino Linotype" w:hAnsi="Palatino Linotype" w:cs="Palatino Linotype"/>
          <w:sz w:val="22"/>
          <w:szCs w:val="22"/>
        </w:rPr>
        <w:t xml:space="preserve"> la respuesta del Sujeto Obligado y se ORDENA entregar, de ser procedente en versión pública, la siguiente información:</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b/>
          <w:color w:val="000000"/>
          <w:sz w:val="22"/>
          <w:szCs w:val="22"/>
        </w:rPr>
      </w:pPr>
      <w:bookmarkStart w:id="5" w:name="_heading=h.gjdgxs" w:colFirst="0" w:colLast="0"/>
      <w:bookmarkEnd w:id="5"/>
      <w:r w:rsidRPr="00592CAB">
        <w:rPr>
          <w:rFonts w:ascii="Palatino Linotype" w:eastAsia="Palatino Linotype" w:hAnsi="Palatino Linotype" w:cs="Palatino Linotype"/>
          <w:b/>
          <w:color w:val="000000"/>
          <w:sz w:val="22"/>
          <w:szCs w:val="22"/>
        </w:rPr>
        <w:t>QUINTO. De la versión pública.</w:t>
      </w:r>
    </w:p>
    <w:p w:rsidR="00813BB6" w:rsidRPr="00592CAB" w:rsidRDefault="00DA6780">
      <w:pPr>
        <w:numPr>
          <w:ilvl w:val="0"/>
          <w:numId w:val="2"/>
        </w:numPr>
        <w:pBdr>
          <w:top w:val="nil"/>
          <w:left w:val="nil"/>
          <w:bottom w:val="nil"/>
          <w:right w:val="nil"/>
          <w:between w:val="nil"/>
        </w:pBdr>
        <w:tabs>
          <w:tab w:val="left" w:pos="426"/>
        </w:tabs>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Debe destacarse que, debido a la naturaleza de la información solicitada</w:t>
      </w:r>
      <w:r w:rsidRPr="00592CAB">
        <w:rPr>
          <w:rFonts w:ascii="Palatino Linotype" w:eastAsia="Palatino Linotype" w:hAnsi="Palatino Linotype" w:cs="Palatino Linotype"/>
          <w:b/>
          <w:color w:val="000000"/>
          <w:sz w:val="22"/>
          <w:szCs w:val="22"/>
        </w:rPr>
        <w:t xml:space="preserve"> </w:t>
      </w:r>
      <w:r w:rsidRPr="00592CAB">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813BB6" w:rsidRPr="00592CAB" w:rsidRDefault="00813BB6">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numPr>
          <w:ilvl w:val="0"/>
          <w:numId w:val="2"/>
        </w:numPr>
        <w:pBdr>
          <w:top w:val="nil"/>
          <w:left w:val="nil"/>
          <w:bottom w:val="nil"/>
          <w:right w:val="nil"/>
          <w:between w:val="nil"/>
        </w:pBdr>
        <w:tabs>
          <w:tab w:val="left" w:pos="426"/>
        </w:tabs>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813BB6" w:rsidRPr="00592CAB" w:rsidRDefault="00813BB6">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color w:val="000000"/>
          <w:sz w:val="22"/>
          <w:szCs w:val="22"/>
        </w:rPr>
      </w:pPr>
    </w:p>
    <w:tbl>
      <w:tblPr>
        <w:tblStyle w:val="a0"/>
        <w:tblW w:w="963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80"/>
        <w:gridCol w:w="7050"/>
      </w:tblGrid>
      <w:tr w:rsidR="00813BB6" w:rsidRPr="00592CAB" w:rsidTr="00813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00813BB6" w:rsidRPr="00592CAB" w:rsidRDefault="00DA6780">
            <w:pPr>
              <w:spacing w:line="276" w:lineRule="auto"/>
              <w:ind w:right="-65"/>
              <w:rPr>
                <w:rFonts w:ascii="Palatino Linotype" w:eastAsia="Palatino Linotype" w:hAnsi="Palatino Linotype" w:cs="Palatino Linotype"/>
                <w:sz w:val="22"/>
                <w:szCs w:val="22"/>
              </w:rPr>
            </w:pPr>
            <w:r w:rsidRPr="00592CAB">
              <w:rPr>
                <w:rFonts w:ascii="Palatino Linotype" w:eastAsia="Palatino Linotype" w:hAnsi="Palatino Linotype" w:cs="Palatino Linotype"/>
                <w:b w:val="0"/>
                <w:sz w:val="22"/>
                <w:szCs w:val="22"/>
              </w:rPr>
              <w:t>a) Requisitos previos.</w:t>
            </w:r>
          </w:p>
        </w:tc>
        <w:tc>
          <w:tcPr>
            <w:tcW w:w="7050" w:type="dxa"/>
          </w:tcPr>
          <w:p w:rsidR="00813BB6" w:rsidRPr="00592CAB" w:rsidRDefault="00DA6780">
            <w:pPr>
              <w:spacing w:line="276"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Los artículos 100 y 122 de la Ley Estatal y de la Ley General, respectivamente, señalan que si los </w:t>
            </w:r>
            <w:r w:rsidRPr="00592CAB">
              <w:rPr>
                <w:rFonts w:ascii="Palatino Linotype" w:eastAsia="Palatino Linotype" w:hAnsi="Palatino Linotype" w:cs="Palatino Linotype"/>
                <w:b w:val="0"/>
                <w:sz w:val="22"/>
                <w:szCs w:val="22"/>
              </w:rPr>
              <w:t>Sujetos Obligados</w:t>
            </w:r>
            <w:r w:rsidRPr="00592CAB">
              <w:rPr>
                <w:rFonts w:ascii="Palatino Linotype" w:eastAsia="Palatino Linotype" w:hAnsi="Palatino Linotype" w:cs="Palatino Linotype"/>
                <w:sz w:val="22"/>
                <w:szCs w:val="22"/>
              </w:rPr>
              <w:t xml:space="preserve"> determinan que la información actualiza alguno de los supuestos de clasificación, es deber de los titulares de las áreas proponer su clasificación y no del Comité de Transparencia. </w:t>
            </w:r>
          </w:p>
          <w:p w:rsidR="00813BB6" w:rsidRPr="00592CAB" w:rsidRDefault="00DA6780">
            <w:pPr>
              <w:spacing w:line="276"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813BB6" w:rsidRPr="00592CAB" w:rsidRDefault="00DA6780">
            <w:pPr>
              <w:spacing w:line="276"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813BB6" w:rsidRPr="00592CAB" w:rsidRDefault="00DA6780">
            <w:pPr>
              <w:spacing w:line="276"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592CAB">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592CAB">
              <w:rPr>
                <w:rFonts w:ascii="Palatino Linotype" w:eastAsia="Palatino Linotype" w:hAnsi="Palatino Linotype" w:cs="Palatino Linotype"/>
                <w:sz w:val="22"/>
                <w:szCs w:val="22"/>
              </w:rPr>
              <w:t xml:space="preserve">sin individualizar su análisis y tampoco se puede hacer un acuerdo por cada dato que se vaya a </w:t>
            </w:r>
            <w:r w:rsidRPr="00592CAB">
              <w:rPr>
                <w:rFonts w:ascii="Palatino Linotype" w:eastAsia="Palatino Linotype" w:hAnsi="Palatino Linotype" w:cs="Palatino Linotype"/>
                <w:sz w:val="22"/>
                <w:szCs w:val="22"/>
              </w:rPr>
              <w:lastRenderedPageBreak/>
              <w:t>clasificar dentro de un documento con diez datos, por ejemplo, susceptibles de ser clasificados.</w:t>
            </w:r>
          </w:p>
        </w:tc>
      </w:tr>
      <w:tr w:rsidR="00813BB6" w:rsidRPr="00592CAB" w:rsidTr="0081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00813BB6" w:rsidRPr="00592CAB" w:rsidRDefault="00DA6780">
            <w:pPr>
              <w:spacing w:line="276" w:lineRule="auto"/>
              <w:ind w:right="-65"/>
              <w:rPr>
                <w:rFonts w:ascii="Palatino Linotype" w:eastAsia="Palatino Linotype" w:hAnsi="Palatino Linotype" w:cs="Palatino Linotype"/>
                <w:sz w:val="22"/>
                <w:szCs w:val="22"/>
              </w:rPr>
            </w:pPr>
            <w:r w:rsidRPr="00592CAB">
              <w:rPr>
                <w:rFonts w:ascii="Palatino Linotype" w:eastAsia="Palatino Linotype" w:hAnsi="Palatino Linotype" w:cs="Palatino Linotype"/>
                <w:b w:val="0"/>
                <w:sz w:val="22"/>
                <w:szCs w:val="22"/>
              </w:rPr>
              <w:lastRenderedPageBreak/>
              <w:t>b) Supuestos de clasificación.</w:t>
            </w:r>
          </w:p>
        </w:tc>
        <w:tc>
          <w:tcPr>
            <w:tcW w:w="7050" w:type="dxa"/>
          </w:tcPr>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El </w:t>
            </w:r>
            <w:r w:rsidRPr="00592CAB">
              <w:rPr>
                <w:rFonts w:ascii="Palatino Linotype" w:eastAsia="Palatino Linotype" w:hAnsi="Palatino Linotype" w:cs="Palatino Linotype"/>
                <w:b/>
                <w:sz w:val="22"/>
                <w:szCs w:val="22"/>
              </w:rPr>
              <w:t>SUJETO OBLIGADO</w:t>
            </w:r>
            <w:r w:rsidRPr="00592CAB">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13BB6" w:rsidRPr="00592CAB" w:rsidTr="00813BB6">
        <w:tc>
          <w:tcPr>
            <w:cnfStyle w:val="001000000000" w:firstRow="0" w:lastRow="0" w:firstColumn="1" w:lastColumn="0" w:oddVBand="0" w:evenVBand="0" w:oddHBand="0" w:evenHBand="0" w:firstRowFirstColumn="0" w:firstRowLastColumn="0" w:lastRowFirstColumn="0" w:lastRowLastColumn="0"/>
            <w:tcW w:w="2580" w:type="dxa"/>
          </w:tcPr>
          <w:p w:rsidR="00813BB6" w:rsidRPr="00592CAB" w:rsidRDefault="00DA6780">
            <w:pPr>
              <w:spacing w:line="276" w:lineRule="auto"/>
              <w:ind w:right="-65"/>
              <w:rPr>
                <w:rFonts w:ascii="Palatino Linotype" w:eastAsia="Palatino Linotype" w:hAnsi="Palatino Linotype" w:cs="Palatino Linotype"/>
                <w:sz w:val="22"/>
                <w:szCs w:val="22"/>
              </w:rPr>
            </w:pPr>
            <w:r w:rsidRPr="00592CAB">
              <w:rPr>
                <w:rFonts w:ascii="Palatino Linotype" w:eastAsia="Palatino Linotype" w:hAnsi="Palatino Linotype" w:cs="Palatino Linotype"/>
                <w:b w:val="0"/>
                <w:sz w:val="22"/>
                <w:szCs w:val="22"/>
              </w:rPr>
              <w:t>c) Formalidades para emitir el acuerdo de clasificación.</w:t>
            </w:r>
          </w:p>
        </w:tc>
        <w:tc>
          <w:tcPr>
            <w:tcW w:w="7050" w:type="dxa"/>
          </w:tcPr>
          <w:p w:rsidR="00813BB6" w:rsidRPr="00592CAB" w:rsidRDefault="00DA6780">
            <w:pPr>
              <w:spacing w:line="276"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813BB6" w:rsidRPr="00592CAB" w:rsidRDefault="00DA6780">
            <w:pPr>
              <w:spacing w:line="276"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Es necesario que </w:t>
            </w:r>
            <w:r w:rsidRPr="00592CAB">
              <w:rPr>
                <w:rFonts w:ascii="Palatino Linotype" w:eastAsia="Palatino Linotype" w:hAnsi="Palatino Linotype" w:cs="Palatino Linotype"/>
                <w:b/>
                <w:sz w:val="22"/>
                <w:szCs w:val="22"/>
                <w:u w:val="single"/>
              </w:rPr>
              <w:t>el acto reúna con los requisitos elementales</w:t>
            </w:r>
            <w:r w:rsidRPr="00592CAB">
              <w:rPr>
                <w:rFonts w:ascii="Palatino Linotype" w:eastAsia="Palatino Linotype" w:hAnsi="Palatino Linotype" w:cs="Palatino Linotype"/>
                <w:sz w:val="22"/>
                <w:szCs w:val="22"/>
              </w:rPr>
              <w:t>, entre ellos, que la autoridad que va a emitir el acto de autoridad sea la legalmente facultada para ello.</w:t>
            </w:r>
          </w:p>
          <w:p w:rsidR="00813BB6" w:rsidRPr="00592CAB" w:rsidRDefault="00DA6780">
            <w:pPr>
              <w:spacing w:line="276"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13BB6" w:rsidRPr="00592CAB" w:rsidTr="0081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00813BB6" w:rsidRPr="00592CAB" w:rsidRDefault="00813BB6">
            <w:pPr>
              <w:spacing w:line="276" w:lineRule="auto"/>
              <w:ind w:right="-65"/>
              <w:rPr>
                <w:rFonts w:ascii="Palatino Linotype" w:eastAsia="Palatino Linotype" w:hAnsi="Palatino Linotype" w:cs="Palatino Linotype"/>
                <w:sz w:val="22"/>
                <w:szCs w:val="22"/>
              </w:rPr>
            </w:pPr>
          </w:p>
          <w:p w:rsidR="00813BB6" w:rsidRPr="00592CAB" w:rsidRDefault="00DA6780">
            <w:pPr>
              <w:spacing w:line="276" w:lineRule="auto"/>
              <w:ind w:right="-6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val="0"/>
                <w:sz w:val="22"/>
                <w:szCs w:val="22"/>
              </w:rPr>
              <w:lastRenderedPageBreak/>
              <w:t xml:space="preserve">d) Requisitos de fondo del acuerdo de clasificación. </w:t>
            </w:r>
          </w:p>
        </w:tc>
        <w:tc>
          <w:tcPr>
            <w:tcW w:w="7050" w:type="dxa"/>
          </w:tcPr>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lastRenderedPageBreak/>
              <w:t xml:space="preserve">Como se ha señalado antes, al hacer el juicio de subsunción o encaje entre el supuesto de hecho y la hipótesis jurídica, se debe acreditar la </w:t>
            </w:r>
            <w:r w:rsidRPr="00592CAB">
              <w:rPr>
                <w:rFonts w:ascii="Palatino Linotype" w:eastAsia="Palatino Linotype" w:hAnsi="Palatino Linotype" w:cs="Palatino Linotype"/>
                <w:sz w:val="22"/>
                <w:szCs w:val="22"/>
              </w:rPr>
              <w:lastRenderedPageBreak/>
              <w:t xml:space="preserve">estricta correspondencia entre un elemento y otro. Ahora, en esta parte del procedimiento, que se desahoga en sede del Comité de Transparencia, la ley señala que la carga de la prueba, para justificar las restricciones, corresponde a los </w:t>
            </w:r>
            <w:r w:rsidRPr="00592CAB">
              <w:rPr>
                <w:rFonts w:ascii="Palatino Linotype" w:eastAsia="Palatino Linotype" w:hAnsi="Palatino Linotype" w:cs="Palatino Linotype"/>
                <w:b/>
                <w:sz w:val="22"/>
                <w:szCs w:val="22"/>
              </w:rPr>
              <w:t>Sujetos Obligados</w:t>
            </w:r>
            <w:r w:rsidRPr="00592CAB">
              <w:rPr>
                <w:rFonts w:ascii="Palatino Linotype" w:eastAsia="Palatino Linotype" w:hAnsi="Palatino Linotype" w:cs="Palatino Linotype"/>
                <w:sz w:val="22"/>
                <w:szCs w:val="22"/>
              </w:rPr>
              <w:t xml:space="preserve">, por lo que deberán fundar y motivar debidamente la clasificación. </w:t>
            </w:r>
          </w:p>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De lo anterior, se desprende que para una correcta </w:t>
            </w:r>
            <w:r w:rsidRPr="00592CAB">
              <w:rPr>
                <w:rFonts w:ascii="Palatino Linotype" w:eastAsia="Palatino Linotype" w:hAnsi="Palatino Linotype" w:cs="Palatino Linotype"/>
                <w:b/>
                <w:sz w:val="22"/>
                <w:szCs w:val="22"/>
              </w:rPr>
              <w:t>clasificación total o parcial</w:t>
            </w:r>
            <w:r w:rsidRPr="00592CAB">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813BB6" w:rsidRPr="00592CAB" w:rsidRDefault="00DA6780">
            <w:pPr>
              <w:spacing w:line="276"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 xml:space="preserve">Ahora bien, </w:t>
            </w:r>
            <w:r w:rsidRPr="00592CAB">
              <w:rPr>
                <w:rFonts w:ascii="Palatino Linotype" w:eastAsia="Palatino Linotype" w:hAnsi="Palatino Linotype" w:cs="Palatino Linotype"/>
                <w:b/>
                <w:sz w:val="22"/>
                <w:szCs w:val="22"/>
                <w:u w:val="single"/>
              </w:rPr>
              <w:t>para cada caso además de fundar y motivar</w:t>
            </w:r>
            <w:r w:rsidRPr="00592CAB">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13BB6" w:rsidRPr="00592CAB" w:rsidTr="00813BB6">
        <w:tc>
          <w:tcPr>
            <w:cnfStyle w:val="001000000000" w:firstRow="0" w:lastRow="0" w:firstColumn="1" w:lastColumn="0" w:oddVBand="0" w:evenVBand="0" w:oddHBand="0" w:evenHBand="0" w:firstRowFirstColumn="0" w:firstRowLastColumn="0" w:lastRowFirstColumn="0" w:lastRowLastColumn="0"/>
            <w:tcW w:w="2580" w:type="dxa"/>
          </w:tcPr>
          <w:p w:rsidR="00813BB6" w:rsidRPr="00592CAB" w:rsidRDefault="00DA6780">
            <w:pPr>
              <w:spacing w:line="276" w:lineRule="auto"/>
              <w:ind w:right="-65"/>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rsidR="00813BB6" w:rsidRPr="00592CAB" w:rsidRDefault="00813BB6">
            <w:pPr>
              <w:spacing w:line="276" w:lineRule="auto"/>
              <w:ind w:right="-65"/>
              <w:rPr>
                <w:rFonts w:ascii="Palatino Linotype" w:eastAsia="Palatino Linotype" w:hAnsi="Palatino Linotype" w:cs="Palatino Linotype"/>
                <w:sz w:val="22"/>
                <w:szCs w:val="22"/>
              </w:rPr>
            </w:pPr>
          </w:p>
        </w:tc>
        <w:tc>
          <w:tcPr>
            <w:tcW w:w="7050" w:type="dxa"/>
          </w:tcPr>
          <w:p w:rsidR="00813BB6" w:rsidRPr="00592CAB" w:rsidRDefault="00DA6780">
            <w:pPr>
              <w:spacing w:line="276"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rsidR="00813BB6" w:rsidRPr="00592CAB" w:rsidRDefault="00DA6780">
            <w:pPr>
              <w:spacing w:line="276"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813BB6" w:rsidRPr="00592CAB" w:rsidRDefault="00DA6780">
            <w:pPr>
              <w:spacing w:line="276" w:lineRule="auto"/>
              <w:ind w:right="-6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92CAB">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D43700" w:rsidRPr="00592CAB" w:rsidRDefault="00D43700" w:rsidP="00D43700">
      <w:pPr>
        <w:numPr>
          <w:ilvl w:val="0"/>
          <w:numId w:val="2"/>
        </w:numPr>
        <w:pBdr>
          <w:top w:val="nil"/>
          <w:left w:val="nil"/>
          <w:bottom w:val="nil"/>
          <w:right w:val="nil"/>
          <w:between w:val="nil"/>
        </w:pBdr>
        <w:shd w:val="clear" w:color="auto" w:fill="FFFFFF"/>
        <w:spacing w:before="240" w:after="240"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Por otro </w:t>
      </w:r>
      <w:r w:rsidRPr="00592CAB">
        <w:rPr>
          <w:rFonts w:ascii="Palatino Linotype" w:hAnsi="Palatino Linotype"/>
          <w:sz w:val="22"/>
          <w:szCs w:val="22"/>
        </w:rPr>
        <w:t xml:space="preserve">lado, es preciso señalar que dentro de los documentos que se ordenan entregar se encuentren algunos que por su naturaleza deben ser clasificados en su totalidad, entre los que de manera enunciativa, más no limitativa, se encuentra el acta de nacimiento, identificación oficial, CURP, etc., en esa situación, el Sujeto Obligado deberá entregar el acuerdo emitido por el Comité de Transparencia en el que clasifique en su totalidad los documentos que así lo ameriten. </w:t>
      </w:r>
    </w:p>
    <w:p w:rsidR="00D43700" w:rsidRPr="00592CAB" w:rsidRDefault="00D43700" w:rsidP="00D43700">
      <w:pPr>
        <w:pStyle w:val="Prrafodelista"/>
        <w:numPr>
          <w:ilvl w:val="0"/>
          <w:numId w:val="7"/>
        </w:numPr>
        <w:shd w:val="clear" w:color="auto" w:fill="FFFFFF"/>
        <w:spacing w:before="240" w:after="240" w:line="360" w:lineRule="auto"/>
        <w:ind w:right="-28"/>
        <w:jc w:val="both"/>
        <w:rPr>
          <w:rFonts w:ascii="Palatino Linotype" w:hAnsi="Palatino Linotype" w:cs="Arial"/>
          <w:b/>
          <w:szCs w:val="22"/>
        </w:rPr>
      </w:pPr>
      <w:r w:rsidRPr="00592CAB">
        <w:rPr>
          <w:rFonts w:ascii="Palatino Linotype" w:hAnsi="Palatino Linotype"/>
          <w:b/>
          <w:szCs w:val="22"/>
        </w:rPr>
        <w:t xml:space="preserve">Acta de nacimiento </w:t>
      </w:r>
    </w:p>
    <w:p w:rsidR="00D43700" w:rsidRPr="00592CAB" w:rsidRDefault="00D43700" w:rsidP="00D43700">
      <w:pPr>
        <w:pStyle w:val="Prrafodelista"/>
        <w:shd w:val="clear" w:color="auto" w:fill="FFFFFF"/>
        <w:spacing w:before="240" w:after="240" w:line="360" w:lineRule="auto"/>
        <w:ind w:right="-28"/>
        <w:jc w:val="both"/>
        <w:rPr>
          <w:rFonts w:ascii="Palatino Linotype" w:hAnsi="Palatino Linotype" w:cs="Arial"/>
          <w:b/>
          <w:szCs w:val="22"/>
        </w:rPr>
      </w:pPr>
    </w:p>
    <w:p w:rsidR="00D43700" w:rsidRPr="00592CAB" w:rsidRDefault="00D43700" w:rsidP="00D43700">
      <w:pPr>
        <w:pStyle w:val="Prrafodelista"/>
        <w:numPr>
          <w:ilvl w:val="0"/>
          <w:numId w:val="2"/>
        </w:numPr>
        <w:tabs>
          <w:tab w:val="left" w:pos="0"/>
        </w:tabs>
        <w:spacing w:line="360" w:lineRule="auto"/>
        <w:ind w:left="0" w:right="49" w:firstLine="0"/>
        <w:jc w:val="both"/>
        <w:rPr>
          <w:rFonts w:ascii="Palatino Linotype" w:hAnsi="Palatino Linotype" w:cs="Arial"/>
          <w:szCs w:val="22"/>
        </w:rPr>
      </w:pPr>
      <w:r w:rsidRPr="00592CAB">
        <w:rPr>
          <w:rFonts w:ascii="Palatino Linotype" w:hAnsi="Palatino Linotype" w:cs="Arial"/>
          <w:szCs w:val="22"/>
        </w:rPr>
        <w:t xml:space="preserve">El acta de nacimiento, contiene datos muy específicos como el lugar y fecha de nacimiento, edad, domicilio, nombre de padres, testigos, el domicilio de estos, estado civil, número de acta, número de libro, firmas de padres y testigos, huella del registrado, como se advierte, todos los datos contenidos en este documento deben ser clasificados como confidenciales, por lo tanto, no es posible ordenar la entrega en versión pública, pues se entregaría testada en su mayoría, dejando únicamente libre el nombre. </w:t>
      </w:r>
    </w:p>
    <w:p w:rsidR="00D43700" w:rsidRPr="00592CAB" w:rsidRDefault="00D43700" w:rsidP="00D43700">
      <w:pPr>
        <w:pStyle w:val="Prrafodelista"/>
        <w:tabs>
          <w:tab w:val="left" w:pos="0"/>
        </w:tabs>
        <w:spacing w:line="360" w:lineRule="auto"/>
        <w:ind w:left="0" w:right="49"/>
        <w:jc w:val="both"/>
        <w:rPr>
          <w:rFonts w:ascii="Palatino Linotype" w:hAnsi="Palatino Linotype" w:cs="Arial"/>
          <w:szCs w:val="22"/>
        </w:rPr>
      </w:pPr>
    </w:p>
    <w:p w:rsidR="00D43700" w:rsidRPr="00592CAB" w:rsidRDefault="00D43700" w:rsidP="00D43700">
      <w:pPr>
        <w:pStyle w:val="Prrafodelista"/>
        <w:numPr>
          <w:ilvl w:val="0"/>
          <w:numId w:val="7"/>
        </w:numPr>
        <w:tabs>
          <w:tab w:val="left" w:pos="0"/>
        </w:tabs>
        <w:spacing w:line="360" w:lineRule="auto"/>
        <w:ind w:right="49"/>
        <w:jc w:val="both"/>
        <w:rPr>
          <w:rFonts w:ascii="Palatino Linotype" w:hAnsi="Palatino Linotype" w:cs="Arial"/>
          <w:b/>
          <w:szCs w:val="22"/>
        </w:rPr>
      </w:pPr>
      <w:r w:rsidRPr="00592CAB">
        <w:rPr>
          <w:rFonts w:ascii="Palatino Linotype" w:hAnsi="Palatino Linotype" w:cs="Arial"/>
          <w:b/>
          <w:szCs w:val="22"/>
        </w:rPr>
        <w:t>Identificación oficial</w:t>
      </w:r>
    </w:p>
    <w:p w:rsidR="00D43700" w:rsidRPr="00592CAB" w:rsidRDefault="00D43700" w:rsidP="00D43700">
      <w:pPr>
        <w:pStyle w:val="Prrafodelista"/>
        <w:tabs>
          <w:tab w:val="left" w:pos="0"/>
        </w:tabs>
        <w:spacing w:line="360" w:lineRule="auto"/>
        <w:ind w:right="49"/>
        <w:jc w:val="both"/>
        <w:rPr>
          <w:rFonts w:ascii="Palatino Linotype" w:hAnsi="Palatino Linotype" w:cs="Arial"/>
          <w:b/>
          <w:szCs w:val="22"/>
        </w:rPr>
      </w:pPr>
    </w:p>
    <w:p w:rsidR="00D43700" w:rsidRPr="00592CAB" w:rsidRDefault="00D43700" w:rsidP="00D43700">
      <w:pPr>
        <w:pStyle w:val="Prrafodelista"/>
        <w:numPr>
          <w:ilvl w:val="0"/>
          <w:numId w:val="2"/>
        </w:numPr>
        <w:tabs>
          <w:tab w:val="left" w:pos="0"/>
        </w:tabs>
        <w:spacing w:line="360" w:lineRule="auto"/>
        <w:ind w:left="0" w:right="49" w:firstLine="0"/>
        <w:jc w:val="both"/>
        <w:rPr>
          <w:rFonts w:ascii="Palatino Linotype" w:hAnsi="Palatino Linotype" w:cs="Arial"/>
          <w:szCs w:val="22"/>
        </w:rPr>
      </w:pPr>
      <w:r w:rsidRPr="00592CAB">
        <w:rPr>
          <w:rFonts w:ascii="Palatino Linotype" w:hAnsi="Palatino Linotype" w:cs="Arial"/>
          <w:szCs w:val="22"/>
        </w:rPr>
        <w:lastRenderedPageBreak/>
        <w:t xml:space="preserve">La identificación oficial, al igual que el acta de nacimiento, contiene datos personales como, la fecha de nacimiento, CURP, domicilio y firma,  datos que por su naturaleza son clasificados, por lo que no es procedente su entrega, pues de hacerlo se tendría que testar la mayor parte del documento, por lo tanto, procede su clasificación en su totalidad. </w:t>
      </w:r>
    </w:p>
    <w:p w:rsidR="00D43700" w:rsidRPr="00592CAB" w:rsidRDefault="00D43700" w:rsidP="00D43700">
      <w:pPr>
        <w:pStyle w:val="Prrafodelista"/>
        <w:tabs>
          <w:tab w:val="left" w:pos="0"/>
        </w:tabs>
        <w:spacing w:line="360" w:lineRule="auto"/>
        <w:ind w:left="0" w:right="49"/>
        <w:jc w:val="both"/>
        <w:rPr>
          <w:rFonts w:ascii="Palatino Linotype" w:hAnsi="Palatino Linotype" w:cs="Arial"/>
          <w:szCs w:val="22"/>
        </w:rPr>
      </w:pPr>
    </w:p>
    <w:p w:rsidR="00D43700" w:rsidRPr="00592CAB" w:rsidRDefault="00D43700" w:rsidP="00D43700">
      <w:pPr>
        <w:pStyle w:val="Ttulo3"/>
        <w:numPr>
          <w:ilvl w:val="0"/>
          <w:numId w:val="6"/>
        </w:numPr>
        <w:spacing w:before="40" w:after="0"/>
        <w:rPr>
          <w:rFonts w:ascii="Palatino Linotype" w:eastAsia="Palatino Linotype" w:hAnsi="Palatino Linotype" w:cs="Palatino Linotype"/>
          <w:b w:val="0"/>
          <w:color w:val="000000"/>
          <w:sz w:val="22"/>
          <w:szCs w:val="22"/>
        </w:rPr>
      </w:pPr>
      <w:r w:rsidRPr="00592CAB">
        <w:rPr>
          <w:rFonts w:ascii="Palatino Linotype" w:eastAsia="Palatino Linotype" w:hAnsi="Palatino Linotype" w:cs="Palatino Linotype"/>
          <w:color w:val="000000"/>
          <w:sz w:val="22"/>
          <w:szCs w:val="22"/>
        </w:rPr>
        <w:t>Clave Única de Registro de Población (CURP).</w:t>
      </w:r>
    </w:p>
    <w:p w:rsidR="00D43700" w:rsidRPr="00592CAB" w:rsidRDefault="00D43700" w:rsidP="00D43700">
      <w:pPr>
        <w:rPr>
          <w:sz w:val="22"/>
          <w:szCs w:val="22"/>
          <w:lang w:val="es-ES_tradnl" w:eastAsia="es-ES"/>
        </w:rPr>
      </w:pPr>
    </w:p>
    <w:p w:rsidR="00D43700" w:rsidRPr="00592CAB" w:rsidRDefault="00D43700" w:rsidP="00D43700">
      <w:pPr>
        <w:pStyle w:val="Prrafodelista"/>
        <w:numPr>
          <w:ilvl w:val="0"/>
          <w:numId w:val="2"/>
        </w:numPr>
        <w:shd w:val="clear" w:color="auto" w:fill="FFFFFF"/>
        <w:spacing w:before="240" w:after="240" w:line="360" w:lineRule="auto"/>
        <w:ind w:left="0" w:firstLine="0"/>
        <w:jc w:val="both"/>
        <w:rPr>
          <w:rFonts w:ascii="Palatino Linotype" w:hAnsi="Palatino Linotype"/>
          <w:color w:val="222222"/>
          <w:szCs w:val="22"/>
        </w:rPr>
      </w:pPr>
      <w:r w:rsidRPr="00592CAB">
        <w:rPr>
          <w:rFonts w:ascii="Palatino Linotype" w:eastAsia="Palatino Linotype" w:hAnsi="Palatino Linotype" w:cs="Palatino Linotype"/>
          <w:color w:val="000000"/>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rsidR="00D43700" w:rsidRPr="00592CAB" w:rsidRDefault="00D43700" w:rsidP="00D43700">
      <w:pPr>
        <w:shd w:val="clear" w:color="auto" w:fill="FFFFFF"/>
        <w:spacing w:before="240" w:after="240" w:line="360" w:lineRule="auto"/>
        <w:jc w:val="both"/>
        <w:rPr>
          <w:rFonts w:ascii="Palatino Linotype" w:hAnsi="Palatino Linotype"/>
          <w:color w:val="222222"/>
          <w:sz w:val="22"/>
          <w:szCs w:val="22"/>
        </w:rPr>
      </w:pPr>
      <w:r w:rsidRPr="00592CAB">
        <w:rPr>
          <w:noProof/>
          <w:sz w:val="22"/>
          <w:szCs w:val="22"/>
        </w:rPr>
        <w:drawing>
          <wp:inline distT="0" distB="0" distL="0" distR="0" wp14:anchorId="0DE1344C" wp14:editId="13A00009">
            <wp:extent cx="5304827" cy="3538847"/>
            <wp:effectExtent l="0" t="0" r="0" b="508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5748" t="8269" r="41254" b="18081"/>
                    <a:stretch>
                      <a:fillRect/>
                    </a:stretch>
                  </pic:blipFill>
                  <pic:spPr>
                    <a:xfrm>
                      <a:off x="0" y="0"/>
                      <a:ext cx="5322450" cy="3550603"/>
                    </a:xfrm>
                    <a:prstGeom prst="rect">
                      <a:avLst/>
                    </a:prstGeom>
                    <a:ln/>
                  </pic:spPr>
                </pic:pic>
              </a:graphicData>
            </a:graphic>
          </wp:inline>
        </w:drawing>
      </w:r>
    </w:p>
    <w:p w:rsidR="00D43700" w:rsidRPr="00592CAB" w:rsidRDefault="00D43700" w:rsidP="00D43700">
      <w:pPr>
        <w:numPr>
          <w:ilvl w:val="0"/>
          <w:numId w:val="2"/>
        </w:numPr>
        <w:shd w:val="clear" w:color="auto" w:fill="FFFFFF"/>
        <w:spacing w:before="240" w:after="240" w:line="360" w:lineRule="auto"/>
        <w:ind w:left="0" w:firstLine="0"/>
        <w:jc w:val="both"/>
        <w:rPr>
          <w:rFonts w:ascii="Palatino Linotype" w:hAnsi="Palatino Linotype"/>
          <w:color w:val="222222"/>
          <w:sz w:val="22"/>
          <w:szCs w:val="22"/>
        </w:rPr>
      </w:pPr>
      <w:r w:rsidRPr="00592CAB">
        <w:rPr>
          <w:rFonts w:ascii="Palatino Linotype" w:eastAsia="Palatino Linotype" w:hAnsi="Palatino Linotype" w:cs="Palatino Linotype"/>
          <w:color w:val="000000"/>
          <w:sz w:val="22"/>
          <w:szCs w:val="22"/>
        </w:rPr>
        <w:lastRenderedPageBreak/>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D43700" w:rsidRPr="00592CAB" w:rsidRDefault="00D43700" w:rsidP="00D43700">
      <w:pPr>
        <w:numPr>
          <w:ilvl w:val="0"/>
          <w:numId w:val="2"/>
        </w:numPr>
        <w:shd w:val="clear" w:color="auto" w:fill="FFFFFF"/>
        <w:spacing w:before="240" w:after="240" w:line="360" w:lineRule="auto"/>
        <w:ind w:left="0" w:firstLine="0"/>
        <w:jc w:val="both"/>
        <w:rPr>
          <w:rFonts w:ascii="Palatino Linotype" w:hAnsi="Palatino Linotype"/>
          <w:color w:val="222222"/>
          <w:sz w:val="22"/>
          <w:szCs w:val="22"/>
        </w:rPr>
      </w:pPr>
      <w:r w:rsidRPr="00592CAB">
        <w:rPr>
          <w:rFonts w:ascii="Palatino Linotype" w:eastAsia="Palatino Linotype" w:hAnsi="Palatino Linotype" w:cs="Palatino Linotype"/>
          <w:color w:val="000000"/>
          <w:sz w:val="22"/>
          <w:szCs w:val="22"/>
        </w:rPr>
        <w:t xml:space="preserve">Entre las características de la CURP, se encuentra: </w:t>
      </w:r>
    </w:p>
    <w:p w:rsidR="00D43700" w:rsidRPr="00592CAB" w:rsidRDefault="00D43700" w:rsidP="00D43700">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592CAB">
        <w:rPr>
          <w:rFonts w:ascii="Palatino Linotype" w:eastAsia="Palatino Linotype" w:hAnsi="Palatino Linotype" w:cs="Palatino Linotype"/>
          <w:b/>
          <w:szCs w:val="22"/>
        </w:rPr>
        <w:t xml:space="preserve">Composición. </w:t>
      </w:r>
      <w:r w:rsidRPr="00592CAB">
        <w:rPr>
          <w:rFonts w:ascii="Palatino Linotype" w:eastAsia="Palatino Linotype" w:hAnsi="Palatino Linotype" w:cs="Palatino Linotype"/>
          <w:szCs w:val="22"/>
        </w:rPr>
        <w:t>Alfanumérica.</w:t>
      </w:r>
    </w:p>
    <w:p w:rsidR="00D43700" w:rsidRPr="00592CAB" w:rsidRDefault="00D43700" w:rsidP="00D43700">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592CAB">
        <w:rPr>
          <w:rFonts w:ascii="Palatino Linotype" w:eastAsia="Palatino Linotype" w:hAnsi="Palatino Linotype" w:cs="Palatino Linotype"/>
          <w:b/>
          <w:szCs w:val="22"/>
        </w:rPr>
        <w:t xml:space="preserve">Longitud. </w:t>
      </w:r>
      <w:r w:rsidRPr="00592CAB">
        <w:rPr>
          <w:rFonts w:ascii="Palatino Linotype" w:eastAsia="Palatino Linotype" w:hAnsi="Palatino Linotype" w:cs="Palatino Linotype"/>
          <w:szCs w:val="22"/>
        </w:rPr>
        <w:t xml:space="preserve"> 18 caracteres.</w:t>
      </w:r>
    </w:p>
    <w:p w:rsidR="00D43700" w:rsidRPr="00592CAB" w:rsidRDefault="00D43700" w:rsidP="00D43700">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592CAB">
        <w:rPr>
          <w:rFonts w:ascii="Palatino Linotype" w:eastAsia="Palatino Linotype" w:hAnsi="Palatino Linotype" w:cs="Palatino Linotype"/>
          <w:b/>
          <w:szCs w:val="22"/>
        </w:rPr>
        <w:t xml:space="preserve">Naturaleza. </w:t>
      </w:r>
      <w:r w:rsidRPr="00592CAB">
        <w:rPr>
          <w:rFonts w:ascii="Palatino Linotype" w:eastAsia="Palatino Linotype" w:hAnsi="Palatino Linotype" w:cs="Palatino Linotype"/>
          <w:szCs w:val="22"/>
        </w:rPr>
        <w:t>Biunívoca.</w:t>
      </w:r>
    </w:p>
    <w:p w:rsidR="00D43700" w:rsidRPr="00592CAB" w:rsidRDefault="00D43700" w:rsidP="00D43700">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592CAB">
        <w:rPr>
          <w:rFonts w:ascii="Palatino Linotype" w:eastAsia="Palatino Linotype" w:hAnsi="Palatino Linotype" w:cs="Palatino Linotype"/>
          <w:b/>
          <w:szCs w:val="22"/>
        </w:rPr>
        <w:t xml:space="preserve">Universalidad. </w:t>
      </w:r>
      <w:r w:rsidRPr="00592CAB">
        <w:rPr>
          <w:rFonts w:ascii="Palatino Linotype" w:eastAsia="Palatino Linotype" w:hAnsi="Palatino Linotype" w:cs="Palatino Linotype"/>
          <w:szCs w:val="22"/>
        </w:rPr>
        <w:t>Se asigna a todas las personas que conforman la población.</w:t>
      </w:r>
    </w:p>
    <w:p w:rsidR="00D43700" w:rsidRPr="00592CAB" w:rsidRDefault="00D43700" w:rsidP="00D43700">
      <w:pPr>
        <w:pStyle w:val="Prrafodelista"/>
        <w:tabs>
          <w:tab w:val="left" w:pos="426"/>
          <w:tab w:val="left" w:pos="567"/>
        </w:tabs>
        <w:spacing w:line="360" w:lineRule="auto"/>
        <w:ind w:left="851" w:right="567"/>
        <w:jc w:val="both"/>
        <w:rPr>
          <w:rFonts w:ascii="Palatino Linotype" w:eastAsia="Palatino Linotype" w:hAnsi="Palatino Linotype" w:cs="Palatino Linotype"/>
          <w:b/>
          <w:szCs w:val="22"/>
        </w:rPr>
      </w:pPr>
      <w:r w:rsidRPr="00592CAB">
        <w:rPr>
          <w:rFonts w:ascii="Palatino Linotype" w:eastAsia="Palatino Linotype" w:hAnsi="Palatino Linotype" w:cs="Palatino Linotype"/>
          <w:b/>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D43700" w:rsidRPr="00592CAB" w:rsidRDefault="00D43700" w:rsidP="00D43700">
      <w:pPr>
        <w:numPr>
          <w:ilvl w:val="0"/>
          <w:numId w:val="2"/>
        </w:numPr>
        <w:shd w:val="clear" w:color="auto" w:fill="FFFFFF"/>
        <w:spacing w:before="240" w:after="240" w:line="360" w:lineRule="auto"/>
        <w:ind w:left="0" w:firstLine="0"/>
        <w:jc w:val="both"/>
        <w:rPr>
          <w:rFonts w:ascii="Palatino Linotype" w:hAnsi="Palatino Linotype"/>
          <w:color w:val="222222"/>
          <w:sz w:val="22"/>
          <w:szCs w:val="22"/>
        </w:rPr>
      </w:pPr>
      <w:r w:rsidRPr="00592CAB">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D43700" w:rsidRPr="00592CAB" w:rsidRDefault="00D43700" w:rsidP="00D43700">
      <w:pPr>
        <w:numPr>
          <w:ilvl w:val="0"/>
          <w:numId w:val="2"/>
        </w:numPr>
        <w:shd w:val="clear" w:color="auto" w:fill="FFFFFF"/>
        <w:spacing w:before="240" w:after="240" w:line="360" w:lineRule="auto"/>
        <w:ind w:left="0" w:firstLine="0"/>
        <w:jc w:val="both"/>
        <w:rPr>
          <w:rFonts w:ascii="Palatino Linotype" w:hAnsi="Palatino Linotype"/>
          <w:color w:val="222222"/>
          <w:sz w:val="22"/>
          <w:szCs w:val="22"/>
        </w:rPr>
      </w:pPr>
      <w:r w:rsidRPr="00592CAB">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D43700" w:rsidRPr="00592CAB" w:rsidRDefault="00D43700" w:rsidP="00D43700">
      <w:pPr>
        <w:numPr>
          <w:ilvl w:val="0"/>
          <w:numId w:val="2"/>
        </w:numPr>
        <w:shd w:val="clear" w:color="auto" w:fill="FFFFFF"/>
        <w:spacing w:before="240" w:after="240" w:line="360" w:lineRule="auto"/>
        <w:ind w:left="0" w:firstLine="0"/>
        <w:jc w:val="both"/>
        <w:rPr>
          <w:rFonts w:ascii="Palatino Linotype" w:hAnsi="Palatino Linotype"/>
          <w:color w:val="222222"/>
          <w:sz w:val="22"/>
          <w:szCs w:val="22"/>
        </w:rPr>
      </w:pPr>
      <w:r w:rsidRPr="00592CAB">
        <w:rPr>
          <w:rFonts w:ascii="Palatino Linotype" w:eastAsia="Palatino Linotype" w:hAnsi="Palatino Linotype" w:cs="Palatino Linotype"/>
          <w:color w:val="000000"/>
          <w:sz w:val="22"/>
          <w:szCs w:val="22"/>
        </w:rPr>
        <w:lastRenderedPageBreak/>
        <w:t xml:space="preserve">Ante ello, resulta aplicable el Criterio 18/17 emitido por el Instituto Nacional de Transparencia, Acceso a la Información y Protección de Datos Personales, que a la literalidad señala: </w:t>
      </w:r>
    </w:p>
    <w:p w:rsidR="00D43700" w:rsidRPr="00592CAB" w:rsidRDefault="00D43700" w:rsidP="00D43700">
      <w:pPr>
        <w:pStyle w:val="Prrafodelista"/>
        <w:pBdr>
          <w:top w:val="nil"/>
          <w:left w:val="nil"/>
          <w:bottom w:val="nil"/>
          <w:right w:val="nil"/>
          <w:between w:val="nil"/>
        </w:pBdr>
        <w:tabs>
          <w:tab w:val="left" w:pos="567"/>
        </w:tabs>
        <w:spacing w:line="360" w:lineRule="auto"/>
        <w:ind w:left="851" w:right="822"/>
        <w:jc w:val="both"/>
        <w:rPr>
          <w:rFonts w:ascii="Palatino Linotype" w:eastAsia="Palatino Linotype" w:hAnsi="Palatino Linotype" w:cs="Palatino Linotype"/>
          <w:i/>
          <w:color w:val="000000"/>
          <w:szCs w:val="22"/>
        </w:rPr>
      </w:pPr>
      <w:r w:rsidRPr="00592CAB">
        <w:rPr>
          <w:rFonts w:ascii="Palatino Linotype" w:eastAsia="Palatino Linotype" w:hAnsi="Palatino Linotype" w:cs="Palatino Linotype"/>
          <w:i/>
          <w:color w:val="000000"/>
          <w:szCs w:val="22"/>
        </w:rPr>
        <w:t>“</w:t>
      </w:r>
      <w:r w:rsidRPr="00592CAB">
        <w:rPr>
          <w:rFonts w:ascii="Palatino Linotype" w:eastAsia="Palatino Linotype" w:hAnsi="Palatino Linotype" w:cs="Palatino Linotype"/>
          <w:b/>
          <w:i/>
          <w:color w:val="000000"/>
          <w:szCs w:val="22"/>
        </w:rPr>
        <w:t xml:space="preserve">Clave Única de Registro de Población (CURP). </w:t>
      </w:r>
      <w:r w:rsidRPr="00592CAB">
        <w:rPr>
          <w:rFonts w:ascii="Palatino Linotype" w:eastAsia="Palatino Linotype" w:hAnsi="Palatino Linotype" w:cs="Palatino Linotype"/>
          <w:i/>
          <w:color w:val="000000"/>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r w:rsidRPr="00592CAB">
        <w:rPr>
          <w:rFonts w:ascii="Palatino Linotype" w:eastAsiaTheme="majorEastAsia" w:hAnsi="Palatino Linotype" w:cstheme="majorBidi"/>
          <w:i/>
          <w:kern w:val="28"/>
          <w:szCs w:val="22"/>
          <w:lang w:eastAsia="es-ES"/>
        </w:rPr>
        <w:t xml:space="preserve"> </w:t>
      </w:r>
      <w:r w:rsidRPr="00592CAB">
        <w:rPr>
          <w:rFonts w:ascii="Palatino Linotype" w:eastAsia="Palatino Linotype" w:hAnsi="Palatino Linotype" w:cs="Palatino Linotype"/>
          <w:i/>
          <w:color w:val="000000"/>
          <w:szCs w:val="22"/>
        </w:rPr>
        <w:t>resto de los habitantes del país, por lo que la CURP está considerada como información confidencial.” (Sic)</w:t>
      </w:r>
    </w:p>
    <w:p w:rsidR="00D43700" w:rsidRPr="00592CAB" w:rsidRDefault="00D43700" w:rsidP="00D43700">
      <w:pPr>
        <w:pStyle w:val="Prrafodelista"/>
        <w:pBdr>
          <w:top w:val="nil"/>
          <w:left w:val="nil"/>
          <w:bottom w:val="nil"/>
          <w:right w:val="nil"/>
          <w:between w:val="nil"/>
        </w:pBdr>
        <w:tabs>
          <w:tab w:val="left" w:pos="567"/>
        </w:tabs>
        <w:spacing w:line="360" w:lineRule="auto"/>
        <w:ind w:left="851" w:right="822"/>
        <w:jc w:val="both"/>
        <w:rPr>
          <w:rFonts w:ascii="Palatino Linotype" w:eastAsia="Palatino Linotype" w:hAnsi="Palatino Linotype" w:cs="Palatino Linotype"/>
          <w:i/>
          <w:color w:val="000000"/>
          <w:szCs w:val="22"/>
        </w:rPr>
      </w:pPr>
    </w:p>
    <w:p w:rsidR="0085073B" w:rsidRPr="00592CAB" w:rsidRDefault="0085073B" w:rsidP="0085073B">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592CAB">
        <w:rPr>
          <w:rFonts w:ascii="Palatino Linotype" w:eastAsia="Palatino Linotype" w:hAnsi="Palatino Linotype" w:cs="Palatino Linotype"/>
          <w:b/>
          <w:color w:val="000000"/>
          <w:sz w:val="22"/>
          <w:szCs w:val="22"/>
        </w:rPr>
        <w:t>Fotografía</w:t>
      </w:r>
    </w:p>
    <w:p w:rsidR="0085073B" w:rsidRPr="00592CAB" w:rsidRDefault="0085073B" w:rsidP="0085073B">
      <w:pPr>
        <w:pBdr>
          <w:top w:val="nil"/>
          <w:left w:val="nil"/>
          <w:bottom w:val="nil"/>
          <w:right w:val="nil"/>
          <w:between w:val="nil"/>
        </w:pBdr>
        <w:spacing w:line="360" w:lineRule="auto"/>
        <w:ind w:left="720" w:right="-25"/>
        <w:jc w:val="both"/>
        <w:rPr>
          <w:rFonts w:ascii="Palatino Linotype" w:eastAsia="Palatino Linotype" w:hAnsi="Palatino Linotype" w:cs="Palatino Linotype"/>
          <w:b/>
          <w:color w:val="000000"/>
          <w:sz w:val="22"/>
          <w:szCs w:val="22"/>
        </w:rPr>
      </w:pPr>
    </w:p>
    <w:p w:rsidR="0085073B" w:rsidRPr="00592CAB" w:rsidRDefault="0085073B" w:rsidP="0085073B">
      <w:pPr>
        <w:pStyle w:val="Prrafodelista"/>
        <w:numPr>
          <w:ilvl w:val="0"/>
          <w:numId w:val="2"/>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592CAB">
        <w:rPr>
          <w:rFonts w:ascii="Palatino Linotype" w:eastAsia="Palatino Linotype" w:hAnsi="Palatino Linotype" w:cs="Palatino Linotype"/>
          <w:b/>
          <w:color w:val="000000"/>
          <w:szCs w:val="22"/>
        </w:rPr>
        <w:t>Fotografía de servidores públicos</w:t>
      </w:r>
      <w:r w:rsidRPr="00592CAB">
        <w:rPr>
          <w:rFonts w:ascii="Palatino Linotype" w:eastAsia="Palatino Linotype" w:hAnsi="Palatino Linotype" w:cs="Palatino Linotype"/>
          <w:color w:val="000000"/>
          <w:szCs w:val="22"/>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85073B" w:rsidRPr="00592CAB" w:rsidRDefault="0085073B" w:rsidP="0085073B">
      <w:pPr>
        <w:pStyle w:val="Prrafodelista"/>
        <w:pBdr>
          <w:top w:val="nil"/>
          <w:left w:val="nil"/>
          <w:bottom w:val="nil"/>
          <w:right w:val="nil"/>
          <w:between w:val="nil"/>
        </w:pBdr>
        <w:spacing w:line="360" w:lineRule="auto"/>
        <w:ind w:left="0" w:right="-25"/>
        <w:jc w:val="both"/>
        <w:rPr>
          <w:rFonts w:ascii="Palatino Linotype" w:eastAsia="Palatino Linotype" w:hAnsi="Palatino Linotype" w:cs="Palatino Linotype"/>
          <w:color w:val="000000"/>
          <w:szCs w:val="22"/>
        </w:rPr>
      </w:pPr>
    </w:p>
    <w:p w:rsidR="0085073B" w:rsidRPr="00592CAB" w:rsidRDefault="0085073B" w:rsidP="0085073B">
      <w:pPr>
        <w:pStyle w:val="Prrafodelista"/>
        <w:numPr>
          <w:ilvl w:val="0"/>
          <w:numId w:val="2"/>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592CAB">
        <w:rPr>
          <w:rFonts w:ascii="Palatino Linotype" w:eastAsia="Palatino Linotype" w:hAnsi="Palatino Linotype" w:cs="Palatino Linotype"/>
          <w:color w:val="000000"/>
          <w:szCs w:val="22"/>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w:t>
      </w:r>
      <w:r w:rsidRPr="00592CAB">
        <w:rPr>
          <w:rFonts w:ascii="Palatino Linotype" w:eastAsia="Palatino Linotype" w:hAnsi="Palatino Linotype" w:cs="Palatino Linotype"/>
          <w:szCs w:val="22"/>
        </w:rPr>
        <w:t>acreditará</w:t>
      </w:r>
      <w:r w:rsidRPr="00592CAB">
        <w:rPr>
          <w:rFonts w:ascii="Palatino Linotype" w:eastAsia="Palatino Linotype" w:hAnsi="Palatino Linotype" w:cs="Palatino Linotype"/>
          <w:color w:val="000000"/>
          <w:szCs w:val="22"/>
        </w:rPr>
        <w:t xml:space="preserve"> e identificaría a una persona como servidor público, por lo que es posible advertir que existe cierto interés público, cuando </w:t>
      </w:r>
      <w:r w:rsidRPr="00592CAB">
        <w:rPr>
          <w:rFonts w:ascii="Palatino Linotype" w:eastAsia="Palatino Linotype" w:hAnsi="Palatino Linotype" w:cs="Palatino Linotype"/>
          <w:color w:val="000000"/>
          <w:szCs w:val="22"/>
        </w:rPr>
        <w:lastRenderedPageBreak/>
        <w:t>la fotografía obra en documentos de servidores públicos vinculados con el cumplimiento de disposiciones legales.</w:t>
      </w:r>
    </w:p>
    <w:p w:rsidR="0085073B" w:rsidRPr="00592CAB" w:rsidRDefault="0085073B" w:rsidP="0085073B">
      <w:pPr>
        <w:pStyle w:val="Prrafodelista"/>
        <w:ind w:left="0"/>
        <w:rPr>
          <w:rFonts w:ascii="Palatino Linotype" w:eastAsia="Palatino Linotype" w:hAnsi="Palatino Linotype" w:cs="Palatino Linotype"/>
          <w:color w:val="000000"/>
          <w:szCs w:val="22"/>
        </w:rPr>
      </w:pPr>
    </w:p>
    <w:p w:rsidR="0085073B" w:rsidRPr="00592CAB" w:rsidRDefault="0085073B" w:rsidP="0085073B">
      <w:pPr>
        <w:pStyle w:val="Prrafodelista"/>
        <w:numPr>
          <w:ilvl w:val="0"/>
          <w:numId w:val="2"/>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592CAB">
        <w:rPr>
          <w:rFonts w:ascii="Palatino Linotype" w:eastAsia="Palatino Linotype" w:hAnsi="Palatino Linotype" w:cs="Palatino Linotype"/>
          <w:color w:val="000000"/>
          <w:szCs w:val="22"/>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85073B" w:rsidRPr="00592CAB" w:rsidRDefault="0085073B" w:rsidP="0085073B">
      <w:pPr>
        <w:pStyle w:val="Prrafodelista"/>
        <w:ind w:left="0"/>
        <w:rPr>
          <w:rFonts w:ascii="Palatino Linotype" w:eastAsia="Palatino Linotype" w:hAnsi="Palatino Linotype" w:cs="Palatino Linotype"/>
          <w:color w:val="000000"/>
          <w:szCs w:val="22"/>
        </w:rPr>
      </w:pPr>
    </w:p>
    <w:p w:rsidR="0085073B" w:rsidRPr="00592CAB" w:rsidRDefault="0085073B" w:rsidP="0085073B">
      <w:pPr>
        <w:pStyle w:val="Prrafodelista"/>
        <w:numPr>
          <w:ilvl w:val="0"/>
          <w:numId w:val="2"/>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592CAB">
        <w:rPr>
          <w:rFonts w:ascii="Palatino Linotype" w:eastAsia="Palatino Linotype" w:hAnsi="Palatino Linotype" w:cs="Palatino Linotype"/>
          <w:color w:val="000000"/>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85073B" w:rsidRPr="00592CAB" w:rsidRDefault="0085073B" w:rsidP="0085073B">
      <w:pPr>
        <w:pStyle w:val="Prrafodelista"/>
        <w:ind w:left="0"/>
        <w:rPr>
          <w:rFonts w:ascii="Palatino Linotype" w:eastAsia="Palatino Linotype" w:hAnsi="Palatino Linotype" w:cs="Palatino Linotype"/>
          <w:color w:val="000000"/>
          <w:szCs w:val="22"/>
        </w:rPr>
      </w:pPr>
    </w:p>
    <w:p w:rsidR="0085073B" w:rsidRPr="00592CAB" w:rsidRDefault="0085073B" w:rsidP="0085073B">
      <w:pPr>
        <w:pStyle w:val="Prrafodelista"/>
        <w:numPr>
          <w:ilvl w:val="0"/>
          <w:numId w:val="2"/>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592CAB">
        <w:rPr>
          <w:rFonts w:ascii="Palatino Linotype" w:eastAsia="Palatino Linotype" w:hAnsi="Palatino Linotype" w:cs="Palatino Linotype"/>
          <w:color w:val="000000"/>
          <w:szCs w:val="22"/>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rsidR="0085073B" w:rsidRPr="00592CAB" w:rsidRDefault="0085073B" w:rsidP="0085073B">
      <w:pPr>
        <w:pBdr>
          <w:top w:val="nil"/>
          <w:left w:val="nil"/>
          <w:bottom w:val="nil"/>
          <w:right w:val="nil"/>
          <w:between w:val="nil"/>
        </w:pBdr>
        <w:ind w:left="720" w:right="-25"/>
        <w:rPr>
          <w:rFonts w:ascii="Palatino Linotype" w:eastAsia="Palatino Linotype" w:hAnsi="Palatino Linotype" w:cs="Palatino Linotype"/>
          <w:color w:val="000000"/>
          <w:sz w:val="22"/>
          <w:szCs w:val="22"/>
        </w:rPr>
      </w:pPr>
    </w:p>
    <w:p w:rsidR="0085073B" w:rsidRPr="00592CAB" w:rsidRDefault="0085073B" w:rsidP="0085073B">
      <w:pPr>
        <w:spacing w:line="360" w:lineRule="auto"/>
        <w:ind w:left="567" w:right="-25"/>
        <w:jc w:val="both"/>
        <w:rPr>
          <w:rFonts w:ascii="Palatino Linotype" w:eastAsia="Palatino Linotype" w:hAnsi="Palatino Linotype" w:cs="Palatino Linotype"/>
          <w:i/>
          <w:color w:val="000000"/>
          <w:sz w:val="22"/>
          <w:szCs w:val="22"/>
        </w:rPr>
      </w:pPr>
      <w:r w:rsidRPr="00592CAB">
        <w:rPr>
          <w:rFonts w:ascii="Palatino Linotype" w:eastAsia="Palatino Linotype" w:hAnsi="Palatino Linotype" w:cs="Palatino Linotype"/>
          <w:b/>
          <w:i/>
          <w:color w:val="000000"/>
          <w:sz w:val="22"/>
          <w:szCs w:val="22"/>
        </w:rPr>
        <w:t xml:space="preserve">Fotografía de una persona física que conste en su título o cédula profesional no es susceptible de clasificarse con carácter de confidencial. </w:t>
      </w:r>
      <w:r w:rsidRPr="00592CAB">
        <w:rPr>
          <w:rFonts w:ascii="Palatino Linotype" w:eastAsia="Palatino Linotype" w:hAnsi="Palatino Linotype" w:cs="Palatino Linotype"/>
          <w:i/>
          <w:color w:val="000000"/>
          <w:sz w:val="22"/>
          <w:szCs w:val="22"/>
        </w:rPr>
        <w:t xml:space="preserve">La fotografía contenida en un título o cédula profesional no es susceptible de clasificarse con el carácter de confidencial, en términos de lo dispuesto en el artículo 18, fracción II de la Ley Federal de Transparencia y Acceso a la </w:t>
      </w:r>
      <w:r w:rsidRPr="00592CAB">
        <w:rPr>
          <w:rFonts w:ascii="Palatino Linotype" w:eastAsia="Palatino Linotype" w:hAnsi="Palatino Linotype" w:cs="Palatino Linotype"/>
          <w:i/>
          <w:color w:val="000000"/>
          <w:sz w:val="22"/>
          <w:szCs w:val="22"/>
        </w:rPr>
        <w:lastRenderedPageBreak/>
        <w:t>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rsidR="0085073B" w:rsidRPr="00592CAB" w:rsidRDefault="0085073B" w:rsidP="0085073B">
      <w:pPr>
        <w:spacing w:line="360" w:lineRule="auto"/>
        <w:ind w:left="567" w:right="-25"/>
        <w:jc w:val="both"/>
        <w:rPr>
          <w:rFonts w:ascii="Palatino Linotype" w:eastAsia="Palatino Linotype" w:hAnsi="Palatino Linotype" w:cs="Palatino Linotype"/>
          <w:i/>
          <w:color w:val="000000"/>
          <w:sz w:val="22"/>
          <w:szCs w:val="22"/>
        </w:rPr>
      </w:pPr>
    </w:p>
    <w:p w:rsidR="0085073B" w:rsidRPr="00592CAB" w:rsidRDefault="0085073B" w:rsidP="0085073B">
      <w:pPr>
        <w:spacing w:line="360" w:lineRule="auto"/>
        <w:ind w:left="567" w:right="-25"/>
        <w:jc w:val="both"/>
        <w:rPr>
          <w:rFonts w:ascii="Palatino Linotype" w:eastAsia="Palatino Linotype" w:hAnsi="Palatino Linotype" w:cs="Palatino Linotype"/>
          <w:i/>
          <w:sz w:val="22"/>
          <w:szCs w:val="22"/>
        </w:rPr>
      </w:pPr>
      <w:r w:rsidRPr="00592CAB">
        <w:rPr>
          <w:rFonts w:ascii="Palatino Linotype" w:eastAsia="Palatino Linotype" w:hAnsi="Palatino Linotype" w:cs="Palatino Linotype"/>
          <w:b/>
          <w:i/>
          <w:sz w:val="22"/>
          <w:szCs w:val="22"/>
        </w:rPr>
        <w:t>Fotografía en título o cédula profesional es de acceso público.</w:t>
      </w:r>
      <w:r w:rsidRPr="00592CAB">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85073B" w:rsidRPr="00592CAB" w:rsidRDefault="0085073B" w:rsidP="0085073B">
      <w:pPr>
        <w:ind w:right="-25"/>
        <w:jc w:val="both"/>
        <w:rPr>
          <w:rFonts w:ascii="Arial" w:eastAsia="Arial" w:hAnsi="Arial" w:cs="Arial"/>
          <w:b/>
          <w:color w:val="000000"/>
          <w:sz w:val="22"/>
          <w:szCs w:val="22"/>
        </w:rPr>
      </w:pPr>
    </w:p>
    <w:p w:rsidR="0085073B" w:rsidRPr="00592CAB" w:rsidRDefault="0085073B" w:rsidP="0085073B">
      <w:pPr>
        <w:pStyle w:val="Prrafodelista"/>
        <w:numPr>
          <w:ilvl w:val="0"/>
          <w:numId w:val="2"/>
        </w:numPr>
        <w:pBdr>
          <w:top w:val="nil"/>
          <w:left w:val="nil"/>
          <w:bottom w:val="nil"/>
          <w:right w:val="nil"/>
          <w:between w:val="nil"/>
        </w:pBdr>
        <w:tabs>
          <w:tab w:val="left" w:pos="0"/>
        </w:tabs>
        <w:spacing w:line="360" w:lineRule="auto"/>
        <w:ind w:left="0" w:right="-25" w:firstLine="0"/>
        <w:jc w:val="both"/>
        <w:rPr>
          <w:rFonts w:ascii="Palatino Linotype" w:eastAsia="Palatino Linotype" w:hAnsi="Palatino Linotype" w:cs="Palatino Linotype"/>
          <w:color w:val="000000"/>
          <w:szCs w:val="22"/>
        </w:rPr>
      </w:pPr>
      <w:r w:rsidRPr="00592CAB">
        <w:rPr>
          <w:rFonts w:ascii="Palatino Linotype" w:eastAsia="Palatino Linotype" w:hAnsi="Palatino Linotype" w:cs="Palatino Linotype"/>
          <w:color w:val="000000"/>
          <w:szCs w:val="22"/>
        </w:rPr>
        <w:t>Resultando así que, la fotografía de los servidores públicos, cuando obre en título o cédula profesional es de acceso público y no procede su clasificación como información confidencial, aún y cuando corresponde a un dato personal.</w:t>
      </w:r>
    </w:p>
    <w:p w:rsidR="0085073B" w:rsidRPr="00592CAB" w:rsidRDefault="0085073B" w:rsidP="0085073B">
      <w:pPr>
        <w:pBdr>
          <w:top w:val="nil"/>
          <w:left w:val="nil"/>
          <w:bottom w:val="nil"/>
          <w:right w:val="nil"/>
          <w:between w:val="nil"/>
        </w:pBdr>
        <w:spacing w:line="360" w:lineRule="auto"/>
        <w:ind w:right="-592"/>
        <w:jc w:val="both"/>
        <w:rPr>
          <w:color w:val="000000"/>
          <w:sz w:val="22"/>
          <w:szCs w:val="22"/>
        </w:rPr>
      </w:pPr>
    </w:p>
    <w:p w:rsidR="00813BB6" w:rsidRPr="00592CAB" w:rsidRDefault="00DA6780">
      <w:pPr>
        <w:numPr>
          <w:ilvl w:val="0"/>
          <w:numId w:val="2"/>
        </w:numPr>
        <w:pBdr>
          <w:top w:val="nil"/>
          <w:left w:val="nil"/>
          <w:bottom w:val="nil"/>
          <w:right w:val="nil"/>
          <w:between w:val="nil"/>
        </w:pBdr>
        <w:spacing w:line="360" w:lineRule="auto"/>
        <w:ind w:left="0" w:right="-592" w:firstLine="0"/>
        <w:jc w:val="both"/>
        <w:rPr>
          <w:color w:val="000000"/>
          <w:sz w:val="22"/>
          <w:szCs w:val="22"/>
        </w:rPr>
      </w:pPr>
      <w:r w:rsidRPr="00592CAB">
        <w:rPr>
          <w:rFonts w:ascii="Palatino Linotype" w:eastAsia="Palatino Linotype" w:hAnsi="Palatino Linotype" w:cs="Palatino Linotype"/>
          <w:color w:val="000000"/>
          <w:sz w:val="22"/>
          <w:szCs w:val="22"/>
        </w:rPr>
        <w:t xml:space="preserve">Por lo anteriormente expuesto y fundado, este </w:t>
      </w:r>
      <w:r w:rsidRPr="00592CAB">
        <w:rPr>
          <w:rFonts w:ascii="Palatino Linotype" w:eastAsia="Palatino Linotype" w:hAnsi="Palatino Linotype" w:cs="Palatino Linotype"/>
          <w:b/>
          <w:color w:val="000000"/>
          <w:sz w:val="22"/>
          <w:szCs w:val="22"/>
        </w:rPr>
        <w:t>ÓRGANO GARANTE</w:t>
      </w:r>
      <w:r w:rsidRPr="00592CAB">
        <w:rPr>
          <w:rFonts w:ascii="Palatino Linotype" w:eastAsia="Palatino Linotype" w:hAnsi="Palatino Linotype" w:cs="Palatino Linotype"/>
          <w:color w:val="000000"/>
          <w:sz w:val="22"/>
          <w:szCs w:val="22"/>
        </w:rPr>
        <w:t xml:space="preserve"> emite los siguientes:</w:t>
      </w:r>
    </w:p>
    <w:p w:rsidR="00813BB6" w:rsidRPr="00592CAB" w:rsidRDefault="00813B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keepNext/>
        <w:keepLines/>
        <w:spacing w:line="360" w:lineRule="auto"/>
        <w:ind w:right="-592"/>
        <w:jc w:val="center"/>
        <w:rPr>
          <w:rFonts w:ascii="Palatino Linotype" w:eastAsia="Palatino Linotype" w:hAnsi="Palatino Linotype" w:cs="Palatino Linotype"/>
          <w:b/>
          <w:color w:val="000000"/>
          <w:sz w:val="22"/>
          <w:szCs w:val="22"/>
        </w:rPr>
      </w:pPr>
      <w:bookmarkStart w:id="6" w:name="_heading=h.2s8eyo1" w:colFirst="0" w:colLast="0"/>
      <w:bookmarkEnd w:id="6"/>
      <w:r w:rsidRPr="00592CAB">
        <w:rPr>
          <w:rFonts w:ascii="Palatino Linotype" w:eastAsia="Palatino Linotype" w:hAnsi="Palatino Linotype" w:cs="Palatino Linotype"/>
          <w:b/>
          <w:color w:val="000000"/>
          <w:sz w:val="22"/>
          <w:szCs w:val="22"/>
        </w:rPr>
        <w:t>R E S O L U T I V O S</w:t>
      </w:r>
    </w:p>
    <w:p w:rsidR="00813BB6" w:rsidRPr="00592CAB" w:rsidRDefault="00813BB6">
      <w:pPr>
        <w:keepNext/>
        <w:keepLines/>
        <w:spacing w:line="360" w:lineRule="auto"/>
        <w:ind w:right="-592"/>
        <w:jc w:val="center"/>
        <w:rPr>
          <w:rFonts w:ascii="Palatino Linotype" w:eastAsia="Palatino Linotype" w:hAnsi="Palatino Linotype" w:cs="Palatino Linotype"/>
          <w:b/>
          <w:color w:val="000000"/>
          <w:sz w:val="22"/>
          <w:szCs w:val="22"/>
        </w:rPr>
      </w:pPr>
    </w:p>
    <w:p w:rsidR="00813BB6" w:rsidRPr="00592CAB" w:rsidRDefault="00DA6780">
      <w:pPr>
        <w:spacing w:line="360" w:lineRule="auto"/>
        <w:ind w:right="-592"/>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sz w:val="22"/>
          <w:szCs w:val="22"/>
        </w:rPr>
        <w:t xml:space="preserve">PRIMERO. </w:t>
      </w:r>
      <w:r w:rsidRPr="00592CAB">
        <w:rPr>
          <w:rFonts w:ascii="Palatino Linotype" w:eastAsia="Palatino Linotype" w:hAnsi="Palatino Linotype" w:cs="Palatino Linotype"/>
          <w:sz w:val="22"/>
          <w:szCs w:val="22"/>
        </w:rPr>
        <w:t>Resultan fundadas las</w:t>
      </w:r>
      <w:r w:rsidRPr="00592CAB">
        <w:rPr>
          <w:rFonts w:ascii="Palatino Linotype" w:eastAsia="Palatino Linotype" w:hAnsi="Palatino Linotype" w:cs="Palatino Linotype"/>
          <w:b/>
          <w:sz w:val="22"/>
          <w:szCs w:val="22"/>
        </w:rPr>
        <w:t xml:space="preserve"> </w:t>
      </w:r>
      <w:r w:rsidRPr="00592CAB">
        <w:rPr>
          <w:rFonts w:ascii="Palatino Linotype" w:eastAsia="Palatino Linotype" w:hAnsi="Palatino Linotype" w:cs="Palatino Linotype"/>
          <w:sz w:val="22"/>
          <w:szCs w:val="22"/>
        </w:rPr>
        <w:t xml:space="preserve">razones o motivos de inconformidad hechos valer en el recurso de revisión </w:t>
      </w:r>
      <w:r w:rsidRPr="00592CAB">
        <w:rPr>
          <w:rFonts w:ascii="Palatino Linotype" w:eastAsia="Palatino Linotype" w:hAnsi="Palatino Linotype" w:cs="Palatino Linotype"/>
          <w:b/>
          <w:sz w:val="22"/>
          <w:szCs w:val="22"/>
        </w:rPr>
        <w:t xml:space="preserve">01228/INFOEM/IP/RR/2024, </w:t>
      </w:r>
      <w:r w:rsidRPr="00592CAB">
        <w:rPr>
          <w:rFonts w:ascii="Palatino Linotype" w:eastAsia="Palatino Linotype" w:hAnsi="Palatino Linotype" w:cs="Palatino Linotype"/>
          <w:sz w:val="22"/>
          <w:szCs w:val="22"/>
        </w:rPr>
        <w:t xml:space="preserve">en términos del </w:t>
      </w:r>
      <w:r w:rsidRPr="00592CAB">
        <w:rPr>
          <w:rFonts w:ascii="Palatino Linotype" w:eastAsia="Palatino Linotype" w:hAnsi="Palatino Linotype" w:cs="Palatino Linotype"/>
          <w:b/>
          <w:sz w:val="22"/>
          <w:szCs w:val="22"/>
        </w:rPr>
        <w:t>Considerando</w:t>
      </w:r>
      <w:r w:rsidRPr="00592CAB">
        <w:rPr>
          <w:rFonts w:ascii="Palatino Linotype" w:eastAsia="Palatino Linotype" w:hAnsi="Palatino Linotype" w:cs="Palatino Linotype"/>
          <w:sz w:val="22"/>
          <w:szCs w:val="22"/>
        </w:rPr>
        <w:t xml:space="preserve"> </w:t>
      </w:r>
      <w:r w:rsidRPr="00592CAB">
        <w:rPr>
          <w:rFonts w:ascii="Palatino Linotype" w:eastAsia="Palatino Linotype" w:hAnsi="Palatino Linotype" w:cs="Palatino Linotype"/>
          <w:b/>
          <w:sz w:val="22"/>
          <w:szCs w:val="22"/>
        </w:rPr>
        <w:t>CUARTO y QUINTO de</w:t>
      </w:r>
      <w:r w:rsidRPr="00592CAB">
        <w:rPr>
          <w:rFonts w:ascii="Palatino Linotype" w:eastAsia="Palatino Linotype" w:hAnsi="Palatino Linotype" w:cs="Palatino Linotype"/>
          <w:sz w:val="22"/>
          <w:szCs w:val="22"/>
        </w:rPr>
        <w:t xml:space="preserve"> la presente resolución.</w:t>
      </w:r>
    </w:p>
    <w:p w:rsidR="00813BB6" w:rsidRPr="00592CAB" w:rsidRDefault="00813BB6">
      <w:pPr>
        <w:spacing w:line="360" w:lineRule="auto"/>
        <w:ind w:right="-592"/>
        <w:jc w:val="both"/>
        <w:rPr>
          <w:rFonts w:ascii="Palatino Linotype" w:eastAsia="Palatino Linotype" w:hAnsi="Palatino Linotype" w:cs="Palatino Linotype"/>
          <w:sz w:val="22"/>
          <w:szCs w:val="22"/>
        </w:rPr>
      </w:pPr>
    </w:p>
    <w:p w:rsidR="00813BB6" w:rsidRPr="00592CAB" w:rsidRDefault="00DA6780">
      <w:pPr>
        <w:spacing w:line="360" w:lineRule="auto"/>
        <w:ind w:right="-592"/>
        <w:jc w:val="both"/>
        <w:rPr>
          <w:rFonts w:ascii="Palatino Linotype" w:eastAsia="Palatino Linotype" w:hAnsi="Palatino Linotype" w:cs="Palatino Linotype"/>
          <w:sz w:val="22"/>
          <w:szCs w:val="22"/>
        </w:rPr>
      </w:pPr>
      <w:bookmarkStart w:id="7" w:name="_heading=h.30j0zll" w:colFirst="0" w:colLast="0"/>
      <w:bookmarkEnd w:id="7"/>
      <w:r w:rsidRPr="00592CAB">
        <w:rPr>
          <w:rFonts w:ascii="Palatino Linotype" w:eastAsia="Palatino Linotype" w:hAnsi="Palatino Linotype" w:cs="Palatino Linotype"/>
          <w:b/>
          <w:sz w:val="22"/>
          <w:szCs w:val="22"/>
        </w:rPr>
        <w:lastRenderedPageBreak/>
        <w:t>SEGUNDO.</w:t>
      </w:r>
      <w:r w:rsidRPr="00592CAB">
        <w:rPr>
          <w:rFonts w:ascii="Palatino Linotype" w:eastAsia="Palatino Linotype" w:hAnsi="Palatino Linotype" w:cs="Palatino Linotype"/>
          <w:color w:val="2F5496"/>
          <w:sz w:val="22"/>
          <w:szCs w:val="22"/>
        </w:rPr>
        <w:t xml:space="preserve"> </w:t>
      </w:r>
      <w:r w:rsidRPr="00592CAB">
        <w:rPr>
          <w:rFonts w:ascii="Palatino Linotype" w:eastAsia="Palatino Linotype" w:hAnsi="Palatino Linotype" w:cs="Palatino Linotype"/>
          <w:sz w:val="22"/>
          <w:szCs w:val="22"/>
        </w:rPr>
        <w:t>Se</w:t>
      </w:r>
      <w:r w:rsidRPr="00592CAB">
        <w:rPr>
          <w:rFonts w:ascii="Palatino Linotype" w:eastAsia="Palatino Linotype" w:hAnsi="Palatino Linotype" w:cs="Palatino Linotype"/>
          <w:b/>
          <w:sz w:val="22"/>
          <w:szCs w:val="22"/>
        </w:rPr>
        <w:t xml:space="preserve"> REVOCA </w:t>
      </w:r>
      <w:r w:rsidRPr="00592CAB">
        <w:rPr>
          <w:rFonts w:ascii="Palatino Linotype" w:eastAsia="Palatino Linotype" w:hAnsi="Palatino Linotype" w:cs="Palatino Linotype"/>
          <w:sz w:val="22"/>
          <w:szCs w:val="22"/>
        </w:rPr>
        <w:t xml:space="preserve">la respuesta emitida por el </w:t>
      </w:r>
      <w:r w:rsidRPr="00592CAB">
        <w:rPr>
          <w:rFonts w:ascii="Palatino Linotype" w:eastAsia="Palatino Linotype" w:hAnsi="Palatino Linotype" w:cs="Palatino Linotype"/>
          <w:b/>
          <w:sz w:val="22"/>
          <w:szCs w:val="22"/>
        </w:rPr>
        <w:t xml:space="preserve">Ayuntamiento de Tezoyuca </w:t>
      </w:r>
      <w:r w:rsidRPr="00592CAB">
        <w:rPr>
          <w:rFonts w:ascii="Palatino Linotype" w:eastAsia="Palatino Linotype" w:hAnsi="Palatino Linotype" w:cs="Palatino Linotype"/>
          <w:sz w:val="22"/>
          <w:szCs w:val="22"/>
        </w:rPr>
        <w:t>y se</w:t>
      </w:r>
      <w:r w:rsidRPr="00592CAB">
        <w:rPr>
          <w:rFonts w:ascii="Palatino Linotype" w:eastAsia="Palatino Linotype" w:hAnsi="Palatino Linotype" w:cs="Palatino Linotype"/>
          <w:b/>
          <w:sz w:val="22"/>
          <w:szCs w:val="22"/>
        </w:rPr>
        <w:t xml:space="preserve"> ORDENA </w:t>
      </w:r>
      <w:r w:rsidRPr="00592CAB">
        <w:rPr>
          <w:rFonts w:ascii="Palatino Linotype" w:eastAsia="Palatino Linotype" w:hAnsi="Palatino Linotype" w:cs="Palatino Linotype"/>
          <w:sz w:val="22"/>
          <w:szCs w:val="22"/>
        </w:rPr>
        <w:t>entregar vía Sistema de Accesos a la Información Mexiquense (SAIMEX), de ser procedente en versión pública, la siguiente información:</w:t>
      </w:r>
    </w:p>
    <w:p w:rsidR="00D43700" w:rsidRPr="00592CAB" w:rsidRDefault="00D43700">
      <w:pPr>
        <w:spacing w:line="360" w:lineRule="auto"/>
        <w:ind w:right="-592"/>
        <w:jc w:val="both"/>
        <w:rPr>
          <w:rFonts w:ascii="Palatino Linotype" w:eastAsia="Palatino Linotype" w:hAnsi="Palatino Linotype" w:cs="Palatino Linotype"/>
          <w:sz w:val="22"/>
          <w:szCs w:val="22"/>
        </w:rPr>
      </w:pPr>
    </w:p>
    <w:p w:rsidR="00813BB6" w:rsidRPr="00592CAB" w:rsidRDefault="00DA6780">
      <w:pPr>
        <w:numPr>
          <w:ilvl w:val="2"/>
          <w:numId w:val="2"/>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b/>
          <w:color w:val="000000"/>
          <w:sz w:val="22"/>
          <w:szCs w:val="22"/>
        </w:rPr>
      </w:pPr>
      <w:r w:rsidRPr="00592CAB">
        <w:rPr>
          <w:rFonts w:ascii="Palatino Linotype" w:eastAsia="Palatino Linotype" w:hAnsi="Palatino Linotype" w:cs="Palatino Linotype"/>
          <w:b/>
          <w:sz w:val="22"/>
          <w:szCs w:val="22"/>
        </w:rPr>
        <w:t xml:space="preserve"> </w:t>
      </w:r>
      <w:r w:rsidRPr="00592CAB">
        <w:rPr>
          <w:rFonts w:ascii="Palatino Linotype" w:eastAsia="Palatino Linotype" w:hAnsi="Palatino Linotype" w:cs="Palatino Linotype"/>
          <w:b/>
          <w:color w:val="000000"/>
          <w:sz w:val="22"/>
          <w:szCs w:val="22"/>
        </w:rPr>
        <w:t>Última convocatoria para la integración de la Comisión de Selección Municipal y del Comité de Participación Ciudadana Municipal a la fecha de la solicitud;</w:t>
      </w:r>
    </w:p>
    <w:p w:rsidR="00813BB6" w:rsidRPr="00592CAB" w:rsidRDefault="00813BB6">
      <w:pPr>
        <w:spacing w:line="360" w:lineRule="auto"/>
        <w:ind w:left="851" w:right="-592"/>
        <w:jc w:val="both"/>
        <w:rPr>
          <w:rFonts w:ascii="Palatino Linotype" w:eastAsia="Palatino Linotype" w:hAnsi="Palatino Linotype" w:cs="Palatino Linotype"/>
          <w:b/>
          <w:color w:val="000000"/>
          <w:sz w:val="22"/>
          <w:szCs w:val="22"/>
        </w:rPr>
      </w:pPr>
    </w:p>
    <w:p w:rsidR="00813BB6" w:rsidRPr="00592CAB" w:rsidRDefault="00DA6780">
      <w:pPr>
        <w:numPr>
          <w:ilvl w:val="2"/>
          <w:numId w:val="2"/>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b/>
          <w:color w:val="000000"/>
          <w:sz w:val="22"/>
          <w:szCs w:val="22"/>
        </w:rPr>
      </w:pPr>
      <w:r w:rsidRPr="00592CAB">
        <w:rPr>
          <w:rFonts w:ascii="Palatino Linotype" w:eastAsia="Palatino Linotype" w:hAnsi="Palatino Linotype" w:cs="Palatino Linotype"/>
          <w:b/>
          <w:sz w:val="22"/>
          <w:szCs w:val="22"/>
        </w:rPr>
        <w:t xml:space="preserve"> </w:t>
      </w:r>
      <w:r w:rsidRPr="00592CAB">
        <w:rPr>
          <w:rFonts w:ascii="Palatino Linotype" w:eastAsia="Palatino Linotype" w:hAnsi="Palatino Linotype" w:cs="Palatino Linotype"/>
          <w:b/>
          <w:color w:val="000000"/>
          <w:sz w:val="22"/>
          <w:szCs w:val="22"/>
        </w:rPr>
        <w:t xml:space="preserve">Documentos entregados por los aspirantes y documentos generados en el último proceso de selección de la Comisión de Selección Municipal y del Comité de </w:t>
      </w:r>
      <w:r w:rsidRPr="00592CAB">
        <w:rPr>
          <w:rFonts w:ascii="Palatino Linotype" w:eastAsia="Palatino Linotype" w:hAnsi="Palatino Linotype" w:cs="Palatino Linotype"/>
          <w:b/>
          <w:sz w:val="22"/>
          <w:szCs w:val="22"/>
        </w:rPr>
        <w:t>Participación</w:t>
      </w:r>
      <w:r w:rsidRPr="00592CAB">
        <w:rPr>
          <w:rFonts w:ascii="Palatino Linotype" w:eastAsia="Palatino Linotype" w:hAnsi="Palatino Linotype" w:cs="Palatino Linotype"/>
          <w:b/>
          <w:color w:val="000000"/>
          <w:sz w:val="22"/>
          <w:szCs w:val="22"/>
        </w:rPr>
        <w:t xml:space="preserve"> Ciudadana Municipal a la fecha de la solicitud. </w:t>
      </w:r>
    </w:p>
    <w:p w:rsidR="00813BB6" w:rsidRPr="00592CAB" w:rsidRDefault="00813BB6">
      <w:pPr>
        <w:spacing w:line="360" w:lineRule="auto"/>
        <w:ind w:right="-592"/>
        <w:jc w:val="both"/>
        <w:rPr>
          <w:rFonts w:ascii="Palatino Linotype" w:eastAsia="Palatino Linotype" w:hAnsi="Palatino Linotype" w:cs="Palatino Linotype"/>
          <w:b/>
          <w:color w:val="000000"/>
          <w:sz w:val="22"/>
          <w:szCs w:val="22"/>
        </w:rPr>
      </w:pPr>
    </w:p>
    <w:p w:rsidR="00813BB6" w:rsidRPr="00592CAB" w:rsidRDefault="00DA6780">
      <w:pPr>
        <w:tabs>
          <w:tab w:val="left" w:pos="8080"/>
        </w:tabs>
        <w:spacing w:line="360" w:lineRule="auto"/>
        <w:ind w:right="-592"/>
        <w:jc w:val="both"/>
        <w:rPr>
          <w:rFonts w:ascii="Palatino Linotype" w:eastAsia="Palatino Linotype" w:hAnsi="Palatino Linotype" w:cs="Palatino Linotype"/>
          <w:b/>
          <w:sz w:val="22"/>
          <w:szCs w:val="22"/>
        </w:rPr>
      </w:pPr>
      <w:bookmarkStart w:id="8" w:name="_heading=h.1fob9te" w:colFirst="0" w:colLast="0"/>
      <w:bookmarkEnd w:id="8"/>
      <w:r w:rsidRPr="00592CAB">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documentos que se clasifiquen en su totalidad como confidenciales, objeto de las versiones públicas que se formulen y se pongan a disposición del</w:t>
      </w:r>
      <w:r w:rsidRPr="00592CAB">
        <w:rPr>
          <w:rFonts w:ascii="Palatino Linotype" w:eastAsia="Palatino Linotype" w:hAnsi="Palatino Linotype" w:cs="Palatino Linotype"/>
          <w:b/>
          <w:sz w:val="22"/>
          <w:szCs w:val="22"/>
        </w:rPr>
        <w:t xml:space="preserve"> RECURRENTE.</w:t>
      </w:r>
    </w:p>
    <w:p w:rsidR="00813BB6" w:rsidRPr="00592CAB" w:rsidRDefault="00813BB6">
      <w:pPr>
        <w:tabs>
          <w:tab w:val="left" w:pos="8080"/>
        </w:tabs>
        <w:spacing w:line="360" w:lineRule="auto"/>
        <w:ind w:right="-592"/>
        <w:jc w:val="both"/>
        <w:rPr>
          <w:rFonts w:ascii="Palatino Linotype" w:eastAsia="Palatino Linotype" w:hAnsi="Palatino Linotype" w:cs="Palatino Linotype"/>
          <w:b/>
          <w:sz w:val="22"/>
          <w:szCs w:val="22"/>
        </w:rPr>
      </w:pPr>
    </w:p>
    <w:p w:rsidR="00813BB6" w:rsidRPr="00592CAB" w:rsidRDefault="00DA6780">
      <w:pPr>
        <w:tabs>
          <w:tab w:val="left" w:pos="8080"/>
        </w:tabs>
        <w:spacing w:line="360" w:lineRule="auto"/>
        <w:ind w:right="-592"/>
        <w:jc w:val="both"/>
        <w:rPr>
          <w:rFonts w:ascii="Palatino Linotype" w:eastAsia="Palatino Linotype" w:hAnsi="Palatino Linotype" w:cs="Palatino Linotype"/>
          <w:color w:val="222222"/>
          <w:sz w:val="22"/>
          <w:szCs w:val="22"/>
        </w:rPr>
      </w:pPr>
      <w:r w:rsidRPr="00592CAB">
        <w:rPr>
          <w:rFonts w:ascii="Palatino Linotype" w:eastAsia="Palatino Linotype" w:hAnsi="Palatino Linotype" w:cs="Palatino Linotype"/>
          <w:b/>
          <w:sz w:val="22"/>
          <w:szCs w:val="22"/>
        </w:rPr>
        <w:t xml:space="preserve">TERCERO. Notifíquese </w:t>
      </w:r>
      <w:r w:rsidRPr="00592CAB">
        <w:rPr>
          <w:rFonts w:ascii="Palatino Linotype" w:eastAsia="Palatino Linotype" w:hAnsi="Palatino Linotype" w:cs="Palatino Linotype"/>
          <w:sz w:val="22"/>
          <w:szCs w:val="22"/>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592CAB">
        <w:rPr>
          <w:rFonts w:ascii="Palatino Linotype" w:eastAsia="Palatino Linotype" w:hAnsi="Palatino Linotype" w:cs="Palatino Linotype"/>
          <w:b/>
          <w:sz w:val="22"/>
          <w:szCs w:val="22"/>
        </w:rPr>
        <w:t>dé cumplimiento a lo ordenado dentro del plazo de diez días hábiles,</w:t>
      </w:r>
      <w:r w:rsidRPr="00592CAB">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13BB6" w:rsidRPr="00592CAB" w:rsidRDefault="00813BB6">
      <w:pPr>
        <w:tabs>
          <w:tab w:val="left" w:pos="8080"/>
        </w:tabs>
        <w:spacing w:line="360" w:lineRule="auto"/>
        <w:ind w:right="-592"/>
        <w:jc w:val="both"/>
        <w:rPr>
          <w:rFonts w:ascii="Palatino Linotype" w:eastAsia="Palatino Linotype" w:hAnsi="Palatino Linotype" w:cs="Palatino Linotype"/>
          <w:color w:val="222222"/>
          <w:sz w:val="22"/>
          <w:szCs w:val="22"/>
        </w:rPr>
      </w:pPr>
    </w:p>
    <w:p w:rsidR="00813BB6" w:rsidRPr="00592CAB" w:rsidRDefault="00DA6780">
      <w:pPr>
        <w:shd w:val="clear" w:color="auto" w:fill="FFFFFF"/>
        <w:spacing w:line="360" w:lineRule="auto"/>
        <w:ind w:right="-592"/>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sz w:val="22"/>
          <w:szCs w:val="22"/>
        </w:rPr>
        <w:t>CUARTO. Notifíquese al RECURRENTE</w:t>
      </w:r>
      <w:r w:rsidRPr="00592CAB">
        <w:rPr>
          <w:rFonts w:ascii="Palatino Linotype" w:eastAsia="Palatino Linotype" w:hAnsi="Palatino Linotype" w:cs="Palatino Linotype"/>
          <w:sz w:val="22"/>
          <w:szCs w:val="22"/>
        </w:rPr>
        <w:t xml:space="preserve"> la presente resolución vía SAIMEX.</w:t>
      </w:r>
    </w:p>
    <w:p w:rsidR="00813BB6" w:rsidRPr="00592CAB" w:rsidRDefault="00813BB6">
      <w:pPr>
        <w:shd w:val="clear" w:color="auto" w:fill="FFFFFF"/>
        <w:spacing w:line="360" w:lineRule="auto"/>
        <w:ind w:right="-592"/>
        <w:jc w:val="both"/>
        <w:rPr>
          <w:rFonts w:ascii="Palatino Linotype" w:eastAsia="Palatino Linotype" w:hAnsi="Palatino Linotype" w:cs="Palatino Linotype"/>
          <w:b/>
          <w:color w:val="FF0000"/>
          <w:sz w:val="22"/>
          <w:szCs w:val="22"/>
        </w:rPr>
      </w:pPr>
    </w:p>
    <w:p w:rsidR="00813BB6" w:rsidRPr="00592CAB" w:rsidRDefault="00DA6780">
      <w:pPr>
        <w:spacing w:line="360" w:lineRule="auto"/>
        <w:ind w:right="-592"/>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sz w:val="22"/>
          <w:szCs w:val="22"/>
        </w:rPr>
        <w:t>QUINTO.</w:t>
      </w:r>
      <w:r w:rsidRPr="00592CAB">
        <w:rPr>
          <w:rFonts w:ascii="Palatino Linotype" w:eastAsia="Palatino Linotype" w:hAnsi="Palatino Linotype" w:cs="Palatino Linotype"/>
          <w:sz w:val="22"/>
          <w:szCs w:val="22"/>
        </w:rPr>
        <w:t xml:space="preserve"> Se hace del conocimiento del </w:t>
      </w:r>
      <w:r w:rsidRPr="00592CAB">
        <w:rPr>
          <w:rFonts w:ascii="Palatino Linotype" w:eastAsia="Palatino Linotype" w:hAnsi="Palatino Linotype" w:cs="Palatino Linotype"/>
          <w:b/>
          <w:sz w:val="22"/>
          <w:szCs w:val="22"/>
        </w:rPr>
        <w:t>RECURRENTE</w:t>
      </w:r>
      <w:r w:rsidRPr="00592CAB">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813BB6" w:rsidRPr="00592CAB" w:rsidRDefault="00813BB6">
      <w:pPr>
        <w:spacing w:line="360" w:lineRule="auto"/>
        <w:ind w:right="-592"/>
        <w:jc w:val="both"/>
        <w:rPr>
          <w:rFonts w:ascii="Palatino Linotype" w:eastAsia="Palatino Linotype" w:hAnsi="Palatino Linotype" w:cs="Palatino Linotype"/>
          <w:color w:val="000000"/>
          <w:sz w:val="22"/>
          <w:szCs w:val="22"/>
        </w:rPr>
      </w:pPr>
    </w:p>
    <w:p w:rsidR="00813BB6" w:rsidRPr="00592CAB" w:rsidRDefault="00DA6780">
      <w:pPr>
        <w:spacing w:line="360" w:lineRule="auto"/>
        <w:ind w:right="-592"/>
        <w:jc w:val="both"/>
        <w:rPr>
          <w:rFonts w:ascii="Palatino Linotype" w:eastAsia="Palatino Linotype" w:hAnsi="Palatino Linotype" w:cs="Palatino Linotype"/>
          <w:sz w:val="22"/>
          <w:szCs w:val="22"/>
        </w:rPr>
      </w:pPr>
      <w:r w:rsidRPr="00592CAB">
        <w:rPr>
          <w:rFonts w:ascii="Palatino Linotype" w:eastAsia="Palatino Linotype" w:hAnsi="Palatino Linotype" w:cs="Palatino Linotype"/>
          <w:b/>
          <w:color w:val="000000"/>
          <w:sz w:val="22"/>
          <w:szCs w:val="22"/>
        </w:rPr>
        <w:t xml:space="preserve">SEXTO. </w:t>
      </w:r>
      <w:r w:rsidRPr="00592CAB">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13BB6" w:rsidRPr="00592CAB" w:rsidRDefault="00813BB6">
      <w:pPr>
        <w:shd w:val="clear" w:color="auto" w:fill="FFFFFF"/>
        <w:spacing w:line="360" w:lineRule="auto"/>
        <w:ind w:right="-592"/>
        <w:jc w:val="both"/>
        <w:rPr>
          <w:rFonts w:ascii="Palatino Linotype" w:eastAsia="Palatino Linotype" w:hAnsi="Palatino Linotype" w:cs="Palatino Linotype"/>
          <w:sz w:val="22"/>
          <w:szCs w:val="22"/>
        </w:rPr>
      </w:pPr>
    </w:p>
    <w:p w:rsidR="00D423D4" w:rsidRPr="003C7186" w:rsidRDefault="00D423D4" w:rsidP="00D423D4">
      <w:pPr>
        <w:spacing w:line="360" w:lineRule="auto"/>
        <w:ind w:left="-142" w:right="-595" w:firstLine="1"/>
        <w:jc w:val="both"/>
        <w:rPr>
          <w:rFonts w:ascii="Palatino Linotype" w:hAnsi="Palatino Linotype"/>
        </w:rPr>
      </w:pPr>
      <w:r w:rsidRPr="00592CA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34734C" w:rsidRPr="00592CAB">
        <w:rPr>
          <w:rFonts w:ascii="Palatino Linotype" w:hAnsi="Palatino Linotype"/>
        </w:rPr>
        <w:t xml:space="preserve"> EMITIENDO VOTO PARTICULAR</w:t>
      </w:r>
      <w:r w:rsidRPr="00592CAB">
        <w:rPr>
          <w:rFonts w:ascii="Palatino Linotype" w:hAnsi="Palatino Linotype"/>
        </w:rPr>
        <w:t>; EN LA CUARTA SESIÓN ORDINARIA CELEBRADA EL SEIS (06) DE FEBRERO DE DOS MIL VEINTICINCO, ANTE EL SECRETARIO TÉCNICO DEL PLENO ALEXIS TAPIA RAMÍREZ.</w:t>
      </w:r>
      <w:r w:rsidRPr="003C7186">
        <w:rPr>
          <w:rFonts w:ascii="Palatino Linotype" w:hAnsi="Palatino Linotype"/>
        </w:rPr>
        <w:t xml:space="preserve"> </w:t>
      </w:r>
    </w:p>
    <w:p w:rsidR="00813BB6" w:rsidRPr="00D43700" w:rsidRDefault="00813BB6" w:rsidP="00D423D4">
      <w:pPr>
        <w:spacing w:line="360" w:lineRule="auto"/>
        <w:ind w:right="-595"/>
        <w:jc w:val="both"/>
        <w:rPr>
          <w:rFonts w:ascii="Palatino Linotype" w:eastAsia="Palatino Linotype" w:hAnsi="Palatino Linotype" w:cs="Palatino Linotype"/>
          <w:sz w:val="22"/>
          <w:szCs w:val="22"/>
        </w:rPr>
      </w:pPr>
    </w:p>
    <w:p w:rsidR="00813BB6" w:rsidRPr="00D43700" w:rsidRDefault="00813BB6" w:rsidP="00D423D4">
      <w:pPr>
        <w:spacing w:line="360" w:lineRule="auto"/>
        <w:ind w:right="-595"/>
        <w:jc w:val="both"/>
        <w:rPr>
          <w:rFonts w:ascii="Palatino Linotype" w:eastAsia="Palatino Linotype" w:hAnsi="Palatino Linotype" w:cs="Palatino Linotype"/>
          <w:sz w:val="22"/>
          <w:szCs w:val="22"/>
        </w:rPr>
      </w:pPr>
    </w:p>
    <w:p w:rsidR="00813BB6" w:rsidRPr="00D43700" w:rsidRDefault="00813BB6">
      <w:pPr>
        <w:spacing w:line="360" w:lineRule="auto"/>
        <w:ind w:right="-592"/>
        <w:rPr>
          <w:rFonts w:ascii="Palatino Linotype" w:eastAsia="Palatino Linotype" w:hAnsi="Palatino Linotype" w:cs="Palatino Linotype"/>
          <w:sz w:val="22"/>
          <w:szCs w:val="22"/>
        </w:rPr>
      </w:pPr>
    </w:p>
    <w:p w:rsidR="00813BB6" w:rsidRPr="00D43700" w:rsidRDefault="00813BB6">
      <w:pPr>
        <w:spacing w:line="360" w:lineRule="auto"/>
        <w:ind w:right="-592"/>
        <w:rPr>
          <w:rFonts w:ascii="Palatino Linotype" w:eastAsia="Palatino Linotype" w:hAnsi="Palatino Linotype" w:cs="Palatino Linotype"/>
          <w:sz w:val="22"/>
          <w:szCs w:val="22"/>
        </w:rPr>
      </w:pPr>
    </w:p>
    <w:p w:rsidR="00813BB6" w:rsidRPr="00D43700" w:rsidRDefault="00813BB6">
      <w:pPr>
        <w:spacing w:line="360" w:lineRule="auto"/>
        <w:ind w:right="-592"/>
        <w:rPr>
          <w:rFonts w:ascii="Palatino Linotype" w:eastAsia="Palatino Linotype" w:hAnsi="Palatino Linotype" w:cs="Palatino Linotype"/>
          <w:sz w:val="22"/>
          <w:szCs w:val="22"/>
        </w:rPr>
      </w:pPr>
    </w:p>
    <w:p w:rsidR="00813BB6" w:rsidRPr="00D43700" w:rsidRDefault="00813BB6">
      <w:pPr>
        <w:spacing w:line="360" w:lineRule="auto"/>
        <w:ind w:right="-592"/>
        <w:rPr>
          <w:rFonts w:ascii="Palatino Linotype" w:eastAsia="Palatino Linotype" w:hAnsi="Palatino Linotype" w:cs="Palatino Linotype"/>
          <w:sz w:val="22"/>
          <w:szCs w:val="22"/>
        </w:rPr>
      </w:pPr>
    </w:p>
    <w:p w:rsidR="00813BB6" w:rsidRPr="00D43700" w:rsidRDefault="00813BB6">
      <w:pPr>
        <w:spacing w:line="360" w:lineRule="auto"/>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rFonts w:ascii="Palatino Linotype" w:eastAsia="Palatino Linotype" w:hAnsi="Palatino Linotype" w:cs="Palatino Linotype"/>
          <w:sz w:val="22"/>
          <w:szCs w:val="22"/>
        </w:rPr>
      </w:pPr>
    </w:p>
    <w:p w:rsidR="00813BB6" w:rsidRPr="00D43700" w:rsidRDefault="00813BB6">
      <w:pPr>
        <w:ind w:right="-592"/>
        <w:rPr>
          <w:sz w:val="22"/>
          <w:szCs w:val="22"/>
        </w:rPr>
      </w:pPr>
    </w:p>
    <w:sectPr w:rsidR="00813BB6" w:rsidRPr="00D43700">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02" w:rsidRDefault="00CF2D02">
      <w:r>
        <w:separator/>
      </w:r>
    </w:p>
  </w:endnote>
  <w:endnote w:type="continuationSeparator" w:id="0">
    <w:p w:rsidR="00CF2D02" w:rsidRDefault="00CF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B6" w:rsidRDefault="00DA678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40C49">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40C49">
      <w:rPr>
        <w:b/>
        <w:noProof/>
        <w:color w:val="000000"/>
      </w:rPr>
      <w:t>27</w:t>
    </w:r>
    <w:r>
      <w:rPr>
        <w:b/>
        <w:color w:val="000000"/>
      </w:rPr>
      <w:fldChar w:fldCharType="end"/>
    </w:r>
  </w:p>
  <w:p w:rsidR="00813BB6" w:rsidRDefault="00813BB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B6" w:rsidRDefault="00DA678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40C4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40C49">
      <w:rPr>
        <w:b/>
        <w:noProof/>
        <w:color w:val="000000"/>
      </w:rPr>
      <w:t>27</w:t>
    </w:r>
    <w:r>
      <w:rPr>
        <w:b/>
        <w:color w:val="000000"/>
      </w:rPr>
      <w:fldChar w:fldCharType="end"/>
    </w:r>
  </w:p>
  <w:p w:rsidR="00813BB6" w:rsidRDefault="00813BB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02" w:rsidRDefault="00CF2D02">
      <w:r>
        <w:separator/>
      </w:r>
    </w:p>
  </w:footnote>
  <w:footnote w:type="continuationSeparator" w:id="0">
    <w:p w:rsidR="00CF2D02" w:rsidRDefault="00CF2D02">
      <w:r>
        <w:continuationSeparator/>
      </w:r>
    </w:p>
  </w:footnote>
  <w:footnote w:id="1">
    <w:p w:rsidR="00813BB6" w:rsidRDefault="00DA678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rsidR="00813BB6" w:rsidRDefault="00DA678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rsidR="00813BB6" w:rsidRDefault="00DA678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B6" w:rsidRDefault="00CF2D0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B6" w:rsidRDefault="00813BB6">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813BB6">
      <w:trPr>
        <w:trHeight w:val="1435"/>
      </w:trPr>
      <w:tc>
        <w:tcPr>
          <w:tcW w:w="2268" w:type="dxa"/>
          <w:shd w:val="clear" w:color="auto" w:fill="auto"/>
        </w:tcPr>
        <w:p w:rsidR="00813BB6" w:rsidRDefault="00813BB6">
          <w:pPr>
            <w:tabs>
              <w:tab w:val="right" w:pos="4273"/>
            </w:tabs>
            <w:rPr>
              <w:rFonts w:ascii="Garamond" w:eastAsia="Garamond" w:hAnsi="Garamond" w:cs="Garamond"/>
              <w:sz w:val="16"/>
              <w:szCs w:val="16"/>
            </w:rPr>
          </w:pPr>
        </w:p>
      </w:tc>
      <w:tc>
        <w:tcPr>
          <w:tcW w:w="6946" w:type="dxa"/>
          <w:shd w:val="clear" w:color="auto" w:fill="auto"/>
        </w:tcPr>
        <w:p w:rsidR="00813BB6" w:rsidRDefault="00813BB6"/>
        <w:tbl>
          <w:tblPr>
            <w:tblStyle w:val="a2"/>
            <w:tblW w:w="6660" w:type="dxa"/>
            <w:tblInd w:w="40" w:type="dxa"/>
            <w:tblLayout w:type="fixed"/>
            <w:tblLook w:val="0400" w:firstRow="0" w:lastRow="0" w:firstColumn="0" w:lastColumn="0" w:noHBand="0" w:noVBand="1"/>
          </w:tblPr>
          <w:tblGrid>
            <w:gridCol w:w="2505"/>
            <w:gridCol w:w="4155"/>
          </w:tblGrid>
          <w:tr w:rsidR="00813BB6">
            <w:trPr>
              <w:trHeight w:val="150"/>
            </w:trPr>
            <w:tc>
              <w:tcPr>
                <w:tcW w:w="2505" w:type="dxa"/>
                <w:shd w:val="clear" w:color="auto" w:fill="auto"/>
              </w:tcPr>
              <w:p w:rsidR="00813BB6" w:rsidRDefault="00DA678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55" w:type="dxa"/>
                <w:shd w:val="clear" w:color="auto" w:fill="auto"/>
              </w:tcPr>
              <w:p w:rsidR="00813BB6" w:rsidRDefault="00DA6780">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01228/INFOEM/IP/RR/2024</w:t>
                </w:r>
              </w:p>
            </w:tc>
          </w:tr>
          <w:tr w:rsidR="00813BB6">
            <w:trPr>
              <w:trHeight w:val="295"/>
            </w:trPr>
            <w:tc>
              <w:tcPr>
                <w:tcW w:w="2505" w:type="dxa"/>
                <w:shd w:val="clear" w:color="auto" w:fill="auto"/>
              </w:tcPr>
              <w:p w:rsidR="00813BB6" w:rsidRDefault="00DA678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55" w:type="dxa"/>
                <w:shd w:val="clear" w:color="auto" w:fill="auto"/>
              </w:tcPr>
              <w:p w:rsidR="00813BB6" w:rsidRDefault="00DA6780">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Tezoyuca</w:t>
                </w:r>
              </w:p>
            </w:tc>
          </w:tr>
          <w:tr w:rsidR="00813BB6">
            <w:trPr>
              <w:trHeight w:val="295"/>
            </w:trPr>
            <w:tc>
              <w:tcPr>
                <w:tcW w:w="2505" w:type="dxa"/>
                <w:shd w:val="clear" w:color="auto" w:fill="auto"/>
              </w:tcPr>
              <w:p w:rsidR="00813BB6" w:rsidRDefault="00DA678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55" w:type="dxa"/>
                <w:shd w:val="clear" w:color="auto" w:fill="auto"/>
              </w:tcPr>
              <w:p w:rsidR="00813BB6" w:rsidRDefault="00DA6780">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13BB6" w:rsidRDefault="00813BB6">
                <w:pPr>
                  <w:tabs>
                    <w:tab w:val="right" w:pos="8838"/>
                  </w:tabs>
                  <w:ind w:left="-108" w:right="171"/>
                  <w:jc w:val="both"/>
                  <w:rPr>
                    <w:rFonts w:ascii="Palatino Linotype" w:eastAsia="Palatino Linotype" w:hAnsi="Palatino Linotype" w:cs="Palatino Linotype"/>
                    <w:sz w:val="22"/>
                    <w:szCs w:val="22"/>
                  </w:rPr>
                </w:pPr>
              </w:p>
            </w:tc>
          </w:tr>
        </w:tbl>
        <w:p w:rsidR="00813BB6" w:rsidRDefault="00813BB6">
          <w:pPr>
            <w:tabs>
              <w:tab w:val="right" w:pos="8838"/>
            </w:tabs>
            <w:ind w:left="-28"/>
            <w:jc w:val="both"/>
            <w:rPr>
              <w:rFonts w:ascii="Arial" w:eastAsia="Arial" w:hAnsi="Arial" w:cs="Arial"/>
              <w:b/>
              <w:sz w:val="22"/>
              <w:szCs w:val="22"/>
            </w:rPr>
          </w:pPr>
        </w:p>
      </w:tc>
    </w:tr>
  </w:tbl>
  <w:p w:rsidR="00813BB6" w:rsidRDefault="00CF2D02">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B6" w:rsidRDefault="00813BB6">
    <w:pPr>
      <w:widowControl w:val="0"/>
      <w:pBdr>
        <w:top w:val="nil"/>
        <w:left w:val="nil"/>
        <w:bottom w:val="nil"/>
        <w:right w:val="nil"/>
        <w:between w:val="nil"/>
      </w:pBdr>
      <w:spacing w:line="276" w:lineRule="auto"/>
      <w:rPr>
        <w:color w:val="000000"/>
        <w:sz w:val="14"/>
        <w:szCs w:val="14"/>
      </w:rPr>
    </w:pPr>
  </w:p>
  <w:tbl>
    <w:tblPr>
      <w:tblStyle w:val="a3"/>
      <w:tblW w:w="9360" w:type="dxa"/>
      <w:tblInd w:w="0" w:type="dxa"/>
      <w:tblLayout w:type="fixed"/>
      <w:tblLook w:val="0400" w:firstRow="0" w:lastRow="0" w:firstColumn="0" w:lastColumn="0" w:noHBand="0" w:noVBand="1"/>
    </w:tblPr>
    <w:tblGrid>
      <w:gridCol w:w="2265"/>
      <w:gridCol w:w="7095"/>
    </w:tblGrid>
    <w:tr w:rsidR="00813BB6">
      <w:trPr>
        <w:trHeight w:val="1435"/>
      </w:trPr>
      <w:tc>
        <w:tcPr>
          <w:tcW w:w="2265" w:type="dxa"/>
          <w:shd w:val="clear" w:color="auto" w:fill="auto"/>
        </w:tcPr>
        <w:p w:rsidR="00813BB6" w:rsidRDefault="00813BB6">
          <w:pPr>
            <w:tabs>
              <w:tab w:val="right" w:pos="4273"/>
            </w:tabs>
            <w:rPr>
              <w:rFonts w:ascii="Garamond" w:eastAsia="Garamond" w:hAnsi="Garamond" w:cs="Garamond"/>
              <w:sz w:val="22"/>
              <w:szCs w:val="22"/>
            </w:rPr>
          </w:pPr>
        </w:p>
      </w:tc>
      <w:tc>
        <w:tcPr>
          <w:tcW w:w="7095" w:type="dxa"/>
          <w:shd w:val="clear" w:color="auto" w:fill="auto"/>
        </w:tcPr>
        <w:p w:rsidR="00813BB6" w:rsidRDefault="00813BB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6795" w:type="dxa"/>
            <w:tblInd w:w="40" w:type="dxa"/>
            <w:tblLayout w:type="fixed"/>
            <w:tblLook w:val="0400" w:firstRow="0" w:lastRow="0" w:firstColumn="0" w:lastColumn="0" w:noHBand="0" w:noVBand="1"/>
          </w:tblPr>
          <w:tblGrid>
            <w:gridCol w:w="3197"/>
            <w:gridCol w:w="3598"/>
          </w:tblGrid>
          <w:tr w:rsidR="00813BB6">
            <w:trPr>
              <w:trHeight w:val="144"/>
            </w:trPr>
            <w:tc>
              <w:tcPr>
                <w:tcW w:w="3197" w:type="dxa"/>
                <w:shd w:val="clear" w:color="auto" w:fill="auto"/>
              </w:tcPr>
              <w:p w:rsidR="00813BB6" w:rsidRDefault="00DA6780">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8" w:type="dxa"/>
                <w:shd w:val="clear" w:color="auto" w:fill="auto"/>
              </w:tcPr>
              <w:p w:rsidR="00813BB6" w:rsidRDefault="00DA6780">
                <w:pPr>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01228/INFOEM/IP/RR/2024</w:t>
                </w:r>
              </w:p>
            </w:tc>
          </w:tr>
          <w:tr w:rsidR="00813BB6">
            <w:trPr>
              <w:trHeight w:val="144"/>
            </w:trPr>
            <w:tc>
              <w:tcPr>
                <w:tcW w:w="3197" w:type="dxa"/>
                <w:shd w:val="clear" w:color="auto" w:fill="auto"/>
              </w:tcPr>
              <w:p w:rsidR="00813BB6" w:rsidRDefault="00DA6780">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98" w:type="dxa"/>
                <w:shd w:val="clear" w:color="auto" w:fill="auto"/>
              </w:tcPr>
              <w:p w:rsidR="00813BB6" w:rsidRDefault="00840C49">
                <w:pPr>
                  <w:tabs>
                    <w:tab w:val="left" w:pos="3122"/>
                  </w:tabs>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 XXXX XXXXX</w:t>
                </w:r>
              </w:p>
            </w:tc>
          </w:tr>
          <w:tr w:rsidR="00813BB6">
            <w:trPr>
              <w:trHeight w:val="283"/>
            </w:trPr>
            <w:tc>
              <w:tcPr>
                <w:tcW w:w="3197" w:type="dxa"/>
                <w:shd w:val="clear" w:color="auto" w:fill="auto"/>
              </w:tcPr>
              <w:p w:rsidR="00813BB6" w:rsidRDefault="00DA6780">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8" w:type="dxa"/>
                <w:shd w:val="clear" w:color="auto" w:fill="auto"/>
              </w:tcPr>
              <w:p w:rsidR="00813BB6" w:rsidRDefault="00DA6780">
                <w:pPr>
                  <w:tabs>
                    <w:tab w:val="left" w:pos="2834"/>
                  </w:tabs>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Tezoyuca</w:t>
                </w:r>
              </w:p>
            </w:tc>
          </w:tr>
          <w:tr w:rsidR="00813BB6">
            <w:trPr>
              <w:trHeight w:val="283"/>
            </w:trPr>
            <w:tc>
              <w:tcPr>
                <w:tcW w:w="3197" w:type="dxa"/>
                <w:shd w:val="clear" w:color="auto" w:fill="auto"/>
              </w:tcPr>
              <w:p w:rsidR="00813BB6" w:rsidRDefault="00DA6780">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98" w:type="dxa"/>
                <w:shd w:val="clear" w:color="auto" w:fill="auto"/>
              </w:tcPr>
              <w:p w:rsidR="00813BB6" w:rsidRDefault="00DA6780">
                <w:pPr>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13BB6" w:rsidRDefault="00813BB6">
                <w:pPr>
                  <w:ind w:left="-105" w:right="-815"/>
                  <w:rPr>
                    <w:rFonts w:ascii="Palatino Linotype" w:eastAsia="Palatino Linotype" w:hAnsi="Palatino Linotype" w:cs="Palatino Linotype"/>
                    <w:sz w:val="22"/>
                    <w:szCs w:val="22"/>
                  </w:rPr>
                </w:pPr>
              </w:p>
            </w:tc>
          </w:tr>
        </w:tbl>
        <w:p w:rsidR="00813BB6" w:rsidRDefault="00813BB6">
          <w:pPr>
            <w:tabs>
              <w:tab w:val="right" w:pos="8838"/>
            </w:tabs>
            <w:ind w:left="-28"/>
            <w:jc w:val="both"/>
            <w:rPr>
              <w:rFonts w:ascii="Arial" w:eastAsia="Arial" w:hAnsi="Arial" w:cs="Arial"/>
              <w:b/>
              <w:sz w:val="22"/>
              <w:szCs w:val="22"/>
            </w:rPr>
          </w:pPr>
        </w:p>
      </w:tc>
    </w:tr>
  </w:tbl>
  <w:p w:rsidR="00813BB6" w:rsidRDefault="00CF2D02">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77F6C"/>
    <w:multiLevelType w:val="multilevel"/>
    <w:tmpl w:val="377E291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Letter"/>
      <w:lvlText w:val="%3."/>
      <w:lvlJc w:val="right"/>
      <w:pPr>
        <w:ind w:left="2160" w:hanging="180"/>
      </w:pPr>
      <w:rPr>
        <w:rFonts w:ascii="Palatino Linotype" w:eastAsia="Times New Roman" w:hAnsi="Palatino Linotype"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C2788F"/>
    <w:multiLevelType w:val="hybridMultilevel"/>
    <w:tmpl w:val="A2C0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AC2BF8"/>
    <w:multiLevelType w:val="multilevel"/>
    <w:tmpl w:val="2ABCC1B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B6D3B22"/>
    <w:multiLevelType w:val="multilevel"/>
    <w:tmpl w:val="A8D0A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E216B7"/>
    <w:multiLevelType w:val="multilevel"/>
    <w:tmpl w:val="482C1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1D08F2"/>
    <w:multiLevelType w:val="multilevel"/>
    <w:tmpl w:val="C49C266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Letter"/>
      <w:lvlText w:val="%3."/>
      <w:lvlJc w:val="right"/>
      <w:pPr>
        <w:ind w:left="2160" w:hanging="180"/>
      </w:pPr>
      <w:rPr>
        <w:rFonts w:ascii="Palatino Linotype" w:eastAsia="Palatino Linotype" w:hAnsi="Palatino Linotype" w:cs="Palatino Linotyp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320068"/>
    <w:multiLevelType w:val="multilevel"/>
    <w:tmpl w:val="7DAC9806"/>
    <w:lvl w:ilvl="0">
      <w:start w:val="1"/>
      <w:numFmt w:val="upperRoman"/>
      <w:lvlText w:val="%1."/>
      <w:lvlJc w:val="left"/>
      <w:pPr>
        <w:ind w:left="1631" w:hanging="720"/>
      </w:pPr>
    </w:lvl>
    <w:lvl w:ilvl="1">
      <w:start w:val="1"/>
      <w:numFmt w:val="lowerLetter"/>
      <w:lvlText w:val="%2."/>
      <w:lvlJc w:val="left"/>
      <w:pPr>
        <w:ind w:left="1991" w:hanging="360"/>
      </w:pPr>
    </w:lvl>
    <w:lvl w:ilvl="2">
      <w:start w:val="1"/>
      <w:numFmt w:val="lowerRoman"/>
      <w:lvlText w:val="%3."/>
      <w:lvlJc w:val="right"/>
      <w:pPr>
        <w:ind w:left="2711" w:hanging="180"/>
      </w:pPr>
    </w:lvl>
    <w:lvl w:ilvl="3">
      <w:start w:val="1"/>
      <w:numFmt w:val="decimal"/>
      <w:lvlText w:val="%4."/>
      <w:lvlJc w:val="left"/>
      <w:pPr>
        <w:ind w:left="3431" w:hanging="360"/>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num w:numId="1">
    <w:abstractNumId w:val="3"/>
  </w:num>
  <w:num w:numId="2">
    <w:abstractNumId w:val="6"/>
  </w:num>
  <w:num w:numId="3">
    <w:abstractNumId w:val="7"/>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B6"/>
    <w:rsid w:val="000132C2"/>
    <w:rsid w:val="00020389"/>
    <w:rsid w:val="0026122D"/>
    <w:rsid w:val="002E4C40"/>
    <w:rsid w:val="0034734C"/>
    <w:rsid w:val="00592CAB"/>
    <w:rsid w:val="007B4534"/>
    <w:rsid w:val="00813BB6"/>
    <w:rsid w:val="0082246C"/>
    <w:rsid w:val="00840C49"/>
    <w:rsid w:val="0085073B"/>
    <w:rsid w:val="00C95C4D"/>
    <w:rsid w:val="00CF2D02"/>
    <w:rsid w:val="00D423D4"/>
    <w:rsid w:val="00D43700"/>
    <w:rsid w:val="00DA6780"/>
    <w:rsid w:val="00E94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260A29-1B74-45E5-9FF0-3DC330EA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E4"/>
  </w:style>
  <w:style w:type="paragraph" w:styleId="Ttulo1">
    <w:name w:val="heading 1"/>
    <w:basedOn w:val="Normal"/>
    <w:next w:val="Normal"/>
    <w:link w:val="Ttulo1Car"/>
    <w:uiPriority w:val="9"/>
    <w:qFormat/>
    <w:rsid w:val="001A33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A33E4"/>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A33E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A33E4"/>
    <w:rPr>
      <w:rFonts w:ascii="Century Gothic" w:eastAsia="Times New Roman" w:hAnsi="Century Gothic" w:cs="Times New Roman"/>
      <w:szCs w:val="24"/>
      <w:lang w:eastAsia="es-MX"/>
    </w:rPr>
  </w:style>
  <w:style w:type="table" w:styleId="Tabladecuadrcula6concolores">
    <w:name w:val="Grid Table 6 Colorful"/>
    <w:basedOn w:val="Tablanormal"/>
    <w:uiPriority w:val="51"/>
    <w:rsid w:val="001A33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A33E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A33E4"/>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1A33E4"/>
    <w:rPr>
      <w:vertAlign w:val="superscript"/>
    </w:rPr>
  </w:style>
  <w:style w:type="character" w:customStyle="1" w:styleId="normaltextrun">
    <w:name w:val="normaltextrun"/>
    <w:basedOn w:val="Fuentedeprrafopredeter"/>
    <w:rsid w:val="00804B19"/>
  </w:style>
  <w:style w:type="paragraph" w:customStyle="1" w:styleId="paragraph">
    <w:name w:val="paragraph"/>
    <w:basedOn w:val="Normal"/>
    <w:rsid w:val="00804B19"/>
    <w:pPr>
      <w:spacing w:before="100" w:beforeAutospacing="1" w:after="100" w:afterAutospacing="1"/>
    </w:pPr>
  </w:style>
  <w:style w:type="paragraph" w:styleId="Piedepgina">
    <w:name w:val="footer"/>
    <w:basedOn w:val="Normal"/>
    <w:link w:val="PiedepginaCar"/>
    <w:uiPriority w:val="99"/>
    <w:unhideWhenUsed/>
    <w:rsid w:val="005D699F"/>
    <w:pPr>
      <w:tabs>
        <w:tab w:val="center" w:pos="4419"/>
        <w:tab w:val="right" w:pos="8838"/>
      </w:tabs>
    </w:pPr>
  </w:style>
  <w:style w:type="character" w:customStyle="1" w:styleId="PiedepginaCar">
    <w:name w:val="Pie de página Car"/>
    <w:basedOn w:val="Fuentedeprrafopredeter"/>
    <w:link w:val="Piedepgina"/>
    <w:uiPriority w:val="99"/>
    <w:rsid w:val="005D699F"/>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RYwe9Ve1uRgk4f9Q4l7tdCBDg==">CgMxLjAyCGguZ2pkZ3hzMgloLjMwajB6bGwyCWguMWZvYjl0ZTIJaC4zem55c2g3MgloLjJldDkycDAyCGgudHlqY3d0MgloLjNkeTZ2a20yCGguZ2pkZ3hzMgloLjJzOGV5bzEyCWguMzBqMHpsbDIJaC4xZm9iOXRlOAByITFKNnBzbWNTSUk4NjViVDAyTE5KRXd0MzB6dlpkTlhXOA==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6826</Words>
  <Characters>37548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9</cp:revision>
  <cp:lastPrinted>2025-02-07T16:29:00Z</cp:lastPrinted>
  <dcterms:created xsi:type="dcterms:W3CDTF">2025-02-04T21:00:00Z</dcterms:created>
  <dcterms:modified xsi:type="dcterms:W3CDTF">2025-03-13T18:01:00Z</dcterms:modified>
</cp:coreProperties>
</file>