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F8E" w:rsidRPr="00CF14B5" w:rsidRDefault="00A26763" w:rsidP="00CF14B5">
      <w:pPr>
        <w:spacing w:line="360" w:lineRule="auto"/>
        <w:jc w:val="both"/>
        <w:rPr>
          <w:rFonts w:ascii="Palatino Linotype" w:eastAsia="Palatino Linotype" w:hAnsi="Palatino Linotype" w:cs="Palatino Linotype"/>
          <w:color w:val="000000" w:themeColor="text1"/>
        </w:rPr>
      </w:pPr>
      <w:bookmarkStart w:id="0" w:name="_GoBack"/>
      <w:bookmarkEnd w:id="0"/>
      <w:r w:rsidRPr="00CF14B5">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003D5E86">
        <w:rPr>
          <w:rFonts w:ascii="Palatino Linotype" w:eastAsia="Palatino Linotype" w:hAnsi="Palatino Linotype" w:cs="Palatino Linotype"/>
          <w:b/>
          <w:color w:val="000000" w:themeColor="text1"/>
        </w:rPr>
        <w:t>de fecha quince</w:t>
      </w:r>
      <w:r w:rsidR="00FA7149">
        <w:rPr>
          <w:rFonts w:ascii="Palatino Linotype" w:eastAsia="Palatino Linotype" w:hAnsi="Palatino Linotype" w:cs="Palatino Linotype"/>
          <w:b/>
          <w:color w:val="000000" w:themeColor="text1"/>
        </w:rPr>
        <w:t xml:space="preserve"> (15)</w:t>
      </w:r>
      <w:r w:rsidR="003D5E86">
        <w:rPr>
          <w:rFonts w:ascii="Palatino Linotype" w:eastAsia="Palatino Linotype" w:hAnsi="Palatino Linotype" w:cs="Palatino Linotype"/>
          <w:b/>
          <w:color w:val="000000" w:themeColor="text1"/>
        </w:rPr>
        <w:t xml:space="preserve"> de octubre de dos mil veinticinco.</w:t>
      </w:r>
    </w:p>
    <w:p w:rsidR="00D37F8E" w:rsidRPr="00CF14B5" w:rsidRDefault="00D37F8E" w:rsidP="00CF14B5">
      <w:pPr>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spacing w:line="360" w:lineRule="auto"/>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b/>
          <w:color w:val="000000" w:themeColor="text1"/>
        </w:rPr>
        <w:t>VISTO</w:t>
      </w:r>
      <w:r w:rsidRPr="00CF14B5">
        <w:rPr>
          <w:rFonts w:ascii="Palatino Linotype" w:eastAsia="Palatino Linotype" w:hAnsi="Palatino Linotype" w:cs="Palatino Linotype"/>
          <w:color w:val="000000" w:themeColor="text1"/>
        </w:rPr>
        <w:t xml:space="preserve"> el expediente electrónico formado con motivo del recurso de revisión </w:t>
      </w:r>
      <w:r w:rsidRPr="00CF14B5">
        <w:rPr>
          <w:rFonts w:ascii="Palatino Linotype" w:eastAsia="Palatino Linotype" w:hAnsi="Palatino Linotype" w:cs="Palatino Linotype"/>
          <w:b/>
          <w:color w:val="000000" w:themeColor="text1"/>
        </w:rPr>
        <w:t xml:space="preserve">05993/INFOEM/IP/RR/2025, </w:t>
      </w:r>
      <w:r w:rsidRPr="00CF14B5">
        <w:rPr>
          <w:rFonts w:ascii="Palatino Linotype" w:eastAsia="Palatino Linotype" w:hAnsi="Palatino Linotype" w:cs="Palatino Linotype"/>
          <w:color w:val="000000" w:themeColor="text1"/>
        </w:rPr>
        <w:t>promovido por</w:t>
      </w:r>
      <w:r w:rsidRPr="00CF14B5">
        <w:rPr>
          <w:rFonts w:ascii="Palatino Linotype" w:eastAsia="Palatino Linotype" w:hAnsi="Palatino Linotype" w:cs="Palatino Linotype"/>
          <w:b/>
          <w:color w:val="000000" w:themeColor="text1"/>
        </w:rPr>
        <w:t xml:space="preserve">  una persona que no propo</w:t>
      </w:r>
      <w:r w:rsidR="00975349">
        <w:rPr>
          <w:rFonts w:ascii="Palatino Linotype" w:eastAsia="Palatino Linotype" w:hAnsi="Palatino Linotype" w:cs="Palatino Linotype"/>
          <w:b/>
          <w:color w:val="000000" w:themeColor="text1"/>
        </w:rPr>
        <w:t xml:space="preserve">rcionó datos de identificación, </w:t>
      </w:r>
      <w:r w:rsidRPr="00CF14B5">
        <w:rPr>
          <w:rFonts w:ascii="Palatino Linotype" w:eastAsia="Palatino Linotype" w:hAnsi="Palatino Linotype" w:cs="Palatino Linotype"/>
          <w:color w:val="000000" w:themeColor="text1"/>
        </w:rPr>
        <w:t xml:space="preserve">a quien en lo sucesivo se identificará como </w:t>
      </w:r>
      <w:r w:rsidRPr="00CF14B5">
        <w:rPr>
          <w:rFonts w:ascii="Palatino Linotype" w:eastAsia="Palatino Linotype" w:hAnsi="Palatino Linotype" w:cs="Palatino Linotype"/>
          <w:b/>
          <w:color w:val="000000" w:themeColor="text1"/>
        </w:rPr>
        <w:t>EL RECURRENTE</w:t>
      </w:r>
      <w:r w:rsidRPr="00CF14B5">
        <w:rPr>
          <w:rFonts w:ascii="Palatino Linotype" w:eastAsia="Palatino Linotype" w:hAnsi="Palatino Linotype" w:cs="Palatino Linotype"/>
          <w:color w:val="000000" w:themeColor="text1"/>
        </w:rPr>
        <w:t xml:space="preserve">, en contra de la respuesta del </w:t>
      </w:r>
      <w:r w:rsidRPr="00CF14B5">
        <w:rPr>
          <w:rFonts w:ascii="Palatino Linotype" w:eastAsia="Palatino Linotype" w:hAnsi="Palatino Linotype" w:cs="Palatino Linotype"/>
          <w:b/>
          <w:color w:val="000000" w:themeColor="text1"/>
        </w:rPr>
        <w:t xml:space="preserve">Sistema Municipal Para el Desarrollo Integral de la Familia de San José del Rincón, </w:t>
      </w:r>
      <w:r w:rsidRPr="00CF14B5">
        <w:rPr>
          <w:rFonts w:ascii="Palatino Linotype" w:eastAsia="Palatino Linotype" w:hAnsi="Palatino Linotype" w:cs="Palatino Linotype"/>
          <w:color w:val="000000" w:themeColor="text1"/>
        </w:rPr>
        <w:t xml:space="preserve">en </w:t>
      </w:r>
      <w:r w:rsidR="009E47C3">
        <w:rPr>
          <w:rFonts w:ascii="Palatino Linotype" w:eastAsia="Palatino Linotype" w:hAnsi="Palatino Linotype" w:cs="Palatino Linotype"/>
          <w:color w:val="000000" w:themeColor="text1"/>
        </w:rPr>
        <w:t>adelante</w:t>
      </w:r>
      <w:r w:rsidRPr="00CF14B5">
        <w:rPr>
          <w:rFonts w:ascii="Palatino Linotype" w:eastAsia="Palatino Linotype" w:hAnsi="Palatino Linotype" w:cs="Palatino Linotype"/>
          <w:color w:val="000000" w:themeColor="text1"/>
        </w:rPr>
        <w:t xml:space="preserve"> el</w:t>
      </w:r>
      <w:r w:rsidRPr="00CF14B5">
        <w:rPr>
          <w:rFonts w:ascii="Palatino Linotype" w:eastAsia="Palatino Linotype" w:hAnsi="Palatino Linotype" w:cs="Palatino Linotype"/>
          <w:b/>
          <w:color w:val="000000" w:themeColor="text1"/>
        </w:rPr>
        <w:t xml:space="preserve"> SUJETO OBLIGADO</w:t>
      </w:r>
      <w:r w:rsidRPr="00CF14B5">
        <w:rPr>
          <w:rFonts w:ascii="Palatino Linotype" w:eastAsia="Palatino Linotype" w:hAnsi="Palatino Linotype" w:cs="Palatino Linotype"/>
          <w:color w:val="000000" w:themeColor="text1"/>
        </w:rPr>
        <w:t>, por lo que se procede a dictar la presente resolución, con base en los siguientes:</w:t>
      </w:r>
    </w:p>
    <w:p w:rsidR="00D37F8E" w:rsidRPr="00CF14B5" w:rsidRDefault="00D37F8E" w:rsidP="00CF14B5">
      <w:pPr>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keepNext/>
        <w:keepLines/>
        <w:spacing w:line="360" w:lineRule="auto"/>
        <w:jc w:val="center"/>
        <w:rPr>
          <w:rFonts w:ascii="Palatino Linotype" w:eastAsia="Palatino Linotype" w:hAnsi="Palatino Linotype" w:cs="Palatino Linotype"/>
          <w:b/>
          <w:color w:val="000000" w:themeColor="text1"/>
        </w:rPr>
      </w:pPr>
      <w:bookmarkStart w:id="1" w:name="_heading=h.gjdgxs" w:colFirst="0" w:colLast="0"/>
      <w:bookmarkEnd w:id="1"/>
      <w:r w:rsidRPr="00CF14B5">
        <w:rPr>
          <w:rFonts w:ascii="Palatino Linotype" w:eastAsia="Palatino Linotype" w:hAnsi="Palatino Linotype" w:cs="Palatino Linotype"/>
          <w:b/>
          <w:color w:val="000000" w:themeColor="text1"/>
        </w:rPr>
        <w:t>A</w:t>
      </w:r>
      <w:r w:rsidR="00FA7149">
        <w:rPr>
          <w:rFonts w:ascii="Palatino Linotype" w:eastAsia="Palatino Linotype" w:hAnsi="Palatino Linotype" w:cs="Palatino Linotype"/>
          <w:b/>
          <w:color w:val="000000" w:themeColor="text1"/>
        </w:rPr>
        <w:t xml:space="preserve"> </w:t>
      </w:r>
      <w:r w:rsidRPr="00CF14B5">
        <w:rPr>
          <w:rFonts w:ascii="Palatino Linotype" w:eastAsia="Palatino Linotype" w:hAnsi="Palatino Linotype" w:cs="Palatino Linotype"/>
          <w:b/>
          <w:color w:val="000000" w:themeColor="text1"/>
        </w:rPr>
        <w:t>N</w:t>
      </w:r>
      <w:r w:rsidR="00FA7149">
        <w:rPr>
          <w:rFonts w:ascii="Palatino Linotype" w:eastAsia="Palatino Linotype" w:hAnsi="Palatino Linotype" w:cs="Palatino Linotype"/>
          <w:b/>
          <w:color w:val="000000" w:themeColor="text1"/>
        </w:rPr>
        <w:t xml:space="preserve"> </w:t>
      </w:r>
      <w:r w:rsidRPr="00CF14B5">
        <w:rPr>
          <w:rFonts w:ascii="Palatino Linotype" w:eastAsia="Palatino Linotype" w:hAnsi="Palatino Linotype" w:cs="Palatino Linotype"/>
          <w:b/>
          <w:color w:val="000000" w:themeColor="text1"/>
        </w:rPr>
        <w:t>T</w:t>
      </w:r>
      <w:r w:rsidR="00FA7149">
        <w:rPr>
          <w:rFonts w:ascii="Palatino Linotype" w:eastAsia="Palatino Linotype" w:hAnsi="Palatino Linotype" w:cs="Palatino Linotype"/>
          <w:b/>
          <w:color w:val="000000" w:themeColor="text1"/>
        </w:rPr>
        <w:t xml:space="preserve"> </w:t>
      </w:r>
      <w:r w:rsidRPr="00CF14B5">
        <w:rPr>
          <w:rFonts w:ascii="Palatino Linotype" w:eastAsia="Palatino Linotype" w:hAnsi="Palatino Linotype" w:cs="Palatino Linotype"/>
          <w:b/>
          <w:color w:val="000000" w:themeColor="text1"/>
        </w:rPr>
        <w:t>E</w:t>
      </w:r>
      <w:r w:rsidR="00FA7149">
        <w:rPr>
          <w:rFonts w:ascii="Palatino Linotype" w:eastAsia="Palatino Linotype" w:hAnsi="Palatino Linotype" w:cs="Palatino Linotype"/>
          <w:b/>
          <w:color w:val="000000" w:themeColor="text1"/>
        </w:rPr>
        <w:t xml:space="preserve"> </w:t>
      </w:r>
      <w:r w:rsidRPr="00CF14B5">
        <w:rPr>
          <w:rFonts w:ascii="Palatino Linotype" w:eastAsia="Palatino Linotype" w:hAnsi="Palatino Linotype" w:cs="Palatino Linotype"/>
          <w:b/>
          <w:color w:val="000000" w:themeColor="text1"/>
        </w:rPr>
        <w:t>C</w:t>
      </w:r>
      <w:r w:rsidR="00FA7149">
        <w:rPr>
          <w:rFonts w:ascii="Palatino Linotype" w:eastAsia="Palatino Linotype" w:hAnsi="Palatino Linotype" w:cs="Palatino Linotype"/>
          <w:b/>
          <w:color w:val="000000" w:themeColor="text1"/>
        </w:rPr>
        <w:t xml:space="preserve"> </w:t>
      </w:r>
      <w:r w:rsidRPr="00CF14B5">
        <w:rPr>
          <w:rFonts w:ascii="Palatino Linotype" w:eastAsia="Palatino Linotype" w:hAnsi="Palatino Linotype" w:cs="Palatino Linotype"/>
          <w:b/>
          <w:color w:val="000000" w:themeColor="text1"/>
        </w:rPr>
        <w:t>E</w:t>
      </w:r>
      <w:r w:rsidR="00FA7149">
        <w:rPr>
          <w:rFonts w:ascii="Palatino Linotype" w:eastAsia="Palatino Linotype" w:hAnsi="Palatino Linotype" w:cs="Palatino Linotype"/>
          <w:b/>
          <w:color w:val="000000" w:themeColor="text1"/>
        </w:rPr>
        <w:t xml:space="preserve"> </w:t>
      </w:r>
      <w:r w:rsidRPr="00CF14B5">
        <w:rPr>
          <w:rFonts w:ascii="Palatino Linotype" w:eastAsia="Palatino Linotype" w:hAnsi="Palatino Linotype" w:cs="Palatino Linotype"/>
          <w:b/>
          <w:color w:val="000000" w:themeColor="text1"/>
        </w:rPr>
        <w:t>D</w:t>
      </w:r>
      <w:r w:rsidR="00FA7149">
        <w:rPr>
          <w:rFonts w:ascii="Palatino Linotype" w:eastAsia="Palatino Linotype" w:hAnsi="Palatino Linotype" w:cs="Palatino Linotype"/>
          <w:b/>
          <w:color w:val="000000" w:themeColor="text1"/>
        </w:rPr>
        <w:t xml:space="preserve"> </w:t>
      </w:r>
      <w:r w:rsidRPr="00CF14B5">
        <w:rPr>
          <w:rFonts w:ascii="Palatino Linotype" w:eastAsia="Palatino Linotype" w:hAnsi="Palatino Linotype" w:cs="Palatino Linotype"/>
          <w:b/>
          <w:color w:val="000000" w:themeColor="text1"/>
        </w:rPr>
        <w:t>E</w:t>
      </w:r>
      <w:r w:rsidR="00FA7149">
        <w:rPr>
          <w:rFonts w:ascii="Palatino Linotype" w:eastAsia="Palatino Linotype" w:hAnsi="Palatino Linotype" w:cs="Palatino Linotype"/>
          <w:b/>
          <w:color w:val="000000" w:themeColor="text1"/>
        </w:rPr>
        <w:t xml:space="preserve"> </w:t>
      </w:r>
      <w:r w:rsidRPr="00CF14B5">
        <w:rPr>
          <w:rFonts w:ascii="Palatino Linotype" w:eastAsia="Palatino Linotype" w:hAnsi="Palatino Linotype" w:cs="Palatino Linotype"/>
          <w:b/>
          <w:color w:val="000000" w:themeColor="text1"/>
        </w:rPr>
        <w:t>N</w:t>
      </w:r>
      <w:r w:rsidR="00FA7149">
        <w:rPr>
          <w:rFonts w:ascii="Palatino Linotype" w:eastAsia="Palatino Linotype" w:hAnsi="Palatino Linotype" w:cs="Palatino Linotype"/>
          <w:b/>
          <w:color w:val="000000" w:themeColor="text1"/>
        </w:rPr>
        <w:t xml:space="preserve"> </w:t>
      </w:r>
      <w:r w:rsidRPr="00CF14B5">
        <w:rPr>
          <w:rFonts w:ascii="Palatino Linotype" w:eastAsia="Palatino Linotype" w:hAnsi="Palatino Linotype" w:cs="Palatino Linotype"/>
          <w:b/>
          <w:color w:val="000000" w:themeColor="text1"/>
        </w:rPr>
        <w:t>T</w:t>
      </w:r>
      <w:r w:rsidR="00FA7149">
        <w:rPr>
          <w:rFonts w:ascii="Palatino Linotype" w:eastAsia="Palatino Linotype" w:hAnsi="Palatino Linotype" w:cs="Palatino Linotype"/>
          <w:b/>
          <w:color w:val="000000" w:themeColor="text1"/>
        </w:rPr>
        <w:t xml:space="preserve"> </w:t>
      </w:r>
      <w:r w:rsidRPr="00CF14B5">
        <w:rPr>
          <w:rFonts w:ascii="Palatino Linotype" w:eastAsia="Palatino Linotype" w:hAnsi="Palatino Linotype" w:cs="Palatino Linotype"/>
          <w:b/>
          <w:color w:val="000000" w:themeColor="text1"/>
        </w:rPr>
        <w:t>E</w:t>
      </w:r>
      <w:r w:rsidR="00FA7149">
        <w:rPr>
          <w:rFonts w:ascii="Palatino Linotype" w:eastAsia="Palatino Linotype" w:hAnsi="Palatino Linotype" w:cs="Palatino Linotype"/>
          <w:b/>
          <w:color w:val="000000" w:themeColor="text1"/>
        </w:rPr>
        <w:t xml:space="preserve"> </w:t>
      </w:r>
      <w:r w:rsidRPr="00CF14B5">
        <w:rPr>
          <w:rFonts w:ascii="Palatino Linotype" w:eastAsia="Palatino Linotype" w:hAnsi="Palatino Linotype" w:cs="Palatino Linotype"/>
          <w:b/>
          <w:color w:val="000000" w:themeColor="text1"/>
        </w:rPr>
        <w:t>S</w:t>
      </w:r>
    </w:p>
    <w:p w:rsidR="00D37F8E" w:rsidRPr="00CF14B5" w:rsidRDefault="00D37F8E" w:rsidP="00CF14B5">
      <w:pPr>
        <w:spacing w:line="360" w:lineRule="auto"/>
        <w:rPr>
          <w:rFonts w:ascii="Palatino Linotype" w:eastAsia="Palatino Linotype" w:hAnsi="Palatino Linotype" w:cs="Palatino Linotype"/>
          <w:color w:val="000000" w:themeColor="text1"/>
        </w:rPr>
      </w:pPr>
    </w:p>
    <w:p w:rsidR="00D37F8E" w:rsidRPr="00CF14B5" w:rsidRDefault="00A26763" w:rsidP="00CF14B5">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 xml:space="preserve">El </w:t>
      </w:r>
      <w:r w:rsidRPr="00CF14B5">
        <w:rPr>
          <w:rFonts w:ascii="Palatino Linotype" w:eastAsia="Palatino Linotype" w:hAnsi="Palatino Linotype" w:cs="Palatino Linotype"/>
          <w:b/>
          <w:color w:val="000000" w:themeColor="text1"/>
        </w:rPr>
        <w:t>diecinueve de mayo de dos mil veinticinco</w:t>
      </w:r>
      <w:r w:rsidRPr="00CF14B5">
        <w:rPr>
          <w:rFonts w:ascii="Palatino Linotype" w:eastAsia="Palatino Linotype" w:hAnsi="Palatino Linotype" w:cs="Palatino Linotype"/>
          <w:color w:val="000000" w:themeColor="text1"/>
        </w:rPr>
        <w:t xml:space="preserve">, </w:t>
      </w:r>
      <w:r w:rsidRPr="00CF14B5">
        <w:rPr>
          <w:rFonts w:ascii="Palatino Linotype" w:eastAsia="Palatino Linotype" w:hAnsi="Palatino Linotype" w:cs="Palatino Linotype"/>
          <w:b/>
          <w:color w:val="000000" w:themeColor="text1"/>
        </w:rPr>
        <w:t>EL RECURRENTE,</w:t>
      </w:r>
      <w:r w:rsidRPr="00CF14B5">
        <w:rPr>
          <w:rFonts w:ascii="Palatino Linotype" w:eastAsia="Palatino Linotype" w:hAnsi="Palatino Linotype" w:cs="Palatino Linotype"/>
          <w:color w:val="000000" w:themeColor="text1"/>
        </w:rPr>
        <w:t xml:space="preserve"> ante el </w:t>
      </w:r>
      <w:r w:rsidRPr="00CF14B5">
        <w:rPr>
          <w:rFonts w:ascii="Palatino Linotype" w:eastAsia="Palatino Linotype" w:hAnsi="Palatino Linotype" w:cs="Palatino Linotype"/>
          <w:b/>
          <w:color w:val="000000" w:themeColor="text1"/>
        </w:rPr>
        <w:t>SUJETO OBLIGADO</w:t>
      </w:r>
      <w:r w:rsidRPr="00CF14B5">
        <w:rPr>
          <w:rFonts w:ascii="Palatino Linotype" w:eastAsia="Palatino Linotype" w:hAnsi="Palatino Linotype" w:cs="Palatino Linotype"/>
          <w:color w:val="000000" w:themeColor="text1"/>
        </w:rPr>
        <w:t xml:space="preserve"> vía Sistema de Acceso a la Información Mexiquense (</w:t>
      </w:r>
      <w:r w:rsidRPr="00CF14B5">
        <w:rPr>
          <w:rFonts w:ascii="Palatino Linotype" w:eastAsia="Palatino Linotype" w:hAnsi="Palatino Linotype" w:cs="Palatino Linotype"/>
          <w:b/>
          <w:color w:val="000000" w:themeColor="text1"/>
        </w:rPr>
        <w:t>SAIMEX)</w:t>
      </w:r>
      <w:r w:rsidRPr="00CF14B5">
        <w:rPr>
          <w:rFonts w:ascii="Palatino Linotype" w:eastAsia="Palatino Linotype" w:hAnsi="Palatino Linotype" w:cs="Palatino Linotype"/>
          <w:color w:val="000000" w:themeColor="text1"/>
        </w:rPr>
        <w:t>, presentó la solicitud de información registrada con el número</w:t>
      </w:r>
      <w:r w:rsidRPr="00CF14B5">
        <w:rPr>
          <w:rFonts w:ascii="Palatino Linotype" w:eastAsia="Palatino Linotype" w:hAnsi="Palatino Linotype" w:cs="Palatino Linotype"/>
          <w:b/>
          <w:color w:val="000000" w:themeColor="text1"/>
        </w:rPr>
        <w:t xml:space="preserve"> 00026/DIFJOSERIN/IP/2025, </w:t>
      </w:r>
      <w:r w:rsidR="009E47C3">
        <w:rPr>
          <w:rFonts w:ascii="Palatino Linotype" w:eastAsia="Palatino Linotype" w:hAnsi="Palatino Linotype" w:cs="Palatino Linotype"/>
          <w:color w:val="000000" w:themeColor="text1"/>
        </w:rPr>
        <w:t>en la que se</w:t>
      </w:r>
      <w:r w:rsidRPr="00CF14B5">
        <w:rPr>
          <w:rFonts w:ascii="Palatino Linotype" w:eastAsia="Palatino Linotype" w:hAnsi="Palatino Linotype" w:cs="Palatino Linotype"/>
          <w:color w:val="000000" w:themeColor="text1"/>
        </w:rPr>
        <w:t xml:space="preserve"> solicitó lo siguiente:</w:t>
      </w:r>
    </w:p>
    <w:p w:rsidR="00D37F8E" w:rsidRPr="00CF14B5" w:rsidRDefault="00D37F8E" w:rsidP="00CF14B5">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D37F8E" w:rsidRPr="00CF14B5" w:rsidRDefault="00A26763" w:rsidP="00CF14B5">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i/>
          <w:color w:val="000000" w:themeColor="text1"/>
        </w:rPr>
        <w:t xml:space="preserve">“ Se solcita todos los recibos de nomina del ejercicio 2025 de la C. Lidia Beatriz Sandoval Esquivel, adscrita al DIF de San José del Rincón, de la administración actual 2025-2027, asi mismo, se solicita el grado maximo de estudios de la serividora pública. por ultimo se solicita las listas de asistencia de de la servidora publica, donde se vean sus asistencias durante los meses de enero al mes de mayo, y si fuera el caso el registro de asitencai que arroja el reloj o sistema digital de asistencia.” (Sic) </w:t>
      </w:r>
    </w:p>
    <w:p w:rsidR="00D37F8E" w:rsidRPr="00CF14B5" w:rsidRDefault="00D37F8E" w:rsidP="00CF14B5">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D37F8E" w:rsidRPr="00CF14B5" w:rsidRDefault="00A26763" w:rsidP="00CF14B5">
      <w:pPr>
        <w:numPr>
          <w:ilvl w:val="0"/>
          <w:numId w:val="5"/>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lastRenderedPageBreak/>
        <w:t xml:space="preserve">Se eligió como modalidad de entrega de la información: A través del </w:t>
      </w:r>
      <w:r w:rsidRPr="00CF14B5">
        <w:rPr>
          <w:rFonts w:ascii="Palatino Linotype" w:eastAsia="Palatino Linotype" w:hAnsi="Palatino Linotype" w:cs="Palatino Linotype"/>
          <w:b/>
          <w:color w:val="000000" w:themeColor="text1"/>
        </w:rPr>
        <w:t>SAIMEX.</w:t>
      </w:r>
    </w:p>
    <w:p w:rsidR="00D37F8E" w:rsidRPr="00CF14B5" w:rsidRDefault="00D37F8E" w:rsidP="00CF14B5">
      <w:pPr>
        <w:spacing w:line="360" w:lineRule="auto"/>
        <w:jc w:val="both"/>
        <w:rPr>
          <w:rFonts w:ascii="Palatino Linotype" w:eastAsia="Palatino Linotype" w:hAnsi="Palatino Linotype" w:cs="Palatino Linotype"/>
          <w:b/>
          <w:color w:val="000000" w:themeColor="text1"/>
        </w:rPr>
      </w:pPr>
    </w:p>
    <w:p w:rsidR="00D37F8E" w:rsidRPr="00CF14B5" w:rsidRDefault="00A26763" w:rsidP="00CF14B5">
      <w:pPr>
        <w:numPr>
          <w:ilvl w:val="0"/>
          <w:numId w:val="4"/>
        </w:numPr>
        <w:spacing w:line="360" w:lineRule="auto"/>
        <w:ind w:left="0" w:firstLine="0"/>
        <w:jc w:val="both"/>
        <w:rPr>
          <w:rFonts w:ascii="Palatino Linotype" w:eastAsia="Palatino Linotype" w:hAnsi="Palatino Linotype" w:cs="Palatino Linotype"/>
          <w:b/>
          <w:color w:val="000000" w:themeColor="text1"/>
        </w:rPr>
      </w:pPr>
      <w:r w:rsidRPr="00CF14B5">
        <w:rPr>
          <w:rFonts w:ascii="Palatino Linotype" w:eastAsia="Palatino Linotype" w:hAnsi="Palatino Linotype" w:cs="Palatino Linotype"/>
          <w:color w:val="000000" w:themeColor="text1"/>
        </w:rPr>
        <w:t xml:space="preserve">El </w:t>
      </w:r>
      <w:r w:rsidRPr="00CF14B5">
        <w:rPr>
          <w:rFonts w:ascii="Palatino Linotype" w:eastAsia="Palatino Linotype" w:hAnsi="Palatino Linotype" w:cs="Palatino Linotype"/>
          <w:b/>
          <w:color w:val="000000" w:themeColor="text1"/>
        </w:rPr>
        <w:t>veintiséis de mayo de dos mil veinticinco</w:t>
      </w:r>
      <w:r w:rsidRPr="00CF14B5">
        <w:rPr>
          <w:rFonts w:ascii="Palatino Linotype" w:eastAsia="Palatino Linotype" w:hAnsi="Palatino Linotype" w:cs="Palatino Linotype"/>
          <w:color w:val="000000" w:themeColor="text1"/>
        </w:rPr>
        <w:t xml:space="preserve">, el </w:t>
      </w:r>
      <w:r w:rsidRPr="00CF14B5">
        <w:rPr>
          <w:rFonts w:ascii="Palatino Linotype" w:eastAsia="Palatino Linotype" w:hAnsi="Palatino Linotype" w:cs="Palatino Linotype"/>
          <w:b/>
          <w:color w:val="000000" w:themeColor="text1"/>
        </w:rPr>
        <w:t>SUJETO OBLIGADO,</w:t>
      </w:r>
      <w:r w:rsidRPr="00CF14B5">
        <w:rPr>
          <w:rFonts w:ascii="Palatino Linotype" w:eastAsia="Palatino Linotype" w:hAnsi="Palatino Linotype" w:cs="Palatino Linotype"/>
          <w:color w:val="000000" w:themeColor="text1"/>
        </w:rPr>
        <w:t xml:space="preserve"> dio respuesta a través de los archivos siguientes:</w:t>
      </w:r>
    </w:p>
    <w:p w:rsidR="00D37F8E" w:rsidRPr="00CF14B5" w:rsidRDefault="00D37F8E" w:rsidP="00CF14B5">
      <w:pPr>
        <w:spacing w:line="360" w:lineRule="auto"/>
        <w:jc w:val="both"/>
        <w:rPr>
          <w:rFonts w:ascii="Palatino Linotype" w:eastAsia="Palatino Linotype" w:hAnsi="Palatino Linotype" w:cs="Palatino Linotype"/>
          <w:b/>
          <w:color w:val="000000" w:themeColor="text1"/>
        </w:rPr>
      </w:pPr>
    </w:p>
    <w:p w:rsidR="00D37F8E" w:rsidRPr="00CF14B5" w:rsidRDefault="00A26763" w:rsidP="00CF14B5">
      <w:pPr>
        <w:numPr>
          <w:ilvl w:val="0"/>
          <w:numId w:val="1"/>
        </w:numPr>
        <w:pBdr>
          <w:top w:val="nil"/>
          <w:left w:val="nil"/>
          <w:bottom w:val="nil"/>
          <w:right w:val="nil"/>
          <w:between w:val="nil"/>
        </w:pBdr>
        <w:spacing w:after="160" w:line="259" w:lineRule="auto"/>
        <w:ind w:left="0" w:firstLine="0"/>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b/>
          <w:i/>
          <w:color w:val="000000" w:themeColor="text1"/>
        </w:rPr>
        <w:t>OFICIO CONTESTACION 00026DIFJOSERINIP2025.pdf</w:t>
      </w:r>
    </w:p>
    <w:p w:rsidR="00D37F8E" w:rsidRPr="00CF14B5" w:rsidRDefault="00A26763" w:rsidP="00CF14B5">
      <w:pPr>
        <w:spacing w:after="160" w:line="259" w:lineRule="auto"/>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Escrito firmado por el Tesorero del Sistema Municipal por el que informó lo siguiente:</w:t>
      </w:r>
    </w:p>
    <w:p w:rsidR="00D37F8E" w:rsidRPr="00CF14B5" w:rsidRDefault="00A26763" w:rsidP="00CF14B5">
      <w:pPr>
        <w:spacing w:after="160" w:line="276" w:lineRule="auto"/>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i/>
          <w:color w:val="000000" w:themeColor="text1"/>
        </w:rPr>
        <w:t>Al respecto me permito informar que la C. Lidia Beatriz Sandoval Esquivel no se encuentra adscrita a este Sistema Municipal para el Desarrollo Integral de la Familia de San José del Rincón, motivo por el cual no se cuenta con la información solicitada.</w:t>
      </w:r>
    </w:p>
    <w:p w:rsidR="00D37F8E" w:rsidRPr="00CF14B5" w:rsidRDefault="00D37F8E" w:rsidP="00CF14B5">
      <w:pPr>
        <w:spacing w:line="360" w:lineRule="auto"/>
        <w:jc w:val="both"/>
        <w:rPr>
          <w:rFonts w:ascii="Palatino Linotype" w:eastAsia="Palatino Linotype" w:hAnsi="Palatino Linotype" w:cs="Palatino Linotype"/>
          <w:b/>
          <w:color w:val="000000" w:themeColor="text1"/>
        </w:rPr>
      </w:pPr>
    </w:p>
    <w:p w:rsidR="00D37F8E" w:rsidRPr="00CF14B5" w:rsidRDefault="00A26763" w:rsidP="00CF14B5">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 xml:space="preserve">Inconforme con lo anterior, el </w:t>
      </w:r>
      <w:r w:rsidRPr="00CF14B5">
        <w:rPr>
          <w:rFonts w:ascii="Palatino Linotype" w:eastAsia="Palatino Linotype" w:hAnsi="Palatino Linotype" w:cs="Palatino Linotype"/>
          <w:b/>
          <w:color w:val="000000" w:themeColor="text1"/>
        </w:rPr>
        <w:t>veintiséis de mayo de dos mil veinticinco</w:t>
      </w:r>
      <w:r w:rsidRPr="00CF14B5">
        <w:rPr>
          <w:rFonts w:ascii="Palatino Linotype" w:eastAsia="Palatino Linotype" w:hAnsi="Palatino Linotype" w:cs="Palatino Linotype"/>
          <w:color w:val="000000" w:themeColor="text1"/>
        </w:rPr>
        <w:t xml:space="preserve">,  el </w:t>
      </w:r>
      <w:r w:rsidRPr="00CF14B5">
        <w:rPr>
          <w:rFonts w:ascii="Palatino Linotype" w:eastAsia="Palatino Linotype" w:hAnsi="Palatino Linotype" w:cs="Palatino Linotype"/>
          <w:b/>
          <w:color w:val="000000" w:themeColor="text1"/>
        </w:rPr>
        <w:t xml:space="preserve">SUJETO OBLIGADO </w:t>
      </w:r>
      <w:r w:rsidRPr="00CF14B5">
        <w:rPr>
          <w:rFonts w:ascii="Palatino Linotype" w:eastAsia="Palatino Linotype" w:hAnsi="Palatino Linotype" w:cs="Palatino Linotype"/>
          <w:color w:val="000000" w:themeColor="text1"/>
        </w:rPr>
        <w:t xml:space="preserve">interpuso recurso de revisión, arguyendo como </w:t>
      </w:r>
    </w:p>
    <w:p w:rsidR="00D37F8E" w:rsidRPr="00CF14B5" w:rsidRDefault="00D37F8E" w:rsidP="00CF14B5">
      <w:pPr>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A</w:t>
      </w:r>
      <w:r w:rsidRPr="00CF14B5">
        <w:rPr>
          <w:rFonts w:ascii="Palatino Linotype" w:eastAsia="Palatino Linotype" w:hAnsi="Palatino Linotype" w:cs="Palatino Linotype"/>
          <w:b/>
          <w:color w:val="000000" w:themeColor="text1"/>
        </w:rPr>
        <w:t xml:space="preserve">cto impugnado: </w:t>
      </w:r>
      <w:r w:rsidRPr="00CF14B5">
        <w:rPr>
          <w:rFonts w:ascii="Palatino Linotype" w:eastAsia="Palatino Linotype" w:hAnsi="Palatino Linotype" w:cs="Palatino Linotype"/>
          <w:i/>
          <w:color w:val="000000" w:themeColor="text1"/>
        </w:rPr>
        <w:t xml:space="preserve">“NO PRESENTA INFORMACIÓN” (Sic) </w:t>
      </w:r>
    </w:p>
    <w:p w:rsidR="00D37F8E" w:rsidRPr="00CF14B5" w:rsidRDefault="00D37F8E" w:rsidP="00CF14B5">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b/>
          <w:color w:val="000000" w:themeColor="text1"/>
        </w:rPr>
        <w:t>Razones o motivos de inconformidad:</w:t>
      </w:r>
      <w:r w:rsidRPr="00CF14B5">
        <w:rPr>
          <w:rFonts w:ascii="Palatino Linotype" w:eastAsia="Palatino Linotype" w:hAnsi="Palatino Linotype" w:cs="Palatino Linotype"/>
          <w:i/>
          <w:color w:val="000000" w:themeColor="text1"/>
        </w:rPr>
        <w:t xml:space="preserve"> “EL SUJETO OBLIGADO, PRECISA QUE LA INFORMACIÓN SOLICITADA, REFIERE A SERVIDOR PÚBLICO, QUE NO SE ENCUETRA ADSCRITO, AL ÁREA, MÁS EL NO LA SUERTE PRINCIPAL DE LA INFORMACIÓN QUE COMPETE PRESENTAR. MOSTRANDO ASI, LA AUSENCIA DE LA OBLIGATORIEDAD DE PRESENTAR LA INFORMACIÓN, FALTANDO A LA OBLIGATORIEDAD DE PRESENTAR INFORMACIÓN” (Sic) </w:t>
      </w:r>
    </w:p>
    <w:p w:rsidR="00D37F8E" w:rsidRPr="00CF14B5" w:rsidRDefault="00D37F8E" w:rsidP="00CF14B5">
      <w:pPr>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 xml:space="preserve">Se registró el recurso de revisión bajo el número de expediente al rubro indicado, asimismo con fundamento en lo dispuesto por el artículo 185 fracción I de la </w:t>
      </w:r>
      <w:r w:rsidRPr="00CF14B5">
        <w:rPr>
          <w:rFonts w:ascii="Palatino Linotype" w:eastAsia="Palatino Linotype" w:hAnsi="Palatino Linotype" w:cs="Palatino Linotype"/>
          <w:b/>
          <w:color w:val="000000" w:themeColor="text1"/>
        </w:rPr>
        <w:t xml:space="preserve">Ley de </w:t>
      </w:r>
      <w:r w:rsidRPr="00CF14B5">
        <w:rPr>
          <w:rFonts w:ascii="Palatino Linotype" w:eastAsia="Palatino Linotype" w:hAnsi="Palatino Linotype" w:cs="Palatino Linotype"/>
          <w:b/>
          <w:color w:val="000000" w:themeColor="text1"/>
        </w:rPr>
        <w:lastRenderedPageBreak/>
        <w:t xml:space="preserve">Transparencia y Acceso a la Información Pública del Estado de México y Municipios </w:t>
      </w:r>
      <w:r w:rsidRPr="00CF14B5">
        <w:rPr>
          <w:rFonts w:ascii="Palatino Linotype" w:eastAsia="Palatino Linotype" w:hAnsi="Palatino Linotype" w:cs="Palatino Linotype"/>
          <w:color w:val="000000" w:themeColor="text1"/>
        </w:rPr>
        <w:t xml:space="preserve">se turnó a la </w:t>
      </w:r>
      <w:r w:rsidRPr="00CF14B5">
        <w:rPr>
          <w:rFonts w:ascii="Palatino Linotype" w:eastAsia="Palatino Linotype" w:hAnsi="Palatino Linotype" w:cs="Palatino Linotype"/>
          <w:b/>
          <w:color w:val="000000" w:themeColor="text1"/>
        </w:rPr>
        <w:t xml:space="preserve">Comisionada María del Rosario Mejía Ayala, </w:t>
      </w:r>
      <w:r w:rsidR="00FA7149">
        <w:rPr>
          <w:rFonts w:ascii="Palatino Linotype" w:eastAsia="Palatino Linotype" w:hAnsi="Palatino Linotype" w:cs="Palatino Linotype"/>
          <w:color w:val="000000" w:themeColor="text1"/>
        </w:rPr>
        <w:t>para</w:t>
      </w:r>
      <w:r w:rsidRPr="00CF14B5">
        <w:rPr>
          <w:rFonts w:ascii="Palatino Linotype" w:eastAsia="Palatino Linotype" w:hAnsi="Palatino Linotype" w:cs="Palatino Linotype"/>
          <w:color w:val="000000" w:themeColor="text1"/>
        </w:rPr>
        <w:t xml:space="preserve"> su análisis. </w:t>
      </w:r>
    </w:p>
    <w:p w:rsidR="00D37F8E" w:rsidRPr="00CF14B5" w:rsidRDefault="00D37F8E" w:rsidP="00CF14B5">
      <w:pPr>
        <w:spacing w:line="360" w:lineRule="auto"/>
        <w:jc w:val="both"/>
        <w:rPr>
          <w:rFonts w:ascii="Palatino Linotype" w:eastAsia="Palatino Linotype" w:hAnsi="Palatino Linotype" w:cs="Palatino Linotype"/>
          <w:color w:val="000000" w:themeColor="text1"/>
        </w:rPr>
      </w:pPr>
    </w:p>
    <w:p w:rsidR="00D37F8E" w:rsidRPr="00CF14B5" w:rsidRDefault="00FA7149" w:rsidP="00CF14B5">
      <w:pPr>
        <w:numPr>
          <w:ilvl w:val="0"/>
          <w:numId w:val="4"/>
        </w:numPr>
        <w:spacing w:line="360" w:lineRule="auto"/>
        <w:ind w:left="0" w:firstLine="0"/>
        <w:jc w:val="both"/>
        <w:rPr>
          <w:rFonts w:ascii="Palatino Linotype" w:eastAsia="Palatino Linotype" w:hAnsi="Palatino Linotype" w:cs="Palatino Linotype"/>
          <w:i/>
          <w:color w:val="000000" w:themeColor="text1"/>
        </w:rPr>
      </w:pPr>
      <w:r>
        <w:rPr>
          <w:rFonts w:ascii="Palatino Linotype" w:eastAsia="Palatino Linotype" w:hAnsi="Palatino Linotype" w:cs="Palatino Linotype"/>
          <w:color w:val="000000" w:themeColor="text1"/>
        </w:rPr>
        <w:t>La Comisionada</w:t>
      </w:r>
      <w:r w:rsidR="00A26763" w:rsidRPr="00CF14B5">
        <w:rPr>
          <w:rFonts w:ascii="Palatino Linotype" w:eastAsia="Palatino Linotype" w:hAnsi="Palatino Linotype" w:cs="Palatino Linotype"/>
          <w:color w:val="000000" w:themeColor="text1"/>
        </w:rPr>
        <w:t xml:space="preserve"> Ponente con fundamento en lo dispuesto por el artículo 18 fracción II de la ley de la materia, a través del acuerdo de admisión de </w:t>
      </w:r>
      <w:r w:rsidR="00A26763" w:rsidRPr="00CF14B5">
        <w:rPr>
          <w:rFonts w:ascii="Palatino Linotype" w:eastAsia="Palatino Linotype" w:hAnsi="Palatino Linotype" w:cs="Palatino Linotype"/>
          <w:b/>
          <w:color w:val="000000" w:themeColor="text1"/>
        </w:rPr>
        <w:t>veintisiete de mayo de dos mil veinticinco</w:t>
      </w:r>
      <w:r w:rsidR="00A26763" w:rsidRPr="00CF14B5">
        <w:rPr>
          <w:rFonts w:ascii="Palatino Linotype" w:eastAsia="Palatino Linotype" w:hAnsi="Palatino Linotype" w:cs="Palatino Linotype"/>
          <w:color w:val="000000" w:themeColor="text1"/>
        </w:rPr>
        <w:t xml:space="preserve">, puso a disposición de las partes el expediente electrónico vía </w:t>
      </w:r>
      <w:r w:rsidR="00A26763" w:rsidRPr="00CF14B5">
        <w:rPr>
          <w:rFonts w:ascii="Palatino Linotype" w:eastAsia="Palatino Linotype" w:hAnsi="Palatino Linotype" w:cs="Palatino Linotype"/>
          <w:b/>
          <w:color w:val="000000" w:themeColor="text1"/>
        </w:rPr>
        <w:t xml:space="preserve">SAIMEX </w:t>
      </w:r>
      <w:r w:rsidR="00A26763" w:rsidRPr="00CF14B5">
        <w:rPr>
          <w:rFonts w:ascii="Palatino Linotype" w:eastAsia="Palatino Linotype" w:hAnsi="Palatino Linotype" w:cs="Palatino Linotype"/>
          <w:color w:val="000000" w:themeColor="text1"/>
        </w:rPr>
        <w:t xml:space="preserve">a efecto de que en un plazo máximo de siete días manifestaran lo que a derecho convinieran, ofrecieran pruebas y alegatos según corresponda al caso concreto, de esta forma para que el </w:t>
      </w:r>
      <w:r w:rsidR="00A26763" w:rsidRPr="00CF14B5">
        <w:rPr>
          <w:rFonts w:ascii="Palatino Linotype" w:eastAsia="Palatino Linotype" w:hAnsi="Palatino Linotype" w:cs="Palatino Linotype"/>
          <w:b/>
          <w:color w:val="000000" w:themeColor="text1"/>
        </w:rPr>
        <w:t>SUJETO OBLIGADO</w:t>
      </w:r>
      <w:r w:rsidR="00A26763" w:rsidRPr="00CF14B5">
        <w:rPr>
          <w:rFonts w:ascii="Palatino Linotype" w:eastAsia="Palatino Linotype" w:hAnsi="Palatino Linotype" w:cs="Palatino Linotype"/>
          <w:color w:val="000000" w:themeColor="text1"/>
        </w:rPr>
        <w:t xml:space="preserve"> presentara el informe justificado procedente. </w:t>
      </w:r>
    </w:p>
    <w:p w:rsidR="00D37F8E" w:rsidRPr="00CF14B5" w:rsidRDefault="00D37F8E" w:rsidP="00CF14B5">
      <w:pPr>
        <w:spacing w:line="360" w:lineRule="auto"/>
        <w:jc w:val="both"/>
        <w:rPr>
          <w:rFonts w:ascii="Palatino Linotype" w:eastAsia="Palatino Linotype" w:hAnsi="Palatino Linotype" w:cs="Palatino Linotype"/>
          <w:i/>
          <w:color w:val="000000" w:themeColor="text1"/>
        </w:rPr>
      </w:pPr>
    </w:p>
    <w:p w:rsidR="00D37F8E" w:rsidRPr="00CF14B5" w:rsidRDefault="00A26763" w:rsidP="00CF14B5">
      <w:pPr>
        <w:numPr>
          <w:ilvl w:val="0"/>
          <w:numId w:val="4"/>
        </w:numPr>
        <w:spacing w:line="360" w:lineRule="auto"/>
        <w:ind w:left="0" w:firstLine="0"/>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color w:val="000000" w:themeColor="text1"/>
        </w:rPr>
        <w:t xml:space="preserve">De las constancias que obran en el expediente electrónico SAIMEX, se advierte que el </w:t>
      </w:r>
      <w:r w:rsidRPr="00CF14B5">
        <w:rPr>
          <w:rFonts w:ascii="Palatino Linotype" w:eastAsia="Palatino Linotype" w:hAnsi="Palatino Linotype" w:cs="Palatino Linotype"/>
          <w:b/>
          <w:color w:val="000000" w:themeColor="text1"/>
        </w:rPr>
        <w:t>RECURRENTE</w:t>
      </w:r>
      <w:r w:rsidRPr="00CF14B5">
        <w:rPr>
          <w:rFonts w:ascii="Palatino Linotype" w:eastAsia="Palatino Linotype" w:hAnsi="Palatino Linotype" w:cs="Palatino Linotype"/>
          <w:color w:val="000000" w:themeColor="text1"/>
        </w:rPr>
        <w:t xml:space="preserve"> no realizaron manifestaciones conforme su derecho conviniera y asistiera.</w:t>
      </w:r>
    </w:p>
    <w:p w:rsidR="00D37F8E" w:rsidRPr="00CF14B5" w:rsidRDefault="00D37F8E" w:rsidP="00CF14B5">
      <w:pPr>
        <w:spacing w:line="360" w:lineRule="auto"/>
        <w:jc w:val="both"/>
        <w:rPr>
          <w:rFonts w:ascii="Palatino Linotype" w:eastAsia="Palatino Linotype" w:hAnsi="Palatino Linotype" w:cs="Palatino Linotype"/>
          <w:i/>
          <w:color w:val="000000" w:themeColor="text1"/>
        </w:rPr>
      </w:pPr>
    </w:p>
    <w:p w:rsidR="00D37F8E" w:rsidRPr="00CF14B5" w:rsidRDefault="00A26763" w:rsidP="00CF14B5">
      <w:pPr>
        <w:numPr>
          <w:ilvl w:val="0"/>
          <w:numId w:val="4"/>
        </w:numPr>
        <w:spacing w:line="360" w:lineRule="auto"/>
        <w:ind w:left="0" w:firstLine="0"/>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color w:val="000000" w:themeColor="text1"/>
        </w:rPr>
        <w:t xml:space="preserve">El </w:t>
      </w:r>
      <w:r w:rsidRPr="00CF14B5">
        <w:rPr>
          <w:rFonts w:ascii="Palatino Linotype" w:eastAsia="Palatino Linotype" w:hAnsi="Palatino Linotype" w:cs="Palatino Linotype"/>
          <w:b/>
          <w:color w:val="000000" w:themeColor="text1"/>
        </w:rPr>
        <w:t xml:space="preserve">SUJETO OBLIGADO, </w:t>
      </w:r>
      <w:r w:rsidRPr="00CF14B5">
        <w:rPr>
          <w:rFonts w:ascii="Palatino Linotype" w:eastAsia="Palatino Linotype" w:hAnsi="Palatino Linotype" w:cs="Palatino Linotype"/>
          <w:color w:val="000000" w:themeColor="text1"/>
        </w:rPr>
        <w:t>rindió el Informe Justificado correspondiente a través del archivo siguiente:</w:t>
      </w:r>
    </w:p>
    <w:p w:rsidR="00D37F8E" w:rsidRPr="00CF14B5" w:rsidRDefault="00C26EA1" w:rsidP="00CF14B5">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hyperlink r:id="rId8">
        <w:r w:rsidR="00A26763" w:rsidRPr="00CF14B5">
          <w:rPr>
            <w:rFonts w:ascii="Palatino Linotype" w:eastAsia="Palatino Linotype" w:hAnsi="Palatino Linotype" w:cs="Palatino Linotype"/>
            <w:b/>
            <w:i/>
            <w:color w:val="000000" w:themeColor="text1"/>
          </w:rPr>
          <w:t>OFICIO CONTESTACION 00026DIFJOSERINIP2025.pdf</w:t>
        </w:r>
      </w:hyperlink>
    </w:p>
    <w:p w:rsidR="00D37F8E" w:rsidRPr="00CF14B5" w:rsidRDefault="00A26763" w:rsidP="00CF14B5">
      <w:pPr>
        <w:spacing w:line="276" w:lineRule="auto"/>
        <w:jc w:val="both"/>
        <w:rPr>
          <w:rFonts w:ascii="Palatino Linotype" w:eastAsia="Palatino Linotype" w:hAnsi="Palatino Linotype" w:cs="Palatino Linotype"/>
          <w:b/>
          <w:i/>
          <w:color w:val="000000" w:themeColor="text1"/>
        </w:rPr>
      </w:pPr>
      <w:r w:rsidRPr="00CF14B5">
        <w:rPr>
          <w:rFonts w:ascii="Palatino Linotype" w:eastAsia="Palatino Linotype" w:hAnsi="Palatino Linotype" w:cs="Palatino Linotype"/>
          <w:i/>
          <w:color w:val="000000" w:themeColor="text1"/>
        </w:rPr>
        <w:t xml:space="preserve">En respuesta a la solicitud recibida, nos permitimos hacer de su conocimiento que con fundamento en el artículo 2, fracción II, 29, 53, Fracciones: II, V y VI, 158, 160, 164 y 174 último párrafo de la Ley de Transparencia y Acceso a la Información Pública del Estado de México y Municipios, se adjunta al presente la información solicitada mediante la Solicitud de información No. 00026/DIFJOSERIN/IP/2025,enviada por el área de Tesorería, </w:t>
      </w:r>
      <w:r w:rsidRPr="00CF14B5">
        <w:rPr>
          <w:rFonts w:ascii="Palatino Linotype" w:eastAsia="Palatino Linotype" w:hAnsi="Palatino Linotype" w:cs="Palatino Linotype"/>
          <w:b/>
          <w:i/>
          <w:color w:val="000000" w:themeColor="text1"/>
        </w:rPr>
        <w:t>le hace de su conocimiento que no hay nadie adscrito al SMDIF de San José del Rincón a nombre de Lidia Beatriz Sandoval Esquivel, por lo que no se puede remitir la información solicitada.</w:t>
      </w:r>
    </w:p>
    <w:p w:rsidR="00D37F8E" w:rsidRPr="00CF14B5" w:rsidRDefault="00D37F8E" w:rsidP="00CF14B5">
      <w:pPr>
        <w:spacing w:line="276" w:lineRule="auto"/>
        <w:jc w:val="both"/>
        <w:rPr>
          <w:rFonts w:ascii="Palatino Linotype" w:eastAsia="Palatino Linotype" w:hAnsi="Palatino Linotype" w:cs="Palatino Linotype"/>
          <w:b/>
          <w:i/>
          <w:color w:val="000000" w:themeColor="text1"/>
        </w:rPr>
      </w:pPr>
    </w:p>
    <w:p w:rsidR="00D37F8E" w:rsidRPr="00CF14B5" w:rsidRDefault="00A26763" w:rsidP="00CF14B5">
      <w:pPr>
        <w:spacing w:line="276" w:lineRule="auto"/>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i/>
          <w:color w:val="000000" w:themeColor="text1"/>
        </w:rPr>
        <w:t>Al respecto me permito informar que la C. Lidia Beatriz Sandoval Esquivel no se encuentra adscrita a este Sistema Municipal para el Desarrollo Integral de la Familia de San José del Rincón, motivo por el cual no se cuenta con la información solicitada.</w:t>
      </w:r>
    </w:p>
    <w:p w:rsidR="00D37F8E" w:rsidRPr="00CF14B5" w:rsidRDefault="00A26763" w:rsidP="00CF14B5">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lastRenderedPageBreak/>
        <w:t xml:space="preserve">El </w:t>
      </w:r>
      <w:r w:rsidRPr="00CF14B5">
        <w:rPr>
          <w:rFonts w:ascii="Palatino Linotype" w:eastAsia="Palatino Linotype" w:hAnsi="Palatino Linotype" w:cs="Palatino Linotype"/>
          <w:b/>
          <w:color w:val="000000" w:themeColor="text1"/>
        </w:rPr>
        <w:t>diez de septiembre de dos mil veinticinco</w:t>
      </w:r>
      <w:r w:rsidRPr="00CF14B5">
        <w:rPr>
          <w:rFonts w:ascii="Palatino Linotype" w:eastAsia="Palatino Linotype" w:hAnsi="Palatino Linotype" w:cs="Palatino Linotype"/>
          <w:color w:val="000000" w:themeColor="text1"/>
        </w:rPr>
        <w:t>, se notificó el acuerdo mediante el cual se aprobó la ampliación de plazo para emitir resolución.</w:t>
      </w:r>
    </w:p>
    <w:p w:rsidR="00D37F8E" w:rsidRPr="00CF14B5" w:rsidRDefault="00D37F8E" w:rsidP="00CF14B5">
      <w:pPr>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numPr>
          <w:ilvl w:val="0"/>
          <w:numId w:val="4"/>
        </w:numPr>
        <w:tabs>
          <w:tab w:val="left" w:pos="426"/>
        </w:tabs>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 xml:space="preserve">El </w:t>
      </w:r>
      <w:r w:rsidRPr="00CF14B5">
        <w:rPr>
          <w:rFonts w:ascii="Palatino Linotype" w:eastAsia="Palatino Linotype" w:hAnsi="Palatino Linotype" w:cs="Palatino Linotype"/>
          <w:b/>
          <w:color w:val="000000" w:themeColor="text1"/>
        </w:rPr>
        <w:t>diecisiete de septiembre de dos mil veinticinco</w:t>
      </w:r>
      <w:r w:rsidRPr="00CF14B5">
        <w:rPr>
          <w:rFonts w:ascii="Palatino Linotype" w:eastAsia="Palatino Linotype" w:hAnsi="Palatino Linotype" w:cs="Palatino Linotype"/>
          <w:color w:val="000000" w:themeColor="text1"/>
        </w:rPr>
        <w:t>, la Comisionada Ponente decretó el cierre de instrucción y al no existir diligencias por realizar y se turnó el expediente a resolución correspondiente, por lo que no hab</w:t>
      </w:r>
      <w:r w:rsidR="00CF14B5">
        <w:rPr>
          <w:rFonts w:ascii="Palatino Linotype" w:eastAsia="Palatino Linotype" w:hAnsi="Palatino Linotype" w:cs="Palatino Linotype"/>
          <w:color w:val="000000" w:themeColor="text1"/>
        </w:rPr>
        <w:t xml:space="preserve">iendo más que hacer constar, y </w:t>
      </w:r>
    </w:p>
    <w:p w:rsidR="00D37F8E" w:rsidRPr="00CF14B5" w:rsidRDefault="00D37F8E" w:rsidP="00CF14B5">
      <w:pPr>
        <w:spacing w:line="360" w:lineRule="auto"/>
        <w:jc w:val="both"/>
        <w:rPr>
          <w:rFonts w:ascii="Palatino Linotype" w:eastAsia="Palatino Linotype" w:hAnsi="Palatino Linotype" w:cs="Palatino Linotype"/>
          <w:b/>
          <w:color w:val="000000" w:themeColor="text1"/>
          <w:u w:val="single"/>
        </w:rPr>
      </w:pPr>
    </w:p>
    <w:p w:rsidR="00D37F8E" w:rsidRPr="00CF14B5" w:rsidRDefault="00A26763" w:rsidP="00CF14B5">
      <w:pPr>
        <w:keepNext/>
        <w:keepLines/>
        <w:spacing w:line="360" w:lineRule="auto"/>
        <w:jc w:val="center"/>
        <w:rPr>
          <w:rFonts w:ascii="Palatino Linotype" w:eastAsia="Palatino Linotype" w:hAnsi="Palatino Linotype" w:cs="Palatino Linotype"/>
          <w:color w:val="000000" w:themeColor="text1"/>
        </w:rPr>
      </w:pPr>
      <w:bookmarkStart w:id="2" w:name="_heading=h.30j0zll" w:colFirst="0" w:colLast="0"/>
      <w:bookmarkEnd w:id="2"/>
      <w:r w:rsidRPr="00CF14B5">
        <w:rPr>
          <w:rFonts w:ascii="Palatino Linotype" w:eastAsia="Palatino Linotype" w:hAnsi="Palatino Linotype" w:cs="Palatino Linotype"/>
          <w:b/>
          <w:color w:val="000000" w:themeColor="text1"/>
        </w:rPr>
        <w:t>C</w:t>
      </w:r>
      <w:r w:rsidR="00FA7149">
        <w:rPr>
          <w:rFonts w:ascii="Palatino Linotype" w:eastAsia="Palatino Linotype" w:hAnsi="Palatino Linotype" w:cs="Palatino Linotype"/>
          <w:b/>
          <w:color w:val="000000" w:themeColor="text1"/>
        </w:rPr>
        <w:t xml:space="preserve"> </w:t>
      </w:r>
      <w:r w:rsidRPr="00CF14B5">
        <w:rPr>
          <w:rFonts w:ascii="Palatino Linotype" w:eastAsia="Palatino Linotype" w:hAnsi="Palatino Linotype" w:cs="Palatino Linotype"/>
          <w:b/>
          <w:color w:val="000000" w:themeColor="text1"/>
        </w:rPr>
        <w:t>O</w:t>
      </w:r>
      <w:r w:rsidR="00FA7149">
        <w:rPr>
          <w:rFonts w:ascii="Palatino Linotype" w:eastAsia="Palatino Linotype" w:hAnsi="Palatino Linotype" w:cs="Palatino Linotype"/>
          <w:b/>
          <w:color w:val="000000" w:themeColor="text1"/>
        </w:rPr>
        <w:t xml:space="preserve"> </w:t>
      </w:r>
      <w:r w:rsidRPr="00CF14B5">
        <w:rPr>
          <w:rFonts w:ascii="Palatino Linotype" w:eastAsia="Palatino Linotype" w:hAnsi="Palatino Linotype" w:cs="Palatino Linotype"/>
          <w:b/>
          <w:color w:val="000000" w:themeColor="text1"/>
        </w:rPr>
        <w:t>N</w:t>
      </w:r>
      <w:r w:rsidR="00FA7149">
        <w:rPr>
          <w:rFonts w:ascii="Palatino Linotype" w:eastAsia="Palatino Linotype" w:hAnsi="Palatino Linotype" w:cs="Palatino Linotype"/>
          <w:b/>
          <w:color w:val="000000" w:themeColor="text1"/>
        </w:rPr>
        <w:t xml:space="preserve"> </w:t>
      </w:r>
      <w:r w:rsidRPr="00CF14B5">
        <w:rPr>
          <w:rFonts w:ascii="Palatino Linotype" w:eastAsia="Palatino Linotype" w:hAnsi="Palatino Linotype" w:cs="Palatino Linotype"/>
          <w:b/>
          <w:color w:val="000000" w:themeColor="text1"/>
        </w:rPr>
        <w:t>S</w:t>
      </w:r>
      <w:r w:rsidR="00FA7149">
        <w:rPr>
          <w:rFonts w:ascii="Palatino Linotype" w:eastAsia="Palatino Linotype" w:hAnsi="Palatino Linotype" w:cs="Palatino Linotype"/>
          <w:b/>
          <w:color w:val="000000" w:themeColor="text1"/>
        </w:rPr>
        <w:t xml:space="preserve"> </w:t>
      </w:r>
      <w:r w:rsidRPr="00CF14B5">
        <w:rPr>
          <w:rFonts w:ascii="Palatino Linotype" w:eastAsia="Palatino Linotype" w:hAnsi="Palatino Linotype" w:cs="Palatino Linotype"/>
          <w:b/>
          <w:color w:val="000000" w:themeColor="text1"/>
        </w:rPr>
        <w:t>I</w:t>
      </w:r>
      <w:r w:rsidR="00FA7149">
        <w:rPr>
          <w:rFonts w:ascii="Palatino Linotype" w:eastAsia="Palatino Linotype" w:hAnsi="Palatino Linotype" w:cs="Palatino Linotype"/>
          <w:b/>
          <w:color w:val="000000" w:themeColor="text1"/>
        </w:rPr>
        <w:t xml:space="preserve"> </w:t>
      </w:r>
      <w:r w:rsidRPr="00CF14B5">
        <w:rPr>
          <w:rFonts w:ascii="Palatino Linotype" w:eastAsia="Palatino Linotype" w:hAnsi="Palatino Linotype" w:cs="Palatino Linotype"/>
          <w:b/>
          <w:color w:val="000000" w:themeColor="text1"/>
        </w:rPr>
        <w:t>D</w:t>
      </w:r>
      <w:r w:rsidR="00FA7149">
        <w:rPr>
          <w:rFonts w:ascii="Palatino Linotype" w:eastAsia="Palatino Linotype" w:hAnsi="Palatino Linotype" w:cs="Palatino Linotype"/>
          <w:b/>
          <w:color w:val="000000" w:themeColor="text1"/>
        </w:rPr>
        <w:t xml:space="preserve"> </w:t>
      </w:r>
      <w:r w:rsidRPr="00CF14B5">
        <w:rPr>
          <w:rFonts w:ascii="Palatino Linotype" w:eastAsia="Palatino Linotype" w:hAnsi="Palatino Linotype" w:cs="Palatino Linotype"/>
          <w:b/>
          <w:color w:val="000000" w:themeColor="text1"/>
        </w:rPr>
        <w:t>E</w:t>
      </w:r>
      <w:r w:rsidR="00FA7149">
        <w:rPr>
          <w:rFonts w:ascii="Palatino Linotype" w:eastAsia="Palatino Linotype" w:hAnsi="Palatino Linotype" w:cs="Palatino Linotype"/>
          <w:b/>
          <w:color w:val="000000" w:themeColor="text1"/>
        </w:rPr>
        <w:t xml:space="preserve"> </w:t>
      </w:r>
      <w:r w:rsidRPr="00CF14B5">
        <w:rPr>
          <w:rFonts w:ascii="Palatino Linotype" w:eastAsia="Palatino Linotype" w:hAnsi="Palatino Linotype" w:cs="Palatino Linotype"/>
          <w:b/>
          <w:color w:val="000000" w:themeColor="text1"/>
        </w:rPr>
        <w:t>R</w:t>
      </w:r>
      <w:r w:rsidR="00FA7149">
        <w:rPr>
          <w:rFonts w:ascii="Palatino Linotype" w:eastAsia="Palatino Linotype" w:hAnsi="Palatino Linotype" w:cs="Palatino Linotype"/>
          <w:b/>
          <w:color w:val="000000" w:themeColor="text1"/>
        </w:rPr>
        <w:t xml:space="preserve"> </w:t>
      </w:r>
      <w:r w:rsidRPr="00CF14B5">
        <w:rPr>
          <w:rFonts w:ascii="Palatino Linotype" w:eastAsia="Palatino Linotype" w:hAnsi="Palatino Linotype" w:cs="Palatino Linotype"/>
          <w:b/>
          <w:color w:val="000000" w:themeColor="text1"/>
        </w:rPr>
        <w:t>A</w:t>
      </w:r>
      <w:r w:rsidR="00FA7149">
        <w:rPr>
          <w:rFonts w:ascii="Palatino Linotype" w:eastAsia="Palatino Linotype" w:hAnsi="Palatino Linotype" w:cs="Palatino Linotype"/>
          <w:b/>
          <w:color w:val="000000" w:themeColor="text1"/>
        </w:rPr>
        <w:t xml:space="preserve"> </w:t>
      </w:r>
      <w:r w:rsidRPr="00CF14B5">
        <w:rPr>
          <w:rFonts w:ascii="Palatino Linotype" w:eastAsia="Palatino Linotype" w:hAnsi="Palatino Linotype" w:cs="Palatino Linotype"/>
          <w:b/>
          <w:color w:val="000000" w:themeColor="text1"/>
        </w:rPr>
        <w:t>N</w:t>
      </w:r>
      <w:r w:rsidR="00FA7149">
        <w:rPr>
          <w:rFonts w:ascii="Palatino Linotype" w:eastAsia="Palatino Linotype" w:hAnsi="Palatino Linotype" w:cs="Palatino Linotype"/>
          <w:b/>
          <w:color w:val="000000" w:themeColor="text1"/>
        </w:rPr>
        <w:t xml:space="preserve"> </w:t>
      </w:r>
      <w:r w:rsidRPr="00CF14B5">
        <w:rPr>
          <w:rFonts w:ascii="Palatino Linotype" w:eastAsia="Palatino Linotype" w:hAnsi="Palatino Linotype" w:cs="Palatino Linotype"/>
          <w:b/>
          <w:color w:val="000000" w:themeColor="text1"/>
        </w:rPr>
        <w:t>D</w:t>
      </w:r>
      <w:r w:rsidR="00FA7149">
        <w:rPr>
          <w:rFonts w:ascii="Palatino Linotype" w:eastAsia="Palatino Linotype" w:hAnsi="Palatino Linotype" w:cs="Palatino Linotype"/>
          <w:b/>
          <w:color w:val="000000" w:themeColor="text1"/>
        </w:rPr>
        <w:t xml:space="preserve"> </w:t>
      </w:r>
      <w:r w:rsidRPr="00CF14B5">
        <w:rPr>
          <w:rFonts w:ascii="Palatino Linotype" w:eastAsia="Palatino Linotype" w:hAnsi="Palatino Linotype" w:cs="Palatino Linotype"/>
          <w:b/>
          <w:color w:val="000000" w:themeColor="text1"/>
        </w:rPr>
        <w:t xml:space="preserve">O </w:t>
      </w:r>
    </w:p>
    <w:p w:rsidR="00D37F8E" w:rsidRPr="00CF14B5" w:rsidRDefault="00D37F8E" w:rsidP="00CF14B5">
      <w:pPr>
        <w:spacing w:line="360" w:lineRule="auto"/>
        <w:rPr>
          <w:rFonts w:ascii="Palatino Linotype" w:eastAsia="Palatino Linotype" w:hAnsi="Palatino Linotype" w:cs="Palatino Linotype"/>
          <w:color w:val="000000" w:themeColor="text1"/>
        </w:rPr>
      </w:pPr>
    </w:p>
    <w:p w:rsidR="00D37F8E" w:rsidRPr="00CF14B5" w:rsidRDefault="00A26763" w:rsidP="00CF14B5">
      <w:pPr>
        <w:keepNext/>
        <w:keepLines/>
        <w:spacing w:line="360" w:lineRule="auto"/>
        <w:rPr>
          <w:rFonts w:ascii="Palatino Linotype" w:eastAsia="Palatino Linotype" w:hAnsi="Palatino Linotype" w:cs="Palatino Linotype"/>
          <w:b/>
          <w:color w:val="000000" w:themeColor="text1"/>
        </w:rPr>
      </w:pPr>
      <w:bookmarkStart w:id="3" w:name="_heading=h.1fob9te" w:colFirst="0" w:colLast="0"/>
      <w:bookmarkEnd w:id="3"/>
      <w:r w:rsidRPr="00CF14B5">
        <w:rPr>
          <w:rFonts w:ascii="Palatino Linotype" w:eastAsia="Palatino Linotype" w:hAnsi="Palatino Linotype" w:cs="Palatino Linotype"/>
          <w:b/>
          <w:color w:val="000000" w:themeColor="text1"/>
        </w:rPr>
        <w:t>PRIMERO. De la competencia</w:t>
      </w:r>
    </w:p>
    <w:p w:rsidR="00D37F8E" w:rsidRPr="00CF14B5" w:rsidRDefault="00A26763" w:rsidP="00CF14B5">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rsidR="00D37F8E" w:rsidRPr="00CF14B5" w:rsidRDefault="00D37F8E" w:rsidP="00CF14B5">
      <w:pPr>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keepNext/>
        <w:keepLines/>
        <w:spacing w:line="360" w:lineRule="auto"/>
        <w:rPr>
          <w:rFonts w:ascii="Palatino Linotype" w:eastAsia="Palatino Linotype" w:hAnsi="Palatino Linotype" w:cs="Palatino Linotype"/>
          <w:b/>
          <w:color w:val="000000" w:themeColor="text1"/>
        </w:rPr>
      </w:pPr>
      <w:bookmarkStart w:id="4" w:name="_heading=h.3znysh7" w:colFirst="0" w:colLast="0"/>
      <w:bookmarkEnd w:id="4"/>
      <w:r w:rsidRPr="00CF14B5">
        <w:rPr>
          <w:rFonts w:ascii="Palatino Linotype" w:eastAsia="Palatino Linotype" w:hAnsi="Palatino Linotype" w:cs="Palatino Linotype"/>
          <w:b/>
          <w:color w:val="000000" w:themeColor="text1"/>
        </w:rPr>
        <w:t>SEGUNDO. De la oportunidad y procedencia.</w:t>
      </w:r>
    </w:p>
    <w:p w:rsidR="00D37F8E" w:rsidRPr="00CF14B5" w:rsidRDefault="00A26763" w:rsidP="00CF14B5">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 xml:space="preserve">El medio de impugnación fue presentado a través del </w:t>
      </w:r>
      <w:r w:rsidRPr="00CF14B5">
        <w:rPr>
          <w:rFonts w:ascii="Palatino Linotype" w:eastAsia="Palatino Linotype" w:hAnsi="Palatino Linotype" w:cs="Palatino Linotype"/>
          <w:b/>
          <w:color w:val="000000" w:themeColor="text1"/>
        </w:rPr>
        <w:t>SAIMEX,</w:t>
      </w:r>
      <w:r w:rsidRPr="00CF14B5">
        <w:rPr>
          <w:rFonts w:ascii="Palatino Linotype" w:eastAsia="Palatino Linotype" w:hAnsi="Palatino Linotype" w:cs="Palatino Linotype"/>
          <w:color w:val="000000" w:themeColor="text1"/>
        </w:rPr>
        <w:t xml:space="preserve"> en el formato previamente aprobado para tal efecto y dentro del plazo legal de quince días hábiles otorgados; para el caso en particular es de señalar que el </w:t>
      </w:r>
      <w:r w:rsidRPr="00CF14B5">
        <w:rPr>
          <w:rFonts w:ascii="Palatino Linotype" w:eastAsia="Palatino Linotype" w:hAnsi="Palatino Linotype" w:cs="Palatino Linotype"/>
          <w:b/>
          <w:color w:val="000000" w:themeColor="text1"/>
        </w:rPr>
        <w:t>SUJETO OBLIGADO</w:t>
      </w:r>
      <w:r w:rsidRPr="00CF14B5">
        <w:rPr>
          <w:rFonts w:ascii="Palatino Linotype" w:eastAsia="Palatino Linotype" w:hAnsi="Palatino Linotype" w:cs="Palatino Linotype"/>
          <w:color w:val="000000" w:themeColor="text1"/>
        </w:rPr>
        <w:t xml:space="preserve"> entregó </w:t>
      </w:r>
      <w:r w:rsidRPr="00CF14B5">
        <w:rPr>
          <w:rFonts w:ascii="Palatino Linotype" w:eastAsia="Palatino Linotype" w:hAnsi="Palatino Linotype" w:cs="Palatino Linotype"/>
          <w:color w:val="000000" w:themeColor="text1"/>
        </w:rPr>
        <w:lastRenderedPageBreak/>
        <w:t xml:space="preserve">respuesta el día </w:t>
      </w:r>
      <w:r w:rsidRPr="00CF14B5">
        <w:rPr>
          <w:rFonts w:ascii="Palatino Linotype" w:eastAsia="Palatino Linotype" w:hAnsi="Palatino Linotype" w:cs="Palatino Linotype"/>
          <w:b/>
          <w:color w:val="000000" w:themeColor="text1"/>
        </w:rPr>
        <w:t>veintiséis de mayo de dos mil veintitrés</w:t>
      </w:r>
      <w:r w:rsidRPr="00CF14B5">
        <w:rPr>
          <w:rFonts w:ascii="Palatino Linotype" w:eastAsia="Palatino Linotype" w:hAnsi="Palatino Linotype" w:cs="Palatino Linotype"/>
          <w:color w:val="000000" w:themeColor="text1"/>
        </w:rPr>
        <w:t xml:space="preserve">, de tal forma que el plazo para interponer el recurso transcurrió del día </w:t>
      </w:r>
      <w:r w:rsidRPr="00CF14B5">
        <w:rPr>
          <w:rFonts w:ascii="Palatino Linotype" w:eastAsia="Palatino Linotype" w:hAnsi="Palatino Linotype" w:cs="Palatino Linotype"/>
          <w:b/>
          <w:color w:val="000000" w:themeColor="text1"/>
        </w:rPr>
        <w:t>veintisiete de mayo al dieciséis de junio del dos mil veinticinco</w:t>
      </w:r>
      <w:r w:rsidRPr="00CF14B5">
        <w:rPr>
          <w:rFonts w:ascii="Palatino Linotype" w:eastAsia="Palatino Linotype" w:hAnsi="Palatino Linotype" w:cs="Palatino Linotype"/>
          <w:color w:val="000000" w:themeColor="text1"/>
        </w:rPr>
        <w:t xml:space="preserve">; en consecuencia, si el </w:t>
      </w:r>
      <w:r w:rsidRPr="00CF14B5">
        <w:rPr>
          <w:rFonts w:ascii="Palatino Linotype" w:eastAsia="Palatino Linotype" w:hAnsi="Palatino Linotype" w:cs="Palatino Linotype"/>
          <w:b/>
          <w:color w:val="000000" w:themeColor="text1"/>
        </w:rPr>
        <w:t>PARTICULAR</w:t>
      </w:r>
      <w:r w:rsidRPr="00CF14B5">
        <w:rPr>
          <w:rFonts w:ascii="Palatino Linotype" w:eastAsia="Palatino Linotype" w:hAnsi="Palatino Linotype" w:cs="Palatino Linotype"/>
          <w:color w:val="000000" w:themeColor="text1"/>
        </w:rPr>
        <w:t xml:space="preserve"> presentó su inconformidad el día </w:t>
      </w:r>
      <w:r w:rsidRPr="00CF14B5">
        <w:rPr>
          <w:rFonts w:ascii="Palatino Linotype" w:eastAsia="Palatino Linotype" w:hAnsi="Palatino Linotype" w:cs="Palatino Linotype"/>
          <w:b/>
          <w:color w:val="000000" w:themeColor="text1"/>
        </w:rPr>
        <w:t>veintiséis de mayo de dos mil veinticinco</w:t>
      </w:r>
      <w:r w:rsidRPr="00CF14B5">
        <w:rPr>
          <w:rFonts w:ascii="Palatino Linotype" w:eastAsia="Palatino Linotype" w:hAnsi="Palatino Linotype" w:cs="Palatino Linotype"/>
          <w:color w:val="000000" w:themeColor="text1"/>
        </w:rPr>
        <w:t xml:space="preserve">, este  se encuentra dentro de los márgenes temporales previstos en el artículo 178 de la </w:t>
      </w:r>
      <w:r w:rsidRPr="00CF14B5">
        <w:rPr>
          <w:rFonts w:ascii="Palatino Linotype" w:eastAsia="Palatino Linotype" w:hAnsi="Palatino Linotype" w:cs="Palatino Linotype"/>
          <w:b/>
          <w:color w:val="000000" w:themeColor="text1"/>
        </w:rPr>
        <w:t xml:space="preserve">Ley de Transparencia y Acceso a la Información Pública del Estado de México y Municipios </w:t>
      </w:r>
      <w:r w:rsidRPr="00CF14B5">
        <w:rPr>
          <w:rFonts w:ascii="Palatino Linotype" w:eastAsia="Palatino Linotype" w:hAnsi="Palatino Linotype" w:cs="Palatino Linotype"/>
          <w:color w:val="000000" w:themeColor="text1"/>
        </w:rPr>
        <w:t xml:space="preserve">vigente. </w:t>
      </w:r>
    </w:p>
    <w:p w:rsidR="00D37F8E" w:rsidRPr="00CF14B5" w:rsidRDefault="00D37F8E" w:rsidP="00CF14B5">
      <w:pPr>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numPr>
          <w:ilvl w:val="0"/>
          <w:numId w:val="4"/>
        </w:numPr>
        <w:spacing w:line="360" w:lineRule="auto"/>
        <w:ind w:left="0" w:firstLine="0"/>
        <w:jc w:val="both"/>
        <w:rPr>
          <w:rFonts w:ascii="Palatino Linotype" w:eastAsia="Palatino Linotype" w:hAnsi="Palatino Linotype" w:cs="Palatino Linotype"/>
          <w:color w:val="000000" w:themeColor="text1"/>
        </w:rPr>
      </w:pPr>
      <w:bookmarkStart w:id="5" w:name="_heading=h.2et92p0" w:colFirst="0" w:colLast="0"/>
      <w:bookmarkEnd w:id="5"/>
      <w:r w:rsidRPr="00CF14B5">
        <w:rPr>
          <w:rFonts w:ascii="Palatino Linotype" w:eastAsia="Palatino Linotype" w:hAnsi="Palatino Linotype" w:cs="Palatino Linotype"/>
          <w:color w:val="000000" w:themeColor="text1"/>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D37F8E" w:rsidRPr="00CF14B5" w:rsidRDefault="00D37F8E" w:rsidP="00CF14B5">
      <w:pPr>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pStyle w:val="Ttulo2"/>
        <w:rPr>
          <w:rFonts w:ascii="Palatino Linotype" w:eastAsia="Palatino Linotype" w:hAnsi="Palatino Linotype" w:cs="Palatino Linotype"/>
          <w:b/>
          <w:i/>
          <w:color w:val="000000" w:themeColor="text1"/>
          <w:sz w:val="24"/>
          <w:szCs w:val="24"/>
        </w:rPr>
      </w:pPr>
      <w:bookmarkStart w:id="6" w:name="_heading=h.tyjcwt" w:colFirst="0" w:colLast="0"/>
      <w:bookmarkEnd w:id="6"/>
      <w:r w:rsidRPr="00CF14B5">
        <w:rPr>
          <w:rFonts w:ascii="Palatino Linotype" w:eastAsia="Palatino Linotype" w:hAnsi="Palatino Linotype" w:cs="Palatino Linotype"/>
          <w:b/>
          <w:color w:val="000000" w:themeColor="text1"/>
          <w:sz w:val="24"/>
          <w:szCs w:val="24"/>
        </w:rPr>
        <w:t xml:space="preserve">TERCERO. Del planteamiento de la </w:t>
      </w:r>
      <w:r w:rsidRPr="00CF14B5">
        <w:rPr>
          <w:rFonts w:ascii="Palatino Linotype" w:eastAsia="Palatino Linotype" w:hAnsi="Palatino Linotype" w:cs="Palatino Linotype"/>
          <w:b/>
          <w:i/>
          <w:color w:val="000000" w:themeColor="text1"/>
          <w:sz w:val="24"/>
          <w:szCs w:val="24"/>
        </w:rPr>
        <w:t>Litis.</w:t>
      </w:r>
    </w:p>
    <w:p w:rsidR="00D37F8E" w:rsidRPr="00CF14B5" w:rsidRDefault="00A26763" w:rsidP="00CF14B5">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Se solicitó tener acceso, a la información que a continuación se desagrega:</w:t>
      </w:r>
    </w:p>
    <w:p w:rsidR="00D37F8E" w:rsidRPr="00CF14B5" w:rsidRDefault="00A26763" w:rsidP="00CF14B5">
      <w:pPr>
        <w:numPr>
          <w:ilvl w:val="0"/>
          <w:numId w:val="3"/>
        </w:numPr>
        <w:pBdr>
          <w:top w:val="nil"/>
          <w:left w:val="nil"/>
          <w:bottom w:val="nil"/>
          <w:right w:val="nil"/>
          <w:between w:val="nil"/>
        </w:pBdr>
        <w:spacing w:line="276"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 xml:space="preserve">Los recibos de nómina del ejercicio 2025 de la C. Lidia Beatriz Sandoval Esquivel, adscrita al DIF de San José del Rincón, de la administración actual 2025-2027, </w:t>
      </w:r>
    </w:p>
    <w:p w:rsidR="00D37F8E" w:rsidRPr="00CF14B5" w:rsidRDefault="00A26763" w:rsidP="00CF14B5">
      <w:pPr>
        <w:numPr>
          <w:ilvl w:val="0"/>
          <w:numId w:val="3"/>
        </w:numPr>
        <w:pBdr>
          <w:top w:val="nil"/>
          <w:left w:val="nil"/>
          <w:bottom w:val="nil"/>
          <w:right w:val="nil"/>
          <w:between w:val="nil"/>
        </w:pBdr>
        <w:spacing w:line="276"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 xml:space="preserve">El grado máximo de estudios de la servidora pública. </w:t>
      </w:r>
    </w:p>
    <w:p w:rsidR="00D37F8E" w:rsidRPr="00CF14B5" w:rsidRDefault="00A26763" w:rsidP="00CF14B5">
      <w:pPr>
        <w:numPr>
          <w:ilvl w:val="0"/>
          <w:numId w:val="3"/>
        </w:numPr>
        <w:pBdr>
          <w:top w:val="nil"/>
          <w:left w:val="nil"/>
          <w:bottom w:val="nil"/>
          <w:right w:val="nil"/>
          <w:between w:val="nil"/>
        </w:pBdr>
        <w:spacing w:line="276"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Las listas de asistencia de la servidora pública, donde se vean sus asistencias durante los meses de enero al mes de mayo, y si fuera el caso el registro de asistencia que arroja el reloj o sistema digital de asistencia.</w:t>
      </w:r>
    </w:p>
    <w:p w:rsidR="00D37F8E" w:rsidRPr="00CF14B5" w:rsidRDefault="00D37F8E" w:rsidP="00CF14B5">
      <w:pPr>
        <w:pBdr>
          <w:top w:val="nil"/>
          <w:left w:val="nil"/>
          <w:bottom w:val="nil"/>
          <w:right w:val="nil"/>
          <w:between w:val="nil"/>
        </w:pBdr>
        <w:spacing w:line="276" w:lineRule="auto"/>
        <w:jc w:val="both"/>
        <w:rPr>
          <w:rFonts w:ascii="Palatino Linotype" w:eastAsia="Palatino Linotype" w:hAnsi="Palatino Linotype" w:cs="Palatino Linotype"/>
          <w:color w:val="000000" w:themeColor="text1"/>
        </w:rPr>
      </w:pPr>
    </w:p>
    <w:p w:rsidR="00D37F8E" w:rsidRPr="00CF14B5" w:rsidRDefault="00A26763" w:rsidP="00CF14B5">
      <w:pPr>
        <w:numPr>
          <w:ilvl w:val="0"/>
          <w:numId w:val="4"/>
        </w:numPr>
        <w:spacing w:line="360" w:lineRule="auto"/>
        <w:ind w:left="0" w:firstLine="0"/>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color w:val="000000" w:themeColor="text1"/>
        </w:rPr>
        <w:t xml:space="preserve">En respuesta el </w:t>
      </w:r>
      <w:r w:rsidRPr="00CF14B5">
        <w:rPr>
          <w:rFonts w:ascii="Palatino Linotype" w:eastAsia="Palatino Linotype" w:hAnsi="Palatino Linotype" w:cs="Palatino Linotype"/>
          <w:b/>
          <w:color w:val="000000" w:themeColor="text1"/>
        </w:rPr>
        <w:t xml:space="preserve">SUJETO OBLIGADO, </w:t>
      </w:r>
      <w:r w:rsidRPr="00CF14B5">
        <w:rPr>
          <w:rFonts w:ascii="Palatino Linotype" w:eastAsia="Palatino Linotype" w:hAnsi="Palatino Linotype" w:cs="Palatino Linotype"/>
          <w:color w:val="000000" w:themeColor="text1"/>
        </w:rPr>
        <w:t>informo que la C. Lidia Beatriz Sandoval Esquivel no se encuentra adscrita a este Sistema Municipal para el Desarrollo Integral de la Familia de San José del Rincón.</w:t>
      </w:r>
    </w:p>
    <w:p w:rsidR="00D37F8E" w:rsidRPr="00CF14B5" w:rsidRDefault="00D37F8E" w:rsidP="00CF14B5">
      <w:pPr>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lastRenderedPageBreak/>
        <w:t xml:space="preserve">Inconforme con lo anterior, el ahora </w:t>
      </w:r>
      <w:r w:rsidRPr="00CF14B5">
        <w:rPr>
          <w:rFonts w:ascii="Palatino Linotype" w:eastAsia="Palatino Linotype" w:hAnsi="Palatino Linotype" w:cs="Palatino Linotype"/>
          <w:b/>
          <w:color w:val="000000" w:themeColor="text1"/>
        </w:rPr>
        <w:t xml:space="preserve">RECURRENTE </w:t>
      </w:r>
      <w:r w:rsidRPr="00CF14B5">
        <w:rPr>
          <w:rFonts w:ascii="Palatino Linotype" w:eastAsia="Palatino Linotype" w:hAnsi="Palatino Linotype" w:cs="Palatino Linotype"/>
          <w:color w:val="000000" w:themeColor="text1"/>
        </w:rPr>
        <w:t>interpuso Recurso de Revisión arguyendo la negativa de la información.</w:t>
      </w:r>
    </w:p>
    <w:p w:rsidR="00D37F8E" w:rsidRPr="00CF14B5" w:rsidRDefault="00D37F8E" w:rsidP="00CF14B5">
      <w:pPr>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 xml:space="preserve">En dichas condiciones, la </w:t>
      </w:r>
      <w:r w:rsidRPr="00CF14B5">
        <w:rPr>
          <w:rFonts w:ascii="Palatino Linotype" w:eastAsia="Palatino Linotype" w:hAnsi="Palatino Linotype" w:cs="Palatino Linotype"/>
          <w:i/>
          <w:color w:val="000000" w:themeColor="text1"/>
        </w:rPr>
        <w:t>Litis</w:t>
      </w:r>
      <w:r w:rsidRPr="00CF14B5">
        <w:rPr>
          <w:rFonts w:ascii="Palatino Linotype" w:eastAsia="Palatino Linotype" w:hAnsi="Palatino Linotype" w:cs="Palatino Linotype"/>
          <w:color w:val="000000" w:themeColor="text1"/>
        </w:rPr>
        <w:t xml:space="preserve"> a resolver en este recurso se circunscribe a determinar si se actualiza la causal de procedencia prevista en el artículo 179, fracción</w:t>
      </w:r>
      <w:r w:rsidRPr="00CF14B5">
        <w:rPr>
          <w:rFonts w:ascii="Palatino Linotype" w:eastAsia="Palatino Linotype" w:hAnsi="Palatino Linotype" w:cs="Palatino Linotype"/>
          <w:b/>
          <w:color w:val="000000" w:themeColor="text1"/>
        </w:rPr>
        <w:t xml:space="preserve"> I</w:t>
      </w:r>
      <w:r w:rsidRPr="00CF14B5">
        <w:rPr>
          <w:rFonts w:ascii="Palatino Linotype" w:eastAsia="Palatino Linotype" w:hAnsi="Palatino Linotype" w:cs="Palatino Linotype"/>
          <w:color w:val="000000" w:themeColor="text1"/>
        </w:rPr>
        <w:t xml:space="preserve"> de la </w:t>
      </w:r>
      <w:r w:rsidRPr="00CF14B5">
        <w:rPr>
          <w:rFonts w:ascii="Palatino Linotype" w:eastAsia="Palatino Linotype" w:hAnsi="Palatino Linotype" w:cs="Palatino Linotype"/>
          <w:b/>
          <w:color w:val="000000" w:themeColor="text1"/>
        </w:rPr>
        <w:t>Ley de Transparencia y Acceso a la Información Pública del Estado de México y Municipios</w:t>
      </w:r>
      <w:r w:rsidRPr="00CF14B5">
        <w:rPr>
          <w:rFonts w:ascii="Palatino Linotype" w:eastAsia="Palatino Linotype" w:hAnsi="Palatino Linotype" w:cs="Palatino Linotype"/>
          <w:color w:val="000000" w:themeColor="text1"/>
        </w:rPr>
        <w:t xml:space="preserve">; fracción que determina las hipótesis jurídica relativa a La negativa a la información solicitada; contexto del cual se dolió </w:t>
      </w:r>
      <w:r w:rsidRPr="00CF14B5">
        <w:rPr>
          <w:rFonts w:ascii="Palatino Linotype" w:eastAsia="Palatino Linotype" w:hAnsi="Palatino Linotype" w:cs="Palatino Linotype"/>
          <w:b/>
          <w:color w:val="000000" w:themeColor="text1"/>
        </w:rPr>
        <w:t xml:space="preserve">EL RECURRENTE </w:t>
      </w:r>
      <w:r w:rsidRPr="00CF14B5">
        <w:rPr>
          <w:rFonts w:ascii="Palatino Linotype" w:eastAsia="Palatino Linotype" w:hAnsi="Palatino Linotype" w:cs="Palatino Linotype"/>
          <w:color w:val="000000" w:themeColor="text1"/>
        </w:rPr>
        <w:t>al momento de interponer su inconformidad.</w:t>
      </w:r>
    </w:p>
    <w:p w:rsidR="00D37F8E" w:rsidRPr="00CF14B5" w:rsidRDefault="00D37F8E" w:rsidP="00CF14B5">
      <w:pPr>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 xml:space="preserve"> De modo tal que, el presente recurso de revisión se abocara en determinar si el </w:t>
      </w:r>
      <w:r w:rsidRPr="00CF14B5">
        <w:rPr>
          <w:rFonts w:ascii="Palatino Linotype" w:eastAsia="Palatino Linotype" w:hAnsi="Palatino Linotype" w:cs="Palatino Linotype"/>
          <w:b/>
          <w:color w:val="000000" w:themeColor="text1"/>
        </w:rPr>
        <w:t>SUJETO</w:t>
      </w:r>
      <w:r w:rsidRPr="00CF14B5">
        <w:rPr>
          <w:rFonts w:ascii="Palatino Linotype" w:eastAsia="Palatino Linotype" w:hAnsi="Palatino Linotype" w:cs="Palatino Linotype"/>
          <w:color w:val="000000" w:themeColor="text1"/>
        </w:rPr>
        <w:t xml:space="preserve"> </w:t>
      </w:r>
      <w:r w:rsidRPr="00CF14B5">
        <w:rPr>
          <w:rFonts w:ascii="Palatino Linotype" w:eastAsia="Palatino Linotype" w:hAnsi="Palatino Linotype" w:cs="Palatino Linotype"/>
          <w:b/>
          <w:color w:val="000000" w:themeColor="text1"/>
        </w:rPr>
        <w:t>OBLIGADO</w:t>
      </w:r>
      <w:r w:rsidRPr="00CF14B5">
        <w:rPr>
          <w:rFonts w:ascii="Palatino Linotype" w:eastAsia="Palatino Linotype" w:hAnsi="Palatino Linotype" w:cs="Palatino Linotype"/>
          <w:color w:val="000000" w:themeColor="text1"/>
        </w:rPr>
        <w:t xml:space="preserve"> con su respuesta ciertamente actualiza la causal de procedencia</w:t>
      </w:r>
      <w:r w:rsidRPr="00CF14B5">
        <w:rPr>
          <w:rFonts w:ascii="Palatino Linotype" w:eastAsia="Palatino Linotype" w:hAnsi="Palatino Linotype" w:cs="Palatino Linotype"/>
          <w:b/>
          <w:color w:val="000000" w:themeColor="text1"/>
        </w:rPr>
        <w:t xml:space="preserve"> </w:t>
      </w:r>
      <w:r w:rsidRPr="00CF14B5">
        <w:rPr>
          <w:rFonts w:ascii="Palatino Linotype" w:eastAsia="Palatino Linotype" w:hAnsi="Palatino Linotype" w:cs="Palatino Linotype"/>
          <w:color w:val="000000" w:themeColor="text1"/>
        </w:rPr>
        <w:t>antes señalada. Así como comprobar si la respuesta emitida resulta congruente e integral en términos del artículo 11 de la ley de la materia.</w:t>
      </w:r>
    </w:p>
    <w:p w:rsidR="00D37F8E" w:rsidRPr="00CF14B5" w:rsidRDefault="00D37F8E" w:rsidP="00CF14B5">
      <w:pPr>
        <w:pBdr>
          <w:top w:val="nil"/>
          <w:left w:val="nil"/>
          <w:bottom w:val="nil"/>
          <w:right w:val="nil"/>
          <w:between w:val="nil"/>
        </w:pBdr>
        <w:rPr>
          <w:rFonts w:ascii="Palatino Linotype" w:eastAsia="Palatino Linotype" w:hAnsi="Palatino Linotype" w:cs="Palatino Linotype"/>
          <w:color w:val="000000" w:themeColor="text1"/>
        </w:rPr>
      </w:pPr>
    </w:p>
    <w:p w:rsidR="00D37F8E" w:rsidRPr="00CF14B5" w:rsidRDefault="00A26763" w:rsidP="00CF14B5">
      <w:pPr>
        <w:pStyle w:val="Ttulo2"/>
        <w:rPr>
          <w:rFonts w:ascii="Palatino Linotype" w:eastAsia="Palatino Linotype" w:hAnsi="Palatino Linotype" w:cs="Palatino Linotype"/>
          <w:b/>
          <w:color w:val="000000" w:themeColor="text1"/>
          <w:sz w:val="24"/>
          <w:szCs w:val="24"/>
        </w:rPr>
      </w:pPr>
      <w:bookmarkStart w:id="7" w:name="_heading=h.3dy6vkm" w:colFirst="0" w:colLast="0"/>
      <w:bookmarkEnd w:id="7"/>
      <w:r w:rsidRPr="00CF14B5">
        <w:rPr>
          <w:rFonts w:ascii="Palatino Linotype" w:eastAsia="Palatino Linotype" w:hAnsi="Palatino Linotype" w:cs="Palatino Linotype"/>
          <w:b/>
          <w:color w:val="000000" w:themeColor="text1"/>
          <w:sz w:val="24"/>
          <w:szCs w:val="24"/>
        </w:rPr>
        <w:t>CUARTO. Del estudio y resolución del asunto.</w:t>
      </w:r>
    </w:p>
    <w:p w:rsidR="00D37F8E" w:rsidRPr="00CF14B5" w:rsidRDefault="00A26763" w:rsidP="00CF14B5">
      <w:pPr>
        <w:numPr>
          <w:ilvl w:val="0"/>
          <w:numId w:val="4"/>
        </w:numPr>
        <w:spacing w:line="360" w:lineRule="auto"/>
        <w:ind w:left="0" w:firstLine="0"/>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color w:val="000000" w:themeColor="text1"/>
        </w:rPr>
        <w:t xml:space="preserve">Acotada la </w:t>
      </w:r>
      <w:r w:rsidRPr="00CF14B5">
        <w:rPr>
          <w:rFonts w:ascii="Palatino Linotype" w:eastAsia="Palatino Linotype" w:hAnsi="Palatino Linotype" w:cs="Palatino Linotype"/>
          <w:i/>
          <w:color w:val="000000" w:themeColor="text1"/>
        </w:rPr>
        <w:t xml:space="preserve">Litis </w:t>
      </w:r>
      <w:r w:rsidRPr="00CF14B5">
        <w:rPr>
          <w:rFonts w:ascii="Palatino Linotype" w:eastAsia="Palatino Linotype" w:hAnsi="Palatino Linotype" w:cs="Palatino Linotype"/>
          <w:color w:val="000000" w:themeColor="text1"/>
        </w:rPr>
        <w:t xml:space="preserve">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CF14B5">
        <w:rPr>
          <w:rFonts w:ascii="Palatino Linotype" w:eastAsia="Palatino Linotype" w:hAnsi="Palatino Linotype" w:cs="Palatino Linotype"/>
          <w:b/>
          <w:color w:val="000000" w:themeColor="text1"/>
        </w:rPr>
        <w:t>Ley de Transparencia y Acceso a la Información Pública del Estado de México y Municipios</w:t>
      </w:r>
      <w:r w:rsidRPr="00CF14B5">
        <w:rPr>
          <w:rFonts w:ascii="Palatino Linotype" w:eastAsia="Palatino Linotype" w:hAnsi="Palatino Linotype" w:cs="Palatino Linotype"/>
          <w:color w:val="000000" w:themeColor="text1"/>
        </w:rPr>
        <w:t>.</w:t>
      </w:r>
    </w:p>
    <w:p w:rsidR="00D37F8E" w:rsidRPr="00CF14B5" w:rsidRDefault="00D37F8E" w:rsidP="00CF14B5">
      <w:pPr>
        <w:spacing w:line="360" w:lineRule="auto"/>
        <w:jc w:val="both"/>
        <w:rPr>
          <w:rFonts w:ascii="Palatino Linotype" w:eastAsia="Palatino Linotype" w:hAnsi="Palatino Linotype" w:cs="Palatino Linotype"/>
          <w:i/>
          <w:color w:val="000000" w:themeColor="text1"/>
        </w:rPr>
      </w:pPr>
    </w:p>
    <w:p w:rsidR="00D37F8E" w:rsidRPr="00CF14B5" w:rsidRDefault="00A26763" w:rsidP="00CF14B5">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Precisado lo anterior, respecto la fuente obligacional, se advierte lo siguiente:</w:t>
      </w:r>
    </w:p>
    <w:p w:rsidR="00D37F8E" w:rsidRPr="00CF14B5" w:rsidRDefault="00D37F8E" w:rsidP="00CF14B5">
      <w:pPr>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spacing w:line="360" w:lineRule="auto"/>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noProof/>
          <w:color w:val="000000" w:themeColor="text1"/>
        </w:rPr>
        <w:lastRenderedPageBreak/>
        <w:drawing>
          <wp:inline distT="0" distB="0" distL="0" distR="0">
            <wp:extent cx="5742940" cy="351218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742940" cy="3512185"/>
                    </a:xfrm>
                    <a:prstGeom prst="rect">
                      <a:avLst/>
                    </a:prstGeom>
                    <a:ln/>
                  </pic:spPr>
                </pic:pic>
              </a:graphicData>
            </a:graphic>
          </wp:inline>
        </w:drawing>
      </w:r>
    </w:p>
    <w:p w:rsidR="00D37F8E" w:rsidRPr="00CF14B5" w:rsidRDefault="00D37F8E" w:rsidP="00CF14B5">
      <w:pPr>
        <w:spacing w:line="360" w:lineRule="auto"/>
        <w:jc w:val="both"/>
        <w:rPr>
          <w:rFonts w:ascii="Palatino Linotype" w:eastAsia="Palatino Linotype" w:hAnsi="Palatino Linotype" w:cs="Palatino Linotype"/>
          <w:color w:val="000000" w:themeColor="text1"/>
        </w:rPr>
      </w:pPr>
    </w:p>
    <w:p w:rsidR="00D37F8E" w:rsidRDefault="00A26763" w:rsidP="00CF14B5">
      <w:pPr>
        <w:numPr>
          <w:ilvl w:val="0"/>
          <w:numId w:val="4"/>
        </w:numPr>
        <w:spacing w:line="360" w:lineRule="auto"/>
        <w:ind w:left="0" w:firstLine="0"/>
        <w:jc w:val="both"/>
        <w:rPr>
          <w:rFonts w:ascii="Palatino Linotype" w:eastAsia="Palatino Linotype" w:hAnsi="Palatino Linotype" w:cs="Palatino Linotype"/>
          <w:color w:val="000000" w:themeColor="text1"/>
          <w:u w:val="single"/>
        </w:rPr>
      </w:pPr>
      <w:r w:rsidRPr="00CF14B5">
        <w:rPr>
          <w:rFonts w:ascii="Palatino Linotype" w:eastAsia="Palatino Linotype" w:hAnsi="Palatino Linotype" w:cs="Palatino Linotype"/>
          <w:color w:val="000000" w:themeColor="text1"/>
        </w:rPr>
        <w:t xml:space="preserve">Ahora bien, respecto lo solicitado, el Tesorero Municipal, informo que la C. Lidia Beatriz Sandoval Esquivel </w:t>
      </w:r>
      <w:r w:rsidRPr="00CF14B5">
        <w:rPr>
          <w:rFonts w:ascii="Palatino Linotype" w:eastAsia="Palatino Linotype" w:hAnsi="Palatino Linotype" w:cs="Palatino Linotype"/>
          <w:color w:val="000000" w:themeColor="text1"/>
          <w:u w:val="single"/>
        </w:rPr>
        <w:t>no se encuentra adscrita a este Sistema Municipal para el Desarrollo Integral de la Familia de San José del Rincón.</w:t>
      </w:r>
    </w:p>
    <w:p w:rsidR="00CF14B5" w:rsidRPr="00CF14B5" w:rsidRDefault="00CF14B5" w:rsidP="00CF14B5">
      <w:pPr>
        <w:spacing w:line="360" w:lineRule="auto"/>
        <w:jc w:val="both"/>
        <w:rPr>
          <w:rFonts w:ascii="Palatino Linotype" w:eastAsia="Palatino Linotype" w:hAnsi="Palatino Linotype" w:cs="Palatino Linotype"/>
          <w:color w:val="000000" w:themeColor="text1"/>
          <w:u w:val="single"/>
        </w:rPr>
      </w:pPr>
    </w:p>
    <w:p w:rsidR="00D37F8E" w:rsidRPr="00CF14B5" w:rsidRDefault="00A26763" w:rsidP="00CF14B5">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Atento a lo anterior, este Órgano Resolutor dentro del Directorio de Servidores Públicos del</w:t>
      </w:r>
      <w:r w:rsidRPr="00CF14B5">
        <w:rPr>
          <w:rFonts w:ascii="Palatino Linotype" w:eastAsia="Palatino Linotype" w:hAnsi="Palatino Linotype" w:cs="Palatino Linotype"/>
          <w:b/>
          <w:color w:val="000000" w:themeColor="text1"/>
        </w:rPr>
        <w:t xml:space="preserve"> Sistema Municipal Para el Desarrollo Integral de la Familia de San José del Rincón</w:t>
      </w:r>
      <w:r w:rsidRPr="00CF14B5">
        <w:rPr>
          <w:rFonts w:ascii="Palatino Linotype" w:eastAsia="Palatino Linotype" w:hAnsi="Palatino Linotype" w:cs="Palatino Linotype"/>
          <w:color w:val="000000" w:themeColor="text1"/>
        </w:rPr>
        <w:t xml:space="preserve"> localizó lo siguiente:</w:t>
      </w:r>
    </w:p>
    <w:p w:rsidR="00D37F8E" w:rsidRPr="00CF14B5" w:rsidRDefault="00A26763" w:rsidP="00CF14B5">
      <w:pPr>
        <w:spacing w:line="360" w:lineRule="auto"/>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noProof/>
          <w:color w:val="000000" w:themeColor="text1"/>
        </w:rPr>
        <w:lastRenderedPageBreak/>
        <w:drawing>
          <wp:inline distT="0" distB="0" distL="0" distR="0">
            <wp:extent cx="5742940" cy="2874645"/>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742940" cy="2874645"/>
                    </a:xfrm>
                    <a:prstGeom prst="rect">
                      <a:avLst/>
                    </a:prstGeom>
                    <a:ln/>
                  </pic:spPr>
                </pic:pic>
              </a:graphicData>
            </a:graphic>
          </wp:inline>
        </w:drawing>
      </w:r>
    </w:p>
    <w:p w:rsidR="00D37F8E" w:rsidRDefault="00D37F8E" w:rsidP="00CF14B5">
      <w:pPr>
        <w:spacing w:line="360" w:lineRule="auto"/>
        <w:jc w:val="both"/>
        <w:rPr>
          <w:rFonts w:ascii="Palatino Linotype" w:eastAsia="Palatino Linotype" w:hAnsi="Palatino Linotype" w:cs="Palatino Linotype"/>
          <w:color w:val="000000" w:themeColor="text1"/>
        </w:rPr>
      </w:pPr>
    </w:p>
    <w:p w:rsidR="00FA7149" w:rsidRDefault="00FA7149" w:rsidP="00CF14B5">
      <w:pPr>
        <w:spacing w:line="360" w:lineRule="auto"/>
        <w:jc w:val="both"/>
        <w:rPr>
          <w:rFonts w:ascii="Palatino Linotype" w:eastAsia="Palatino Linotype" w:hAnsi="Palatino Linotype" w:cs="Palatino Linotype"/>
          <w:color w:val="000000" w:themeColor="text1"/>
        </w:rPr>
      </w:pPr>
    </w:p>
    <w:p w:rsidR="00FA7149" w:rsidRPr="00CF14B5" w:rsidRDefault="00FA7149" w:rsidP="00CF14B5">
      <w:pPr>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Posteriormente, dentro del apartado correspondiente al Directorio de Servidores Públicos del  Ayuntamiento de San José del  Rincón, se localizó lo siguiente:</w:t>
      </w:r>
    </w:p>
    <w:p w:rsidR="00D37F8E" w:rsidRPr="00CF14B5" w:rsidRDefault="00A26763" w:rsidP="00CF14B5">
      <w:pPr>
        <w:spacing w:line="360" w:lineRule="auto"/>
        <w:jc w:val="center"/>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noProof/>
          <w:color w:val="000000" w:themeColor="text1"/>
        </w:rPr>
        <w:lastRenderedPageBreak/>
        <w:drawing>
          <wp:inline distT="0" distB="0" distL="0" distR="0">
            <wp:extent cx="5742940" cy="383349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742940" cy="3833495"/>
                    </a:xfrm>
                    <a:prstGeom prst="rect">
                      <a:avLst/>
                    </a:prstGeom>
                    <a:ln/>
                  </pic:spPr>
                </pic:pic>
              </a:graphicData>
            </a:graphic>
          </wp:inline>
        </w:drawing>
      </w:r>
    </w:p>
    <w:p w:rsidR="00D37F8E" w:rsidRPr="00CF14B5" w:rsidRDefault="00D37F8E" w:rsidP="00CF14B5">
      <w:pPr>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spacing w:line="360" w:lineRule="auto"/>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noProof/>
          <w:color w:val="000000" w:themeColor="text1"/>
        </w:rPr>
        <w:lastRenderedPageBreak/>
        <w:drawing>
          <wp:inline distT="0" distB="0" distL="0" distR="0">
            <wp:extent cx="5742940" cy="710565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742940" cy="7105650"/>
                    </a:xfrm>
                    <a:prstGeom prst="rect">
                      <a:avLst/>
                    </a:prstGeom>
                    <a:ln/>
                  </pic:spPr>
                </pic:pic>
              </a:graphicData>
            </a:graphic>
          </wp:inline>
        </w:drawing>
      </w:r>
    </w:p>
    <w:p w:rsidR="00D37F8E" w:rsidRPr="00CF14B5" w:rsidRDefault="00A26763" w:rsidP="00CF14B5">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lastRenderedPageBreak/>
        <w:t xml:space="preserve">Es así, que se colige que la servidora pública referida en la solicitud de información </w:t>
      </w:r>
      <w:r w:rsidRPr="00CF14B5">
        <w:rPr>
          <w:rFonts w:ascii="Palatino Linotype" w:eastAsia="Palatino Linotype" w:hAnsi="Palatino Linotype" w:cs="Palatino Linotype"/>
          <w:b/>
          <w:color w:val="000000" w:themeColor="text1"/>
        </w:rPr>
        <w:t xml:space="preserve">00026/DIFJOSERIN/IP/2025, </w:t>
      </w:r>
      <w:r w:rsidRPr="00CF14B5">
        <w:rPr>
          <w:rFonts w:ascii="Palatino Linotype" w:eastAsia="Palatino Linotype" w:hAnsi="Palatino Linotype" w:cs="Palatino Linotype"/>
          <w:color w:val="000000" w:themeColor="text1"/>
        </w:rPr>
        <w:t xml:space="preserve">no forma parte de este </w:t>
      </w:r>
      <w:r w:rsidRPr="00CF14B5">
        <w:rPr>
          <w:rFonts w:ascii="Palatino Linotype" w:eastAsia="Palatino Linotype" w:hAnsi="Palatino Linotype" w:cs="Palatino Linotype"/>
          <w:b/>
          <w:color w:val="000000" w:themeColor="text1"/>
        </w:rPr>
        <w:t xml:space="preserve">SUJETO OBLIGADO, </w:t>
      </w:r>
      <w:r w:rsidRPr="00CF14B5">
        <w:rPr>
          <w:rFonts w:ascii="Palatino Linotype" w:eastAsia="Palatino Linotype" w:hAnsi="Palatino Linotype" w:cs="Palatino Linotype"/>
          <w:color w:val="000000" w:themeColor="text1"/>
        </w:rPr>
        <w:t xml:space="preserve"> por lo que al no obrar la información solicitada en sus archivos, este resulta imposibilitado para atender a la solicitud de información que nos ocupa, resultando dable </w:t>
      </w:r>
      <w:r w:rsidRPr="00CF14B5">
        <w:rPr>
          <w:rFonts w:ascii="Palatino Linotype" w:eastAsia="Palatino Linotype" w:hAnsi="Palatino Linotype" w:cs="Palatino Linotype"/>
          <w:b/>
          <w:color w:val="000000" w:themeColor="text1"/>
        </w:rPr>
        <w:t xml:space="preserve">CONFIRMAR </w:t>
      </w:r>
      <w:r w:rsidRPr="00CF14B5">
        <w:rPr>
          <w:rFonts w:ascii="Palatino Linotype" w:eastAsia="Palatino Linotype" w:hAnsi="Palatino Linotype" w:cs="Palatino Linotype"/>
          <w:color w:val="000000" w:themeColor="text1"/>
        </w:rPr>
        <w:t xml:space="preserve">la respuesta proporcionada por el </w:t>
      </w:r>
      <w:r w:rsidRPr="00CF14B5">
        <w:rPr>
          <w:rFonts w:ascii="Palatino Linotype" w:eastAsia="Palatino Linotype" w:hAnsi="Palatino Linotype" w:cs="Palatino Linotype"/>
          <w:b/>
          <w:color w:val="000000" w:themeColor="text1"/>
        </w:rPr>
        <w:t>Sistema Municipal Para el Desarrollo Integral de la Familia de San José del Rincón.</w:t>
      </w:r>
    </w:p>
    <w:p w:rsidR="00D37F8E" w:rsidRPr="00CF14B5" w:rsidRDefault="00D37F8E" w:rsidP="00CF14B5">
      <w:pPr>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 xml:space="preserve">En esa tesitura, toda vez que el </w:t>
      </w:r>
      <w:r w:rsidRPr="00CF14B5">
        <w:rPr>
          <w:rFonts w:ascii="Palatino Linotype" w:eastAsia="Palatino Linotype" w:hAnsi="Palatino Linotype" w:cs="Palatino Linotype"/>
          <w:b/>
          <w:color w:val="000000" w:themeColor="text1"/>
        </w:rPr>
        <w:t xml:space="preserve">SUJETO OBLIGADO </w:t>
      </w:r>
      <w:r w:rsidRPr="00CF14B5">
        <w:rPr>
          <w:rFonts w:ascii="Palatino Linotype" w:eastAsia="Palatino Linotype" w:hAnsi="Palatino Linotype" w:cs="Palatino Linotype"/>
          <w:color w:val="000000" w:themeColor="text1"/>
        </w:rPr>
        <w:t xml:space="preserve">manifestó que no se posee, administra ni generó la información requerida por </w:t>
      </w:r>
      <w:r w:rsidRPr="00CF14B5">
        <w:rPr>
          <w:rFonts w:ascii="Palatino Linotype" w:eastAsia="Palatino Linotype" w:hAnsi="Palatino Linotype" w:cs="Palatino Linotype"/>
          <w:b/>
          <w:color w:val="000000" w:themeColor="text1"/>
        </w:rPr>
        <w:t>EL PARTICULAR</w:t>
      </w:r>
      <w:r w:rsidRPr="00CF14B5">
        <w:rPr>
          <w:rFonts w:ascii="Palatino Linotype" w:eastAsia="Palatino Linotype" w:hAnsi="Palatino Linotype" w:cs="Palatino Linotype"/>
          <w:color w:val="000000" w:themeColor="text1"/>
        </w:rPr>
        <w:t xml:space="preserve">, constituye un hecho negativo; luego entonces, si se considera el hecho negativo, es obvio que éste no puede fácticamente obrar en los archivos del </w:t>
      </w:r>
      <w:r w:rsidRPr="00CF14B5">
        <w:rPr>
          <w:rFonts w:ascii="Palatino Linotype" w:eastAsia="Palatino Linotype" w:hAnsi="Palatino Linotype" w:cs="Palatino Linotype"/>
          <w:b/>
          <w:color w:val="000000" w:themeColor="text1"/>
        </w:rPr>
        <w:t>SUJETO OBLIGADO</w:t>
      </w:r>
      <w:r w:rsidRPr="00CF14B5">
        <w:rPr>
          <w:rFonts w:ascii="Palatino Linotype" w:eastAsia="Palatino Linotype" w:hAnsi="Palatino Linotype" w:cs="Palatino Linotype"/>
          <w:color w:val="000000" w:themeColor="text1"/>
        </w:rPr>
        <w:t>, ya que no puede probarse por ser lógica y materialmente imposible.</w:t>
      </w:r>
    </w:p>
    <w:p w:rsidR="00D37F8E" w:rsidRPr="00CF14B5" w:rsidRDefault="00D37F8E" w:rsidP="00CF14B5">
      <w:pPr>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Asimismo, no se trata de un caso por el cual la negación del hecho implique la afirmación del mismo, simplemente se está ante una notoria y evidente inexistencia fáctica de la información solicitada.</w:t>
      </w:r>
    </w:p>
    <w:p w:rsidR="00D37F8E" w:rsidRPr="00CF14B5" w:rsidRDefault="00D37F8E" w:rsidP="00CF14B5">
      <w:pPr>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Encontrándonos ante un hecho negativo, destacando entonces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rsidR="00FA7149" w:rsidRDefault="00FA7149" w:rsidP="00CF14B5">
      <w:pPr>
        <w:spacing w:line="360" w:lineRule="auto"/>
        <w:jc w:val="both"/>
        <w:rPr>
          <w:rFonts w:ascii="Palatino Linotype" w:eastAsia="Palatino Linotype" w:hAnsi="Palatino Linotype" w:cs="Palatino Linotype"/>
          <w:b/>
          <w:i/>
          <w:color w:val="000000" w:themeColor="text1"/>
        </w:rPr>
      </w:pPr>
    </w:p>
    <w:p w:rsidR="00FA7149" w:rsidRDefault="00FA7149" w:rsidP="00CF14B5">
      <w:pPr>
        <w:spacing w:line="360" w:lineRule="auto"/>
        <w:jc w:val="both"/>
        <w:rPr>
          <w:rFonts w:ascii="Palatino Linotype" w:eastAsia="Palatino Linotype" w:hAnsi="Palatino Linotype" w:cs="Palatino Linotype"/>
          <w:b/>
          <w:i/>
          <w:color w:val="000000" w:themeColor="text1"/>
        </w:rPr>
      </w:pPr>
    </w:p>
    <w:p w:rsidR="00D37F8E" w:rsidRPr="00CF14B5" w:rsidRDefault="00A26763" w:rsidP="00CF14B5">
      <w:pPr>
        <w:spacing w:line="360" w:lineRule="auto"/>
        <w:jc w:val="both"/>
        <w:rPr>
          <w:rFonts w:ascii="Palatino Linotype" w:eastAsia="Palatino Linotype" w:hAnsi="Palatino Linotype" w:cs="Palatino Linotype"/>
          <w:b/>
          <w:i/>
          <w:color w:val="000000" w:themeColor="text1"/>
        </w:rPr>
      </w:pPr>
      <w:r w:rsidRPr="00CF14B5">
        <w:rPr>
          <w:rFonts w:ascii="Palatino Linotype" w:eastAsia="Palatino Linotype" w:hAnsi="Palatino Linotype" w:cs="Palatino Linotype"/>
          <w:b/>
          <w:i/>
          <w:color w:val="000000" w:themeColor="text1"/>
        </w:rPr>
        <w:lastRenderedPageBreak/>
        <w:t xml:space="preserve">HECHOS NEGATIVOS, NO SON SUSCEPTIBLES DE DEMOSTRACIÓN. </w:t>
      </w:r>
    </w:p>
    <w:p w:rsidR="00D37F8E" w:rsidRPr="00CF14B5" w:rsidRDefault="00A26763" w:rsidP="00CF14B5">
      <w:pPr>
        <w:spacing w:line="360" w:lineRule="auto"/>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i/>
          <w:color w:val="000000" w:themeColor="text1"/>
        </w:rPr>
        <w:t>Tratándose de un hecho negativo, el Juez no tiene por que invocar prueba alguna de la que se desprenda, ya que es bien sabido que esta clase de hechos no son susceptibles de demostración.</w:t>
      </w:r>
    </w:p>
    <w:p w:rsidR="00D37F8E" w:rsidRPr="00CF14B5" w:rsidRDefault="00A26763" w:rsidP="00CF14B5">
      <w:pPr>
        <w:spacing w:line="360" w:lineRule="auto"/>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i/>
          <w:color w:val="000000" w:themeColor="text1"/>
        </w:rPr>
        <w:t>Amparo en revisión 2022/61. José García Florín (Menor). 9 de octubre de 1961. Cinco votos. Ponente: José Rivera Pérez Campos.”</w:t>
      </w:r>
    </w:p>
    <w:p w:rsidR="00D37F8E" w:rsidRPr="00CF14B5" w:rsidRDefault="00D37F8E" w:rsidP="00CF14B5">
      <w:pPr>
        <w:spacing w:line="360" w:lineRule="auto"/>
        <w:jc w:val="both"/>
        <w:rPr>
          <w:rFonts w:ascii="Palatino Linotype" w:eastAsia="Palatino Linotype" w:hAnsi="Palatino Linotype" w:cs="Palatino Linotype"/>
          <w:color w:val="000000" w:themeColor="text1"/>
        </w:rPr>
      </w:pPr>
      <w:bookmarkStart w:id="8" w:name="_heading=h.icwz7kfidhqv" w:colFirst="0" w:colLast="0"/>
      <w:bookmarkEnd w:id="8"/>
    </w:p>
    <w:p w:rsidR="00CF14B5" w:rsidRDefault="00A26763" w:rsidP="00CF14B5">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 xml:space="preserve">Además, y de conformidad con lo establecido en el artículo 12 de la </w:t>
      </w:r>
      <w:r w:rsidRPr="00CF14B5">
        <w:rPr>
          <w:rFonts w:ascii="Palatino Linotype" w:eastAsia="Palatino Linotype" w:hAnsi="Palatino Linotype" w:cs="Palatino Linotype"/>
          <w:b/>
          <w:color w:val="000000" w:themeColor="text1"/>
        </w:rPr>
        <w:t>Ley de Transparencia y Acceso a la Información Pública del Estado de México y Municipios</w:t>
      </w:r>
      <w:r w:rsidRPr="00CF14B5">
        <w:rPr>
          <w:rFonts w:ascii="Palatino Linotype" w:eastAsia="Palatino Linotype" w:hAnsi="Palatino Linotype" w:cs="Palatino Linotype"/>
          <w:color w:val="000000" w:themeColor="text1"/>
        </w:rPr>
        <w:t xml:space="preserve">, anteriormente invocado, el </w:t>
      </w:r>
      <w:r w:rsidRPr="00CF14B5">
        <w:rPr>
          <w:rFonts w:ascii="Palatino Linotype" w:eastAsia="Palatino Linotype" w:hAnsi="Palatino Linotype" w:cs="Palatino Linotype"/>
          <w:b/>
          <w:color w:val="000000" w:themeColor="text1"/>
        </w:rPr>
        <w:t>SUJETO OBLIGADO</w:t>
      </w:r>
      <w:r w:rsidRPr="00CF14B5">
        <w:rPr>
          <w:rFonts w:ascii="Palatino Linotype" w:eastAsia="Palatino Linotype" w:hAnsi="Palatino Linotype" w:cs="Palatino Linotype"/>
          <w:color w:val="000000" w:themeColor="text1"/>
        </w:rPr>
        <w:t xml:space="preserve"> únicamente proporcionará la información que obra en sus archivos, lo que a</w:t>
      </w:r>
      <w:r w:rsidRPr="00CF14B5">
        <w:rPr>
          <w:rFonts w:ascii="Palatino Linotype" w:eastAsia="Palatino Linotype" w:hAnsi="Palatino Linotype" w:cs="Palatino Linotype"/>
          <w:i/>
          <w:color w:val="000000" w:themeColor="text1"/>
        </w:rPr>
        <w:t xml:space="preserve"> contrario sensu</w:t>
      </w:r>
      <w:r w:rsidRPr="00CF14B5">
        <w:rPr>
          <w:rFonts w:ascii="Palatino Linotype" w:eastAsia="Palatino Linotype" w:hAnsi="Palatino Linotype" w:cs="Palatino Linotype"/>
          <w:color w:val="000000" w:themeColor="text1"/>
        </w:rPr>
        <w:t xml:space="preserve"> significa que no se está obligado a proporcionar lo que no obre en sus archivos.</w:t>
      </w:r>
    </w:p>
    <w:p w:rsidR="00CF14B5" w:rsidRDefault="00CF14B5" w:rsidP="00CF14B5">
      <w:pPr>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numPr>
          <w:ilvl w:val="0"/>
          <w:numId w:val="4"/>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 xml:space="preserve">Así mismo, la </w:t>
      </w:r>
      <w:r w:rsidRPr="00CF14B5">
        <w:rPr>
          <w:rFonts w:ascii="Palatino Linotype" w:eastAsia="Palatino Linotype" w:hAnsi="Palatino Linotype" w:cs="Palatino Linotype"/>
          <w:b/>
          <w:color w:val="000000" w:themeColor="text1"/>
        </w:rPr>
        <w:t>Ley de Transparencia y Acceso a la Información Pública del Estado de México y Municipios</w:t>
      </w:r>
      <w:r w:rsidRPr="00CF14B5">
        <w:rPr>
          <w:rFonts w:ascii="Palatino Linotype" w:eastAsia="Palatino Linotype" w:hAnsi="Palatino Linotype" w:cs="Palatino Linotype"/>
          <w:color w:val="000000" w:themeColor="text1"/>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rsidR="00D37F8E" w:rsidRPr="00CF14B5" w:rsidRDefault="00A26763" w:rsidP="00CF14B5">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rPr>
      </w:pPr>
      <w:r w:rsidRPr="00CF14B5">
        <w:rPr>
          <w:rFonts w:ascii="Palatino Linotype" w:eastAsia="Palatino Linotype" w:hAnsi="Palatino Linotype" w:cs="Palatino Linotype"/>
          <w:i/>
          <w:color w:val="000000" w:themeColor="text1"/>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CF14B5">
        <w:rPr>
          <w:rFonts w:ascii="Palatino Linotype" w:eastAsia="Palatino Linotype" w:hAnsi="Palatino Linotype" w:cs="Palatino Linotype"/>
          <w:b/>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D37F8E" w:rsidRPr="00CF14B5" w:rsidRDefault="00D37F8E" w:rsidP="00CF14B5">
      <w:pPr>
        <w:spacing w:line="360" w:lineRule="auto"/>
        <w:jc w:val="both"/>
        <w:rPr>
          <w:rFonts w:ascii="Palatino Linotype" w:eastAsia="Palatino Linotype" w:hAnsi="Palatino Linotype" w:cs="Palatino Linotype"/>
          <w:b/>
          <w:i/>
          <w:color w:val="000000" w:themeColor="text1"/>
        </w:rPr>
      </w:pPr>
    </w:p>
    <w:p w:rsidR="00D37F8E" w:rsidRPr="00CF14B5" w:rsidRDefault="00A26763" w:rsidP="00CF14B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lastRenderedPageBreak/>
        <w:t xml:space="preserve">Numerales que compelen al </w:t>
      </w:r>
      <w:r w:rsidRPr="00CF14B5">
        <w:rPr>
          <w:rFonts w:ascii="Palatino Linotype" w:eastAsia="Palatino Linotype" w:hAnsi="Palatino Linotype" w:cs="Palatino Linotype"/>
          <w:b/>
          <w:color w:val="000000" w:themeColor="text1"/>
        </w:rPr>
        <w:t>SUJETO OBLIGADO</w:t>
      </w:r>
      <w:r w:rsidRPr="00CF14B5">
        <w:rPr>
          <w:rFonts w:ascii="Palatino Linotype" w:eastAsia="Palatino Linotype" w:hAnsi="Palatino Linotype" w:cs="Palatino Linotype"/>
          <w:color w:val="000000" w:themeColor="text1"/>
        </w:rPr>
        <w:t xml:space="preserve"> a apegarse en todo momento a los criterios ya expuestos, impidiendo a este Órgano Colegiado cuestionar la veracidad de la información. En ese contexto, en razón del artículo 166 de la Ley de Transparencia y Acceso a la Información Pública del Estado de México y Municipios, que establece que la obligación de acceso a la información pública se tendrá por cumplida cuando el solicitante tenga a su disposición la información requerida, se tiene por colmado el derecho de acceso a la información pública del particular. </w:t>
      </w:r>
    </w:p>
    <w:p w:rsidR="00D37F8E" w:rsidRPr="00CF14B5" w:rsidRDefault="00D37F8E" w:rsidP="00CF14B5">
      <w:pPr>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 xml:space="preserve">Es así como el objetivo del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CF14B5">
        <w:rPr>
          <w:rFonts w:ascii="Palatino Linotype" w:eastAsia="Palatino Linotype" w:hAnsi="Palatino Linotype" w:cs="Palatino Linotype"/>
          <w:b/>
          <w:color w:val="000000" w:themeColor="text1"/>
        </w:rPr>
        <w:t>cualquier otro registro que documente el ejercicio de las facultades, funciones y competencias de los sujetos obligados</w:t>
      </w:r>
      <w:r w:rsidRPr="00CF14B5">
        <w:rPr>
          <w:rFonts w:ascii="Palatino Linotype" w:eastAsia="Palatino Linotype" w:hAnsi="Palatino Linotype" w:cs="Palatino Linotype"/>
          <w:color w:val="000000" w:themeColor="text1"/>
        </w:rPr>
        <w:t xml:space="preserve">; los que, podrán estar en cualquier medio, sea escrito, impreso, sonoro, visual, electrónico, informático u holográfico de conformidad con el artículo 3, fracción XI de la Ley de la materia, el cual señala lo siguiente: </w:t>
      </w:r>
    </w:p>
    <w:p w:rsidR="00D37F8E" w:rsidRPr="00CF14B5" w:rsidRDefault="00A26763" w:rsidP="00CF14B5">
      <w:pPr>
        <w:spacing w:line="360" w:lineRule="auto"/>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i/>
          <w:color w:val="000000" w:themeColor="text1"/>
        </w:rPr>
        <w:t>“</w:t>
      </w:r>
      <w:r w:rsidRPr="00CF14B5">
        <w:rPr>
          <w:rFonts w:ascii="Palatino Linotype" w:eastAsia="Palatino Linotype" w:hAnsi="Palatino Linotype" w:cs="Palatino Linotype"/>
          <w:b/>
          <w:i/>
          <w:color w:val="000000" w:themeColor="text1"/>
        </w:rPr>
        <w:t xml:space="preserve">Artículo 3. </w:t>
      </w:r>
      <w:r w:rsidRPr="00CF14B5">
        <w:rPr>
          <w:rFonts w:ascii="Palatino Linotype" w:eastAsia="Palatino Linotype" w:hAnsi="Palatino Linotype" w:cs="Palatino Linotype"/>
          <w:i/>
          <w:color w:val="000000" w:themeColor="text1"/>
        </w:rPr>
        <w:t>Para los efectos de la presente Ley se entenderá por:</w:t>
      </w:r>
    </w:p>
    <w:p w:rsidR="00D37F8E" w:rsidRPr="00CF14B5" w:rsidRDefault="00A26763" w:rsidP="00CF14B5">
      <w:pPr>
        <w:spacing w:line="360" w:lineRule="auto"/>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i/>
          <w:color w:val="000000" w:themeColor="text1"/>
        </w:rPr>
        <w:t>…</w:t>
      </w:r>
    </w:p>
    <w:p w:rsidR="00D37F8E" w:rsidRPr="00CF14B5" w:rsidRDefault="00A26763" w:rsidP="00CF14B5">
      <w:pPr>
        <w:spacing w:line="360" w:lineRule="auto"/>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b/>
          <w:i/>
          <w:color w:val="000000" w:themeColor="text1"/>
        </w:rPr>
        <w:t>XI. Documento:</w:t>
      </w:r>
      <w:r w:rsidRPr="00CF14B5">
        <w:rPr>
          <w:rFonts w:ascii="Palatino Linotype" w:eastAsia="Palatino Linotype" w:hAnsi="Palatino Linotype" w:cs="Palatino Linotype"/>
          <w:i/>
          <w:color w:val="000000" w:themeColor="text1"/>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CF14B5">
        <w:rPr>
          <w:rFonts w:ascii="Palatino Linotype" w:eastAsia="Palatino Linotype" w:hAnsi="Palatino Linotype" w:cs="Palatino Linotype"/>
          <w:b/>
          <w:i/>
          <w:color w:val="000000" w:themeColor="text1"/>
        </w:rPr>
        <w:t>…</w:t>
      </w:r>
      <w:r w:rsidRPr="00CF14B5">
        <w:rPr>
          <w:rFonts w:ascii="Palatino Linotype" w:eastAsia="Palatino Linotype" w:hAnsi="Palatino Linotype" w:cs="Palatino Linotype"/>
          <w:i/>
          <w:color w:val="000000" w:themeColor="text1"/>
        </w:rPr>
        <w:t>”</w:t>
      </w:r>
    </w:p>
    <w:p w:rsidR="00D37F8E" w:rsidRPr="00CF14B5" w:rsidRDefault="00A26763" w:rsidP="00CF14B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D37F8E" w:rsidRPr="00CF14B5" w:rsidRDefault="00A26763" w:rsidP="00CF14B5">
      <w:pPr>
        <w:spacing w:line="360" w:lineRule="auto"/>
        <w:jc w:val="both"/>
        <w:rPr>
          <w:rFonts w:ascii="Palatino Linotype" w:eastAsia="Palatino Linotype" w:hAnsi="Palatino Linotype" w:cs="Palatino Linotype"/>
          <w:b/>
          <w:i/>
          <w:color w:val="000000" w:themeColor="text1"/>
        </w:rPr>
      </w:pPr>
      <w:r w:rsidRPr="00CF14B5">
        <w:rPr>
          <w:rFonts w:ascii="Palatino Linotype" w:eastAsia="Palatino Linotype" w:hAnsi="Palatino Linotype" w:cs="Palatino Linotype"/>
          <w:b/>
          <w:color w:val="000000" w:themeColor="text1"/>
        </w:rPr>
        <w:t>“</w:t>
      </w:r>
      <w:r w:rsidRPr="00CF14B5">
        <w:rPr>
          <w:rFonts w:ascii="Palatino Linotype" w:eastAsia="Palatino Linotype" w:hAnsi="Palatino Linotype" w:cs="Palatino Linotype"/>
          <w:b/>
          <w:i/>
          <w:color w:val="000000" w:themeColor="text1"/>
        </w:rPr>
        <w:t>CRITERIO 0002-11</w:t>
      </w:r>
    </w:p>
    <w:p w:rsidR="00D37F8E" w:rsidRPr="00CF14B5" w:rsidRDefault="00A26763" w:rsidP="00CF14B5">
      <w:pPr>
        <w:spacing w:line="360" w:lineRule="auto"/>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b/>
          <w:i/>
          <w:color w:val="000000" w:themeColor="text1"/>
        </w:rPr>
        <w:t>INFORMACIÓN PÚBLICA, CONCEPTO DE, EN MATERIA DE TRANSPARENCIA. INTERPRETACIÓN SISTEMÁTICA DE LOS ARTÍCULOS 2°, FRACCIÓN V, XV, Y XVI, 3°, 4°, 11 Y 41.</w:t>
      </w:r>
      <w:r w:rsidRPr="00CF14B5">
        <w:rPr>
          <w:rFonts w:ascii="Palatino Linotype" w:eastAsia="Palatino Linotype" w:hAnsi="Palatino Linotype" w:cs="Palatino Linotype"/>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37F8E" w:rsidRPr="00CF14B5" w:rsidRDefault="00A26763" w:rsidP="00CF14B5">
      <w:pPr>
        <w:spacing w:line="360" w:lineRule="auto"/>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i/>
          <w:color w:val="000000" w:themeColor="text1"/>
        </w:rPr>
        <w:t>En consecuencia el acceso a la información se refiere a que se cumplan cualquiera de los siguientes tres supuestos:</w:t>
      </w:r>
    </w:p>
    <w:p w:rsidR="00D37F8E" w:rsidRPr="00CF14B5" w:rsidRDefault="00A26763" w:rsidP="00CF14B5">
      <w:pPr>
        <w:spacing w:line="360" w:lineRule="auto"/>
        <w:jc w:val="both"/>
        <w:rPr>
          <w:rFonts w:ascii="Palatino Linotype" w:eastAsia="Palatino Linotype" w:hAnsi="Palatino Linotype" w:cs="Palatino Linotype"/>
          <w:b/>
          <w:i/>
          <w:color w:val="000000" w:themeColor="text1"/>
        </w:rPr>
      </w:pPr>
      <w:r w:rsidRPr="00CF14B5">
        <w:rPr>
          <w:rFonts w:ascii="Palatino Linotype" w:eastAsia="Palatino Linotype" w:hAnsi="Palatino Linotype" w:cs="Palatino Linotype"/>
          <w:b/>
          <w:i/>
          <w:color w:val="000000" w:themeColor="text1"/>
        </w:rPr>
        <w:t>1) Que se trate de información registrada en cualquier soporte documental, que en ejercicio de las atribuciones conferidas, sea generada por los Sujetos Obligados;</w:t>
      </w:r>
    </w:p>
    <w:p w:rsidR="00D37F8E" w:rsidRPr="00CF14B5" w:rsidRDefault="00A26763" w:rsidP="00CF14B5">
      <w:pPr>
        <w:spacing w:line="360" w:lineRule="auto"/>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i/>
          <w:color w:val="000000" w:themeColor="text1"/>
        </w:rPr>
        <w:t>2) Que se trate de información registrada en cualquier soporte documental, que en ejercicio de las atribuciones conferidas, sea administrada por los Sujetos Obligados, y</w:t>
      </w:r>
    </w:p>
    <w:p w:rsidR="00D37F8E" w:rsidRPr="00CF14B5" w:rsidRDefault="00A26763" w:rsidP="00CF14B5">
      <w:pPr>
        <w:spacing w:line="360" w:lineRule="auto"/>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i/>
          <w:color w:val="000000" w:themeColor="text1"/>
        </w:rPr>
        <w:t>3) Que se trate de información registrada en cualquier soporte documental, que en ejercicio de las atribuciones conferidas, se encuentre en posesión de los Sujetos Obligados.”</w:t>
      </w:r>
    </w:p>
    <w:p w:rsidR="00D37F8E" w:rsidRPr="00CF14B5" w:rsidRDefault="00D37F8E" w:rsidP="00CF14B5">
      <w:pPr>
        <w:spacing w:line="360" w:lineRule="auto"/>
        <w:jc w:val="both"/>
        <w:rPr>
          <w:rFonts w:ascii="Palatino Linotype" w:eastAsia="Palatino Linotype" w:hAnsi="Palatino Linotype" w:cs="Palatino Linotype"/>
          <w:i/>
          <w:color w:val="000000" w:themeColor="text1"/>
        </w:rPr>
      </w:pPr>
    </w:p>
    <w:p w:rsidR="00D37F8E" w:rsidRPr="00CF14B5" w:rsidRDefault="00A26763" w:rsidP="00CF14B5">
      <w:pPr>
        <w:numPr>
          <w:ilvl w:val="0"/>
          <w:numId w:val="2"/>
        </w:numPr>
        <w:spacing w:line="360" w:lineRule="auto"/>
        <w:ind w:left="0" w:firstLine="0"/>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color w:val="000000" w:themeColor="text1"/>
        </w:rPr>
        <w:t xml:space="preserve">Ahora bien, para entender los alcances de la información pública se considera importante citar el criterio de interpretación en el orden administrativo número 0002-11, </w:t>
      </w:r>
      <w:r w:rsidRPr="00CF14B5">
        <w:rPr>
          <w:rFonts w:ascii="Palatino Linotype" w:eastAsia="Palatino Linotype" w:hAnsi="Palatino Linotype" w:cs="Palatino Linotype"/>
          <w:color w:val="000000" w:themeColor="text1"/>
        </w:rPr>
        <w:lastRenderedPageBreak/>
        <w:t>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D37F8E" w:rsidRPr="00CF14B5" w:rsidRDefault="00A26763" w:rsidP="00CF14B5">
      <w:pPr>
        <w:jc w:val="both"/>
        <w:rPr>
          <w:rFonts w:ascii="Palatino Linotype" w:eastAsia="Palatino Linotype" w:hAnsi="Palatino Linotype" w:cs="Palatino Linotype"/>
          <w:b/>
          <w:i/>
          <w:color w:val="000000" w:themeColor="text1"/>
        </w:rPr>
      </w:pPr>
      <w:r w:rsidRPr="00CF14B5">
        <w:rPr>
          <w:rFonts w:ascii="Palatino Linotype" w:eastAsia="Palatino Linotype" w:hAnsi="Palatino Linotype" w:cs="Palatino Linotype"/>
          <w:b/>
          <w:i/>
          <w:color w:val="000000" w:themeColor="text1"/>
        </w:rPr>
        <w:t>“CRITERIO 0002-11</w:t>
      </w:r>
    </w:p>
    <w:p w:rsidR="00D37F8E" w:rsidRPr="00CF14B5" w:rsidRDefault="00A26763" w:rsidP="00CF14B5">
      <w:pPr>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b/>
          <w:i/>
          <w:color w:val="000000" w:themeColor="text1"/>
        </w:rPr>
        <w:t>INFORMACIÓN PÚBLICA, CONCEPTO DE, EN MATERIA DE TRANSPARENCIA. INTERPRETACIÓN TEMÁTICA DE LOS ARTÍCULOS 2, FRACCIÓN V, XV, Y XVI, 3, 4,11 Y 41.</w:t>
      </w:r>
      <w:r w:rsidRPr="00CF14B5">
        <w:rPr>
          <w:rFonts w:ascii="Palatino Linotype" w:eastAsia="Palatino Linotype" w:hAnsi="Palatino Linotype" w:cs="Palatino Linotype"/>
          <w:i/>
          <w:color w:val="000000" w:themeColor="text1"/>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37F8E" w:rsidRPr="00CF14B5" w:rsidRDefault="00A26763" w:rsidP="00CF14B5">
      <w:pPr>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i/>
          <w:color w:val="000000" w:themeColor="text1"/>
        </w:rPr>
        <w:t>En consecuencia el acceso a la información se refiere a que se cumplan cualquiera de los siguientes tres supuestos:</w:t>
      </w:r>
    </w:p>
    <w:p w:rsidR="00D37F8E" w:rsidRPr="00CF14B5" w:rsidRDefault="00A26763" w:rsidP="00CF14B5">
      <w:pPr>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i/>
          <w:color w:val="000000" w:themeColor="text1"/>
        </w:rPr>
        <w:t>Que se trate de información registrada en cualquier soporte documental, que en ejercicio de las atribuciones conferidas, sea generada por los Sujetos Obligados;</w:t>
      </w:r>
    </w:p>
    <w:p w:rsidR="00D37F8E" w:rsidRPr="00CF14B5" w:rsidRDefault="00A26763" w:rsidP="00CF14B5">
      <w:pPr>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i/>
          <w:color w:val="000000" w:themeColor="text1"/>
        </w:rPr>
        <w:t>Que se trate de información registrada en cualquier soporte documental, que en ejercicio de las atribuciones conferidas, sea administrada por los Sujetos Obligados, y</w:t>
      </w:r>
    </w:p>
    <w:p w:rsidR="00D37F8E" w:rsidRPr="00CF14B5" w:rsidRDefault="00A26763" w:rsidP="00CF14B5">
      <w:pPr>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i/>
          <w:color w:val="000000" w:themeColor="text1"/>
        </w:rPr>
        <w:t>Que se trate de información registrada en cualquier soporte documental, que en ejercicio de las atribuciones conferidas, se encuentre en posesión de los Sujetos Obligados.”</w:t>
      </w:r>
    </w:p>
    <w:p w:rsidR="00D37F8E" w:rsidRPr="00CF14B5" w:rsidRDefault="00D37F8E" w:rsidP="00CF14B5">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 xml:space="preserve">Resulta necesario referir que, el 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CF14B5">
        <w:rPr>
          <w:rFonts w:ascii="Palatino Linotype" w:eastAsia="Palatino Linotype" w:hAnsi="Palatino Linotype" w:cs="Palatino Linotype"/>
          <w:b/>
          <w:color w:val="000000" w:themeColor="text1"/>
        </w:rPr>
        <w:t>los Sujetos Obligados deberán documentar todo acto que se derive del ejercicio de sus facultades, competencias o funciones,</w:t>
      </w:r>
      <w:r w:rsidRPr="00CF14B5">
        <w:rPr>
          <w:rFonts w:ascii="Palatino Linotype" w:eastAsia="Palatino Linotype" w:hAnsi="Palatino Linotype" w:cs="Palatino Linotype"/>
          <w:color w:val="000000" w:themeColor="text1"/>
        </w:rPr>
        <w:t xml:space="preserve"> considerando desde su origen la eventual publicidad y reutilización de la información que generen, posean o administren.</w:t>
      </w:r>
    </w:p>
    <w:p w:rsidR="00D37F8E" w:rsidRPr="00CF14B5" w:rsidRDefault="00D37F8E" w:rsidP="00CF14B5">
      <w:pPr>
        <w:pBdr>
          <w:top w:val="nil"/>
          <w:left w:val="nil"/>
          <w:bottom w:val="nil"/>
          <w:right w:val="nil"/>
          <w:between w:val="nil"/>
        </w:pBdr>
        <w:rPr>
          <w:rFonts w:ascii="Palatino Linotype" w:eastAsia="Palatino Linotype" w:hAnsi="Palatino Linotype" w:cs="Palatino Linotype"/>
          <w:color w:val="000000" w:themeColor="text1"/>
        </w:rPr>
      </w:pPr>
    </w:p>
    <w:p w:rsidR="00D37F8E" w:rsidRPr="00CF14B5" w:rsidRDefault="00A26763" w:rsidP="00CF14B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lastRenderedPageBreak/>
        <w:t>Además, debemos tomar en cuenta los artículos 4 y 12, de la Ley de Transparencia y Acceso a la Información Pública del Estado de México y Municipios, los cuales establecen lo siguiente:</w:t>
      </w:r>
    </w:p>
    <w:p w:rsidR="00D37F8E" w:rsidRPr="00CF14B5" w:rsidRDefault="00A26763" w:rsidP="00CF14B5">
      <w:pPr>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b/>
          <w:i/>
          <w:color w:val="000000" w:themeColor="text1"/>
        </w:rPr>
        <w:t xml:space="preserve">Artículo 4. </w:t>
      </w:r>
      <w:r w:rsidRPr="00CF14B5">
        <w:rPr>
          <w:rFonts w:ascii="Palatino Linotype" w:eastAsia="Palatino Linotype" w:hAnsi="Palatino Linotype" w:cs="Palatino Linotype"/>
          <w:i/>
          <w:color w:val="000000" w:themeColor="text1"/>
        </w:rPr>
        <w:t>El derecho humano de acceso a la información pública es la prerrogativa de las personas para buscar, difundir, investigar, recabar, recibir y solicitar información pública, sin necesidad de acreditar personalidad ni interés jurídico.</w:t>
      </w:r>
    </w:p>
    <w:p w:rsidR="00D37F8E" w:rsidRPr="00CF14B5" w:rsidRDefault="00D37F8E" w:rsidP="00CF14B5">
      <w:pPr>
        <w:jc w:val="both"/>
        <w:rPr>
          <w:rFonts w:ascii="Palatino Linotype" w:eastAsia="Palatino Linotype" w:hAnsi="Palatino Linotype" w:cs="Palatino Linotype"/>
          <w:i/>
          <w:color w:val="000000" w:themeColor="text1"/>
        </w:rPr>
      </w:pPr>
    </w:p>
    <w:p w:rsidR="00D37F8E" w:rsidRPr="00CF14B5" w:rsidRDefault="00A26763" w:rsidP="00CF14B5">
      <w:pPr>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i/>
          <w:color w:val="000000" w:themeColor="text1"/>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37F8E" w:rsidRPr="00CF14B5" w:rsidRDefault="00D37F8E" w:rsidP="00CF14B5">
      <w:pPr>
        <w:jc w:val="both"/>
        <w:rPr>
          <w:rFonts w:ascii="Palatino Linotype" w:eastAsia="Palatino Linotype" w:hAnsi="Palatino Linotype" w:cs="Palatino Linotype"/>
          <w:i/>
          <w:color w:val="000000" w:themeColor="text1"/>
        </w:rPr>
      </w:pPr>
    </w:p>
    <w:p w:rsidR="00D37F8E" w:rsidRPr="00CF14B5" w:rsidRDefault="00A26763" w:rsidP="00CF14B5">
      <w:pPr>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D37F8E" w:rsidRPr="00CF14B5" w:rsidRDefault="00D37F8E" w:rsidP="00CF14B5">
      <w:pPr>
        <w:jc w:val="both"/>
        <w:rPr>
          <w:rFonts w:ascii="Palatino Linotype" w:eastAsia="Palatino Linotype" w:hAnsi="Palatino Linotype" w:cs="Palatino Linotype"/>
          <w:i/>
          <w:color w:val="000000" w:themeColor="text1"/>
        </w:rPr>
      </w:pPr>
    </w:p>
    <w:p w:rsidR="00D37F8E" w:rsidRPr="00CF14B5" w:rsidRDefault="00A26763" w:rsidP="00CF14B5">
      <w:pPr>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b/>
          <w:i/>
          <w:color w:val="000000" w:themeColor="text1"/>
        </w:rPr>
        <w:t xml:space="preserve">Artículo 12. </w:t>
      </w:r>
      <w:r w:rsidRPr="00CF14B5">
        <w:rPr>
          <w:rFonts w:ascii="Palatino Linotype" w:eastAsia="Palatino Linotype" w:hAnsi="Palatino Linotype" w:cs="Palatino Linotype"/>
          <w:i/>
          <w:color w:val="000000" w:themeColor="text1"/>
        </w:rPr>
        <w:t xml:space="preserve">Quienes generen, recopilen, administren, manejen, procesen, archiven o conserven información pública serán responsables de la misma en los términos de las disposiciones jurídicas aplicables. </w:t>
      </w:r>
    </w:p>
    <w:p w:rsidR="00D37F8E" w:rsidRPr="00CF14B5" w:rsidRDefault="00D37F8E" w:rsidP="00CF14B5">
      <w:pPr>
        <w:jc w:val="both"/>
        <w:rPr>
          <w:rFonts w:ascii="Palatino Linotype" w:eastAsia="Palatino Linotype" w:hAnsi="Palatino Linotype" w:cs="Palatino Linotype"/>
          <w:i/>
          <w:color w:val="000000" w:themeColor="text1"/>
        </w:rPr>
      </w:pPr>
    </w:p>
    <w:p w:rsidR="00D37F8E" w:rsidRPr="00CF14B5" w:rsidRDefault="00A26763" w:rsidP="00CF14B5">
      <w:pPr>
        <w:jc w:val="both"/>
        <w:rPr>
          <w:rFonts w:ascii="Palatino Linotype" w:eastAsia="Palatino Linotype" w:hAnsi="Palatino Linotype" w:cs="Palatino Linotype"/>
          <w:b/>
          <w:i/>
          <w:color w:val="000000" w:themeColor="text1"/>
        </w:rPr>
      </w:pPr>
      <w:r w:rsidRPr="00CF14B5">
        <w:rPr>
          <w:rFonts w:ascii="Palatino Linotype" w:eastAsia="Palatino Linotype" w:hAnsi="Palatino Linotype" w:cs="Palatino Linotype"/>
          <w:i/>
          <w:color w:val="000000" w:themeColor="text1"/>
        </w:rPr>
        <w:t xml:space="preserve">Los sujetos obligados sólo proporcionarán la información pública que se les requiera y que obre en sus archivos y en el estado en que ésta se encuentre. </w:t>
      </w:r>
      <w:r w:rsidRPr="00CF14B5">
        <w:rPr>
          <w:rFonts w:ascii="Palatino Linotype" w:eastAsia="Palatino Linotype" w:hAnsi="Palatino Linotype" w:cs="Palatino Linotype"/>
          <w:b/>
          <w:i/>
          <w:color w:val="000000" w:themeColor="text1"/>
        </w:rPr>
        <w:t>La obligación de proporcionar información no comprende el procesamiento de la misma, ni el presentarla conforme al interés del solicitante; no estarán obligados a generarla, resumirla, efectuar cálculos o practicar investigaciones.</w:t>
      </w:r>
    </w:p>
    <w:p w:rsidR="00D37F8E" w:rsidRPr="00CF14B5" w:rsidRDefault="00D37F8E" w:rsidP="00CF14B5">
      <w:pPr>
        <w:spacing w:line="360" w:lineRule="auto"/>
        <w:jc w:val="both"/>
        <w:rPr>
          <w:rFonts w:ascii="Palatino Linotype" w:eastAsia="Palatino Linotype" w:hAnsi="Palatino Linotype" w:cs="Palatino Linotype"/>
          <w:i/>
          <w:color w:val="000000" w:themeColor="text1"/>
        </w:rPr>
      </w:pPr>
    </w:p>
    <w:p w:rsidR="00D37F8E" w:rsidRPr="00CF14B5" w:rsidRDefault="00A26763" w:rsidP="00CF14B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que se encuentre </w:t>
      </w:r>
      <w:r w:rsidRPr="00CF14B5">
        <w:rPr>
          <w:rFonts w:ascii="Palatino Linotype" w:eastAsia="Palatino Linotype" w:hAnsi="Palatino Linotype" w:cs="Palatino Linotype"/>
          <w:color w:val="000000" w:themeColor="text1"/>
        </w:rPr>
        <w:lastRenderedPageBreak/>
        <w:t>en su posesión en estricto apego a los principios de eficacia</w:t>
      </w:r>
      <w:r w:rsidRPr="00CF14B5">
        <w:rPr>
          <w:rFonts w:ascii="Palatino Linotype" w:eastAsia="Palatino Linotype" w:hAnsi="Palatino Linotype" w:cs="Palatino Linotype"/>
          <w:color w:val="000000" w:themeColor="text1"/>
          <w:vertAlign w:val="superscript"/>
        </w:rPr>
        <w:footnoteReference w:id="1"/>
      </w:r>
      <w:r w:rsidRPr="00CF14B5">
        <w:rPr>
          <w:rFonts w:ascii="Palatino Linotype" w:eastAsia="Palatino Linotype" w:hAnsi="Palatino Linotype" w:cs="Palatino Linotype"/>
          <w:color w:val="000000" w:themeColor="text1"/>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D37F8E" w:rsidRPr="00CF14B5" w:rsidRDefault="00D37F8E" w:rsidP="00CF14B5">
      <w:pPr>
        <w:pBdr>
          <w:top w:val="nil"/>
          <w:left w:val="nil"/>
          <w:bottom w:val="nil"/>
          <w:right w:val="nil"/>
          <w:between w:val="nil"/>
        </w:pBdr>
        <w:tabs>
          <w:tab w:val="left" w:pos="851"/>
        </w:tabs>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D37F8E" w:rsidRPr="00CF14B5" w:rsidRDefault="00A26763" w:rsidP="00CF14B5">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b/>
          <w:i/>
          <w:color w:val="000000" w:themeColor="text1"/>
        </w:rPr>
        <w:t>ACCESO A LA INFORMACIÓN. IMPLICACIÓN DEL PRINCIPIO DE MÁXIMA PUBLICIDAD EN EL DERECHO FUNDAMENTAL RELATIVO.</w:t>
      </w:r>
      <w:r w:rsidRPr="00CF14B5">
        <w:rPr>
          <w:rFonts w:ascii="Palatino Linotype" w:eastAsia="Palatino Linotype" w:hAnsi="Palatino Linotype" w:cs="Palatino Linotype"/>
          <w:i/>
          <w:color w:val="000000" w:themeColor="text1"/>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rsidR="00D37F8E" w:rsidRPr="00CF14B5" w:rsidRDefault="00D37F8E" w:rsidP="00CF14B5">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p>
    <w:p w:rsidR="00D37F8E" w:rsidRPr="00CF14B5" w:rsidRDefault="00A26763" w:rsidP="00CF14B5">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i/>
          <w:color w:val="000000" w:themeColor="text1"/>
        </w:rPr>
        <w:lastRenderedPageBreak/>
        <w:t xml:space="preserve">CUARTO TRIBUNAL COLEGIADO EN MATERIA ADMINISTRATIVA DEL PRIMER CIRCUITO. </w:t>
      </w:r>
    </w:p>
    <w:p w:rsidR="00D37F8E" w:rsidRPr="00CF14B5" w:rsidRDefault="00D37F8E" w:rsidP="00CF14B5">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p>
    <w:p w:rsidR="00D37F8E" w:rsidRPr="00CF14B5" w:rsidRDefault="00A26763" w:rsidP="00CF14B5">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i/>
          <w:color w:val="000000" w:themeColor="text1"/>
        </w:rPr>
        <w:t>Amparo en revisión 257/2012. Ruth Corona Muñoz. 6 de diciembre de 2012. Unanimidad de votos. Ponente: Jean Claude Tron Petit. Secretaria: Mayra Susana Martínez López.</w:t>
      </w:r>
    </w:p>
    <w:p w:rsidR="00D37F8E" w:rsidRDefault="00D37F8E" w:rsidP="00CF14B5">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p>
    <w:p w:rsidR="009E47C3" w:rsidRPr="00CF14B5" w:rsidRDefault="009E47C3" w:rsidP="00CF14B5">
      <w:pPr>
        <w:pBdr>
          <w:top w:val="nil"/>
          <w:left w:val="nil"/>
          <w:bottom w:val="nil"/>
          <w:right w:val="nil"/>
          <w:between w:val="nil"/>
        </w:pBdr>
        <w:tabs>
          <w:tab w:val="left" w:pos="851"/>
        </w:tabs>
        <w:jc w:val="both"/>
        <w:rPr>
          <w:rFonts w:ascii="Palatino Linotype" w:eastAsia="Palatino Linotype" w:hAnsi="Palatino Linotype" w:cs="Palatino Linotype"/>
          <w:i/>
          <w:color w:val="000000" w:themeColor="text1"/>
        </w:rPr>
      </w:pPr>
    </w:p>
    <w:p w:rsidR="00D37F8E" w:rsidRPr="00CF14B5" w:rsidRDefault="00A26763" w:rsidP="00CF14B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 xml:space="preserve">Como se ha señalado, los Sujetos Obligados deberán proporcionar toda la información que se encuentre en su posesión bajo los estándares más altos de transparencia y máxima publicidad. </w:t>
      </w:r>
    </w:p>
    <w:p w:rsidR="00D37F8E" w:rsidRPr="00CF14B5" w:rsidRDefault="00D37F8E" w:rsidP="00CF14B5">
      <w:pPr>
        <w:tabs>
          <w:tab w:val="left" w:pos="851"/>
        </w:tabs>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Por su parte, la Constitución Política del Estado Libre y Soberano de México, en su artículo 5°, dispone en su parte conducente, lo siguiente:</w:t>
      </w:r>
    </w:p>
    <w:p w:rsidR="00D37F8E" w:rsidRPr="00CF14B5" w:rsidRDefault="00A26763" w:rsidP="00CF14B5">
      <w:pPr>
        <w:jc w:val="both"/>
        <w:rPr>
          <w:rFonts w:ascii="Palatino Linotype" w:eastAsia="Palatino Linotype" w:hAnsi="Palatino Linotype" w:cs="Palatino Linotype"/>
          <w:b/>
          <w:i/>
          <w:color w:val="000000" w:themeColor="text1"/>
        </w:rPr>
      </w:pPr>
      <w:r w:rsidRPr="00CF14B5">
        <w:rPr>
          <w:rFonts w:ascii="Palatino Linotype" w:eastAsia="Palatino Linotype" w:hAnsi="Palatino Linotype" w:cs="Palatino Linotype"/>
          <w:b/>
          <w:i/>
          <w:color w:val="000000" w:themeColor="text1"/>
        </w:rPr>
        <w:t xml:space="preserve">“Artículo 5. … </w:t>
      </w:r>
    </w:p>
    <w:p w:rsidR="00D37F8E" w:rsidRPr="00CF14B5" w:rsidRDefault="00A26763" w:rsidP="00CF14B5">
      <w:pPr>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b/>
          <w:i/>
          <w:color w:val="000000" w:themeColor="text1"/>
        </w:rPr>
        <w:t>El derecho a la información será garantizado por el Estado</w:t>
      </w:r>
      <w:r w:rsidRPr="00CF14B5">
        <w:rPr>
          <w:rFonts w:ascii="Palatino Linotype" w:eastAsia="Palatino Linotype" w:hAnsi="Palatino Linotype" w:cs="Palatino Linotype"/>
          <w:i/>
          <w:color w:val="000000" w:themeColor="text1"/>
        </w:rPr>
        <w:t xml:space="preserve">. La ley establecerá las previsiones que permitan asegurar la protección, el respeto y la difusión de este derecho. </w:t>
      </w:r>
    </w:p>
    <w:p w:rsidR="00D37F8E" w:rsidRPr="00CF14B5" w:rsidRDefault="00A26763" w:rsidP="00CF14B5">
      <w:pPr>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i/>
          <w:color w:val="000000" w:themeColor="text1"/>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37F8E" w:rsidRPr="00CF14B5" w:rsidRDefault="00D37F8E" w:rsidP="00CF14B5">
      <w:pPr>
        <w:jc w:val="both"/>
        <w:rPr>
          <w:rFonts w:ascii="Palatino Linotype" w:eastAsia="Palatino Linotype" w:hAnsi="Palatino Linotype" w:cs="Palatino Linotype"/>
          <w:i/>
          <w:color w:val="000000" w:themeColor="text1"/>
        </w:rPr>
      </w:pPr>
    </w:p>
    <w:p w:rsidR="00D37F8E" w:rsidRPr="00CF14B5" w:rsidRDefault="00A26763" w:rsidP="00CF14B5">
      <w:pPr>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i/>
          <w:color w:val="000000" w:themeColor="text1"/>
        </w:rPr>
        <w:t>Este derecho se regirá por los principios y bases siguientes:</w:t>
      </w:r>
    </w:p>
    <w:p w:rsidR="00D37F8E" w:rsidRPr="00CF14B5" w:rsidRDefault="00D37F8E" w:rsidP="00CF14B5">
      <w:pPr>
        <w:jc w:val="both"/>
        <w:rPr>
          <w:rFonts w:ascii="Palatino Linotype" w:eastAsia="Palatino Linotype" w:hAnsi="Palatino Linotype" w:cs="Palatino Linotype"/>
          <w:b/>
          <w:i/>
          <w:color w:val="000000" w:themeColor="text1"/>
        </w:rPr>
      </w:pPr>
    </w:p>
    <w:p w:rsidR="00D37F8E" w:rsidRPr="00CF14B5" w:rsidRDefault="00A26763" w:rsidP="00CF14B5">
      <w:pPr>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b/>
          <w:i/>
          <w:color w:val="000000" w:themeColor="text1"/>
        </w:rPr>
        <w:t xml:space="preserve">I. Toda la información en posesión </w:t>
      </w:r>
      <w:r w:rsidRPr="00CF14B5">
        <w:rPr>
          <w:rFonts w:ascii="Palatino Linotype" w:eastAsia="Palatino Linotype" w:hAnsi="Palatino Linotype" w:cs="Palatino Linotype"/>
          <w:i/>
          <w:color w:val="000000" w:themeColor="text1"/>
        </w:rPr>
        <w:t xml:space="preserve">de cualquier autoridad, entidad, órgano y organismos de los Poderes Ejecutivo, Legislativo y Judicial, órganos autónomos, partidos políticos, fideicomisos y fondos públicos estatales y municipales, así como </w:t>
      </w:r>
      <w:r w:rsidRPr="00CF14B5">
        <w:rPr>
          <w:rFonts w:ascii="Palatino Linotype" w:eastAsia="Palatino Linotype" w:hAnsi="Palatino Linotype" w:cs="Palatino Linotype"/>
          <w:b/>
          <w:i/>
          <w:color w:val="000000" w:themeColor="text1"/>
        </w:rPr>
        <w:t>del gobierno y de la administración pública municipal y sus organismos descentralizados</w:t>
      </w:r>
      <w:r w:rsidRPr="00CF14B5">
        <w:rPr>
          <w:rFonts w:ascii="Palatino Linotype" w:eastAsia="Palatino Linotype" w:hAnsi="Palatino Linotype" w:cs="Palatino Linotype"/>
          <w:i/>
          <w:color w:val="000000" w:themeColor="text1"/>
        </w:rPr>
        <w:t xml:space="preserve">, asimismo de cualquier persona física, jurídica colectiva o sindicato que reciba y ejerza recursos públicos o realice actos de autoridad en el ámbito estatal y municipal, </w:t>
      </w:r>
      <w:r w:rsidRPr="00CF14B5">
        <w:rPr>
          <w:rFonts w:ascii="Palatino Linotype" w:eastAsia="Palatino Linotype" w:hAnsi="Palatino Linotype" w:cs="Palatino Linotype"/>
          <w:b/>
          <w:i/>
          <w:color w:val="000000" w:themeColor="text1"/>
        </w:rPr>
        <w:t>es pública</w:t>
      </w:r>
      <w:r w:rsidRPr="00CF14B5">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37F8E" w:rsidRPr="00CF14B5" w:rsidRDefault="00A26763" w:rsidP="00CF14B5">
      <w:pPr>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i/>
          <w:color w:val="000000" w:themeColor="text1"/>
        </w:rPr>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rsidR="00D37F8E" w:rsidRPr="00CF14B5" w:rsidRDefault="00D37F8E" w:rsidP="00CF14B5">
      <w:pPr>
        <w:jc w:val="both"/>
        <w:rPr>
          <w:rFonts w:ascii="Palatino Linotype" w:eastAsia="Palatino Linotype" w:hAnsi="Palatino Linotype" w:cs="Palatino Linotype"/>
          <w:i/>
          <w:color w:val="000000" w:themeColor="text1"/>
        </w:rPr>
      </w:pPr>
    </w:p>
    <w:p w:rsidR="00D37F8E" w:rsidRPr="00CF14B5" w:rsidRDefault="00A26763" w:rsidP="00CF14B5">
      <w:pPr>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rsidR="00D37F8E" w:rsidRPr="00CF14B5" w:rsidRDefault="00D37F8E" w:rsidP="00CF14B5">
      <w:pPr>
        <w:jc w:val="both"/>
        <w:rPr>
          <w:rFonts w:ascii="Palatino Linotype" w:eastAsia="Palatino Linotype" w:hAnsi="Palatino Linotype" w:cs="Palatino Linotype"/>
          <w:i/>
          <w:color w:val="000000" w:themeColor="text1"/>
        </w:rPr>
      </w:pPr>
    </w:p>
    <w:p w:rsidR="00D37F8E" w:rsidRPr="00CF14B5" w:rsidRDefault="00A26763" w:rsidP="00CF14B5">
      <w:pPr>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i/>
          <w:color w:val="000000" w:themeColor="text1"/>
        </w:rPr>
        <w:t>IV. Se establecerán mecanismos de acceso a la información y procedimientos de revisión expeditos que se sustanciarán ante el organismo autónomo especializado e imparcial que establece esta Constitución.</w:t>
      </w:r>
    </w:p>
    <w:p w:rsidR="00D37F8E" w:rsidRPr="00CF14B5" w:rsidRDefault="00D37F8E" w:rsidP="00CF14B5">
      <w:pPr>
        <w:jc w:val="both"/>
        <w:rPr>
          <w:rFonts w:ascii="Palatino Linotype" w:eastAsia="Palatino Linotype" w:hAnsi="Palatino Linotype" w:cs="Palatino Linotype"/>
          <w:i/>
          <w:color w:val="000000" w:themeColor="text1"/>
        </w:rPr>
      </w:pPr>
    </w:p>
    <w:p w:rsidR="00D37F8E" w:rsidRPr="00CF14B5" w:rsidRDefault="00A26763" w:rsidP="00CF14B5">
      <w:pPr>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i/>
          <w:color w:val="000000" w:themeColor="text1"/>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D37F8E" w:rsidRPr="00CF14B5" w:rsidRDefault="00D37F8E" w:rsidP="00CF14B5">
      <w:pPr>
        <w:jc w:val="both"/>
        <w:rPr>
          <w:rFonts w:ascii="Palatino Linotype" w:eastAsia="Palatino Linotype" w:hAnsi="Palatino Linotype" w:cs="Palatino Linotype"/>
          <w:b/>
          <w:i/>
          <w:color w:val="000000" w:themeColor="text1"/>
        </w:rPr>
      </w:pPr>
    </w:p>
    <w:p w:rsidR="00D37F8E" w:rsidRPr="00CF14B5" w:rsidRDefault="00A26763" w:rsidP="00CF14B5">
      <w:pPr>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b/>
          <w:i/>
          <w:color w:val="000000" w:themeColor="text1"/>
        </w:rPr>
        <w:t>VI. Los sujetos obligados deberán preservar sus documentos en archivos administrativos actualizados y publicarán, a través de los medios electrónicos disponibles, la información completa y actualizada sobre el ejercicio de los recursos públicos</w:t>
      </w:r>
      <w:r w:rsidRPr="00CF14B5">
        <w:rPr>
          <w:rFonts w:ascii="Palatino Linotype" w:eastAsia="Palatino Linotype" w:hAnsi="Palatino Linotype" w:cs="Palatino Linotype"/>
          <w:i/>
          <w:color w:val="000000" w:themeColor="text1"/>
        </w:rPr>
        <w:t xml:space="preserve"> y los indicadores que permitan rendir cuenta del cumplimiento de sus objetivos y los resultados obtenidos.</w:t>
      </w:r>
    </w:p>
    <w:p w:rsidR="00D37F8E" w:rsidRPr="00CF14B5" w:rsidRDefault="00D37F8E" w:rsidP="00CF14B5">
      <w:pPr>
        <w:jc w:val="both"/>
        <w:rPr>
          <w:rFonts w:ascii="Palatino Linotype" w:eastAsia="Palatino Linotype" w:hAnsi="Palatino Linotype" w:cs="Palatino Linotype"/>
          <w:i/>
          <w:color w:val="000000" w:themeColor="text1"/>
        </w:rPr>
      </w:pPr>
    </w:p>
    <w:p w:rsidR="00D37F8E" w:rsidRPr="00CF14B5" w:rsidRDefault="00A26763" w:rsidP="00CF14B5">
      <w:pPr>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i/>
          <w:color w:val="000000" w:themeColor="text1"/>
        </w:rPr>
        <w:t>VII. La ley reglamentaria, determinará la manera en que los sujetos obligados deberán hacer pública la información relativa a los recursos públicos que entreguen a personas físicas o jurídicas colectivas.”</w:t>
      </w:r>
    </w:p>
    <w:p w:rsidR="00D37F8E" w:rsidRPr="00CF14B5" w:rsidRDefault="00D37F8E" w:rsidP="00CF14B5">
      <w:pPr>
        <w:jc w:val="both"/>
        <w:rPr>
          <w:rFonts w:ascii="Palatino Linotype" w:eastAsia="Palatino Linotype" w:hAnsi="Palatino Linotype" w:cs="Palatino Linotype"/>
          <w:color w:val="000000" w:themeColor="text1"/>
        </w:rPr>
      </w:pPr>
    </w:p>
    <w:p w:rsidR="00D37F8E" w:rsidRPr="00CF14B5" w:rsidRDefault="00A26763" w:rsidP="00CF14B5">
      <w:pPr>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(Énfasis añadido)</w:t>
      </w:r>
    </w:p>
    <w:p w:rsidR="00D37F8E" w:rsidRPr="00CF14B5" w:rsidRDefault="00D37F8E" w:rsidP="00CF14B5">
      <w:pPr>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Adicional, tenemos que la Ley de Transparencia y Acceso a la Información Pública del Estado de México y Municipios, prevé en su artículo 23 fracción IV, lo siguiente:</w:t>
      </w:r>
    </w:p>
    <w:p w:rsidR="00D37F8E" w:rsidRPr="00CF14B5" w:rsidRDefault="00A26763" w:rsidP="00CF14B5">
      <w:pPr>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b/>
          <w:i/>
          <w:color w:val="000000" w:themeColor="text1"/>
        </w:rPr>
        <w:t>“Artículo 23. Son sujetos obligados a transparentar y permitir el acceso a su información y proteger los datos personales que obren en su poder</w:t>
      </w:r>
      <w:r w:rsidRPr="00CF14B5">
        <w:rPr>
          <w:rFonts w:ascii="Palatino Linotype" w:eastAsia="Palatino Linotype" w:hAnsi="Palatino Linotype" w:cs="Palatino Linotype"/>
          <w:i/>
          <w:color w:val="000000" w:themeColor="text1"/>
        </w:rPr>
        <w:t>:</w:t>
      </w:r>
    </w:p>
    <w:p w:rsidR="00D37F8E" w:rsidRPr="00CF14B5" w:rsidRDefault="00A26763" w:rsidP="00CF14B5">
      <w:pPr>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i/>
          <w:color w:val="000000" w:themeColor="text1"/>
        </w:rPr>
        <w:t>…</w:t>
      </w:r>
    </w:p>
    <w:p w:rsidR="00D37F8E" w:rsidRPr="00CF14B5" w:rsidRDefault="00A26763" w:rsidP="00CF14B5">
      <w:pPr>
        <w:jc w:val="both"/>
        <w:rPr>
          <w:rFonts w:ascii="Palatino Linotype" w:eastAsia="Palatino Linotype" w:hAnsi="Palatino Linotype" w:cs="Palatino Linotype"/>
          <w:b/>
          <w:i/>
          <w:color w:val="000000" w:themeColor="text1"/>
        </w:rPr>
      </w:pPr>
      <w:r w:rsidRPr="00CF14B5">
        <w:rPr>
          <w:rFonts w:ascii="Palatino Linotype" w:eastAsia="Palatino Linotype" w:hAnsi="Palatino Linotype" w:cs="Palatino Linotype"/>
          <w:b/>
          <w:i/>
          <w:color w:val="000000" w:themeColor="text1"/>
        </w:rPr>
        <w:t>IV. Los ayuntamientos y las dependencias, organismos, órganos y entidades de la administración municipal</w:t>
      </w:r>
      <w:r w:rsidRPr="00CF14B5">
        <w:rPr>
          <w:rFonts w:ascii="Palatino Linotype" w:eastAsia="Palatino Linotype" w:hAnsi="Palatino Linotype" w:cs="Palatino Linotype"/>
          <w:i/>
          <w:color w:val="000000" w:themeColor="text1"/>
        </w:rPr>
        <w:t>;</w:t>
      </w:r>
      <w:r w:rsidRPr="00CF14B5">
        <w:rPr>
          <w:rFonts w:ascii="Palatino Linotype" w:eastAsia="Palatino Linotype" w:hAnsi="Palatino Linotype" w:cs="Palatino Linotype"/>
          <w:b/>
          <w:i/>
          <w:color w:val="000000" w:themeColor="text1"/>
        </w:rPr>
        <w:t xml:space="preserve"> </w:t>
      </w:r>
    </w:p>
    <w:p w:rsidR="00D37F8E" w:rsidRPr="00CF14B5" w:rsidRDefault="00A26763" w:rsidP="00CF14B5">
      <w:pPr>
        <w:jc w:val="both"/>
        <w:rPr>
          <w:rFonts w:ascii="Palatino Linotype" w:eastAsia="Palatino Linotype" w:hAnsi="Palatino Linotype" w:cs="Palatino Linotype"/>
          <w:b/>
          <w:i/>
          <w:color w:val="000000" w:themeColor="text1"/>
        </w:rPr>
      </w:pPr>
      <w:r w:rsidRPr="00CF14B5">
        <w:rPr>
          <w:rFonts w:ascii="Palatino Linotype" w:eastAsia="Palatino Linotype" w:hAnsi="Palatino Linotype" w:cs="Palatino Linotype"/>
          <w:b/>
          <w:i/>
          <w:color w:val="000000" w:themeColor="text1"/>
        </w:rPr>
        <w:t>…</w:t>
      </w:r>
    </w:p>
    <w:p w:rsidR="00D37F8E" w:rsidRPr="00CF14B5" w:rsidRDefault="00A26763" w:rsidP="00CF14B5">
      <w:pPr>
        <w:jc w:val="both"/>
        <w:rPr>
          <w:rFonts w:ascii="Palatino Linotype" w:eastAsia="Palatino Linotype" w:hAnsi="Palatino Linotype" w:cs="Palatino Linotype"/>
          <w:b/>
          <w:i/>
          <w:color w:val="000000" w:themeColor="text1"/>
        </w:rPr>
      </w:pPr>
      <w:r w:rsidRPr="00CF14B5">
        <w:rPr>
          <w:rFonts w:ascii="Palatino Linotype" w:eastAsia="Palatino Linotype" w:hAnsi="Palatino Linotype" w:cs="Palatino Linotype"/>
          <w:b/>
          <w:i/>
          <w:color w:val="000000" w:themeColor="text1"/>
        </w:rPr>
        <w:lastRenderedPageBreak/>
        <w:t>Los sujetos obligados deberán hacer pública toda aquella información relativa a los montos y las personas a quienes entreguen, por cualquier motivo, recursos públicos</w:t>
      </w:r>
      <w:r w:rsidRPr="00CF14B5">
        <w:rPr>
          <w:rFonts w:ascii="Palatino Linotype" w:eastAsia="Palatino Linotype" w:hAnsi="Palatino Linotype" w:cs="Palatino Linotype"/>
          <w:i/>
          <w:color w:val="000000" w:themeColor="text1"/>
        </w:rPr>
        <w:t xml:space="preserve">, </w:t>
      </w:r>
      <w:r w:rsidRPr="00CF14B5">
        <w:rPr>
          <w:rFonts w:ascii="Palatino Linotype" w:eastAsia="Palatino Linotype" w:hAnsi="Palatino Linotype" w:cs="Palatino Linotype"/>
          <w:b/>
          <w:i/>
          <w:color w:val="000000" w:themeColor="text1"/>
        </w:rPr>
        <w:t>así como</w:t>
      </w:r>
      <w:r w:rsidRPr="00CF14B5">
        <w:rPr>
          <w:rFonts w:ascii="Palatino Linotype" w:eastAsia="Palatino Linotype" w:hAnsi="Palatino Linotype" w:cs="Palatino Linotype"/>
          <w:i/>
          <w:color w:val="000000" w:themeColor="text1"/>
        </w:rPr>
        <w:t xml:space="preserve"> </w:t>
      </w:r>
      <w:r w:rsidRPr="00CF14B5">
        <w:rPr>
          <w:rFonts w:ascii="Palatino Linotype" w:eastAsia="Palatino Linotype" w:hAnsi="Palatino Linotype" w:cs="Palatino Linotype"/>
          <w:b/>
          <w:i/>
          <w:color w:val="000000" w:themeColor="text1"/>
        </w:rPr>
        <w:t>los informes que dichas personas les entreguen sobre el uso y destino de dichos recursos.</w:t>
      </w:r>
    </w:p>
    <w:p w:rsidR="00D37F8E" w:rsidRPr="00CF14B5" w:rsidRDefault="00D37F8E" w:rsidP="00CF14B5">
      <w:pPr>
        <w:jc w:val="both"/>
        <w:rPr>
          <w:rFonts w:ascii="Palatino Linotype" w:eastAsia="Palatino Linotype" w:hAnsi="Palatino Linotype" w:cs="Palatino Linotype"/>
          <w:b/>
          <w:i/>
          <w:color w:val="000000" w:themeColor="text1"/>
        </w:rPr>
      </w:pPr>
    </w:p>
    <w:p w:rsidR="00D37F8E" w:rsidRPr="00CF14B5" w:rsidRDefault="00A26763" w:rsidP="00CF14B5">
      <w:pPr>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b/>
          <w:i/>
          <w:color w:val="000000" w:themeColor="text1"/>
        </w:rPr>
        <w:t>Los servidores públicos deberán transparentar sus acciones así como garantizar y respetar el derecho de acceso a la información pública.”</w:t>
      </w:r>
    </w:p>
    <w:p w:rsidR="00D37F8E" w:rsidRPr="00CF14B5" w:rsidRDefault="00A26763" w:rsidP="00CF14B5">
      <w:pPr>
        <w:jc w:val="both"/>
        <w:rPr>
          <w:rFonts w:ascii="Palatino Linotype" w:eastAsia="Palatino Linotype" w:hAnsi="Palatino Linotype" w:cs="Palatino Linotype"/>
          <w:i/>
          <w:color w:val="000000" w:themeColor="text1"/>
        </w:rPr>
      </w:pPr>
      <w:r w:rsidRPr="00CF14B5">
        <w:rPr>
          <w:rFonts w:ascii="Palatino Linotype" w:eastAsia="Palatino Linotype" w:hAnsi="Palatino Linotype" w:cs="Palatino Linotype"/>
          <w:i/>
          <w:color w:val="000000" w:themeColor="text1"/>
        </w:rPr>
        <w:t>(Énfasis añadido)</w:t>
      </w:r>
    </w:p>
    <w:p w:rsidR="00D37F8E" w:rsidRDefault="00D37F8E" w:rsidP="00CF14B5">
      <w:pPr>
        <w:jc w:val="both"/>
        <w:rPr>
          <w:rFonts w:ascii="Palatino Linotype" w:eastAsia="Palatino Linotype" w:hAnsi="Palatino Linotype" w:cs="Palatino Linotype"/>
          <w:i/>
          <w:color w:val="000000" w:themeColor="text1"/>
        </w:rPr>
      </w:pPr>
    </w:p>
    <w:p w:rsidR="00FA7149" w:rsidRPr="00CF14B5" w:rsidRDefault="00FA7149" w:rsidP="00CF14B5">
      <w:pPr>
        <w:jc w:val="both"/>
        <w:rPr>
          <w:rFonts w:ascii="Palatino Linotype" w:eastAsia="Palatino Linotype" w:hAnsi="Palatino Linotype" w:cs="Palatino Linotype"/>
          <w:i/>
          <w:color w:val="000000" w:themeColor="text1"/>
        </w:rPr>
      </w:pPr>
    </w:p>
    <w:p w:rsidR="00D37F8E" w:rsidRPr="00CF14B5" w:rsidRDefault="00A26763" w:rsidP="00CF14B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rsidR="00A85AE4" w:rsidRPr="00CF14B5" w:rsidRDefault="00A85AE4" w:rsidP="00CF14B5">
      <w:pPr>
        <w:spacing w:line="360" w:lineRule="auto"/>
        <w:jc w:val="both"/>
        <w:rPr>
          <w:rFonts w:ascii="Palatino Linotype" w:eastAsia="Palatino Linotype" w:hAnsi="Palatino Linotype" w:cs="Palatino Linotype"/>
          <w:color w:val="000000" w:themeColor="text1"/>
        </w:rPr>
      </w:pPr>
    </w:p>
    <w:p w:rsidR="00A85AE4" w:rsidRPr="00D34B32" w:rsidRDefault="00A85AE4" w:rsidP="00CF14B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D34B32">
        <w:rPr>
          <w:rFonts w:ascii="Palatino Linotype" w:eastAsia="Palatino Linotype" w:hAnsi="Palatino Linotype" w:cs="Palatino Linotype"/>
          <w:color w:val="000000" w:themeColor="text1"/>
        </w:rPr>
        <w:t>Por último, se dejan a salvo los derechos del particular a efecto de que, de considerarlo oportuno, realice nuevas solicitudes de información al Ayuntamiento de San José del Rincón.</w:t>
      </w:r>
    </w:p>
    <w:p w:rsidR="00D37F8E" w:rsidRPr="00CF14B5" w:rsidRDefault="00D37F8E" w:rsidP="00CF14B5">
      <w:pPr>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Es por lo expuesto con anterioridad, que se colige que resultan</w:t>
      </w:r>
      <w:r w:rsidRPr="00CF14B5">
        <w:rPr>
          <w:rFonts w:ascii="Palatino Linotype" w:eastAsia="Palatino Linotype" w:hAnsi="Palatino Linotype" w:cs="Palatino Linotype"/>
          <w:b/>
          <w:color w:val="000000" w:themeColor="text1"/>
        </w:rPr>
        <w:t xml:space="preserve"> infundadas</w:t>
      </w:r>
      <w:r w:rsidRPr="00CF14B5">
        <w:rPr>
          <w:rFonts w:ascii="Palatino Linotype" w:eastAsia="Palatino Linotype" w:hAnsi="Palatino Linotype" w:cs="Palatino Linotype"/>
          <w:color w:val="000000" w:themeColor="text1"/>
        </w:rPr>
        <w:t xml:space="preserve"> las razones o motivos de inconformidad hechos valer por </w:t>
      </w:r>
      <w:r w:rsidRPr="00CF14B5">
        <w:rPr>
          <w:rFonts w:ascii="Palatino Linotype" w:eastAsia="Palatino Linotype" w:hAnsi="Palatino Linotype" w:cs="Palatino Linotype"/>
          <w:b/>
          <w:color w:val="000000" w:themeColor="text1"/>
        </w:rPr>
        <w:t>EL RECURRENTE</w:t>
      </w:r>
      <w:r w:rsidRPr="00CF14B5">
        <w:rPr>
          <w:rFonts w:ascii="Palatino Linotype" w:eastAsia="Palatino Linotype" w:hAnsi="Palatino Linotype" w:cs="Palatino Linotype"/>
          <w:color w:val="000000" w:themeColor="text1"/>
        </w:rPr>
        <w:t xml:space="preserve"> en el recursos de revisión, por ello, con fundamento en el artículo 186, fracción II, de la Ley de Transparencia y Acceso a la Información Pública del Estado de México y Municipios, se </w:t>
      </w:r>
      <w:r w:rsidRPr="00CF14B5">
        <w:rPr>
          <w:rFonts w:ascii="Palatino Linotype" w:eastAsia="Palatino Linotype" w:hAnsi="Palatino Linotype" w:cs="Palatino Linotype"/>
          <w:b/>
          <w:color w:val="000000" w:themeColor="text1"/>
        </w:rPr>
        <w:t>CONFIRMA</w:t>
      </w:r>
      <w:r w:rsidRPr="00CF14B5">
        <w:rPr>
          <w:rFonts w:ascii="Palatino Linotype" w:eastAsia="Palatino Linotype" w:hAnsi="Palatino Linotype" w:cs="Palatino Linotype"/>
          <w:color w:val="000000" w:themeColor="text1"/>
        </w:rPr>
        <w:t xml:space="preserve"> la respuesta a las solicitud de información pública</w:t>
      </w:r>
      <w:r w:rsidRPr="00CF14B5">
        <w:rPr>
          <w:rFonts w:ascii="Palatino Linotype" w:eastAsia="Palatino Linotype" w:hAnsi="Palatino Linotype" w:cs="Palatino Linotype"/>
          <w:b/>
          <w:color w:val="000000" w:themeColor="text1"/>
        </w:rPr>
        <w:t> 00026/DIFJOSERIN/IP/2025,</w:t>
      </w:r>
      <w:r w:rsidRPr="00CF14B5">
        <w:rPr>
          <w:rFonts w:ascii="Palatino Linotype" w:eastAsia="Palatino Linotype" w:hAnsi="Palatino Linotype" w:cs="Palatino Linotype"/>
          <w:color w:val="000000" w:themeColor="text1"/>
        </w:rPr>
        <w:t xml:space="preserve"> que ha sido materia del presente fallo.</w:t>
      </w:r>
    </w:p>
    <w:p w:rsidR="00D37F8E" w:rsidRPr="00CF14B5" w:rsidRDefault="00D37F8E" w:rsidP="00CF14B5">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numPr>
          <w:ilvl w:val="0"/>
          <w:numId w:val="2"/>
        </w:numPr>
        <w:spacing w:line="360" w:lineRule="auto"/>
        <w:ind w:left="0" w:firstLine="0"/>
        <w:jc w:val="both"/>
        <w:rPr>
          <w:rFonts w:ascii="Palatino Linotype" w:eastAsia="Palatino Linotype" w:hAnsi="Palatino Linotype" w:cs="Palatino Linotype"/>
          <w:color w:val="000000" w:themeColor="text1"/>
        </w:rPr>
      </w:pPr>
      <w:bookmarkStart w:id="9" w:name="_heading=h.5j1miaqw5c1l" w:colFirst="0" w:colLast="0"/>
      <w:bookmarkEnd w:id="9"/>
      <w:r w:rsidRPr="00CF14B5">
        <w:rPr>
          <w:rFonts w:ascii="Palatino Linotype" w:eastAsia="Palatino Linotype" w:hAnsi="Palatino Linotype" w:cs="Palatino Linotype"/>
          <w:color w:val="000000" w:themeColor="text1"/>
        </w:rPr>
        <w:t xml:space="preserve">Por lo anteriormente expuesto y fundado, este </w:t>
      </w:r>
      <w:r w:rsidRPr="00CF14B5">
        <w:rPr>
          <w:rFonts w:ascii="Palatino Linotype" w:eastAsia="Palatino Linotype" w:hAnsi="Palatino Linotype" w:cs="Palatino Linotype"/>
          <w:b/>
          <w:color w:val="000000" w:themeColor="text1"/>
        </w:rPr>
        <w:t>ÓRGANO GARANTE</w:t>
      </w:r>
      <w:r w:rsidRPr="00CF14B5">
        <w:rPr>
          <w:rFonts w:ascii="Palatino Linotype" w:eastAsia="Palatino Linotype" w:hAnsi="Palatino Linotype" w:cs="Palatino Linotype"/>
          <w:color w:val="000000" w:themeColor="text1"/>
        </w:rPr>
        <w:t xml:space="preserve"> emite los siguientes:</w:t>
      </w:r>
      <w:r w:rsidR="00FA7149">
        <w:rPr>
          <w:rFonts w:ascii="Palatino Linotype" w:eastAsia="Palatino Linotype" w:hAnsi="Palatino Linotype" w:cs="Palatino Linotype"/>
          <w:color w:val="000000" w:themeColor="text1"/>
        </w:rPr>
        <w:t xml:space="preserve"> -------------------------------------------------------------------------------------------------------------</w:t>
      </w:r>
    </w:p>
    <w:p w:rsidR="00D37F8E" w:rsidRPr="00CF14B5" w:rsidRDefault="00A26763" w:rsidP="00CF14B5">
      <w:pPr>
        <w:pStyle w:val="Ttulo1"/>
        <w:spacing w:before="0" w:line="360" w:lineRule="auto"/>
        <w:jc w:val="center"/>
        <w:rPr>
          <w:rFonts w:ascii="Palatino Linotype" w:eastAsia="Palatino Linotype" w:hAnsi="Palatino Linotype" w:cs="Palatino Linotype"/>
          <w:b/>
          <w:color w:val="000000" w:themeColor="text1"/>
          <w:sz w:val="24"/>
          <w:szCs w:val="24"/>
        </w:rPr>
      </w:pPr>
      <w:r w:rsidRPr="00CF14B5">
        <w:rPr>
          <w:rFonts w:ascii="Palatino Linotype" w:eastAsia="Palatino Linotype" w:hAnsi="Palatino Linotype" w:cs="Palatino Linotype"/>
          <w:b/>
          <w:color w:val="000000" w:themeColor="text1"/>
          <w:sz w:val="24"/>
          <w:szCs w:val="24"/>
        </w:rPr>
        <w:lastRenderedPageBreak/>
        <w:t>R E S O L U T I V O S</w:t>
      </w:r>
    </w:p>
    <w:p w:rsidR="00D37F8E" w:rsidRPr="00CF14B5" w:rsidRDefault="00D37F8E" w:rsidP="00CF14B5">
      <w:pPr>
        <w:spacing w:line="360" w:lineRule="auto"/>
        <w:rPr>
          <w:rFonts w:ascii="Palatino Linotype" w:eastAsia="Palatino Linotype" w:hAnsi="Palatino Linotype" w:cs="Palatino Linotype"/>
          <w:color w:val="000000" w:themeColor="text1"/>
        </w:rPr>
      </w:pPr>
    </w:p>
    <w:p w:rsidR="00D37F8E" w:rsidRPr="00CF14B5" w:rsidRDefault="00A26763" w:rsidP="00CF14B5">
      <w:pPr>
        <w:tabs>
          <w:tab w:val="left" w:pos="8080"/>
        </w:tabs>
        <w:spacing w:line="360" w:lineRule="auto"/>
        <w:jc w:val="both"/>
        <w:rPr>
          <w:rFonts w:ascii="Palatino Linotype" w:eastAsia="Palatino Linotype" w:hAnsi="Palatino Linotype" w:cs="Palatino Linotype"/>
          <w:color w:val="000000" w:themeColor="text1"/>
        </w:rPr>
      </w:pPr>
      <w:bookmarkStart w:id="10" w:name="_heading=h.8x7sbkqsdo53" w:colFirst="0" w:colLast="0"/>
      <w:bookmarkEnd w:id="10"/>
      <w:r w:rsidRPr="00CF14B5">
        <w:rPr>
          <w:rFonts w:ascii="Palatino Linotype" w:eastAsia="Palatino Linotype" w:hAnsi="Palatino Linotype" w:cs="Palatino Linotype"/>
          <w:b/>
          <w:color w:val="000000" w:themeColor="text1"/>
        </w:rPr>
        <w:t>PRIMERO</w:t>
      </w:r>
      <w:r w:rsidRPr="00CF14B5">
        <w:rPr>
          <w:rFonts w:ascii="Palatino Linotype" w:eastAsia="Palatino Linotype" w:hAnsi="Palatino Linotype" w:cs="Palatino Linotype"/>
          <w:color w:val="000000" w:themeColor="text1"/>
        </w:rPr>
        <w:t xml:space="preserve">. Resultan infundadas las razones o motivos de inconformidad hechos valer en el recurso de revisión </w:t>
      </w:r>
      <w:r w:rsidRPr="00CF14B5">
        <w:rPr>
          <w:rFonts w:ascii="Palatino Linotype" w:eastAsia="Palatino Linotype" w:hAnsi="Palatino Linotype" w:cs="Palatino Linotype"/>
          <w:b/>
          <w:color w:val="000000" w:themeColor="text1"/>
        </w:rPr>
        <w:t>05993/INFOEM/IP/RR/2025</w:t>
      </w:r>
      <w:r w:rsidRPr="00CF14B5">
        <w:rPr>
          <w:rFonts w:ascii="Palatino Linotype" w:eastAsia="Palatino Linotype" w:hAnsi="Palatino Linotype" w:cs="Palatino Linotype"/>
          <w:color w:val="000000" w:themeColor="text1"/>
        </w:rPr>
        <w:t xml:space="preserve">, en términos del Considerando </w:t>
      </w:r>
      <w:r w:rsidRPr="00CF14B5">
        <w:rPr>
          <w:rFonts w:ascii="Palatino Linotype" w:eastAsia="Palatino Linotype" w:hAnsi="Palatino Linotype" w:cs="Palatino Linotype"/>
          <w:b/>
          <w:color w:val="000000" w:themeColor="text1"/>
        </w:rPr>
        <w:t>CUARTO</w:t>
      </w:r>
      <w:r w:rsidRPr="00CF14B5">
        <w:rPr>
          <w:rFonts w:ascii="Palatino Linotype" w:eastAsia="Palatino Linotype" w:hAnsi="Palatino Linotype" w:cs="Palatino Linotype"/>
          <w:color w:val="000000" w:themeColor="text1"/>
        </w:rPr>
        <w:t xml:space="preserve"> de la presente resolución.</w:t>
      </w:r>
    </w:p>
    <w:p w:rsidR="00D37F8E" w:rsidRPr="00CF14B5" w:rsidRDefault="00D37F8E" w:rsidP="00CF14B5">
      <w:pPr>
        <w:tabs>
          <w:tab w:val="left" w:pos="8080"/>
        </w:tabs>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tabs>
          <w:tab w:val="left" w:pos="8080"/>
        </w:tabs>
        <w:spacing w:line="360" w:lineRule="auto"/>
        <w:jc w:val="both"/>
        <w:rPr>
          <w:rFonts w:ascii="Palatino Linotype" w:eastAsia="Palatino Linotype" w:hAnsi="Palatino Linotype" w:cs="Palatino Linotype"/>
          <w:b/>
          <w:color w:val="000000" w:themeColor="text1"/>
        </w:rPr>
      </w:pPr>
      <w:r w:rsidRPr="00CF14B5">
        <w:rPr>
          <w:rFonts w:ascii="Palatino Linotype" w:eastAsia="Palatino Linotype" w:hAnsi="Palatino Linotype" w:cs="Palatino Linotype"/>
          <w:b/>
          <w:color w:val="000000" w:themeColor="text1"/>
        </w:rPr>
        <w:t>SEGUNDO</w:t>
      </w:r>
      <w:r w:rsidRPr="00CF14B5">
        <w:rPr>
          <w:rFonts w:ascii="Palatino Linotype" w:eastAsia="Palatino Linotype" w:hAnsi="Palatino Linotype" w:cs="Palatino Linotype"/>
          <w:color w:val="000000" w:themeColor="text1"/>
        </w:rPr>
        <w:t xml:space="preserve">. Se </w:t>
      </w:r>
      <w:r w:rsidRPr="00CF14B5">
        <w:rPr>
          <w:rFonts w:ascii="Palatino Linotype" w:eastAsia="Palatino Linotype" w:hAnsi="Palatino Linotype" w:cs="Palatino Linotype"/>
          <w:b/>
          <w:color w:val="000000" w:themeColor="text1"/>
        </w:rPr>
        <w:t>CONFIRMA</w:t>
      </w:r>
      <w:r w:rsidRPr="00CF14B5">
        <w:rPr>
          <w:rFonts w:ascii="Palatino Linotype" w:eastAsia="Palatino Linotype" w:hAnsi="Palatino Linotype" w:cs="Palatino Linotype"/>
          <w:color w:val="000000" w:themeColor="text1"/>
        </w:rPr>
        <w:t xml:space="preserve"> la respuesta emitida por el </w:t>
      </w:r>
      <w:r w:rsidRPr="00CF14B5">
        <w:rPr>
          <w:rFonts w:ascii="Palatino Linotype" w:eastAsia="Palatino Linotype" w:hAnsi="Palatino Linotype" w:cs="Palatino Linotype"/>
          <w:b/>
          <w:color w:val="000000" w:themeColor="text1"/>
        </w:rPr>
        <w:t xml:space="preserve">Sistema Municipal Para el Desarrollo Integral de la Familia de San José del Rincón, </w:t>
      </w:r>
      <w:r w:rsidRPr="00CF14B5">
        <w:rPr>
          <w:rFonts w:ascii="Palatino Linotype" w:eastAsia="Palatino Linotype" w:hAnsi="Palatino Linotype" w:cs="Palatino Linotype"/>
          <w:color w:val="000000" w:themeColor="text1"/>
        </w:rPr>
        <w:t xml:space="preserve">en la solicitud de información </w:t>
      </w:r>
      <w:r w:rsidRPr="00CF14B5">
        <w:rPr>
          <w:rFonts w:ascii="Palatino Linotype" w:eastAsia="Palatino Linotype" w:hAnsi="Palatino Linotype" w:cs="Palatino Linotype"/>
          <w:b/>
          <w:color w:val="000000" w:themeColor="text1"/>
        </w:rPr>
        <w:t>00026/DIFJOSERIN/IP/2025.</w:t>
      </w:r>
    </w:p>
    <w:p w:rsidR="00D37F8E" w:rsidRPr="00CF14B5" w:rsidRDefault="00D37F8E" w:rsidP="00CF14B5">
      <w:pPr>
        <w:tabs>
          <w:tab w:val="left" w:pos="8080"/>
        </w:tabs>
        <w:spacing w:line="360" w:lineRule="auto"/>
        <w:jc w:val="both"/>
        <w:rPr>
          <w:rFonts w:ascii="Palatino Linotype" w:eastAsia="Palatino Linotype" w:hAnsi="Palatino Linotype" w:cs="Palatino Linotype"/>
          <w:b/>
          <w:color w:val="000000" w:themeColor="text1"/>
        </w:rPr>
      </w:pPr>
    </w:p>
    <w:p w:rsidR="00D37F8E" w:rsidRPr="00CF14B5" w:rsidRDefault="00A26763" w:rsidP="00CF14B5">
      <w:pPr>
        <w:shd w:val="clear" w:color="auto" w:fill="FFFFFF"/>
        <w:spacing w:line="360" w:lineRule="auto"/>
        <w:jc w:val="both"/>
        <w:rPr>
          <w:rFonts w:ascii="Palatino Linotype" w:eastAsia="Palatino Linotype" w:hAnsi="Palatino Linotype" w:cs="Palatino Linotype"/>
          <w:color w:val="000000" w:themeColor="text1"/>
        </w:rPr>
      </w:pPr>
      <w:bookmarkStart w:id="11" w:name="_heading=h.5xz4uyeefgsd" w:colFirst="0" w:colLast="0"/>
      <w:bookmarkEnd w:id="11"/>
      <w:r w:rsidRPr="00CF14B5">
        <w:rPr>
          <w:rFonts w:ascii="Palatino Linotype" w:eastAsia="Palatino Linotype" w:hAnsi="Palatino Linotype" w:cs="Palatino Linotype"/>
          <w:b/>
          <w:color w:val="000000" w:themeColor="text1"/>
        </w:rPr>
        <w:t>TERCERO.</w:t>
      </w:r>
      <w:r w:rsidRPr="00CF14B5">
        <w:rPr>
          <w:rFonts w:ascii="Palatino Linotype" w:eastAsia="Palatino Linotype" w:hAnsi="Palatino Linotype" w:cs="Palatino Linotype"/>
          <w:color w:val="000000" w:themeColor="text1"/>
        </w:rPr>
        <w:t xml:space="preserve"> Notifíquese al Titular de la Unidad de Transparencia del</w:t>
      </w:r>
      <w:r w:rsidRPr="00CF14B5">
        <w:rPr>
          <w:rFonts w:ascii="Palatino Linotype" w:eastAsia="Palatino Linotype" w:hAnsi="Palatino Linotype" w:cs="Palatino Linotype"/>
          <w:b/>
          <w:color w:val="000000" w:themeColor="text1"/>
        </w:rPr>
        <w:t xml:space="preserve"> SUJETO OBLIGADO</w:t>
      </w:r>
      <w:r w:rsidRPr="00CF14B5">
        <w:rPr>
          <w:rFonts w:ascii="Palatino Linotype" w:eastAsia="Palatino Linotype" w:hAnsi="Palatino Linotype" w:cs="Palatino Linotype"/>
          <w:color w:val="000000" w:themeColor="text1"/>
        </w:rPr>
        <w:t xml:space="preserve"> vía SAIMEX, para su conocimiento.</w:t>
      </w:r>
    </w:p>
    <w:p w:rsidR="00D37F8E" w:rsidRPr="00CF14B5" w:rsidRDefault="00D37F8E" w:rsidP="00CF14B5">
      <w:pPr>
        <w:shd w:val="clear" w:color="auto" w:fill="FFFFFF"/>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shd w:val="clear" w:color="auto" w:fill="FFFFFF"/>
        <w:spacing w:line="360" w:lineRule="auto"/>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b/>
          <w:color w:val="000000" w:themeColor="text1"/>
        </w:rPr>
        <w:t>CUARTO.</w:t>
      </w:r>
      <w:r w:rsidRPr="00CF14B5">
        <w:rPr>
          <w:rFonts w:ascii="Palatino Linotype" w:eastAsia="Palatino Linotype" w:hAnsi="Palatino Linotype" w:cs="Palatino Linotype"/>
          <w:color w:val="000000" w:themeColor="text1"/>
        </w:rPr>
        <w:t xml:space="preserve"> Notifíquese a </w:t>
      </w:r>
      <w:r w:rsidRPr="00CF14B5">
        <w:rPr>
          <w:rFonts w:ascii="Palatino Linotype" w:eastAsia="Palatino Linotype" w:hAnsi="Palatino Linotype" w:cs="Palatino Linotype"/>
          <w:b/>
          <w:color w:val="000000" w:themeColor="text1"/>
        </w:rPr>
        <w:t>EL RECURRENTE</w:t>
      </w:r>
      <w:r w:rsidRPr="00CF14B5">
        <w:rPr>
          <w:rFonts w:ascii="Palatino Linotype" w:eastAsia="Palatino Linotype" w:hAnsi="Palatino Linotype" w:cs="Palatino Linotype"/>
          <w:color w:val="000000" w:themeColor="text1"/>
        </w:rPr>
        <w:t xml:space="preserve"> la presente resolución vía SAIMEX.</w:t>
      </w:r>
    </w:p>
    <w:p w:rsidR="00D37F8E" w:rsidRPr="00CF14B5" w:rsidRDefault="00D37F8E" w:rsidP="00CF14B5">
      <w:pPr>
        <w:shd w:val="clear" w:color="auto" w:fill="FFFFFF"/>
        <w:spacing w:line="360" w:lineRule="auto"/>
        <w:jc w:val="both"/>
        <w:rPr>
          <w:rFonts w:ascii="Palatino Linotype" w:eastAsia="Palatino Linotype" w:hAnsi="Palatino Linotype" w:cs="Palatino Linotype"/>
          <w:color w:val="000000" w:themeColor="text1"/>
        </w:rPr>
      </w:pPr>
    </w:p>
    <w:p w:rsidR="00D37F8E" w:rsidRPr="00CF14B5" w:rsidRDefault="00A26763" w:rsidP="00CF14B5">
      <w:pPr>
        <w:shd w:val="clear" w:color="auto" w:fill="FFFFFF"/>
        <w:spacing w:line="360" w:lineRule="auto"/>
        <w:jc w:val="both"/>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b/>
          <w:color w:val="000000" w:themeColor="text1"/>
        </w:rPr>
        <w:t>QUINTO.</w:t>
      </w:r>
      <w:r w:rsidRPr="00CF14B5">
        <w:rPr>
          <w:rFonts w:ascii="Palatino Linotype" w:eastAsia="Palatino Linotype" w:hAnsi="Palatino Linotype" w:cs="Palatino Linotype"/>
          <w:color w:val="000000" w:themeColor="text1"/>
        </w:rPr>
        <w:t xml:space="preserve"> Se hace del conocimiento de </w:t>
      </w:r>
      <w:r w:rsidRPr="00CF14B5">
        <w:rPr>
          <w:rFonts w:ascii="Palatino Linotype" w:eastAsia="Palatino Linotype" w:hAnsi="Palatino Linotype" w:cs="Palatino Linotype"/>
          <w:b/>
          <w:color w:val="000000" w:themeColor="text1"/>
        </w:rPr>
        <w:t>EL RECURRENTE</w:t>
      </w:r>
      <w:r w:rsidRPr="00CF14B5">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204F98" w:rsidRDefault="00204F98" w:rsidP="00CF14B5">
      <w:pPr>
        <w:shd w:val="clear" w:color="auto" w:fill="FFFFFF"/>
        <w:spacing w:line="360" w:lineRule="auto"/>
        <w:jc w:val="both"/>
        <w:rPr>
          <w:rFonts w:ascii="Palatino Linotype" w:eastAsia="Palatino Linotype" w:hAnsi="Palatino Linotype" w:cs="Palatino Linotype"/>
          <w:color w:val="000000" w:themeColor="text1"/>
        </w:rPr>
      </w:pPr>
    </w:p>
    <w:p w:rsidR="009D6E6E" w:rsidRDefault="009D6E6E" w:rsidP="00CF14B5">
      <w:pPr>
        <w:shd w:val="clear" w:color="auto" w:fill="FFFFFF"/>
        <w:spacing w:line="360" w:lineRule="auto"/>
        <w:jc w:val="both"/>
        <w:rPr>
          <w:rFonts w:ascii="Palatino Linotype" w:eastAsia="Palatino Linotype" w:hAnsi="Palatino Linotype" w:cs="Palatino Linotype"/>
          <w:color w:val="000000" w:themeColor="text1"/>
        </w:rPr>
      </w:pPr>
    </w:p>
    <w:p w:rsidR="009D6E6E" w:rsidRDefault="009D6E6E" w:rsidP="00CF14B5">
      <w:pPr>
        <w:shd w:val="clear" w:color="auto" w:fill="FFFFFF"/>
        <w:spacing w:line="360" w:lineRule="auto"/>
        <w:jc w:val="both"/>
        <w:rPr>
          <w:rFonts w:ascii="Palatino Linotype" w:eastAsia="Palatino Linotype" w:hAnsi="Palatino Linotype" w:cs="Palatino Linotype"/>
          <w:color w:val="000000" w:themeColor="text1"/>
        </w:rPr>
      </w:pPr>
    </w:p>
    <w:p w:rsidR="009D6E6E" w:rsidRDefault="009D6E6E" w:rsidP="00CF14B5">
      <w:pPr>
        <w:shd w:val="clear" w:color="auto" w:fill="FFFFFF"/>
        <w:spacing w:line="360" w:lineRule="auto"/>
        <w:jc w:val="both"/>
        <w:rPr>
          <w:rFonts w:ascii="Palatino Linotype" w:eastAsia="Palatino Linotype" w:hAnsi="Palatino Linotype" w:cs="Palatino Linotype"/>
          <w:color w:val="000000" w:themeColor="text1"/>
        </w:rPr>
      </w:pPr>
    </w:p>
    <w:p w:rsidR="009D6E6E" w:rsidRPr="00CF14B5" w:rsidRDefault="009D6E6E" w:rsidP="00CF14B5">
      <w:pPr>
        <w:shd w:val="clear" w:color="auto" w:fill="FFFFFF"/>
        <w:spacing w:line="360" w:lineRule="auto"/>
        <w:jc w:val="both"/>
        <w:rPr>
          <w:rFonts w:ascii="Palatino Linotype" w:eastAsia="Palatino Linotype" w:hAnsi="Palatino Linotype" w:cs="Palatino Linotype"/>
          <w:color w:val="000000" w:themeColor="text1"/>
        </w:rPr>
      </w:pPr>
    </w:p>
    <w:p w:rsidR="009D6E6E" w:rsidRPr="00444783" w:rsidRDefault="009D6E6E" w:rsidP="009D6E6E">
      <w:pPr>
        <w:tabs>
          <w:tab w:val="left" w:pos="5387"/>
        </w:tabs>
        <w:spacing w:line="360" w:lineRule="auto"/>
        <w:ind w:right="49"/>
        <w:jc w:val="both"/>
        <w:rPr>
          <w:rFonts w:ascii="Palatino Linotype" w:eastAsia="Palatino Linotype" w:hAnsi="Palatino Linotype" w:cs="Palatino Linotype"/>
        </w:rPr>
      </w:pPr>
      <w:bookmarkStart w:id="12" w:name="_heading=h.dipqbfvvq8qp" w:colFirst="0" w:colLast="0"/>
      <w:bookmarkEnd w:id="12"/>
      <w:r w:rsidRPr="00575AE2">
        <w:rPr>
          <w:rFonts w:ascii="Palatino Linotype" w:eastAsia="Palatino Linotype" w:hAnsi="Palatino Linotype" w:cs="Palatino Linotype"/>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Pr>
          <w:rFonts w:ascii="Palatino Linotype" w:eastAsia="Palatino Linotype" w:hAnsi="Palatino Linotype" w:cs="Palatino Linotype"/>
        </w:rPr>
        <w:t xml:space="preserve">SÉPTIMA </w:t>
      </w:r>
      <w:r w:rsidRPr="00575AE2">
        <w:rPr>
          <w:rFonts w:ascii="Palatino Linotype" w:eastAsia="Palatino Linotype" w:hAnsi="Palatino Linotype" w:cs="Palatino Linotype"/>
        </w:rPr>
        <w:t xml:space="preserve">SESIÓN ORDINARIA, CELEBRADA EL </w:t>
      </w:r>
      <w:r>
        <w:rPr>
          <w:rFonts w:ascii="Palatino Linotype" w:eastAsia="Palatino Linotype" w:hAnsi="Palatino Linotype" w:cs="Palatino Linotype"/>
        </w:rPr>
        <w:t>QUINCE (15</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OCTUBRE </w:t>
      </w:r>
      <w:r w:rsidRPr="00575AE2">
        <w:rPr>
          <w:rFonts w:ascii="Palatino Linotype" w:eastAsia="Palatino Linotype" w:hAnsi="Palatino Linotype" w:cs="Palatino Linotype"/>
        </w:rPr>
        <w:t>DE DOS MIL VEINTICINCO, ANTE EL SECRETARIO TÉCNICO DEL PLENO ALEXIS TAPIA RAMÍREZ.</w:t>
      </w:r>
    </w:p>
    <w:p w:rsidR="00D37F8E" w:rsidRPr="00CF14B5" w:rsidRDefault="00D37F8E" w:rsidP="00CF14B5">
      <w:pPr>
        <w:spacing w:line="360" w:lineRule="auto"/>
        <w:jc w:val="both"/>
        <w:rPr>
          <w:rFonts w:ascii="Palatino Linotype" w:eastAsia="Palatino Linotype" w:hAnsi="Palatino Linotype" w:cs="Palatino Linotype"/>
          <w:color w:val="000000" w:themeColor="text1"/>
        </w:rPr>
      </w:pPr>
    </w:p>
    <w:p w:rsidR="00D37F8E" w:rsidRPr="00CF14B5" w:rsidRDefault="00D37F8E" w:rsidP="00CF14B5">
      <w:pPr>
        <w:spacing w:line="360" w:lineRule="auto"/>
        <w:jc w:val="both"/>
        <w:rPr>
          <w:rFonts w:ascii="Palatino Linotype" w:eastAsia="Palatino Linotype" w:hAnsi="Palatino Linotype" w:cs="Palatino Linotype"/>
          <w:color w:val="000000" w:themeColor="text1"/>
        </w:rPr>
      </w:pPr>
    </w:p>
    <w:p w:rsidR="00D37F8E" w:rsidRDefault="00D37F8E" w:rsidP="00CF14B5">
      <w:pPr>
        <w:spacing w:line="360" w:lineRule="auto"/>
        <w:rPr>
          <w:rFonts w:ascii="Palatino Linotype" w:eastAsia="Palatino Linotype" w:hAnsi="Palatino Linotype" w:cs="Palatino Linotype"/>
          <w:color w:val="000000" w:themeColor="text1"/>
        </w:rPr>
      </w:pPr>
    </w:p>
    <w:p w:rsidR="00CF14B5" w:rsidRDefault="00CF14B5" w:rsidP="00CF14B5">
      <w:pPr>
        <w:spacing w:line="360" w:lineRule="auto"/>
        <w:rPr>
          <w:rFonts w:ascii="Palatino Linotype" w:eastAsia="Palatino Linotype" w:hAnsi="Palatino Linotype" w:cs="Palatino Linotype"/>
          <w:color w:val="000000" w:themeColor="text1"/>
        </w:rPr>
      </w:pPr>
    </w:p>
    <w:p w:rsidR="00CF14B5" w:rsidRDefault="00CF14B5" w:rsidP="00CF14B5">
      <w:pPr>
        <w:spacing w:line="360" w:lineRule="auto"/>
        <w:rPr>
          <w:rFonts w:ascii="Palatino Linotype" w:eastAsia="Palatino Linotype" w:hAnsi="Palatino Linotype" w:cs="Palatino Linotype"/>
          <w:color w:val="000000" w:themeColor="text1"/>
        </w:rPr>
      </w:pPr>
    </w:p>
    <w:p w:rsidR="00CF14B5" w:rsidRDefault="00CF14B5" w:rsidP="00CF14B5">
      <w:pPr>
        <w:spacing w:line="360" w:lineRule="auto"/>
        <w:rPr>
          <w:rFonts w:ascii="Palatino Linotype" w:eastAsia="Palatino Linotype" w:hAnsi="Palatino Linotype" w:cs="Palatino Linotype"/>
          <w:color w:val="000000" w:themeColor="text1"/>
        </w:rPr>
      </w:pPr>
    </w:p>
    <w:p w:rsidR="00CF14B5" w:rsidRDefault="00CF14B5" w:rsidP="00CF14B5">
      <w:pPr>
        <w:spacing w:line="360" w:lineRule="auto"/>
        <w:rPr>
          <w:rFonts w:ascii="Palatino Linotype" w:eastAsia="Palatino Linotype" w:hAnsi="Palatino Linotype" w:cs="Palatino Linotype"/>
          <w:color w:val="000000" w:themeColor="text1"/>
        </w:rPr>
      </w:pPr>
    </w:p>
    <w:p w:rsidR="00CF14B5" w:rsidRDefault="00CF14B5" w:rsidP="00CF14B5">
      <w:pPr>
        <w:spacing w:line="360" w:lineRule="auto"/>
        <w:rPr>
          <w:rFonts w:ascii="Palatino Linotype" w:eastAsia="Palatino Linotype" w:hAnsi="Palatino Linotype" w:cs="Palatino Linotype"/>
          <w:color w:val="000000" w:themeColor="text1"/>
        </w:rPr>
      </w:pPr>
    </w:p>
    <w:p w:rsidR="00CF14B5" w:rsidRDefault="00CF14B5" w:rsidP="00CF14B5">
      <w:pPr>
        <w:spacing w:line="360" w:lineRule="auto"/>
        <w:rPr>
          <w:rFonts w:ascii="Palatino Linotype" w:eastAsia="Palatino Linotype" w:hAnsi="Palatino Linotype" w:cs="Palatino Linotype"/>
          <w:color w:val="000000" w:themeColor="text1"/>
        </w:rPr>
      </w:pPr>
    </w:p>
    <w:p w:rsidR="00CF14B5" w:rsidRDefault="00CF14B5" w:rsidP="00CF14B5">
      <w:pPr>
        <w:spacing w:line="360" w:lineRule="auto"/>
        <w:rPr>
          <w:rFonts w:ascii="Palatino Linotype" w:eastAsia="Palatino Linotype" w:hAnsi="Palatino Linotype" w:cs="Palatino Linotype"/>
          <w:color w:val="000000" w:themeColor="text1"/>
        </w:rPr>
      </w:pPr>
    </w:p>
    <w:p w:rsidR="00CF14B5" w:rsidRDefault="00CF14B5" w:rsidP="00CF14B5">
      <w:pPr>
        <w:spacing w:line="360" w:lineRule="auto"/>
        <w:rPr>
          <w:rFonts w:ascii="Palatino Linotype" w:eastAsia="Palatino Linotype" w:hAnsi="Palatino Linotype" w:cs="Palatino Linotype"/>
          <w:color w:val="000000" w:themeColor="text1"/>
        </w:rPr>
      </w:pPr>
    </w:p>
    <w:p w:rsidR="00CF14B5" w:rsidRDefault="00CF14B5" w:rsidP="00CF14B5">
      <w:pPr>
        <w:spacing w:line="360" w:lineRule="auto"/>
        <w:rPr>
          <w:rFonts w:ascii="Palatino Linotype" w:eastAsia="Palatino Linotype" w:hAnsi="Palatino Linotype" w:cs="Palatino Linotype"/>
          <w:color w:val="000000" w:themeColor="text1"/>
        </w:rPr>
      </w:pPr>
    </w:p>
    <w:p w:rsidR="00CF14B5" w:rsidRDefault="00CF14B5" w:rsidP="00CF14B5">
      <w:pPr>
        <w:spacing w:line="360" w:lineRule="auto"/>
        <w:rPr>
          <w:rFonts w:ascii="Palatino Linotype" w:eastAsia="Palatino Linotype" w:hAnsi="Palatino Linotype" w:cs="Palatino Linotype"/>
          <w:color w:val="000000" w:themeColor="text1"/>
        </w:rPr>
      </w:pPr>
    </w:p>
    <w:p w:rsidR="00CF14B5" w:rsidRDefault="00CF14B5" w:rsidP="00CF14B5">
      <w:pPr>
        <w:spacing w:line="360" w:lineRule="auto"/>
        <w:rPr>
          <w:rFonts w:ascii="Palatino Linotype" w:eastAsia="Palatino Linotype" w:hAnsi="Palatino Linotype" w:cs="Palatino Linotype"/>
          <w:color w:val="000000" w:themeColor="text1"/>
        </w:rPr>
      </w:pPr>
    </w:p>
    <w:p w:rsidR="00CF14B5" w:rsidRDefault="00CF14B5" w:rsidP="00CF14B5">
      <w:pPr>
        <w:spacing w:line="360" w:lineRule="auto"/>
        <w:rPr>
          <w:rFonts w:ascii="Palatino Linotype" w:eastAsia="Palatino Linotype" w:hAnsi="Palatino Linotype" w:cs="Palatino Linotype"/>
          <w:color w:val="000000" w:themeColor="text1"/>
        </w:rPr>
      </w:pPr>
    </w:p>
    <w:p w:rsidR="00CF14B5" w:rsidRDefault="00CF14B5" w:rsidP="00CF14B5">
      <w:pPr>
        <w:spacing w:line="360" w:lineRule="auto"/>
        <w:rPr>
          <w:rFonts w:ascii="Palatino Linotype" w:eastAsia="Palatino Linotype" w:hAnsi="Palatino Linotype" w:cs="Palatino Linotype"/>
          <w:color w:val="000000" w:themeColor="text1"/>
        </w:rPr>
      </w:pPr>
    </w:p>
    <w:p w:rsidR="00CF14B5" w:rsidRDefault="00CF14B5" w:rsidP="00CF14B5">
      <w:pPr>
        <w:spacing w:line="360" w:lineRule="auto"/>
        <w:rPr>
          <w:rFonts w:ascii="Palatino Linotype" w:eastAsia="Palatino Linotype" w:hAnsi="Palatino Linotype" w:cs="Palatino Linotype"/>
          <w:color w:val="000000" w:themeColor="text1"/>
        </w:rPr>
      </w:pPr>
    </w:p>
    <w:p w:rsidR="00CF14B5" w:rsidRDefault="00CF14B5" w:rsidP="00CF14B5">
      <w:pPr>
        <w:spacing w:line="360" w:lineRule="auto"/>
        <w:rPr>
          <w:rFonts w:ascii="Palatino Linotype" w:eastAsia="Palatino Linotype" w:hAnsi="Palatino Linotype" w:cs="Palatino Linotype"/>
          <w:color w:val="000000" w:themeColor="text1"/>
        </w:rPr>
      </w:pPr>
    </w:p>
    <w:p w:rsidR="00CF14B5" w:rsidRDefault="00CF14B5" w:rsidP="00CF14B5">
      <w:pPr>
        <w:spacing w:line="360" w:lineRule="auto"/>
        <w:rPr>
          <w:rFonts w:ascii="Palatino Linotype" w:eastAsia="Palatino Linotype" w:hAnsi="Palatino Linotype" w:cs="Palatino Linotype"/>
          <w:color w:val="000000" w:themeColor="text1"/>
        </w:rPr>
      </w:pPr>
    </w:p>
    <w:p w:rsidR="00CF14B5" w:rsidRDefault="00CF14B5" w:rsidP="00CF14B5">
      <w:pPr>
        <w:spacing w:line="360" w:lineRule="auto"/>
        <w:rPr>
          <w:rFonts w:ascii="Palatino Linotype" w:eastAsia="Palatino Linotype" w:hAnsi="Palatino Linotype" w:cs="Palatino Linotype"/>
          <w:color w:val="000000" w:themeColor="text1"/>
        </w:rPr>
      </w:pPr>
    </w:p>
    <w:p w:rsidR="00CF14B5" w:rsidRPr="00CF14B5" w:rsidRDefault="00CF14B5" w:rsidP="00CF14B5">
      <w:pPr>
        <w:spacing w:line="360" w:lineRule="auto"/>
        <w:rPr>
          <w:rFonts w:ascii="Palatino Linotype" w:eastAsia="Palatino Linotype" w:hAnsi="Palatino Linotype" w:cs="Palatino Linotype"/>
          <w:color w:val="000000" w:themeColor="text1"/>
        </w:rPr>
      </w:pPr>
    </w:p>
    <w:sectPr w:rsidR="00CF14B5" w:rsidRPr="00CF14B5" w:rsidSect="00FA7149">
      <w:headerReference w:type="even" r:id="rId13"/>
      <w:headerReference w:type="default" r:id="rId14"/>
      <w:footerReference w:type="default" r:id="rId15"/>
      <w:headerReference w:type="first" r:id="rId16"/>
      <w:footerReference w:type="first" r:id="rId17"/>
      <w:pgSz w:w="12240" w:h="15840"/>
      <w:pgMar w:top="80" w:right="75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EA1" w:rsidRDefault="00C26EA1">
      <w:r>
        <w:separator/>
      </w:r>
    </w:p>
  </w:endnote>
  <w:endnote w:type="continuationSeparator" w:id="0">
    <w:p w:rsidR="00C26EA1" w:rsidRDefault="00C26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F8E" w:rsidRDefault="00A26763">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975349">
      <w:rPr>
        <w:b/>
        <w:noProof/>
        <w:color w:val="000000"/>
      </w:rPr>
      <w:t>2</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975349">
      <w:rPr>
        <w:b/>
        <w:noProof/>
        <w:color w:val="000000"/>
      </w:rPr>
      <w:t>23</w:t>
    </w:r>
    <w:r>
      <w:rPr>
        <w:b/>
        <w:color w:val="000000"/>
      </w:rPr>
      <w:fldChar w:fldCharType="end"/>
    </w:r>
  </w:p>
  <w:p w:rsidR="00D37F8E" w:rsidRDefault="00D37F8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F8E" w:rsidRDefault="00A26763">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975349">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975349">
      <w:rPr>
        <w:b/>
        <w:noProof/>
        <w:color w:val="000000"/>
      </w:rPr>
      <w:t>23</w:t>
    </w:r>
    <w:r>
      <w:rPr>
        <w:b/>
        <w:color w:val="000000"/>
      </w:rPr>
      <w:fldChar w:fldCharType="end"/>
    </w:r>
  </w:p>
  <w:p w:rsidR="00D37F8E" w:rsidRDefault="00D37F8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EA1" w:rsidRDefault="00C26EA1">
      <w:r>
        <w:separator/>
      </w:r>
    </w:p>
  </w:footnote>
  <w:footnote w:type="continuationSeparator" w:id="0">
    <w:p w:rsidR="00C26EA1" w:rsidRDefault="00C26EA1">
      <w:r>
        <w:continuationSeparator/>
      </w:r>
    </w:p>
  </w:footnote>
  <w:footnote w:id="1">
    <w:p w:rsidR="00D37F8E" w:rsidRDefault="00A26763">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Ley de Transparencia y Acceso a la Información Pública del Estado de México y Municipios. Artículo 9. …</w:t>
      </w:r>
    </w:p>
    <w:p w:rsidR="00D37F8E" w:rsidRDefault="00A26763">
      <w:pPr>
        <w:pBdr>
          <w:top w:val="nil"/>
          <w:left w:val="nil"/>
          <w:bottom w:val="nil"/>
          <w:right w:val="nil"/>
          <w:between w:val="nil"/>
        </w:pBdr>
        <w:rPr>
          <w:color w:val="000000"/>
          <w:sz w:val="20"/>
          <w:szCs w:val="20"/>
        </w:rPr>
      </w:pPr>
      <w:r>
        <w:rPr>
          <w:color w:val="000000"/>
          <w:sz w:val="20"/>
          <w:szCs w:val="20"/>
        </w:rPr>
        <w:t>II. Eficacia: Obligación del Instituto para tutelar, de manera efectiva, el derecho de acceso a la información;</w:t>
      </w:r>
    </w:p>
    <w:p w:rsidR="00D37F8E" w:rsidRDefault="00A26763">
      <w:pPr>
        <w:pBdr>
          <w:top w:val="nil"/>
          <w:left w:val="nil"/>
          <w:bottom w:val="nil"/>
          <w:right w:val="nil"/>
          <w:between w:val="nil"/>
        </w:pBdr>
        <w:rPr>
          <w:color w:val="000000"/>
          <w:sz w:val="20"/>
          <w:szCs w:val="20"/>
        </w:rPr>
      </w:pPr>
      <w:r>
        <w:rPr>
          <w:color w:val="000000"/>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F8E" w:rsidRDefault="00C26EA1">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10605" w:type="dxa"/>
      <w:tblInd w:w="-115" w:type="dxa"/>
      <w:tblLayout w:type="fixed"/>
      <w:tblLook w:val="0400" w:firstRow="0" w:lastRow="0" w:firstColumn="0" w:lastColumn="0" w:noHBand="0" w:noVBand="1"/>
    </w:tblPr>
    <w:tblGrid>
      <w:gridCol w:w="2268"/>
      <w:gridCol w:w="8337"/>
    </w:tblGrid>
    <w:tr w:rsidR="00D37F8E" w:rsidTr="00CF14B5">
      <w:trPr>
        <w:trHeight w:val="1435"/>
      </w:trPr>
      <w:tc>
        <w:tcPr>
          <w:tcW w:w="2268" w:type="dxa"/>
          <w:shd w:val="clear" w:color="auto" w:fill="auto"/>
        </w:tcPr>
        <w:p w:rsidR="00D37F8E" w:rsidRDefault="00D37F8E">
          <w:pPr>
            <w:tabs>
              <w:tab w:val="right" w:pos="4273"/>
            </w:tabs>
            <w:rPr>
              <w:rFonts w:ascii="Garamond" w:eastAsia="Garamond" w:hAnsi="Garamond" w:cs="Garamond"/>
              <w:sz w:val="16"/>
              <w:szCs w:val="16"/>
            </w:rPr>
          </w:pPr>
        </w:p>
      </w:tc>
      <w:tc>
        <w:tcPr>
          <w:tcW w:w="8337" w:type="dxa"/>
          <w:shd w:val="clear" w:color="auto" w:fill="auto"/>
        </w:tcPr>
        <w:tbl>
          <w:tblPr>
            <w:tblStyle w:val="a4"/>
            <w:tblW w:w="8182" w:type="dxa"/>
            <w:tblInd w:w="284" w:type="dxa"/>
            <w:tblLayout w:type="fixed"/>
            <w:tblLook w:val="0400" w:firstRow="0" w:lastRow="0" w:firstColumn="0" w:lastColumn="0" w:noHBand="0" w:noVBand="1"/>
          </w:tblPr>
          <w:tblGrid>
            <w:gridCol w:w="2654"/>
            <w:gridCol w:w="5528"/>
          </w:tblGrid>
          <w:tr w:rsidR="00D37F8E" w:rsidRPr="00CF14B5" w:rsidTr="00FA7149">
            <w:trPr>
              <w:trHeight w:val="150"/>
            </w:trPr>
            <w:tc>
              <w:tcPr>
                <w:tcW w:w="2654" w:type="dxa"/>
                <w:shd w:val="clear" w:color="auto" w:fill="auto"/>
              </w:tcPr>
              <w:p w:rsidR="00D37F8E" w:rsidRPr="00CF14B5" w:rsidRDefault="00A26763" w:rsidP="00CF14B5">
                <w:pPr>
                  <w:tabs>
                    <w:tab w:val="right" w:pos="8838"/>
                  </w:tabs>
                  <w:ind w:right="-105"/>
                  <w:rPr>
                    <w:rFonts w:ascii="Palatino Linotype" w:eastAsia="Palatino Linotype" w:hAnsi="Palatino Linotype" w:cs="Palatino Linotype"/>
                    <w:b/>
                  </w:rPr>
                </w:pPr>
                <w:r w:rsidRPr="00CF14B5">
                  <w:rPr>
                    <w:rFonts w:ascii="Palatino Linotype" w:eastAsia="Palatino Linotype" w:hAnsi="Palatino Linotype" w:cs="Palatino Linotype"/>
                    <w:b/>
                  </w:rPr>
                  <w:t>Recurso de Revisión:</w:t>
                </w:r>
              </w:p>
            </w:tc>
            <w:tc>
              <w:tcPr>
                <w:tcW w:w="5528" w:type="dxa"/>
                <w:shd w:val="clear" w:color="auto" w:fill="auto"/>
              </w:tcPr>
              <w:p w:rsidR="00D37F8E" w:rsidRPr="00CF14B5" w:rsidRDefault="00A26763" w:rsidP="00FA7149">
                <w:pPr>
                  <w:tabs>
                    <w:tab w:val="right" w:pos="8838"/>
                  </w:tabs>
                  <w:ind w:left="-108" w:right="594"/>
                  <w:rPr>
                    <w:rFonts w:ascii="Palatino Linotype" w:eastAsia="Palatino Linotype" w:hAnsi="Palatino Linotype" w:cs="Palatino Linotype"/>
                  </w:rPr>
                </w:pPr>
                <w:r w:rsidRPr="00CF14B5">
                  <w:rPr>
                    <w:rFonts w:ascii="Palatino Linotype" w:eastAsia="Palatino Linotype" w:hAnsi="Palatino Linotype" w:cs="Palatino Linotype"/>
                  </w:rPr>
                  <w:t>05993/INFOEM/IP/RR/2025</w:t>
                </w:r>
              </w:p>
            </w:tc>
          </w:tr>
          <w:tr w:rsidR="00D37F8E" w:rsidRPr="00CF14B5" w:rsidTr="00FA7149">
            <w:trPr>
              <w:trHeight w:val="295"/>
            </w:trPr>
            <w:tc>
              <w:tcPr>
                <w:tcW w:w="2654" w:type="dxa"/>
                <w:shd w:val="clear" w:color="auto" w:fill="auto"/>
              </w:tcPr>
              <w:p w:rsidR="00D37F8E" w:rsidRPr="00CF14B5" w:rsidRDefault="00A26763" w:rsidP="00CF14B5">
                <w:pPr>
                  <w:tabs>
                    <w:tab w:val="right" w:pos="8838"/>
                  </w:tabs>
                  <w:ind w:right="-105"/>
                  <w:rPr>
                    <w:rFonts w:ascii="Palatino Linotype" w:eastAsia="Palatino Linotype" w:hAnsi="Palatino Linotype" w:cs="Palatino Linotype"/>
                    <w:b/>
                  </w:rPr>
                </w:pPr>
                <w:r w:rsidRPr="00CF14B5">
                  <w:rPr>
                    <w:rFonts w:ascii="Palatino Linotype" w:eastAsia="Palatino Linotype" w:hAnsi="Palatino Linotype" w:cs="Palatino Linotype"/>
                    <w:b/>
                  </w:rPr>
                  <w:t>Sujeto Obligado:</w:t>
                </w:r>
              </w:p>
            </w:tc>
            <w:tc>
              <w:tcPr>
                <w:tcW w:w="5528" w:type="dxa"/>
                <w:shd w:val="clear" w:color="auto" w:fill="auto"/>
              </w:tcPr>
              <w:p w:rsidR="00D37F8E" w:rsidRPr="00CF14B5" w:rsidRDefault="00A26763" w:rsidP="00FA7149">
                <w:pPr>
                  <w:tabs>
                    <w:tab w:val="left" w:pos="2834"/>
                    <w:tab w:val="right" w:pos="8838"/>
                  </w:tabs>
                  <w:ind w:left="-108" w:right="594"/>
                  <w:rPr>
                    <w:rFonts w:ascii="Palatino Linotype" w:eastAsia="Palatino Linotype" w:hAnsi="Palatino Linotype" w:cs="Palatino Linotype"/>
                  </w:rPr>
                </w:pPr>
                <w:r w:rsidRPr="00CF14B5">
                  <w:rPr>
                    <w:rFonts w:ascii="Palatino Linotype" w:eastAsia="Palatino Linotype" w:hAnsi="Palatino Linotype" w:cs="Palatino Linotype"/>
                  </w:rPr>
                  <w:t>Sistema Municipal Para el Desarrollo Integral de la Familia de San José del Rincón</w:t>
                </w:r>
              </w:p>
            </w:tc>
          </w:tr>
          <w:tr w:rsidR="00D37F8E" w:rsidRPr="00CF14B5" w:rsidTr="00FA7149">
            <w:trPr>
              <w:trHeight w:val="295"/>
            </w:trPr>
            <w:tc>
              <w:tcPr>
                <w:tcW w:w="2654" w:type="dxa"/>
                <w:shd w:val="clear" w:color="auto" w:fill="auto"/>
              </w:tcPr>
              <w:p w:rsidR="00D37F8E" w:rsidRPr="00CF14B5" w:rsidRDefault="00A26763" w:rsidP="00CF14B5">
                <w:pPr>
                  <w:tabs>
                    <w:tab w:val="right" w:pos="8838"/>
                  </w:tabs>
                  <w:ind w:right="-105"/>
                  <w:rPr>
                    <w:rFonts w:ascii="Palatino Linotype" w:eastAsia="Palatino Linotype" w:hAnsi="Palatino Linotype" w:cs="Palatino Linotype"/>
                    <w:b/>
                  </w:rPr>
                </w:pPr>
                <w:r w:rsidRPr="00CF14B5">
                  <w:rPr>
                    <w:rFonts w:ascii="Palatino Linotype" w:eastAsia="Palatino Linotype" w:hAnsi="Palatino Linotype" w:cs="Palatino Linotype"/>
                    <w:b/>
                  </w:rPr>
                  <w:t>Comisionada ponente:</w:t>
                </w:r>
              </w:p>
            </w:tc>
            <w:tc>
              <w:tcPr>
                <w:tcW w:w="5528" w:type="dxa"/>
                <w:shd w:val="clear" w:color="auto" w:fill="auto"/>
              </w:tcPr>
              <w:p w:rsidR="00D37F8E" w:rsidRPr="00CF14B5" w:rsidRDefault="00A26763" w:rsidP="00FA7149">
                <w:pPr>
                  <w:tabs>
                    <w:tab w:val="right" w:pos="8838"/>
                  </w:tabs>
                  <w:ind w:left="-108" w:right="594"/>
                  <w:rPr>
                    <w:rFonts w:ascii="Palatino Linotype" w:eastAsia="Palatino Linotype" w:hAnsi="Palatino Linotype" w:cs="Palatino Linotype"/>
                  </w:rPr>
                </w:pPr>
                <w:r w:rsidRPr="00CF14B5">
                  <w:rPr>
                    <w:rFonts w:ascii="Palatino Linotype" w:eastAsia="Palatino Linotype" w:hAnsi="Palatino Linotype" w:cs="Palatino Linotype"/>
                  </w:rPr>
                  <w:t>María del Rosario Mejía Ayala</w:t>
                </w:r>
              </w:p>
              <w:p w:rsidR="00D37F8E" w:rsidRPr="00CF14B5" w:rsidRDefault="00D37F8E" w:rsidP="00FA7149">
                <w:pPr>
                  <w:tabs>
                    <w:tab w:val="right" w:pos="8838"/>
                  </w:tabs>
                  <w:ind w:left="-108" w:right="594"/>
                  <w:rPr>
                    <w:rFonts w:ascii="Palatino Linotype" w:eastAsia="Palatino Linotype" w:hAnsi="Palatino Linotype" w:cs="Palatino Linotype"/>
                  </w:rPr>
                </w:pPr>
              </w:p>
            </w:tc>
          </w:tr>
        </w:tbl>
        <w:p w:rsidR="00D37F8E" w:rsidRDefault="00D37F8E">
          <w:pPr>
            <w:tabs>
              <w:tab w:val="right" w:pos="8838"/>
            </w:tabs>
            <w:ind w:left="-28"/>
            <w:jc w:val="both"/>
            <w:rPr>
              <w:rFonts w:ascii="Arial" w:eastAsia="Arial" w:hAnsi="Arial" w:cs="Arial"/>
              <w:b/>
              <w:sz w:val="22"/>
              <w:szCs w:val="22"/>
            </w:rPr>
          </w:pPr>
        </w:p>
      </w:tc>
    </w:tr>
  </w:tbl>
  <w:p w:rsidR="00D37F8E" w:rsidRDefault="00C26EA1">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5"/>
      <w:tblW w:w="10605" w:type="dxa"/>
      <w:tblInd w:w="-115" w:type="dxa"/>
      <w:tblLayout w:type="fixed"/>
      <w:tblLook w:val="0400" w:firstRow="0" w:lastRow="0" w:firstColumn="0" w:lastColumn="0" w:noHBand="0" w:noVBand="1"/>
    </w:tblPr>
    <w:tblGrid>
      <w:gridCol w:w="2268"/>
      <w:gridCol w:w="8337"/>
    </w:tblGrid>
    <w:tr w:rsidR="00D37F8E" w:rsidTr="00CF14B5">
      <w:trPr>
        <w:trHeight w:val="1435"/>
      </w:trPr>
      <w:tc>
        <w:tcPr>
          <w:tcW w:w="2268" w:type="dxa"/>
          <w:shd w:val="clear" w:color="auto" w:fill="auto"/>
        </w:tcPr>
        <w:p w:rsidR="00D37F8E" w:rsidRDefault="00D37F8E">
          <w:pPr>
            <w:tabs>
              <w:tab w:val="right" w:pos="4273"/>
            </w:tabs>
            <w:rPr>
              <w:rFonts w:ascii="Garamond" w:eastAsia="Garamond" w:hAnsi="Garamond" w:cs="Garamond"/>
              <w:sz w:val="22"/>
              <w:szCs w:val="22"/>
            </w:rPr>
          </w:pPr>
        </w:p>
      </w:tc>
      <w:tc>
        <w:tcPr>
          <w:tcW w:w="8337" w:type="dxa"/>
          <w:shd w:val="clear" w:color="auto" w:fill="auto"/>
        </w:tcPr>
        <w:tbl>
          <w:tblPr>
            <w:tblStyle w:val="a6"/>
            <w:tblW w:w="7615" w:type="dxa"/>
            <w:tblInd w:w="567" w:type="dxa"/>
            <w:tblLayout w:type="fixed"/>
            <w:tblLook w:val="0400" w:firstRow="0" w:lastRow="0" w:firstColumn="0" w:lastColumn="0" w:noHBand="0" w:noVBand="1"/>
          </w:tblPr>
          <w:tblGrid>
            <w:gridCol w:w="2654"/>
            <w:gridCol w:w="4961"/>
          </w:tblGrid>
          <w:tr w:rsidR="00D37F8E" w:rsidTr="00FA7149">
            <w:trPr>
              <w:trHeight w:val="144"/>
            </w:trPr>
            <w:tc>
              <w:tcPr>
                <w:tcW w:w="2654" w:type="dxa"/>
                <w:shd w:val="clear" w:color="auto" w:fill="auto"/>
              </w:tcPr>
              <w:p w:rsidR="00D37F8E" w:rsidRPr="00CF14B5" w:rsidRDefault="00A26763" w:rsidP="00CF14B5">
                <w:pPr>
                  <w:tabs>
                    <w:tab w:val="right" w:pos="8838"/>
                  </w:tabs>
                  <w:ind w:left="-264" w:right="-105" w:firstLine="195"/>
                  <w:rPr>
                    <w:rFonts w:ascii="Palatino Linotype" w:eastAsia="Palatino Linotype" w:hAnsi="Palatino Linotype" w:cs="Palatino Linotype"/>
                    <w:b/>
                    <w:color w:val="000000" w:themeColor="text1"/>
                  </w:rPr>
                </w:pPr>
                <w:r w:rsidRPr="00CF14B5">
                  <w:rPr>
                    <w:rFonts w:ascii="Palatino Linotype" w:eastAsia="Palatino Linotype" w:hAnsi="Palatino Linotype" w:cs="Palatino Linotype"/>
                    <w:b/>
                    <w:color w:val="000000" w:themeColor="text1"/>
                  </w:rPr>
                  <w:t>Recurso de Revisión:</w:t>
                </w:r>
              </w:p>
            </w:tc>
            <w:tc>
              <w:tcPr>
                <w:tcW w:w="4961" w:type="dxa"/>
                <w:shd w:val="clear" w:color="auto" w:fill="auto"/>
              </w:tcPr>
              <w:p w:rsidR="00D37F8E" w:rsidRPr="00CF14B5" w:rsidRDefault="00A26763" w:rsidP="00FA7149">
                <w:pPr>
                  <w:tabs>
                    <w:tab w:val="right" w:pos="8838"/>
                  </w:tabs>
                  <w:ind w:left="-115" w:right="-105"/>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05993/INFOEM/IP/RR/2025</w:t>
                </w:r>
              </w:p>
            </w:tc>
          </w:tr>
          <w:tr w:rsidR="00D37F8E" w:rsidTr="00FA7149">
            <w:trPr>
              <w:trHeight w:val="144"/>
            </w:trPr>
            <w:tc>
              <w:tcPr>
                <w:tcW w:w="2654" w:type="dxa"/>
                <w:shd w:val="clear" w:color="auto" w:fill="auto"/>
              </w:tcPr>
              <w:p w:rsidR="00D37F8E" w:rsidRPr="00CF14B5" w:rsidRDefault="00A26763" w:rsidP="00CF14B5">
                <w:pPr>
                  <w:tabs>
                    <w:tab w:val="right" w:pos="8838"/>
                  </w:tabs>
                  <w:ind w:left="-74" w:right="-105"/>
                  <w:rPr>
                    <w:rFonts w:ascii="Palatino Linotype" w:eastAsia="Palatino Linotype" w:hAnsi="Palatino Linotype" w:cs="Palatino Linotype"/>
                    <w:b/>
                    <w:color w:val="000000" w:themeColor="text1"/>
                  </w:rPr>
                </w:pPr>
                <w:r w:rsidRPr="00CF14B5">
                  <w:rPr>
                    <w:rFonts w:ascii="Palatino Linotype" w:eastAsia="Palatino Linotype" w:hAnsi="Palatino Linotype" w:cs="Palatino Linotype"/>
                    <w:b/>
                    <w:color w:val="000000" w:themeColor="text1"/>
                  </w:rPr>
                  <w:t>Recurrente:</w:t>
                </w:r>
              </w:p>
            </w:tc>
            <w:tc>
              <w:tcPr>
                <w:tcW w:w="4961" w:type="dxa"/>
                <w:shd w:val="clear" w:color="auto" w:fill="auto"/>
              </w:tcPr>
              <w:p w:rsidR="00D37F8E" w:rsidRPr="00CF14B5" w:rsidRDefault="00D37F8E" w:rsidP="00FA7149">
                <w:pPr>
                  <w:tabs>
                    <w:tab w:val="left" w:pos="1185"/>
                  </w:tabs>
                  <w:ind w:left="-115" w:right="-105"/>
                  <w:rPr>
                    <w:rFonts w:ascii="Palatino Linotype" w:eastAsia="Palatino Linotype" w:hAnsi="Palatino Linotype" w:cs="Palatino Linotype"/>
                    <w:color w:val="000000" w:themeColor="text1"/>
                  </w:rPr>
                </w:pPr>
              </w:p>
            </w:tc>
          </w:tr>
          <w:tr w:rsidR="00D37F8E" w:rsidTr="00FA7149">
            <w:trPr>
              <w:trHeight w:val="230"/>
            </w:trPr>
            <w:tc>
              <w:tcPr>
                <w:tcW w:w="2654" w:type="dxa"/>
                <w:shd w:val="clear" w:color="auto" w:fill="auto"/>
              </w:tcPr>
              <w:p w:rsidR="00D37F8E" w:rsidRPr="00CF14B5" w:rsidRDefault="00A26763" w:rsidP="00CF14B5">
                <w:pPr>
                  <w:tabs>
                    <w:tab w:val="right" w:pos="8838"/>
                  </w:tabs>
                  <w:ind w:left="-74" w:right="-105"/>
                  <w:rPr>
                    <w:rFonts w:ascii="Palatino Linotype" w:eastAsia="Palatino Linotype" w:hAnsi="Palatino Linotype" w:cs="Palatino Linotype"/>
                    <w:b/>
                    <w:color w:val="000000" w:themeColor="text1"/>
                  </w:rPr>
                </w:pPr>
                <w:r w:rsidRPr="00CF14B5">
                  <w:rPr>
                    <w:rFonts w:ascii="Palatino Linotype" w:eastAsia="Palatino Linotype" w:hAnsi="Palatino Linotype" w:cs="Palatino Linotype"/>
                    <w:b/>
                    <w:color w:val="000000" w:themeColor="text1"/>
                  </w:rPr>
                  <w:t>Sujeto Obligado:</w:t>
                </w:r>
              </w:p>
            </w:tc>
            <w:tc>
              <w:tcPr>
                <w:tcW w:w="4961" w:type="dxa"/>
                <w:shd w:val="clear" w:color="auto" w:fill="auto"/>
              </w:tcPr>
              <w:p w:rsidR="00D37F8E" w:rsidRPr="00CF14B5" w:rsidRDefault="00A26763" w:rsidP="00FA7149">
                <w:pPr>
                  <w:tabs>
                    <w:tab w:val="left" w:pos="2834"/>
                    <w:tab w:val="right" w:pos="8838"/>
                  </w:tabs>
                  <w:ind w:left="-115" w:right="66"/>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Sistema Municipal Para el Desarrollo Integral de la Familia de San José del Rincón</w:t>
                </w:r>
              </w:p>
            </w:tc>
          </w:tr>
          <w:tr w:rsidR="00D37F8E" w:rsidTr="00FA7149">
            <w:trPr>
              <w:trHeight w:val="283"/>
            </w:trPr>
            <w:tc>
              <w:tcPr>
                <w:tcW w:w="2654" w:type="dxa"/>
                <w:shd w:val="clear" w:color="auto" w:fill="auto"/>
              </w:tcPr>
              <w:p w:rsidR="00D37F8E" w:rsidRPr="00CF14B5" w:rsidRDefault="00A26763" w:rsidP="00CF14B5">
                <w:pPr>
                  <w:tabs>
                    <w:tab w:val="right" w:pos="8838"/>
                  </w:tabs>
                  <w:ind w:left="-74" w:right="-105"/>
                  <w:rPr>
                    <w:rFonts w:ascii="Palatino Linotype" w:eastAsia="Palatino Linotype" w:hAnsi="Palatino Linotype" w:cs="Palatino Linotype"/>
                    <w:b/>
                    <w:color w:val="000000" w:themeColor="text1"/>
                  </w:rPr>
                </w:pPr>
                <w:r w:rsidRPr="00CF14B5">
                  <w:rPr>
                    <w:rFonts w:ascii="Palatino Linotype" w:eastAsia="Palatino Linotype" w:hAnsi="Palatino Linotype" w:cs="Palatino Linotype"/>
                    <w:b/>
                    <w:color w:val="000000" w:themeColor="text1"/>
                  </w:rPr>
                  <w:t>Comisionada ponente:</w:t>
                </w:r>
              </w:p>
            </w:tc>
            <w:tc>
              <w:tcPr>
                <w:tcW w:w="4961" w:type="dxa"/>
                <w:shd w:val="clear" w:color="auto" w:fill="auto"/>
              </w:tcPr>
              <w:p w:rsidR="00D37F8E" w:rsidRPr="00CF14B5" w:rsidRDefault="00A26763" w:rsidP="00FA7149">
                <w:pPr>
                  <w:tabs>
                    <w:tab w:val="right" w:pos="8838"/>
                  </w:tabs>
                  <w:ind w:left="-115" w:right="-105"/>
                  <w:rPr>
                    <w:rFonts w:ascii="Palatino Linotype" w:eastAsia="Palatino Linotype" w:hAnsi="Palatino Linotype" w:cs="Palatino Linotype"/>
                    <w:color w:val="000000" w:themeColor="text1"/>
                  </w:rPr>
                </w:pPr>
                <w:r w:rsidRPr="00CF14B5">
                  <w:rPr>
                    <w:rFonts w:ascii="Palatino Linotype" w:eastAsia="Palatino Linotype" w:hAnsi="Palatino Linotype" w:cs="Palatino Linotype"/>
                    <w:color w:val="000000" w:themeColor="text1"/>
                  </w:rPr>
                  <w:t>María del Rosario Mejía Ayala</w:t>
                </w:r>
              </w:p>
              <w:p w:rsidR="00D37F8E" w:rsidRPr="00CF14B5" w:rsidRDefault="00D37F8E" w:rsidP="00FA7149">
                <w:pPr>
                  <w:tabs>
                    <w:tab w:val="right" w:pos="8838"/>
                  </w:tabs>
                  <w:ind w:left="-115" w:right="-105"/>
                  <w:rPr>
                    <w:rFonts w:ascii="Palatino Linotype" w:eastAsia="Palatino Linotype" w:hAnsi="Palatino Linotype" w:cs="Palatino Linotype"/>
                    <w:color w:val="000000" w:themeColor="text1"/>
                  </w:rPr>
                </w:pPr>
              </w:p>
            </w:tc>
          </w:tr>
        </w:tbl>
        <w:p w:rsidR="00D37F8E" w:rsidRDefault="00D37F8E">
          <w:pPr>
            <w:tabs>
              <w:tab w:val="right" w:pos="8838"/>
            </w:tabs>
            <w:ind w:left="-28"/>
            <w:jc w:val="both"/>
            <w:rPr>
              <w:rFonts w:ascii="Arial" w:eastAsia="Arial" w:hAnsi="Arial" w:cs="Arial"/>
              <w:b/>
              <w:sz w:val="22"/>
              <w:szCs w:val="22"/>
            </w:rPr>
          </w:pPr>
        </w:p>
      </w:tc>
    </w:tr>
  </w:tbl>
  <w:p w:rsidR="00D37F8E" w:rsidRDefault="00C26EA1">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72.6pt;margin-top:-134.25pt;width:589.8pt;height:768pt;z-index:-251658752;mso-position-horizontal-relative:margin;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382C0D"/>
    <w:multiLevelType w:val="multilevel"/>
    <w:tmpl w:val="571426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69790B"/>
    <w:multiLevelType w:val="multilevel"/>
    <w:tmpl w:val="1C3C9F52"/>
    <w:lvl w:ilvl="0">
      <w:start w:val="29"/>
      <w:numFmt w:val="decimal"/>
      <w:lvlText w:val="%1."/>
      <w:lvlJc w:val="left"/>
      <w:pPr>
        <w:ind w:left="360" w:hanging="360"/>
      </w:pPr>
      <w:rPr>
        <w:rFonts w:ascii="Palatino Linotype" w:eastAsia="Palatino Linotype" w:hAnsi="Palatino Linotype" w:cs="Palatino Linotype"/>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31D6A65"/>
    <w:multiLevelType w:val="multilevel"/>
    <w:tmpl w:val="E4485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98B3B4B"/>
    <w:multiLevelType w:val="multilevel"/>
    <w:tmpl w:val="E0E8C2FC"/>
    <w:lvl w:ilvl="0">
      <w:start w:val="1"/>
      <w:numFmt w:val="decimal"/>
      <w:lvlText w:val="%1."/>
      <w:lvlJc w:val="left"/>
      <w:pPr>
        <w:ind w:left="644" w:hanging="358"/>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53410C3"/>
    <w:multiLevelType w:val="multilevel"/>
    <w:tmpl w:val="8B04AC26"/>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F8E"/>
    <w:rsid w:val="000405E1"/>
    <w:rsid w:val="000F5EF4"/>
    <w:rsid w:val="00204F98"/>
    <w:rsid w:val="00244020"/>
    <w:rsid w:val="003D5E86"/>
    <w:rsid w:val="00830216"/>
    <w:rsid w:val="00907395"/>
    <w:rsid w:val="00975349"/>
    <w:rsid w:val="009D6E6E"/>
    <w:rsid w:val="009E47C3"/>
    <w:rsid w:val="00A26763"/>
    <w:rsid w:val="00A85AE4"/>
    <w:rsid w:val="00AD2850"/>
    <w:rsid w:val="00B45FCB"/>
    <w:rsid w:val="00C26EA1"/>
    <w:rsid w:val="00CF14B5"/>
    <w:rsid w:val="00D146BB"/>
    <w:rsid w:val="00D34B32"/>
    <w:rsid w:val="00D37F8E"/>
    <w:rsid w:val="00F756F4"/>
    <w:rsid w:val="00FA7149"/>
    <w:rsid w:val="00FB6F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A04FD19-8AC5-45F2-8753-8F8F906BF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737F8A"/>
    <w:rPr>
      <w:rFonts w:asciiTheme="majorHAnsi" w:eastAsiaTheme="majorEastAsia" w:hAnsiTheme="majorHAnsi" w:cstheme="majorBidi"/>
      <w:color w:val="2E74B5" w:themeColor="accent1" w:themeShade="BF"/>
      <w:sz w:val="32"/>
      <w:szCs w:val="32"/>
      <w:lang w:val="es-MX" w:eastAsia="es-MX"/>
    </w:rPr>
  </w:style>
  <w:style w:type="character" w:customStyle="1" w:styleId="Ttulo2Car">
    <w:name w:val="Título 2 Car"/>
    <w:basedOn w:val="Fuentedeprrafopredeter"/>
    <w:uiPriority w:val="9"/>
    <w:rsid w:val="00737F8A"/>
    <w:rPr>
      <w:rFonts w:asciiTheme="majorHAnsi" w:eastAsiaTheme="majorEastAsia" w:hAnsiTheme="majorHAnsi" w:cstheme="majorBidi"/>
      <w:color w:val="2E74B5" w:themeColor="accent1" w:themeShade="BF"/>
      <w:sz w:val="26"/>
      <w:szCs w:val="26"/>
      <w:lang w:val="es-MX"/>
    </w:rPr>
  </w:style>
  <w:style w:type="paragraph" w:styleId="Encabezado">
    <w:name w:val="header"/>
    <w:basedOn w:val="Normal"/>
    <w:link w:val="EncabezadoCar"/>
    <w:uiPriority w:val="99"/>
    <w:unhideWhenUsed/>
    <w:rsid w:val="00737F8A"/>
    <w:pPr>
      <w:tabs>
        <w:tab w:val="center" w:pos="4419"/>
        <w:tab w:val="right" w:pos="8838"/>
      </w:tabs>
    </w:pPr>
  </w:style>
  <w:style w:type="character" w:customStyle="1" w:styleId="EncabezadoCar">
    <w:name w:val="Encabezado Car"/>
    <w:basedOn w:val="Fuentedeprrafopredeter"/>
    <w:link w:val="Encabezado"/>
    <w:uiPriority w:val="99"/>
    <w:rsid w:val="00737F8A"/>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737F8A"/>
    <w:pPr>
      <w:tabs>
        <w:tab w:val="center" w:pos="4419"/>
        <w:tab w:val="right" w:pos="8838"/>
      </w:tabs>
    </w:pPr>
  </w:style>
  <w:style w:type="character" w:customStyle="1" w:styleId="PiedepginaCar">
    <w:name w:val="Pie de página Car"/>
    <w:basedOn w:val="Fuentedeprrafopredeter"/>
    <w:link w:val="Piedepgina"/>
    <w:uiPriority w:val="99"/>
    <w:rsid w:val="00737F8A"/>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37F8A"/>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737F8A"/>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737F8A"/>
    <w:rPr>
      <w:color w:val="0563C1"/>
      <w:u w:val="single"/>
    </w:rPr>
  </w:style>
  <w:style w:type="paragraph" w:styleId="Sinespaciado">
    <w:name w:val="No Spacing"/>
    <w:aliases w:val="Francesa,INAI"/>
    <w:link w:val="SinespaciadoCar"/>
    <w:uiPriority w:val="1"/>
    <w:qFormat/>
    <w:rsid w:val="00737F8A"/>
  </w:style>
  <w:style w:type="character" w:customStyle="1" w:styleId="SinespaciadoCar">
    <w:name w:val="Sin espaciado Car"/>
    <w:aliases w:val="Francesa Car,INAI Car"/>
    <w:link w:val="Sinespaciado"/>
    <w:uiPriority w:val="1"/>
    <w:qFormat/>
    <w:locked/>
    <w:rsid w:val="00737F8A"/>
    <w:rPr>
      <w:lang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37F8A"/>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737F8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37F8A"/>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737F8A"/>
    <w:rPr>
      <w:rFonts w:ascii="Times New Roman" w:eastAsia="Times New Roman" w:hAnsi="Times New Roman" w:cs="Times New Roman"/>
      <w:sz w:val="20"/>
      <w:szCs w:val="20"/>
      <w:lang w:val="es-MX" w:eastAsia="es-MX"/>
    </w:rPr>
  </w:style>
  <w:style w:type="table" w:styleId="Tabladecuadrcula6concolores">
    <w:name w:val="Grid Table 6 Colorful"/>
    <w:basedOn w:val="Tablanormal"/>
    <w:uiPriority w:val="51"/>
    <w:rsid w:val="00737F8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737F8A"/>
    <w:pPr>
      <w:autoSpaceDE w:val="0"/>
      <w:autoSpaceDN w:val="0"/>
      <w:adjustRightInd w:val="0"/>
    </w:pPr>
    <w:rPr>
      <w:rFonts w:ascii="Arial" w:hAnsi="Arial" w:cs="Arial"/>
      <w:color w:val="000000"/>
    </w:rPr>
  </w:style>
  <w:style w:type="table" w:styleId="Tabladecuadrcula4-nfasis3">
    <w:name w:val="Grid Table 4 Accent 3"/>
    <w:basedOn w:val="Tablanormal"/>
    <w:uiPriority w:val="49"/>
    <w:rsid w:val="00BE54F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
    <w:name w:val="Table Grid"/>
    <w:basedOn w:val="Tablanormal"/>
    <w:uiPriority w:val="39"/>
    <w:rsid w:val="004645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80079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s">
    <w:name w:val="Citas"/>
    <w:basedOn w:val="Normal"/>
    <w:qFormat/>
    <w:rsid w:val="009055F9"/>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CitasINFOEM">
    <w:name w:val="Citas INFOEM"/>
    <w:basedOn w:val="Normal"/>
    <w:qFormat/>
    <w:rsid w:val="009055F9"/>
    <w:pPr>
      <w:spacing w:before="240" w:after="160" w:line="360" w:lineRule="auto"/>
      <w:ind w:left="851" w:right="851"/>
      <w:jc w:val="both"/>
    </w:pPr>
    <w:rPr>
      <w:rFonts w:ascii="Palatino Linotype" w:hAnsi="Palatino Linotype"/>
      <w:i/>
      <w:sz w:val="22"/>
      <w:lang w:eastAsia="en-US"/>
    </w:rPr>
  </w:style>
  <w:style w:type="character" w:styleId="Textoennegrita">
    <w:name w:val="Strong"/>
    <w:uiPriority w:val="22"/>
    <w:qFormat/>
    <w:rsid w:val="009055F9"/>
    <w:rPr>
      <w:b/>
      <w:bCs/>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59355.pag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PYaKW1F/ttSjpWDuTIVa5WNkJg==">CgMxLjAyCGguZ2pkZ3hzMgloLjMwajB6bGwyCWguMWZvYjl0ZTIJaC4zem55c2g3MgloLjJldDkycDAyCGgudHlqY3d0MgloLjNkeTZ2a20yDmguaWN3ejdrZmlkaHF2Mg5oLjVqMW1pYXF3NWMxbDIOaC44eDdzYmtxc2RvNTMyDmguNXh6NHV5ZWVmZ3NkMg5oLmRpcHFiZnZ2cThxcDgAciExcGR4Mjl4bkhiSE55dVRZZ1VzeXFXc2xpdUhDeGN0Qm0=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23</Pages>
  <Words>4779</Words>
  <Characters>26286</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31003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Cuenta Microsoft</cp:lastModifiedBy>
  <cp:revision>14</cp:revision>
  <cp:lastPrinted>2025-10-17T17:34:00Z</cp:lastPrinted>
  <dcterms:created xsi:type="dcterms:W3CDTF">2025-10-06T22:45:00Z</dcterms:created>
  <dcterms:modified xsi:type="dcterms:W3CDTF">2025-11-10T23:12:00Z</dcterms:modified>
</cp:coreProperties>
</file>