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618" w:rsidRPr="0004272B" w:rsidRDefault="0076601F" w:rsidP="0004272B">
      <w:pPr>
        <w:spacing w:line="360" w:lineRule="auto"/>
        <w:jc w:val="both"/>
        <w:rPr>
          <w:rFonts w:ascii="Palatino Linotype" w:eastAsia="Palatino Linotype" w:hAnsi="Palatino Linotype" w:cs="Palatino Linotype"/>
          <w:color w:val="000000" w:themeColor="text1"/>
        </w:rPr>
      </w:pPr>
      <w:bookmarkStart w:id="0" w:name="_GoBack"/>
      <w:bookmarkEnd w:id="0"/>
      <w:r w:rsidRPr="0004272B">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04272B">
        <w:rPr>
          <w:rFonts w:ascii="Palatino Linotype" w:eastAsia="Palatino Linotype" w:hAnsi="Palatino Linotype" w:cs="Palatino Linotype"/>
          <w:b/>
          <w:color w:val="000000" w:themeColor="text1"/>
        </w:rPr>
        <w:t xml:space="preserve">de fecha veinticinco (25) </w:t>
      </w:r>
      <w:r w:rsidR="0004272B" w:rsidRPr="00157555">
        <w:rPr>
          <w:rFonts w:ascii="Palatino Linotype" w:eastAsia="Palatino Linotype" w:hAnsi="Palatino Linotype" w:cs="Palatino Linotype"/>
          <w:b/>
          <w:color w:val="000000" w:themeColor="text1"/>
        </w:rPr>
        <w:t xml:space="preserve">de </w:t>
      </w:r>
      <w:r w:rsidR="0004272B">
        <w:rPr>
          <w:rFonts w:ascii="Palatino Linotype" w:eastAsia="Palatino Linotype" w:hAnsi="Palatino Linotype" w:cs="Palatino Linotype"/>
          <w:b/>
          <w:color w:val="000000" w:themeColor="text1"/>
        </w:rPr>
        <w:t xml:space="preserve">noviembre </w:t>
      </w:r>
      <w:r w:rsidR="0004272B" w:rsidRPr="00157555">
        <w:rPr>
          <w:rFonts w:ascii="Palatino Linotype" w:eastAsia="Palatino Linotype" w:hAnsi="Palatino Linotype" w:cs="Palatino Linotype"/>
          <w:b/>
          <w:color w:val="000000" w:themeColor="text1"/>
        </w:rPr>
        <w:t>de dos mil veinticinco</w:t>
      </w:r>
      <w:r w:rsidRPr="0004272B">
        <w:rPr>
          <w:rFonts w:ascii="Palatino Linotype" w:eastAsia="Palatino Linotype" w:hAnsi="Palatino Linotype" w:cs="Palatino Linotype"/>
          <w:color w:val="000000" w:themeColor="text1"/>
        </w:rPr>
        <w:t>.</w:t>
      </w:r>
    </w:p>
    <w:p w:rsidR="00095618" w:rsidRPr="0004272B" w:rsidRDefault="00095618" w:rsidP="0004272B">
      <w:pP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spacing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b/>
          <w:bCs/>
          <w:color w:val="000000" w:themeColor="text1"/>
        </w:rPr>
        <w:t>VISTO</w:t>
      </w:r>
      <w:r w:rsidRPr="0004272B">
        <w:rPr>
          <w:rFonts w:ascii="Palatino Linotype" w:eastAsia="Palatino Linotype" w:hAnsi="Palatino Linotype" w:cs="Palatino Linotype"/>
          <w:color w:val="000000" w:themeColor="text1"/>
        </w:rPr>
        <w:t xml:space="preserve"> el expediente electrónico formado con motivo del recurso de revisión </w:t>
      </w:r>
      <w:r w:rsidRPr="0004272B">
        <w:rPr>
          <w:rFonts w:ascii="Palatino Linotype" w:eastAsia="Palatino Linotype" w:hAnsi="Palatino Linotype" w:cs="Palatino Linotype"/>
          <w:b/>
          <w:bCs/>
          <w:color w:val="000000" w:themeColor="text1"/>
        </w:rPr>
        <w:t xml:space="preserve">07238/INFOEM/IP/RR/2025, </w:t>
      </w:r>
      <w:r w:rsidRPr="0004272B">
        <w:rPr>
          <w:rFonts w:ascii="Palatino Linotype" w:eastAsia="Palatino Linotype" w:hAnsi="Palatino Linotype" w:cs="Palatino Linotype"/>
          <w:color w:val="000000" w:themeColor="text1"/>
        </w:rPr>
        <w:t xml:space="preserve">promovido por </w:t>
      </w:r>
      <w:r w:rsidRPr="0004272B">
        <w:rPr>
          <w:rFonts w:ascii="Palatino Linotype" w:eastAsia="Palatino Linotype" w:hAnsi="Palatino Linotype" w:cs="Palatino Linotype"/>
          <w:b/>
          <w:bCs/>
          <w:color w:val="000000" w:themeColor="text1"/>
        </w:rPr>
        <w:t>un usuario que no proporcionó nombre,</w:t>
      </w:r>
      <w:r w:rsidRPr="0004272B">
        <w:rPr>
          <w:rFonts w:ascii="Palatino Linotype" w:eastAsia="Palatino Linotype" w:hAnsi="Palatino Linotype" w:cs="Palatino Linotype"/>
          <w:color w:val="000000" w:themeColor="text1"/>
        </w:rPr>
        <w:t xml:space="preserve"> </w:t>
      </w:r>
      <w:r w:rsidR="00B47E27">
        <w:rPr>
          <w:rFonts w:ascii="Palatino Linotype" w:eastAsia="Palatino Linotype" w:hAnsi="Palatino Linotype" w:cs="Palatino Linotype"/>
          <w:color w:val="000000" w:themeColor="text1"/>
        </w:rPr>
        <w:t xml:space="preserve">a </w:t>
      </w:r>
      <w:r w:rsidRPr="0004272B">
        <w:rPr>
          <w:rFonts w:ascii="Palatino Linotype" w:eastAsia="Palatino Linotype" w:hAnsi="Palatino Linotype" w:cs="Palatino Linotype"/>
          <w:color w:val="000000" w:themeColor="text1"/>
        </w:rPr>
        <w:t xml:space="preserve">quien en lo sucesivo se identificará como </w:t>
      </w:r>
      <w:r w:rsidRPr="0004272B">
        <w:rPr>
          <w:rFonts w:ascii="Palatino Linotype" w:eastAsia="Palatino Linotype" w:hAnsi="Palatino Linotype" w:cs="Palatino Linotype"/>
          <w:b/>
          <w:bCs/>
          <w:color w:val="000000" w:themeColor="text1"/>
        </w:rPr>
        <w:t>EL RECURRENTE</w:t>
      </w:r>
      <w:r w:rsidRPr="0004272B">
        <w:rPr>
          <w:rFonts w:ascii="Palatino Linotype" w:eastAsia="Palatino Linotype" w:hAnsi="Palatino Linotype" w:cs="Palatino Linotype"/>
          <w:color w:val="000000" w:themeColor="text1"/>
        </w:rPr>
        <w:t xml:space="preserve">, en contra de la respuesta del </w:t>
      </w:r>
      <w:r w:rsidRPr="0004272B">
        <w:rPr>
          <w:rFonts w:ascii="Palatino Linotype" w:eastAsia="Palatino Linotype" w:hAnsi="Palatino Linotype" w:cs="Palatino Linotype"/>
          <w:b/>
          <w:bCs/>
          <w:color w:val="000000" w:themeColor="text1"/>
        </w:rPr>
        <w:t xml:space="preserve">Ayuntamiento de Zinacantepec, </w:t>
      </w:r>
      <w:r w:rsidRPr="0004272B">
        <w:rPr>
          <w:rFonts w:ascii="Palatino Linotype" w:eastAsia="Palatino Linotype" w:hAnsi="Palatino Linotype" w:cs="Palatino Linotype"/>
          <w:color w:val="000000" w:themeColor="text1"/>
        </w:rPr>
        <w:t>en adelante el</w:t>
      </w:r>
      <w:r w:rsidRPr="0004272B">
        <w:rPr>
          <w:rFonts w:ascii="Palatino Linotype" w:eastAsia="Palatino Linotype" w:hAnsi="Palatino Linotype" w:cs="Palatino Linotype"/>
          <w:b/>
          <w:bCs/>
          <w:color w:val="000000" w:themeColor="text1"/>
        </w:rPr>
        <w:t xml:space="preserve"> SUJETO OBLIGADO</w:t>
      </w:r>
      <w:r w:rsidRPr="0004272B">
        <w:rPr>
          <w:rFonts w:ascii="Palatino Linotype" w:eastAsia="Palatino Linotype" w:hAnsi="Palatino Linotype" w:cs="Palatino Linotype"/>
          <w:color w:val="000000" w:themeColor="text1"/>
        </w:rPr>
        <w:t>, por lo que se procede a dictar la presente resolución, con base en los siguientes:</w:t>
      </w:r>
    </w:p>
    <w:p w:rsidR="00095618" w:rsidRPr="0004272B" w:rsidRDefault="00095618" w:rsidP="0004272B">
      <w:pPr>
        <w:spacing w:line="360" w:lineRule="auto"/>
        <w:jc w:val="both"/>
        <w:rPr>
          <w:rFonts w:ascii="Palatino Linotype" w:eastAsia="Palatino Linotype" w:hAnsi="Palatino Linotype" w:cs="Palatino Linotype"/>
          <w:b/>
          <w:bCs/>
          <w:color w:val="000000" w:themeColor="text1"/>
        </w:rPr>
      </w:pPr>
    </w:p>
    <w:p w:rsidR="00095618" w:rsidRPr="0004272B" w:rsidRDefault="0076601F" w:rsidP="0004272B">
      <w:pPr>
        <w:keepNext/>
        <w:keepLines/>
        <w:spacing w:line="360" w:lineRule="auto"/>
        <w:jc w:val="center"/>
        <w:rPr>
          <w:rFonts w:ascii="Palatino Linotype" w:eastAsia="Palatino Linotype" w:hAnsi="Palatino Linotype" w:cs="Palatino Linotype"/>
          <w:b/>
          <w:bCs/>
          <w:color w:val="000000" w:themeColor="text1"/>
        </w:rPr>
      </w:pPr>
      <w:bookmarkStart w:id="1" w:name="_heading=h.gjdgxs" w:colFirst="0" w:colLast="0"/>
      <w:bookmarkEnd w:id="1"/>
      <w:r w:rsidRPr="0004272B">
        <w:rPr>
          <w:rFonts w:ascii="Palatino Linotype" w:eastAsia="Palatino Linotype" w:hAnsi="Palatino Linotype" w:cs="Palatino Linotype"/>
          <w:b/>
          <w:bCs/>
          <w:color w:val="000000" w:themeColor="text1"/>
        </w:rPr>
        <w:t>A N T E C E D E N T E S</w:t>
      </w:r>
    </w:p>
    <w:p w:rsidR="00095618" w:rsidRPr="0004272B" w:rsidRDefault="00095618" w:rsidP="0004272B">
      <w:pPr>
        <w:spacing w:line="360" w:lineRule="auto"/>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w:t>
      </w:r>
      <w:r w:rsidRPr="0004272B">
        <w:rPr>
          <w:rFonts w:ascii="Palatino Linotype" w:eastAsia="Palatino Linotype" w:hAnsi="Palatino Linotype" w:cs="Palatino Linotype"/>
          <w:b/>
          <w:bCs/>
          <w:color w:val="000000" w:themeColor="text1"/>
        </w:rPr>
        <w:t>seis de mayo de dos mil veinticinco</w:t>
      </w:r>
      <w:r w:rsidRPr="0004272B">
        <w:rPr>
          <w:rFonts w:ascii="Palatino Linotype" w:eastAsia="Palatino Linotype" w:hAnsi="Palatino Linotype" w:cs="Palatino Linotype"/>
          <w:color w:val="000000" w:themeColor="text1"/>
        </w:rPr>
        <w:t xml:space="preserve">, </w:t>
      </w:r>
      <w:r w:rsidRPr="0004272B">
        <w:rPr>
          <w:rFonts w:ascii="Palatino Linotype" w:eastAsia="Palatino Linotype" w:hAnsi="Palatino Linotype" w:cs="Palatino Linotype"/>
          <w:b/>
          <w:bCs/>
          <w:color w:val="000000" w:themeColor="text1"/>
        </w:rPr>
        <w:t>EL RECURRENTE,</w:t>
      </w:r>
      <w:r w:rsidRPr="0004272B">
        <w:rPr>
          <w:rFonts w:ascii="Palatino Linotype" w:eastAsia="Palatino Linotype" w:hAnsi="Palatino Linotype" w:cs="Palatino Linotype"/>
          <w:color w:val="000000" w:themeColor="text1"/>
        </w:rPr>
        <w:t xml:space="preserve"> ante el </w:t>
      </w:r>
      <w:r w:rsidRPr="0004272B">
        <w:rPr>
          <w:rFonts w:ascii="Palatino Linotype" w:eastAsia="Palatino Linotype" w:hAnsi="Palatino Linotype" w:cs="Palatino Linotype"/>
          <w:b/>
          <w:bCs/>
          <w:color w:val="000000" w:themeColor="text1"/>
        </w:rPr>
        <w:t>SUJETO OBLIGADO</w:t>
      </w:r>
      <w:r w:rsidRPr="0004272B">
        <w:rPr>
          <w:rFonts w:ascii="Palatino Linotype" w:eastAsia="Palatino Linotype" w:hAnsi="Palatino Linotype" w:cs="Palatino Linotype"/>
          <w:color w:val="000000" w:themeColor="text1"/>
        </w:rPr>
        <w:t xml:space="preserve"> a través del Sistema de Acceso a la Información Mexiquense (SAIMEX), presentó una solicitud de información registrada con el número </w:t>
      </w:r>
      <w:r w:rsidRPr="0004272B">
        <w:rPr>
          <w:rFonts w:ascii="Palatino Linotype" w:eastAsia="Palatino Linotype" w:hAnsi="Palatino Linotype" w:cs="Palatino Linotype"/>
          <w:b/>
          <w:bCs/>
          <w:color w:val="000000" w:themeColor="text1"/>
        </w:rPr>
        <w:t xml:space="preserve">00320/ZINACANT/IP/2025, </w:t>
      </w:r>
      <w:r w:rsidRPr="0004272B">
        <w:rPr>
          <w:rFonts w:ascii="Palatino Linotype" w:eastAsia="Palatino Linotype" w:hAnsi="Palatino Linotype" w:cs="Palatino Linotype"/>
          <w:color w:val="000000" w:themeColor="text1"/>
        </w:rPr>
        <w:t>en la que se solicitó lo siguiente:</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 xml:space="preserve">“Entregar copia íntegra de todos los informes de auditoría interna realizados entre enero de 2022 y abril de 2024, así como las observaciones detectadas, recomendaciones emitidas y el estado actual de su cumplimiento por parte de las áreas auditadas.” (Sic)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Se señaló como modalidad de entrega a través de SAIMEX.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ocho de mayo de dos mil veinticinco, se realizó un requerimiento de información al servidor público habilitado. </w:t>
      </w: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lastRenderedPageBreak/>
        <w:t xml:space="preserve">El </w:t>
      </w:r>
      <w:r w:rsidRPr="0004272B">
        <w:rPr>
          <w:rFonts w:ascii="Palatino Linotype" w:eastAsia="Palatino Linotype" w:hAnsi="Palatino Linotype" w:cs="Palatino Linotype"/>
          <w:b/>
          <w:bCs/>
          <w:color w:val="000000" w:themeColor="text1"/>
        </w:rPr>
        <w:t>veintiséis de mayo de dos mil veinticinco</w:t>
      </w:r>
      <w:r w:rsidRPr="0004272B">
        <w:rPr>
          <w:rFonts w:ascii="Palatino Linotype" w:eastAsia="Palatino Linotype" w:hAnsi="Palatino Linotype" w:cs="Palatino Linotype"/>
          <w:color w:val="000000" w:themeColor="text1"/>
        </w:rPr>
        <w:t>, el Sujeto Obligado dio respuesta a la solicitud de información en los siguientes términos:</w:t>
      </w:r>
    </w:p>
    <w:tbl>
      <w:tblPr>
        <w:tblStyle w:val="a"/>
        <w:tblW w:w="7616" w:type="dxa"/>
        <w:jc w:val="center"/>
        <w:tblInd w:w="0" w:type="dxa"/>
        <w:tblLayout w:type="fixed"/>
        <w:tblLook w:val="0400" w:firstRow="0" w:lastRow="0" w:firstColumn="0" w:lastColumn="0" w:noHBand="0" w:noVBand="1"/>
      </w:tblPr>
      <w:tblGrid>
        <w:gridCol w:w="7616"/>
      </w:tblGrid>
      <w:tr w:rsidR="0004272B" w:rsidRPr="0004272B">
        <w:trPr>
          <w:trHeight w:val="288"/>
          <w:jc w:val="center"/>
        </w:trPr>
        <w:tc>
          <w:tcPr>
            <w:tcW w:w="7616" w:type="dxa"/>
            <w:vAlign w:val="center"/>
          </w:tcPr>
          <w:p w:rsidR="00095618" w:rsidRPr="0004272B" w:rsidRDefault="0076601F" w:rsidP="0004272B">
            <w:pPr>
              <w:jc w:val="right"/>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br/>
              <w:t>Zinacantepec, México a 26 de Mayo de 2025</w:t>
            </w:r>
          </w:p>
        </w:tc>
      </w:tr>
      <w:tr w:rsidR="0004272B" w:rsidRPr="0004272B">
        <w:trPr>
          <w:trHeight w:val="288"/>
          <w:jc w:val="center"/>
        </w:trPr>
        <w:tc>
          <w:tcPr>
            <w:tcW w:w="7616" w:type="dxa"/>
            <w:vAlign w:val="center"/>
          </w:tcPr>
          <w:p w:rsidR="00095618" w:rsidRPr="0004272B" w:rsidRDefault="0076601F" w:rsidP="0004272B">
            <w:pPr>
              <w:jc w:val="right"/>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Nombre del solicitante: C. Solicitante</w:t>
            </w:r>
          </w:p>
        </w:tc>
      </w:tr>
      <w:tr w:rsidR="0004272B" w:rsidRPr="0004272B">
        <w:trPr>
          <w:trHeight w:val="288"/>
          <w:jc w:val="center"/>
        </w:trPr>
        <w:tc>
          <w:tcPr>
            <w:tcW w:w="7616" w:type="dxa"/>
            <w:vAlign w:val="center"/>
          </w:tcPr>
          <w:p w:rsidR="00095618" w:rsidRPr="0004272B" w:rsidRDefault="0076601F" w:rsidP="0004272B">
            <w:pPr>
              <w:jc w:val="right"/>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Folio de la solicitud: 00320/ZINACANT/IP/2025</w:t>
            </w:r>
          </w:p>
        </w:tc>
      </w:tr>
      <w:tr w:rsidR="0004272B" w:rsidRPr="0004272B">
        <w:trPr>
          <w:trHeight w:val="432"/>
          <w:jc w:val="center"/>
        </w:trPr>
        <w:tc>
          <w:tcPr>
            <w:tcW w:w="7616" w:type="dxa"/>
            <w:vAlign w:val="center"/>
          </w:tcPr>
          <w:p w:rsidR="00095618" w:rsidRPr="0004272B" w:rsidRDefault="00095618" w:rsidP="0004272B">
            <w:pPr>
              <w:jc w:val="right"/>
              <w:rPr>
                <w:rFonts w:ascii="Palatino Linotype" w:eastAsia="Palatino Linotype" w:hAnsi="Palatino Linotype" w:cs="Palatino Linotype"/>
                <w:i/>
                <w:iCs/>
                <w:color w:val="000000" w:themeColor="text1"/>
              </w:rPr>
            </w:pPr>
          </w:p>
        </w:tc>
      </w:tr>
      <w:tr w:rsidR="0004272B" w:rsidRPr="0004272B">
        <w:trPr>
          <w:trHeight w:val="144"/>
          <w:jc w:val="center"/>
        </w:trPr>
        <w:tc>
          <w:tcPr>
            <w:tcW w:w="7616" w:type="dxa"/>
            <w:vAlign w:val="center"/>
          </w:tcPr>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4272B" w:rsidRPr="0004272B">
        <w:trPr>
          <w:trHeight w:val="360"/>
          <w:jc w:val="center"/>
        </w:trPr>
        <w:tc>
          <w:tcPr>
            <w:tcW w:w="7616" w:type="dxa"/>
            <w:vAlign w:val="center"/>
          </w:tcPr>
          <w:p w:rsidR="00095618" w:rsidRPr="0004272B" w:rsidRDefault="00095618" w:rsidP="0004272B">
            <w:pPr>
              <w:jc w:val="both"/>
              <w:rPr>
                <w:rFonts w:ascii="Palatino Linotype" w:eastAsia="Palatino Linotype" w:hAnsi="Palatino Linotype" w:cs="Palatino Linotype"/>
                <w:i/>
                <w:iCs/>
                <w:color w:val="000000" w:themeColor="text1"/>
              </w:rPr>
            </w:pPr>
          </w:p>
        </w:tc>
      </w:tr>
      <w:tr w:rsidR="0004272B" w:rsidRPr="0004272B">
        <w:trPr>
          <w:trHeight w:val="144"/>
          <w:jc w:val="center"/>
        </w:trPr>
        <w:tc>
          <w:tcPr>
            <w:tcW w:w="7616" w:type="dxa"/>
            <w:vAlign w:val="center"/>
          </w:tcPr>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tc>
      </w:tr>
      <w:tr w:rsidR="0004272B" w:rsidRPr="0004272B">
        <w:trPr>
          <w:trHeight w:val="360"/>
          <w:jc w:val="center"/>
        </w:trPr>
        <w:tc>
          <w:tcPr>
            <w:tcW w:w="7616" w:type="dxa"/>
            <w:vAlign w:val="center"/>
          </w:tcPr>
          <w:p w:rsidR="00095618" w:rsidRPr="0004272B" w:rsidRDefault="00095618" w:rsidP="0004272B">
            <w:pPr>
              <w:rPr>
                <w:rFonts w:ascii="Palatino Linotype" w:eastAsia="Palatino Linotype" w:hAnsi="Palatino Linotype" w:cs="Palatino Linotype"/>
                <w:i/>
                <w:iCs/>
                <w:color w:val="000000" w:themeColor="text1"/>
              </w:rPr>
            </w:pPr>
          </w:p>
        </w:tc>
      </w:tr>
      <w:tr w:rsidR="0004272B" w:rsidRPr="0004272B">
        <w:trPr>
          <w:trHeight w:val="144"/>
          <w:jc w:val="center"/>
        </w:trPr>
        <w:tc>
          <w:tcPr>
            <w:tcW w:w="7616" w:type="dxa"/>
            <w:vAlign w:val="center"/>
          </w:tcPr>
          <w:p w:rsidR="00095618" w:rsidRPr="0004272B" w:rsidRDefault="00095618" w:rsidP="0004272B">
            <w:pPr>
              <w:jc w:val="center"/>
              <w:rPr>
                <w:rFonts w:ascii="Palatino Linotype" w:eastAsia="Palatino Linotype" w:hAnsi="Palatino Linotype" w:cs="Palatino Linotype"/>
                <w:i/>
                <w:iCs/>
                <w:color w:val="000000" w:themeColor="text1"/>
              </w:rPr>
            </w:pPr>
          </w:p>
        </w:tc>
      </w:tr>
      <w:tr w:rsidR="0004272B" w:rsidRPr="0004272B">
        <w:trPr>
          <w:trHeight w:val="144"/>
          <w:jc w:val="center"/>
        </w:trPr>
        <w:tc>
          <w:tcPr>
            <w:tcW w:w="7616" w:type="dxa"/>
            <w:vAlign w:val="center"/>
          </w:tcPr>
          <w:p w:rsidR="00095618" w:rsidRPr="0004272B" w:rsidRDefault="00095618" w:rsidP="0004272B">
            <w:pPr>
              <w:rPr>
                <w:rFonts w:ascii="Palatino Linotype" w:eastAsia="Palatino Linotype" w:hAnsi="Palatino Linotype" w:cs="Palatino Linotype"/>
                <w:i/>
                <w:iCs/>
                <w:color w:val="000000" w:themeColor="text1"/>
              </w:rPr>
            </w:pPr>
          </w:p>
        </w:tc>
      </w:tr>
      <w:tr w:rsidR="0004272B" w:rsidRPr="0004272B">
        <w:trPr>
          <w:trHeight w:val="144"/>
          <w:jc w:val="center"/>
        </w:trPr>
        <w:tc>
          <w:tcPr>
            <w:tcW w:w="7616" w:type="dxa"/>
            <w:vAlign w:val="center"/>
          </w:tcPr>
          <w:p w:rsidR="00095618" w:rsidRPr="0004272B" w:rsidRDefault="0076601F" w:rsidP="0004272B">
            <w:pPr>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ATENTAMENTE</w:t>
            </w:r>
          </w:p>
        </w:tc>
      </w:tr>
      <w:tr w:rsidR="0004272B" w:rsidRPr="0004272B">
        <w:trPr>
          <w:trHeight w:val="216"/>
          <w:jc w:val="center"/>
        </w:trPr>
        <w:tc>
          <w:tcPr>
            <w:tcW w:w="7616" w:type="dxa"/>
            <w:vAlign w:val="center"/>
          </w:tcPr>
          <w:p w:rsidR="00095618" w:rsidRPr="0004272B" w:rsidRDefault="00095618" w:rsidP="0004272B">
            <w:pPr>
              <w:rPr>
                <w:rFonts w:ascii="Palatino Linotype" w:eastAsia="Palatino Linotype" w:hAnsi="Palatino Linotype" w:cs="Palatino Linotype"/>
                <w:i/>
                <w:iCs/>
                <w:color w:val="000000" w:themeColor="text1"/>
              </w:rPr>
            </w:pPr>
          </w:p>
        </w:tc>
      </w:tr>
      <w:tr w:rsidR="0004272B" w:rsidRPr="0004272B">
        <w:trPr>
          <w:trHeight w:val="144"/>
          <w:jc w:val="center"/>
        </w:trPr>
        <w:tc>
          <w:tcPr>
            <w:tcW w:w="7616" w:type="dxa"/>
            <w:vAlign w:val="center"/>
          </w:tcPr>
          <w:p w:rsidR="00095618" w:rsidRPr="0004272B" w:rsidRDefault="0076601F" w:rsidP="0004272B">
            <w:pPr>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BRENDA SELENE HERNANDEZ LOPEZ</w:t>
            </w:r>
          </w:p>
        </w:tc>
      </w:tr>
    </w:tbl>
    <w:p w:rsidR="00095618" w:rsidRPr="0004272B" w:rsidRDefault="00095618" w:rsidP="0004272B">
      <w:pPr>
        <w:spacing w:line="360" w:lineRule="auto"/>
        <w:jc w:val="both"/>
        <w:rPr>
          <w:rFonts w:ascii="Palatino Linotype" w:eastAsia="Palatino Linotype" w:hAnsi="Palatino Linotype" w:cs="Palatino Linotype"/>
          <w:color w:val="000000" w:themeColor="text1"/>
        </w:rPr>
      </w:pPr>
    </w:p>
    <w:p w:rsidR="00095618" w:rsidRPr="0004272B" w:rsidRDefault="0076601F" w:rsidP="00B47E27">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lastRenderedPageBreak/>
        <w:t>A la respuesta se adjuntaron los archivos electrónicos que se describen en seguida:</w:t>
      </w:r>
    </w:p>
    <w:p w:rsidR="00095618" w:rsidRPr="0004272B" w:rsidRDefault="00674929" w:rsidP="00B47E27">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hyperlink r:id="rId8">
        <w:r w:rsidR="0076601F" w:rsidRPr="0004272B">
          <w:rPr>
            <w:rFonts w:ascii="Palatino Linotype" w:eastAsia="Palatino Linotype" w:hAnsi="Palatino Linotype" w:cs="Palatino Linotype"/>
            <w:b/>
            <w:bCs/>
            <w:color w:val="000000" w:themeColor="text1"/>
            <w:u w:val="single"/>
          </w:rPr>
          <w:t>00320.pdf</w:t>
        </w:r>
      </w:hyperlink>
      <w:r w:rsidR="0076601F" w:rsidRPr="0004272B">
        <w:rPr>
          <w:rFonts w:ascii="Palatino Linotype" w:eastAsia="Palatino Linotype" w:hAnsi="Palatino Linotype" w:cs="Palatino Linotype"/>
          <w:color w:val="000000" w:themeColor="text1"/>
        </w:rPr>
        <w:t xml:space="preserve">: oficio número ZIN/OICM/0384/2025 de fecha trece de mayo de dos mil veinticinco, suscrito por el Contralor Municipal, quien señaló tres ligas electrónicas en las que se podía localizar la información solicitada. </w:t>
      </w:r>
    </w:p>
    <w:p w:rsidR="00095618" w:rsidRPr="0004272B" w:rsidRDefault="00095618" w:rsidP="00B47E2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674929" w:rsidP="00B47E27">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hyperlink r:id="rId9">
        <w:r w:rsidR="0076601F" w:rsidRPr="0004272B">
          <w:rPr>
            <w:rFonts w:ascii="Palatino Linotype" w:eastAsia="Palatino Linotype" w:hAnsi="Palatino Linotype" w:cs="Palatino Linotype"/>
            <w:b/>
            <w:bCs/>
            <w:color w:val="000000" w:themeColor="text1"/>
            <w:u w:val="single"/>
          </w:rPr>
          <w:t>RESPUESTA SOLICITUD 320.pdf</w:t>
        </w:r>
      </w:hyperlink>
      <w:r w:rsidR="0076601F" w:rsidRPr="0004272B">
        <w:rPr>
          <w:rFonts w:ascii="Palatino Linotype" w:eastAsia="Palatino Linotype" w:hAnsi="Palatino Linotype" w:cs="Palatino Linotype"/>
          <w:color w:val="000000" w:themeColor="text1"/>
        </w:rPr>
        <w:t xml:space="preserve">: oficio de respuesta de fecha veintiséis de mayo de dos mil veinticinco, suscrito por el Titular de la Unidad de Transparencia, quien señaló que remite respuesta proporcionada por el área competente.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w:t>
      </w:r>
      <w:r w:rsidRPr="0004272B">
        <w:rPr>
          <w:rFonts w:ascii="Palatino Linotype" w:eastAsia="Palatino Linotype" w:hAnsi="Palatino Linotype" w:cs="Palatino Linotype"/>
          <w:b/>
          <w:bCs/>
          <w:color w:val="000000" w:themeColor="text1"/>
        </w:rPr>
        <w:t>dieciséis de junio de dos mil veinticinco</w:t>
      </w:r>
      <w:r w:rsidRPr="0004272B">
        <w:rPr>
          <w:rFonts w:ascii="Palatino Linotype" w:eastAsia="Palatino Linotype" w:hAnsi="Palatino Linotype" w:cs="Palatino Linotype"/>
          <w:color w:val="000000" w:themeColor="text1"/>
        </w:rPr>
        <w:t xml:space="preserve">, </w:t>
      </w:r>
      <w:r w:rsidRPr="0004272B">
        <w:rPr>
          <w:rFonts w:ascii="Palatino Linotype" w:eastAsia="Palatino Linotype" w:hAnsi="Palatino Linotype" w:cs="Palatino Linotype"/>
          <w:b/>
          <w:bCs/>
          <w:color w:val="000000" w:themeColor="text1"/>
        </w:rPr>
        <w:t>El Recurrente</w:t>
      </w:r>
      <w:r w:rsidRPr="0004272B">
        <w:rPr>
          <w:rFonts w:ascii="Palatino Linotype" w:eastAsia="Palatino Linotype" w:hAnsi="Palatino Linotype" w:cs="Palatino Linotype"/>
          <w:color w:val="000000" w:themeColor="text1"/>
        </w:rPr>
        <w:t xml:space="preserve"> interpuso el recurso de revisión, en contra de la respuesta, señalando como:</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B47E27" w:rsidP="0004272B">
      <w:pPr>
        <w:numPr>
          <w:ilvl w:val="0"/>
          <w:numId w:val="1"/>
        </w:numPr>
        <w:spacing w:line="360" w:lineRule="auto"/>
        <w:ind w:left="0" w:firstLine="0"/>
        <w:jc w:val="both"/>
        <w:rPr>
          <w:rFonts w:ascii="Palatino Linotype" w:hAnsi="Palatino Linotype"/>
          <w:color w:val="000000" w:themeColor="text1"/>
        </w:rPr>
      </w:pPr>
      <w:r w:rsidRPr="0004272B">
        <w:rPr>
          <w:rFonts w:ascii="Palatino Linotype" w:eastAsia="Palatino Linotype" w:hAnsi="Palatino Linotype" w:cs="Palatino Linotype"/>
          <w:b/>
          <w:bCs/>
          <w:color w:val="000000" w:themeColor="text1"/>
        </w:rPr>
        <w:t>ACTO IMPUGNADO</w:t>
      </w:r>
      <w:r w:rsidR="0076601F" w:rsidRPr="0004272B">
        <w:rPr>
          <w:rFonts w:ascii="Palatino Linotype" w:eastAsia="Palatino Linotype" w:hAnsi="Palatino Linotype" w:cs="Palatino Linotype"/>
          <w:b/>
          <w:bCs/>
          <w:i/>
          <w:iCs/>
          <w:color w:val="000000" w:themeColor="text1"/>
        </w:rPr>
        <w:t>:</w:t>
      </w:r>
      <w:r w:rsidR="0076601F" w:rsidRPr="0004272B">
        <w:rPr>
          <w:rFonts w:ascii="Palatino Linotype" w:eastAsia="Palatino Linotype" w:hAnsi="Palatino Linotype" w:cs="Palatino Linotype"/>
          <w:i/>
          <w:iCs/>
          <w:color w:val="000000" w:themeColor="text1"/>
        </w:rPr>
        <w:t xml:space="preserve"> "NO ENTREGA INFORMACION" (Sic)</w:t>
      </w:r>
    </w:p>
    <w:p w:rsidR="00095618" w:rsidRPr="0004272B" w:rsidRDefault="00095618" w:rsidP="0004272B">
      <w:pPr>
        <w:spacing w:line="360" w:lineRule="auto"/>
        <w:jc w:val="both"/>
        <w:rPr>
          <w:rFonts w:ascii="Palatino Linotype" w:hAnsi="Palatino Linotype"/>
          <w:color w:val="000000" w:themeColor="text1"/>
        </w:rPr>
      </w:pPr>
    </w:p>
    <w:p w:rsidR="00095618" w:rsidRPr="0004272B" w:rsidRDefault="00B47E27" w:rsidP="0004272B">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b/>
          <w:bCs/>
          <w:color w:val="000000" w:themeColor="text1"/>
        </w:rPr>
        <w:t>RAZONES O MOTIVOS DE INCONFORMIDAD</w:t>
      </w:r>
      <w:r w:rsidR="0076601F" w:rsidRPr="0004272B">
        <w:rPr>
          <w:rFonts w:ascii="Palatino Linotype" w:eastAsia="Palatino Linotype" w:hAnsi="Palatino Linotype" w:cs="Palatino Linotype"/>
          <w:b/>
          <w:bCs/>
          <w:color w:val="000000" w:themeColor="text1"/>
        </w:rPr>
        <w:t>: “</w:t>
      </w:r>
      <w:r w:rsidR="0076601F" w:rsidRPr="0004272B">
        <w:rPr>
          <w:rFonts w:ascii="Palatino Linotype" w:eastAsia="Palatino Linotype" w:hAnsi="Palatino Linotype" w:cs="Palatino Linotype"/>
          <w:i/>
          <w:iCs/>
          <w:color w:val="000000" w:themeColor="text1"/>
        </w:rPr>
        <w:t>NO ENTREGA INFORMACION" (Sic)</w:t>
      </w:r>
    </w:p>
    <w:p w:rsidR="00095618" w:rsidRPr="0004272B" w:rsidRDefault="00095618" w:rsidP="0004272B">
      <w:pP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04272B">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04272B">
        <w:rPr>
          <w:rFonts w:ascii="Palatino Linotype" w:eastAsia="Palatino Linotype" w:hAnsi="Palatino Linotype" w:cs="Palatino Linotype"/>
          <w:color w:val="000000" w:themeColor="text1"/>
        </w:rPr>
        <w:t xml:space="preserve">se turna a la </w:t>
      </w:r>
      <w:r w:rsidRPr="0004272B">
        <w:rPr>
          <w:rFonts w:ascii="Palatino Linotype" w:eastAsia="Palatino Linotype" w:hAnsi="Palatino Linotype" w:cs="Palatino Linotype"/>
          <w:b/>
          <w:bCs/>
          <w:color w:val="000000" w:themeColor="text1"/>
        </w:rPr>
        <w:t xml:space="preserve">Comisionada María del Rosario Mejía Ayala, </w:t>
      </w:r>
      <w:r w:rsidRPr="0004272B">
        <w:rPr>
          <w:rFonts w:ascii="Palatino Linotype" w:eastAsia="Palatino Linotype" w:hAnsi="Palatino Linotype" w:cs="Palatino Linotype"/>
          <w:color w:val="000000" w:themeColor="text1"/>
        </w:rPr>
        <w:t xml:space="preserve">para su análisis.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B47E27"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76601F" w:rsidRPr="0004272B">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del </w:t>
      </w:r>
      <w:r w:rsidR="0076601F" w:rsidRPr="0004272B">
        <w:rPr>
          <w:rFonts w:ascii="Palatino Linotype" w:eastAsia="Palatino Linotype" w:hAnsi="Palatino Linotype" w:cs="Palatino Linotype"/>
          <w:b/>
          <w:bCs/>
          <w:color w:val="000000" w:themeColor="text1"/>
        </w:rPr>
        <w:t xml:space="preserve">diecinueve de junio de dos </w:t>
      </w:r>
      <w:r w:rsidR="0076601F" w:rsidRPr="0004272B">
        <w:rPr>
          <w:rFonts w:ascii="Palatino Linotype" w:eastAsia="Palatino Linotype" w:hAnsi="Palatino Linotype" w:cs="Palatino Linotype"/>
          <w:b/>
          <w:bCs/>
          <w:color w:val="000000" w:themeColor="text1"/>
        </w:rPr>
        <w:lastRenderedPageBreak/>
        <w:t>mil veinticinco</w:t>
      </w:r>
      <w:r w:rsidR="0076601F" w:rsidRPr="0004272B">
        <w:rPr>
          <w:rFonts w:ascii="Palatino Linotype" w:eastAsia="Palatino Linotype" w:hAnsi="Palatino Linotype" w:cs="Palatino Linotype"/>
          <w:color w:val="000000" w:themeColor="text1"/>
        </w:rPr>
        <w:t xml:space="preserve">, puso a disposición de las partes el expediente electrónico vía </w:t>
      </w:r>
      <w:r w:rsidR="0076601F" w:rsidRPr="0004272B">
        <w:rPr>
          <w:rFonts w:ascii="Palatino Linotype" w:eastAsia="Palatino Linotype" w:hAnsi="Palatino Linotype" w:cs="Palatino Linotype"/>
          <w:b/>
          <w:bCs/>
          <w:color w:val="000000" w:themeColor="text1"/>
        </w:rPr>
        <w:t xml:space="preserve">SAIMEX </w:t>
      </w:r>
      <w:r w:rsidR="0076601F" w:rsidRPr="0004272B">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corresponda al caso concreto, de esta forma para que el </w:t>
      </w:r>
      <w:r w:rsidR="0076601F" w:rsidRPr="0004272B">
        <w:rPr>
          <w:rFonts w:ascii="Palatino Linotype" w:eastAsia="Palatino Linotype" w:hAnsi="Palatino Linotype" w:cs="Palatino Linotype"/>
          <w:b/>
          <w:bCs/>
          <w:color w:val="000000" w:themeColor="text1"/>
        </w:rPr>
        <w:t>SUJETO OBLIGADO</w:t>
      </w:r>
      <w:r w:rsidR="0076601F" w:rsidRPr="0004272B">
        <w:rPr>
          <w:rFonts w:ascii="Palatino Linotype" w:eastAsia="Palatino Linotype" w:hAnsi="Palatino Linotype" w:cs="Palatino Linotype"/>
          <w:color w:val="000000" w:themeColor="text1"/>
        </w:rPr>
        <w:t xml:space="preserve"> presentará el informe justificado procedente. </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color w:val="000000" w:themeColor="text1"/>
        </w:rPr>
      </w:pPr>
      <w:r w:rsidRPr="0004272B">
        <w:rPr>
          <w:rFonts w:ascii="Palatino Linotype" w:eastAsia="Palatino Linotype" w:hAnsi="Palatino Linotype" w:cs="Palatino Linotype"/>
          <w:color w:val="000000" w:themeColor="text1"/>
        </w:rPr>
        <w:t xml:space="preserve">De las constancias del expediente electrónico SAIMEX se advierte que el Recurrente no realizó manifestaciones; por su parte, el Sujeto Obligado entregó informe justificado el </w:t>
      </w:r>
      <w:r w:rsidRPr="0004272B">
        <w:rPr>
          <w:rFonts w:ascii="Palatino Linotype" w:eastAsia="Palatino Linotype" w:hAnsi="Palatino Linotype" w:cs="Palatino Linotype"/>
          <w:b/>
          <w:bCs/>
          <w:color w:val="000000" w:themeColor="text1"/>
        </w:rPr>
        <w:t>veinticinco de junio de dos mil veinticinco</w:t>
      </w:r>
      <w:r w:rsidRPr="0004272B">
        <w:rPr>
          <w:rFonts w:ascii="Palatino Linotype" w:eastAsia="Palatino Linotype" w:hAnsi="Palatino Linotype" w:cs="Palatino Linotype"/>
          <w:color w:val="000000" w:themeColor="text1"/>
        </w:rPr>
        <w:t xml:space="preserve">, el cual se puso a la vista del particular el </w:t>
      </w:r>
      <w:r w:rsidRPr="0004272B">
        <w:rPr>
          <w:rFonts w:ascii="Palatino Linotype" w:eastAsia="Palatino Linotype" w:hAnsi="Palatino Linotype" w:cs="Palatino Linotype"/>
          <w:b/>
          <w:bCs/>
          <w:color w:val="000000" w:themeColor="text1"/>
        </w:rPr>
        <w:t>diecinueve de noviembre del mismo año</w:t>
      </w:r>
      <w:r w:rsidRPr="0004272B">
        <w:rPr>
          <w:rFonts w:ascii="Palatino Linotype" w:eastAsia="Palatino Linotype" w:hAnsi="Palatino Linotype" w:cs="Palatino Linotype"/>
          <w:color w:val="000000" w:themeColor="text1"/>
        </w:rPr>
        <w:t>, y que consta de los archivos que se describen enseguida:</w:t>
      </w:r>
    </w:p>
    <w:p w:rsidR="00095618" w:rsidRPr="0004272B" w:rsidRDefault="00674929" w:rsidP="00B47E27">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u w:val="single"/>
        </w:rPr>
      </w:pPr>
      <w:hyperlink r:id="rId10">
        <w:r w:rsidR="0076601F" w:rsidRPr="0004272B">
          <w:rPr>
            <w:rFonts w:ascii="Palatino Linotype" w:eastAsia="Palatino Linotype" w:hAnsi="Palatino Linotype" w:cs="Palatino Linotype"/>
            <w:b/>
            <w:bCs/>
            <w:color w:val="000000" w:themeColor="text1"/>
            <w:u w:val="single"/>
          </w:rPr>
          <w:t>IJ 7328 2025.pdf</w:t>
        </w:r>
      </w:hyperlink>
      <w:r w:rsidR="0076601F" w:rsidRPr="0004272B">
        <w:rPr>
          <w:rFonts w:ascii="Palatino Linotype" w:eastAsia="Palatino Linotype" w:hAnsi="Palatino Linotype" w:cs="Palatino Linotype"/>
          <w:color w:val="000000" w:themeColor="text1"/>
        </w:rPr>
        <w:t xml:space="preserve">: informe justificado suscrito por el Titular de la Unidad de Transparencia, quien señaló dos ligas electrónicas para consultar la información solicitada. </w:t>
      </w:r>
    </w:p>
    <w:p w:rsidR="00095618" w:rsidRPr="0004272B" w:rsidRDefault="00674929" w:rsidP="00B47E27">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hyperlink r:id="rId11">
        <w:r w:rsidR="0076601F" w:rsidRPr="0004272B">
          <w:rPr>
            <w:rFonts w:ascii="Palatino Linotype" w:eastAsia="Palatino Linotype" w:hAnsi="Palatino Linotype" w:cs="Palatino Linotype"/>
            <w:b/>
            <w:bCs/>
            <w:color w:val="000000" w:themeColor="text1"/>
            <w:u w:val="single"/>
          </w:rPr>
          <w:t>CONTRALORIA 320.pdf</w:t>
        </w:r>
      </w:hyperlink>
      <w:r w:rsidR="0076601F" w:rsidRPr="0004272B">
        <w:rPr>
          <w:rFonts w:ascii="Palatino Linotype" w:eastAsia="Palatino Linotype" w:hAnsi="Palatino Linotype" w:cs="Palatino Linotype"/>
          <w:color w:val="000000" w:themeColor="text1"/>
        </w:rPr>
        <w:t xml:space="preserve">: oficio número ZIN/OICM/454/2025 de fecha diecinueve de junio de dos mil veinticinco, suscrito por el Contralor Municipal, quien ratificó su respuesta.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w:t>
      </w:r>
      <w:r w:rsidRPr="0004272B">
        <w:rPr>
          <w:rFonts w:ascii="Palatino Linotype" w:eastAsia="Palatino Linotype" w:hAnsi="Palatino Linotype" w:cs="Palatino Linotype"/>
          <w:b/>
          <w:bCs/>
          <w:color w:val="000000" w:themeColor="text1"/>
        </w:rPr>
        <w:t>diecinueve de noviembre de dos mil veinticinco</w:t>
      </w:r>
      <w:r w:rsidRPr="0004272B">
        <w:rPr>
          <w:rFonts w:ascii="Palatino Linotype" w:eastAsia="Palatino Linotype" w:hAnsi="Palatino Linotype" w:cs="Palatino Linotype"/>
          <w:color w:val="000000" w:themeColor="text1"/>
        </w:rPr>
        <w:t xml:space="preserve">, se notificó el acuerdo mediante el cual se aprobó la ampliación de plazo para emitir resolución. </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B47E27"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w:t>
      </w:r>
      <w:r w:rsidRPr="0004272B">
        <w:rPr>
          <w:rFonts w:ascii="Palatino Linotype" w:eastAsia="Palatino Linotype" w:hAnsi="Palatino Linotype" w:cs="Palatino Linotype"/>
          <w:b/>
          <w:bCs/>
          <w:color w:val="000000" w:themeColor="text1"/>
        </w:rPr>
        <w:t>veinticinco de noviembre de dos mil veinticinco</w:t>
      </w:r>
      <w:r w:rsidRPr="0004272B">
        <w:rPr>
          <w:rFonts w:ascii="Palatino Linotype" w:eastAsia="Palatino Linotype" w:hAnsi="Palatino Linotype" w:cs="Palatino Linotype"/>
          <w:color w:val="000000" w:themeColor="text1"/>
        </w:rPr>
        <w:t>, se notificó el acuerdo mediante el cual se decretó el cierre de instrucción.</w:t>
      </w:r>
      <w:r w:rsidR="00B47E27">
        <w:rPr>
          <w:rFonts w:ascii="Palatino Linotype" w:eastAsia="Palatino Linotype" w:hAnsi="Palatino Linotype" w:cs="Palatino Linotype"/>
          <w:color w:val="000000" w:themeColor="text1"/>
        </w:rPr>
        <w:t xml:space="preserve"> -------------------------------------------------------------------</w:t>
      </w:r>
    </w:p>
    <w:p w:rsidR="00B47E27" w:rsidRDefault="00B47E27" w:rsidP="00B47E27">
      <w:pPr>
        <w:pStyle w:val="Prrafodelista"/>
        <w:rPr>
          <w:rFonts w:ascii="Palatino Linotype" w:eastAsia="Palatino Linotype" w:hAnsi="Palatino Linotype" w:cs="Palatino Linotype"/>
          <w:color w:val="000000" w:themeColor="text1"/>
        </w:rPr>
      </w:pPr>
    </w:p>
    <w:p w:rsidR="00B47E27" w:rsidRDefault="00B47E27" w:rsidP="00B47E2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7E27" w:rsidRDefault="00B47E27" w:rsidP="00B47E2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B47E2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 </w:t>
      </w:r>
    </w:p>
    <w:p w:rsidR="00095618" w:rsidRPr="0004272B" w:rsidRDefault="00095618" w:rsidP="0004272B">
      <w:pPr>
        <w:spacing w:line="360" w:lineRule="auto"/>
        <w:rPr>
          <w:rFonts w:ascii="Palatino Linotype" w:eastAsia="Palatino Linotype" w:hAnsi="Palatino Linotype" w:cs="Palatino Linotype"/>
          <w:color w:val="000000" w:themeColor="text1"/>
        </w:rPr>
      </w:pPr>
    </w:p>
    <w:p w:rsidR="00095618" w:rsidRPr="0004272B" w:rsidRDefault="0076601F" w:rsidP="0004272B">
      <w:pPr>
        <w:spacing w:line="360" w:lineRule="auto"/>
        <w:jc w:val="center"/>
        <w:rPr>
          <w:rFonts w:ascii="Palatino Linotype" w:eastAsia="Palatino Linotype" w:hAnsi="Palatino Linotype" w:cs="Palatino Linotype"/>
          <w:color w:val="000000" w:themeColor="text1"/>
        </w:rPr>
      </w:pPr>
      <w:bookmarkStart w:id="2" w:name="_heading=h.1fob9te" w:colFirst="0" w:colLast="0"/>
      <w:bookmarkEnd w:id="2"/>
      <w:r w:rsidRPr="0004272B">
        <w:rPr>
          <w:rFonts w:ascii="Palatino Linotype" w:eastAsia="Palatino Linotype" w:hAnsi="Palatino Linotype" w:cs="Palatino Linotype"/>
          <w:b/>
          <w:bCs/>
          <w:color w:val="000000" w:themeColor="text1"/>
        </w:rPr>
        <w:lastRenderedPageBreak/>
        <w:t>C O N S I D E R A N D O</w:t>
      </w:r>
    </w:p>
    <w:p w:rsidR="00095618" w:rsidRPr="0004272B" w:rsidRDefault="00095618" w:rsidP="0004272B">
      <w:pPr>
        <w:spacing w:line="360" w:lineRule="auto"/>
        <w:jc w:val="center"/>
        <w:rPr>
          <w:rFonts w:ascii="Palatino Linotype" w:eastAsia="Palatino Linotype" w:hAnsi="Palatino Linotype" w:cs="Palatino Linotype"/>
          <w:color w:val="000000" w:themeColor="text1"/>
        </w:rPr>
      </w:pPr>
    </w:p>
    <w:p w:rsidR="00095618" w:rsidRPr="0004272B" w:rsidRDefault="0076601F" w:rsidP="0004272B">
      <w:pPr>
        <w:spacing w:line="360" w:lineRule="auto"/>
        <w:jc w:val="both"/>
        <w:rPr>
          <w:rFonts w:ascii="Palatino Linotype" w:eastAsia="Palatino Linotype" w:hAnsi="Palatino Linotype" w:cs="Palatino Linotype"/>
          <w:b/>
          <w:bCs/>
          <w:color w:val="000000" w:themeColor="text1"/>
        </w:rPr>
      </w:pPr>
      <w:bookmarkStart w:id="3" w:name="_heading=h.3znysh7" w:colFirst="0" w:colLast="0"/>
      <w:bookmarkEnd w:id="3"/>
      <w:r w:rsidRPr="0004272B">
        <w:rPr>
          <w:rFonts w:ascii="Palatino Linotype" w:eastAsia="Palatino Linotype" w:hAnsi="Palatino Linotype" w:cs="Palatino Linotype"/>
          <w:b/>
          <w:bCs/>
          <w:color w:val="000000" w:themeColor="text1"/>
        </w:rPr>
        <w:t>PRIMERO. De la competencia</w:t>
      </w:r>
    </w:p>
    <w:p w:rsidR="00095618" w:rsidRPr="0004272B" w:rsidRDefault="0076601F" w:rsidP="0004272B">
      <w:pPr>
        <w:numPr>
          <w:ilvl w:val="0"/>
          <w:numId w:val="3"/>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095618" w:rsidRPr="0004272B" w:rsidRDefault="00095618" w:rsidP="0004272B">
      <w:pPr>
        <w:keepNext/>
        <w:keepLines/>
        <w:spacing w:line="360" w:lineRule="auto"/>
        <w:rPr>
          <w:rFonts w:ascii="Palatino Linotype" w:eastAsia="Palatino Linotype" w:hAnsi="Palatino Linotype" w:cs="Palatino Linotype"/>
          <w:color w:val="000000" w:themeColor="text1"/>
        </w:rPr>
      </w:pPr>
      <w:bookmarkStart w:id="4" w:name="_heading=h.2et92p0" w:colFirst="0" w:colLast="0"/>
      <w:bookmarkEnd w:id="4"/>
    </w:p>
    <w:p w:rsidR="00095618" w:rsidRPr="0004272B" w:rsidRDefault="0076601F" w:rsidP="0004272B">
      <w:pPr>
        <w:keepNext/>
        <w:keepLines/>
        <w:spacing w:line="360" w:lineRule="auto"/>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SEGUNDO. De la oportunidad y procedencia.</w:t>
      </w: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medio de impugnación fue presentado a través del </w:t>
      </w:r>
      <w:r w:rsidRPr="0004272B">
        <w:rPr>
          <w:rFonts w:ascii="Palatino Linotype" w:eastAsia="Palatino Linotype" w:hAnsi="Palatino Linotype" w:cs="Palatino Linotype"/>
          <w:b/>
          <w:bCs/>
          <w:color w:val="000000" w:themeColor="text1"/>
        </w:rPr>
        <w:t>SAIMEX,</w:t>
      </w:r>
      <w:r w:rsidRPr="0004272B">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04272B">
        <w:rPr>
          <w:rFonts w:ascii="Palatino Linotype" w:eastAsia="Palatino Linotype" w:hAnsi="Palatino Linotype" w:cs="Palatino Linotype"/>
          <w:b/>
          <w:bCs/>
          <w:color w:val="000000" w:themeColor="text1"/>
        </w:rPr>
        <w:t>SUJETO OBLIGADO</w:t>
      </w:r>
      <w:r w:rsidRPr="0004272B">
        <w:rPr>
          <w:rFonts w:ascii="Palatino Linotype" w:eastAsia="Palatino Linotype" w:hAnsi="Palatino Linotype" w:cs="Palatino Linotype"/>
          <w:color w:val="000000" w:themeColor="text1"/>
        </w:rPr>
        <w:t xml:space="preserve"> entregó respuesta a la solicitud el día </w:t>
      </w:r>
      <w:r w:rsidRPr="0004272B">
        <w:rPr>
          <w:rFonts w:ascii="Palatino Linotype" w:eastAsia="Palatino Linotype" w:hAnsi="Palatino Linotype" w:cs="Palatino Linotype"/>
          <w:b/>
          <w:bCs/>
          <w:color w:val="000000" w:themeColor="text1"/>
        </w:rPr>
        <w:t>veintiséis de mayo de dos mil veinticinco</w:t>
      </w:r>
      <w:r w:rsidRPr="0004272B">
        <w:rPr>
          <w:rFonts w:ascii="Palatino Linotype" w:eastAsia="Palatino Linotype" w:hAnsi="Palatino Linotype" w:cs="Palatino Linotype"/>
          <w:color w:val="000000" w:themeColor="text1"/>
        </w:rPr>
        <w:t>, de tal forma que el plazo para interponer el recurso de revisión transcurrió del</w:t>
      </w:r>
      <w:r w:rsidRPr="0004272B">
        <w:rPr>
          <w:rFonts w:ascii="Palatino Linotype" w:eastAsia="Palatino Linotype" w:hAnsi="Palatino Linotype" w:cs="Palatino Linotype"/>
          <w:b/>
          <w:bCs/>
          <w:color w:val="000000" w:themeColor="text1"/>
        </w:rPr>
        <w:t xml:space="preserve"> veintisiete de mayo al dieciséis de junio de dos mil veinticinco</w:t>
      </w:r>
      <w:r w:rsidRPr="0004272B">
        <w:rPr>
          <w:rFonts w:ascii="Palatino Linotype" w:eastAsia="Palatino Linotype" w:hAnsi="Palatino Linotype" w:cs="Palatino Linotype"/>
          <w:color w:val="000000" w:themeColor="text1"/>
        </w:rPr>
        <w:t xml:space="preserve">; en consecuencia, presentó su inconformidad el día </w:t>
      </w:r>
      <w:r w:rsidRPr="0004272B">
        <w:rPr>
          <w:rFonts w:ascii="Palatino Linotype" w:eastAsia="Palatino Linotype" w:hAnsi="Palatino Linotype" w:cs="Palatino Linotype"/>
          <w:b/>
          <w:bCs/>
          <w:color w:val="000000" w:themeColor="text1"/>
        </w:rPr>
        <w:t>dieciséis de junio de dos mil veinticinco</w:t>
      </w:r>
      <w:r w:rsidRPr="0004272B">
        <w:rPr>
          <w:rFonts w:ascii="Palatino Linotype" w:eastAsia="Palatino Linotype" w:hAnsi="Palatino Linotype" w:cs="Palatino Linotype"/>
          <w:color w:val="000000" w:themeColor="text1"/>
        </w:rPr>
        <w:t xml:space="preserve">, por lo que se encuentra dentro de los márgenes temporales previstos en el artículo 178 de la </w:t>
      </w:r>
      <w:r w:rsidRPr="0004272B">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04272B">
        <w:rPr>
          <w:rFonts w:ascii="Palatino Linotype" w:eastAsia="Palatino Linotype" w:hAnsi="Palatino Linotype" w:cs="Palatino Linotype"/>
          <w:color w:val="000000" w:themeColor="text1"/>
        </w:rPr>
        <w:t>vigente.</w:t>
      </w:r>
    </w:p>
    <w:p w:rsidR="00095618" w:rsidRPr="0004272B" w:rsidRDefault="0076601F" w:rsidP="0004272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lastRenderedPageBreak/>
        <w:t xml:space="preserve">Por otra parte, de la revisión al expediente electrónico del </w:t>
      </w:r>
      <w:r w:rsidRPr="0004272B">
        <w:rPr>
          <w:rFonts w:ascii="Palatino Linotype" w:eastAsia="Palatino Linotype" w:hAnsi="Palatino Linotype" w:cs="Palatino Linotype"/>
          <w:b/>
          <w:bCs/>
          <w:color w:val="000000" w:themeColor="text1"/>
        </w:rPr>
        <w:t>SAIMEX</w:t>
      </w:r>
      <w:r w:rsidRPr="0004272B">
        <w:rPr>
          <w:rFonts w:ascii="Palatino Linotype" w:eastAsia="Palatino Linotype" w:hAnsi="Palatino Linotype" w:cs="Palatino Linotype"/>
          <w:color w:val="000000" w:themeColor="text1"/>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04272B">
        <w:rPr>
          <w:rFonts w:ascii="Palatino Linotype" w:eastAsia="Palatino Linotype" w:hAnsi="Palatino Linotype" w:cs="Palatino Linotype"/>
          <w:color w:val="000000" w:themeColor="text1"/>
        </w:rPr>
        <w:lastRenderedPageBreak/>
        <w:t>inclusive, la solicitud de acceso a la información pueda ser anónima o no contener un nombre que identifique al solicitante o que permita tener certeza sobre su identidad.</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pStyle w:val="Ttulo1"/>
        <w:rPr>
          <w:rFonts w:ascii="Palatino Linotype" w:eastAsia="Palatino Linotype" w:hAnsi="Palatino Linotype" w:cs="Palatino Linotype"/>
          <w:b/>
          <w:bCs/>
          <w:color w:val="000000" w:themeColor="text1"/>
          <w:sz w:val="24"/>
          <w:szCs w:val="24"/>
        </w:rPr>
      </w:pPr>
      <w:r w:rsidRPr="0004272B">
        <w:rPr>
          <w:rFonts w:ascii="Palatino Linotype" w:eastAsia="Palatino Linotype" w:hAnsi="Palatino Linotype" w:cs="Palatino Linotype"/>
          <w:b/>
          <w:bCs/>
          <w:color w:val="000000" w:themeColor="text1"/>
          <w:sz w:val="24"/>
          <w:szCs w:val="24"/>
        </w:rPr>
        <w:t xml:space="preserve">TERCERO. Planteamiento de la Litis </w:t>
      </w:r>
    </w:p>
    <w:p w:rsidR="00095618" w:rsidRPr="0004272B" w:rsidRDefault="0076601F" w:rsidP="0004272B">
      <w:pPr>
        <w:numPr>
          <w:ilvl w:val="0"/>
          <w:numId w:val="3"/>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color w:val="000000" w:themeColor="text1"/>
        </w:rPr>
        <w:t xml:space="preserve">El recurrente solicitó copia </w:t>
      </w:r>
      <w:r w:rsidR="0004272B" w:rsidRPr="0004272B">
        <w:rPr>
          <w:rFonts w:ascii="Palatino Linotype" w:eastAsia="Palatino Linotype" w:hAnsi="Palatino Linotype" w:cs="Palatino Linotype"/>
          <w:color w:val="000000" w:themeColor="text1"/>
        </w:rPr>
        <w:t>íntegra</w:t>
      </w:r>
      <w:r w:rsidRPr="0004272B">
        <w:rPr>
          <w:rFonts w:ascii="Palatino Linotype" w:eastAsia="Palatino Linotype" w:hAnsi="Palatino Linotype" w:cs="Palatino Linotype"/>
          <w:color w:val="000000" w:themeColor="text1"/>
        </w:rPr>
        <w:t xml:space="preserve"> de los informes de auditorías internas realizadas entre enero de dos mil veintidós y abril de dos mil veinticuatro, así como las observaciones detectadas, recomendaciones emitidas y estado actual de su cumplimiento por parte de las áreas auditadas.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color w:val="000000" w:themeColor="text1"/>
        </w:rPr>
        <w:lastRenderedPageBreak/>
        <w:t xml:space="preserve">En respuesta, el Sujeto Obligado señaló tres ligas electrónicas en las que podía ser consultada la información solicitada; posteriormente, el Recurrente se inconformó por la negativa de la información.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095618" w:rsidRPr="0004272B" w:rsidRDefault="0076601F" w:rsidP="0004272B">
      <w:pPr>
        <w:numPr>
          <w:ilvl w:val="0"/>
          <w:numId w:val="3"/>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color w:val="000000" w:themeColor="text1"/>
        </w:rPr>
        <w:t>Por lo tanto, el presente recurso de revisión se circunscribe en determinar si se actualiza la causal de procedencia</w:t>
      </w:r>
      <w:r w:rsidRPr="0004272B">
        <w:rPr>
          <w:rFonts w:ascii="Palatino Linotype" w:eastAsia="Palatino Linotype" w:hAnsi="Palatino Linotype" w:cs="Palatino Linotype"/>
          <w:b/>
          <w:bCs/>
          <w:color w:val="000000" w:themeColor="text1"/>
        </w:rPr>
        <w:t xml:space="preserve"> </w:t>
      </w:r>
      <w:r w:rsidRPr="0004272B">
        <w:rPr>
          <w:rFonts w:ascii="Palatino Linotype" w:eastAsia="Palatino Linotype" w:hAnsi="Palatino Linotype" w:cs="Palatino Linotype"/>
          <w:color w:val="000000" w:themeColor="text1"/>
        </w:rPr>
        <w:t xml:space="preserve">contenida en el artículo 179 fracción  I, de la </w:t>
      </w:r>
      <w:r w:rsidRPr="0004272B">
        <w:rPr>
          <w:rFonts w:ascii="Palatino Linotype" w:eastAsia="Palatino Linotype" w:hAnsi="Palatino Linotype" w:cs="Palatino Linotype"/>
          <w:b/>
          <w:bCs/>
          <w:color w:val="000000" w:themeColor="text1"/>
        </w:rPr>
        <w:t>Ley de Transparencia y Acceso a la Información Pública del Estado de México y Municipios</w:t>
      </w:r>
      <w:r w:rsidRPr="0004272B">
        <w:rPr>
          <w:rFonts w:ascii="Palatino Linotype" w:eastAsia="Palatino Linotype" w:hAnsi="Palatino Linotype" w:cs="Palatino Linotype"/>
          <w:color w:val="000000" w:themeColor="text1"/>
        </w:rPr>
        <w:t>, relativo a la negativa de la información.</w:t>
      </w:r>
    </w:p>
    <w:p w:rsidR="00095618" w:rsidRPr="0004272B" w:rsidRDefault="0076601F" w:rsidP="0004272B">
      <w:pPr>
        <w:pStyle w:val="Ttulo2"/>
        <w:tabs>
          <w:tab w:val="left" w:pos="426"/>
        </w:tabs>
        <w:rPr>
          <w:rFonts w:ascii="Palatino Linotype" w:eastAsia="Palatino Linotype" w:hAnsi="Palatino Linotype" w:cs="Palatino Linotype"/>
          <w:b/>
          <w:bCs/>
          <w:color w:val="000000" w:themeColor="text1"/>
          <w:sz w:val="24"/>
          <w:szCs w:val="24"/>
        </w:rPr>
      </w:pPr>
      <w:bookmarkStart w:id="5" w:name="_heading=h.f4dcac4cvl5x" w:colFirst="0" w:colLast="0"/>
      <w:bookmarkEnd w:id="5"/>
      <w:r w:rsidRPr="0004272B">
        <w:rPr>
          <w:rFonts w:ascii="Palatino Linotype" w:eastAsia="Palatino Linotype" w:hAnsi="Palatino Linotype" w:cs="Palatino Linotype"/>
          <w:b/>
          <w:bCs/>
          <w:color w:val="000000" w:themeColor="text1"/>
          <w:sz w:val="24"/>
          <w:szCs w:val="24"/>
        </w:rPr>
        <w:t>CUARTO. Estudio y Resolución del asunto.</w:t>
      </w: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En el presente caso, el Recurrente solicitó copia íntegra de los informes de auditorías internas realizadas entre enero de dos mil veintidós y abril de dos mil veinticuatro, así como las observaciones detectadas, recomendaciones emitidas y estado actual de su cumplimiento por parte de las áreas auditadas. En respuesta, el Sujeto Obligado señaló tres ligas electrónicas en las que se puede consultar la información requerida. En ese sentido, primeramente, se precisa que se obvia el análisis de la competencia por parte del </w:t>
      </w:r>
      <w:r w:rsidRPr="0004272B">
        <w:rPr>
          <w:rFonts w:ascii="Palatino Linotype" w:eastAsia="Palatino Linotype" w:hAnsi="Palatino Linotype" w:cs="Palatino Linotype"/>
          <w:b/>
          <w:bCs/>
          <w:color w:val="000000" w:themeColor="text1"/>
        </w:rPr>
        <w:t>SUJETO OBLIGADO</w:t>
      </w:r>
      <w:r w:rsidRPr="0004272B">
        <w:rPr>
          <w:rFonts w:ascii="Palatino Linotype" w:eastAsia="Palatino Linotype" w:hAnsi="Palatino Linotype" w:cs="Palatino Linotype"/>
          <w:color w:val="000000" w:themeColor="text1"/>
        </w:rPr>
        <w:t xml:space="preserve">, para generar, administrar o poseer la información solicitada, dado que éste ha asumido la misma, en razón de que en su respuesta admitió contar con dicha información. </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6" w:name="_heading=h.hhkqcn5staie" w:colFirst="0" w:colLast="0"/>
      <w:bookmarkEnd w:id="6"/>
      <w:r w:rsidRPr="0004272B">
        <w:rPr>
          <w:rFonts w:ascii="Palatino Linotype" w:eastAsia="Palatino Linotype" w:hAnsi="Palatino Linotype" w:cs="Palatino Linotype"/>
          <w:color w:val="000000" w:themeColor="text1"/>
        </w:rPr>
        <w:lastRenderedPageBreak/>
        <w:t xml:space="preserve">En efecto, el hecho de que </w:t>
      </w:r>
      <w:r w:rsidRPr="0004272B">
        <w:rPr>
          <w:rFonts w:ascii="Palatino Linotype" w:eastAsia="Palatino Linotype" w:hAnsi="Palatino Linotype" w:cs="Palatino Linotype"/>
          <w:b/>
          <w:bCs/>
          <w:color w:val="000000" w:themeColor="text1"/>
        </w:rPr>
        <w:t>EL SUJETO OBLIGADO</w:t>
      </w:r>
      <w:r w:rsidRPr="0004272B">
        <w:rPr>
          <w:rFonts w:ascii="Palatino Linotype" w:eastAsia="Palatino Linotype" w:hAnsi="Palatino Linotype" w:cs="Palatino Linotype"/>
          <w:color w:val="000000" w:themeColor="text1"/>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095618" w:rsidRPr="0004272B" w:rsidRDefault="0076601F" w:rsidP="0004272B">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w:t>
      </w:r>
      <w:r w:rsidRPr="0004272B">
        <w:rPr>
          <w:rFonts w:ascii="Palatino Linotype" w:eastAsia="Palatino Linotype" w:hAnsi="Palatino Linotype" w:cs="Palatino Linotype"/>
          <w:b/>
          <w:bCs/>
          <w:i/>
          <w:iCs/>
          <w:color w:val="000000" w:themeColor="text1"/>
        </w:rPr>
        <w:t>Artículo 12.</w:t>
      </w:r>
      <w:r w:rsidRPr="0004272B">
        <w:rPr>
          <w:rFonts w:ascii="Palatino Linotype" w:eastAsia="Palatino Linotype" w:hAnsi="Palatino Linotype" w:cs="Palatino Linotype"/>
          <w:i/>
          <w:iCs/>
          <w:color w:val="000000" w:themeColor="text1"/>
        </w:rPr>
        <w:t> Quienes generen, recopilen, administren, manejen, procesen, archiven o conserven información pública serán responsables de la misma en los términos de las disposiciones jurídicas aplicables.</w:t>
      </w:r>
    </w:p>
    <w:p w:rsidR="00095618" w:rsidRPr="0004272B" w:rsidRDefault="00095618" w:rsidP="0004272B">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p>
    <w:p w:rsidR="00095618" w:rsidRPr="0004272B" w:rsidRDefault="0076601F" w:rsidP="0004272B">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95618" w:rsidRPr="0004272B" w:rsidRDefault="00095618" w:rsidP="0004272B">
      <w:pPr>
        <w:pBdr>
          <w:top w:val="nil"/>
          <w:left w:val="nil"/>
          <w:bottom w:val="nil"/>
          <w:right w:val="nil"/>
          <w:between w:val="nil"/>
        </w:pBdr>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Así, el estudio de la naturaleza jurídica de la información pública solicitada, tiene por objeto determinar si ésta la genera, posee o administra </w:t>
      </w:r>
      <w:r w:rsidRPr="0004272B">
        <w:rPr>
          <w:rFonts w:ascii="Palatino Linotype" w:eastAsia="Palatino Linotype" w:hAnsi="Palatino Linotype" w:cs="Palatino Linotype"/>
          <w:b/>
          <w:bCs/>
          <w:color w:val="000000" w:themeColor="text1"/>
        </w:rPr>
        <w:t>EL SUJETO OBLIGADO</w:t>
      </w:r>
      <w:r w:rsidRPr="0004272B">
        <w:rPr>
          <w:rFonts w:ascii="Palatino Linotype" w:eastAsia="Palatino Linotype" w:hAnsi="Palatino Linotype" w:cs="Palatino Linotype"/>
          <w:color w:val="000000" w:themeColor="text1"/>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04272B">
        <w:rPr>
          <w:rFonts w:ascii="Palatino Linotype" w:eastAsia="Palatino Linotype" w:hAnsi="Palatino Linotype" w:cs="Palatino Linotype"/>
          <w:i/>
          <w:iCs/>
          <w:color w:val="000000" w:themeColor="text1"/>
        </w:rPr>
        <w:t xml:space="preserve">en el ámbito de sus atribuciones, de promover, respetar, proteger y </w:t>
      </w:r>
      <w:r w:rsidRPr="0004272B">
        <w:rPr>
          <w:rFonts w:ascii="Palatino Linotype" w:eastAsia="Palatino Linotype" w:hAnsi="Palatino Linotype" w:cs="Palatino Linotype"/>
          <w:b/>
          <w:bCs/>
          <w:i/>
          <w:iCs/>
          <w:color w:val="000000" w:themeColor="text1"/>
        </w:rPr>
        <w:t>garantizar</w:t>
      </w:r>
      <w:r w:rsidRPr="0004272B">
        <w:rPr>
          <w:rFonts w:ascii="Palatino Linotype" w:eastAsia="Palatino Linotype" w:hAnsi="Palatino Linotype" w:cs="Palatino Linotype"/>
          <w:i/>
          <w:iCs/>
          <w:color w:val="000000" w:themeColor="text1"/>
        </w:rPr>
        <w:t xml:space="preserve"> los derechos humanos. </w:t>
      </w:r>
      <w:r w:rsidRPr="0004272B">
        <w:rPr>
          <w:rFonts w:ascii="Palatino Linotype" w:eastAsia="Palatino Linotype" w:hAnsi="Palatino Linotype" w:cs="Palatino Linotype"/>
          <w:b/>
          <w:bCs/>
          <w:i/>
          <w:iCs/>
          <w:color w:val="000000" w:themeColor="text1"/>
        </w:rPr>
        <w:t xml:space="preserve">En cuanto al derecho de acceso a la información, la Ley de Transparencia y Acceso a la Información Pública del Estado de México y Municipios prevé </w:t>
      </w:r>
      <w:r w:rsidRPr="0004272B">
        <w:rPr>
          <w:rFonts w:ascii="Palatino Linotype" w:eastAsia="Palatino Linotype" w:hAnsi="Palatino Linotype" w:cs="Palatino Linotype"/>
          <w:b/>
          <w:bCs/>
          <w:i/>
          <w:iCs/>
          <w:color w:val="000000" w:themeColor="text1"/>
        </w:rPr>
        <w:lastRenderedPageBreak/>
        <w:t>establece que e</w:t>
      </w:r>
      <w:r w:rsidRPr="0004272B">
        <w:rPr>
          <w:rFonts w:ascii="Palatino Linotype" w:eastAsia="Palatino Linotype" w:hAnsi="Palatino Linotype" w:cs="Palatino Linotype"/>
          <w:i/>
          <w:iCs/>
          <w:color w:val="000000" w:themeColor="text1"/>
        </w:rPr>
        <w:t>l procedimiento de acceso a la información es la garantía primaria del derecho en cuestión y se rige por los principios de simplicidad, rapidez y gratuidad del procedimiento, auxilio y orientación a los particulares</w:t>
      </w:r>
      <w:r w:rsidRPr="0004272B">
        <w:rPr>
          <w:rFonts w:ascii="Palatino Linotype" w:eastAsia="Palatino Linotype" w:hAnsi="Palatino Linotype" w:cs="Palatino Linotype"/>
          <w:i/>
          <w:iCs/>
          <w:color w:val="000000" w:themeColor="text1"/>
          <w:vertAlign w:val="superscript"/>
        </w:rPr>
        <w:footnoteReference w:id="1"/>
      </w:r>
      <w:r w:rsidRPr="0004272B">
        <w:rPr>
          <w:rFonts w:ascii="Palatino Linotype" w:eastAsia="Palatino Linotype" w:hAnsi="Palatino Linotype" w:cs="Palatino Linotype"/>
          <w:i/>
          <w:iCs/>
          <w:color w:val="000000" w:themeColor="text1"/>
        </w:rPr>
        <w:t xml:space="preserve">, </w:t>
      </w:r>
      <w:r w:rsidRPr="0004272B">
        <w:rPr>
          <w:rFonts w:ascii="Palatino Linotype" w:eastAsia="Palatino Linotype" w:hAnsi="Palatino Linotype" w:cs="Palatino Linotype"/>
          <w:color w:val="000000" w:themeColor="text1"/>
        </w:rPr>
        <w:t>asimismo establece</w:t>
      </w:r>
      <w:r w:rsidRPr="0004272B">
        <w:rPr>
          <w:rFonts w:ascii="Palatino Linotype" w:eastAsia="Palatino Linotype" w:hAnsi="Palatino Linotype" w:cs="Palatino Linotype"/>
          <w:i/>
          <w:iCs/>
          <w:color w:val="000000" w:themeColor="text1"/>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Es así que, su obligación es </w:t>
      </w:r>
      <w:r w:rsidRPr="0004272B">
        <w:rPr>
          <w:rFonts w:ascii="Palatino Linotype" w:eastAsia="Palatino Linotype" w:hAnsi="Palatino Linotype" w:cs="Palatino Linotype"/>
          <w:i/>
          <w:iCs/>
          <w:color w:val="000000" w:themeColor="text1"/>
        </w:rPr>
        <w:t>realizar, con efectividad, los trámites internos necesarios para la atención de las solicitudes de información</w:t>
      </w:r>
      <w:r w:rsidRPr="0004272B">
        <w:rPr>
          <w:rFonts w:ascii="Palatino Linotype" w:eastAsia="Palatino Linotype" w:hAnsi="Palatino Linotype" w:cs="Palatino Linotype"/>
          <w:color w:val="000000" w:themeColor="text1"/>
          <w:vertAlign w:val="superscript"/>
        </w:rPr>
        <w:footnoteReference w:id="2"/>
      </w:r>
      <w:r w:rsidRPr="0004272B">
        <w:rPr>
          <w:rFonts w:ascii="Palatino Linotype" w:eastAsia="Palatino Linotype" w:hAnsi="Palatino Linotype" w:cs="Palatino Linotype"/>
          <w:color w:val="000000" w:themeColor="text1"/>
        </w:rPr>
        <w:t>, es decir, deben otorgar respuestas concisas, contundentes y sobre todo que den la certeza de los actos que realizan.</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lastRenderedPageBreak/>
        <w:t xml:space="preserve">Artículo 50. </w:t>
      </w:r>
      <w:r w:rsidRPr="0004272B">
        <w:rPr>
          <w:rFonts w:ascii="Palatino Linotype" w:eastAsia="Palatino Linotype" w:hAnsi="Palatino Linotype" w:cs="Palatino Linotype"/>
          <w:i/>
          <w:iCs/>
          <w:color w:val="000000" w:themeColor="text1"/>
        </w:rPr>
        <w:t>Los sujetos obligados contarán con un área responsable para la atención de las solicitudes de información, a la que se le denominará Unidad de Transparencia.</w:t>
      </w:r>
    </w:p>
    <w:p w:rsidR="00095618" w:rsidRPr="0004272B" w:rsidRDefault="00095618" w:rsidP="0004272B">
      <w:pPr>
        <w:jc w:val="both"/>
        <w:rPr>
          <w:rFonts w:ascii="Palatino Linotype" w:eastAsia="Palatino Linotype" w:hAnsi="Palatino Linotype" w:cs="Palatino Linotype"/>
          <w:i/>
          <w:iCs/>
          <w:color w:val="000000" w:themeColor="text1"/>
        </w:rPr>
      </w:pP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 xml:space="preserve">Artículo 53. </w:t>
      </w:r>
      <w:r w:rsidRPr="0004272B">
        <w:rPr>
          <w:rFonts w:ascii="Palatino Linotype" w:eastAsia="Palatino Linotype" w:hAnsi="Palatino Linotype" w:cs="Palatino Linotype"/>
          <w:i/>
          <w:iCs/>
          <w:color w:val="000000" w:themeColor="text1"/>
        </w:rPr>
        <w:t>Las Unidades de Transparencia tendrán las siguientes funciones:</w:t>
      </w: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w:t>
      </w: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II.</w:t>
      </w:r>
      <w:r w:rsidRPr="0004272B">
        <w:rPr>
          <w:rFonts w:ascii="Palatino Linotype" w:eastAsia="Palatino Linotype" w:hAnsi="Palatino Linotype" w:cs="Palatino Linotype"/>
          <w:i/>
          <w:iCs/>
          <w:color w:val="000000" w:themeColor="text1"/>
        </w:rPr>
        <w:t xml:space="preserve"> Recibir, tramitar y dar respuesta a las solicitudes de acceso a la información;</w:t>
      </w: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w:t>
      </w: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IV.</w:t>
      </w:r>
      <w:r w:rsidRPr="0004272B">
        <w:rPr>
          <w:rFonts w:ascii="Palatino Linotype" w:eastAsia="Palatino Linotype" w:hAnsi="Palatino Linotype" w:cs="Palatino Linotype"/>
          <w:i/>
          <w:iCs/>
          <w:color w:val="000000" w:themeColor="text1"/>
        </w:rPr>
        <w:t xml:space="preserve"> Realizar, con efectividad, los trámites internos necesarios para la atención de las solicitudes de acceso a la información;</w:t>
      </w: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V.</w:t>
      </w:r>
      <w:r w:rsidRPr="0004272B">
        <w:rPr>
          <w:rFonts w:ascii="Palatino Linotype" w:eastAsia="Palatino Linotype" w:hAnsi="Palatino Linotype" w:cs="Palatino Linotype"/>
          <w:i/>
          <w:iCs/>
          <w:color w:val="000000" w:themeColor="text1"/>
        </w:rPr>
        <w:t xml:space="preserve"> Entregar, en su caso, a los particulares la información solicitada;</w:t>
      </w: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w:t>
      </w:r>
    </w:p>
    <w:p w:rsidR="00095618" w:rsidRPr="0004272B" w:rsidRDefault="00095618" w:rsidP="0004272B">
      <w:pPr>
        <w:jc w:val="both"/>
        <w:rPr>
          <w:rFonts w:ascii="Palatino Linotype" w:eastAsia="Palatino Linotype" w:hAnsi="Palatino Linotype" w:cs="Palatino Linotype"/>
          <w:i/>
          <w:iCs/>
          <w:color w:val="000000" w:themeColor="text1"/>
        </w:rPr>
      </w:pP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 xml:space="preserve">Artículo 58. </w:t>
      </w:r>
      <w:r w:rsidRPr="0004272B">
        <w:rPr>
          <w:rFonts w:ascii="Palatino Linotype" w:eastAsia="Palatino Linotype" w:hAnsi="Palatino Linotype" w:cs="Palatino Linotype"/>
          <w:i/>
          <w:iCs/>
          <w:color w:val="000000" w:themeColor="text1"/>
        </w:rPr>
        <w:t>Los servidores públicos habilitados serán designados por el titular del sujeto obligado a propuesta del responsable de la Unidad de Transparencia.</w:t>
      </w:r>
    </w:p>
    <w:p w:rsidR="00095618" w:rsidRPr="0004272B" w:rsidRDefault="00095618" w:rsidP="0004272B">
      <w:pPr>
        <w:jc w:val="both"/>
        <w:rPr>
          <w:rFonts w:ascii="Palatino Linotype" w:eastAsia="Palatino Linotype" w:hAnsi="Palatino Linotype" w:cs="Palatino Linotype"/>
          <w:i/>
          <w:iCs/>
          <w:color w:val="000000" w:themeColor="text1"/>
        </w:rPr>
      </w:pP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 xml:space="preserve">Artículo 59. </w:t>
      </w:r>
      <w:r w:rsidRPr="0004272B">
        <w:rPr>
          <w:rFonts w:ascii="Palatino Linotype" w:eastAsia="Palatino Linotype" w:hAnsi="Palatino Linotype" w:cs="Palatino Linotype"/>
          <w:i/>
          <w:iCs/>
          <w:color w:val="000000" w:themeColor="text1"/>
        </w:rPr>
        <w:t>Los servidores públicos habilitados tendrán las funciones siguientes:</w:t>
      </w:r>
    </w:p>
    <w:p w:rsidR="00095618" w:rsidRPr="0004272B" w:rsidRDefault="00095618" w:rsidP="0004272B">
      <w:pPr>
        <w:jc w:val="both"/>
        <w:rPr>
          <w:rFonts w:ascii="Palatino Linotype" w:eastAsia="Palatino Linotype" w:hAnsi="Palatino Linotype" w:cs="Palatino Linotype"/>
          <w:i/>
          <w:iCs/>
          <w:color w:val="000000" w:themeColor="text1"/>
        </w:rPr>
      </w:pP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I.</w:t>
      </w:r>
      <w:r w:rsidRPr="0004272B">
        <w:rPr>
          <w:rFonts w:ascii="Palatino Linotype" w:eastAsia="Palatino Linotype" w:hAnsi="Palatino Linotype" w:cs="Palatino Linotype"/>
          <w:i/>
          <w:iCs/>
          <w:color w:val="000000" w:themeColor="text1"/>
        </w:rPr>
        <w:t xml:space="preserve"> Localizar la información que le solicite la Unidad de Transparencia;</w:t>
      </w: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II.</w:t>
      </w:r>
      <w:r w:rsidRPr="0004272B">
        <w:rPr>
          <w:rFonts w:ascii="Palatino Linotype" w:eastAsia="Palatino Linotype" w:hAnsi="Palatino Linotype" w:cs="Palatino Linotype"/>
          <w:i/>
          <w:iCs/>
          <w:color w:val="000000" w:themeColor="text1"/>
        </w:rPr>
        <w:t xml:space="preserve"> Proporcionar la información que obre en los archivos y que le sea solicitada por la Unidad de Transparencia;</w:t>
      </w: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w:t>
      </w:r>
    </w:p>
    <w:p w:rsidR="00095618" w:rsidRPr="0004272B" w:rsidRDefault="00095618" w:rsidP="0004272B">
      <w:pPr>
        <w:jc w:val="both"/>
        <w:rPr>
          <w:rFonts w:ascii="Palatino Linotype" w:eastAsia="Palatino Linotype" w:hAnsi="Palatino Linotype" w:cs="Palatino Linotype"/>
          <w:i/>
          <w:iCs/>
          <w:color w:val="000000" w:themeColor="text1"/>
        </w:rPr>
      </w:pPr>
    </w:p>
    <w:p w:rsidR="00095618" w:rsidRPr="0004272B" w:rsidRDefault="0076601F" w:rsidP="0004272B">
      <w:pPr>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 xml:space="preserve">Artículo 162. </w:t>
      </w:r>
      <w:r w:rsidRPr="0004272B">
        <w:rPr>
          <w:rFonts w:ascii="Palatino Linotype" w:eastAsia="Palatino Linotype" w:hAnsi="Palatino Linotype" w:cs="Palatino Linotype"/>
          <w:i/>
          <w:iCs/>
          <w:color w:val="000000" w:themeColor="text1"/>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95618" w:rsidRPr="0004272B" w:rsidRDefault="00095618" w:rsidP="0004272B">
      <w:pP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w:t>
      </w:r>
      <w:r w:rsidRPr="0004272B">
        <w:rPr>
          <w:rFonts w:ascii="Palatino Linotype" w:eastAsia="Palatino Linotype" w:hAnsi="Palatino Linotype" w:cs="Palatino Linotype"/>
          <w:color w:val="000000" w:themeColor="text1"/>
        </w:rPr>
        <w:lastRenderedPageBreak/>
        <w:t>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En el caso que se resuelve, la respuesta fue emitida por la Contraloría Municipal, quien de acuerdo al artículo 7, fracción I y II del Reglamento Interno del Órgano Interno de Control Municipal de Zinacantepec, es el área encargada de establecer los objetivos, normas, políticas y lineamientos generales para la formulación y ejecución de las acciones de auditoría, así como  de autorizar las auditorías, supervisiones, inspecciones, evaluaciones y otras acciones de control, con el objeto de verificar el desempeño institucional y/o el cumplimiento de las unidades administrativas o unidades administrativas responsables, apegado a las normas y disposiciones que regulan su actuación.</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En ese contexto, se puede concluir que la respuesta fue emitida por el servidor público habilitado con facultades generar, poseer o administrar la información solicitada, es decir, que se dio cumplimiento al proceso de búsqueda establecido en la legislación aplicable. </w:t>
      </w: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Ahora bien, recordemos que en respuesta, el Sujeto Obligado señaló que la información podía ser localizada en tres ligas electrónicas que adjuntó, asimismo, señaló el </w:t>
      </w:r>
      <w:r w:rsidRPr="0004272B">
        <w:rPr>
          <w:rFonts w:ascii="Palatino Linotype" w:eastAsia="Palatino Linotype" w:hAnsi="Palatino Linotype" w:cs="Palatino Linotype"/>
          <w:color w:val="000000" w:themeColor="text1"/>
        </w:rPr>
        <w:lastRenderedPageBreak/>
        <w:t>procedimiento para acceder a las auditorías internas, sin embargo, las ligas electrónicas no fueron entregadas en datos abiertos. Ante tal circunstancia, conviene señalar que el artículo 161 de la Ley de Transparencia y Acceso a la Información Pública del Estado de México y Municipios establece los siguiente:</w:t>
      </w:r>
    </w:p>
    <w:p w:rsidR="00095618" w:rsidRPr="0004272B" w:rsidRDefault="0076601F" w:rsidP="0004272B">
      <w:pPr>
        <w:pBdr>
          <w:top w:val="nil"/>
          <w:left w:val="nil"/>
          <w:bottom w:val="nil"/>
          <w:right w:val="nil"/>
          <w:between w:val="nil"/>
        </w:pBdr>
        <w:spacing w:line="276" w:lineRule="auto"/>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b/>
          <w:bCs/>
          <w:i/>
          <w:iCs/>
          <w:color w:val="000000" w:themeColor="text1"/>
        </w:rPr>
        <w:t>Artículo 161. Cuando la información requerida por el solicitante ya esté disponible</w:t>
      </w:r>
      <w:r w:rsidRPr="0004272B">
        <w:rPr>
          <w:rFonts w:ascii="Palatino Linotype" w:eastAsia="Palatino Linotype" w:hAnsi="Palatino Linotype" w:cs="Palatino Linotype"/>
          <w:i/>
          <w:iCs/>
          <w:color w:val="000000" w:themeColor="text1"/>
        </w:rPr>
        <w:t xml:space="preserve"> al público en medios impresos, tales como libros, compendios, trípticos, registros públicos, </w:t>
      </w:r>
      <w:r w:rsidRPr="0004272B">
        <w:rPr>
          <w:rFonts w:ascii="Palatino Linotype" w:eastAsia="Palatino Linotype" w:hAnsi="Palatino Linotype" w:cs="Palatino Linotype"/>
          <w:b/>
          <w:bCs/>
          <w:i/>
          <w:iCs/>
          <w:color w:val="000000" w:themeColor="text1"/>
        </w:rPr>
        <w:t xml:space="preserve">en formatos electrónicos disponibles en Internet </w:t>
      </w:r>
      <w:r w:rsidRPr="0004272B">
        <w:rPr>
          <w:rFonts w:ascii="Palatino Linotype" w:eastAsia="Palatino Linotype" w:hAnsi="Palatino Linotype" w:cs="Palatino Linotype"/>
          <w:i/>
          <w:iCs/>
          <w:color w:val="000000" w:themeColor="text1"/>
        </w:rPr>
        <w:t xml:space="preserve">o en cualquier otro medio, se le hará saber por el medio requerido por el solicitante la fuente, el lugar y la forma en que puede consultar, reproducir o adquirir dicha información </w:t>
      </w:r>
      <w:r w:rsidRPr="0004272B">
        <w:rPr>
          <w:rFonts w:ascii="Palatino Linotype" w:eastAsia="Palatino Linotype" w:hAnsi="Palatino Linotype" w:cs="Palatino Linotype"/>
          <w:b/>
          <w:bCs/>
          <w:i/>
          <w:iCs/>
          <w:color w:val="000000" w:themeColor="text1"/>
        </w:rPr>
        <w:t>en un plazo no mayor a cinco días hábiles</w:t>
      </w:r>
      <w:r w:rsidRPr="0004272B">
        <w:rPr>
          <w:rFonts w:ascii="Palatino Linotype" w:eastAsia="Palatino Linotype" w:hAnsi="Palatino Linotype" w:cs="Palatino Linotype"/>
          <w:i/>
          <w:iCs/>
          <w:color w:val="000000" w:themeColor="text1"/>
        </w:rPr>
        <w:t xml:space="preserve">. </w:t>
      </w:r>
      <w:r w:rsidRPr="0004272B">
        <w:rPr>
          <w:rFonts w:ascii="Palatino Linotype" w:eastAsia="Palatino Linotype" w:hAnsi="Palatino Linotype" w:cs="Palatino Linotype"/>
          <w:b/>
          <w:bCs/>
          <w:i/>
          <w:iCs/>
          <w:color w:val="000000" w:themeColor="text1"/>
        </w:rPr>
        <w:t>La fuente deberá ser precisa y concreta y no debe implicar que el solicitante realice una búsqueda en toda la información que se encuentre disponible</w:t>
      </w:r>
      <w:r w:rsidRPr="0004272B">
        <w:rPr>
          <w:rFonts w:ascii="Palatino Linotype" w:eastAsia="Palatino Linotype" w:hAnsi="Palatino Linotype" w:cs="Palatino Linotype"/>
          <w:i/>
          <w:iCs/>
          <w:color w:val="000000" w:themeColor="text1"/>
        </w:rPr>
        <w:t>.</w:t>
      </w:r>
    </w:p>
    <w:p w:rsidR="00095618" w:rsidRPr="0004272B" w:rsidRDefault="00095618" w:rsidP="0004272B">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 situación que no ocurrió en el presente caso, ya que si bien, señaló el procedimiento para acceder a la información, las ligas electrónicas no se entregaron en datos abiertos.</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En ese sentido, es oportuno mencionar lo que debemos entender por datos abiertos, siendo estos los datos digitales de carácter público que pueden ser usados, reutilizados y redistribuidos por cualquier interesado y que tienen como característica ser accesibles, </w:t>
      </w:r>
      <w:r w:rsidRPr="0004272B">
        <w:rPr>
          <w:rFonts w:ascii="Palatino Linotype" w:eastAsia="Palatino Linotype" w:hAnsi="Palatino Linotype" w:cs="Palatino Linotype"/>
          <w:color w:val="000000" w:themeColor="text1"/>
        </w:rPr>
        <w:lastRenderedPageBreak/>
        <w:t>integrales, gratuitos, no discriminatorios, oportunos, permanentes, primarios, legibles por las máquinas, en formatos abiertos y de libre uso.  En este mismo sentido, nuestra Ley de Transparencia y Acceso a la Información Pública del Estado de México y Municipios, expresa en su artículo 3, de manera textual lo siguiente:</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b/>
          <w:bCs/>
          <w:i/>
          <w:iCs/>
          <w:color w:val="000000" w:themeColor="text1"/>
        </w:rPr>
        <w:t>“VIII. Datos abiertos: Los datos digitales de carácter público que son accesibles en línea que pueden ser usados, reutilizados y redistribuidos por cualquier interesado y que tienen las siguientes características:</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i/>
          <w:iCs/>
          <w:color w:val="000000" w:themeColor="text1"/>
        </w:rPr>
        <w:t>a) Accesibles: Los datos están disponibles para la gama más amplia de usuarios, para cualquier propósito;</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i/>
          <w:iCs/>
          <w:color w:val="000000" w:themeColor="text1"/>
        </w:rPr>
        <w:t>b) Integrales: Contienen el tema que describen a detalle y con los metadatos necesarios;</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i/>
          <w:iCs/>
          <w:color w:val="000000" w:themeColor="text1"/>
        </w:rPr>
        <w:t>c) Gratuitos: Se obtienen sin entregar a cambio contraprestación alguna;</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i/>
          <w:iCs/>
          <w:color w:val="000000" w:themeColor="text1"/>
        </w:rPr>
        <w:t>d) No discriminatorios: Los datos están disponibles para cualquier persona, sin necesidad de registro;</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i/>
          <w:iCs/>
          <w:color w:val="000000" w:themeColor="text1"/>
        </w:rPr>
        <w:t>e) Oportunos: Son actualizados, periódicamente, conforme se generen;</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i/>
          <w:iCs/>
          <w:color w:val="000000" w:themeColor="text1"/>
        </w:rPr>
        <w:t>f) Permanentes: Se conservan en el tiempo, para lo cual, las versiones históricas relevantes para uso público se mantendrán disponibles con identificadores adecuados al efecto;</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i/>
          <w:iCs/>
          <w:color w:val="000000" w:themeColor="text1"/>
        </w:rPr>
        <w:t>g) Primarios: Provienen de la fuente de origen con el máximo nivel de desagregación posible;</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i/>
          <w:iCs/>
          <w:color w:val="000000" w:themeColor="text1"/>
        </w:rPr>
        <w:t>h) Legibles por máquinas: Deberán estar estructurados, total o parcialmente, para ser procesados e interpretados por equipos electrónicos de manera automática;</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b/>
          <w:bCs/>
          <w:i/>
          <w:iCs/>
          <w:color w:val="000000" w:themeColor="text1"/>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04272B">
        <w:rPr>
          <w:rFonts w:ascii="Palatino Linotype" w:eastAsia="Palatino Linotype" w:hAnsi="Palatino Linotype" w:cs="Palatino Linotype"/>
          <w:i/>
          <w:iCs/>
          <w:color w:val="000000" w:themeColor="text1"/>
        </w:rPr>
        <w:t>; y</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i/>
          <w:iCs/>
          <w:color w:val="000000" w:themeColor="text1"/>
        </w:rPr>
        <w:t>j) De libre uso: Citan la fuente de origen como único requerimiento para ser utilizados libremente.</w:t>
      </w:r>
    </w:p>
    <w:p w:rsidR="00095618" w:rsidRPr="0004272B" w:rsidRDefault="0076601F" w:rsidP="0004272B">
      <w:p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i/>
          <w:iCs/>
          <w:color w:val="000000" w:themeColor="text1"/>
        </w:rPr>
      </w:pPr>
      <w:r w:rsidRPr="0004272B">
        <w:rPr>
          <w:rFonts w:ascii="Palatino Linotype" w:eastAsia="Palatino Linotype" w:hAnsi="Palatino Linotype" w:cs="Palatino Linotype"/>
          <w:i/>
          <w:iCs/>
          <w:color w:val="000000" w:themeColor="text1"/>
        </w:rPr>
        <w:t>(Énfasis añadido)</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dispositivo legal estatal aplicable a la materia, establece en su artículo 41 que el Instituto promoverá la publicación de la información en datos abiertos y accesibles, de tal manera que este Órgano Garante se encuentra en posibilidades de ordenar al Sujeto Obligado, en caso de tener la información en formatos abiertos entregar la misma en el </w:t>
      </w:r>
      <w:r w:rsidRPr="0004272B">
        <w:rPr>
          <w:rFonts w:ascii="Palatino Linotype" w:eastAsia="Palatino Linotype" w:hAnsi="Palatino Linotype" w:cs="Palatino Linotype"/>
          <w:color w:val="000000" w:themeColor="text1"/>
        </w:rPr>
        <w:lastRenderedPageBreak/>
        <w:t>formato solicitado. Por lo tanto, con la información entregada por la Contralora Municipal en respuesta, no se puede dar por colmado el requerimiento del Recurrente.</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Por otro lado, recordemos que el Sujeto Obligado señaló a través de informe justificado dos ligas electrónicas (en datos abiertos), en las que se puede localizar la información solicitada referente al año 2024, sin embargo, no señaló el procedimiento para acceder, por lo tanto, con esa información no se puede dar por colmado el requerimiento del Recurrente.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Por lo tanto, con lo expuesto en líneas anteriores y con fundamento en el artículo 186, fracción III, de la Ley de Transparencia y Acceso a la Información Pública del Estado de México y Municipios, este Instituto considera procedente </w:t>
      </w:r>
      <w:r w:rsidRPr="0004272B">
        <w:rPr>
          <w:rFonts w:ascii="Palatino Linotype" w:eastAsia="Palatino Linotype" w:hAnsi="Palatino Linotype" w:cs="Palatino Linotype"/>
          <w:b/>
          <w:bCs/>
          <w:color w:val="000000" w:themeColor="text1"/>
        </w:rPr>
        <w:t xml:space="preserve">REVOCAR </w:t>
      </w:r>
      <w:r w:rsidRPr="0004272B">
        <w:rPr>
          <w:rFonts w:ascii="Palatino Linotype" w:eastAsia="Palatino Linotype" w:hAnsi="Palatino Linotype" w:cs="Palatino Linotype"/>
          <w:color w:val="000000" w:themeColor="text1"/>
        </w:rPr>
        <w:t xml:space="preserve">la respuesta otorgada por el Sujeto Obligado, y determina que es dable </w:t>
      </w:r>
      <w:r w:rsidRPr="0004272B">
        <w:rPr>
          <w:rFonts w:ascii="Palatino Linotype" w:eastAsia="Palatino Linotype" w:hAnsi="Palatino Linotype" w:cs="Palatino Linotype"/>
          <w:b/>
          <w:bCs/>
          <w:color w:val="000000" w:themeColor="text1"/>
        </w:rPr>
        <w:t>ORDENAR</w:t>
      </w:r>
      <w:r w:rsidRPr="0004272B">
        <w:rPr>
          <w:rFonts w:ascii="Palatino Linotype" w:eastAsia="Palatino Linotype" w:hAnsi="Palatino Linotype" w:cs="Palatino Linotype"/>
          <w:color w:val="000000" w:themeColor="text1"/>
        </w:rPr>
        <w:t>, de ser procedente en versión pública, el soporte documental donde conste, de las auditorías internas realizadas del periodo comprendido del primero de enero de dos mil veintidós al treinta de abril de dos mil veinticuatro,  la siguiente información:</w:t>
      </w:r>
      <w:r w:rsidRPr="0004272B">
        <w:rPr>
          <w:rFonts w:ascii="Palatino Linotype" w:eastAsia="Palatino Linotype" w:hAnsi="Palatino Linotype" w:cs="Palatino Linotype"/>
          <w:b/>
          <w:bCs/>
          <w:color w:val="000000" w:themeColor="text1"/>
        </w:rPr>
        <w:t xml:space="preserve"> </w:t>
      </w:r>
    </w:p>
    <w:p w:rsidR="00095618" w:rsidRPr="0004272B" w:rsidRDefault="0076601F" w:rsidP="00B47E27">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Informes de las auditorías;</w:t>
      </w:r>
    </w:p>
    <w:p w:rsidR="00095618" w:rsidRPr="0004272B" w:rsidRDefault="0076601F" w:rsidP="00B47E27">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Observaciones detectadas;</w:t>
      </w:r>
    </w:p>
    <w:p w:rsidR="00095618" w:rsidRPr="0004272B" w:rsidRDefault="0076601F" w:rsidP="00B47E27">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Recomendaciones emitidas y el estado actual de su cumplimiento. </w:t>
      </w:r>
    </w:p>
    <w:p w:rsidR="00095618" w:rsidRPr="0004272B" w:rsidRDefault="0076601F" w:rsidP="0004272B">
      <w:pPr>
        <w:pStyle w:val="Ttulo1"/>
        <w:rPr>
          <w:rFonts w:ascii="Palatino Linotype" w:eastAsia="Palatino Linotype" w:hAnsi="Palatino Linotype" w:cs="Palatino Linotype"/>
          <w:b/>
          <w:bCs/>
          <w:color w:val="000000" w:themeColor="text1"/>
          <w:sz w:val="24"/>
          <w:szCs w:val="24"/>
        </w:rPr>
      </w:pPr>
      <w:bookmarkStart w:id="7" w:name="_heading=h.5w3uj7mbdkg5" w:colFirst="0" w:colLast="0"/>
      <w:bookmarkEnd w:id="7"/>
      <w:r w:rsidRPr="0004272B">
        <w:rPr>
          <w:rFonts w:ascii="Palatino Linotype" w:eastAsia="Palatino Linotype" w:hAnsi="Palatino Linotype" w:cs="Palatino Linotype"/>
          <w:b/>
          <w:bCs/>
          <w:color w:val="000000" w:themeColor="text1"/>
          <w:sz w:val="24"/>
          <w:szCs w:val="24"/>
        </w:rPr>
        <w:t>QUINTO. De la versión pública.</w:t>
      </w:r>
    </w:p>
    <w:p w:rsidR="00095618" w:rsidRPr="0004272B" w:rsidRDefault="0076601F" w:rsidP="0004272B">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Debe destacarse que, debido a la naturaleza de la información solicitada</w:t>
      </w:r>
      <w:r w:rsidRPr="0004272B">
        <w:rPr>
          <w:rFonts w:ascii="Palatino Linotype" w:eastAsia="Palatino Linotype" w:hAnsi="Palatino Linotype" w:cs="Palatino Linotype"/>
          <w:b/>
          <w:bCs/>
          <w:color w:val="000000" w:themeColor="text1"/>
        </w:rPr>
        <w:t xml:space="preserve">, </w:t>
      </w:r>
      <w:r w:rsidRPr="0004272B">
        <w:rPr>
          <w:rFonts w:ascii="Palatino Linotype" w:eastAsia="Palatino Linotype" w:hAnsi="Palatino Linotype" w:cs="Palatino Linotype"/>
          <w:color w:val="000000" w:themeColor="text1"/>
        </w:rPr>
        <w:t xml:space="preserve">eventualmente pudiera obrar datos personales susceptibles de protegerse, así como información susceptible de clasificarse como reservada, el </w:t>
      </w:r>
      <w:r w:rsidRPr="0004272B">
        <w:rPr>
          <w:rFonts w:ascii="Palatino Linotype" w:eastAsia="Palatino Linotype" w:hAnsi="Palatino Linotype" w:cs="Palatino Linotype"/>
          <w:b/>
          <w:bCs/>
          <w:color w:val="000000" w:themeColor="text1"/>
        </w:rPr>
        <w:t xml:space="preserve">Sujeto Obligado </w:t>
      </w:r>
      <w:r w:rsidRPr="0004272B">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095618" w:rsidRPr="0004272B" w:rsidRDefault="0076601F" w:rsidP="0004272B">
      <w:pPr>
        <w:numPr>
          <w:ilvl w:val="0"/>
          <w:numId w:val="3"/>
        </w:numPr>
        <w:tabs>
          <w:tab w:val="left" w:pos="284"/>
        </w:tabs>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lastRenderedPageBreak/>
        <w:t xml:space="preserve">No pasa desapercibido para este Órgano Garante que los </w:t>
      </w:r>
      <w:r w:rsidRPr="0004272B">
        <w:rPr>
          <w:rFonts w:ascii="Palatino Linotype" w:eastAsia="Palatino Linotype" w:hAnsi="Palatino Linotype" w:cs="Palatino Linotype"/>
          <w:b/>
          <w:bCs/>
          <w:color w:val="000000" w:themeColor="text1"/>
        </w:rPr>
        <w:t xml:space="preserve">Sujetos Obligados </w:t>
      </w:r>
      <w:r w:rsidRPr="0004272B">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95618" w:rsidRPr="0004272B" w:rsidRDefault="00095618" w:rsidP="0004272B">
      <w:pPr>
        <w:tabs>
          <w:tab w:val="left" w:pos="284"/>
        </w:tabs>
        <w:spacing w:line="360" w:lineRule="auto"/>
        <w:jc w:val="both"/>
        <w:rPr>
          <w:rFonts w:ascii="Palatino Linotype" w:eastAsia="Palatino Linotype" w:hAnsi="Palatino Linotype" w:cs="Palatino Linotype"/>
          <w:color w:val="000000" w:themeColor="text1"/>
        </w:rPr>
      </w:pPr>
    </w:p>
    <w:tbl>
      <w:tblPr>
        <w:tblStyle w:val="a0"/>
        <w:tblW w:w="9781"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93"/>
        <w:gridCol w:w="7088"/>
      </w:tblGrid>
      <w:tr w:rsidR="0004272B" w:rsidRPr="0004272B" w:rsidTr="00B47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095618" w:rsidRPr="0004272B" w:rsidRDefault="0076601F" w:rsidP="0004272B">
            <w:pPr>
              <w:tabs>
                <w:tab w:val="left" w:pos="284"/>
              </w:tabs>
              <w:spacing w:line="360" w:lineRule="auto"/>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a) Requisitos previos.</w:t>
            </w:r>
          </w:p>
        </w:tc>
        <w:tc>
          <w:tcPr>
            <w:tcW w:w="7088" w:type="dxa"/>
          </w:tcPr>
          <w:p w:rsidR="00095618" w:rsidRPr="0004272B" w:rsidRDefault="0076601F" w:rsidP="0004272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95618" w:rsidRPr="0004272B" w:rsidRDefault="0076601F" w:rsidP="0004272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095618" w:rsidRPr="0004272B" w:rsidRDefault="0076601F" w:rsidP="0004272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095618" w:rsidRPr="0004272B" w:rsidRDefault="0076601F" w:rsidP="0004272B">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04272B">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04272B">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04272B" w:rsidRPr="0004272B" w:rsidTr="00B47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095618" w:rsidRPr="0004272B" w:rsidRDefault="0076601F" w:rsidP="0004272B">
            <w:pPr>
              <w:tabs>
                <w:tab w:val="left" w:pos="284"/>
              </w:tabs>
              <w:spacing w:line="360" w:lineRule="auto"/>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lastRenderedPageBreak/>
              <w:t>b) Supuestos de clasificación.</w:t>
            </w:r>
          </w:p>
        </w:tc>
        <w:tc>
          <w:tcPr>
            <w:tcW w:w="7088" w:type="dxa"/>
          </w:tcPr>
          <w:p w:rsidR="00095618" w:rsidRPr="0004272B" w:rsidRDefault="0076601F" w:rsidP="0004272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095618" w:rsidRPr="0004272B" w:rsidRDefault="0076601F" w:rsidP="0004272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95618" w:rsidRPr="0004272B" w:rsidRDefault="0076601F" w:rsidP="0004272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w:t>
            </w:r>
            <w:r w:rsidRPr="0004272B">
              <w:rPr>
                <w:rFonts w:ascii="Palatino Linotype" w:eastAsia="Palatino Linotype" w:hAnsi="Palatino Linotype" w:cs="Palatino Linotype"/>
                <w:b/>
                <w:bCs/>
                <w:color w:val="000000" w:themeColor="text1"/>
              </w:rPr>
              <w:t>Sujeto Obligado</w:t>
            </w:r>
            <w:r w:rsidRPr="0004272B">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4272B" w:rsidRPr="0004272B" w:rsidTr="00B47E27">
        <w:tc>
          <w:tcPr>
            <w:cnfStyle w:val="001000000000" w:firstRow="0" w:lastRow="0" w:firstColumn="1" w:lastColumn="0" w:oddVBand="0" w:evenVBand="0" w:oddHBand="0" w:evenHBand="0" w:firstRowFirstColumn="0" w:firstRowLastColumn="0" w:lastRowFirstColumn="0" w:lastRowLastColumn="0"/>
            <w:tcW w:w="2693" w:type="dxa"/>
          </w:tcPr>
          <w:p w:rsidR="00095618" w:rsidRPr="0004272B" w:rsidRDefault="0076601F" w:rsidP="0004272B">
            <w:pPr>
              <w:tabs>
                <w:tab w:val="left" w:pos="284"/>
              </w:tabs>
              <w:spacing w:line="360" w:lineRule="auto"/>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c) Formalidades para emitir el acuerdo de clasificación.</w:t>
            </w:r>
          </w:p>
        </w:tc>
        <w:tc>
          <w:tcPr>
            <w:tcW w:w="7088" w:type="dxa"/>
          </w:tcPr>
          <w:p w:rsidR="00095618" w:rsidRPr="0004272B" w:rsidRDefault="0076601F" w:rsidP="0004272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095618" w:rsidRPr="0004272B" w:rsidRDefault="0076601F" w:rsidP="0004272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Es necesario que </w:t>
            </w:r>
            <w:r w:rsidRPr="0004272B">
              <w:rPr>
                <w:rFonts w:ascii="Palatino Linotype" w:eastAsia="Palatino Linotype" w:hAnsi="Palatino Linotype" w:cs="Palatino Linotype"/>
                <w:b/>
                <w:bCs/>
                <w:color w:val="000000" w:themeColor="text1"/>
                <w:u w:val="single"/>
              </w:rPr>
              <w:t>el acto reúna con los requisitos elementales</w:t>
            </w:r>
            <w:r w:rsidRPr="0004272B">
              <w:rPr>
                <w:rFonts w:ascii="Palatino Linotype" w:eastAsia="Palatino Linotype" w:hAnsi="Palatino Linotype" w:cs="Palatino Linotype"/>
                <w:color w:val="000000" w:themeColor="text1"/>
              </w:rPr>
              <w:t>, entre ellos, que la autoridad que va a emitir el acto de autoridad sea la legalmente facultada para ello.</w:t>
            </w:r>
          </w:p>
          <w:p w:rsidR="00095618" w:rsidRPr="0004272B" w:rsidRDefault="0076601F" w:rsidP="0004272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4272B" w:rsidRPr="0004272B" w:rsidTr="00B47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095618" w:rsidRPr="0004272B" w:rsidRDefault="00095618" w:rsidP="0004272B">
            <w:pPr>
              <w:tabs>
                <w:tab w:val="left" w:pos="284"/>
              </w:tabs>
              <w:spacing w:line="360" w:lineRule="auto"/>
              <w:rPr>
                <w:rFonts w:ascii="Palatino Linotype" w:eastAsia="Palatino Linotype" w:hAnsi="Palatino Linotype" w:cs="Palatino Linotype"/>
                <w:color w:val="000000" w:themeColor="text1"/>
              </w:rPr>
            </w:pPr>
          </w:p>
          <w:p w:rsidR="00095618" w:rsidRPr="0004272B" w:rsidRDefault="0076601F" w:rsidP="0004272B">
            <w:pPr>
              <w:tabs>
                <w:tab w:val="left" w:pos="284"/>
              </w:tabs>
              <w:spacing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d) Requisitos de fondo del acuerdo de clasificación. </w:t>
            </w:r>
          </w:p>
        </w:tc>
        <w:tc>
          <w:tcPr>
            <w:tcW w:w="7088" w:type="dxa"/>
          </w:tcPr>
          <w:p w:rsidR="00095618" w:rsidRPr="0004272B" w:rsidRDefault="0076601F" w:rsidP="0004272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4272B">
              <w:rPr>
                <w:rFonts w:ascii="Palatino Linotype" w:eastAsia="Palatino Linotype" w:hAnsi="Palatino Linotype" w:cs="Palatino Linotype"/>
                <w:b/>
                <w:bCs/>
                <w:color w:val="000000" w:themeColor="text1"/>
              </w:rPr>
              <w:t>Sujetos Obligados</w:t>
            </w:r>
            <w:r w:rsidRPr="0004272B">
              <w:rPr>
                <w:rFonts w:ascii="Palatino Linotype" w:eastAsia="Palatino Linotype" w:hAnsi="Palatino Linotype" w:cs="Palatino Linotype"/>
                <w:color w:val="000000" w:themeColor="text1"/>
              </w:rPr>
              <w:t xml:space="preserve">, por lo que deberán fundar y motivar debidamente la clasificación. </w:t>
            </w:r>
          </w:p>
          <w:p w:rsidR="00095618" w:rsidRPr="0004272B" w:rsidRDefault="0076601F" w:rsidP="0004272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De lo anterior, se desprende que para una correcta </w:t>
            </w:r>
            <w:r w:rsidRPr="0004272B">
              <w:rPr>
                <w:rFonts w:ascii="Palatino Linotype" w:eastAsia="Palatino Linotype" w:hAnsi="Palatino Linotype" w:cs="Palatino Linotype"/>
                <w:b/>
                <w:bCs/>
                <w:color w:val="000000" w:themeColor="text1"/>
              </w:rPr>
              <w:t>clasificación total o parcial</w:t>
            </w:r>
            <w:r w:rsidRPr="0004272B">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95618" w:rsidRPr="0004272B" w:rsidRDefault="0076601F" w:rsidP="0004272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95618" w:rsidRPr="0004272B" w:rsidRDefault="0076601F" w:rsidP="0004272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095618" w:rsidRPr="0004272B" w:rsidRDefault="0076601F" w:rsidP="0004272B">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Ahora bien, </w:t>
            </w:r>
            <w:r w:rsidRPr="0004272B">
              <w:rPr>
                <w:rFonts w:ascii="Palatino Linotype" w:eastAsia="Palatino Linotype" w:hAnsi="Palatino Linotype" w:cs="Palatino Linotype"/>
                <w:b/>
                <w:bCs/>
                <w:color w:val="000000" w:themeColor="text1"/>
                <w:u w:val="single"/>
              </w:rPr>
              <w:t>para cada caso además de fundar y motivar</w:t>
            </w:r>
            <w:r w:rsidRPr="0004272B">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4272B" w:rsidRPr="0004272B" w:rsidTr="00B47E27">
        <w:tc>
          <w:tcPr>
            <w:cnfStyle w:val="001000000000" w:firstRow="0" w:lastRow="0" w:firstColumn="1" w:lastColumn="0" w:oddVBand="0" w:evenVBand="0" w:oddHBand="0" w:evenHBand="0" w:firstRowFirstColumn="0" w:firstRowLastColumn="0" w:lastRowFirstColumn="0" w:lastRowLastColumn="0"/>
            <w:tcW w:w="2693" w:type="dxa"/>
          </w:tcPr>
          <w:p w:rsidR="00095618" w:rsidRPr="0004272B" w:rsidRDefault="0076601F" w:rsidP="0004272B">
            <w:pPr>
              <w:tabs>
                <w:tab w:val="left" w:pos="284"/>
              </w:tabs>
              <w:spacing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lastRenderedPageBreak/>
              <w:t xml:space="preserve">e) Condiciones especiales de la clasificación de la información como confidencial. </w:t>
            </w:r>
          </w:p>
        </w:tc>
        <w:tc>
          <w:tcPr>
            <w:tcW w:w="7088" w:type="dxa"/>
          </w:tcPr>
          <w:p w:rsidR="00095618" w:rsidRPr="0004272B" w:rsidRDefault="0076601F" w:rsidP="0004272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095618" w:rsidRPr="0004272B" w:rsidRDefault="0076601F" w:rsidP="0004272B">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95618" w:rsidRPr="0004272B" w:rsidRDefault="0076601F" w:rsidP="0004272B">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95618" w:rsidRPr="0004272B" w:rsidRDefault="00095618" w:rsidP="0004272B">
      <w:pPr>
        <w:pBdr>
          <w:top w:val="nil"/>
          <w:left w:val="nil"/>
          <w:bottom w:val="nil"/>
          <w:right w:val="nil"/>
          <w:between w:val="nil"/>
        </w:pBdr>
        <w:tabs>
          <w:tab w:val="left" w:pos="284"/>
        </w:tabs>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095618" w:rsidRPr="0004272B" w:rsidRDefault="00095618" w:rsidP="0004272B">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Por lo anteriormente expuesto y fundado, este </w:t>
      </w:r>
      <w:r w:rsidRPr="0004272B">
        <w:rPr>
          <w:rFonts w:ascii="Palatino Linotype" w:eastAsia="Palatino Linotype" w:hAnsi="Palatino Linotype" w:cs="Palatino Linotype"/>
          <w:b/>
          <w:bCs/>
          <w:color w:val="000000" w:themeColor="text1"/>
        </w:rPr>
        <w:t>ÓRGANO GARANTE</w:t>
      </w:r>
      <w:r w:rsidRPr="0004272B">
        <w:rPr>
          <w:rFonts w:ascii="Palatino Linotype" w:eastAsia="Palatino Linotype" w:hAnsi="Palatino Linotype" w:cs="Palatino Linotype"/>
          <w:color w:val="000000" w:themeColor="text1"/>
        </w:rPr>
        <w:t xml:space="preserve"> emite los siguientes:</w:t>
      </w:r>
    </w:p>
    <w:p w:rsidR="00095618" w:rsidRPr="0004272B" w:rsidRDefault="0076601F" w:rsidP="0004272B">
      <w:pPr>
        <w:pStyle w:val="Ttulo1"/>
        <w:jc w:val="center"/>
        <w:rPr>
          <w:rFonts w:ascii="Palatino Linotype" w:eastAsia="Palatino Linotype" w:hAnsi="Palatino Linotype" w:cs="Palatino Linotype"/>
          <w:b/>
          <w:bCs/>
          <w:color w:val="000000" w:themeColor="text1"/>
          <w:sz w:val="24"/>
          <w:szCs w:val="24"/>
        </w:rPr>
      </w:pPr>
      <w:bookmarkStart w:id="8" w:name="_heading=h.92vttajsrnql" w:colFirst="0" w:colLast="0"/>
      <w:bookmarkEnd w:id="8"/>
      <w:r w:rsidRPr="0004272B">
        <w:rPr>
          <w:rFonts w:ascii="Palatino Linotype" w:eastAsia="Palatino Linotype" w:hAnsi="Palatino Linotype" w:cs="Palatino Linotype"/>
          <w:b/>
          <w:bCs/>
          <w:color w:val="000000" w:themeColor="text1"/>
          <w:sz w:val="24"/>
          <w:szCs w:val="24"/>
        </w:rPr>
        <w:t>R E S O L U T I V O S</w:t>
      </w:r>
    </w:p>
    <w:p w:rsidR="00095618" w:rsidRPr="0004272B" w:rsidRDefault="00095618" w:rsidP="0004272B">
      <w:pPr>
        <w:keepNext/>
        <w:keepLines/>
        <w:spacing w:line="360" w:lineRule="auto"/>
        <w:jc w:val="center"/>
        <w:rPr>
          <w:rFonts w:ascii="Palatino Linotype" w:eastAsia="Palatino Linotype" w:hAnsi="Palatino Linotype" w:cs="Palatino Linotype"/>
          <w:b/>
          <w:bCs/>
          <w:color w:val="000000" w:themeColor="text1"/>
        </w:rPr>
      </w:pPr>
    </w:p>
    <w:p w:rsidR="00095618" w:rsidRPr="0004272B" w:rsidRDefault="0076601F" w:rsidP="0004272B">
      <w:pPr>
        <w:spacing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b/>
          <w:bCs/>
          <w:color w:val="000000" w:themeColor="text1"/>
        </w:rPr>
        <w:t xml:space="preserve">PRIMERO. </w:t>
      </w:r>
      <w:r w:rsidRPr="0004272B">
        <w:rPr>
          <w:rFonts w:ascii="Palatino Linotype" w:eastAsia="Palatino Linotype" w:hAnsi="Palatino Linotype" w:cs="Palatino Linotype"/>
          <w:color w:val="000000" w:themeColor="text1"/>
        </w:rPr>
        <w:t>Resultan fundadas las</w:t>
      </w:r>
      <w:r w:rsidRPr="0004272B">
        <w:rPr>
          <w:rFonts w:ascii="Palatino Linotype" w:eastAsia="Palatino Linotype" w:hAnsi="Palatino Linotype" w:cs="Palatino Linotype"/>
          <w:b/>
          <w:bCs/>
          <w:color w:val="000000" w:themeColor="text1"/>
        </w:rPr>
        <w:t xml:space="preserve"> </w:t>
      </w:r>
      <w:r w:rsidRPr="0004272B">
        <w:rPr>
          <w:rFonts w:ascii="Palatino Linotype" w:eastAsia="Palatino Linotype" w:hAnsi="Palatino Linotype" w:cs="Palatino Linotype"/>
          <w:color w:val="000000" w:themeColor="text1"/>
        </w:rPr>
        <w:t xml:space="preserve">razones o motivos de inconformidad hechos valer en el recurso de revisión </w:t>
      </w:r>
      <w:r w:rsidRPr="0004272B">
        <w:rPr>
          <w:rFonts w:ascii="Palatino Linotype" w:eastAsia="Palatino Linotype" w:hAnsi="Palatino Linotype" w:cs="Palatino Linotype"/>
          <w:b/>
          <w:bCs/>
          <w:color w:val="000000" w:themeColor="text1"/>
        </w:rPr>
        <w:t xml:space="preserve">07238/INFOEM/IP/RR/2025 </w:t>
      </w:r>
      <w:r w:rsidRPr="0004272B">
        <w:rPr>
          <w:rFonts w:ascii="Palatino Linotype" w:eastAsia="Palatino Linotype" w:hAnsi="Palatino Linotype" w:cs="Palatino Linotype"/>
          <w:color w:val="000000" w:themeColor="text1"/>
        </w:rPr>
        <w:t>en términos de los</w:t>
      </w:r>
      <w:r w:rsidRPr="0004272B">
        <w:rPr>
          <w:rFonts w:ascii="Palatino Linotype" w:eastAsia="Palatino Linotype" w:hAnsi="Palatino Linotype" w:cs="Palatino Linotype"/>
          <w:b/>
          <w:bCs/>
          <w:color w:val="000000" w:themeColor="text1"/>
        </w:rPr>
        <w:t xml:space="preserve"> Considerandos</w:t>
      </w:r>
      <w:r w:rsidRPr="0004272B">
        <w:rPr>
          <w:rFonts w:ascii="Palatino Linotype" w:eastAsia="Palatino Linotype" w:hAnsi="Palatino Linotype" w:cs="Palatino Linotype"/>
          <w:color w:val="000000" w:themeColor="text1"/>
        </w:rPr>
        <w:t xml:space="preserve"> </w:t>
      </w:r>
      <w:r w:rsidRPr="0004272B">
        <w:rPr>
          <w:rFonts w:ascii="Palatino Linotype" w:eastAsia="Palatino Linotype" w:hAnsi="Palatino Linotype" w:cs="Palatino Linotype"/>
          <w:b/>
          <w:bCs/>
          <w:color w:val="000000" w:themeColor="text1"/>
        </w:rPr>
        <w:t>CUARTO y QUINTO</w:t>
      </w:r>
      <w:r w:rsidRPr="0004272B">
        <w:rPr>
          <w:rFonts w:ascii="Palatino Linotype" w:eastAsia="Palatino Linotype" w:hAnsi="Palatino Linotype" w:cs="Palatino Linotype"/>
          <w:color w:val="000000" w:themeColor="text1"/>
        </w:rPr>
        <w:t xml:space="preserve"> de la presente resolución.</w:t>
      </w:r>
    </w:p>
    <w:p w:rsidR="00095618" w:rsidRPr="0004272B" w:rsidRDefault="0076601F"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b/>
          <w:bCs/>
          <w:color w:val="000000" w:themeColor="text1"/>
        </w:rPr>
        <w:t xml:space="preserve">SEGUNDO. </w:t>
      </w:r>
      <w:r w:rsidRPr="0004272B">
        <w:rPr>
          <w:rFonts w:ascii="Palatino Linotype" w:eastAsia="Palatino Linotype" w:hAnsi="Palatino Linotype" w:cs="Palatino Linotype"/>
          <w:color w:val="000000" w:themeColor="text1"/>
        </w:rPr>
        <w:t xml:space="preserve">Se </w:t>
      </w:r>
      <w:r w:rsidRPr="0004272B">
        <w:rPr>
          <w:rFonts w:ascii="Palatino Linotype" w:eastAsia="Palatino Linotype" w:hAnsi="Palatino Linotype" w:cs="Palatino Linotype"/>
          <w:b/>
          <w:bCs/>
          <w:color w:val="000000" w:themeColor="text1"/>
        </w:rPr>
        <w:t>REVOCA</w:t>
      </w:r>
      <w:r w:rsidRPr="0004272B">
        <w:rPr>
          <w:rFonts w:ascii="Palatino Linotype" w:eastAsia="Palatino Linotype" w:hAnsi="Palatino Linotype" w:cs="Palatino Linotype"/>
          <w:color w:val="000000" w:themeColor="text1"/>
        </w:rPr>
        <w:t xml:space="preserve"> la respuesta y se </w:t>
      </w:r>
      <w:r w:rsidRPr="0004272B">
        <w:rPr>
          <w:rFonts w:ascii="Palatino Linotype" w:eastAsia="Palatino Linotype" w:hAnsi="Palatino Linotype" w:cs="Palatino Linotype"/>
          <w:b/>
          <w:bCs/>
          <w:color w:val="000000" w:themeColor="text1"/>
        </w:rPr>
        <w:t xml:space="preserve">ORDENA </w:t>
      </w:r>
      <w:r w:rsidRPr="0004272B">
        <w:rPr>
          <w:rFonts w:ascii="Palatino Linotype" w:eastAsia="Palatino Linotype" w:hAnsi="Palatino Linotype" w:cs="Palatino Linotype"/>
          <w:color w:val="000000" w:themeColor="text1"/>
        </w:rPr>
        <w:t xml:space="preserve">al </w:t>
      </w:r>
      <w:r w:rsidRPr="0004272B">
        <w:rPr>
          <w:rFonts w:ascii="Palatino Linotype" w:eastAsia="Palatino Linotype" w:hAnsi="Palatino Linotype" w:cs="Palatino Linotype"/>
          <w:b/>
          <w:bCs/>
          <w:color w:val="000000" w:themeColor="text1"/>
        </w:rPr>
        <w:t xml:space="preserve">Ayuntamiento de Zinacantepec, </w:t>
      </w:r>
      <w:r w:rsidRPr="0004272B">
        <w:rPr>
          <w:rFonts w:ascii="Palatino Linotype" w:eastAsia="Palatino Linotype" w:hAnsi="Palatino Linotype" w:cs="Palatino Linotype"/>
          <w:color w:val="000000" w:themeColor="text1"/>
        </w:rPr>
        <w:t>entregar vía Sistema de Acceso a la Información Mexiquense (SAIMEX)</w:t>
      </w:r>
      <w:r w:rsidRPr="0004272B">
        <w:rPr>
          <w:rFonts w:ascii="Palatino Linotype" w:eastAsia="Palatino Linotype" w:hAnsi="Palatino Linotype" w:cs="Palatino Linotype"/>
          <w:b/>
          <w:bCs/>
          <w:color w:val="000000" w:themeColor="text1"/>
        </w:rPr>
        <w:t>,</w:t>
      </w:r>
      <w:r w:rsidRPr="0004272B">
        <w:rPr>
          <w:rFonts w:ascii="Palatino Linotype" w:eastAsia="Palatino Linotype" w:hAnsi="Palatino Linotype" w:cs="Palatino Linotype"/>
          <w:color w:val="000000" w:themeColor="text1"/>
        </w:rPr>
        <w:t xml:space="preserve"> de ser procedente </w:t>
      </w:r>
      <w:r w:rsidRPr="0004272B">
        <w:rPr>
          <w:rFonts w:ascii="Palatino Linotype" w:eastAsia="Palatino Linotype" w:hAnsi="Palatino Linotype" w:cs="Palatino Linotype"/>
          <w:color w:val="000000" w:themeColor="text1"/>
        </w:rPr>
        <w:lastRenderedPageBreak/>
        <w:t>en versión pública, el soporte documental donde conste, de las auditorías internas realizadas del periodo comprendido del primero de enero de dos mil veintidós al treinta de abril de dos mil veinticuatro,  la siguiente información:</w:t>
      </w:r>
      <w:r w:rsidRPr="0004272B">
        <w:rPr>
          <w:rFonts w:ascii="Palatino Linotype" w:eastAsia="Palatino Linotype" w:hAnsi="Palatino Linotype" w:cs="Palatino Linotype"/>
          <w:b/>
          <w:bCs/>
          <w:color w:val="000000" w:themeColor="text1"/>
        </w:rPr>
        <w:t xml:space="preserve">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095618" w:rsidRPr="0004272B" w:rsidRDefault="0076601F" w:rsidP="00B47E27">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Informes de las auditorías;</w:t>
      </w:r>
    </w:p>
    <w:p w:rsidR="00095618" w:rsidRPr="0004272B" w:rsidRDefault="0076601F" w:rsidP="00B47E27">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Observaciones detectadas;</w:t>
      </w:r>
    </w:p>
    <w:p w:rsidR="00095618" w:rsidRPr="0004272B" w:rsidRDefault="0076601F" w:rsidP="00B47E27">
      <w:pPr>
        <w:numPr>
          <w:ilvl w:val="1"/>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 xml:space="preserve">Recomendaciones emitidas y el estado actual de su cumplimiento. </w:t>
      </w:r>
    </w:p>
    <w:p w:rsidR="00095618" w:rsidRPr="0004272B" w:rsidRDefault="00095618" w:rsidP="0004272B">
      <w:pPr>
        <w:spacing w:line="360" w:lineRule="auto"/>
        <w:jc w:val="both"/>
        <w:rPr>
          <w:rFonts w:ascii="Palatino Linotype" w:eastAsia="Palatino Linotype" w:hAnsi="Palatino Linotype" w:cs="Palatino Linotype"/>
          <w:b/>
          <w:bCs/>
          <w:color w:val="000000" w:themeColor="text1"/>
        </w:rPr>
      </w:pPr>
    </w:p>
    <w:p w:rsidR="00095618" w:rsidRPr="0004272B" w:rsidRDefault="0076601F" w:rsidP="0004272B">
      <w:pPr>
        <w:spacing w:after="160"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rsidR="00095618" w:rsidRPr="0004272B" w:rsidRDefault="0076601F"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 xml:space="preserve">Para el caso de que la información que se ordena entregar en el punto b y c, no obre en los archivos del Sujeto Obligado, bastará con que así se haga del conocimiento del Particular en términos del artículo 19, párrafo segundo, de la Ley de Transparencia y Acceso a la Información Pública del Estado de México y Municipios, para tenerse por colmado dicho requerimiento. </w:t>
      </w: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tabs>
          <w:tab w:val="left" w:pos="284"/>
          <w:tab w:val="left" w:pos="8080"/>
        </w:tabs>
        <w:spacing w:line="360" w:lineRule="auto"/>
        <w:jc w:val="both"/>
        <w:rPr>
          <w:rFonts w:ascii="Palatino Linotype" w:eastAsia="Palatino Linotype" w:hAnsi="Palatino Linotype" w:cs="Palatino Linotype"/>
          <w:color w:val="000000" w:themeColor="text1"/>
          <w:highlight w:val="white"/>
        </w:rPr>
      </w:pPr>
      <w:r w:rsidRPr="0004272B">
        <w:rPr>
          <w:rFonts w:ascii="Palatino Linotype" w:eastAsia="Palatino Linotype" w:hAnsi="Palatino Linotype" w:cs="Palatino Linotype"/>
          <w:b/>
          <w:bCs/>
          <w:color w:val="000000" w:themeColor="text1"/>
        </w:rPr>
        <w:t xml:space="preserve">TERCERO. </w:t>
      </w:r>
      <w:r w:rsidRPr="0004272B">
        <w:rPr>
          <w:rFonts w:ascii="Palatino Linotype" w:eastAsia="Palatino Linotype" w:hAnsi="Palatino Linotype" w:cs="Palatino Linotype"/>
          <w:b/>
          <w:bCs/>
          <w:color w:val="000000" w:themeColor="text1"/>
          <w:highlight w:val="white"/>
        </w:rPr>
        <w:t>NOTIFÍQUESE</w:t>
      </w:r>
      <w:r w:rsidRPr="0004272B">
        <w:rPr>
          <w:rFonts w:ascii="Palatino Linotype" w:eastAsia="Palatino Linotype" w:hAnsi="Palatino Linotype" w:cs="Palatino Linotype"/>
          <w:color w:val="000000" w:themeColor="text1"/>
          <w:highlight w:val="white"/>
        </w:rPr>
        <w:t xml:space="preserve"> la presente resolución al Titular de la Unidad de Transparencia del Sujeto Obligado </w:t>
      </w:r>
      <w:r w:rsidRPr="0004272B">
        <w:rPr>
          <w:rFonts w:ascii="Palatino Linotype" w:eastAsia="Palatino Linotype" w:hAnsi="Palatino Linotype" w:cs="Palatino Linotype"/>
          <w:b/>
          <w:bCs/>
          <w:color w:val="000000" w:themeColor="text1"/>
          <w:highlight w:val="white"/>
        </w:rPr>
        <w:t>vía SAIMEX</w:t>
      </w:r>
      <w:r w:rsidRPr="0004272B">
        <w:rPr>
          <w:rFonts w:ascii="Palatino Linotype" w:eastAsia="Palatino Linotype" w:hAnsi="Palatino Linotype" w:cs="Palatino Linotype"/>
          <w:color w:val="000000" w:themeColor="text1"/>
          <w:highlight w:val="white"/>
        </w:rPr>
        <w:t xml:space="preserve">, para que conforme al artículo 186 último párrafo, 189 segundo párrafo y 194 de la Ley de Transparencia y Acceso a la Información Pública del Estado de México y Municipios; </w:t>
      </w:r>
      <w:r w:rsidRPr="0004272B">
        <w:rPr>
          <w:rFonts w:ascii="Palatino Linotype" w:eastAsia="Palatino Linotype" w:hAnsi="Palatino Linotype" w:cs="Palatino Linotype"/>
          <w:b/>
          <w:color w:val="000000" w:themeColor="text1"/>
          <w:highlight w:val="white"/>
        </w:rPr>
        <w:t xml:space="preserve">dé cumplimiento a lo ordenado dentro del plazo de diez </w:t>
      </w:r>
      <w:r w:rsidRPr="0004272B">
        <w:rPr>
          <w:rFonts w:ascii="Palatino Linotype" w:eastAsia="Palatino Linotype" w:hAnsi="Palatino Linotype" w:cs="Palatino Linotype"/>
          <w:b/>
          <w:color w:val="000000" w:themeColor="text1"/>
          <w:highlight w:val="white"/>
        </w:rPr>
        <w:lastRenderedPageBreak/>
        <w:t>días hábiles,</w:t>
      </w:r>
      <w:r w:rsidRPr="0004272B">
        <w:rPr>
          <w:rFonts w:ascii="Palatino Linotype" w:eastAsia="Palatino Linotype" w:hAnsi="Palatino Linotype" w:cs="Palatino Linotype"/>
          <w:color w:val="000000" w:themeColor="text1"/>
          <w:highlight w:val="whit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95618" w:rsidRPr="0004272B" w:rsidRDefault="00095618" w:rsidP="0004272B">
      <w:pPr>
        <w:tabs>
          <w:tab w:val="left" w:pos="284"/>
          <w:tab w:val="left" w:pos="8080"/>
        </w:tabs>
        <w:spacing w:line="360" w:lineRule="auto"/>
        <w:jc w:val="both"/>
        <w:rPr>
          <w:rFonts w:ascii="Palatino Linotype" w:eastAsia="Palatino Linotype" w:hAnsi="Palatino Linotype" w:cs="Palatino Linotype"/>
          <w:color w:val="000000" w:themeColor="text1"/>
          <w:highlight w:val="white"/>
        </w:rPr>
      </w:pPr>
    </w:p>
    <w:p w:rsidR="00095618" w:rsidRPr="0004272B" w:rsidRDefault="0076601F" w:rsidP="0004272B">
      <w:pPr>
        <w:tabs>
          <w:tab w:val="left" w:pos="284"/>
        </w:tabs>
        <w:spacing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b/>
          <w:bCs/>
          <w:color w:val="000000" w:themeColor="text1"/>
        </w:rPr>
        <w:t xml:space="preserve">CUARTO. Notifíquese </w:t>
      </w:r>
      <w:r w:rsidRPr="0004272B">
        <w:rPr>
          <w:rFonts w:ascii="Palatino Linotype" w:eastAsia="Palatino Linotype" w:hAnsi="Palatino Linotype" w:cs="Palatino Linotype"/>
          <w:color w:val="000000" w:themeColor="text1"/>
        </w:rPr>
        <w:t xml:space="preserve">al </w:t>
      </w:r>
      <w:r w:rsidRPr="0004272B">
        <w:rPr>
          <w:rFonts w:ascii="Palatino Linotype" w:eastAsia="Palatino Linotype" w:hAnsi="Palatino Linotype" w:cs="Palatino Linotype"/>
          <w:b/>
          <w:bCs/>
          <w:color w:val="000000" w:themeColor="text1"/>
        </w:rPr>
        <w:t xml:space="preserve">RECURRENTE </w:t>
      </w:r>
      <w:r w:rsidRPr="0004272B">
        <w:rPr>
          <w:rFonts w:ascii="Palatino Linotype" w:eastAsia="Palatino Linotype" w:hAnsi="Palatino Linotype" w:cs="Palatino Linotype"/>
          <w:color w:val="000000" w:themeColor="text1"/>
        </w:rPr>
        <w:t>la presente resolución a través del Sistema de Acceso a la Información Mexiquense (SAIMEX).</w:t>
      </w:r>
    </w:p>
    <w:p w:rsidR="00095618" w:rsidRPr="0004272B" w:rsidRDefault="00095618" w:rsidP="0004272B">
      <w:pPr>
        <w:tabs>
          <w:tab w:val="left" w:pos="284"/>
        </w:tabs>
        <w:spacing w:line="360" w:lineRule="auto"/>
        <w:jc w:val="both"/>
        <w:rPr>
          <w:rFonts w:ascii="Palatino Linotype" w:eastAsia="Palatino Linotype" w:hAnsi="Palatino Linotype" w:cs="Palatino Linotype"/>
          <w:color w:val="000000" w:themeColor="text1"/>
        </w:rPr>
      </w:pPr>
    </w:p>
    <w:p w:rsidR="00095618" w:rsidRPr="0004272B" w:rsidRDefault="0076601F" w:rsidP="0004272B">
      <w:pPr>
        <w:spacing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b/>
          <w:bCs/>
          <w:color w:val="000000" w:themeColor="text1"/>
        </w:rPr>
        <w:t xml:space="preserve">QUINTO. </w:t>
      </w:r>
      <w:r w:rsidRPr="0004272B">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95618" w:rsidRPr="0004272B" w:rsidRDefault="0076601F" w:rsidP="0004272B">
      <w:pPr>
        <w:spacing w:before="240" w:after="360" w:line="360" w:lineRule="auto"/>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b/>
          <w:bCs/>
          <w:color w:val="000000" w:themeColor="text1"/>
        </w:rPr>
        <w:t>SEXTO.</w:t>
      </w:r>
      <w:r w:rsidRPr="0004272B">
        <w:rPr>
          <w:rFonts w:ascii="Palatino Linotype" w:eastAsia="Palatino Linotype" w:hAnsi="Palatino Linotype" w:cs="Palatino Linotype"/>
          <w:color w:val="000000" w:themeColor="text1"/>
        </w:rPr>
        <w:t xml:space="preserve"> Se hace del conocimiento del </w:t>
      </w:r>
      <w:r w:rsidRPr="0004272B">
        <w:rPr>
          <w:rFonts w:ascii="Palatino Linotype" w:eastAsia="Palatino Linotype" w:hAnsi="Palatino Linotype" w:cs="Palatino Linotype"/>
          <w:b/>
          <w:bCs/>
          <w:color w:val="000000" w:themeColor="text1"/>
        </w:rPr>
        <w:t xml:space="preserve">Recurrente </w:t>
      </w:r>
      <w:r w:rsidRPr="0004272B">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095618" w:rsidRDefault="0004272B" w:rsidP="0004272B">
      <w:pPr>
        <w:spacing w:before="240" w:after="240" w:line="360" w:lineRule="auto"/>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lastRenderedPageBreak/>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B47E27" w:rsidRDefault="00B47E27" w:rsidP="0004272B">
      <w:pPr>
        <w:spacing w:before="240" w:after="240" w:line="360" w:lineRule="auto"/>
        <w:jc w:val="both"/>
        <w:rPr>
          <w:rFonts w:ascii="Palatino Linotype" w:eastAsia="Palatino Linotype" w:hAnsi="Palatino Linotype" w:cs="Palatino Linotype"/>
        </w:rPr>
      </w:pPr>
    </w:p>
    <w:p w:rsidR="00B47E27" w:rsidRDefault="00B47E27" w:rsidP="0004272B">
      <w:pPr>
        <w:spacing w:before="240" w:after="240" w:line="360" w:lineRule="auto"/>
        <w:jc w:val="both"/>
        <w:rPr>
          <w:rFonts w:ascii="Palatino Linotype" w:eastAsia="Palatino Linotype" w:hAnsi="Palatino Linotype" w:cs="Palatino Linotype"/>
        </w:rPr>
      </w:pPr>
    </w:p>
    <w:p w:rsidR="00B47E27" w:rsidRDefault="00B47E27" w:rsidP="0004272B">
      <w:pPr>
        <w:spacing w:before="240" w:after="240" w:line="360" w:lineRule="auto"/>
        <w:jc w:val="both"/>
        <w:rPr>
          <w:rFonts w:ascii="Palatino Linotype" w:eastAsia="Palatino Linotype" w:hAnsi="Palatino Linotype" w:cs="Palatino Linotype"/>
        </w:rPr>
      </w:pPr>
    </w:p>
    <w:p w:rsidR="00B47E27" w:rsidRDefault="00B47E27" w:rsidP="0004272B">
      <w:pPr>
        <w:spacing w:before="240" w:after="240" w:line="360" w:lineRule="auto"/>
        <w:jc w:val="both"/>
        <w:rPr>
          <w:rFonts w:ascii="Palatino Linotype" w:eastAsia="Palatino Linotype" w:hAnsi="Palatino Linotype" w:cs="Palatino Linotype"/>
        </w:rPr>
      </w:pPr>
    </w:p>
    <w:p w:rsidR="00B47E27" w:rsidRDefault="00B47E27" w:rsidP="0004272B">
      <w:pPr>
        <w:spacing w:before="240" w:after="240" w:line="360" w:lineRule="auto"/>
        <w:jc w:val="both"/>
        <w:rPr>
          <w:rFonts w:ascii="Palatino Linotype" w:eastAsia="Palatino Linotype" w:hAnsi="Palatino Linotype" w:cs="Palatino Linotype"/>
        </w:rPr>
      </w:pPr>
    </w:p>
    <w:p w:rsidR="00B47E27" w:rsidRPr="0004272B" w:rsidRDefault="00B47E27" w:rsidP="0004272B">
      <w:pPr>
        <w:spacing w:before="240" w:after="240"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rPr>
          <w:rFonts w:ascii="Palatino Linotype" w:eastAsia="Palatino Linotype" w:hAnsi="Palatino Linotype" w:cs="Palatino Linotype"/>
          <w:color w:val="000000" w:themeColor="text1"/>
        </w:rPr>
      </w:pPr>
    </w:p>
    <w:p w:rsidR="00095618" w:rsidRPr="0004272B" w:rsidRDefault="00095618" w:rsidP="0004272B">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95618" w:rsidRPr="0004272B" w:rsidRDefault="00095618" w:rsidP="0004272B">
      <w:pPr>
        <w:rPr>
          <w:rFonts w:ascii="Palatino Linotype" w:hAnsi="Palatino Linotype"/>
          <w:color w:val="000000" w:themeColor="text1"/>
        </w:rPr>
      </w:pPr>
    </w:p>
    <w:p w:rsidR="00095618" w:rsidRPr="0004272B" w:rsidRDefault="00095618" w:rsidP="0004272B">
      <w:pPr>
        <w:rPr>
          <w:rFonts w:ascii="Palatino Linotype" w:hAnsi="Palatino Linotype"/>
          <w:color w:val="000000" w:themeColor="text1"/>
        </w:rPr>
      </w:pPr>
    </w:p>
    <w:p w:rsidR="00095618" w:rsidRPr="0004272B" w:rsidRDefault="00095618" w:rsidP="0004272B">
      <w:pPr>
        <w:rPr>
          <w:rFonts w:ascii="Palatino Linotype" w:hAnsi="Palatino Linotype"/>
          <w:color w:val="000000" w:themeColor="text1"/>
        </w:rPr>
      </w:pPr>
    </w:p>
    <w:p w:rsidR="00095618" w:rsidRPr="0004272B" w:rsidRDefault="00095618" w:rsidP="0004272B">
      <w:pPr>
        <w:rPr>
          <w:rFonts w:ascii="Palatino Linotype" w:hAnsi="Palatino Linotype"/>
          <w:color w:val="000000" w:themeColor="text1"/>
        </w:rPr>
      </w:pPr>
    </w:p>
    <w:p w:rsidR="00095618" w:rsidRPr="0004272B" w:rsidRDefault="00095618" w:rsidP="0004272B">
      <w:pPr>
        <w:rPr>
          <w:rFonts w:ascii="Palatino Linotype" w:hAnsi="Palatino Linotype"/>
          <w:color w:val="000000" w:themeColor="text1"/>
        </w:rPr>
      </w:pPr>
    </w:p>
    <w:p w:rsidR="00095618" w:rsidRPr="0004272B" w:rsidRDefault="00095618" w:rsidP="0004272B">
      <w:pPr>
        <w:rPr>
          <w:rFonts w:ascii="Palatino Linotype" w:hAnsi="Palatino Linotype"/>
          <w:color w:val="000000" w:themeColor="text1"/>
        </w:rPr>
      </w:pPr>
    </w:p>
    <w:p w:rsidR="00095618" w:rsidRPr="0004272B" w:rsidRDefault="00095618" w:rsidP="0004272B">
      <w:pPr>
        <w:rPr>
          <w:rFonts w:ascii="Palatino Linotype" w:hAnsi="Palatino Linotype"/>
          <w:color w:val="000000" w:themeColor="text1"/>
        </w:rPr>
      </w:pPr>
    </w:p>
    <w:p w:rsidR="00095618" w:rsidRPr="0004272B" w:rsidRDefault="00095618" w:rsidP="0004272B">
      <w:pPr>
        <w:rPr>
          <w:rFonts w:ascii="Palatino Linotype" w:hAnsi="Palatino Linotype"/>
          <w:color w:val="000000" w:themeColor="text1"/>
        </w:rPr>
      </w:pPr>
    </w:p>
    <w:sectPr w:rsidR="00095618" w:rsidRPr="0004272B" w:rsidSect="00B47E27">
      <w:headerReference w:type="even" r:id="rId12"/>
      <w:headerReference w:type="default" r:id="rId13"/>
      <w:footerReference w:type="default" r:id="rId14"/>
      <w:headerReference w:type="first" r:id="rId15"/>
      <w:footerReference w:type="first" r:id="rId16"/>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929" w:rsidRDefault="00674929">
      <w:r>
        <w:separator/>
      </w:r>
    </w:p>
  </w:endnote>
  <w:endnote w:type="continuationSeparator" w:id="0">
    <w:p w:rsidR="00674929" w:rsidRDefault="0067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54D61445-1A6B-486A-A029-6B288B2583B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9293897-C2DA-4F14-B5FC-B87F623FABE3}"/>
    <w:embedBold r:id="rId3" w:fontKey="{B36544CB-1F89-4086-82DD-1D1DCAD92063}"/>
    <w:embedItalic r:id="rId4" w:fontKey="{F8715AB8-5968-43C4-83D7-DB185569F0E3}"/>
    <w:embedBoldItalic r:id="rId5" w:fontKey="{19F4699C-78A4-4B32-8022-1C35A4775C6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8D6F478-98EF-4DA3-B498-E134DF8B6229}"/>
  </w:font>
  <w:font w:name="Calibri Light">
    <w:panose1 w:val="020F0302020204030204"/>
    <w:charset w:val="00"/>
    <w:family w:val="swiss"/>
    <w:pitch w:val="variable"/>
    <w:sig w:usb0="E4002EFF" w:usb1="C200247B" w:usb2="00000009" w:usb3="00000000" w:csb0="000001FF" w:csb1="00000000"/>
    <w:embedRegular r:id="rId7" w:fontKey="{3CF90D3D-4EE3-46B6-A7DB-DC5A00F1263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embedItalic r:id="rId8" w:fontKey="{543A9443-ECFD-4FF2-8BA7-C9C13828A21D}"/>
  </w:font>
  <w:font w:name="Garamond">
    <w:panose1 w:val="02020404030301010803"/>
    <w:charset w:val="00"/>
    <w:family w:val="roman"/>
    <w:pitch w:val="variable"/>
    <w:sig w:usb0="00000287" w:usb1="00000000" w:usb2="00000000" w:usb3="00000000" w:csb0="0000009F" w:csb1="00000000"/>
    <w:embedRegular r:id="rId9" w:fontKey="{507D4DD3-0D6E-470A-A3D5-EAA6306FBF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618" w:rsidRDefault="0076601F">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3A3F53">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3A3F53">
      <w:rPr>
        <w:b/>
        <w:bCs/>
        <w:noProof/>
        <w:color w:val="000000"/>
      </w:rPr>
      <w:t>24</w:t>
    </w:r>
    <w:r>
      <w:rPr>
        <w:b/>
        <w:bCs/>
        <w:color w:val="000000"/>
      </w:rPr>
      <w:fldChar w:fldCharType="end"/>
    </w:r>
  </w:p>
  <w:p w:rsidR="00095618" w:rsidRDefault="0009561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618" w:rsidRDefault="0076601F">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3A3F53">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3A3F53">
      <w:rPr>
        <w:b/>
        <w:bCs/>
        <w:noProof/>
        <w:color w:val="000000"/>
      </w:rPr>
      <w:t>24</w:t>
    </w:r>
    <w:r>
      <w:rPr>
        <w:b/>
        <w:bCs/>
        <w:color w:val="000000"/>
      </w:rPr>
      <w:fldChar w:fldCharType="end"/>
    </w:r>
  </w:p>
  <w:p w:rsidR="00095618" w:rsidRDefault="0009561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929" w:rsidRDefault="00674929">
      <w:r>
        <w:separator/>
      </w:r>
    </w:p>
  </w:footnote>
  <w:footnote w:type="continuationSeparator" w:id="0">
    <w:p w:rsidR="00674929" w:rsidRDefault="00674929">
      <w:r>
        <w:continuationSeparator/>
      </w:r>
    </w:p>
  </w:footnote>
  <w:footnote w:id="1">
    <w:p w:rsidR="00095618" w:rsidRDefault="0076601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095618" w:rsidRDefault="0076601F">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rsidR="00095618" w:rsidRDefault="0076601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618" w:rsidRDefault="0067492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9923" w:type="dxa"/>
      <w:tblInd w:w="0" w:type="dxa"/>
      <w:tblLayout w:type="fixed"/>
      <w:tblLook w:val="0400" w:firstRow="0" w:lastRow="0" w:firstColumn="0" w:lastColumn="0" w:noHBand="0" w:noVBand="1"/>
    </w:tblPr>
    <w:tblGrid>
      <w:gridCol w:w="2410"/>
      <w:gridCol w:w="7513"/>
    </w:tblGrid>
    <w:tr w:rsidR="00095618" w:rsidTr="00B47E27">
      <w:trPr>
        <w:trHeight w:val="1435"/>
      </w:trPr>
      <w:tc>
        <w:tcPr>
          <w:tcW w:w="2410" w:type="dxa"/>
          <w:shd w:val="clear" w:color="auto" w:fill="auto"/>
        </w:tcPr>
        <w:p w:rsidR="00095618" w:rsidRDefault="00095618">
          <w:pPr>
            <w:tabs>
              <w:tab w:val="right" w:pos="4273"/>
            </w:tabs>
            <w:rPr>
              <w:rFonts w:ascii="Garamond" w:eastAsia="Garamond" w:hAnsi="Garamond" w:cs="Garamond"/>
              <w:sz w:val="16"/>
              <w:szCs w:val="16"/>
            </w:rPr>
          </w:pPr>
        </w:p>
      </w:tc>
      <w:tc>
        <w:tcPr>
          <w:tcW w:w="7513" w:type="dxa"/>
          <w:shd w:val="clear" w:color="auto" w:fill="auto"/>
        </w:tcPr>
        <w:tbl>
          <w:tblPr>
            <w:tblStyle w:val="a2"/>
            <w:tblW w:w="7642" w:type="dxa"/>
            <w:tblInd w:w="1019" w:type="dxa"/>
            <w:tblLayout w:type="fixed"/>
            <w:tblLook w:val="0400" w:firstRow="0" w:lastRow="0" w:firstColumn="0" w:lastColumn="0" w:noHBand="0" w:noVBand="1"/>
          </w:tblPr>
          <w:tblGrid>
            <w:gridCol w:w="2680"/>
            <w:gridCol w:w="4962"/>
          </w:tblGrid>
          <w:tr w:rsidR="00095618" w:rsidTr="0004272B">
            <w:trPr>
              <w:trHeight w:val="150"/>
            </w:trPr>
            <w:tc>
              <w:tcPr>
                <w:tcW w:w="2680" w:type="dxa"/>
                <w:shd w:val="clear" w:color="auto" w:fill="auto"/>
              </w:tcPr>
              <w:p w:rsidR="00095618" w:rsidRPr="0004272B" w:rsidRDefault="0076601F" w:rsidP="0004272B">
                <w:pPr>
                  <w:tabs>
                    <w:tab w:val="right" w:pos="8838"/>
                  </w:tabs>
                  <w:ind w:right="-105"/>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Recurso de Revisión:</w:t>
                </w:r>
              </w:p>
            </w:tc>
            <w:tc>
              <w:tcPr>
                <w:tcW w:w="4962" w:type="dxa"/>
                <w:shd w:val="clear" w:color="auto" w:fill="auto"/>
              </w:tcPr>
              <w:p w:rsidR="00095618" w:rsidRPr="0004272B" w:rsidRDefault="0076601F" w:rsidP="0004272B">
                <w:pPr>
                  <w:tabs>
                    <w:tab w:val="right" w:pos="8838"/>
                  </w:tabs>
                  <w:ind w:left="-108"/>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07238/INFOEM/IP/RR/2025</w:t>
                </w:r>
                <w:r w:rsidRPr="0004272B">
                  <w:rPr>
                    <w:rFonts w:ascii="Palatino Linotype" w:eastAsia="Palatino Linotype" w:hAnsi="Palatino Linotype" w:cs="Palatino Linotype"/>
                    <w:b/>
                    <w:bCs/>
                    <w:color w:val="000000" w:themeColor="text1"/>
                  </w:rPr>
                  <w:t xml:space="preserve"> </w:t>
                </w:r>
              </w:p>
            </w:tc>
          </w:tr>
          <w:tr w:rsidR="00095618" w:rsidTr="0004272B">
            <w:trPr>
              <w:trHeight w:val="295"/>
            </w:trPr>
            <w:tc>
              <w:tcPr>
                <w:tcW w:w="2680" w:type="dxa"/>
                <w:shd w:val="clear" w:color="auto" w:fill="auto"/>
              </w:tcPr>
              <w:p w:rsidR="00095618" w:rsidRPr="0004272B" w:rsidRDefault="0076601F" w:rsidP="0004272B">
                <w:pPr>
                  <w:tabs>
                    <w:tab w:val="right" w:pos="8838"/>
                  </w:tabs>
                  <w:ind w:right="-105"/>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Sujeto Obligado:</w:t>
                </w:r>
              </w:p>
            </w:tc>
            <w:tc>
              <w:tcPr>
                <w:tcW w:w="4962" w:type="dxa"/>
                <w:shd w:val="clear" w:color="auto" w:fill="auto"/>
              </w:tcPr>
              <w:p w:rsidR="00095618" w:rsidRPr="0004272B" w:rsidRDefault="0076601F" w:rsidP="0004272B">
                <w:pPr>
                  <w:tabs>
                    <w:tab w:val="left" w:pos="2834"/>
                    <w:tab w:val="right" w:pos="8838"/>
                  </w:tabs>
                  <w:ind w:left="-108"/>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Ayuntamiento de Zinacantepec</w:t>
                </w:r>
              </w:p>
            </w:tc>
          </w:tr>
          <w:tr w:rsidR="00095618" w:rsidTr="0004272B">
            <w:trPr>
              <w:trHeight w:val="295"/>
            </w:trPr>
            <w:tc>
              <w:tcPr>
                <w:tcW w:w="2680" w:type="dxa"/>
                <w:shd w:val="clear" w:color="auto" w:fill="auto"/>
              </w:tcPr>
              <w:p w:rsidR="00095618" w:rsidRPr="0004272B" w:rsidRDefault="0076601F" w:rsidP="0004272B">
                <w:pPr>
                  <w:tabs>
                    <w:tab w:val="right" w:pos="8838"/>
                  </w:tabs>
                  <w:ind w:right="-105"/>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Comisionado ponente:</w:t>
                </w:r>
              </w:p>
            </w:tc>
            <w:tc>
              <w:tcPr>
                <w:tcW w:w="4962" w:type="dxa"/>
                <w:shd w:val="clear" w:color="auto" w:fill="auto"/>
              </w:tcPr>
              <w:p w:rsidR="00095618" w:rsidRPr="0004272B" w:rsidRDefault="0076601F" w:rsidP="0004272B">
                <w:pPr>
                  <w:tabs>
                    <w:tab w:val="right" w:pos="8838"/>
                  </w:tabs>
                  <w:ind w:left="-108"/>
                  <w:jc w:val="both"/>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María del Rosario Mejía Ayala</w:t>
                </w:r>
              </w:p>
              <w:p w:rsidR="00095618" w:rsidRPr="0004272B" w:rsidRDefault="00095618" w:rsidP="0004272B">
                <w:pPr>
                  <w:tabs>
                    <w:tab w:val="right" w:pos="8838"/>
                  </w:tabs>
                  <w:ind w:left="-108"/>
                  <w:jc w:val="both"/>
                  <w:rPr>
                    <w:rFonts w:ascii="Palatino Linotype" w:eastAsia="Palatino Linotype" w:hAnsi="Palatino Linotype" w:cs="Palatino Linotype"/>
                    <w:b/>
                    <w:bCs/>
                    <w:color w:val="000000" w:themeColor="text1"/>
                  </w:rPr>
                </w:pPr>
              </w:p>
            </w:tc>
          </w:tr>
        </w:tbl>
        <w:p w:rsidR="00095618" w:rsidRDefault="00095618">
          <w:pPr>
            <w:tabs>
              <w:tab w:val="right" w:pos="8838"/>
            </w:tabs>
            <w:ind w:left="-28"/>
            <w:jc w:val="both"/>
            <w:rPr>
              <w:rFonts w:ascii="Arial" w:eastAsia="Arial" w:hAnsi="Arial" w:cs="Arial"/>
              <w:b/>
              <w:bCs/>
              <w:sz w:val="22"/>
              <w:szCs w:val="22"/>
            </w:rPr>
          </w:pPr>
        </w:p>
      </w:tc>
    </w:tr>
  </w:tbl>
  <w:p w:rsidR="00095618" w:rsidRDefault="00674929">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020" w:type="dxa"/>
      <w:tblInd w:w="0" w:type="dxa"/>
      <w:tblLayout w:type="fixed"/>
      <w:tblLook w:val="0400" w:firstRow="0" w:lastRow="0" w:firstColumn="0" w:lastColumn="0" w:noHBand="0" w:noVBand="1"/>
    </w:tblPr>
    <w:tblGrid>
      <w:gridCol w:w="2265"/>
      <w:gridCol w:w="7755"/>
    </w:tblGrid>
    <w:tr w:rsidR="00095618">
      <w:trPr>
        <w:trHeight w:val="1435"/>
      </w:trPr>
      <w:tc>
        <w:tcPr>
          <w:tcW w:w="2265" w:type="dxa"/>
          <w:shd w:val="clear" w:color="auto" w:fill="auto"/>
        </w:tcPr>
        <w:p w:rsidR="00095618" w:rsidRDefault="00095618">
          <w:pPr>
            <w:tabs>
              <w:tab w:val="right" w:pos="4273"/>
            </w:tabs>
            <w:rPr>
              <w:rFonts w:ascii="Garamond" w:eastAsia="Garamond" w:hAnsi="Garamond" w:cs="Garamond"/>
              <w:sz w:val="22"/>
              <w:szCs w:val="22"/>
            </w:rPr>
          </w:pPr>
        </w:p>
      </w:tc>
      <w:tc>
        <w:tcPr>
          <w:tcW w:w="7755" w:type="dxa"/>
          <w:shd w:val="clear" w:color="auto" w:fill="auto"/>
        </w:tcPr>
        <w:tbl>
          <w:tblPr>
            <w:tblStyle w:val="a4"/>
            <w:tblW w:w="7507" w:type="dxa"/>
            <w:tblInd w:w="1306" w:type="dxa"/>
            <w:tblLayout w:type="fixed"/>
            <w:tblLook w:val="0400" w:firstRow="0" w:lastRow="0" w:firstColumn="0" w:lastColumn="0" w:noHBand="0" w:noVBand="1"/>
          </w:tblPr>
          <w:tblGrid>
            <w:gridCol w:w="2542"/>
            <w:gridCol w:w="4965"/>
          </w:tblGrid>
          <w:tr w:rsidR="00095618" w:rsidTr="00B47E27">
            <w:trPr>
              <w:trHeight w:val="144"/>
            </w:trPr>
            <w:tc>
              <w:tcPr>
                <w:tcW w:w="2542" w:type="dxa"/>
                <w:shd w:val="clear" w:color="auto" w:fill="auto"/>
              </w:tcPr>
              <w:p w:rsidR="00095618" w:rsidRPr="0004272B" w:rsidRDefault="0076601F" w:rsidP="0004272B">
                <w:pPr>
                  <w:tabs>
                    <w:tab w:val="right" w:pos="8838"/>
                  </w:tabs>
                  <w:ind w:left="-264" w:right="-105" w:firstLine="195"/>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Recurso de Revisión:</w:t>
                </w:r>
              </w:p>
            </w:tc>
            <w:tc>
              <w:tcPr>
                <w:tcW w:w="4965" w:type="dxa"/>
                <w:shd w:val="clear" w:color="auto" w:fill="auto"/>
              </w:tcPr>
              <w:p w:rsidR="00095618" w:rsidRPr="0004272B" w:rsidRDefault="0076601F" w:rsidP="0004272B">
                <w:pPr>
                  <w:tabs>
                    <w:tab w:val="right" w:pos="8838"/>
                  </w:tabs>
                  <w:ind w:left="-74" w:right="-111"/>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07238/INFOEM/IP/RR/2025</w:t>
                </w:r>
              </w:p>
            </w:tc>
          </w:tr>
          <w:tr w:rsidR="00095618" w:rsidTr="00B47E27">
            <w:trPr>
              <w:trHeight w:val="144"/>
            </w:trPr>
            <w:tc>
              <w:tcPr>
                <w:tcW w:w="2542" w:type="dxa"/>
                <w:shd w:val="clear" w:color="auto" w:fill="auto"/>
              </w:tcPr>
              <w:p w:rsidR="00095618" w:rsidRPr="0004272B" w:rsidRDefault="0076601F" w:rsidP="0004272B">
                <w:pPr>
                  <w:tabs>
                    <w:tab w:val="right" w:pos="8838"/>
                  </w:tabs>
                  <w:ind w:left="-74" w:right="-105"/>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Recurrente:</w:t>
                </w:r>
              </w:p>
            </w:tc>
            <w:tc>
              <w:tcPr>
                <w:tcW w:w="4965" w:type="dxa"/>
                <w:shd w:val="clear" w:color="auto" w:fill="auto"/>
              </w:tcPr>
              <w:p w:rsidR="00095618" w:rsidRPr="0004272B" w:rsidRDefault="00095618" w:rsidP="0004272B">
                <w:pPr>
                  <w:tabs>
                    <w:tab w:val="left" w:pos="3122"/>
                    <w:tab w:val="right" w:pos="8838"/>
                  </w:tabs>
                  <w:ind w:left="-74" w:right="-111"/>
                  <w:rPr>
                    <w:rFonts w:ascii="Palatino Linotype" w:eastAsia="Palatino Linotype" w:hAnsi="Palatino Linotype" w:cs="Palatino Linotype"/>
                    <w:color w:val="000000" w:themeColor="text1"/>
                  </w:rPr>
                </w:pPr>
              </w:p>
            </w:tc>
          </w:tr>
          <w:tr w:rsidR="00095618" w:rsidTr="00B47E27">
            <w:trPr>
              <w:trHeight w:val="283"/>
            </w:trPr>
            <w:tc>
              <w:tcPr>
                <w:tcW w:w="2542" w:type="dxa"/>
                <w:shd w:val="clear" w:color="auto" w:fill="auto"/>
              </w:tcPr>
              <w:p w:rsidR="00095618" w:rsidRPr="0004272B" w:rsidRDefault="0076601F" w:rsidP="0004272B">
                <w:pPr>
                  <w:tabs>
                    <w:tab w:val="right" w:pos="8838"/>
                  </w:tabs>
                  <w:ind w:left="-74" w:right="-105"/>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Sujeto Obligado:</w:t>
                </w:r>
              </w:p>
            </w:tc>
            <w:tc>
              <w:tcPr>
                <w:tcW w:w="4965" w:type="dxa"/>
                <w:shd w:val="clear" w:color="auto" w:fill="auto"/>
              </w:tcPr>
              <w:p w:rsidR="00095618" w:rsidRPr="0004272B" w:rsidRDefault="0076601F" w:rsidP="0004272B">
                <w:pPr>
                  <w:tabs>
                    <w:tab w:val="left" w:pos="2834"/>
                    <w:tab w:val="right" w:pos="8838"/>
                  </w:tabs>
                  <w:ind w:left="-74" w:right="-111"/>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Ayuntamiento de Zinacantepec</w:t>
                </w:r>
              </w:p>
            </w:tc>
          </w:tr>
          <w:tr w:rsidR="00095618" w:rsidTr="00B47E27">
            <w:trPr>
              <w:trHeight w:val="283"/>
            </w:trPr>
            <w:tc>
              <w:tcPr>
                <w:tcW w:w="2542" w:type="dxa"/>
                <w:shd w:val="clear" w:color="auto" w:fill="auto"/>
              </w:tcPr>
              <w:p w:rsidR="00095618" w:rsidRPr="0004272B" w:rsidRDefault="0076601F" w:rsidP="0004272B">
                <w:pPr>
                  <w:tabs>
                    <w:tab w:val="right" w:pos="8838"/>
                  </w:tabs>
                  <w:ind w:left="-74" w:right="-105"/>
                  <w:rPr>
                    <w:rFonts w:ascii="Palatino Linotype" w:eastAsia="Palatino Linotype" w:hAnsi="Palatino Linotype" w:cs="Palatino Linotype"/>
                    <w:b/>
                    <w:bCs/>
                    <w:color w:val="000000" w:themeColor="text1"/>
                  </w:rPr>
                </w:pPr>
                <w:r w:rsidRPr="0004272B">
                  <w:rPr>
                    <w:rFonts w:ascii="Palatino Linotype" w:eastAsia="Palatino Linotype" w:hAnsi="Palatino Linotype" w:cs="Palatino Linotype"/>
                    <w:b/>
                    <w:bCs/>
                    <w:color w:val="000000" w:themeColor="text1"/>
                  </w:rPr>
                  <w:t>Comisionado ponente:</w:t>
                </w:r>
              </w:p>
            </w:tc>
            <w:tc>
              <w:tcPr>
                <w:tcW w:w="4965" w:type="dxa"/>
                <w:shd w:val="clear" w:color="auto" w:fill="auto"/>
              </w:tcPr>
              <w:p w:rsidR="00095618" w:rsidRPr="0004272B" w:rsidRDefault="0076601F" w:rsidP="0004272B">
                <w:pPr>
                  <w:tabs>
                    <w:tab w:val="right" w:pos="8838"/>
                  </w:tabs>
                  <w:ind w:left="-74" w:right="-111"/>
                  <w:rPr>
                    <w:rFonts w:ascii="Palatino Linotype" w:eastAsia="Palatino Linotype" w:hAnsi="Palatino Linotype" w:cs="Palatino Linotype"/>
                    <w:color w:val="000000" w:themeColor="text1"/>
                  </w:rPr>
                </w:pPr>
                <w:r w:rsidRPr="0004272B">
                  <w:rPr>
                    <w:rFonts w:ascii="Palatino Linotype" w:eastAsia="Palatino Linotype" w:hAnsi="Palatino Linotype" w:cs="Palatino Linotype"/>
                    <w:color w:val="000000" w:themeColor="text1"/>
                  </w:rPr>
                  <w:t>María del Rosario Mejía Ayala</w:t>
                </w:r>
              </w:p>
              <w:p w:rsidR="00095618" w:rsidRPr="0004272B" w:rsidRDefault="00095618" w:rsidP="0004272B">
                <w:pPr>
                  <w:tabs>
                    <w:tab w:val="right" w:pos="8838"/>
                  </w:tabs>
                  <w:ind w:left="-74" w:right="-111"/>
                  <w:rPr>
                    <w:rFonts w:ascii="Palatino Linotype" w:eastAsia="Palatino Linotype" w:hAnsi="Palatino Linotype" w:cs="Palatino Linotype"/>
                    <w:b/>
                    <w:bCs/>
                    <w:color w:val="000000" w:themeColor="text1"/>
                  </w:rPr>
                </w:pPr>
              </w:p>
            </w:tc>
          </w:tr>
        </w:tbl>
        <w:p w:rsidR="00095618" w:rsidRDefault="00095618">
          <w:pPr>
            <w:tabs>
              <w:tab w:val="right" w:pos="8838"/>
            </w:tabs>
            <w:ind w:left="-28"/>
            <w:jc w:val="both"/>
            <w:rPr>
              <w:rFonts w:ascii="Arial" w:eastAsia="Arial" w:hAnsi="Arial" w:cs="Arial"/>
              <w:b/>
              <w:bCs/>
              <w:sz w:val="22"/>
              <w:szCs w:val="22"/>
            </w:rPr>
          </w:pPr>
        </w:p>
      </w:tc>
    </w:tr>
  </w:tbl>
  <w:p w:rsidR="00095618" w:rsidRDefault="00674929">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E22D4"/>
    <w:multiLevelType w:val="multilevel"/>
    <w:tmpl w:val="9F30A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4162F3"/>
    <w:multiLevelType w:val="multilevel"/>
    <w:tmpl w:val="81C8429A"/>
    <w:lvl w:ilvl="0">
      <w:start w:val="1"/>
      <w:numFmt w:val="decimal"/>
      <w:lvlText w:val="%1."/>
      <w:lvlJc w:val="left"/>
      <w:pPr>
        <w:ind w:left="72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870D35"/>
    <w:multiLevelType w:val="multilevel"/>
    <w:tmpl w:val="A0161718"/>
    <w:lvl w:ilvl="0">
      <w:start w:val="1"/>
      <w:numFmt w:val="decimal"/>
      <w:lvlText w:val="%1."/>
      <w:lvlJc w:val="left"/>
      <w:pPr>
        <w:ind w:left="72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634176"/>
    <w:multiLevelType w:val="multilevel"/>
    <w:tmpl w:val="27765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1B57DF"/>
    <w:multiLevelType w:val="multilevel"/>
    <w:tmpl w:val="7EBEAA9E"/>
    <w:lvl w:ilvl="0">
      <w:start w:val="1"/>
      <w:numFmt w:val="decimal"/>
      <w:lvlText w:val="%1."/>
      <w:lvlJc w:val="left"/>
      <w:pPr>
        <w:ind w:left="360" w:hanging="360"/>
      </w:pPr>
      <w:rPr>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791318"/>
    <w:multiLevelType w:val="multilevel"/>
    <w:tmpl w:val="64C42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AC7190"/>
    <w:multiLevelType w:val="multilevel"/>
    <w:tmpl w:val="DE40CB72"/>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5"/>
  </w:num>
  <w:num w:numId="2">
    <w:abstractNumId w:val="2"/>
  </w:num>
  <w:num w:numId="3">
    <w:abstractNumId w:val="4"/>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618"/>
    <w:rsid w:val="0004272B"/>
    <w:rsid w:val="00095618"/>
    <w:rsid w:val="00381D1B"/>
    <w:rsid w:val="003A3F53"/>
    <w:rsid w:val="00674929"/>
    <w:rsid w:val="0076601F"/>
    <w:rsid w:val="00B47E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FEBA8E8-23B5-4C9B-A1D2-9DEBA4B46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172B4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172B47"/>
    <w:rPr>
      <w:rFonts w:asciiTheme="majorHAnsi" w:eastAsiaTheme="majorEastAsia" w:hAnsiTheme="majorHAnsi" w:cstheme="majorBidi"/>
      <w:color w:val="2E74B5" w:themeColor="accent1" w:themeShade="BF"/>
      <w:sz w:val="26"/>
      <w:szCs w:val="26"/>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172B47"/>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2B4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2B47"/>
    <w:rPr>
      <w:rFonts w:ascii="Times New Roman" w:eastAsia="Times New Roman" w:hAnsi="Times New Roman" w:cs="Times New Roman"/>
      <w:sz w:val="24"/>
      <w:szCs w:val="24"/>
      <w:lang w:eastAsia="es-MX"/>
    </w:rPr>
  </w:style>
  <w:style w:type="table" w:styleId="Tablanormal1">
    <w:name w:val="Plain Table 1"/>
    <w:basedOn w:val="Tablanormal"/>
    <w:uiPriority w:val="41"/>
    <w:rsid w:val="00172B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aliases w:val="Francesa,INAI"/>
    <w:link w:val="SinespaciadoCar"/>
    <w:uiPriority w:val="1"/>
    <w:qFormat/>
    <w:rsid w:val="00172B47"/>
    <w:pPr>
      <w:ind w:left="567" w:right="567"/>
      <w:jc w:val="both"/>
    </w:pPr>
    <w:rPr>
      <w:rFonts w:ascii="Arial" w:eastAsia="Batang" w:hAnsi="Arial"/>
      <w:sz w:val="20"/>
      <w:lang w:eastAsia="es-ES"/>
    </w:rPr>
  </w:style>
  <w:style w:type="character" w:customStyle="1" w:styleId="SinespaciadoCar">
    <w:name w:val="Sin espaciado Car"/>
    <w:aliases w:val="Francesa Car,INAI Car"/>
    <w:basedOn w:val="Fuentedeprrafopredeter"/>
    <w:link w:val="Sinespaciado"/>
    <w:uiPriority w:val="1"/>
    <w:qFormat/>
    <w:rsid w:val="00172B47"/>
    <w:rPr>
      <w:rFonts w:ascii="Arial" w:eastAsia="Batang" w:hAnsi="Arial" w:cs="Times New Roman"/>
      <w:sz w:val="20"/>
      <w:szCs w:val="24"/>
      <w:lang w:eastAsia="es-ES"/>
    </w:rPr>
  </w:style>
  <w:style w:type="paragraph" w:styleId="Piedepgina">
    <w:name w:val="footer"/>
    <w:basedOn w:val="Normal"/>
    <w:link w:val="PiedepginaCar"/>
    <w:uiPriority w:val="99"/>
    <w:unhideWhenUsed/>
    <w:rsid w:val="00172B47"/>
    <w:pPr>
      <w:tabs>
        <w:tab w:val="center" w:pos="4419"/>
        <w:tab w:val="right" w:pos="8838"/>
      </w:tabs>
    </w:pPr>
  </w:style>
  <w:style w:type="character" w:customStyle="1" w:styleId="PiedepginaCar">
    <w:name w:val="Pie de página Car"/>
    <w:basedOn w:val="Fuentedeprrafopredeter"/>
    <w:link w:val="Piedepgina"/>
    <w:uiPriority w:val="99"/>
    <w:rsid w:val="00172B47"/>
    <w:rPr>
      <w:rFonts w:ascii="Times New Roman" w:eastAsia="Times New Roman" w:hAnsi="Times New Roman" w:cs="Times New Roman"/>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A120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A120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0A1205"/>
    <w:rPr>
      <w:vertAlign w:val="superscri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44228.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88486.pag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saimex.org.mx/saimex/solicitud/downloadAttach/2488485.page" TargetMode="External"/><Relationship Id="rId4" Type="http://schemas.openxmlformats.org/officeDocument/2006/relationships/settings" Target="settings.xml"/><Relationship Id="rId9" Type="http://schemas.openxmlformats.org/officeDocument/2006/relationships/hyperlink" Target="https://saimex.org.mx/saimex/solicitud/downloadAttach/2456419.pag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1GSOsV2dCmcA97ULUuM/vRAGIg==">CgMxLjAyDmgua3htZzRwM3gwNzk5MghoLmdqZGd4czIJaC4xZm9iOXRlMgloLjN6bnlzaDcyCWguMmV0OTJwMDIOaC5mNGRjYWM0Y3ZsNXgyDmguaGhrcWNuNXN0YWllMg5oLjV3M3VqN21iZGtnNTIOaC45MnZ0dGFqc3JucWw4AHIhMVRfelQtWUtKZ3JiS1NHQ0dZNnUtemZxT2pYUS04TDZy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5632</Words>
  <Characters>30978</Characters>
  <Application>Microsoft Office Word</Application>
  <DocSecurity>0</DocSecurity>
  <Lines>258</Lines>
  <Paragraphs>73</Paragraphs>
  <ScaleCrop>false</ScaleCrop>
  <Company>HP Inc.</Company>
  <LinksUpToDate>false</LinksUpToDate>
  <CharactersWithSpaces>36537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4</cp:revision>
  <dcterms:created xsi:type="dcterms:W3CDTF">2025-11-19T19:32:00Z</dcterms:created>
  <dcterms:modified xsi:type="dcterms:W3CDTF">2025-12-05T00:21:00Z</dcterms:modified>
</cp:coreProperties>
</file>