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BD01D" w14:textId="77777777" w:rsidR="00F5427F" w:rsidRPr="00995C30" w:rsidRDefault="000F33A4" w:rsidP="00995C30">
      <w:pPr>
        <w:keepNext/>
        <w:keepLines/>
        <w:pBdr>
          <w:top w:val="nil"/>
          <w:left w:val="nil"/>
          <w:bottom w:val="nil"/>
          <w:right w:val="nil"/>
          <w:between w:val="nil"/>
        </w:pBdr>
        <w:spacing w:before="240" w:line="259" w:lineRule="auto"/>
        <w:jc w:val="left"/>
        <w:rPr>
          <w:rFonts w:ascii="Play" w:eastAsia="Play" w:hAnsi="Play" w:cs="Play"/>
          <w:sz w:val="28"/>
          <w:szCs w:val="22"/>
        </w:rPr>
      </w:pPr>
      <w:r w:rsidRPr="00995C30">
        <w:rPr>
          <w:rFonts w:ascii="Play" w:eastAsia="Play" w:hAnsi="Play" w:cs="Play"/>
          <w:sz w:val="28"/>
          <w:szCs w:val="22"/>
        </w:rPr>
        <w:t>Contenido</w:t>
      </w:r>
    </w:p>
    <w:sdt>
      <w:sdtPr>
        <w:id w:val="1862472006"/>
        <w:docPartObj>
          <w:docPartGallery w:val="Table of Contents"/>
          <w:docPartUnique/>
        </w:docPartObj>
      </w:sdtPr>
      <w:sdtEndPr/>
      <w:sdtContent>
        <w:p w14:paraId="246BB7BD" w14:textId="77777777" w:rsidR="00F5427F" w:rsidRPr="00995C30" w:rsidRDefault="000F33A4" w:rsidP="00995C30">
          <w:pPr>
            <w:pBdr>
              <w:top w:val="nil"/>
              <w:left w:val="nil"/>
              <w:bottom w:val="nil"/>
              <w:right w:val="nil"/>
              <w:between w:val="nil"/>
            </w:pBdr>
            <w:tabs>
              <w:tab w:val="right" w:pos="9034"/>
            </w:tabs>
            <w:spacing w:after="100"/>
            <w:rPr>
              <w:rFonts w:ascii="Aptos" w:eastAsia="Aptos" w:hAnsi="Aptos" w:cs="Aptos"/>
              <w:szCs w:val="22"/>
            </w:rPr>
          </w:pPr>
          <w:r w:rsidRPr="00995C30">
            <w:fldChar w:fldCharType="begin"/>
          </w:r>
          <w:r w:rsidRPr="00995C30">
            <w:instrText xml:space="preserve"> TOC \h \u \z \t "Heading 1,1,Heading 2,2,Heading 3,3,"</w:instrText>
          </w:r>
          <w:r w:rsidRPr="00995C30">
            <w:fldChar w:fldCharType="separate"/>
          </w:r>
          <w:hyperlink w:anchor="_heading=h.r3xr3ftddd21">
            <w:r w:rsidRPr="00995C30">
              <w:rPr>
                <w:rFonts w:eastAsia="Palatino Linotype" w:cs="Palatino Linotype"/>
                <w:szCs w:val="22"/>
              </w:rPr>
              <w:t>ANTECEDENTES</w:t>
            </w:r>
            <w:r w:rsidRPr="00995C30">
              <w:rPr>
                <w:rFonts w:eastAsia="Palatino Linotype" w:cs="Palatino Linotype"/>
                <w:szCs w:val="22"/>
              </w:rPr>
              <w:tab/>
              <w:t>1</w:t>
            </w:r>
          </w:hyperlink>
        </w:p>
        <w:p w14:paraId="537480E9" w14:textId="77777777" w:rsidR="00F5427F" w:rsidRPr="00995C30" w:rsidRDefault="00FA0ADC" w:rsidP="00995C30">
          <w:pPr>
            <w:pBdr>
              <w:top w:val="nil"/>
              <w:left w:val="nil"/>
              <w:bottom w:val="nil"/>
              <w:right w:val="nil"/>
              <w:between w:val="nil"/>
            </w:pBdr>
            <w:tabs>
              <w:tab w:val="right" w:pos="9034"/>
            </w:tabs>
            <w:spacing w:after="100" w:line="240" w:lineRule="auto"/>
            <w:ind w:left="220"/>
            <w:rPr>
              <w:rFonts w:ascii="Aptos" w:eastAsia="Aptos" w:hAnsi="Aptos" w:cs="Aptos"/>
              <w:szCs w:val="22"/>
            </w:rPr>
          </w:pPr>
          <w:hyperlink w:anchor="_heading=h.i3fhg55tewdu">
            <w:r w:rsidR="000F33A4" w:rsidRPr="00995C30">
              <w:rPr>
                <w:rFonts w:eastAsia="Palatino Linotype" w:cs="Palatino Linotype"/>
                <w:szCs w:val="22"/>
              </w:rPr>
              <w:t>DE LA SOLICITUD DE INFORMACIÓN</w:t>
            </w:r>
            <w:r w:rsidR="000F33A4" w:rsidRPr="00995C30">
              <w:rPr>
                <w:rFonts w:eastAsia="Palatino Linotype" w:cs="Palatino Linotype"/>
                <w:szCs w:val="22"/>
              </w:rPr>
              <w:tab/>
              <w:t>1</w:t>
            </w:r>
          </w:hyperlink>
        </w:p>
        <w:p w14:paraId="37824DC7"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g7f98wio10yk">
            <w:r w:rsidR="000F33A4" w:rsidRPr="00995C30">
              <w:rPr>
                <w:rFonts w:eastAsia="Palatino Linotype" w:cs="Palatino Linotype"/>
                <w:szCs w:val="22"/>
              </w:rPr>
              <w:t>a) Solicitud de información.</w:t>
            </w:r>
            <w:r w:rsidR="000F33A4" w:rsidRPr="00995C30">
              <w:rPr>
                <w:rFonts w:eastAsia="Palatino Linotype" w:cs="Palatino Linotype"/>
                <w:szCs w:val="22"/>
              </w:rPr>
              <w:tab/>
              <w:t>1</w:t>
            </w:r>
          </w:hyperlink>
        </w:p>
        <w:p w14:paraId="1CEE8AAF"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f6z7iw3modiq">
            <w:r w:rsidR="000F33A4" w:rsidRPr="00995C30">
              <w:rPr>
                <w:rFonts w:eastAsia="Palatino Linotype" w:cs="Palatino Linotype"/>
                <w:szCs w:val="22"/>
              </w:rPr>
              <w:t>b) Respuesta del Sujeto Obligado.</w:t>
            </w:r>
            <w:r w:rsidR="000F33A4" w:rsidRPr="00995C30">
              <w:rPr>
                <w:rFonts w:eastAsia="Palatino Linotype" w:cs="Palatino Linotype"/>
                <w:szCs w:val="22"/>
              </w:rPr>
              <w:tab/>
              <w:t>2</w:t>
            </w:r>
          </w:hyperlink>
        </w:p>
        <w:p w14:paraId="064B28AE" w14:textId="77777777" w:rsidR="00F5427F" w:rsidRPr="00995C30" w:rsidRDefault="00FA0ADC" w:rsidP="00995C30">
          <w:pPr>
            <w:pBdr>
              <w:top w:val="nil"/>
              <w:left w:val="nil"/>
              <w:bottom w:val="nil"/>
              <w:right w:val="nil"/>
              <w:between w:val="nil"/>
            </w:pBdr>
            <w:tabs>
              <w:tab w:val="right" w:pos="9034"/>
            </w:tabs>
            <w:spacing w:after="100" w:line="240" w:lineRule="auto"/>
            <w:ind w:left="220"/>
            <w:rPr>
              <w:rFonts w:ascii="Aptos" w:eastAsia="Aptos" w:hAnsi="Aptos" w:cs="Aptos"/>
              <w:szCs w:val="22"/>
            </w:rPr>
          </w:pPr>
          <w:hyperlink w:anchor="_heading=h.ahp0nzr7s6m7">
            <w:r w:rsidR="000F33A4" w:rsidRPr="00995C30">
              <w:rPr>
                <w:rFonts w:eastAsia="Palatino Linotype" w:cs="Palatino Linotype"/>
                <w:szCs w:val="22"/>
              </w:rPr>
              <w:t>DEL RECURSO DE REVISIÓN</w:t>
            </w:r>
            <w:r w:rsidR="000F33A4" w:rsidRPr="00995C30">
              <w:rPr>
                <w:rFonts w:eastAsia="Palatino Linotype" w:cs="Palatino Linotype"/>
                <w:szCs w:val="22"/>
              </w:rPr>
              <w:tab/>
              <w:t>3</w:t>
            </w:r>
          </w:hyperlink>
        </w:p>
        <w:p w14:paraId="0C644B2B"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4ye5p39rkc8t">
            <w:r w:rsidR="000F33A4" w:rsidRPr="00995C30">
              <w:rPr>
                <w:rFonts w:eastAsia="Palatino Linotype" w:cs="Palatino Linotype"/>
                <w:szCs w:val="22"/>
              </w:rPr>
              <w:t>a) Interposición del Recurso de Revisión.</w:t>
            </w:r>
            <w:r w:rsidR="000F33A4" w:rsidRPr="00995C30">
              <w:rPr>
                <w:rFonts w:eastAsia="Palatino Linotype" w:cs="Palatino Linotype"/>
                <w:szCs w:val="22"/>
              </w:rPr>
              <w:tab/>
              <w:t>3</w:t>
            </w:r>
          </w:hyperlink>
        </w:p>
        <w:p w14:paraId="7EA46DAF"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2kipjhin5zfz">
            <w:r w:rsidR="000F33A4" w:rsidRPr="00995C30">
              <w:rPr>
                <w:rFonts w:eastAsia="Palatino Linotype" w:cs="Palatino Linotype"/>
                <w:szCs w:val="22"/>
              </w:rPr>
              <w:t>b) Turno del Recurso de Revisión.</w:t>
            </w:r>
            <w:r w:rsidR="000F33A4" w:rsidRPr="00995C30">
              <w:rPr>
                <w:rFonts w:eastAsia="Palatino Linotype" w:cs="Palatino Linotype"/>
                <w:szCs w:val="22"/>
              </w:rPr>
              <w:tab/>
              <w:t>4</w:t>
            </w:r>
          </w:hyperlink>
        </w:p>
        <w:p w14:paraId="0510D434"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tz9n4w1q3znj">
            <w:r w:rsidR="000F33A4" w:rsidRPr="00995C30">
              <w:rPr>
                <w:rFonts w:eastAsia="Palatino Linotype" w:cs="Palatino Linotype"/>
                <w:szCs w:val="22"/>
              </w:rPr>
              <w:t>c) Admisión del Recurso de Revisión.</w:t>
            </w:r>
            <w:r w:rsidR="000F33A4" w:rsidRPr="00995C30">
              <w:rPr>
                <w:rFonts w:eastAsia="Palatino Linotype" w:cs="Palatino Linotype"/>
                <w:szCs w:val="22"/>
              </w:rPr>
              <w:tab/>
              <w:t>4</w:t>
            </w:r>
          </w:hyperlink>
        </w:p>
        <w:p w14:paraId="71A98BA8"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yh1yo3vtady3">
            <w:r w:rsidR="000F33A4" w:rsidRPr="00995C30">
              <w:rPr>
                <w:rFonts w:eastAsia="Palatino Linotype" w:cs="Palatino Linotype"/>
                <w:szCs w:val="22"/>
              </w:rPr>
              <w:t>d) Manifestaciones de la Parte Recurrente.</w:t>
            </w:r>
            <w:r w:rsidR="000F33A4" w:rsidRPr="00995C30">
              <w:rPr>
                <w:rFonts w:eastAsia="Palatino Linotype" w:cs="Palatino Linotype"/>
                <w:szCs w:val="22"/>
              </w:rPr>
              <w:tab/>
              <w:t>5</w:t>
            </w:r>
          </w:hyperlink>
        </w:p>
        <w:p w14:paraId="105F91CA"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qldmsgjatjbm">
            <w:r w:rsidR="000F33A4" w:rsidRPr="00995C30">
              <w:rPr>
                <w:rFonts w:eastAsia="Palatino Linotype" w:cs="Palatino Linotype"/>
                <w:szCs w:val="22"/>
              </w:rPr>
              <w:t>e) Manifestaciones del Sujeto Obligado.</w:t>
            </w:r>
            <w:r w:rsidR="000F33A4" w:rsidRPr="00995C30">
              <w:rPr>
                <w:rFonts w:eastAsia="Palatino Linotype" w:cs="Palatino Linotype"/>
                <w:szCs w:val="22"/>
              </w:rPr>
              <w:tab/>
              <w:t>5</w:t>
            </w:r>
          </w:hyperlink>
        </w:p>
        <w:p w14:paraId="3D689945"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vfmenwwcxzg7">
            <w:r w:rsidR="000F33A4" w:rsidRPr="00995C30">
              <w:rPr>
                <w:rFonts w:eastAsia="Palatino Linotype" w:cs="Palatino Linotype"/>
                <w:szCs w:val="22"/>
              </w:rPr>
              <w:t>f) Cierre de instrucción.</w:t>
            </w:r>
            <w:r w:rsidR="000F33A4" w:rsidRPr="00995C30">
              <w:rPr>
                <w:rFonts w:eastAsia="Palatino Linotype" w:cs="Palatino Linotype"/>
                <w:szCs w:val="22"/>
              </w:rPr>
              <w:tab/>
              <w:t>5</w:t>
            </w:r>
          </w:hyperlink>
        </w:p>
        <w:p w14:paraId="70CCD051" w14:textId="77777777" w:rsidR="00F5427F" w:rsidRPr="00995C30" w:rsidRDefault="00FA0ADC" w:rsidP="00995C30">
          <w:pPr>
            <w:pBdr>
              <w:top w:val="nil"/>
              <w:left w:val="nil"/>
              <w:bottom w:val="nil"/>
              <w:right w:val="nil"/>
              <w:between w:val="nil"/>
            </w:pBdr>
            <w:tabs>
              <w:tab w:val="right" w:pos="9034"/>
            </w:tabs>
            <w:spacing w:after="100"/>
            <w:rPr>
              <w:rFonts w:ascii="Aptos" w:eastAsia="Aptos" w:hAnsi="Aptos" w:cs="Aptos"/>
              <w:szCs w:val="22"/>
            </w:rPr>
          </w:pPr>
          <w:hyperlink w:anchor="_heading=h.z6mshzt60qfu">
            <w:r w:rsidR="000F33A4" w:rsidRPr="00995C30">
              <w:rPr>
                <w:rFonts w:eastAsia="Palatino Linotype" w:cs="Palatino Linotype"/>
                <w:szCs w:val="22"/>
              </w:rPr>
              <w:t>CONSIDERANDOS</w:t>
            </w:r>
            <w:r w:rsidR="000F33A4" w:rsidRPr="00995C30">
              <w:rPr>
                <w:rFonts w:eastAsia="Palatino Linotype" w:cs="Palatino Linotype"/>
                <w:szCs w:val="22"/>
              </w:rPr>
              <w:tab/>
              <w:t>5</w:t>
            </w:r>
          </w:hyperlink>
        </w:p>
        <w:p w14:paraId="7C60B4F9" w14:textId="77777777" w:rsidR="00F5427F" w:rsidRPr="00995C30" w:rsidRDefault="00FA0ADC" w:rsidP="00995C30">
          <w:pPr>
            <w:pBdr>
              <w:top w:val="nil"/>
              <w:left w:val="nil"/>
              <w:bottom w:val="nil"/>
              <w:right w:val="nil"/>
              <w:between w:val="nil"/>
            </w:pBdr>
            <w:tabs>
              <w:tab w:val="right" w:pos="9034"/>
            </w:tabs>
            <w:spacing w:after="100" w:line="240" w:lineRule="auto"/>
            <w:ind w:left="220"/>
            <w:rPr>
              <w:rFonts w:ascii="Aptos" w:eastAsia="Aptos" w:hAnsi="Aptos" w:cs="Aptos"/>
              <w:szCs w:val="22"/>
            </w:rPr>
          </w:pPr>
          <w:hyperlink w:anchor="_heading=h.ooj7vlyxkrh1">
            <w:r w:rsidR="000F33A4" w:rsidRPr="00995C30">
              <w:rPr>
                <w:rFonts w:eastAsia="Palatino Linotype" w:cs="Palatino Linotype"/>
                <w:szCs w:val="22"/>
              </w:rPr>
              <w:t>PRIMERO. Procedibilidad</w:t>
            </w:r>
            <w:r w:rsidR="000F33A4" w:rsidRPr="00995C30">
              <w:rPr>
                <w:rFonts w:eastAsia="Palatino Linotype" w:cs="Palatino Linotype"/>
                <w:szCs w:val="22"/>
              </w:rPr>
              <w:tab/>
              <w:t>6</w:t>
            </w:r>
          </w:hyperlink>
        </w:p>
        <w:p w14:paraId="250BB6E9"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iadd74lmr1l">
            <w:r w:rsidR="000F33A4" w:rsidRPr="00995C30">
              <w:rPr>
                <w:rFonts w:eastAsia="Palatino Linotype" w:cs="Palatino Linotype"/>
                <w:szCs w:val="22"/>
              </w:rPr>
              <w:t>a) Competencia del Instituto.</w:t>
            </w:r>
            <w:r w:rsidR="000F33A4" w:rsidRPr="00995C30">
              <w:rPr>
                <w:rFonts w:eastAsia="Palatino Linotype" w:cs="Palatino Linotype"/>
                <w:szCs w:val="22"/>
              </w:rPr>
              <w:tab/>
              <w:t>6</w:t>
            </w:r>
          </w:hyperlink>
        </w:p>
        <w:p w14:paraId="4D74C543"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ptou937kx6yx">
            <w:r w:rsidR="000F33A4" w:rsidRPr="00995C30">
              <w:rPr>
                <w:rFonts w:eastAsia="Palatino Linotype" w:cs="Palatino Linotype"/>
                <w:szCs w:val="22"/>
              </w:rPr>
              <w:t>b) Legitimidad de la parte recurrente.</w:t>
            </w:r>
            <w:r w:rsidR="000F33A4" w:rsidRPr="00995C30">
              <w:rPr>
                <w:rFonts w:eastAsia="Palatino Linotype" w:cs="Palatino Linotype"/>
                <w:szCs w:val="22"/>
              </w:rPr>
              <w:tab/>
              <w:t>6</w:t>
            </w:r>
          </w:hyperlink>
        </w:p>
        <w:p w14:paraId="13C07329"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hen5gpokcy6c">
            <w:r w:rsidR="000F33A4" w:rsidRPr="00995C30">
              <w:rPr>
                <w:rFonts w:eastAsia="Palatino Linotype" w:cs="Palatino Linotype"/>
                <w:szCs w:val="22"/>
              </w:rPr>
              <w:t>c) Plazo para interponer el recurso.</w:t>
            </w:r>
            <w:r w:rsidR="000F33A4" w:rsidRPr="00995C30">
              <w:rPr>
                <w:rFonts w:eastAsia="Palatino Linotype" w:cs="Palatino Linotype"/>
                <w:szCs w:val="22"/>
              </w:rPr>
              <w:tab/>
              <w:t>6</w:t>
            </w:r>
          </w:hyperlink>
        </w:p>
        <w:p w14:paraId="590E9AE0"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23fyuaz0y97q">
            <w:r w:rsidR="000F33A4" w:rsidRPr="00995C30">
              <w:rPr>
                <w:rFonts w:eastAsia="Palatino Linotype" w:cs="Palatino Linotype"/>
                <w:szCs w:val="22"/>
              </w:rPr>
              <w:t>d) Causal de procedencia.</w:t>
            </w:r>
            <w:r w:rsidR="000F33A4" w:rsidRPr="00995C30">
              <w:rPr>
                <w:rFonts w:eastAsia="Palatino Linotype" w:cs="Palatino Linotype"/>
                <w:szCs w:val="22"/>
              </w:rPr>
              <w:tab/>
              <w:t>7</w:t>
            </w:r>
          </w:hyperlink>
        </w:p>
        <w:p w14:paraId="205858F2"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5uxa6619lqkt">
            <w:r w:rsidR="000F33A4" w:rsidRPr="00995C30">
              <w:rPr>
                <w:rFonts w:eastAsia="Palatino Linotype" w:cs="Palatino Linotype"/>
                <w:szCs w:val="22"/>
              </w:rPr>
              <w:t>e) Requisitos formales para la interposición del recurso.</w:t>
            </w:r>
            <w:r w:rsidR="000F33A4" w:rsidRPr="00995C30">
              <w:rPr>
                <w:rFonts w:eastAsia="Palatino Linotype" w:cs="Palatino Linotype"/>
                <w:szCs w:val="22"/>
              </w:rPr>
              <w:tab/>
              <w:t>7</w:t>
            </w:r>
          </w:hyperlink>
        </w:p>
        <w:p w14:paraId="78590005" w14:textId="77777777" w:rsidR="00F5427F" w:rsidRPr="00995C30" w:rsidRDefault="00FA0ADC" w:rsidP="00995C30">
          <w:pPr>
            <w:pBdr>
              <w:top w:val="nil"/>
              <w:left w:val="nil"/>
              <w:bottom w:val="nil"/>
              <w:right w:val="nil"/>
              <w:between w:val="nil"/>
            </w:pBdr>
            <w:tabs>
              <w:tab w:val="right" w:pos="9034"/>
            </w:tabs>
            <w:spacing w:after="100" w:line="240" w:lineRule="auto"/>
            <w:ind w:left="220"/>
            <w:rPr>
              <w:rFonts w:ascii="Aptos" w:eastAsia="Aptos" w:hAnsi="Aptos" w:cs="Aptos"/>
              <w:szCs w:val="22"/>
            </w:rPr>
          </w:pPr>
          <w:hyperlink w:anchor="_heading=h.n23ynhu47ly6">
            <w:r w:rsidR="000F33A4" w:rsidRPr="00995C30">
              <w:rPr>
                <w:rFonts w:eastAsia="Palatino Linotype" w:cs="Palatino Linotype"/>
                <w:szCs w:val="22"/>
              </w:rPr>
              <w:t>SEGUNDO. Estudio de Fondo.</w:t>
            </w:r>
            <w:r w:rsidR="000F33A4" w:rsidRPr="00995C30">
              <w:rPr>
                <w:rFonts w:eastAsia="Palatino Linotype" w:cs="Palatino Linotype"/>
                <w:szCs w:val="22"/>
              </w:rPr>
              <w:tab/>
              <w:t>7</w:t>
            </w:r>
          </w:hyperlink>
        </w:p>
        <w:p w14:paraId="0962C44B"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bghaumxdmz41">
            <w:r w:rsidR="000F33A4" w:rsidRPr="00995C30">
              <w:rPr>
                <w:rFonts w:eastAsia="Palatino Linotype" w:cs="Palatino Linotype"/>
                <w:szCs w:val="22"/>
              </w:rPr>
              <w:t>a) Mandato de transparencia y responsabilidad del Sujeto Obligado.</w:t>
            </w:r>
            <w:r w:rsidR="000F33A4" w:rsidRPr="00995C30">
              <w:rPr>
                <w:rFonts w:eastAsia="Palatino Linotype" w:cs="Palatino Linotype"/>
                <w:szCs w:val="22"/>
              </w:rPr>
              <w:tab/>
              <w:t>7</w:t>
            </w:r>
          </w:hyperlink>
        </w:p>
        <w:p w14:paraId="2D112A1E"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ipxo01ls275r">
            <w:r w:rsidR="000F33A4" w:rsidRPr="00995C30">
              <w:rPr>
                <w:rFonts w:eastAsia="Palatino Linotype" w:cs="Palatino Linotype"/>
                <w:szCs w:val="22"/>
              </w:rPr>
              <w:t>b) Controversia a resolver.</w:t>
            </w:r>
            <w:r w:rsidR="000F33A4" w:rsidRPr="00995C30">
              <w:rPr>
                <w:rFonts w:eastAsia="Palatino Linotype" w:cs="Palatino Linotype"/>
                <w:szCs w:val="22"/>
              </w:rPr>
              <w:tab/>
              <w:t>10</w:t>
            </w:r>
          </w:hyperlink>
        </w:p>
        <w:p w14:paraId="06899592"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ia70srupr40n">
            <w:r w:rsidR="000F33A4" w:rsidRPr="00995C30">
              <w:rPr>
                <w:rFonts w:eastAsia="Palatino Linotype" w:cs="Palatino Linotype"/>
                <w:szCs w:val="22"/>
              </w:rPr>
              <w:t>c) Estudio de la controversia.</w:t>
            </w:r>
            <w:r w:rsidR="000F33A4" w:rsidRPr="00995C30">
              <w:rPr>
                <w:rFonts w:eastAsia="Palatino Linotype" w:cs="Palatino Linotype"/>
                <w:szCs w:val="22"/>
              </w:rPr>
              <w:tab/>
              <w:t>11</w:t>
            </w:r>
          </w:hyperlink>
        </w:p>
        <w:p w14:paraId="673BBF41" w14:textId="77777777" w:rsidR="00F5427F" w:rsidRPr="00995C30" w:rsidRDefault="00FA0ADC" w:rsidP="00995C30">
          <w:pPr>
            <w:pBdr>
              <w:top w:val="nil"/>
              <w:left w:val="nil"/>
              <w:bottom w:val="nil"/>
              <w:right w:val="nil"/>
              <w:between w:val="nil"/>
            </w:pBdr>
            <w:tabs>
              <w:tab w:val="right" w:pos="9034"/>
            </w:tabs>
            <w:spacing w:after="100" w:line="240" w:lineRule="auto"/>
            <w:ind w:left="440"/>
            <w:rPr>
              <w:rFonts w:ascii="Aptos" w:eastAsia="Aptos" w:hAnsi="Aptos" w:cs="Aptos"/>
              <w:szCs w:val="22"/>
            </w:rPr>
          </w:pPr>
          <w:hyperlink w:anchor="_heading=h.vjxl0p85p13c">
            <w:r w:rsidR="000F33A4" w:rsidRPr="00995C30">
              <w:rPr>
                <w:rFonts w:eastAsia="Palatino Linotype" w:cs="Palatino Linotype"/>
                <w:szCs w:val="22"/>
              </w:rPr>
              <w:t>d) Conclusión.</w:t>
            </w:r>
            <w:r w:rsidR="000F33A4" w:rsidRPr="00995C30">
              <w:rPr>
                <w:rFonts w:eastAsia="Palatino Linotype" w:cs="Palatino Linotype"/>
                <w:szCs w:val="22"/>
              </w:rPr>
              <w:tab/>
              <w:t>14</w:t>
            </w:r>
          </w:hyperlink>
        </w:p>
        <w:p w14:paraId="7A2509CF" w14:textId="77777777" w:rsidR="00F5427F" w:rsidRPr="00995C30" w:rsidRDefault="00FA0ADC" w:rsidP="00995C30">
          <w:pPr>
            <w:pBdr>
              <w:top w:val="nil"/>
              <w:left w:val="nil"/>
              <w:bottom w:val="nil"/>
              <w:right w:val="nil"/>
              <w:between w:val="nil"/>
            </w:pBdr>
            <w:tabs>
              <w:tab w:val="right" w:pos="9034"/>
            </w:tabs>
            <w:spacing w:after="100"/>
            <w:rPr>
              <w:rFonts w:ascii="Aptos" w:eastAsia="Aptos" w:hAnsi="Aptos" w:cs="Aptos"/>
              <w:szCs w:val="22"/>
            </w:rPr>
          </w:pPr>
          <w:hyperlink w:anchor="_heading=h.1egqt2p">
            <w:r w:rsidR="000F33A4" w:rsidRPr="00995C30">
              <w:rPr>
                <w:rFonts w:eastAsia="Palatino Linotype" w:cs="Palatino Linotype"/>
                <w:szCs w:val="22"/>
              </w:rPr>
              <w:t>RESUELVE</w:t>
            </w:r>
            <w:r w:rsidR="000F33A4" w:rsidRPr="00995C30">
              <w:rPr>
                <w:rFonts w:eastAsia="Palatino Linotype" w:cs="Palatino Linotype"/>
                <w:szCs w:val="22"/>
              </w:rPr>
              <w:tab/>
              <w:t>15</w:t>
            </w:r>
          </w:hyperlink>
          <w:r w:rsidR="000F33A4" w:rsidRPr="00995C30">
            <w:fldChar w:fldCharType="end"/>
          </w:r>
        </w:p>
      </w:sdtContent>
    </w:sdt>
    <w:p w14:paraId="79F64B4C" w14:textId="77777777" w:rsidR="00F5427F" w:rsidRPr="00995C30" w:rsidRDefault="00F5427F" w:rsidP="00995C30">
      <w:pPr>
        <w:sectPr w:rsidR="00F5427F" w:rsidRPr="00995C30">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78B3A19C" w14:textId="77777777" w:rsidR="00F5427F" w:rsidRPr="00995C30" w:rsidRDefault="000F33A4" w:rsidP="00995C30">
      <w:pPr>
        <w:rPr>
          <w:b/>
        </w:rPr>
      </w:pPr>
      <w:r w:rsidRPr="00995C30">
        <w:lastRenderedPageBreak/>
        <w:t xml:space="preserve">Resolución del Pleno del Instituto de Transparencia, Acceso a la Información Pública y Protección de Datos Personales del Estado de México y Municipios, con domicilio en Metepec, Estado de México, del </w:t>
      </w:r>
      <w:r w:rsidRPr="00995C30">
        <w:rPr>
          <w:b/>
        </w:rPr>
        <w:t>catorce de mayo de dos mil veinticinco.</w:t>
      </w:r>
    </w:p>
    <w:p w14:paraId="1E4BD962" w14:textId="77777777" w:rsidR="00F5427F" w:rsidRPr="00995C30" w:rsidRDefault="00F5427F" w:rsidP="00995C30"/>
    <w:p w14:paraId="5EDF33E1" w14:textId="4F392A51" w:rsidR="00F5427F" w:rsidRPr="00995C30" w:rsidRDefault="000F33A4" w:rsidP="00995C30">
      <w:r w:rsidRPr="00995C30">
        <w:rPr>
          <w:b/>
        </w:rPr>
        <w:t xml:space="preserve">VISTO </w:t>
      </w:r>
      <w:r w:rsidRPr="00995C30">
        <w:t xml:space="preserve">el expediente formado con motivo del Recurso de Revisión </w:t>
      </w:r>
      <w:r w:rsidRPr="00995C30">
        <w:rPr>
          <w:b/>
        </w:rPr>
        <w:t>03527/INFOEM/IP/RR/2025</w:t>
      </w:r>
      <w:r w:rsidRPr="00995C30">
        <w:t xml:space="preserve"> interpuesto por </w:t>
      </w:r>
      <w:bookmarkStart w:id="2" w:name="_GoBack"/>
      <w:r w:rsidR="00F117E8">
        <w:rPr>
          <w:b/>
        </w:rPr>
        <w:t xml:space="preserve">XXXXX XXXXXXXXX XXXXXXX </w:t>
      </w:r>
      <w:proofErr w:type="spellStart"/>
      <w:r w:rsidR="00F117E8">
        <w:rPr>
          <w:b/>
        </w:rPr>
        <w:t>XXXXXXX</w:t>
      </w:r>
      <w:proofErr w:type="spellEnd"/>
      <w:r w:rsidRPr="00995C30">
        <w:rPr>
          <w:b/>
        </w:rPr>
        <w:t xml:space="preserve"> </w:t>
      </w:r>
      <w:bookmarkEnd w:id="2"/>
      <w:r w:rsidRPr="00995C30">
        <w:t xml:space="preserve">a quien en lo subsecuente se le denominará </w:t>
      </w:r>
      <w:r w:rsidRPr="00995C30">
        <w:rPr>
          <w:b/>
        </w:rPr>
        <w:t>LA PARTE RECURRENTE</w:t>
      </w:r>
      <w:r w:rsidRPr="00995C30">
        <w:t xml:space="preserve">, en contra de la respuesta emitida por el </w:t>
      </w:r>
      <w:r w:rsidRPr="00995C30">
        <w:rPr>
          <w:b/>
        </w:rPr>
        <w:t xml:space="preserve">Ayuntamiento de Tlalnepantla de Baz, </w:t>
      </w:r>
      <w:r w:rsidRPr="00995C30">
        <w:t xml:space="preserve">en adelante </w:t>
      </w:r>
      <w:r w:rsidRPr="00995C30">
        <w:rPr>
          <w:b/>
        </w:rPr>
        <w:t>EL SUJETO OBLIGADO</w:t>
      </w:r>
      <w:r w:rsidRPr="00995C30">
        <w:t>, se emite la presente Resolución con base en los Antecedentes y Considerandos que se exponen a continuación:</w:t>
      </w:r>
    </w:p>
    <w:p w14:paraId="33D6302E" w14:textId="77777777" w:rsidR="00F5427F" w:rsidRPr="00995C30" w:rsidRDefault="00F5427F" w:rsidP="00995C30"/>
    <w:p w14:paraId="3B032EB3" w14:textId="77777777" w:rsidR="00F5427F" w:rsidRPr="00995C30" w:rsidRDefault="000F33A4" w:rsidP="00995C30">
      <w:pPr>
        <w:pStyle w:val="Ttulo1"/>
      </w:pPr>
      <w:bookmarkStart w:id="3" w:name="_heading=h.r3xr3ftddd21" w:colFirst="0" w:colLast="0"/>
      <w:bookmarkEnd w:id="3"/>
      <w:r w:rsidRPr="00995C30">
        <w:t>ANTECEDENTES</w:t>
      </w:r>
    </w:p>
    <w:p w14:paraId="042368A4" w14:textId="77777777" w:rsidR="00F5427F" w:rsidRPr="00995C30" w:rsidRDefault="00F5427F" w:rsidP="00995C30"/>
    <w:p w14:paraId="5D72065C" w14:textId="77777777" w:rsidR="00F5427F" w:rsidRPr="00995C30" w:rsidRDefault="000F33A4" w:rsidP="00995C30">
      <w:pPr>
        <w:pStyle w:val="Ttulo2"/>
        <w:jc w:val="left"/>
      </w:pPr>
      <w:bookmarkStart w:id="4" w:name="_heading=h.i3fhg55tewdu" w:colFirst="0" w:colLast="0"/>
      <w:bookmarkEnd w:id="4"/>
      <w:r w:rsidRPr="00995C30">
        <w:t>DE LA SOLICITUD DE INFORMACIÓN</w:t>
      </w:r>
    </w:p>
    <w:p w14:paraId="7A6AECC2" w14:textId="77777777" w:rsidR="00F5427F" w:rsidRPr="00995C30" w:rsidRDefault="000F33A4" w:rsidP="00995C30">
      <w:pPr>
        <w:pStyle w:val="Ttulo3"/>
      </w:pPr>
      <w:bookmarkStart w:id="5" w:name="_heading=h.g7f98wio10yk" w:colFirst="0" w:colLast="0"/>
      <w:bookmarkEnd w:id="5"/>
      <w:r w:rsidRPr="00995C30">
        <w:t>a) Solicitud de información.</w:t>
      </w:r>
    </w:p>
    <w:p w14:paraId="7309B98C" w14:textId="77777777" w:rsidR="00F5427F" w:rsidRPr="00995C30" w:rsidRDefault="000F33A4" w:rsidP="00995C30">
      <w:pPr>
        <w:pBdr>
          <w:top w:val="nil"/>
          <w:left w:val="nil"/>
          <w:bottom w:val="nil"/>
          <w:right w:val="nil"/>
          <w:between w:val="nil"/>
        </w:pBdr>
        <w:tabs>
          <w:tab w:val="left" w:pos="0"/>
        </w:tabs>
      </w:pPr>
      <w:r w:rsidRPr="00995C30">
        <w:t xml:space="preserve">El </w:t>
      </w:r>
      <w:r w:rsidRPr="00995C30">
        <w:rPr>
          <w:b/>
        </w:rPr>
        <w:t>veinte de febrero de dos mil veinticinco</w:t>
      </w:r>
      <w:r w:rsidRPr="00995C30">
        <w:t xml:space="preserve"> </w:t>
      </w:r>
      <w:r w:rsidRPr="00995C30">
        <w:rPr>
          <w:b/>
        </w:rPr>
        <w:t>LA PARTE RECURRENTE</w:t>
      </w:r>
      <w:r w:rsidRPr="00995C30">
        <w:t xml:space="preserve"> presentó una solicitud de acceso a la información pública ante el </w:t>
      </w:r>
      <w:r w:rsidRPr="00995C30">
        <w:rPr>
          <w:b/>
        </w:rPr>
        <w:t>SUJETO OBLIGADO</w:t>
      </w:r>
      <w:r w:rsidRPr="00995C30">
        <w:t>, a través del Sistema de Acceso a la Información Mexiquense (SAIMEX). Dicha solicitud quedó registrada con el número de folio</w:t>
      </w:r>
      <w:r w:rsidRPr="00995C30">
        <w:rPr>
          <w:b/>
        </w:rPr>
        <w:t xml:space="preserve"> 00205/TLALNEPA/IP/2025 </w:t>
      </w:r>
      <w:r w:rsidRPr="00995C30">
        <w:t>y en ella se requirió la siguiente información:</w:t>
      </w:r>
    </w:p>
    <w:p w14:paraId="57201F6D" w14:textId="77777777" w:rsidR="00F5427F" w:rsidRPr="00995C30" w:rsidRDefault="00F5427F" w:rsidP="00995C30">
      <w:pPr>
        <w:tabs>
          <w:tab w:val="left" w:pos="4667"/>
        </w:tabs>
        <w:ind w:left="567" w:right="567"/>
        <w:rPr>
          <w:b/>
        </w:rPr>
      </w:pPr>
    </w:p>
    <w:p w14:paraId="06628446" w14:textId="77777777" w:rsidR="00F5427F" w:rsidRPr="00995C30" w:rsidRDefault="000F33A4" w:rsidP="00995C30">
      <w:pPr>
        <w:pStyle w:val="Puesto"/>
        <w:ind w:firstLine="567"/>
      </w:pPr>
      <w:r w:rsidRPr="00995C30">
        <w:t>“Solicito los lineamientos, protocolo o cualquiera que sea la denominación, que rigen al Programa Conduce sin alcohol de Tlalnepantla de Baz, México. Adicionalmente, solicito el Manual de Operación del Programa Conduce sin alcohol. Gracias.” (sic).</w:t>
      </w:r>
    </w:p>
    <w:p w14:paraId="0C792595" w14:textId="77777777" w:rsidR="00F5427F" w:rsidRPr="00995C30" w:rsidRDefault="00F5427F" w:rsidP="00995C30">
      <w:pPr>
        <w:tabs>
          <w:tab w:val="left" w:pos="5743"/>
        </w:tabs>
        <w:ind w:left="567" w:right="567"/>
        <w:rPr>
          <w:i/>
        </w:rPr>
      </w:pPr>
    </w:p>
    <w:p w14:paraId="1EA388CB" w14:textId="77777777" w:rsidR="00F5427F" w:rsidRPr="00995C30" w:rsidRDefault="000F33A4" w:rsidP="00995C30">
      <w:pPr>
        <w:tabs>
          <w:tab w:val="left" w:pos="4667"/>
        </w:tabs>
        <w:ind w:right="567"/>
      </w:pPr>
      <w:r w:rsidRPr="00995C30">
        <w:rPr>
          <w:b/>
        </w:rPr>
        <w:t>Modalidad de entrega</w:t>
      </w:r>
      <w:r w:rsidRPr="00995C30">
        <w:t>: a</w:t>
      </w:r>
      <w:r w:rsidRPr="00995C30">
        <w:rPr>
          <w:i/>
        </w:rPr>
        <w:t xml:space="preserve"> </w:t>
      </w:r>
      <w:r w:rsidRPr="00995C30">
        <w:t xml:space="preserve">través del </w:t>
      </w:r>
      <w:r w:rsidRPr="00995C30">
        <w:rPr>
          <w:b/>
        </w:rPr>
        <w:t>SAIMEX</w:t>
      </w:r>
      <w:r w:rsidRPr="00995C30">
        <w:t>.</w:t>
      </w:r>
    </w:p>
    <w:p w14:paraId="02C3880D" w14:textId="77777777" w:rsidR="00F5427F" w:rsidRPr="00995C30" w:rsidRDefault="00F5427F" w:rsidP="00995C30"/>
    <w:p w14:paraId="224705F5" w14:textId="77777777" w:rsidR="00F5427F" w:rsidRPr="00995C30" w:rsidRDefault="00F5427F" w:rsidP="00995C30"/>
    <w:p w14:paraId="19BC5A6E" w14:textId="77777777" w:rsidR="00F5427F" w:rsidRPr="00995C30" w:rsidRDefault="000F33A4" w:rsidP="00995C30">
      <w:pPr>
        <w:pStyle w:val="Ttulo3"/>
      </w:pPr>
      <w:bookmarkStart w:id="6" w:name="_heading=h.f6z7iw3modiq" w:colFirst="0" w:colLast="0"/>
      <w:bookmarkEnd w:id="6"/>
      <w:r w:rsidRPr="00995C30">
        <w:lastRenderedPageBreak/>
        <w:t>b) Respuesta del Sujeto Obligado.</w:t>
      </w:r>
    </w:p>
    <w:p w14:paraId="69E5F0F2" w14:textId="77777777" w:rsidR="00F5427F" w:rsidRPr="00995C30" w:rsidRDefault="000F33A4" w:rsidP="00995C30">
      <w:pPr>
        <w:pBdr>
          <w:top w:val="nil"/>
          <w:left w:val="nil"/>
          <w:bottom w:val="nil"/>
          <w:right w:val="nil"/>
          <w:between w:val="nil"/>
        </w:pBdr>
      </w:pPr>
      <w:r w:rsidRPr="00995C30">
        <w:t xml:space="preserve">El </w:t>
      </w:r>
      <w:r w:rsidRPr="00995C30">
        <w:rPr>
          <w:b/>
        </w:rPr>
        <w:t>catorce de marzo de dos mil veinticinco</w:t>
      </w:r>
      <w:r w:rsidRPr="00995C30">
        <w:t xml:space="preserve"> el Titular de la Unidad de Transparencia del </w:t>
      </w:r>
      <w:r w:rsidRPr="00995C30">
        <w:rPr>
          <w:b/>
        </w:rPr>
        <w:t>SUJETO OBLIGADO</w:t>
      </w:r>
      <w:r w:rsidRPr="00995C30">
        <w:t xml:space="preserve"> notificó la siguiente respuesta a través del </w:t>
      </w:r>
      <w:r w:rsidRPr="00995C30">
        <w:rPr>
          <w:b/>
        </w:rPr>
        <w:t>SAIMEX</w:t>
      </w:r>
      <w:r w:rsidRPr="00995C30">
        <w:t>:</w:t>
      </w:r>
    </w:p>
    <w:p w14:paraId="35595C97" w14:textId="77777777" w:rsidR="00F5427F" w:rsidRPr="00995C30" w:rsidRDefault="00F5427F" w:rsidP="00995C30">
      <w:pPr>
        <w:tabs>
          <w:tab w:val="left" w:pos="4667"/>
        </w:tabs>
        <w:ind w:left="567" w:right="567"/>
        <w:rPr>
          <w:b/>
        </w:rPr>
      </w:pPr>
    </w:p>
    <w:p w14:paraId="4041DD2E" w14:textId="77777777" w:rsidR="00F5427F" w:rsidRPr="00995C30" w:rsidRDefault="000F33A4" w:rsidP="00995C30">
      <w:pPr>
        <w:spacing w:line="276" w:lineRule="auto"/>
        <w:ind w:left="851" w:right="822"/>
        <w:rPr>
          <w:i/>
        </w:rPr>
      </w:pPr>
      <w:r w:rsidRPr="00995C30">
        <w:rPr>
          <w:i/>
        </w:rPr>
        <w:t>“Tlalnepantla de Baz, México a 14 de Marzo de 2025</w:t>
      </w:r>
    </w:p>
    <w:p w14:paraId="39CEFCC3" w14:textId="77777777" w:rsidR="00F5427F" w:rsidRPr="00995C30" w:rsidRDefault="000F33A4" w:rsidP="00995C30">
      <w:pPr>
        <w:spacing w:line="276" w:lineRule="auto"/>
        <w:ind w:left="851" w:right="822"/>
        <w:rPr>
          <w:i/>
        </w:rPr>
      </w:pPr>
      <w:r w:rsidRPr="00995C30">
        <w:rPr>
          <w:i/>
        </w:rPr>
        <w:t>Nombre del solicitante: C. Solicitante</w:t>
      </w:r>
    </w:p>
    <w:p w14:paraId="54C39084" w14:textId="77777777" w:rsidR="00F5427F" w:rsidRPr="00995C30" w:rsidRDefault="000F33A4" w:rsidP="00995C30">
      <w:pPr>
        <w:spacing w:line="276" w:lineRule="auto"/>
        <w:ind w:left="851" w:right="822"/>
        <w:rPr>
          <w:i/>
        </w:rPr>
      </w:pPr>
      <w:r w:rsidRPr="00995C30">
        <w:rPr>
          <w:i/>
        </w:rPr>
        <w:t>Folio de la solicitud: 00205/TLALNEPA/IP/2025</w:t>
      </w:r>
    </w:p>
    <w:p w14:paraId="6D8C0353" w14:textId="77777777" w:rsidR="00F5427F" w:rsidRPr="00995C30" w:rsidRDefault="00F5427F" w:rsidP="00995C30">
      <w:pPr>
        <w:spacing w:line="276" w:lineRule="auto"/>
        <w:ind w:left="851" w:right="822"/>
        <w:rPr>
          <w:i/>
        </w:rPr>
      </w:pPr>
    </w:p>
    <w:p w14:paraId="2F686C28" w14:textId="77777777" w:rsidR="00F5427F" w:rsidRPr="00995C30" w:rsidRDefault="000F33A4" w:rsidP="00995C30">
      <w:pPr>
        <w:spacing w:line="276" w:lineRule="auto"/>
        <w:ind w:left="851" w:right="822"/>
        <w:rPr>
          <w:i/>
        </w:rPr>
      </w:pPr>
      <w:r w:rsidRPr="00995C30">
        <w:rPr>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540A0EAD" w14:textId="77777777" w:rsidR="00F5427F" w:rsidRPr="00995C30" w:rsidRDefault="00F5427F" w:rsidP="00995C30">
      <w:pPr>
        <w:spacing w:line="276" w:lineRule="auto"/>
        <w:ind w:left="851" w:right="822"/>
        <w:rPr>
          <w:i/>
        </w:rPr>
      </w:pPr>
    </w:p>
    <w:p w14:paraId="20E1DC04" w14:textId="77777777" w:rsidR="00F5427F" w:rsidRPr="00995C30" w:rsidRDefault="000F33A4" w:rsidP="00995C30">
      <w:pPr>
        <w:spacing w:line="276" w:lineRule="auto"/>
        <w:ind w:left="851" w:right="822"/>
        <w:rPr>
          <w:i/>
        </w:rPr>
      </w:pPr>
      <w:r w:rsidRPr="00995C30">
        <w:rPr>
          <w:i/>
        </w:rPr>
        <w:t>ATENTAMENTE</w:t>
      </w:r>
    </w:p>
    <w:p w14:paraId="13C23EC7" w14:textId="77777777" w:rsidR="00F5427F" w:rsidRPr="00995C30" w:rsidRDefault="00F5427F" w:rsidP="00995C30">
      <w:pPr>
        <w:spacing w:line="276" w:lineRule="auto"/>
        <w:ind w:left="851" w:right="822"/>
        <w:rPr>
          <w:i/>
        </w:rPr>
      </w:pPr>
    </w:p>
    <w:p w14:paraId="1DEF0A0C" w14:textId="77777777" w:rsidR="00F5427F" w:rsidRPr="00995C30" w:rsidRDefault="000F33A4" w:rsidP="00995C30">
      <w:pPr>
        <w:spacing w:line="276" w:lineRule="auto"/>
        <w:ind w:left="851" w:right="822"/>
        <w:rPr>
          <w:i/>
        </w:rPr>
      </w:pPr>
      <w:r w:rsidRPr="00995C30">
        <w:rPr>
          <w:i/>
        </w:rPr>
        <w:t>C. LIZETTA CHAVEZ SANTIAGO”</w:t>
      </w:r>
    </w:p>
    <w:p w14:paraId="76613936" w14:textId="77777777" w:rsidR="00F5427F" w:rsidRPr="00995C30" w:rsidRDefault="00F5427F" w:rsidP="00995C30">
      <w:pPr>
        <w:pBdr>
          <w:top w:val="nil"/>
          <w:left w:val="nil"/>
          <w:bottom w:val="nil"/>
          <w:right w:val="nil"/>
          <w:between w:val="nil"/>
        </w:pBdr>
        <w:ind w:right="-28"/>
      </w:pPr>
    </w:p>
    <w:p w14:paraId="0ADCB811" w14:textId="77777777" w:rsidR="00F5427F" w:rsidRPr="00995C30" w:rsidRDefault="000F33A4" w:rsidP="00995C30">
      <w:pPr>
        <w:pBdr>
          <w:top w:val="nil"/>
          <w:left w:val="nil"/>
          <w:bottom w:val="nil"/>
          <w:right w:val="nil"/>
          <w:between w:val="nil"/>
        </w:pBdr>
        <w:ind w:right="-28"/>
      </w:pPr>
      <w:r w:rsidRPr="00995C30">
        <w:t xml:space="preserve">A la respuesta </w:t>
      </w:r>
      <w:r w:rsidRPr="00995C30">
        <w:rPr>
          <w:b/>
        </w:rPr>
        <w:t xml:space="preserve">EL SUJETO OBLIGADO </w:t>
      </w:r>
      <w:r w:rsidRPr="00995C30">
        <w:t>anexó el archivo digital que a continuación se describe:</w:t>
      </w:r>
    </w:p>
    <w:p w14:paraId="508E29EF" w14:textId="77777777" w:rsidR="00F5427F" w:rsidRPr="00995C30" w:rsidRDefault="00F5427F" w:rsidP="00995C30">
      <w:pPr>
        <w:pBdr>
          <w:top w:val="nil"/>
          <w:left w:val="nil"/>
          <w:bottom w:val="nil"/>
          <w:right w:val="nil"/>
          <w:between w:val="nil"/>
        </w:pBdr>
        <w:ind w:right="-28"/>
      </w:pPr>
    </w:p>
    <w:p w14:paraId="78EB93C8" w14:textId="77777777" w:rsidR="00F5427F" w:rsidRPr="00995C30" w:rsidRDefault="000F33A4" w:rsidP="00995C30">
      <w:pPr>
        <w:numPr>
          <w:ilvl w:val="0"/>
          <w:numId w:val="1"/>
        </w:numPr>
        <w:pBdr>
          <w:top w:val="nil"/>
          <w:left w:val="nil"/>
          <w:bottom w:val="nil"/>
          <w:right w:val="nil"/>
          <w:between w:val="nil"/>
        </w:pBdr>
        <w:ind w:right="-28"/>
        <w:rPr>
          <w:rFonts w:eastAsia="Palatino Linotype" w:cs="Palatino Linotype"/>
          <w:b/>
          <w:i/>
          <w:szCs w:val="22"/>
        </w:rPr>
      </w:pPr>
      <w:r w:rsidRPr="00995C30">
        <w:rPr>
          <w:rFonts w:eastAsia="Palatino Linotype" w:cs="Palatino Linotype"/>
          <w:b/>
          <w:i/>
          <w:szCs w:val="22"/>
        </w:rPr>
        <w:t>“RESPUESTA SAIMEX 205.zip”</w:t>
      </w:r>
      <w:r w:rsidRPr="00995C30">
        <w:rPr>
          <w:rFonts w:eastAsia="Palatino Linotype" w:cs="Palatino Linotype"/>
          <w:szCs w:val="22"/>
        </w:rPr>
        <w:t>: documento en formato zip que contiene los siguientes oficios:</w:t>
      </w:r>
    </w:p>
    <w:p w14:paraId="00915752" w14:textId="77777777" w:rsidR="00F5427F" w:rsidRPr="00995C30" w:rsidRDefault="000F33A4" w:rsidP="00995C30">
      <w:pPr>
        <w:numPr>
          <w:ilvl w:val="0"/>
          <w:numId w:val="2"/>
        </w:numPr>
        <w:pBdr>
          <w:top w:val="nil"/>
          <w:left w:val="nil"/>
          <w:bottom w:val="nil"/>
          <w:right w:val="nil"/>
          <w:between w:val="nil"/>
        </w:pBdr>
        <w:ind w:right="-28"/>
        <w:rPr>
          <w:rFonts w:eastAsia="Palatino Linotype" w:cs="Palatino Linotype"/>
          <w:b/>
          <w:i/>
          <w:szCs w:val="22"/>
        </w:rPr>
      </w:pPr>
      <w:r w:rsidRPr="00995C30">
        <w:rPr>
          <w:rFonts w:eastAsia="Palatino Linotype" w:cs="Palatino Linotype"/>
          <w:szCs w:val="22"/>
        </w:rPr>
        <w:t xml:space="preserve">Número SM. 1796/2025, suscrito por el Secretario del Ayuntamiento, por medio del cual señala que hace llegar un escritos firmados por el Director de Justicia Cívica, </w:t>
      </w:r>
      <w:r w:rsidRPr="00995C30">
        <w:rPr>
          <w:rFonts w:eastAsia="Palatino Linotype" w:cs="Palatino Linotype"/>
          <w:szCs w:val="22"/>
        </w:rPr>
        <w:lastRenderedPageBreak/>
        <w:t>quien a su vez remite otro oficio suscrito por la Responsable del Área de Juzgados Cívicos, quien remite los lineamientos del programa “Conduce Sin Alcohol”.</w:t>
      </w:r>
    </w:p>
    <w:p w14:paraId="62CF9B69" w14:textId="77777777" w:rsidR="00F5427F" w:rsidRPr="00995C30" w:rsidRDefault="000F33A4" w:rsidP="00995C30">
      <w:pPr>
        <w:numPr>
          <w:ilvl w:val="0"/>
          <w:numId w:val="2"/>
        </w:numPr>
        <w:pBdr>
          <w:top w:val="nil"/>
          <w:left w:val="nil"/>
          <w:bottom w:val="nil"/>
          <w:right w:val="nil"/>
          <w:between w:val="nil"/>
        </w:pBdr>
        <w:ind w:right="-28"/>
        <w:rPr>
          <w:rFonts w:eastAsia="Palatino Linotype" w:cs="Palatino Linotype"/>
          <w:b/>
          <w:i/>
          <w:szCs w:val="22"/>
        </w:rPr>
      </w:pPr>
      <w:r w:rsidRPr="00995C30">
        <w:rPr>
          <w:rFonts w:eastAsia="Palatino Linotype" w:cs="Palatino Linotype"/>
          <w:szCs w:val="22"/>
        </w:rPr>
        <w:t>Número SM/DJC/184/2025, suscrito por el Director de Justicia Cívica, por medio del cual indica que la solicitud del particular fue turnada al área de juzgados cívicos, dependencia que remite la información solicitada.</w:t>
      </w:r>
    </w:p>
    <w:p w14:paraId="5189F4F2" w14:textId="77777777" w:rsidR="00F5427F" w:rsidRPr="00995C30" w:rsidRDefault="000F33A4" w:rsidP="00995C30">
      <w:pPr>
        <w:numPr>
          <w:ilvl w:val="0"/>
          <w:numId w:val="2"/>
        </w:numPr>
        <w:pBdr>
          <w:top w:val="nil"/>
          <w:left w:val="nil"/>
          <w:bottom w:val="nil"/>
          <w:right w:val="nil"/>
          <w:between w:val="nil"/>
        </w:pBdr>
        <w:ind w:right="-28"/>
        <w:rPr>
          <w:rFonts w:eastAsia="Palatino Linotype" w:cs="Palatino Linotype"/>
          <w:b/>
          <w:i/>
          <w:szCs w:val="22"/>
        </w:rPr>
      </w:pPr>
      <w:r w:rsidRPr="00995C30">
        <w:rPr>
          <w:rFonts w:eastAsia="Palatino Linotype" w:cs="Palatino Linotype"/>
          <w:szCs w:val="22"/>
        </w:rPr>
        <w:t xml:space="preserve">Número SM/DJC/AJC/046/2025, suscrito por la Responsable de área de Juzgados Cívicos, por el que señala remitir los lineamientos del programa municipal “Conduce Sin Alcohol”, </w:t>
      </w:r>
      <w:proofErr w:type="spellStart"/>
      <w:r w:rsidRPr="00995C30">
        <w:rPr>
          <w:rFonts w:eastAsia="Palatino Linotype" w:cs="Palatino Linotype"/>
          <w:szCs w:val="22"/>
        </w:rPr>
        <w:t>apribados</w:t>
      </w:r>
      <w:proofErr w:type="spellEnd"/>
      <w:r w:rsidRPr="00995C30">
        <w:rPr>
          <w:rFonts w:eastAsia="Palatino Linotype" w:cs="Palatino Linotype"/>
          <w:szCs w:val="22"/>
        </w:rPr>
        <w:t xml:space="preserve"> en septiembre de 2024.</w:t>
      </w:r>
    </w:p>
    <w:p w14:paraId="3486B923" w14:textId="77777777" w:rsidR="00F5427F" w:rsidRPr="00995C30" w:rsidRDefault="00F5427F" w:rsidP="00995C30">
      <w:pPr>
        <w:pBdr>
          <w:top w:val="nil"/>
          <w:left w:val="nil"/>
          <w:bottom w:val="nil"/>
          <w:right w:val="nil"/>
          <w:between w:val="nil"/>
        </w:pBdr>
        <w:ind w:right="-28"/>
      </w:pPr>
    </w:p>
    <w:p w14:paraId="2F7949A9" w14:textId="77777777" w:rsidR="00F5427F" w:rsidRPr="00995C30" w:rsidRDefault="000F33A4" w:rsidP="00995C30">
      <w:pPr>
        <w:pStyle w:val="Ttulo2"/>
        <w:jc w:val="left"/>
      </w:pPr>
      <w:bookmarkStart w:id="7" w:name="_heading=h.ahp0nzr7s6m7" w:colFirst="0" w:colLast="0"/>
      <w:bookmarkEnd w:id="7"/>
      <w:r w:rsidRPr="00995C30">
        <w:t>DEL RECURSO DE REVISIÓN</w:t>
      </w:r>
    </w:p>
    <w:p w14:paraId="5B0B98FB" w14:textId="77777777" w:rsidR="00F5427F" w:rsidRPr="00995C30" w:rsidRDefault="000F33A4" w:rsidP="00995C30">
      <w:pPr>
        <w:pStyle w:val="Ttulo3"/>
      </w:pPr>
      <w:bookmarkStart w:id="8" w:name="_heading=h.4ye5p39rkc8t" w:colFirst="0" w:colLast="0"/>
      <w:bookmarkEnd w:id="8"/>
      <w:r w:rsidRPr="00995C30">
        <w:t>a) Interposición del Recurso de Revisión.</w:t>
      </w:r>
    </w:p>
    <w:p w14:paraId="66F8C50D" w14:textId="77777777" w:rsidR="00F5427F" w:rsidRPr="00995C30" w:rsidRDefault="000F33A4" w:rsidP="00995C30">
      <w:pPr>
        <w:ind w:right="-28"/>
      </w:pPr>
      <w:r w:rsidRPr="00995C30">
        <w:t xml:space="preserve">El </w:t>
      </w:r>
      <w:r w:rsidRPr="00995C30">
        <w:rPr>
          <w:b/>
        </w:rPr>
        <w:t>veintiséis de marzo de dos mil veinticinco</w:t>
      </w:r>
      <w:r w:rsidRPr="00995C30">
        <w:t xml:space="preserve"> </w:t>
      </w:r>
      <w:r w:rsidRPr="00995C30">
        <w:rPr>
          <w:b/>
        </w:rPr>
        <w:t>LA PARTE RECURRENTE</w:t>
      </w:r>
      <w:r w:rsidRPr="00995C30">
        <w:t xml:space="preserve"> interpuso el recurso de revisión en contra de la respuesta emitida por el </w:t>
      </w:r>
      <w:r w:rsidRPr="00995C30">
        <w:rPr>
          <w:b/>
        </w:rPr>
        <w:t>SUJETO OBLIGADO</w:t>
      </w:r>
      <w:r w:rsidRPr="00995C30">
        <w:t xml:space="preserve">, mismo que fue registrado en </w:t>
      </w:r>
      <w:r w:rsidRPr="00995C30">
        <w:rPr>
          <w:b/>
        </w:rPr>
        <w:t>EL SAIMEX</w:t>
      </w:r>
      <w:r w:rsidRPr="00995C30">
        <w:t xml:space="preserve"> con el número de expediente </w:t>
      </w:r>
      <w:r w:rsidRPr="00995C30">
        <w:rPr>
          <w:b/>
        </w:rPr>
        <w:t>03527/INFOEM/IP/RR/2025</w:t>
      </w:r>
      <w:r w:rsidRPr="00995C30">
        <w:t xml:space="preserve"> y en el cual manifiesta lo siguiente:</w:t>
      </w:r>
    </w:p>
    <w:p w14:paraId="70AC64D4" w14:textId="77777777" w:rsidR="00F5427F" w:rsidRPr="00995C30" w:rsidRDefault="00F5427F" w:rsidP="00995C30">
      <w:pPr>
        <w:tabs>
          <w:tab w:val="left" w:pos="4667"/>
        </w:tabs>
        <w:ind w:right="539"/>
      </w:pPr>
    </w:p>
    <w:p w14:paraId="20A50271" w14:textId="77777777" w:rsidR="00F5427F" w:rsidRPr="00995C30" w:rsidRDefault="000F33A4" w:rsidP="00995C30">
      <w:pPr>
        <w:ind w:right="-28"/>
        <w:rPr>
          <w:b/>
        </w:rPr>
      </w:pPr>
      <w:r w:rsidRPr="00995C30">
        <w:rPr>
          <w:b/>
        </w:rPr>
        <w:t>ACTO IMPUGNADO:</w:t>
      </w:r>
    </w:p>
    <w:p w14:paraId="755B7267" w14:textId="77777777" w:rsidR="00F5427F" w:rsidRPr="00995C30" w:rsidRDefault="00F5427F" w:rsidP="00995C30">
      <w:pPr>
        <w:tabs>
          <w:tab w:val="left" w:pos="4667"/>
        </w:tabs>
        <w:ind w:left="567" w:right="539" w:hanging="567"/>
        <w:rPr>
          <w:b/>
        </w:rPr>
      </w:pPr>
    </w:p>
    <w:p w14:paraId="5040D2F3" w14:textId="77777777" w:rsidR="00F5427F" w:rsidRPr="00995C30" w:rsidRDefault="000F33A4" w:rsidP="00995C30">
      <w:pPr>
        <w:pStyle w:val="Puesto"/>
        <w:ind w:firstLine="567"/>
      </w:pPr>
      <w:bookmarkStart w:id="9" w:name="_heading=h.dnd4o9ge0qa8" w:colFirst="0" w:colLast="0"/>
      <w:bookmarkEnd w:id="9"/>
      <w:r w:rsidRPr="00995C30">
        <w:t xml:space="preserve">“No se incluyeron los documentos que deberían ir anexos: Lineamientos y Manual de operación.” (Sic). </w:t>
      </w:r>
    </w:p>
    <w:p w14:paraId="61E9A617" w14:textId="77777777" w:rsidR="00F5427F" w:rsidRPr="00995C30" w:rsidRDefault="00F5427F" w:rsidP="00995C30">
      <w:pPr>
        <w:tabs>
          <w:tab w:val="left" w:pos="4667"/>
        </w:tabs>
        <w:ind w:left="567" w:right="539"/>
      </w:pPr>
    </w:p>
    <w:p w14:paraId="5B95BD2F" w14:textId="77777777" w:rsidR="00F5427F" w:rsidRPr="00995C30" w:rsidRDefault="000F33A4" w:rsidP="00995C30">
      <w:pPr>
        <w:ind w:right="-28"/>
        <w:rPr>
          <w:b/>
        </w:rPr>
      </w:pPr>
      <w:r w:rsidRPr="00995C30">
        <w:rPr>
          <w:b/>
        </w:rPr>
        <w:t>RAZONES O MOTIVOS DE INCONFORMIDAD;</w:t>
      </w:r>
    </w:p>
    <w:p w14:paraId="1A87A571" w14:textId="77777777" w:rsidR="00F5427F" w:rsidRPr="00995C30" w:rsidRDefault="00F5427F" w:rsidP="00995C30">
      <w:pPr>
        <w:tabs>
          <w:tab w:val="left" w:pos="4667"/>
        </w:tabs>
        <w:ind w:left="567" w:right="539"/>
      </w:pPr>
    </w:p>
    <w:p w14:paraId="60E2B312" w14:textId="77777777" w:rsidR="00F5427F" w:rsidRPr="00995C30" w:rsidRDefault="000F33A4" w:rsidP="00995C30">
      <w:pPr>
        <w:pStyle w:val="Puesto"/>
        <w:ind w:firstLine="567"/>
      </w:pPr>
      <w:r w:rsidRPr="00995C30">
        <w:t xml:space="preserve">“En el oficio de respuesta firmado por la Lic. Jessica Méndez Díaz, responsable del área de Juzgados Cívicos, informa que se anexan los lineamientos del Programa Municipal Conduce sin alcohol; sin embargo, en el archivo .zip que se presentó como respuesta, no se encuentran anexos dichos lineamientos. De igual manera, no se menciona ni se anexa el manual de operación del programa conduce sin alcohol. Adicionalmente, como parte de la </w:t>
      </w:r>
      <w:r w:rsidRPr="00995C30">
        <w:lastRenderedPageBreak/>
        <w:t>respuesta, el Maestro Clemente Santos Martínez, Director de Justicia Cívica, informa que es la Responsable de Juzgados Cívicos, dependiente de esa Dirección, quien remite la información solicitada. Dicha responsable, en su oficio, justifica que es el área de Juzgados Cívicos la que ejecuta el Programa Conduce sin alcohol. No obstante que el Reglamento Interior de la Administración Pública Municipal de Tlalnepantla de Baz establece en su artículo 138, que es la Dirección de Justicia Cívica la encargada de "Promover, realizar y coordinar programas para la detección de la presencia de alcohol en las personas conductoras de vehículos de motor, a fin de prevenir accidentes viales por dicha causa;", por lo cual debería ser directamente la Dirección de justicia Cívica la encargada de emitir la respuesta.” (Sic).</w:t>
      </w:r>
    </w:p>
    <w:p w14:paraId="73FC9D44" w14:textId="77777777" w:rsidR="00F5427F" w:rsidRPr="00995C30" w:rsidRDefault="00F5427F" w:rsidP="00995C30">
      <w:pPr>
        <w:tabs>
          <w:tab w:val="left" w:pos="4667"/>
        </w:tabs>
        <w:ind w:left="567" w:right="539"/>
      </w:pPr>
    </w:p>
    <w:p w14:paraId="3D2A30D7" w14:textId="77777777" w:rsidR="00F5427F" w:rsidRPr="00995C30" w:rsidRDefault="000F33A4" w:rsidP="00995C30">
      <w:pPr>
        <w:pStyle w:val="Ttulo3"/>
      </w:pPr>
      <w:bookmarkStart w:id="10" w:name="_heading=h.2kipjhin5zfz" w:colFirst="0" w:colLast="0"/>
      <w:bookmarkEnd w:id="10"/>
      <w:r w:rsidRPr="00995C30">
        <w:t>b) Turno del Recurso de Revisión.</w:t>
      </w:r>
    </w:p>
    <w:p w14:paraId="16A07AC1" w14:textId="77777777" w:rsidR="00F5427F" w:rsidRPr="00995C30" w:rsidRDefault="000F33A4" w:rsidP="00995C30">
      <w:r w:rsidRPr="00995C30">
        <w:t>Con fundamento en el artículo 185, fracción I de la Ley de Transparencia y Acceso a la Información Pública del Estado de México y Municipios, el</w:t>
      </w:r>
      <w:r w:rsidRPr="00995C30">
        <w:rPr>
          <w:b/>
        </w:rPr>
        <w:t xml:space="preserve"> veintiséis de marzo de dos mil veinticinco</w:t>
      </w:r>
      <w:r w:rsidRPr="00995C30">
        <w:t xml:space="preserve"> se turnó el recurso de revisión a través del SAIMEX a la </w:t>
      </w:r>
      <w:r w:rsidRPr="00995C30">
        <w:rPr>
          <w:b/>
        </w:rPr>
        <w:t>Comisionada Sharon Cristina Morales Martínez</w:t>
      </w:r>
      <w:r w:rsidRPr="00995C30">
        <w:t>, a efecto de decretar su admisión o desechamiento.</w:t>
      </w:r>
    </w:p>
    <w:p w14:paraId="2591FF01" w14:textId="77777777" w:rsidR="00F5427F" w:rsidRPr="00995C30" w:rsidRDefault="00F5427F" w:rsidP="00995C30"/>
    <w:p w14:paraId="6CF08860" w14:textId="77777777" w:rsidR="00F5427F" w:rsidRPr="00995C30" w:rsidRDefault="000F33A4" w:rsidP="00995C30">
      <w:pPr>
        <w:pStyle w:val="Ttulo3"/>
      </w:pPr>
      <w:bookmarkStart w:id="11" w:name="_heading=h.tz9n4w1q3znj" w:colFirst="0" w:colLast="0"/>
      <w:bookmarkEnd w:id="11"/>
      <w:r w:rsidRPr="00995C30">
        <w:t>c) Admisión del Recurso de Revisión.</w:t>
      </w:r>
    </w:p>
    <w:p w14:paraId="62ACC1DC" w14:textId="77777777" w:rsidR="00F5427F" w:rsidRPr="00995C30" w:rsidRDefault="000F33A4" w:rsidP="00995C30">
      <w:r w:rsidRPr="00995C30">
        <w:t xml:space="preserve">El </w:t>
      </w:r>
      <w:r w:rsidRPr="00995C30">
        <w:rPr>
          <w:b/>
        </w:rPr>
        <w:t>treinta y uno de marzo de dos mil veinticinco</w:t>
      </w:r>
      <w:r w:rsidRPr="00995C3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895FFD9" w14:textId="77777777" w:rsidR="00F5427F" w:rsidRPr="00995C30" w:rsidRDefault="00F5427F" w:rsidP="00995C30">
      <w:pPr>
        <w:rPr>
          <w:b/>
        </w:rPr>
      </w:pPr>
    </w:p>
    <w:p w14:paraId="4D84E306" w14:textId="77777777" w:rsidR="00F5427F" w:rsidRPr="00995C30" w:rsidRDefault="000F33A4" w:rsidP="00995C30">
      <w:pPr>
        <w:pStyle w:val="Ttulo3"/>
        <w:spacing w:line="360" w:lineRule="auto"/>
      </w:pPr>
      <w:bookmarkStart w:id="12" w:name="_heading=h.yh1yo3vtady3" w:colFirst="0" w:colLast="0"/>
      <w:bookmarkEnd w:id="12"/>
      <w:r w:rsidRPr="00995C30">
        <w:t>d) Manifestaciones de la Parte Recurrente.</w:t>
      </w:r>
    </w:p>
    <w:p w14:paraId="7E064A0C" w14:textId="77777777" w:rsidR="00F5427F" w:rsidRPr="00995C30" w:rsidRDefault="000F33A4" w:rsidP="00995C30">
      <w:r w:rsidRPr="00995C30">
        <w:rPr>
          <w:b/>
        </w:rPr>
        <w:t xml:space="preserve">LA PARTE RECURRENTE </w:t>
      </w:r>
      <w:r w:rsidRPr="00995C30">
        <w:t>no realizó manifestación alguna dentro del término legalmente concedido para tal efecto, ni presentó pruebas o alegatos.</w:t>
      </w:r>
    </w:p>
    <w:p w14:paraId="5253ABA4" w14:textId="77777777" w:rsidR="00F5427F" w:rsidRPr="00995C30" w:rsidRDefault="00F5427F" w:rsidP="00995C30">
      <w:pPr>
        <w:ind w:right="539"/>
      </w:pPr>
    </w:p>
    <w:p w14:paraId="6EEC8107" w14:textId="77777777" w:rsidR="00F5427F" w:rsidRPr="00995C30" w:rsidRDefault="000F33A4" w:rsidP="00995C30">
      <w:pPr>
        <w:pStyle w:val="Ttulo3"/>
      </w:pPr>
      <w:bookmarkStart w:id="13" w:name="_heading=h.qldmsgjatjbm" w:colFirst="0" w:colLast="0"/>
      <w:bookmarkEnd w:id="13"/>
      <w:r w:rsidRPr="00995C30">
        <w:lastRenderedPageBreak/>
        <w:t>e) Manifestaciones del Sujeto Obligado.</w:t>
      </w:r>
    </w:p>
    <w:p w14:paraId="021ECA34" w14:textId="77777777" w:rsidR="00F5427F" w:rsidRPr="00995C30" w:rsidRDefault="000F33A4" w:rsidP="00995C30">
      <w:bookmarkStart w:id="14" w:name="_heading=h.26in1rg" w:colFirst="0" w:colLast="0"/>
      <w:bookmarkEnd w:id="14"/>
      <w:r w:rsidRPr="00995C30">
        <w:t xml:space="preserve">El </w:t>
      </w:r>
      <w:r w:rsidRPr="00995C30">
        <w:rPr>
          <w:b/>
        </w:rPr>
        <w:t>tres de abril de dos mil veinticinco EL SUJETO OBLIGADO</w:t>
      </w:r>
      <w:r w:rsidRPr="00995C30">
        <w:t xml:space="preserve"> remitió conforme a su derecho, el archivo digital denominado que se describen a continuación:</w:t>
      </w:r>
    </w:p>
    <w:p w14:paraId="723FECA7" w14:textId="77777777" w:rsidR="00F5427F" w:rsidRPr="00995C30" w:rsidRDefault="00F5427F" w:rsidP="00995C30"/>
    <w:p w14:paraId="1966B29E" w14:textId="77777777" w:rsidR="00F5427F" w:rsidRPr="00995C30" w:rsidRDefault="000F33A4" w:rsidP="00995C30">
      <w:pPr>
        <w:numPr>
          <w:ilvl w:val="0"/>
          <w:numId w:val="1"/>
        </w:numPr>
        <w:pBdr>
          <w:top w:val="nil"/>
          <w:left w:val="nil"/>
          <w:bottom w:val="nil"/>
          <w:right w:val="nil"/>
          <w:between w:val="nil"/>
        </w:pBdr>
      </w:pPr>
      <w:r w:rsidRPr="00995C30">
        <w:rPr>
          <w:rFonts w:eastAsia="Palatino Linotype" w:cs="Palatino Linotype"/>
          <w:b/>
          <w:i/>
          <w:szCs w:val="22"/>
        </w:rPr>
        <w:t>“MANIFESTACIONES RR 3527-25.rar”</w:t>
      </w:r>
      <w:r w:rsidRPr="00995C30">
        <w:rPr>
          <w:rFonts w:eastAsia="Palatino Linotype" w:cs="Palatino Linotype"/>
          <w:szCs w:val="22"/>
        </w:rPr>
        <w:t xml:space="preserve">: documento en formato </w:t>
      </w:r>
      <w:r w:rsidR="004D1234" w:rsidRPr="00995C30">
        <w:rPr>
          <w:rFonts w:eastAsia="Palatino Linotype" w:cs="Palatino Linotype"/>
          <w:szCs w:val="22"/>
        </w:rPr>
        <w:t>.</w:t>
      </w:r>
      <w:r w:rsidRPr="00995C30">
        <w:rPr>
          <w:rFonts w:eastAsia="Palatino Linotype" w:cs="Palatino Linotype"/>
          <w:szCs w:val="22"/>
        </w:rPr>
        <w:t>rar que contiene el oficio número 2210/2025, del Secretario del Ayuntamiento, por medio del cual indica que por un error involuntario no se adjuntó el anexo precisado en respuesta, por lo que se remiten los lineamientos del programa municipal “Conduce Sin Alcohol”.</w:t>
      </w:r>
    </w:p>
    <w:p w14:paraId="13DF09D4" w14:textId="77777777" w:rsidR="00F5427F" w:rsidRPr="00995C30" w:rsidRDefault="00F5427F" w:rsidP="00995C30"/>
    <w:p w14:paraId="6E88C6DB" w14:textId="77777777" w:rsidR="00F5427F" w:rsidRPr="00995C30" w:rsidRDefault="000F33A4" w:rsidP="00995C30">
      <w:pPr>
        <w:pStyle w:val="Ttulo3"/>
      </w:pPr>
      <w:bookmarkStart w:id="15" w:name="_heading=h.vfmenwwcxzg7" w:colFirst="0" w:colLast="0"/>
      <w:bookmarkEnd w:id="15"/>
      <w:r w:rsidRPr="00995C30">
        <w:t>f) Cierre de instrucción.</w:t>
      </w:r>
    </w:p>
    <w:p w14:paraId="1041AC48" w14:textId="77777777" w:rsidR="00F5427F" w:rsidRPr="00995C30" w:rsidRDefault="000F33A4" w:rsidP="00995C30">
      <w:bookmarkStart w:id="16" w:name="_heading=h.35nkun2" w:colFirst="0" w:colLast="0"/>
      <w:bookmarkEnd w:id="16"/>
      <w:r w:rsidRPr="00995C30">
        <w:t xml:space="preserve">Al no existir diligencias pendientes por desahogar, el </w:t>
      </w:r>
      <w:r w:rsidR="004D1234" w:rsidRPr="00995C30">
        <w:rPr>
          <w:b/>
        </w:rPr>
        <w:t>trece</w:t>
      </w:r>
      <w:r w:rsidRPr="00995C30">
        <w:rPr>
          <w:b/>
        </w:rPr>
        <w:t xml:space="preserve"> de mayo de dos mil veinticinco</w:t>
      </w:r>
      <w:r w:rsidRPr="00995C30">
        <w:t xml:space="preserve"> la </w:t>
      </w:r>
      <w:r w:rsidRPr="00995C30">
        <w:rPr>
          <w:b/>
        </w:rPr>
        <w:t xml:space="preserve">Comisionada Sharon Cristina Morales Martínez </w:t>
      </w:r>
      <w:r w:rsidRPr="00995C30">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995C30">
        <w:rPr>
          <w:b/>
        </w:rPr>
        <w:t>SAIMEX</w:t>
      </w:r>
      <w:r w:rsidRPr="00995C30">
        <w:t>.</w:t>
      </w:r>
    </w:p>
    <w:p w14:paraId="427B0F36" w14:textId="77777777" w:rsidR="00F5427F" w:rsidRPr="00995C30" w:rsidRDefault="00F5427F" w:rsidP="00995C30"/>
    <w:p w14:paraId="06036848" w14:textId="77777777" w:rsidR="00F5427F" w:rsidRPr="00995C30" w:rsidRDefault="000F33A4" w:rsidP="00995C30">
      <w:pPr>
        <w:pStyle w:val="Ttulo1"/>
      </w:pPr>
      <w:bookmarkStart w:id="17" w:name="_heading=h.z6mshzt60qfu" w:colFirst="0" w:colLast="0"/>
      <w:bookmarkEnd w:id="17"/>
      <w:r w:rsidRPr="00995C30">
        <w:t>CONSIDERANDOS</w:t>
      </w:r>
    </w:p>
    <w:p w14:paraId="4BC44794" w14:textId="77777777" w:rsidR="00F5427F" w:rsidRPr="00995C30" w:rsidRDefault="00F5427F" w:rsidP="00995C30">
      <w:pPr>
        <w:jc w:val="center"/>
        <w:rPr>
          <w:b/>
        </w:rPr>
      </w:pPr>
    </w:p>
    <w:p w14:paraId="43FAE629" w14:textId="77777777" w:rsidR="00F5427F" w:rsidRPr="00995C30" w:rsidRDefault="000F33A4" w:rsidP="00995C30">
      <w:pPr>
        <w:pStyle w:val="Ttulo2"/>
      </w:pPr>
      <w:bookmarkStart w:id="18" w:name="_heading=h.ooj7vlyxkrh1" w:colFirst="0" w:colLast="0"/>
      <w:bookmarkEnd w:id="18"/>
      <w:r w:rsidRPr="00995C30">
        <w:t>PRIMERO. Procedibilidad</w:t>
      </w:r>
    </w:p>
    <w:p w14:paraId="0B5C943B" w14:textId="77777777" w:rsidR="00F5427F" w:rsidRPr="00995C30" w:rsidRDefault="000F33A4" w:rsidP="00995C30">
      <w:pPr>
        <w:pStyle w:val="Ttulo3"/>
      </w:pPr>
      <w:bookmarkStart w:id="19" w:name="_heading=h.iadd74lmr1l" w:colFirst="0" w:colLast="0"/>
      <w:bookmarkEnd w:id="19"/>
      <w:r w:rsidRPr="00995C30">
        <w:t>a) Competencia del Instituto.</w:t>
      </w:r>
    </w:p>
    <w:p w14:paraId="79AF4D08" w14:textId="77777777" w:rsidR="00F5427F" w:rsidRPr="00995C30" w:rsidRDefault="000F33A4" w:rsidP="00995C30">
      <w:r w:rsidRPr="00995C3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w:t>
      </w:r>
      <w:r w:rsidRPr="00995C30">
        <w:lastRenderedPageBreak/>
        <w:t>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52B358C" w14:textId="77777777" w:rsidR="00F5427F" w:rsidRPr="00995C30" w:rsidRDefault="00F5427F" w:rsidP="00995C30"/>
    <w:p w14:paraId="75B22F9F" w14:textId="77777777" w:rsidR="00F5427F" w:rsidRPr="00995C30" w:rsidRDefault="000F33A4" w:rsidP="00995C30">
      <w:pPr>
        <w:pStyle w:val="Ttulo3"/>
      </w:pPr>
      <w:bookmarkStart w:id="20" w:name="_heading=h.ptou937kx6yx" w:colFirst="0" w:colLast="0"/>
      <w:bookmarkEnd w:id="20"/>
      <w:r w:rsidRPr="00995C30">
        <w:t>b) Legitimidad de la parte recurrente.</w:t>
      </w:r>
    </w:p>
    <w:p w14:paraId="4FD9D8F4" w14:textId="77777777" w:rsidR="00F5427F" w:rsidRPr="00995C30" w:rsidRDefault="000F33A4" w:rsidP="00995C30">
      <w:r w:rsidRPr="00995C30">
        <w:t>El recurso de revisión fue interpuesto por parte legítima, ya que se presentó por la misma persona que formuló la solicitud de acceso a la Información Pública,</w:t>
      </w:r>
      <w:r w:rsidRPr="00995C30">
        <w:rPr>
          <w:b/>
        </w:rPr>
        <w:t xml:space="preserve"> </w:t>
      </w:r>
      <w:r w:rsidRPr="00995C30">
        <w:t>debido a que los datos de acceso</w:t>
      </w:r>
      <w:r w:rsidRPr="00995C30">
        <w:rPr>
          <w:b/>
        </w:rPr>
        <w:t xml:space="preserve"> SAIMEX</w:t>
      </w:r>
      <w:r w:rsidRPr="00995C30">
        <w:t xml:space="preserve"> son personales e irrepetibles.</w:t>
      </w:r>
    </w:p>
    <w:p w14:paraId="7364DB95" w14:textId="77777777" w:rsidR="00F5427F" w:rsidRPr="00995C30" w:rsidRDefault="00F5427F" w:rsidP="00995C30"/>
    <w:p w14:paraId="7F48E640" w14:textId="77777777" w:rsidR="00F5427F" w:rsidRPr="00995C30" w:rsidRDefault="000F33A4" w:rsidP="00995C30">
      <w:pPr>
        <w:pStyle w:val="Ttulo3"/>
      </w:pPr>
      <w:bookmarkStart w:id="21" w:name="_heading=h.hen5gpokcy6c" w:colFirst="0" w:colLast="0"/>
      <w:bookmarkEnd w:id="21"/>
      <w:r w:rsidRPr="00995C30">
        <w:t>c) Plazo para interponer el recurso.</w:t>
      </w:r>
    </w:p>
    <w:p w14:paraId="2AB620A9" w14:textId="77777777" w:rsidR="00F5427F" w:rsidRPr="00995C30" w:rsidRDefault="000F33A4" w:rsidP="00995C30">
      <w:bookmarkStart w:id="22" w:name="_heading=h.1y810tw" w:colFirst="0" w:colLast="0"/>
      <w:bookmarkEnd w:id="22"/>
      <w:r w:rsidRPr="00995C30">
        <w:rPr>
          <w:b/>
        </w:rPr>
        <w:t>EL SUJETO OBLIGADO</w:t>
      </w:r>
      <w:r w:rsidRPr="00995C30">
        <w:t xml:space="preserve"> notificó la respuesta a la solicitud de acceso a la Información Pública el </w:t>
      </w:r>
      <w:r w:rsidRPr="00995C30">
        <w:rPr>
          <w:b/>
        </w:rPr>
        <w:t>catorce de marzo de dos mil veinticinco</w:t>
      </w:r>
      <w:r w:rsidRPr="00995C30">
        <w:t xml:space="preserve"> y el recurso que nos ocupa se interpuso el </w:t>
      </w:r>
      <w:r w:rsidRPr="00995C30">
        <w:rPr>
          <w:b/>
        </w:rPr>
        <w:t>veintiséis de marzo de dos mil veinticinco</w:t>
      </w:r>
      <w:r w:rsidRPr="00995C30">
        <w:t xml:space="preserve"> por lo tanto, éste se encuentra dentro del margen temporal previsto en el artículo 178 de la Ley de Transparencia y Acceso a la Información Pública del Estado de México y Municipios, el cual transcurrió del </w:t>
      </w:r>
      <w:r w:rsidRPr="00995C30">
        <w:rPr>
          <w:b/>
        </w:rPr>
        <w:t>dieciocho de marzo al siete de abril de dos mil veinticinco</w:t>
      </w:r>
      <w:r w:rsidRPr="00995C30">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280FAD2B" w14:textId="77777777" w:rsidR="00F5427F" w:rsidRPr="00995C30" w:rsidRDefault="00F5427F" w:rsidP="00995C30"/>
    <w:p w14:paraId="7C72FFD1" w14:textId="77777777" w:rsidR="00F5427F" w:rsidRPr="00995C30" w:rsidRDefault="000F33A4" w:rsidP="00995C30">
      <w:pPr>
        <w:pStyle w:val="Ttulo3"/>
      </w:pPr>
      <w:bookmarkStart w:id="23" w:name="_heading=h.23fyuaz0y97q" w:colFirst="0" w:colLast="0"/>
      <w:bookmarkEnd w:id="23"/>
      <w:r w:rsidRPr="00995C30">
        <w:lastRenderedPageBreak/>
        <w:t>d) Causal de procedencia.</w:t>
      </w:r>
    </w:p>
    <w:p w14:paraId="62CCF3C7" w14:textId="77777777" w:rsidR="00F5427F" w:rsidRPr="00995C30" w:rsidRDefault="000F33A4" w:rsidP="00995C30">
      <w:r w:rsidRPr="00995C30">
        <w:t>Resulta procedente la interposición del recurso de revisión, ya que se actualiza la causal de procedencia señalada en el artículo 179, fracción V de la Ley de Transparencia y Acceso a la Información Pública del Estado de México y Municipios.</w:t>
      </w:r>
    </w:p>
    <w:p w14:paraId="6BB10710" w14:textId="77777777" w:rsidR="00F5427F" w:rsidRPr="00995C30" w:rsidRDefault="00F5427F" w:rsidP="00995C30"/>
    <w:p w14:paraId="0168CEA0" w14:textId="77777777" w:rsidR="00F5427F" w:rsidRPr="00995C30" w:rsidRDefault="000F33A4" w:rsidP="00995C30">
      <w:pPr>
        <w:pStyle w:val="Ttulo3"/>
      </w:pPr>
      <w:bookmarkStart w:id="24" w:name="_heading=h.5uxa6619lqkt" w:colFirst="0" w:colLast="0"/>
      <w:bookmarkEnd w:id="24"/>
      <w:r w:rsidRPr="00995C30">
        <w:t>e) Requisitos formales para la interposición del recurso.</w:t>
      </w:r>
    </w:p>
    <w:p w14:paraId="2CCB937D" w14:textId="77777777" w:rsidR="00F5427F" w:rsidRPr="00995C30" w:rsidRDefault="000F33A4" w:rsidP="00995C30">
      <w:r w:rsidRPr="00995C30">
        <w:rPr>
          <w:b/>
        </w:rPr>
        <w:t xml:space="preserve">LA PARTE RECURRENTE </w:t>
      </w:r>
      <w:r w:rsidRPr="00995C30">
        <w:t>acreditó todos y cada uno de los elementos formales exigidos por el artículo 180 de la misma normatividad.</w:t>
      </w:r>
    </w:p>
    <w:p w14:paraId="18E5E134" w14:textId="77777777" w:rsidR="00F5427F" w:rsidRPr="00995C30" w:rsidRDefault="00F5427F" w:rsidP="00995C30"/>
    <w:p w14:paraId="45FD4F1C" w14:textId="77777777" w:rsidR="00F5427F" w:rsidRPr="00995C30" w:rsidRDefault="000F33A4" w:rsidP="00995C30">
      <w:pPr>
        <w:pStyle w:val="Ttulo2"/>
      </w:pPr>
      <w:bookmarkStart w:id="25" w:name="_heading=h.n23ynhu47ly6" w:colFirst="0" w:colLast="0"/>
      <w:bookmarkEnd w:id="25"/>
      <w:r w:rsidRPr="00995C30">
        <w:t>SEGUNDO. Estudio de Fondo.</w:t>
      </w:r>
    </w:p>
    <w:p w14:paraId="21D0C4BF" w14:textId="77777777" w:rsidR="00F5427F" w:rsidRPr="00995C30" w:rsidRDefault="000F33A4" w:rsidP="00995C30">
      <w:pPr>
        <w:pStyle w:val="Ttulo3"/>
      </w:pPr>
      <w:bookmarkStart w:id="26" w:name="_heading=h.bghaumxdmz41" w:colFirst="0" w:colLast="0"/>
      <w:bookmarkEnd w:id="26"/>
      <w:r w:rsidRPr="00995C30">
        <w:t>a) Mandato de transparencia y responsabilidad del Sujeto Obligado.</w:t>
      </w:r>
    </w:p>
    <w:p w14:paraId="61188DD4" w14:textId="77777777" w:rsidR="00F5427F" w:rsidRPr="00995C30" w:rsidRDefault="000F33A4" w:rsidP="00995C30">
      <w:r w:rsidRPr="00995C3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605F1EF" w14:textId="77777777" w:rsidR="00F5427F" w:rsidRPr="00995C30" w:rsidRDefault="00F5427F" w:rsidP="00995C30"/>
    <w:p w14:paraId="2D1F113A" w14:textId="77777777" w:rsidR="00F5427F" w:rsidRPr="00995C30" w:rsidRDefault="000F33A4" w:rsidP="00995C30">
      <w:pPr>
        <w:spacing w:line="240" w:lineRule="auto"/>
        <w:ind w:left="567" w:right="539"/>
        <w:rPr>
          <w:b/>
          <w:i/>
        </w:rPr>
      </w:pPr>
      <w:r w:rsidRPr="00995C30">
        <w:rPr>
          <w:b/>
          <w:i/>
        </w:rPr>
        <w:t>Constitución Política de los Estados Unidos Mexicanos</w:t>
      </w:r>
    </w:p>
    <w:p w14:paraId="1BE4A8C7" w14:textId="77777777" w:rsidR="00F5427F" w:rsidRPr="00995C30" w:rsidRDefault="000F33A4" w:rsidP="00995C30">
      <w:pPr>
        <w:spacing w:line="240" w:lineRule="auto"/>
        <w:ind w:left="567" w:right="539"/>
        <w:rPr>
          <w:b/>
          <w:i/>
        </w:rPr>
      </w:pPr>
      <w:r w:rsidRPr="00995C30">
        <w:rPr>
          <w:b/>
          <w:i/>
        </w:rPr>
        <w:t>“Artículo 6.</w:t>
      </w:r>
    </w:p>
    <w:p w14:paraId="2E2B9171" w14:textId="77777777" w:rsidR="00F5427F" w:rsidRPr="00995C30" w:rsidRDefault="000F33A4" w:rsidP="00995C30">
      <w:pPr>
        <w:spacing w:line="240" w:lineRule="auto"/>
        <w:ind w:left="567" w:right="539"/>
        <w:rPr>
          <w:i/>
        </w:rPr>
      </w:pPr>
      <w:r w:rsidRPr="00995C30">
        <w:rPr>
          <w:i/>
        </w:rPr>
        <w:t>(…)</w:t>
      </w:r>
    </w:p>
    <w:p w14:paraId="587769E6" w14:textId="77777777" w:rsidR="00F5427F" w:rsidRPr="00995C30" w:rsidRDefault="000F33A4" w:rsidP="00995C30">
      <w:pPr>
        <w:spacing w:line="240" w:lineRule="auto"/>
        <w:ind w:left="567" w:right="539"/>
        <w:rPr>
          <w:i/>
        </w:rPr>
      </w:pPr>
      <w:r w:rsidRPr="00995C30">
        <w:rPr>
          <w:i/>
        </w:rPr>
        <w:t>Para efectos de lo dispuesto en el presente artículo se observará lo siguiente:</w:t>
      </w:r>
    </w:p>
    <w:p w14:paraId="78269230" w14:textId="77777777" w:rsidR="00F5427F" w:rsidRPr="00995C30" w:rsidRDefault="000F33A4" w:rsidP="00995C30">
      <w:pPr>
        <w:spacing w:line="240" w:lineRule="auto"/>
        <w:ind w:left="567" w:right="539"/>
        <w:rPr>
          <w:b/>
          <w:i/>
        </w:rPr>
      </w:pPr>
      <w:r w:rsidRPr="00995C30">
        <w:rPr>
          <w:b/>
          <w:i/>
        </w:rPr>
        <w:t>A</w:t>
      </w:r>
      <w:r w:rsidRPr="00995C30">
        <w:rPr>
          <w:i/>
        </w:rPr>
        <w:t xml:space="preserve">. </w:t>
      </w:r>
      <w:r w:rsidRPr="00995C30">
        <w:rPr>
          <w:b/>
          <w:i/>
        </w:rPr>
        <w:t>Para el ejercicio del derecho de acceso a la información</w:t>
      </w:r>
      <w:r w:rsidRPr="00995C30">
        <w:rPr>
          <w:i/>
        </w:rPr>
        <w:t xml:space="preserve">, la Federación y </w:t>
      </w:r>
      <w:r w:rsidRPr="00995C30">
        <w:rPr>
          <w:b/>
          <w:i/>
        </w:rPr>
        <w:t>las entidades federativas, en el ámbito de sus respectivas competencias, se regirán por los siguientes principios y bases:</w:t>
      </w:r>
    </w:p>
    <w:p w14:paraId="7AC34261" w14:textId="77777777" w:rsidR="00F5427F" w:rsidRPr="00995C30" w:rsidRDefault="000F33A4" w:rsidP="00995C30">
      <w:pPr>
        <w:spacing w:line="240" w:lineRule="auto"/>
        <w:ind w:left="567" w:right="539"/>
        <w:rPr>
          <w:i/>
        </w:rPr>
      </w:pPr>
      <w:r w:rsidRPr="00995C30">
        <w:rPr>
          <w:b/>
          <w:i/>
        </w:rPr>
        <w:t xml:space="preserve">I. </w:t>
      </w:r>
      <w:r w:rsidRPr="00995C30">
        <w:rPr>
          <w:b/>
          <w:i/>
        </w:rPr>
        <w:tab/>
        <w:t>Toda la información en posesión de cualquier</w:t>
      </w:r>
      <w:r w:rsidRPr="00995C30">
        <w:rPr>
          <w:i/>
        </w:rPr>
        <w:t xml:space="preserve"> </w:t>
      </w:r>
      <w:r w:rsidRPr="00995C30">
        <w:rPr>
          <w:b/>
          <w:i/>
        </w:rPr>
        <w:t>autoridad</w:t>
      </w:r>
      <w:r w:rsidRPr="00995C3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5C30">
        <w:rPr>
          <w:b/>
          <w:i/>
        </w:rPr>
        <w:t>municipal</w:t>
      </w:r>
      <w:r w:rsidRPr="00995C30">
        <w:rPr>
          <w:i/>
        </w:rPr>
        <w:t xml:space="preserve">, </w:t>
      </w:r>
      <w:r w:rsidRPr="00995C30">
        <w:rPr>
          <w:b/>
          <w:i/>
        </w:rPr>
        <w:t>es pública</w:t>
      </w:r>
      <w:r w:rsidRPr="00995C30">
        <w:rPr>
          <w:i/>
        </w:rPr>
        <w:t xml:space="preserve"> y sólo podrá ser reservada temporalmente por razones de interés público y seguridad nacional, en los términos que fijen las leyes. </w:t>
      </w:r>
      <w:r w:rsidRPr="00995C30">
        <w:rPr>
          <w:b/>
          <w:i/>
        </w:rPr>
        <w:t xml:space="preserve">En la interpretación de este derecho deberá prevalecer el principio de máxima publicidad. Los sujetos obligados deberán documentar todo acto que derive del </w:t>
      </w:r>
      <w:r w:rsidRPr="00995C30">
        <w:rPr>
          <w:b/>
          <w:i/>
        </w:rPr>
        <w:lastRenderedPageBreak/>
        <w:t>ejercicio de sus facultades, competencias o funciones</w:t>
      </w:r>
      <w:r w:rsidRPr="00995C30">
        <w:rPr>
          <w:i/>
        </w:rPr>
        <w:t>, la ley determinará los supuestos específicos bajo los cuales procederá la declaración de inexistencia de la información.”</w:t>
      </w:r>
    </w:p>
    <w:p w14:paraId="2FD688B0" w14:textId="77777777" w:rsidR="00F5427F" w:rsidRPr="00995C30" w:rsidRDefault="00F5427F" w:rsidP="00995C30">
      <w:pPr>
        <w:spacing w:line="240" w:lineRule="auto"/>
        <w:ind w:left="567" w:right="539"/>
        <w:rPr>
          <w:b/>
          <w:i/>
        </w:rPr>
      </w:pPr>
    </w:p>
    <w:p w14:paraId="54468EBE" w14:textId="77777777" w:rsidR="00F5427F" w:rsidRPr="00995C30" w:rsidRDefault="000F33A4" w:rsidP="00995C30">
      <w:pPr>
        <w:spacing w:line="240" w:lineRule="auto"/>
        <w:ind w:left="567" w:right="539"/>
        <w:rPr>
          <w:b/>
          <w:i/>
        </w:rPr>
      </w:pPr>
      <w:r w:rsidRPr="00995C30">
        <w:rPr>
          <w:b/>
          <w:i/>
        </w:rPr>
        <w:t>Constitución Política del Estado Libre y Soberano de México</w:t>
      </w:r>
    </w:p>
    <w:p w14:paraId="31DF01D1" w14:textId="77777777" w:rsidR="00F5427F" w:rsidRPr="00995C30" w:rsidRDefault="000F33A4" w:rsidP="00995C30">
      <w:pPr>
        <w:spacing w:line="240" w:lineRule="auto"/>
        <w:ind w:left="567" w:right="539"/>
        <w:rPr>
          <w:i/>
        </w:rPr>
      </w:pPr>
      <w:r w:rsidRPr="00995C30">
        <w:rPr>
          <w:b/>
          <w:i/>
        </w:rPr>
        <w:t>“Artículo 5</w:t>
      </w:r>
      <w:r w:rsidRPr="00995C30">
        <w:rPr>
          <w:i/>
        </w:rPr>
        <w:t xml:space="preserve">.- </w:t>
      </w:r>
    </w:p>
    <w:p w14:paraId="53556CE4" w14:textId="77777777" w:rsidR="00F5427F" w:rsidRPr="00995C30" w:rsidRDefault="000F33A4" w:rsidP="00995C30">
      <w:pPr>
        <w:spacing w:line="240" w:lineRule="auto"/>
        <w:ind w:left="567" w:right="539"/>
        <w:rPr>
          <w:i/>
        </w:rPr>
      </w:pPr>
      <w:r w:rsidRPr="00995C30">
        <w:rPr>
          <w:i/>
        </w:rPr>
        <w:t>(…)</w:t>
      </w:r>
    </w:p>
    <w:p w14:paraId="0F3F48FD" w14:textId="77777777" w:rsidR="00F5427F" w:rsidRPr="00995C30" w:rsidRDefault="000F33A4" w:rsidP="00995C30">
      <w:pPr>
        <w:spacing w:line="240" w:lineRule="auto"/>
        <w:ind w:left="567" w:right="539"/>
        <w:rPr>
          <w:i/>
        </w:rPr>
      </w:pPr>
      <w:r w:rsidRPr="00995C30">
        <w:rPr>
          <w:b/>
          <w:i/>
        </w:rPr>
        <w:t>El derecho a la información será garantizado por el Estado. La ley establecerá las previsiones que permitan asegurar la protección, el respeto y la difusión de este derecho</w:t>
      </w:r>
      <w:r w:rsidRPr="00995C30">
        <w:rPr>
          <w:i/>
        </w:rPr>
        <w:t>.</w:t>
      </w:r>
    </w:p>
    <w:p w14:paraId="09DFC371" w14:textId="77777777" w:rsidR="00F5427F" w:rsidRPr="00995C30" w:rsidRDefault="000F33A4" w:rsidP="00995C30">
      <w:pPr>
        <w:spacing w:line="240" w:lineRule="auto"/>
        <w:ind w:left="567" w:right="539"/>
        <w:rPr>
          <w:i/>
        </w:rPr>
      </w:pPr>
      <w:r w:rsidRPr="00995C3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8597BFF" w14:textId="77777777" w:rsidR="00F5427F" w:rsidRPr="00995C30" w:rsidRDefault="000F33A4" w:rsidP="00995C30">
      <w:pPr>
        <w:spacing w:line="240" w:lineRule="auto"/>
        <w:ind w:left="567" w:right="539"/>
        <w:rPr>
          <w:i/>
        </w:rPr>
      </w:pPr>
      <w:r w:rsidRPr="00995C30">
        <w:rPr>
          <w:b/>
          <w:i/>
        </w:rPr>
        <w:t>Este derecho se regirá por los principios y bases siguientes</w:t>
      </w:r>
      <w:r w:rsidRPr="00995C30">
        <w:rPr>
          <w:i/>
        </w:rPr>
        <w:t>:</w:t>
      </w:r>
    </w:p>
    <w:p w14:paraId="4BF6DD72" w14:textId="77777777" w:rsidR="00F5427F" w:rsidRPr="00995C30" w:rsidRDefault="000F33A4" w:rsidP="00995C30">
      <w:pPr>
        <w:spacing w:line="240" w:lineRule="auto"/>
        <w:ind w:left="567" w:right="539"/>
        <w:rPr>
          <w:i/>
        </w:rPr>
      </w:pPr>
      <w:r w:rsidRPr="00995C30">
        <w:rPr>
          <w:b/>
          <w:i/>
        </w:rPr>
        <w:t>I. Toda la información en posesión de cualquier autoridad, entidad, órgano y organismos de los</w:t>
      </w:r>
      <w:r w:rsidRPr="00995C30">
        <w:rPr>
          <w:i/>
        </w:rPr>
        <w:t xml:space="preserve"> Poderes Ejecutivo, Legislativo y Judicial, órganos autónomos, partidos políticos, fideicomisos y fondos públicos estatales y </w:t>
      </w:r>
      <w:r w:rsidRPr="00995C30">
        <w:rPr>
          <w:b/>
          <w:i/>
        </w:rPr>
        <w:t>municipales</w:t>
      </w:r>
      <w:r w:rsidRPr="00995C3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95C30">
        <w:rPr>
          <w:b/>
          <w:i/>
        </w:rPr>
        <w:t>es pública</w:t>
      </w:r>
      <w:r w:rsidRPr="00995C30">
        <w:rPr>
          <w:i/>
        </w:rPr>
        <w:t xml:space="preserve"> y sólo podrá ser reservada temporalmente por razones previstas en la Constitución Política de los Estados Unidos Mexicanos de interés público y seguridad, en los términos que fijen las leyes. </w:t>
      </w:r>
      <w:r w:rsidRPr="00995C30">
        <w:rPr>
          <w:b/>
          <w:i/>
        </w:rPr>
        <w:t>En la interpretación de este derecho deberá prevalecer el principio de máxima publicidad</w:t>
      </w:r>
      <w:r w:rsidRPr="00995C30">
        <w:rPr>
          <w:i/>
        </w:rPr>
        <w:t xml:space="preserve">. </w:t>
      </w:r>
      <w:r w:rsidRPr="00995C30">
        <w:rPr>
          <w:b/>
          <w:i/>
        </w:rPr>
        <w:t>Los sujetos obligados deberán documentar todo acto que derive del ejercicio de sus facultades, competencias o funciones</w:t>
      </w:r>
      <w:r w:rsidRPr="00995C30">
        <w:rPr>
          <w:i/>
        </w:rPr>
        <w:t>, la ley determinará los supuestos específicos bajo los cuales procederá la declaración de inexistencia de la información.”</w:t>
      </w:r>
    </w:p>
    <w:p w14:paraId="589A4943" w14:textId="77777777" w:rsidR="00F5427F" w:rsidRPr="00995C30" w:rsidRDefault="00F5427F" w:rsidP="00995C30">
      <w:pPr>
        <w:rPr>
          <w:b/>
          <w:i/>
        </w:rPr>
      </w:pPr>
    </w:p>
    <w:p w14:paraId="31F969EE" w14:textId="77777777" w:rsidR="00F5427F" w:rsidRPr="00995C30" w:rsidRDefault="000F33A4" w:rsidP="00995C30">
      <w:pPr>
        <w:rPr>
          <w:i/>
        </w:rPr>
      </w:pPr>
      <w:r w:rsidRPr="00995C3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95C30">
        <w:rPr>
          <w:i/>
        </w:rPr>
        <w:t>por los principios de simplicidad, rapidez, gratuidad del procedimiento, auxilio y orientación a los particulares.</w:t>
      </w:r>
    </w:p>
    <w:p w14:paraId="48619A17" w14:textId="77777777" w:rsidR="00F5427F" w:rsidRPr="00995C30" w:rsidRDefault="00F5427F" w:rsidP="00995C30">
      <w:pPr>
        <w:rPr>
          <w:i/>
        </w:rPr>
      </w:pPr>
    </w:p>
    <w:p w14:paraId="63613AE5" w14:textId="77777777" w:rsidR="00F5427F" w:rsidRPr="00995C30" w:rsidRDefault="000F33A4" w:rsidP="00995C30">
      <w:pPr>
        <w:rPr>
          <w:i/>
        </w:rPr>
      </w:pPr>
      <w:r w:rsidRPr="00995C30">
        <w:t xml:space="preserve">Por su parte, el artículo 4 de la Ley de Transparencia y Acceso a la Información Pública del Estado de México y Municipios refiere que toda la información generada, obtenida, adquirida, </w:t>
      </w:r>
      <w:r w:rsidRPr="00995C30">
        <w:lastRenderedPageBreak/>
        <w:t>transformada, administrada o en posesión de los sujetos obligados es pública y accesible de manera permanente a cualquier persona, privilegiando el principio de máxima publicidad.</w:t>
      </w:r>
    </w:p>
    <w:p w14:paraId="241D5B87" w14:textId="77777777" w:rsidR="00F5427F" w:rsidRPr="00995C30" w:rsidRDefault="00F5427F" w:rsidP="00995C30"/>
    <w:p w14:paraId="154D18F2" w14:textId="77777777" w:rsidR="00F5427F" w:rsidRPr="00995C30" w:rsidRDefault="000F33A4" w:rsidP="00995C30">
      <w:r w:rsidRPr="00995C3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9C2B9A8" w14:textId="77777777" w:rsidR="00F5427F" w:rsidRPr="00995C30" w:rsidRDefault="00F5427F" w:rsidP="00995C30"/>
    <w:p w14:paraId="4E592F48" w14:textId="77777777" w:rsidR="00F5427F" w:rsidRPr="00995C30" w:rsidRDefault="000F33A4" w:rsidP="00995C30">
      <w:r w:rsidRPr="00995C3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E77C169" w14:textId="77777777" w:rsidR="00F5427F" w:rsidRPr="00995C30" w:rsidRDefault="00F5427F" w:rsidP="00995C30"/>
    <w:p w14:paraId="6343B455" w14:textId="77777777" w:rsidR="00F5427F" w:rsidRPr="00995C30" w:rsidRDefault="000F33A4" w:rsidP="00995C30">
      <w:r w:rsidRPr="00995C3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769FCE4" w14:textId="77777777" w:rsidR="00F5427F" w:rsidRPr="00995C30" w:rsidRDefault="00F5427F" w:rsidP="00995C30"/>
    <w:p w14:paraId="781792C3" w14:textId="77777777" w:rsidR="00F5427F" w:rsidRPr="00995C30" w:rsidRDefault="000F33A4" w:rsidP="00995C30">
      <w:bookmarkStart w:id="27" w:name="_heading=h.2bn6wsx" w:colFirst="0" w:colLast="0"/>
      <w:bookmarkEnd w:id="27"/>
      <w:r w:rsidRPr="00995C30">
        <w:t xml:space="preserve">Con base en lo anterior, se considera que </w:t>
      </w:r>
      <w:r w:rsidRPr="00995C30">
        <w:rPr>
          <w:b/>
        </w:rPr>
        <w:t>EL</w:t>
      </w:r>
      <w:r w:rsidRPr="00995C30">
        <w:t xml:space="preserve"> </w:t>
      </w:r>
      <w:r w:rsidRPr="00995C30">
        <w:rPr>
          <w:b/>
        </w:rPr>
        <w:t>SUJETO OBLIGADO</w:t>
      </w:r>
      <w:r w:rsidRPr="00995C30">
        <w:t xml:space="preserve"> se encontraba compelido a atender la solicitud de acceso a la información realizada por </w:t>
      </w:r>
      <w:r w:rsidRPr="00995C30">
        <w:rPr>
          <w:b/>
        </w:rPr>
        <w:t>LA PARTE RECURRENTE</w:t>
      </w:r>
      <w:r w:rsidRPr="00995C30">
        <w:t>.</w:t>
      </w:r>
    </w:p>
    <w:p w14:paraId="3B663E2C" w14:textId="77777777" w:rsidR="00F5427F" w:rsidRPr="00995C30" w:rsidRDefault="00F5427F" w:rsidP="00995C30"/>
    <w:p w14:paraId="5C6BF739" w14:textId="77777777" w:rsidR="00F5427F" w:rsidRPr="00995C30" w:rsidRDefault="000F33A4" w:rsidP="00995C30">
      <w:pPr>
        <w:pStyle w:val="Ttulo3"/>
      </w:pPr>
      <w:bookmarkStart w:id="28" w:name="_heading=h.ipxo01ls275r" w:colFirst="0" w:colLast="0"/>
      <w:bookmarkEnd w:id="28"/>
      <w:r w:rsidRPr="00995C30">
        <w:t>b) Controversia a resolver.</w:t>
      </w:r>
    </w:p>
    <w:p w14:paraId="34F82C5C" w14:textId="77777777" w:rsidR="00F5427F" w:rsidRPr="00995C30" w:rsidRDefault="000F33A4" w:rsidP="00995C30">
      <w:pPr>
        <w:rPr>
          <w:i/>
        </w:rPr>
      </w:pPr>
      <w:r w:rsidRPr="00995C30">
        <w:t xml:space="preserve">Con el objeto de ilustrar la controversia planteada, resulta conveniente precisar que, una vez realizado el estudio de las constancias que integran el expediente en que se actúa, se desprende que </w:t>
      </w:r>
      <w:r w:rsidRPr="00995C30">
        <w:rPr>
          <w:b/>
        </w:rPr>
        <w:t>LA PARTE RECURRENTE</w:t>
      </w:r>
      <w:r w:rsidRPr="00995C30">
        <w:t xml:space="preserve"> solicitó, en atención al programa social denominado “conduce sin alcohol”, lo siguiente:</w:t>
      </w:r>
    </w:p>
    <w:p w14:paraId="2FCA996B" w14:textId="77777777" w:rsidR="00F5427F" w:rsidRPr="00995C30" w:rsidRDefault="00F5427F" w:rsidP="00995C30"/>
    <w:p w14:paraId="0A6C691A" w14:textId="77777777" w:rsidR="00F5427F" w:rsidRPr="00995C30" w:rsidRDefault="000F33A4" w:rsidP="00995C30">
      <w:pPr>
        <w:numPr>
          <w:ilvl w:val="0"/>
          <w:numId w:val="3"/>
        </w:numPr>
        <w:pBdr>
          <w:top w:val="nil"/>
          <w:left w:val="nil"/>
          <w:bottom w:val="nil"/>
          <w:right w:val="nil"/>
          <w:between w:val="nil"/>
        </w:pBdr>
        <w:tabs>
          <w:tab w:val="left" w:pos="4667"/>
          <w:tab w:val="left" w:pos="4962"/>
        </w:tabs>
        <w:ind w:right="567"/>
        <w:rPr>
          <w:rFonts w:eastAsia="Palatino Linotype" w:cs="Palatino Linotype"/>
          <w:szCs w:val="22"/>
        </w:rPr>
      </w:pPr>
      <w:r w:rsidRPr="00995C30">
        <w:rPr>
          <w:rFonts w:eastAsia="Palatino Linotype" w:cs="Palatino Linotype"/>
          <w:szCs w:val="22"/>
        </w:rPr>
        <w:t>Lineamientos, protocolo o cualquiera que sea la denominación, que rigen al programa</w:t>
      </w:r>
      <w:r w:rsidR="00320834" w:rsidRPr="00995C30">
        <w:rPr>
          <w:rFonts w:eastAsia="Palatino Linotype" w:cs="Palatino Linotype"/>
          <w:szCs w:val="22"/>
        </w:rPr>
        <w:t>.</w:t>
      </w:r>
    </w:p>
    <w:p w14:paraId="7C08CC01" w14:textId="77777777" w:rsidR="00F5427F" w:rsidRPr="00995C30" w:rsidRDefault="000F33A4" w:rsidP="00995C30">
      <w:pPr>
        <w:numPr>
          <w:ilvl w:val="0"/>
          <w:numId w:val="3"/>
        </w:numPr>
        <w:pBdr>
          <w:top w:val="nil"/>
          <w:left w:val="nil"/>
          <w:bottom w:val="nil"/>
          <w:right w:val="nil"/>
          <w:between w:val="nil"/>
        </w:pBdr>
        <w:tabs>
          <w:tab w:val="left" w:pos="4667"/>
          <w:tab w:val="left" w:pos="4962"/>
        </w:tabs>
        <w:ind w:right="567"/>
        <w:rPr>
          <w:rFonts w:eastAsia="Palatino Linotype" w:cs="Palatino Linotype"/>
          <w:szCs w:val="22"/>
        </w:rPr>
      </w:pPr>
      <w:r w:rsidRPr="00995C30">
        <w:rPr>
          <w:rFonts w:eastAsia="Palatino Linotype" w:cs="Palatino Linotype"/>
          <w:szCs w:val="22"/>
        </w:rPr>
        <w:t xml:space="preserve"> Manual de Operación.</w:t>
      </w:r>
    </w:p>
    <w:p w14:paraId="78874017" w14:textId="77777777" w:rsidR="00F5427F" w:rsidRPr="00995C30" w:rsidRDefault="00F5427F" w:rsidP="00995C30">
      <w:pPr>
        <w:tabs>
          <w:tab w:val="left" w:pos="4667"/>
          <w:tab w:val="left" w:pos="4962"/>
        </w:tabs>
        <w:ind w:right="567"/>
      </w:pPr>
    </w:p>
    <w:p w14:paraId="77B2AAC3" w14:textId="77777777" w:rsidR="00F5427F" w:rsidRPr="00995C30" w:rsidRDefault="000F33A4" w:rsidP="00995C30">
      <w:pPr>
        <w:pBdr>
          <w:top w:val="nil"/>
          <w:left w:val="nil"/>
          <w:bottom w:val="nil"/>
          <w:right w:val="nil"/>
          <w:between w:val="nil"/>
        </w:pBdr>
        <w:ind w:right="-28"/>
        <w:rPr>
          <w:b/>
        </w:rPr>
      </w:pPr>
      <w:r w:rsidRPr="00995C30">
        <w:t xml:space="preserve">En respuesta, </w:t>
      </w:r>
      <w:r w:rsidRPr="00995C30">
        <w:rPr>
          <w:b/>
        </w:rPr>
        <w:t xml:space="preserve">EL SUJETO OBLIGADO </w:t>
      </w:r>
      <w:r w:rsidRPr="00995C30">
        <w:t>se pronunció por conducto de la Responsable del Área de Juzgados Cívicos, quien refirió remitir los lineamientos del programa “Conduce Sin Alcohol".</w:t>
      </w:r>
    </w:p>
    <w:p w14:paraId="1C4DF726" w14:textId="77777777" w:rsidR="00F5427F" w:rsidRPr="00995C30" w:rsidRDefault="00F5427F" w:rsidP="00995C30">
      <w:pPr>
        <w:pBdr>
          <w:top w:val="nil"/>
          <w:left w:val="nil"/>
          <w:bottom w:val="nil"/>
          <w:right w:val="nil"/>
          <w:between w:val="nil"/>
        </w:pBdr>
        <w:ind w:right="-28"/>
      </w:pPr>
    </w:p>
    <w:p w14:paraId="760F2D77" w14:textId="77777777" w:rsidR="00F5427F" w:rsidRPr="00995C30" w:rsidRDefault="000F33A4" w:rsidP="00995C30">
      <w:pPr>
        <w:tabs>
          <w:tab w:val="left" w:pos="4962"/>
        </w:tabs>
      </w:pPr>
      <w:r w:rsidRPr="00995C30">
        <w:t xml:space="preserve">Ahora bien, en la interposición del presente recurso </w:t>
      </w:r>
      <w:r w:rsidRPr="00995C30">
        <w:rPr>
          <w:b/>
        </w:rPr>
        <w:t>LA PARTE RECURRENTE</w:t>
      </w:r>
      <w:r w:rsidRPr="00995C30">
        <w:t xml:space="preserve"> se inconformó sobre la entrega de información incompleta, precisando que no se anexaron los Lineamientos y Manual de operación requeridos.</w:t>
      </w:r>
    </w:p>
    <w:p w14:paraId="3F502511" w14:textId="77777777" w:rsidR="00F5427F" w:rsidRPr="00995C30" w:rsidRDefault="00F5427F" w:rsidP="00995C30"/>
    <w:p w14:paraId="00AADA51" w14:textId="77777777" w:rsidR="00F5427F" w:rsidRPr="00995C30" w:rsidRDefault="000F33A4" w:rsidP="00995C30">
      <w:r w:rsidRPr="00995C30">
        <w:t xml:space="preserve">Por otra parte, en el apartado de manifestaciones, </w:t>
      </w:r>
      <w:r w:rsidRPr="00995C30">
        <w:rPr>
          <w:b/>
        </w:rPr>
        <w:t xml:space="preserve">EL SUJETO OBLIGADO </w:t>
      </w:r>
      <w:r w:rsidRPr="00995C30">
        <w:t xml:space="preserve">modificó su respuesta, señalando que por un error humano, se omitió anexar la documentación referida en respuesta, sin embargo se remiten en alcance los lineamientos del programa municipal “Conduce Sin Alcohol”, en formato </w:t>
      </w:r>
      <w:proofErr w:type="spellStart"/>
      <w:r w:rsidRPr="00995C30">
        <w:t>pdf</w:t>
      </w:r>
      <w:proofErr w:type="spellEnd"/>
      <w:r w:rsidRPr="00995C30">
        <w:t>.</w:t>
      </w:r>
    </w:p>
    <w:p w14:paraId="35860070" w14:textId="77777777" w:rsidR="00F5427F" w:rsidRPr="00995C30" w:rsidRDefault="00F5427F" w:rsidP="00995C30">
      <w:pPr>
        <w:rPr>
          <w:b/>
        </w:rPr>
      </w:pPr>
    </w:p>
    <w:p w14:paraId="70CB8634" w14:textId="77777777" w:rsidR="00F5427F" w:rsidRPr="00995C30" w:rsidRDefault="000F33A4" w:rsidP="00995C30">
      <w:pPr>
        <w:tabs>
          <w:tab w:val="left" w:pos="4962"/>
        </w:tabs>
      </w:pPr>
      <w:r w:rsidRPr="00995C30">
        <w:lastRenderedPageBreak/>
        <w:t xml:space="preserve">En razón de lo anterior, el estudio se centrará en determinar si </w:t>
      </w:r>
      <w:r w:rsidRPr="00995C30">
        <w:rPr>
          <w:b/>
        </w:rPr>
        <w:t xml:space="preserve">EL SUJETO OBLIGADO </w:t>
      </w:r>
      <w:r w:rsidRPr="00995C30">
        <w:t xml:space="preserve">entregó la información de manera completa que fue requerida por </w:t>
      </w:r>
      <w:r w:rsidRPr="00995C30">
        <w:rPr>
          <w:b/>
        </w:rPr>
        <w:t>LA PARTE RECURRENTE</w:t>
      </w:r>
      <w:r w:rsidRPr="00995C30">
        <w:t>.</w:t>
      </w:r>
    </w:p>
    <w:p w14:paraId="4AE86310" w14:textId="77777777" w:rsidR="00F5427F" w:rsidRPr="00995C30" w:rsidRDefault="00F5427F" w:rsidP="00995C30"/>
    <w:p w14:paraId="502D457D" w14:textId="77777777" w:rsidR="00F5427F" w:rsidRPr="00995C30" w:rsidRDefault="000F33A4" w:rsidP="00995C30">
      <w:pPr>
        <w:pStyle w:val="Ttulo3"/>
        <w:tabs>
          <w:tab w:val="left" w:pos="6015"/>
        </w:tabs>
      </w:pPr>
      <w:bookmarkStart w:id="29" w:name="_heading=h.ia70srupr40n" w:colFirst="0" w:colLast="0"/>
      <w:bookmarkEnd w:id="29"/>
      <w:r w:rsidRPr="00995C30">
        <w:t>c) Estudio de la controversia.</w:t>
      </w:r>
    </w:p>
    <w:p w14:paraId="73CF9CBB" w14:textId="77777777" w:rsidR="00F5427F" w:rsidRPr="00995C30" w:rsidRDefault="000F33A4" w:rsidP="00995C30">
      <w:pPr>
        <w:ind w:right="-93"/>
      </w:pPr>
      <w:r w:rsidRPr="00995C30">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BCA758" w14:textId="77777777" w:rsidR="00F5427F" w:rsidRPr="00995C30" w:rsidRDefault="00F5427F" w:rsidP="00995C30">
      <w:pPr>
        <w:ind w:right="-93"/>
      </w:pPr>
    </w:p>
    <w:p w14:paraId="266CCD16" w14:textId="77777777" w:rsidR="00F5427F" w:rsidRPr="00995C30" w:rsidRDefault="000F33A4" w:rsidP="00995C30">
      <w:pPr>
        <w:pStyle w:val="Puesto"/>
        <w:ind w:firstLine="567"/>
      </w:pPr>
      <w:r w:rsidRPr="00995C30">
        <w:rPr>
          <w:b/>
        </w:rPr>
        <w:t>Artículo 18</w:t>
      </w:r>
      <w:r w:rsidRPr="00995C30">
        <w:t>. Los sujetos obligados deberán documentar todo acto que derive del ejercicio de sus facultades, competencias o funciones, considerando desde su origen la eventual publicidad y reutilización de la información que generen</w:t>
      </w:r>
    </w:p>
    <w:p w14:paraId="3704910C" w14:textId="77777777" w:rsidR="00F5427F" w:rsidRPr="00995C30" w:rsidRDefault="00F5427F" w:rsidP="00995C30">
      <w:pPr>
        <w:ind w:right="-93"/>
      </w:pPr>
    </w:p>
    <w:p w14:paraId="453D3AD9" w14:textId="77777777" w:rsidR="00F5427F" w:rsidRPr="00995C30" w:rsidRDefault="000F33A4" w:rsidP="00995C30">
      <w:pPr>
        <w:ind w:right="-93"/>
      </w:pPr>
      <w:r w:rsidRPr="00995C30">
        <w:t xml:space="preserve">Lo anterior toma relevancia, pues según Jarquín, Soledad (2019), en el “Diccionario de Transparencia y Acceso a la Información Pública” (p. 126 y 127), todos los </w:t>
      </w:r>
      <w:r w:rsidRPr="00995C30">
        <w:rPr>
          <w:b/>
        </w:rPr>
        <w:t>SUJETOS OBLIGADOS</w:t>
      </w:r>
      <w:r w:rsidRPr="00995C30">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907673B" w14:textId="77777777" w:rsidR="00F5427F" w:rsidRPr="00995C30" w:rsidRDefault="00F5427F" w:rsidP="00995C30">
      <w:pPr>
        <w:ind w:right="-93"/>
      </w:pPr>
    </w:p>
    <w:p w14:paraId="0C101874" w14:textId="77777777" w:rsidR="00F5427F" w:rsidRPr="00995C30" w:rsidRDefault="000F33A4" w:rsidP="00995C30">
      <w:pPr>
        <w:widowControl w:val="0"/>
      </w:pPr>
      <w:r w:rsidRPr="00995C30">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086E1B2" w14:textId="77777777" w:rsidR="00F5427F" w:rsidRPr="00995C30" w:rsidRDefault="00F5427F" w:rsidP="00995C30">
      <w:pPr>
        <w:tabs>
          <w:tab w:val="left" w:pos="4962"/>
        </w:tabs>
      </w:pPr>
    </w:p>
    <w:p w14:paraId="318D556A" w14:textId="77777777" w:rsidR="00F5427F" w:rsidRPr="00995C30" w:rsidRDefault="000F33A4" w:rsidP="00995C30">
      <w:pPr>
        <w:widowControl w:val="0"/>
      </w:pPr>
      <w:r w:rsidRPr="00995C30">
        <w:t>Así las cosas, es importante señalar que para dar atención al requerimiento del particular, se pronunciaron</w:t>
      </w:r>
      <w:r w:rsidR="00E10090" w:rsidRPr="00995C30">
        <w:t xml:space="preserve"> </w:t>
      </w:r>
      <w:r w:rsidRPr="00995C30">
        <w:t>los</w:t>
      </w:r>
      <w:r w:rsidR="00E10090" w:rsidRPr="00995C30">
        <w:t xml:space="preserve"> servidor</w:t>
      </w:r>
      <w:r w:rsidRPr="00995C30">
        <w:t>es</w:t>
      </w:r>
      <w:r w:rsidR="00E10090" w:rsidRPr="00995C30">
        <w:t xml:space="preserve"> público</w:t>
      </w:r>
      <w:r w:rsidRPr="00995C30">
        <w:t>s habilitados que se estiman competentes, dada la propia y especial naturaleza de la solicitud de acceso a la información y de conformidad con lo previsto en los artículo 91, fracción VI de la Ley Orgánica Municipal del Estado de México y 102, fracción V del Reglamento Interno de la Administración Pública Municipal de Tlalnepantla de Baz, Estado de México, como a continuación se observa:</w:t>
      </w:r>
    </w:p>
    <w:p w14:paraId="16127EA1" w14:textId="77777777" w:rsidR="00F5427F" w:rsidRPr="00995C30" w:rsidRDefault="00F5427F" w:rsidP="00995C30">
      <w:pPr>
        <w:rPr>
          <w:sz w:val="12"/>
          <w:szCs w:val="12"/>
        </w:rPr>
      </w:pPr>
    </w:p>
    <w:p w14:paraId="5E90A607" w14:textId="77777777" w:rsidR="000F33A4" w:rsidRPr="00995C30" w:rsidRDefault="000F33A4" w:rsidP="00995C30">
      <w:pPr>
        <w:spacing w:line="276" w:lineRule="auto"/>
        <w:ind w:left="851" w:right="822"/>
        <w:rPr>
          <w:i/>
        </w:rPr>
      </w:pPr>
      <w:r w:rsidRPr="00995C30">
        <w:rPr>
          <w:i/>
        </w:rPr>
        <w:t>“</w:t>
      </w:r>
      <w:r w:rsidRPr="00995C30">
        <w:rPr>
          <w:b/>
          <w:i/>
        </w:rPr>
        <w:t>Artículo 91</w:t>
      </w:r>
      <w:r w:rsidRPr="00995C30">
        <w:rPr>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E3E3594" w14:textId="77777777" w:rsidR="000F33A4" w:rsidRPr="00995C30" w:rsidRDefault="000F33A4" w:rsidP="00995C30">
      <w:pPr>
        <w:spacing w:line="276" w:lineRule="auto"/>
        <w:ind w:left="851" w:right="822"/>
        <w:rPr>
          <w:i/>
        </w:rPr>
      </w:pPr>
      <w:r w:rsidRPr="00995C30">
        <w:rPr>
          <w:i/>
        </w:rPr>
        <w:t>(…)</w:t>
      </w:r>
    </w:p>
    <w:p w14:paraId="639A6334" w14:textId="77777777" w:rsidR="000F33A4" w:rsidRPr="00995C30" w:rsidRDefault="000F33A4" w:rsidP="00995C30">
      <w:pPr>
        <w:spacing w:line="276" w:lineRule="auto"/>
        <w:ind w:left="851" w:right="822"/>
        <w:rPr>
          <w:b/>
          <w:i/>
        </w:rPr>
      </w:pPr>
      <w:r w:rsidRPr="00995C30">
        <w:rPr>
          <w:b/>
          <w:i/>
        </w:rPr>
        <w:t>VI. Tener a su cargo el archivo general del ayuntamiento;</w:t>
      </w:r>
    </w:p>
    <w:p w14:paraId="34DCA638" w14:textId="77777777" w:rsidR="000F33A4" w:rsidRPr="00995C30" w:rsidRDefault="000F33A4" w:rsidP="00995C30">
      <w:pPr>
        <w:spacing w:line="276" w:lineRule="auto"/>
        <w:ind w:left="851" w:right="822"/>
        <w:rPr>
          <w:i/>
        </w:rPr>
      </w:pPr>
    </w:p>
    <w:p w14:paraId="0FE19481" w14:textId="77777777" w:rsidR="00F5427F" w:rsidRPr="00995C30" w:rsidRDefault="000F33A4" w:rsidP="00995C30">
      <w:pPr>
        <w:spacing w:line="276" w:lineRule="auto"/>
        <w:ind w:left="851" w:right="822"/>
        <w:rPr>
          <w:i/>
        </w:rPr>
      </w:pPr>
      <w:r w:rsidRPr="00995C30">
        <w:rPr>
          <w:b/>
          <w:i/>
        </w:rPr>
        <w:t>ARTÍCULO 102.</w:t>
      </w:r>
      <w:r w:rsidRPr="00995C30">
        <w:rPr>
          <w:i/>
        </w:rPr>
        <w:t xml:space="preserve"> Son facultades y obligaciones de la Coordinación de Justicia Cívica, las siguientes:</w:t>
      </w:r>
    </w:p>
    <w:p w14:paraId="5C0ACA64" w14:textId="77777777" w:rsidR="00F5427F" w:rsidRPr="00995C30" w:rsidRDefault="000F33A4" w:rsidP="00995C30">
      <w:pPr>
        <w:spacing w:line="276" w:lineRule="auto"/>
        <w:ind w:left="851" w:right="822"/>
        <w:rPr>
          <w:i/>
        </w:rPr>
      </w:pPr>
      <w:r w:rsidRPr="00995C30">
        <w:rPr>
          <w:i/>
        </w:rPr>
        <w:t>(…)</w:t>
      </w:r>
    </w:p>
    <w:p w14:paraId="25033AA4" w14:textId="77777777" w:rsidR="00F5427F" w:rsidRPr="00995C30" w:rsidRDefault="000F33A4" w:rsidP="00995C30">
      <w:pPr>
        <w:spacing w:line="276" w:lineRule="auto"/>
        <w:ind w:left="851" w:right="822"/>
        <w:rPr>
          <w:b/>
          <w:i/>
        </w:rPr>
      </w:pPr>
      <w:r w:rsidRPr="00995C30">
        <w:rPr>
          <w:b/>
          <w:i/>
        </w:rPr>
        <w:t>V. Promover, realizar y coordinar programas para la detección de la presencia de alcohol en los conductores de vehículos de motor, a fin de prevenir accidentes viales por dicha causa;”</w:t>
      </w:r>
    </w:p>
    <w:p w14:paraId="07ED7707" w14:textId="77777777" w:rsidR="00F5427F" w:rsidRPr="00995C30" w:rsidRDefault="00F5427F" w:rsidP="00995C30">
      <w:pPr>
        <w:widowControl w:val="0"/>
        <w:rPr>
          <w:sz w:val="16"/>
          <w:szCs w:val="16"/>
        </w:rPr>
      </w:pPr>
    </w:p>
    <w:p w14:paraId="3BFC0C07" w14:textId="77777777" w:rsidR="00E10090" w:rsidRPr="00995C30" w:rsidRDefault="00E10090" w:rsidP="00995C30">
      <w:pPr>
        <w:widowControl w:val="0"/>
      </w:pPr>
      <w:r w:rsidRPr="00995C30">
        <w:t xml:space="preserve">Así las cosas, es importante señalar que en respuesta, el Secretario del </w:t>
      </w:r>
      <w:r w:rsidR="000F33A4" w:rsidRPr="00995C30">
        <w:t>Ayuntamiento</w:t>
      </w:r>
      <w:r w:rsidRPr="00995C30">
        <w:t xml:space="preserve"> </w:t>
      </w:r>
      <w:r w:rsidR="000F33A4" w:rsidRPr="00995C30">
        <w:t xml:space="preserve">en primer lugar señaló que era remitido el oficio del responsable del área de Juzgados Cívicos, junto con los lineamientos del programa “Conduce Sin Alcohol”, precisando que no existe algún otro documento con las denominaciones referidas por el solicitante. </w:t>
      </w:r>
    </w:p>
    <w:p w14:paraId="4F664321" w14:textId="77777777" w:rsidR="000F33A4" w:rsidRPr="00995C30" w:rsidRDefault="000F33A4" w:rsidP="00995C30">
      <w:pPr>
        <w:widowControl w:val="0"/>
      </w:pPr>
    </w:p>
    <w:p w14:paraId="212A39FB" w14:textId="77777777" w:rsidR="00F5427F" w:rsidRPr="00995C30" w:rsidRDefault="000F33A4" w:rsidP="00995C30">
      <w:pPr>
        <w:widowControl w:val="0"/>
      </w:pPr>
      <w:r w:rsidRPr="00995C30">
        <w:t xml:space="preserve">De lo anterior, es importante destacar que en la respuesta no fue adjuntado archivo o documento alguno que diera cuenta con los lineamientos solicitados, sino que hasta la etapa </w:t>
      </w:r>
      <w:r w:rsidRPr="00995C30">
        <w:lastRenderedPageBreak/>
        <w:t>de</w:t>
      </w:r>
      <w:r w:rsidR="00E10090" w:rsidRPr="00995C30">
        <w:t xml:space="preserve"> manifestaciones </w:t>
      </w:r>
      <w:r w:rsidR="00E10090" w:rsidRPr="00995C30">
        <w:rPr>
          <w:b/>
        </w:rPr>
        <w:t xml:space="preserve">EL SUJETO OBLIGADO </w:t>
      </w:r>
      <w:r w:rsidRPr="00995C30">
        <w:t>mediante informe justificado</w:t>
      </w:r>
      <w:r w:rsidRPr="00995C30">
        <w:rPr>
          <w:b/>
        </w:rPr>
        <w:t xml:space="preserve"> </w:t>
      </w:r>
      <w:r w:rsidRPr="00995C30">
        <w:t xml:space="preserve">remitió los lineamientos del programa municipal “Conduce Sin Alcohol”, en formato </w:t>
      </w:r>
      <w:proofErr w:type="spellStart"/>
      <w:r w:rsidRPr="00995C30">
        <w:t>pdf</w:t>
      </w:r>
      <w:proofErr w:type="spellEnd"/>
      <w:r w:rsidRPr="00995C30">
        <w:t xml:space="preserve">, reconociendo que por un error involuntario, no fue anexado a la respuesta la información en comento, como a continuación se observa: </w:t>
      </w:r>
    </w:p>
    <w:p w14:paraId="6BFF28B9" w14:textId="77777777" w:rsidR="000F33A4" w:rsidRPr="00995C30" w:rsidRDefault="000F33A4" w:rsidP="00995C30">
      <w:pPr>
        <w:widowControl w:val="0"/>
      </w:pPr>
    </w:p>
    <w:p w14:paraId="36CA398B" w14:textId="77777777" w:rsidR="00F5427F" w:rsidRPr="00995C30" w:rsidRDefault="000F33A4" w:rsidP="00995C30">
      <w:r w:rsidRPr="00995C30">
        <w:rPr>
          <w:noProof/>
          <w:lang w:eastAsia="es-MX"/>
        </w:rPr>
        <w:drawing>
          <wp:inline distT="0" distB="0" distL="0" distR="0" wp14:anchorId="2ECCEC25" wp14:editId="068C0AA8">
            <wp:extent cx="5776235" cy="4603898"/>
            <wp:effectExtent l="0" t="0" r="0" b="635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830417" cy="4647083"/>
                    </a:xfrm>
                    <a:prstGeom prst="rect">
                      <a:avLst/>
                    </a:prstGeom>
                    <a:ln/>
                  </pic:spPr>
                </pic:pic>
              </a:graphicData>
            </a:graphic>
          </wp:inline>
        </w:drawing>
      </w:r>
    </w:p>
    <w:p w14:paraId="070E588D" w14:textId="77777777" w:rsidR="00E10090" w:rsidRPr="00995C30" w:rsidRDefault="00E10090" w:rsidP="00995C30"/>
    <w:p w14:paraId="4C67BE89" w14:textId="77777777" w:rsidR="00F5427F" w:rsidRPr="00995C30" w:rsidRDefault="000F33A4" w:rsidP="00995C30">
      <w:r w:rsidRPr="00995C30">
        <w:t xml:space="preserve">Luego entonces al obrar dentro del expediente electrónico del </w:t>
      </w:r>
      <w:r w:rsidRPr="00995C30">
        <w:rPr>
          <w:b/>
        </w:rPr>
        <w:t>SAIMEX</w:t>
      </w:r>
      <w:r w:rsidRPr="00995C30">
        <w:t xml:space="preserve"> los </w:t>
      </w:r>
      <w:r w:rsidR="006518DC" w:rsidRPr="00995C30">
        <w:t xml:space="preserve">Lineamientos </w:t>
      </w:r>
      <w:r w:rsidRPr="00995C30">
        <w:t xml:space="preserve">referidos por el solicitante, este Órgano Garante tienen por colmado </w:t>
      </w:r>
      <w:r w:rsidR="00E10090" w:rsidRPr="00995C30">
        <w:t>el</w:t>
      </w:r>
      <w:r w:rsidRPr="00995C30">
        <w:t xml:space="preserve"> requerimiento.</w:t>
      </w:r>
    </w:p>
    <w:p w14:paraId="43057924" w14:textId="77777777" w:rsidR="00E54B51" w:rsidRPr="00995C30" w:rsidRDefault="00E54B51" w:rsidP="00995C30">
      <w:pPr>
        <w:widowControl w:val="0"/>
      </w:pPr>
    </w:p>
    <w:p w14:paraId="44053F15" w14:textId="77777777" w:rsidR="00E54B51" w:rsidRPr="00995C30" w:rsidRDefault="00E54B51" w:rsidP="00995C30">
      <w:pPr>
        <w:pStyle w:val="Prrafodelista"/>
        <w:widowControl w:val="0"/>
        <w:autoSpaceDE w:val="0"/>
        <w:autoSpaceDN w:val="0"/>
        <w:adjustRightInd w:val="0"/>
        <w:ind w:left="0"/>
        <w:rPr>
          <w:rFonts w:cs="Arial"/>
          <w:szCs w:val="22"/>
          <w:lang w:eastAsia="es-MX"/>
        </w:rPr>
      </w:pPr>
      <w:r w:rsidRPr="00995C30">
        <w:rPr>
          <w:rFonts w:cs="Arial"/>
          <w:szCs w:val="22"/>
          <w:lang w:eastAsia="es-MX"/>
        </w:rPr>
        <w:lastRenderedPageBreak/>
        <w:t>Como consecuencia de lo relatado anteriormente, se advierte que, se actualizó en el presente asunto la causal de sobreseimiento prevista en el artículo 192, fracción III, de la Ley de Transparencia y Acceso a la Información Pública del Estado de México y Municipios que a la letra apuntan lo siguiente:</w:t>
      </w:r>
    </w:p>
    <w:p w14:paraId="1851DCC7" w14:textId="77777777" w:rsidR="00E54B51" w:rsidRPr="00995C30" w:rsidRDefault="00E54B51" w:rsidP="00995C30">
      <w:pPr>
        <w:pStyle w:val="Prrafodelista"/>
        <w:widowControl w:val="0"/>
        <w:autoSpaceDE w:val="0"/>
        <w:autoSpaceDN w:val="0"/>
        <w:adjustRightInd w:val="0"/>
        <w:ind w:left="0"/>
        <w:rPr>
          <w:rFonts w:cs="Arial"/>
          <w:szCs w:val="22"/>
          <w:lang w:eastAsia="es-MX"/>
        </w:rPr>
      </w:pPr>
    </w:p>
    <w:p w14:paraId="178F7119" w14:textId="77777777" w:rsidR="00E54B51" w:rsidRPr="00995C30" w:rsidRDefault="00E54B51" w:rsidP="00995C30">
      <w:pPr>
        <w:pStyle w:val="Puesto"/>
        <w:rPr>
          <w:lang w:eastAsia="es-MX"/>
        </w:rPr>
      </w:pPr>
      <w:r w:rsidRPr="00995C30">
        <w:rPr>
          <w:b/>
          <w:lang w:eastAsia="es-MX"/>
        </w:rPr>
        <w:t>Artículo 192.</w:t>
      </w:r>
      <w:r w:rsidRPr="00995C30">
        <w:rPr>
          <w:lang w:eastAsia="es-MX"/>
        </w:rPr>
        <w:t xml:space="preserve"> El recurso será sobreseído, en todo o en parte, cuando una vez admitido, se actualicen alguno de los siguientes supuestos:</w:t>
      </w:r>
    </w:p>
    <w:p w14:paraId="74F28566" w14:textId="77777777" w:rsidR="00E54B51" w:rsidRPr="00995C30" w:rsidRDefault="00E54B51" w:rsidP="00995C30">
      <w:pPr>
        <w:pStyle w:val="Puesto"/>
        <w:rPr>
          <w:lang w:eastAsia="es-MX"/>
        </w:rPr>
      </w:pPr>
      <w:r w:rsidRPr="00995C30">
        <w:rPr>
          <w:lang w:eastAsia="es-MX"/>
        </w:rPr>
        <w:t>(…)</w:t>
      </w:r>
    </w:p>
    <w:p w14:paraId="16F49889" w14:textId="77777777" w:rsidR="00E54B51" w:rsidRPr="00995C30" w:rsidRDefault="00E54B51" w:rsidP="00995C30">
      <w:pPr>
        <w:pStyle w:val="Puesto"/>
      </w:pPr>
      <w:r w:rsidRPr="00995C30">
        <w:rPr>
          <w:b/>
        </w:rPr>
        <w:t xml:space="preserve">III. </w:t>
      </w:r>
      <w:r w:rsidRPr="00995C30">
        <w:t>El sujeto obligado responsable del acto lo modifique o revoque de tal manera que el recurso de revisión quede sin materia;</w:t>
      </w:r>
    </w:p>
    <w:p w14:paraId="408C8AA0" w14:textId="77777777" w:rsidR="00E54B51" w:rsidRPr="00995C30" w:rsidRDefault="00E54B51" w:rsidP="00995C30"/>
    <w:p w14:paraId="6AAEE135" w14:textId="77777777" w:rsidR="00E54B51" w:rsidRPr="00995C30" w:rsidRDefault="00E54B51" w:rsidP="00995C30">
      <w:pPr>
        <w:suppressAutoHyphens/>
        <w:rPr>
          <w:rFonts w:eastAsia="Batang" w:cs="Arial"/>
          <w:szCs w:val="22"/>
        </w:rPr>
      </w:pPr>
      <w:r w:rsidRPr="00995C30">
        <w:rPr>
          <w:rFonts w:eastAsia="Batang" w:cs="Arial"/>
          <w:szCs w:val="22"/>
        </w:rPr>
        <w:t>Sirve de sustento a lo anterior lo siguientes criterios:</w:t>
      </w:r>
    </w:p>
    <w:p w14:paraId="52029A3A" w14:textId="77777777" w:rsidR="00E54B51" w:rsidRPr="00995C30" w:rsidRDefault="00E54B51" w:rsidP="00995C30">
      <w:pPr>
        <w:suppressAutoHyphens/>
        <w:rPr>
          <w:rFonts w:eastAsia="Batang" w:cs="Arial"/>
          <w:szCs w:val="22"/>
        </w:rPr>
      </w:pPr>
    </w:p>
    <w:p w14:paraId="48E37318" w14:textId="77777777" w:rsidR="00E54B51" w:rsidRPr="00995C30" w:rsidRDefault="00E54B51" w:rsidP="00995C30">
      <w:pPr>
        <w:pStyle w:val="Prrafodelista"/>
        <w:numPr>
          <w:ilvl w:val="0"/>
          <w:numId w:val="6"/>
        </w:numPr>
        <w:suppressAutoHyphens/>
        <w:contextualSpacing w:val="0"/>
        <w:rPr>
          <w:rFonts w:eastAsia="Batang" w:cs="Arial"/>
          <w:szCs w:val="22"/>
          <w:lang w:val="es-AR"/>
        </w:rPr>
      </w:pPr>
      <w:r w:rsidRPr="00995C30">
        <w:rPr>
          <w:rFonts w:eastAsia="Batang" w:cs="Arial"/>
          <w:szCs w:val="22"/>
        </w:rPr>
        <w:t xml:space="preserve">Tesis aislada I.7o.C.54 K, emitida por el </w:t>
      </w:r>
      <w:r w:rsidRPr="00995C30">
        <w:rPr>
          <w:rFonts w:eastAsia="Batang" w:cs="Arial"/>
          <w:szCs w:val="22"/>
          <w:lang w:val="es-AR"/>
        </w:rPr>
        <w:t>Séptimo Tribunal Colegiado en Materia Civil del Primer Circuito, publicado en el Semanario Judicial de la Federación  y su Gaceta, tomo XXIX, Enero de 2009, página 2837, con número de registro digital 168019, que establece lo siguiente:</w:t>
      </w:r>
    </w:p>
    <w:p w14:paraId="58C33942" w14:textId="77777777" w:rsidR="00E54B51" w:rsidRPr="00995C30" w:rsidRDefault="00E54B51" w:rsidP="00995C30">
      <w:pPr>
        <w:pStyle w:val="Puesto"/>
        <w:rPr>
          <w:rFonts w:eastAsia="Batang"/>
          <w:lang w:val="es-AR"/>
        </w:rPr>
      </w:pPr>
    </w:p>
    <w:p w14:paraId="54787523" w14:textId="77777777" w:rsidR="00E54B51" w:rsidRPr="00995C30" w:rsidRDefault="00E54B51" w:rsidP="00995C30">
      <w:pPr>
        <w:pStyle w:val="Puesto"/>
        <w:rPr>
          <w:rFonts w:eastAsia="Batang"/>
          <w:lang w:val="es-AR"/>
        </w:rPr>
      </w:pPr>
      <w:r w:rsidRPr="00995C30">
        <w:rPr>
          <w:rFonts w:eastAsia="Batang"/>
          <w:lang w:val="es-AR"/>
        </w:rPr>
        <w:t>“</w:t>
      </w:r>
      <w:r w:rsidRPr="00995C30">
        <w:rPr>
          <w:rFonts w:eastAsia="Batang"/>
          <w:b/>
          <w:lang w:val="es-AR"/>
        </w:rPr>
        <w:t>SOBRESEIMIENTO EN EL JUICIO DE AMPARO DIRECTO. IMPIDE EL ESTUDIO DE LAS VIOLACIONES PROCESALES PLANTEADAS EN LOS CONCEPTOS DE VIOLACIÓN.</w:t>
      </w:r>
      <w:r w:rsidRPr="00995C30">
        <w:rPr>
          <w:rFonts w:eastAsia="Batang"/>
          <w:lang w:val="es-AR"/>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C32A997" w14:textId="77777777" w:rsidR="00E54B51" w:rsidRPr="00995C30" w:rsidRDefault="00E54B51" w:rsidP="00995C30">
      <w:pPr>
        <w:suppressAutoHyphens/>
        <w:spacing w:line="276" w:lineRule="auto"/>
        <w:ind w:left="850" w:right="901"/>
        <w:rPr>
          <w:rFonts w:eastAsia="Batang" w:cs="Arial"/>
          <w:i/>
          <w:szCs w:val="22"/>
          <w:lang w:val="es-AR"/>
        </w:rPr>
      </w:pPr>
    </w:p>
    <w:p w14:paraId="2EA0D295" w14:textId="77777777" w:rsidR="00E54B51" w:rsidRPr="00995C30" w:rsidRDefault="00E54B51" w:rsidP="00995C30">
      <w:pPr>
        <w:pStyle w:val="Ttulo3"/>
        <w:rPr>
          <w:szCs w:val="22"/>
        </w:rPr>
      </w:pPr>
      <w:bookmarkStart w:id="30" w:name="_Toc173842047"/>
      <w:bookmarkStart w:id="31" w:name="_Toc175826955"/>
      <w:bookmarkStart w:id="32" w:name="_Toc178851495"/>
      <w:bookmarkStart w:id="33" w:name="_Toc179315473"/>
      <w:bookmarkStart w:id="34" w:name="_Toc181729245"/>
      <w:bookmarkStart w:id="35" w:name="_Toc183532375"/>
      <w:bookmarkStart w:id="36" w:name="_Toc184242061"/>
      <w:r w:rsidRPr="00995C30">
        <w:rPr>
          <w:szCs w:val="22"/>
        </w:rPr>
        <w:lastRenderedPageBreak/>
        <w:t>d) Conclusión</w:t>
      </w:r>
      <w:bookmarkEnd w:id="30"/>
      <w:r w:rsidRPr="00995C30">
        <w:rPr>
          <w:szCs w:val="22"/>
        </w:rPr>
        <w:t>.</w:t>
      </w:r>
      <w:bookmarkEnd w:id="31"/>
      <w:bookmarkEnd w:id="32"/>
      <w:bookmarkEnd w:id="33"/>
      <w:bookmarkEnd w:id="34"/>
      <w:bookmarkEnd w:id="35"/>
      <w:bookmarkEnd w:id="36"/>
    </w:p>
    <w:p w14:paraId="6ABB77F7" w14:textId="77777777" w:rsidR="00E54B51" w:rsidRPr="00995C30" w:rsidRDefault="00E54B51" w:rsidP="00995C30">
      <w:pPr>
        <w:rPr>
          <w:rFonts w:cs="Tahoma"/>
          <w:bCs/>
          <w:iCs/>
          <w:szCs w:val="22"/>
        </w:rPr>
      </w:pPr>
      <w:bookmarkStart w:id="37" w:name="_Hlk165381027"/>
      <w:r w:rsidRPr="00995C30">
        <w:rPr>
          <w:rFonts w:cs="Arial"/>
          <w:szCs w:val="22"/>
        </w:rPr>
        <w:t xml:space="preserve">En mérito de lo anterior, se arriba a la conclusión de que </w:t>
      </w:r>
      <w:r w:rsidRPr="00995C30">
        <w:rPr>
          <w:rFonts w:cs="Arial"/>
          <w:b/>
          <w:szCs w:val="22"/>
        </w:rPr>
        <w:t>EL</w:t>
      </w:r>
      <w:r w:rsidRPr="00995C30">
        <w:rPr>
          <w:rFonts w:cs="Arial"/>
          <w:szCs w:val="22"/>
        </w:rPr>
        <w:t xml:space="preserve"> </w:t>
      </w:r>
      <w:r w:rsidRPr="00995C30">
        <w:rPr>
          <w:rFonts w:cs="Arial"/>
          <w:b/>
          <w:szCs w:val="22"/>
        </w:rPr>
        <w:t xml:space="preserve">SUJETO OBLIGADO </w:t>
      </w:r>
      <w:r w:rsidRPr="00995C30">
        <w:rPr>
          <w:rFonts w:cs="Arial"/>
          <w:szCs w:val="22"/>
        </w:rPr>
        <w:t xml:space="preserve">en el apartado de manifestaciones colmó con las pretensiones de </w:t>
      </w:r>
      <w:r w:rsidRPr="00995C30">
        <w:rPr>
          <w:rFonts w:cs="Arial"/>
          <w:b/>
          <w:szCs w:val="22"/>
        </w:rPr>
        <w:t xml:space="preserve">LA PARTE RECURRENTE, </w:t>
      </w:r>
      <w:r w:rsidRPr="00995C30">
        <w:rPr>
          <w:rFonts w:cs="Arial"/>
          <w:szCs w:val="22"/>
        </w:rPr>
        <w:t xml:space="preserve">señalando </w:t>
      </w:r>
      <w:r w:rsidR="000F33A4" w:rsidRPr="00995C30">
        <w:rPr>
          <w:rFonts w:cs="Arial"/>
          <w:szCs w:val="22"/>
        </w:rPr>
        <w:t>remitiendo los lineamientos del programa social “Conduce Sin Alcohol”</w:t>
      </w:r>
      <w:r w:rsidRPr="00995C30">
        <w:t>.</w:t>
      </w:r>
    </w:p>
    <w:p w14:paraId="34F636C4" w14:textId="77777777" w:rsidR="00E54B51" w:rsidRPr="00995C30" w:rsidRDefault="00E54B51" w:rsidP="00995C30">
      <w:pPr>
        <w:ind w:right="-93"/>
        <w:rPr>
          <w:rFonts w:cs="Tahoma"/>
          <w:bCs/>
          <w:szCs w:val="22"/>
        </w:rPr>
      </w:pPr>
    </w:p>
    <w:p w14:paraId="649FD697" w14:textId="77777777" w:rsidR="00E54B51" w:rsidRPr="00995C30" w:rsidRDefault="00E54B51" w:rsidP="00995C30">
      <w:pPr>
        <w:rPr>
          <w:rFonts w:cs="Arial"/>
          <w:szCs w:val="28"/>
          <w:lang w:val="es-ES"/>
        </w:rPr>
      </w:pPr>
      <w:r w:rsidRPr="00995C30">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995C30">
        <w:rPr>
          <w:rFonts w:cs="Arial"/>
          <w:b/>
          <w:szCs w:val="28"/>
          <w:lang w:val="es-ES"/>
        </w:rPr>
        <w:t xml:space="preserve">EL SUJETO OBLIGADO </w:t>
      </w:r>
      <w:r w:rsidRPr="00995C30">
        <w:rPr>
          <w:rFonts w:cs="Arial"/>
          <w:szCs w:val="28"/>
          <w:lang w:val="es-ES"/>
        </w:rPr>
        <w:t xml:space="preserve">la respuesta mediante Informe Justificado, el Recurso de Revisión quedó sin materia. </w:t>
      </w:r>
    </w:p>
    <w:p w14:paraId="62F85371" w14:textId="77777777" w:rsidR="00E54B51" w:rsidRPr="00995C30" w:rsidRDefault="00E54B51" w:rsidP="00995C30">
      <w:pPr>
        <w:rPr>
          <w:rFonts w:cs="Arial"/>
        </w:rPr>
      </w:pPr>
    </w:p>
    <w:p w14:paraId="6BA6082A" w14:textId="77777777" w:rsidR="00E54B51" w:rsidRPr="00995C30" w:rsidRDefault="00E54B51" w:rsidP="00995C30">
      <w:pPr>
        <w:widowControl w:val="0"/>
        <w:autoSpaceDE w:val="0"/>
        <w:autoSpaceDN w:val="0"/>
        <w:adjustRightInd w:val="0"/>
        <w:rPr>
          <w:rFonts w:eastAsia="Calibri" w:cs="Arial"/>
        </w:rPr>
      </w:pPr>
      <w:r w:rsidRPr="00995C30">
        <w:t xml:space="preserve">En consecuencia, se </w:t>
      </w:r>
      <w:r w:rsidRPr="00995C30">
        <w:rPr>
          <w:rFonts w:cs="Arial"/>
          <w:lang w:val="es-ES_tradnl"/>
        </w:rPr>
        <w:t xml:space="preserve">determina </w:t>
      </w:r>
      <w:r w:rsidRPr="00995C30">
        <w:rPr>
          <w:rFonts w:cs="Arial"/>
          <w:b/>
          <w:lang w:val="es-ES_tradnl"/>
        </w:rPr>
        <w:t>SOBRESEER</w:t>
      </w:r>
      <w:r w:rsidRPr="00995C30">
        <w:rPr>
          <w:rFonts w:cs="Arial"/>
          <w:lang w:val="es-ES_tradnl"/>
        </w:rPr>
        <w:t xml:space="preserve"> el presente Recurso de Revisión, en </w:t>
      </w:r>
      <w:r w:rsidRPr="00995C30">
        <w:rPr>
          <w:bCs/>
        </w:rPr>
        <w:t>términos</w:t>
      </w:r>
      <w:r w:rsidRPr="00995C30">
        <w:rPr>
          <w:rFonts w:cs="Arial"/>
          <w:lang w:val="es-ES_tradnl"/>
        </w:rPr>
        <w:t xml:space="preserve"> del artículo 186, fracción I, de la </w:t>
      </w:r>
      <w:r w:rsidRPr="00995C30">
        <w:rPr>
          <w:rFonts w:eastAsia="Calibri" w:cs="Arial"/>
        </w:rPr>
        <w:t>Ley de Transparencia y Acceso a la Información Pública del Estado de México y Municipios:</w:t>
      </w:r>
    </w:p>
    <w:p w14:paraId="5B942599" w14:textId="77777777" w:rsidR="00E54B51" w:rsidRPr="00995C30" w:rsidRDefault="00E54B51" w:rsidP="00995C30">
      <w:pPr>
        <w:widowControl w:val="0"/>
        <w:autoSpaceDE w:val="0"/>
        <w:autoSpaceDN w:val="0"/>
        <w:adjustRightInd w:val="0"/>
        <w:rPr>
          <w:rFonts w:eastAsia="Calibri" w:cs="Arial"/>
        </w:rPr>
      </w:pPr>
    </w:p>
    <w:p w14:paraId="5D733F9D" w14:textId="77777777" w:rsidR="00E54B51" w:rsidRPr="00995C30" w:rsidRDefault="00E54B51" w:rsidP="00995C30">
      <w:pPr>
        <w:pStyle w:val="Puesto"/>
        <w:rPr>
          <w:b/>
        </w:rPr>
      </w:pPr>
      <w:r w:rsidRPr="00995C30">
        <w:t>“</w:t>
      </w:r>
      <w:r w:rsidRPr="00995C30">
        <w:rPr>
          <w:b/>
        </w:rPr>
        <w:t xml:space="preserve">Artículo 186. Las resoluciones del Instituto podrán: </w:t>
      </w:r>
    </w:p>
    <w:p w14:paraId="295C4C7E" w14:textId="77777777" w:rsidR="00E54B51" w:rsidRPr="00995C30" w:rsidRDefault="00E54B51" w:rsidP="00995C30">
      <w:pPr>
        <w:pStyle w:val="Puesto"/>
      </w:pPr>
      <w:r w:rsidRPr="00995C30">
        <w:t xml:space="preserve">I. Desechar o </w:t>
      </w:r>
      <w:r w:rsidRPr="00995C30">
        <w:rPr>
          <w:b/>
        </w:rPr>
        <w:t>sobreseer el recurso;”</w:t>
      </w:r>
      <w:r w:rsidRPr="00995C30">
        <w:t xml:space="preserve"> </w:t>
      </w:r>
    </w:p>
    <w:p w14:paraId="54EF4B2C" w14:textId="77777777" w:rsidR="00E54B51" w:rsidRPr="00995C30" w:rsidRDefault="00E54B51" w:rsidP="00995C30">
      <w:pPr>
        <w:ind w:right="-93"/>
        <w:rPr>
          <w:rFonts w:cs="Tahoma"/>
          <w:bCs/>
          <w:szCs w:val="22"/>
        </w:rPr>
      </w:pPr>
    </w:p>
    <w:p w14:paraId="7B23C92C" w14:textId="77777777" w:rsidR="00E54B51" w:rsidRDefault="00E54B51" w:rsidP="00995C30">
      <w:pPr>
        <w:ind w:right="-93"/>
        <w:rPr>
          <w:rFonts w:cs="Tahoma"/>
          <w:bCs/>
          <w:szCs w:val="22"/>
        </w:rPr>
      </w:pPr>
      <w:r w:rsidRPr="00995C30">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6E9964C" w14:textId="77777777" w:rsidR="00995C30" w:rsidRDefault="00995C30" w:rsidP="00995C30">
      <w:pPr>
        <w:ind w:right="-93"/>
        <w:rPr>
          <w:rFonts w:cs="Tahoma"/>
          <w:bCs/>
          <w:szCs w:val="22"/>
        </w:rPr>
      </w:pPr>
    </w:p>
    <w:p w14:paraId="6A379814" w14:textId="77777777" w:rsidR="00995C30" w:rsidRPr="00995C30" w:rsidRDefault="00995C30" w:rsidP="00995C30">
      <w:pPr>
        <w:ind w:right="-93"/>
        <w:rPr>
          <w:rFonts w:cs="Tahoma"/>
          <w:bCs/>
          <w:szCs w:val="22"/>
        </w:rPr>
      </w:pPr>
    </w:p>
    <w:bookmarkEnd w:id="37"/>
    <w:p w14:paraId="71D2397D" w14:textId="77777777" w:rsidR="00E54B51" w:rsidRPr="00995C30" w:rsidRDefault="00E54B51" w:rsidP="00995C30">
      <w:pPr>
        <w:rPr>
          <w:szCs w:val="22"/>
        </w:rPr>
      </w:pPr>
    </w:p>
    <w:p w14:paraId="28F464C7" w14:textId="77777777" w:rsidR="00E54B51" w:rsidRPr="00995C30" w:rsidRDefault="00E54B51" w:rsidP="00995C30">
      <w:pPr>
        <w:pStyle w:val="Ttulo1"/>
        <w:rPr>
          <w:szCs w:val="22"/>
        </w:rPr>
      </w:pPr>
      <w:bookmarkStart w:id="38" w:name="_Toc173842048"/>
      <w:bookmarkStart w:id="39" w:name="_Toc175826956"/>
      <w:bookmarkStart w:id="40" w:name="_Toc178851496"/>
      <w:bookmarkStart w:id="41" w:name="_Toc179315474"/>
      <w:bookmarkStart w:id="42" w:name="_Toc181729246"/>
      <w:bookmarkStart w:id="43" w:name="_Toc183532376"/>
      <w:bookmarkStart w:id="44" w:name="_Toc184242062"/>
      <w:r w:rsidRPr="00995C30">
        <w:rPr>
          <w:szCs w:val="22"/>
        </w:rPr>
        <w:lastRenderedPageBreak/>
        <w:t>RESUELVE</w:t>
      </w:r>
      <w:bookmarkEnd w:id="38"/>
      <w:bookmarkEnd w:id="39"/>
      <w:bookmarkEnd w:id="40"/>
      <w:bookmarkEnd w:id="41"/>
      <w:bookmarkEnd w:id="42"/>
      <w:bookmarkEnd w:id="43"/>
      <w:bookmarkEnd w:id="44"/>
    </w:p>
    <w:p w14:paraId="42CADD37" w14:textId="77777777" w:rsidR="00E54B51" w:rsidRPr="00995C30" w:rsidRDefault="00E54B51" w:rsidP="00995C30">
      <w:pPr>
        <w:ind w:right="113"/>
        <w:rPr>
          <w:rFonts w:cs="Arial"/>
          <w:b/>
          <w:szCs w:val="22"/>
        </w:rPr>
      </w:pPr>
    </w:p>
    <w:p w14:paraId="7B956649" w14:textId="77777777" w:rsidR="00E54B51" w:rsidRPr="00995C30" w:rsidRDefault="00E54B51" w:rsidP="00995C30">
      <w:pPr>
        <w:widowControl w:val="0"/>
        <w:rPr>
          <w:rFonts w:cs="Arial"/>
          <w:b/>
          <w:szCs w:val="22"/>
        </w:rPr>
      </w:pPr>
      <w:r w:rsidRPr="00995C30">
        <w:rPr>
          <w:b/>
          <w:bCs/>
          <w:szCs w:val="22"/>
        </w:rPr>
        <w:t>PRIMERO</w:t>
      </w:r>
      <w:r w:rsidRPr="00995C30">
        <w:rPr>
          <w:rFonts w:cs="Arial"/>
          <w:b/>
          <w:szCs w:val="22"/>
        </w:rPr>
        <w:t xml:space="preserve">. </w:t>
      </w:r>
      <w:r w:rsidRPr="00995C30">
        <w:rPr>
          <w:rFonts w:cs="Arial"/>
          <w:szCs w:val="22"/>
        </w:rPr>
        <w:t xml:space="preserve">Se </w:t>
      </w:r>
      <w:r w:rsidRPr="00995C30">
        <w:rPr>
          <w:rFonts w:cs="Arial"/>
          <w:b/>
          <w:szCs w:val="22"/>
        </w:rPr>
        <w:t>SOBRESEE</w:t>
      </w:r>
      <w:r w:rsidRPr="00995C30">
        <w:rPr>
          <w:rFonts w:cs="Arial"/>
          <w:szCs w:val="22"/>
        </w:rPr>
        <w:t xml:space="preserve"> el Recurso de Revisión número </w:t>
      </w:r>
      <w:r w:rsidRPr="00995C30">
        <w:rPr>
          <w:rFonts w:cs="Arial"/>
          <w:b/>
          <w:szCs w:val="22"/>
        </w:rPr>
        <w:t>03527/INFOEM/IP/RR/2025</w:t>
      </w:r>
      <w:r w:rsidRPr="00995C30">
        <w:rPr>
          <w:b/>
          <w:szCs w:val="22"/>
        </w:rPr>
        <w:t xml:space="preserve"> </w:t>
      </w:r>
      <w:r w:rsidRPr="00995C30">
        <w:rPr>
          <w:rFonts w:cs="Arial"/>
          <w:szCs w:val="22"/>
          <w:lang w:val="es-ES"/>
        </w:rPr>
        <w:t xml:space="preserve">por actualizarse la causal establecida en el artículo 192 fracción III de la </w:t>
      </w:r>
      <w:r w:rsidRPr="00995C30">
        <w:rPr>
          <w:szCs w:val="22"/>
          <w:lang w:eastAsia="es-ES_tradnl"/>
        </w:rPr>
        <w:t>Ley de Transparencia y Acceso a la Información Pública del Estado de México y Municipios</w:t>
      </w:r>
      <w:r w:rsidRPr="00995C30">
        <w:rPr>
          <w:rFonts w:cs="Arial"/>
          <w:szCs w:val="22"/>
          <w:lang w:val="es-ES"/>
        </w:rPr>
        <w:t xml:space="preserve">, ya que al </w:t>
      </w:r>
      <w:r w:rsidRPr="00995C30">
        <w:rPr>
          <w:rFonts w:cs="Arial"/>
          <w:b/>
          <w:szCs w:val="22"/>
          <w:lang w:val="es-ES"/>
        </w:rPr>
        <w:t xml:space="preserve">modificar el </w:t>
      </w:r>
      <w:r w:rsidR="00995C30" w:rsidRPr="00995C30">
        <w:rPr>
          <w:rFonts w:cs="Arial"/>
          <w:b/>
          <w:szCs w:val="22"/>
          <w:lang w:val="es-ES"/>
        </w:rPr>
        <w:t xml:space="preserve">SUJETO OBLIGADO </w:t>
      </w:r>
      <w:r w:rsidRPr="00995C30">
        <w:rPr>
          <w:rFonts w:cs="Arial"/>
          <w:b/>
          <w:szCs w:val="22"/>
          <w:lang w:val="es-ES"/>
        </w:rPr>
        <w:t>la respuesta, el Recurso de Revisión quedó sin materia</w:t>
      </w:r>
      <w:r w:rsidRPr="00995C30">
        <w:rPr>
          <w:rFonts w:cs="Arial"/>
          <w:szCs w:val="22"/>
          <w:lang w:val="es-ES"/>
        </w:rPr>
        <w:t xml:space="preserve">, en términos del Considerando </w:t>
      </w:r>
      <w:r w:rsidRPr="00995C30">
        <w:rPr>
          <w:rFonts w:cs="Arial"/>
          <w:b/>
          <w:szCs w:val="22"/>
          <w:lang w:val="es-ES"/>
        </w:rPr>
        <w:t>SEGUNDO</w:t>
      </w:r>
      <w:r w:rsidRPr="00995C30">
        <w:rPr>
          <w:rFonts w:cs="Arial"/>
          <w:szCs w:val="22"/>
          <w:lang w:val="es-ES"/>
        </w:rPr>
        <w:t xml:space="preserve"> de la presente resolución.</w:t>
      </w:r>
    </w:p>
    <w:p w14:paraId="2D820086" w14:textId="77777777" w:rsidR="00E54B51" w:rsidRPr="00995C30" w:rsidRDefault="00E54B51" w:rsidP="00995C30">
      <w:pPr>
        <w:pStyle w:val="Prrafodelista"/>
        <w:ind w:left="0"/>
        <w:rPr>
          <w:rFonts w:cs="Arial"/>
          <w:szCs w:val="22"/>
        </w:rPr>
      </w:pPr>
    </w:p>
    <w:p w14:paraId="6F5ACDD9" w14:textId="77777777" w:rsidR="00E54B51" w:rsidRPr="00995C30" w:rsidRDefault="00E54B51" w:rsidP="00995C30">
      <w:pPr>
        <w:ind w:right="113"/>
        <w:rPr>
          <w:rFonts w:cs="Arial"/>
          <w:bCs/>
          <w:szCs w:val="22"/>
        </w:rPr>
      </w:pPr>
      <w:r w:rsidRPr="00995C30">
        <w:rPr>
          <w:rFonts w:cs="Arial"/>
          <w:b/>
          <w:bCs/>
          <w:szCs w:val="22"/>
        </w:rPr>
        <w:t>SEGUNDO. Notifíquese vía SAIMEX</w:t>
      </w:r>
      <w:r w:rsidRPr="00995C30">
        <w:rPr>
          <w:rFonts w:cs="Arial"/>
          <w:bCs/>
          <w:szCs w:val="22"/>
        </w:rPr>
        <w:t xml:space="preserve"> la presente resolución al Titular de la Unidad de Transparencia del </w:t>
      </w:r>
      <w:r w:rsidRPr="00995C30">
        <w:rPr>
          <w:rFonts w:cs="Arial"/>
          <w:b/>
          <w:bCs/>
          <w:szCs w:val="22"/>
        </w:rPr>
        <w:t>SUJETO OBLIGADO</w:t>
      </w:r>
      <w:r w:rsidRPr="00995C30">
        <w:rPr>
          <w:rFonts w:cs="Arial"/>
          <w:bCs/>
          <w:szCs w:val="22"/>
        </w:rPr>
        <w:t xml:space="preserve"> para su conocimiento.</w:t>
      </w:r>
    </w:p>
    <w:p w14:paraId="0997EE61" w14:textId="77777777" w:rsidR="00E54B51" w:rsidRPr="00995C30" w:rsidRDefault="00E54B51" w:rsidP="00995C30">
      <w:pPr>
        <w:widowControl w:val="0"/>
        <w:autoSpaceDE w:val="0"/>
        <w:autoSpaceDN w:val="0"/>
        <w:adjustRightInd w:val="0"/>
        <w:rPr>
          <w:rFonts w:cs="Arial"/>
          <w:szCs w:val="22"/>
        </w:rPr>
      </w:pPr>
    </w:p>
    <w:p w14:paraId="24A0AC1F" w14:textId="77777777" w:rsidR="00E54B51" w:rsidRPr="00995C30" w:rsidRDefault="00E54B51" w:rsidP="00995C30">
      <w:pPr>
        <w:pStyle w:val="Prrafodelista"/>
        <w:ind w:left="0"/>
        <w:rPr>
          <w:rFonts w:cs="Arial"/>
          <w:szCs w:val="22"/>
        </w:rPr>
      </w:pPr>
      <w:r w:rsidRPr="00995C30">
        <w:rPr>
          <w:rFonts w:cs="Arial"/>
          <w:b/>
          <w:szCs w:val="22"/>
        </w:rPr>
        <w:t xml:space="preserve">TERCERO. </w:t>
      </w:r>
      <w:r w:rsidRPr="00995C30">
        <w:rPr>
          <w:b/>
          <w:szCs w:val="22"/>
          <w:lang w:eastAsia="es-ES_tradnl"/>
        </w:rPr>
        <w:t>Notifíquese</w:t>
      </w:r>
      <w:r w:rsidRPr="00995C30">
        <w:rPr>
          <w:szCs w:val="22"/>
          <w:lang w:eastAsia="es-ES_tradnl"/>
        </w:rPr>
        <w:t xml:space="preserve"> a </w:t>
      </w:r>
      <w:r w:rsidRPr="00995C30">
        <w:rPr>
          <w:rFonts w:eastAsiaTheme="minorHAnsi" w:cs="Tahoma"/>
          <w:b/>
          <w:iCs/>
          <w:szCs w:val="22"/>
          <w:lang w:eastAsia="en-US"/>
        </w:rPr>
        <w:t>LA PARTE RECURRENTE</w:t>
      </w:r>
      <w:r w:rsidRPr="00995C30">
        <w:rPr>
          <w:rFonts w:eastAsiaTheme="minorHAnsi" w:cs="Tahoma"/>
          <w:bCs/>
          <w:iCs/>
          <w:szCs w:val="22"/>
          <w:lang w:eastAsia="en-US"/>
        </w:rPr>
        <w:t xml:space="preserve"> </w:t>
      </w:r>
      <w:r w:rsidRPr="00995C30">
        <w:rPr>
          <w:szCs w:val="22"/>
          <w:lang w:eastAsia="es-ES_tradnl"/>
        </w:rPr>
        <w:t xml:space="preserve">la presente resolución vía </w:t>
      </w:r>
      <w:r w:rsidRPr="00995C30">
        <w:rPr>
          <w:rFonts w:cs="Arial"/>
          <w:szCs w:val="22"/>
        </w:rPr>
        <w:t xml:space="preserve">Sistema de Acceso a la Información Mexiquense </w:t>
      </w:r>
      <w:r w:rsidRPr="00995C30">
        <w:rPr>
          <w:rFonts w:cs="Arial"/>
          <w:b/>
          <w:bCs/>
          <w:szCs w:val="22"/>
        </w:rPr>
        <w:t>SAIMEX</w:t>
      </w:r>
      <w:r w:rsidRPr="00995C30">
        <w:rPr>
          <w:rFonts w:cs="Arial"/>
          <w:szCs w:val="22"/>
        </w:rPr>
        <w:t>.</w:t>
      </w:r>
    </w:p>
    <w:p w14:paraId="42F7F388" w14:textId="77777777" w:rsidR="00E54B51" w:rsidRPr="00995C30" w:rsidRDefault="00E54B51" w:rsidP="00995C30">
      <w:pPr>
        <w:pStyle w:val="Prrafodelista"/>
        <w:ind w:left="0"/>
        <w:rPr>
          <w:b/>
          <w:szCs w:val="22"/>
          <w:lang w:eastAsia="es-ES_tradnl"/>
        </w:rPr>
      </w:pPr>
    </w:p>
    <w:p w14:paraId="3D46932E" w14:textId="77777777" w:rsidR="00E54B51" w:rsidRDefault="00E54B51" w:rsidP="00995C30">
      <w:pPr>
        <w:pStyle w:val="Prrafodelista"/>
        <w:ind w:left="0"/>
        <w:rPr>
          <w:szCs w:val="22"/>
          <w:lang w:eastAsia="es-ES_tradnl"/>
        </w:rPr>
      </w:pPr>
      <w:r w:rsidRPr="00995C30">
        <w:rPr>
          <w:rFonts w:cs="Arial"/>
          <w:b/>
          <w:szCs w:val="22"/>
        </w:rPr>
        <w:t xml:space="preserve">CUARTO. </w:t>
      </w:r>
      <w:r w:rsidRPr="00995C30">
        <w:rPr>
          <w:b/>
          <w:szCs w:val="22"/>
          <w:lang w:eastAsia="es-ES_tradnl"/>
        </w:rPr>
        <w:t>Hágase</w:t>
      </w:r>
      <w:r w:rsidRPr="00995C30">
        <w:rPr>
          <w:szCs w:val="22"/>
          <w:lang w:eastAsia="es-ES_tradnl"/>
        </w:rPr>
        <w:t xml:space="preserve"> </w:t>
      </w:r>
      <w:r w:rsidRPr="00995C30">
        <w:rPr>
          <w:b/>
          <w:szCs w:val="22"/>
          <w:lang w:eastAsia="es-ES_tradnl"/>
        </w:rPr>
        <w:t xml:space="preserve">del </w:t>
      </w:r>
      <w:r w:rsidRPr="00995C30">
        <w:rPr>
          <w:b/>
          <w:szCs w:val="22"/>
        </w:rPr>
        <w:t>conocimiento</w:t>
      </w:r>
      <w:r w:rsidRPr="00995C30">
        <w:rPr>
          <w:b/>
          <w:szCs w:val="22"/>
          <w:lang w:eastAsia="es-ES_tradnl"/>
        </w:rPr>
        <w:t xml:space="preserve"> </w:t>
      </w:r>
      <w:r w:rsidRPr="00995C30">
        <w:rPr>
          <w:szCs w:val="22"/>
          <w:lang w:eastAsia="es-ES_tradnl"/>
        </w:rPr>
        <w:t xml:space="preserve">de </w:t>
      </w:r>
      <w:r w:rsidRPr="00995C30">
        <w:rPr>
          <w:rFonts w:eastAsiaTheme="minorHAnsi" w:cs="Tahoma"/>
          <w:b/>
          <w:iCs/>
          <w:szCs w:val="22"/>
          <w:lang w:eastAsia="en-US"/>
        </w:rPr>
        <w:t>LA PARTE RECURRENTE</w:t>
      </w:r>
      <w:r w:rsidRPr="00995C30">
        <w:rPr>
          <w:szCs w:val="22"/>
          <w:lang w:eastAsia="es-ES_tradnl"/>
        </w:rPr>
        <w:t xml:space="preserve">, que de </w:t>
      </w:r>
      <w:r w:rsidRPr="00995C30">
        <w:rPr>
          <w:szCs w:val="22"/>
        </w:rPr>
        <w:t>conformidad</w:t>
      </w:r>
      <w:r w:rsidRPr="00995C30">
        <w:rPr>
          <w:szCs w:val="22"/>
          <w:lang w:eastAsia="es-ES_tradnl"/>
        </w:rPr>
        <w:t xml:space="preserve"> </w:t>
      </w:r>
      <w:r w:rsidRPr="00995C30">
        <w:rPr>
          <w:rFonts w:cs="Arial"/>
          <w:szCs w:val="22"/>
        </w:rPr>
        <w:t>con</w:t>
      </w:r>
      <w:r w:rsidRPr="00995C30">
        <w:rPr>
          <w:szCs w:val="22"/>
          <w:lang w:eastAsia="es-ES_tradnl"/>
        </w:rPr>
        <w:t xml:space="preserve"> lo </w:t>
      </w:r>
      <w:r w:rsidRPr="00995C30">
        <w:rPr>
          <w:rFonts w:cs="Arial"/>
          <w:szCs w:val="22"/>
        </w:rPr>
        <w:t>establecido</w:t>
      </w:r>
      <w:r w:rsidRPr="00995C30">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248C405F" w14:textId="77777777" w:rsidR="00055F89" w:rsidRDefault="00055F89" w:rsidP="00995C30">
      <w:pPr>
        <w:pStyle w:val="Prrafodelista"/>
        <w:ind w:left="0"/>
        <w:rPr>
          <w:szCs w:val="22"/>
          <w:lang w:eastAsia="es-ES_tradnl"/>
        </w:rPr>
      </w:pPr>
    </w:p>
    <w:p w14:paraId="71DF228D" w14:textId="77777777" w:rsidR="00055F89" w:rsidRDefault="00055F89" w:rsidP="00995C30">
      <w:pPr>
        <w:pStyle w:val="Prrafodelista"/>
        <w:ind w:left="0"/>
        <w:rPr>
          <w:szCs w:val="22"/>
          <w:lang w:eastAsia="es-ES_tradnl"/>
        </w:rPr>
      </w:pPr>
    </w:p>
    <w:p w14:paraId="09B1F68D" w14:textId="77777777" w:rsidR="00055F89" w:rsidRDefault="00055F89" w:rsidP="00995C30">
      <w:pPr>
        <w:pStyle w:val="Prrafodelista"/>
        <w:ind w:left="0"/>
        <w:rPr>
          <w:szCs w:val="22"/>
          <w:lang w:eastAsia="es-ES_tradnl"/>
        </w:rPr>
      </w:pPr>
    </w:p>
    <w:p w14:paraId="07E55050" w14:textId="77777777" w:rsidR="00055F89" w:rsidRDefault="00055F89" w:rsidP="00995C30">
      <w:pPr>
        <w:pStyle w:val="Prrafodelista"/>
        <w:ind w:left="0"/>
        <w:rPr>
          <w:szCs w:val="22"/>
          <w:lang w:eastAsia="es-ES_tradnl"/>
        </w:rPr>
      </w:pPr>
    </w:p>
    <w:p w14:paraId="4ADCB0BF" w14:textId="77777777" w:rsidR="00055F89" w:rsidRDefault="00055F89" w:rsidP="00995C30">
      <w:pPr>
        <w:pStyle w:val="Prrafodelista"/>
        <w:ind w:left="0"/>
        <w:rPr>
          <w:szCs w:val="22"/>
          <w:lang w:eastAsia="es-ES_tradnl"/>
        </w:rPr>
      </w:pPr>
    </w:p>
    <w:p w14:paraId="26ABDABD" w14:textId="77777777" w:rsidR="00055F89" w:rsidRPr="00995C30" w:rsidRDefault="00055F89" w:rsidP="00995C30">
      <w:pPr>
        <w:pStyle w:val="Prrafodelista"/>
        <w:ind w:left="0"/>
        <w:rPr>
          <w:rFonts w:cs="Arial"/>
          <w:szCs w:val="22"/>
        </w:rPr>
      </w:pPr>
    </w:p>
    <w:p w14:paraId="53C24D29" w14:textId="77777777" w:rsidR="00E570B1" w:rsidRDefault="00E570B1" w:rsidP="00995C30"/>
    <w:p w14:paraId="6031B481" w14:textId="7B5DACFD" w:rsidR="00F5427F" w:rsidRPr="00995C30" w:rsidRDefault="000F33A4" w:rsidP="00995C30">
      <w:r w:rsidRPr="00995C30">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6DE6989F" w14:textId="77777777" w:rsidR="00F5427F" w:rsidRPr="00995C30" w:rsidRDefault="000F33A4" w:rsidP="00995C30">
      <w:pPr>
        <w:widowControl w:val="0"/>
        <w:rPr>
          <w:sz w:val="16"/>
          <w:szCs w:val="16"/>
        </w:rPr>
      </w:pPr>
      <w:r w:rsidRPr="00995C30">
        <w:rPr>
          <w:sz w:val="16"/>
          <w:szCs w:val="16"/>
        </w:rPr>
        <w:t>SCMM/AGZ/DEMF/DLM</w:t>
      </w:r>
    </w:p>
    <w:p w14:paraId="4279EAD9" w14:textId="77777777" w:rsidR="00F5427F" w:rsidRPr="00995C30" w:rsidRDefault="00F5427F" w:rsidP="00995C30">
      <w:pPr>
        <w:ind w:right="-93"/>
      </w:pPr>
    </w:p>
    <w:p w14:paraId="5A334DA3" w14:textId="77777777" w:rsidR="00F5427F" w:rsidRPr="00995C30" w:rsidRDefault="00F5427F" w:rsidP="00995C30">
      <w:pPr>
        <w:ind w:right="-93"/>
      </w:pPr>
    </w:p>
    <w:p w14:paraId="7D365900" w14:textId="77777777" w:rsidR="00F5427F" w:rsidRPr="00995C30" w:rsidRDefault="00F5427F" w:rsidP="00995C30">
      <w:pPr>
        <w:ind w:right="-93"/>
      </w:pPr>
    </w:p>
    <w:p w14:paraId="29015FB2" w14:textId="77777777" w:rsidR="00F5427F" w:rsidRPr="00995C30" w:rsidRDefault="00F5427F" w:rsidP="00995C30">
      <w:pPr>
        <w:ind w:right="-93"/>
      </w:pPr>
    </w:p>
    <w:p w14:paraId="34C0EB88" w14:textId="77777777" w:rsidR="00F5427F" w:rsidRPr="00995C30" w:rsidRDefault="00F5427F" w:rsidP="00995C30">
      <w:pPr>
        <w:ind w:right="-93"/>
      </w:pPr>
    </w:p>
    <w:p w14:paraId="68189F43" w14:textId="77777777" w:rsidR="00F5427F" w:rsidRPr="00995C30" w:rsidRDefault="00F5427F" w:rsidP="00995C30">
      <w:pPr>
        <w:ind w:right="-93"/>
      </w:pPr>
    </w:p>
    <w:p w14:paraId="13A2CBE6" w14:textId="77777777" w:rsidR="00F5427F" w:rsidRPr="00995C30" w:rsidRDefault="00F5427F" w:rsidP="00995C30">
      <w:pPr>
        <w:ind w:right="-93"/>
      </w:pPr>
    </w:p>
    <w:p w14:paraId="6774E203" w14:textId="77777777" w:rsidR="00F5427F" w:rsidRPr="00995C30" w:rsidRDefault="00F5427F" w:rsidP="00995C30">
      <w:pPr>
        <w:ind w:right="-93"/>
      </w:pPr>
    </w:p>
    <w:p w14:paraId="0A0F746B" w14:textId="77777777" w:rsidR="00F5427F" w:rsidRPr="00995C30" w:rsidRDefault="00F5427F" w:rsidP="00995C30">
      <w:pPr>
        <w:tabs>
          <w:tab w:val="center" w:pos="4568"/>
        </w:tabs>
        <w:ind w:right="-93"/>
      </w:pPr>
    </w:p>
    <w:p w14:paraId="0DF1F2DC" w14:textId="77777777" w:rsidR="00F5427F" w:rsidRPr="00995C30" w:rsidRDefault="00F5427F" w:rsidP="00995C30">
      <w:pPr>
        <w:tabs>
          <w:tab w:val="center" w:pos="4568"/>
        </w:tabs>
        <w:ind w:right="-93"/>
      </w:pPr>
    </w:p>
    <w:p w14:paraId="15FE8810" w14:textId="77777777" w:rsidR="00F5427F" w:rsidRPr="00995C30" w:rsidRDefault="00F5427F" w:rsidP="00995C30">
      <w:pPr>
        <w:tabs>
          <w:tab w:val="center" w:pos="4568"/>
        </w:tabs>
        <w:ind w:right="-93"/>
      </w:pPr>
    </w:p>
    <w:p w14:paraId="60B692BF" w14:textId="77777777" w:rsidR="00F5427F" w:rsidRPr="00995C30" w:rsidRDefault="00F5427F" w:rsidP="00995C30">
      <w:pPr>
        <w:tabs>
          <w:tab w:val="center" w:pos="4568"/>
        </w:tabs>
        <w:ind w:right="-93"/>
      </w:pPr>
    </w:p>
    <w:p w14:paraId="5728876C" w14:textId="77777777" w:rsidR="00F5427F" w:rsidRPr="00995C30" w:rsidRDefault="00F5427F" w:rsidP="00995C30">
      <w:pPr>
        <w:tabs>
          <w:tab w:val="center" w:pos="4568"/>
        </w:tabs>
        <w:ind w:right="-93"/>
      </w:pPr>
    </w:p>
    <w:p w14:paraId="48E01280" w14:textId="77777777" w:rsidR="00F5427F" w:rsidRPr="00995C30" w:rsidRDefault="00F5427F" w:rsidP="00995C30">
      <w:pPr>
        <w:tabs>
          <w:tab w:val="center" w:pos="4568"/>
        </w:tabs>
        <w:ind w:right="-93"/>
      </w:pPr>
    </w:p>
    <w:p w14:paraId="5732914A" w14:textId="77777777" w:rsidR="00F5427F" w:rsidRPr="00995C30" w:rsidRDefault="00F5427F" w:rsidP="00995C30">
      <w:pPr>
        <w:tabs>
          <w:tab w:val="center" w:pos="4568"/>
        </w:tabs>
        <w:ind w:right="-93"/>
      </w:pPr>
    </w:p>
    <w:p w14:paraId="49FCA716" w14:textId="77777777" w:rsidR="00F5427F" w:rsidRPr="00995C30" w:rsidRDefault="00F5427F" w:rsidP="00995C30">
      <w:pPr>
        <w:tabs>
          <w:tab w:val="center" w:pos="4568"/>
        </w:tabs>
        <w:ind w:right="-93"/>
      </w:pPr>
    </w:p>
    <w:p w14:paraId="7CA2E3B6" w14:textId="77777777" w:rsidR="00F5427F" w:rsidRPr="00995C30" w:rsidRDefault="00F5427F" w:rsidP="00995C30">
      <w:pPr>
        <w:tabs>
          <w:tab w:val="center" w:pos="4568"/>
        </w:tabs>
        <w:ind w:right="-93"/>
      </w:pPr>
    </w:p>
    <w:p w14:paraId="1006AC77" w14:textId="77777777" w:rsidR="00F5427F" w:rsidRPr="00995C30" w:rsidRDefault="00F5427F" w:rsidP="00995C30">
      <w:pPr>
        <w:tabs>
          <w:tab w:val="center" w:pos="4568"/>
        </w:tabs>
        <w:ind w:right="-93"/>
      </w:pPr>
    </w:p>
    <w:p w14:paraId="6B1301B5" w14:textId="77777777" w:rsidR="00F5427F" w:rsidRPr="00995C30" w:rsidRDefault="00F5427F" w:rsidP="00995C30">
      <w:pPr>
        <w:tabs>
          <w:tab w:val="center" w:pos="4568"/>
        </w:tabs>
        <w:ind w:right="-93"/>
      </w:pPr>
    </w:p>
    <w:p w14:paraId="53356A99" w14:textId="77777777" w:rsidR="00F5427F" w:rsidRPr="00995C30" w:rsidRDefault="00F5427F" w:rsidP="00995C30">
      <w:pPr>
        <w:tabs>
          <w:tab w:val="center" w:pos="4568"/>
        </w:tabs>
        <w:ind w:right="-93"/>
      </w:pPr>
    </w:p>
    <w:p w14:paraId="43475483" w14:textId="77777777" w:rsidR="00F5427F" w:rsidRPr="00995C30" w:rsidRDefault="00F5427F" w:rsidP="00995C30">
      <w:pPr>
        <w:tabs>
          <w:tab w:val="center" w:pos="4568"/>
        </w:tabs>
        <w:ind w:right="-93"/>
      </w:pPr>
    </w:p>
    <w:p w14:paraId="2281F2C5" w14:textId="77777777" w:rsidR="00F5427F" w:rsidRPr="00995C30" w:rsidRDefault="00F5427F" w:rsidP="00995C30">
      <w:pPr>
        <w:tabs>
          <w:tab w:val="center" w:pos="4568"/>
        </w:tabs>
        <w:ind w:right="-93"/>
      </w:pPr>
    </w:p>
    <w:p w14:paraId="6E4B267D" w14:textId="77777777" w:rsidR="00F5427F" w:rsidRPr="00995C30" w:rsidRDefault="00F5427F" w:rsidP="00995C30">
      <w:pPr>
        <w:tabs>
          <w:tab w:val="center" w:pos="4568"/>
        </w:tabs>
        <w:ind w:right="-93"/>
      </w:pPr>
    </w:p>
    <w:p w14:paraId="541068B8" w14:textId="77777777" w:rsidR="00F5427F" w:rsidRPr="00995C30" w:rsidRDefault="00F5427F" w:rsidP="00995C30">
      <w:pPr>
        <w:tabs>
          <w:tab w:val="center" w:pos="4568"/>
        </w:tabs>
        <w:ind w:right="-93"/>
      </w:pPr>
    </w:p>
    <w:p w14:paraId="148E367C" w14:textId="77777777" w:rsidR="00F5427F" w:rsidRPr="00995C30" w:rsidRDefault="00F5427F" w:rsidP="00995C30"/>
    <w:sectPr w:rsidR="00F5427F" w:rsidRPr="00995C30">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1D82E" w14:textId="77777777" w:rsidR="00FA0ADC" w:rsidRDefault="00FA0ADC">
      <w:pPr>
        <w:spacing w:line="240" w:lineRule="auto"/>
      </w:pPr>
      <w:r>
        <w:separator/>
      </w:r>
    </w:p>
  </w:endnote>
  <w:endnote w:type="continuationSeparator" w:id="0">
    <w:p w14:paraId="07BE826A" w14:textId="77777777" w:rsidR="00FA0ADC" w:rsidRDefault="00FA0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AD91B" w14:textId="77777777" w:rsidR="000F33A4" w:rsidRDefault="000F33A4">
    <w:pPr>
      <w:tabs>
        <w:tab w:val="center" w:pos="4550"/>
        <w:tab w:val="left" w:pos="5818"/>
      </w:tabs>
      <w:ind w:right="260"/>
      <w:jc w:val="right"/>
      <w:rPr>
        <w:color w:val="071320"/>
        <w:sz w:val="24"/>
        <w:szCs w:val="24"/>
      </w:rPr>
    </w:pPr>
  </w:p>
  <w:p w14:paraId="3A77A85E" w14:textId="77777777" w:rsidR="000F33A4" w:rsidRDefault="000F33A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7F1A" w14:textId="77777777" w:rsidR="000F33A4" w:rsidRDefault="000F33A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117E8">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117E8">
      <w:rPr>
        <w:noProof/>
        <w:color w:val="0A1D30"/>
        <w:sz w:val="24"/>
        <w:szCs w:val="24"/>
      </w:rPr>
      <w:t>19</w:t>
    </w:r>
    <w:r>
      <w:rPr>
        <w:color w:val="0A1D30"/>
        <w:sz w:val="24"/>
        <w:szCs w:val="24"/>
      </w:rPr>
      <w:fldChar w:fldCharType="end"/>
    </w:r>
  </w:p>
  <w:p w14:paraId="4FB6BDCB" w14:textId="77777777" w:rsidR="000F33A4" w:rsidRDefault="000F33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EA824" w14:textId="77777777" w:rsidR="00FA0ADC" w:rsidRDefault="00FA0ADC">
      <w:pPr>
        <w:spacing w:line="240" w:lineRule="auto"/>
      </w:pPr>
      <w:r>
        <w:separator/>
      </w:r>
    </w:p>
  </w:footnote>
  <w:footnote w:type="continuationSeparator" w:id="0">
    <w:p w14:paraId="4CA50A2F" w14:textId="77777777" w:rsidR="00FA0ADC" w:rsidRDefault="00FA0A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4984" w14:textId="77777777" w:rsidR="000F33A4" w:rsidRDefault="000F33A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F33A4" w14:paraId="31E52CFC" w14:textId="77777777">
      <w:trPr>
        <w:trHeight w:val="144"/>
        <w:jc w:val="right"/>
      </w:trPr>
      <w:tc>
        <w:tcPr>
          <w:tcW w:w="2727" w:type="dxa"/>
        </w:tcPr>
        <w:p w14:paraId="5CCE0CF1" w14:textId="77777777" w:rsidR="000F33A4" w:rsidRDefault="000F33A4">
          <w:pPr>
            <w:tabs>
              <w:tab w:val="right" w:pos="8838"/>
            </w:tabs>
            <w:ind w:left="-74" w:right="-105"/>
            <w:rPr>
              <w:b/>
            </w:rPr>
          </w:pPr>
          <w:r>
            <w:rPr>
              <w:b/>
            </w:rPr>
            <w:t>Recurso de Revisión:</w:t>
          </w:r>
        </w:p>
      </w:tc>
      <w:tc>
        <w:tcPr>
          <w:tcW w:w="3402" w:type="dxa"/>
        </w:tcPr>
        <w:p w14:paraId="67D35809" w14:textId="77777777" w:rsidR="000F33A4" w:rsidRDefault="000F33A4">
          <w:pPr>
            <w:tabs>
              <w:tab w:val="right" w:pos="8838"/>
            </w:tabs>
            <w:ind w:left="-74" w:right="-105"/>
          </w:pPr>
          <w:r>
            <w:t xml:space="preserve">03527/INFOEM/IP/RR/2025 </w:t>
          </w:r>
        </w:p>
      </w:tc>
    </w:tr>
    <w:tr w:rsidR="000F33A4" w14:paraId="03DCC838" w14:textId="77777777">
      <w:trPr>
        <w:trHeight w:val="283"/>
        <w:jc w:val="right"/>
      </w:trPr>
      <w:tc>
        <w:tcPr>
          <w:tcW w:w="2727" w:type="dxa"/>
        </w:tcPr>
        <w:p w14:paraId="3FFB7F9C" w14:textId="77777777" w:rsidR="000F33A4" w:rsidRDefault="000F33A4">
          <w:pPr>
            <w:tabs>
              <w:tab w:val="right" w:pos="8838"/>
            </w:tabs>
            <w:ind w:left="-74" w:right="-105"/>
            <w:rPr>
              <w:b/>
            </w:rPr>
          </w:pPr>
          <w:r>
            <w:rPr>
              <w:b/>
            </w:rPr>
            <w:t>Sujeto Obligado:</w:t>
          </w:r>
        </w:p>
      </w:tc>
      <w:tc>
        <w:tcPr>
          <w:tcW w:w="3402" w:type="dxa"/>
        </w:tcPr>
        <w:p w14:paraId="2E5B6920" w14:textId="77777777" w:rsidR="000F33A4" w:rsidRDefault="000F33A4">
          <w:pPr>
            <w:tabs>
              <w:tab w:val="left" w:pos="2834"/>
              <w:tab w:val="right" w:pos="8838"/>
            </w:tabs>
            <w:ind w:left="-108" w:right="-105"/>
            <w:rPr>
              <w:highlight w:val="yellow"/>
            </w:rPr>
          </w:pPr>
          <w:r>
            <w:t>Ayuntamiento de Tlalnepantla de Baz</w:t>
          </w:r>
        </w:p>
      </w:tc>
    </w:tr>
    <w:tr w:rsidR="000F33A4" w14:paraId="78CDC1D7" w14:textId="77777777">
      <w:trPr>
        <w:trHeight w:val="283"/>
        <w:jc w:val="right"/>
      </w:trPr>
      <w:tc>
        <w:tcPr>
          <w:tcW w:w="2727" w:type="dxa"/>
        </w:tcPr>
        <w:p w14:paraId="47F9CCC8" w14:textId="77777777" w:rsidR="000F33A4" w:rsidRDefault="000F33A4">
          <w:pPr>
            <w:tabs>
              <w:tab w:val="right" w:pos="8838"/>
            </w:tabs>
            <w:ind w:left="-74" w:right="-105"/>
            <w:rPr>
              <w:b/>
            </w:rPr>
          </w:pPr>
          <w:r>
            <w:rPr>
              <w:b/>
            </w:rPr>
            <w:t>Comisionada Ponente:</w:t>
          </w:r>
        </w:p>
      </w:tc>
      <w:tc>
        <w:tcPr>
          <w:tcW w:w="3402" w:type="dxa"/>
        </w:tcPr>
        <w:p w14:paraId="5531F696" w14:textId="77777777" w:rsidR="000F33A4" w:rsidRDefault="000F33A4">
          <w:pPr>
            <w:tabs>
              <w:tab w:val="right" w:pos="8838"/>
            </w:tabs>
            <w:ind w:left="-108" w:right="-105"/>
          </w:pPr>
          <w:r>
            <w:t>Sharon Cristina Morales Martínez</w:t>
          </w:r>
        </w:p>
      </w:tc>
    </w:tr>
  </w:tbl>
  <w:p w14:paraId="08923DC9" w14:textId="77777777" w:rsidR="000F33A4" w:rsidRDefault="000F33A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D871C47" wp14:editId="7354B6AB">
          <wp:simplePos x="0" y="0"/>
          <wp:positionH relativeFrom="margin">
            <wp:posOffset>-995042</wp:posOffset>
          </wp:positionH>
          <wp:positionV relativeFrom="margin">
            <wp:posOffset>-1782443</wp:posOffset>
          </wp:positionV>
          <wp:extent cx="8426450" cy="1097280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FB9E4" w14:textId="77777777" w:rsidR="000F33A4" w:rsidRDefault="000F33A4">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F33A4" w14:paraId="3978A512" w14:textId="77777777">
      <w:trPr>
        <w:trHeight w:val="1435"/>
      </w:trPr>
      <w:tc>
        <w:tcPr>
          <w:tcW w:w="283" w:type="dxa"/>
          <w:shd w:val="clear" w:color="auto" w:fill="auto"/>
        </w:tcPr>
        <w:p w14:paraId="7E6B1F5D" w14:textId="77777777" w:rsidR="000F33A4" w:rsidRDefault="000F33A4">
          <w:pPr>
            <w:tabs>
              <w:tab w:val="right" w:pos="4273"/>
            </w:tabs>
            <w:rPr>
              <w:rFonts w:ascii="Garamond" w:eastAsia="Garamond" w:hAnsi="Garamond" w:cs="Garamond"/>
            </w:rPr>
          </w:pPr>
        </w:p>
      </w:tc>
      <w:tc>
        <w:tcPr>
          <w:tcW w:w="6378" w:type="dxa"/>
          <w:shd w:val="clear" w:color="auto" w:fill="auto"/>
        </w:tcPr>
        <w:p w14:paraId="6E9F342F" w14:textId="77777777" w:rsidR="000F33A4" w:rsidRDefault="000F33A4">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0F33A4" w14:paraId="6F93CA1D" w14:textId="77777777">
            <w:trPr>
              <w:trHeight w:val="144"/>
            </w:trPr>
            <w:tc>
              <w:tcPr>
                <w:tcW w:w="2790" w:type="dxa"/>
              </w:tcPr>
              <w:p w14:paraId="6CA1E396" w14:textId="77777777" w:rsidR="000F33A4" w:rsidRDefault="000F33A4">
                <w:pPr>
                  <w:tabs>
                    <w:tab w:val="right" w:pos="8838"/>
                  </w:tabs>
                  <w:ind w:left="-74" w:right="-105"/>
                  <w:rPr>
                    <w:b/>
                  </w:rPr>
                </w:pPr>
                <w:bookmarkStart w:id="0" w:name="_heading=h.147n2zr" w:colFirst="0" w:colLast="0"/>
                <w:bookmarkEnd w:id="0"/>
                <w:r>
                  <w:rPr>
                    <w:b/>
                  </w:rPr>
                  <w:t>Recurso de Revisión:</w:t>
                </w:r>
              </w:p>
            </w:tc>
            <w:tc>
              <w:tcPr>
                <w:tcW w:w="3345" w:type="dxa"/>
              </w:tcPr>
              <w:p w14:paraId="19A4DCB8" w14:textId="77777777" w:rsidR="000F33A4" w:rsidRDefault="000F33A4">
                <w:pPr>
                  <w:tabs>
                    <w:tab w:val="right" w:pos="8838"/>
                  </w:tabs>
                  <w:ind w:left="-74" w:right="-105"/>
                </w:pPr>
                <w:r>
                  <w:t xml:space="preserve">03527/INFOEM/IP/RR/2025 </w:t>
                </w:r>
              </w:p>
            </w:tc>
            <w:tc>
              <w:tcPr>
                <w:tcW w:w="3405" w:type="dxa"/>
              </w:tcPr>
              <w:p w14:paraId="64B42F9F" w14:textId="77777777" w:rsidR="000F33A4" w:rsidRDefault="000F33A4">
                <w:pPr>
                  <w:tabs>
                    <w:tab w:val="right" w:pos="8838"/>
                  </w:tabs>
                  <w:ind w:left="-74" w:right="-105"/>
                </w:pPr>
              </w:p>
            </w:tc>
          </w:tr>
          <w:tr w:rsidR="000F33A4" w14:paraId="32C3C42E" w14:textId="77777777">
            <w:trPr>
              <w:trHeight w:val="144"/>
            </w:trPr>
            <w:tc>
              <w:tcPr>
                <w:tcW w:w="2790" w:type="dxa"/>
              </w:tcPr>
              <w:p w14:paraId="13BDB532" w14:textId="77777777" w:rsidR="000F33A4" w:rsidRDefault="000F33A4">
                <w:pPr>
                  <w:tabs>
                    <w:tab w:val="right" w:pos="8838"/>
                  </w:tabs>
                  <w:ind w:left="-74" w:right="-105"/>
                  <w:rPr>
                    <w:b/>
                  </w:rPr>
                </w:pPr>
                <w:bookmarkStart w:id="1" w:name="_heading=h.3o7alnk" w:colFirst="0" w:colLast="0"/>
                <w:bookmarkEnd w:id="1"/>
                <w:r>
                  <w:rPr>
                    <w:b/>
                  </w:rPr>
                  <w:t>Recurrente:</w:t>
                </w:r>
              </w:p>
            </w:tc>
            <w:tc>
              <w:tcPr>
                <w:tcW w:w="3345" w:type="dxa"/>
              </w:tcPr>
              <w:p w14:paraId="6FDCFFF9" w14:textId="3FD70EE4" w:rsidR="000F33A4" w:rsidRDefault="00F117E8">
                <w:pPr>
                  <w:tabs>
                    <w:tab w:val="left" w:pos="3122"/>
                    <w:tab w:val="right" w:pos="8838"/>
                  </w:tabs>
                  <w:ind w:left="-105" w:right="-105"/>
                </w:pPr>
                <w:r>
                  <w:t xml:space="preserve">XXXXX XXXXXXXXX XXXXXXX </w:t>
                </w:r>
                <w:proofErr w:type="spellStart"/>
                <w:r>
                  <w:t>XXXXXXX</w:t>
                </w:r>
                <w:proofErr w:type="spellEnd"/>
              </w:p>
            </w:tc>
            <w:tc>
              <w:tcPr>
                <w:tcW w:w="3405" w:type="dxa"/>
              </w:tcPr>
              <w:p w14:paraId="0C54F83C" w14:textId="77777777" w:rsidR="000F33A4" w:rsidRDefault="000F33A4">
                <w:pPr>
                  <w:tabs>
                    <w:tab w:val="left" w:pos="3122"/>
                    <w:tab w:val="right" w:pos="8838"/>
                  </w:tabs>
                  <w:ind w:left="-105" w:right="-105"/>
                </w:pPr>
              </w:p>
            </w:tc>
          </w:tr>
          <w:tr w:rsidR="000F33A4" w14:paraId="712D95C0" w14:textId="77777777">
            <w:trPr>
              <w:trHeight w:val="283"/>
            </w:trPr>
            <w:tc>
              <w:tcPr>
                <w:tcW w:w="2790" w:type="dxa"/>
              </w:tcPr>
              <w:p w14:paraId="1B49DCE6" w14:textId="77777777" w:rsidR="000F33A4" w:rsidRDefault="000F33A4">
                <w:pPr>
                  <w:tabs>
                    <w:tab w:val="right" w:pos="8838"/>
                  </w:tabs>
                  <w:ind w:left="-74" w:right="-105"/>
                  <w:rPr>
                    <w:b/>
                  </w:rPr>
                </w:pPr>
                <w:r>
                  <w:rPr>
                    <w:b/>
                  </w:rPr>
                  <w:t>Sujeto Obligado:</w:t>
                </w:r>
              </w:p>
            </w:tc>
            <w:tc>
              <w:tcPr>
                <w:tcW w:w="3345" w:type="dxa"/>
              </w:tcPr>
              <w:p w14:paraId="7BAC2244" w14:textId="77777777" w:rsidR="000F33A4" w:rsidRDefault="000F33A4">
                <w:pPr>
                  <w:tabs>
                    <w:tab w:val="left" w:pos="2834"/>
                    <w:tab w:val="right" w:pos="8838"/>
                  </w:tabs>
                  <w:ind w:left="-108" w:right="-105"/>
                  <w:rPr>
                    <w:highlight w:val="yellow"/>
                  </w:rPr>
                </w:pPr>
                <w:r>
                  <w:t>Ayuntamiento de Tlalnepantla de Baz</w:t>
                </w:r>
              </w:p>
            </w:tc>
            <w:tc>
              <w:tcPr>
                <w:tcW w:w="3405" w:type="dxa"/>
              </w:tcPr>
              <w:p w14:paraId="15AB8C2F" w14:textId="77777777" w:rsidR="000F33A4" w:rsidRDefault="000F33A4">
                <w:pPr>
                  <w:tabs>
                    <w:tab w:val="left" w:pos="2834"/>
                    <w:tab w:val="right" w:pos="8838"/>
                  </w:tabs>
                  <w:ind w:left="-108" w:right="-105"/>
                </w:pPr>
              </w:p>
            </w:tc>
          </w:tr>
          <w:tr w:rsidR="000F33A4" w14:paraId="643812D8" w14:textId="77777777">
            <w:trPr>
              <w:trHeight w:val="283"/>
            </w:trPr>
            <w:tc>
              <w:tcPr>
                <w:tcW w:w="2790" w:type="dxa"/>
              </w:tcPr>
              <w:p w14:paraId="7CD6ED2B" w14:textId="77777777" w:rsidR="000F33A4" w:rsidRDefault="000F33A4">
                <w:pPr>
                  <w:tabs>
                    <w:tab w:val="right" w:pos="8838"/>
                  </w:tabs>
                  <w:ind w:left="-74" w:right="-105"/>
                  <w:rPr>
                    <w:b/>
                  </w:rPr>
                </w:pPr>
                <w:r>
                  <w:rPr>
                    <w:b/>
                  </w:rPr>
                  <w:t>Comisionada Ponente:</w:t>
                </w:r>
              </w:p>
            </w:tc>
            <w:tc>
              <w:tcPr>
                <w:tcW w:w="3345" w:type="dxa"/>
              </w:tcPr>
              <w:p w14:paraId="5C5585BA" w14:textId="77777777" w:rsidR="000F33A4" w:rsidRDefault="000F33A4">
                <w:pPr>
                  <w:tabs>
                    <w:tab w:val="right" w:pos="8838"/>
                  </w:tabs>
                  <w:ind w:left="-108" w:right="-105"/>
                </w:pPr>
                <w:r>
                  <w:t>Sharon Cristina Morales Martínez</w:t>
                </w:r>
              </w:p>
            </w:tc>
            <w:tc>
              <w:tcPr>
                <w:tcW w:w="3405" w:type="dxa"/>
              </w:tcPr>
              <w:p w14:paraId="57F81B31" w14:textId="77777777" w:rsidR="000F33A4" w:rsidRDefault="000F33A4">
                <w:pPr>
                  <w:tabs>
                    <w:tab w:val="right" w:pos="8838"/>
                  </w:tabs>
                  <w:ind w:left="-108" w:right="-105"/>
                </w:pPr>
              </w:p>
            </w:tc>
          </w:tr>
        </w:tbl>
        <w:p w14:paraId="5637E5D3" w14:textId="77777777" w:rsidR="000F33A4" w:rsidRDefault="000F33A4">
          <w:pPr>
            <w:tabs>
              <w:tab w:val="right" w:pos="8838"/>
            </w:tabs>
            <w:ind w:left="-28"/>
            <w:rPr>
              <w:rFonts w:ascii="Arial" w:eastAsia="Arial" w:hAnsi="Arial" w:cs="Arial"/>
              <w:b/>
            </w:rPr>
          </w:pPr>
        </w:p>
      </w:tc>
    </w:tr>
  </w:tbl>
  <w:p w14:paraId="64618013" w14:textId="77777777" w:rsidR="000F33A4" w:rsidRDefault="00FA0AD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3F0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D2D06"/>
    <w:multiLevelType w:val="multilevel"/>
    <w:tmpl w:val="15AA8F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15675"/>
    <w:multiLevelType w:val="multilevel"/>
    <w:tmpl w:val="3ACAC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277D09"/>
    <w:multiLevelType w:val="multilevel"/>
    <w:tmpl w:val="46AE036C"/>
    <w:lvl w:ilvl="0">
      <w:start w:val="3"/>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E6248BF"/>
    <w:multiLevelType w:val="multilevel"/>
    <w:tmpl w:val="0F72D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207757E"/>
    <w:multiLevelType w:val="multilevel"/>
    <w:tmpl w:val="5CC2E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323E37"/>
    <w:multiLevelType w:val="hybridMultilevel"/>
    <w:tmpl w:val="82464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7F"/>
    <w:rsid w:val="00055F89"/>
    <w:rsid w:val="000F33A4"/>
    <w:rsid w:val="002C4715"/>
    <w:rsid w:val="00320834"/>
    <w:rsid w:val="004B5978"/>
    <w:rsid w:val="004D1234"/>
    <w:rsid w:val="005B411C"/>
    <w:rsid w:val="006518DC"/>
    <w:rsid w:val="00995C30"/>
    <w:rsid w:val="00AD1D0F"/>
    <w:rsid w:val="00E10090"/>
    <w:rsid w:val="00E54B51"/>
    <w:rsid w:val="00E570B1"/>
    <w:rsid w:val="00E667E4"/>
    <w:rsid w:val="00F117E8"/>
    <w:rsid w:val="00F5427F"/>
    <w:rsid w:val="00FA0A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08E8CE"/>
  <w15:docId w15:val="{E1A694C2-9EAB-495F-AC27-54948DD8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f/DvKWz14KA2zbDtA1OwXI+hw==">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4118</Words>
  <Characters>22655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8</cp:revision>
  <cp:lastPrinted>2025-05-18T01:06:00Z</cp:lastPrinted>
  <dcterms:created xsi:type="dcterms:W3CDTF">2025-05-12T23:51:00Z</dcterms:created>
  <dcterms:modified xsi:type="dcterms:W3CDTF">2025-06-04T23:50:00Z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