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0370" w:rsidRPr="00AE79BC" w:rsidRDefault="00A874D8">
      <w:pPr>
        <w:spacing w:line="360" w:lineRule="auto"/>
        <w:ind w:right="-28"/>
        <w:jc w:val="both"/>
        <w:rPr>
          <w:rFonts w:ascii="Palatino Linotype" w:eastAsia="Palatino Linotype" w:hAnsi="Palatino Linotype" w:cs="Palatino Linotype"/>
        </w:rPr>
      </w:pPr>
      <w:bookmarkStart w:id="0" w:name="_heading=h.1fob9te" w:colFirst="0" w:colLast="0"/>
      <w:bookmarkEnd w:id="0"/>
      <w:r w:rsidRPr="00AE79BC">
        <w:rPr>
          <w:rFonts w:ascii="Palatino Linotype" w:eastAsia="Palatino Linotype" w:hAnsi="Palatino Linotype" w:cs="Palatino Linotype"/>
        </w:rPr>
        <w:t>Resolución del Pleno del Instituto de Transparencia, Acce</w:t>
      </w:r>
      <w:bookmarkStart w:id="1" w:name="_GoBack"/>
      <w:bookmarkEnd w:id="1"/>
      <w:r w:rsidRPr="00AE79BC">
        <w:rPr>
          <w:rFonts w:ascii="Palatino Linotype" w:eastAsia="Palatino Linotype" w:hAnsi="Palatino Linotype" w:cs="Palatino Linotype"/>
        </w:rPr>
        <w:t xml:space="preserve">so a la Información Pública y Protección de Datos Personales del Estado de México y Municipios, con domicilio en Metepec, Estado de México; de fecha seis (06) de marzo de dos mil veinticinco. </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spacing w:line="360" w:lineRule="auto"/>
        <w:ind w:right="-28"/>
        <w:jc w:val="both"/>
        <w:rPr>
          <w:rFonts w:ascii="Palatino Linotype" w:eastAsia="Palatino Linotype" w:hAnsi="Palatino Linotype" w:cs="Palatino Linotype"/>
          <w:b/>
        </w:rPr>
      </w:pPr>
      <w:r w:rsidRPr="00AE79BC">
        <w:rPr>
          <w:rFonts w:ascii="Palatino Linotype" w:eastAsia="Palatino Linotype" w:hAnsi="Palatino Linotype" w:cs="Palatino Linotype"/>
          <w:b/>
        </w:rPr>
        <w:t>VISTO</w:t>
      </w:r>
      <w:r w:rsidRPr="00AE79BC">
        <w:rPr>
          <w:rFonts w:ascii="Palatino Linotype" w:eastAsia="Palatino Linotype" w:hAnsi="Palatino Linotype" w:cs="Palatino Linotype"/>
        </w:rPr>
        <w:t xml:space="preserve"> el expediente electrónico formado con motivo del Recurso de Revisión </w:t>
      </w:r>
      <w:r w:rsidRPr="00AE79BC">
        <w:rPr>
          <w:rFonts w:ascii="Palatino Linotype" w:eastAsia="Palatino Linotype" w:hAnsi="Palatino Linotype" w:cs="Palatino Linotype"/>
          <w:b/>
        </w:rPr>
        <w:t xml:space="preserve">04663/INFOEM/IP/RR/2024, </w:t>
      </w:r>
      <w:r w:rsidRPr="00AE79BC">
        <w:rPr>
          <w:rFonts w:ascii="Palatino Linotype" w:eastAsia="Palatino Linotype" w:hAnsi="Palatino Linotype" w:cs="Palatino Linotype"/>
        </w:rPr>
        <w:t xml:space="preserve">promovido por </w:t>
      </w:r>
      <w:r w:rsidR="00643B74" w:rsidRPr="00AE79BC">
        <w:rPr>
          <w:rFonts w:ascii="Palatino Linotype" w:eastAsia="Palatino Linotype" w:hAnsi="Palatino Linotype" w:cs="Palatino Linotype"/>
          <w:sz w:val="22"/>
          <w:szCs w:val="22"/>
        </w:rPr>
        <w:t>Anónimo</w:t>
      </w:r>
      <w:r w:rsidRPr="00AE79BC">
        <w:rPr>
          <w:rFonts w:ascii="Palatino Linotype" w:eastAsia="Palatino Linotype" w:hAnsi="Palatino Linotype" w:cs="Palatino Linotype"/>
          <w:b/>
        </w:rPr>
        <w:t xml:space="preserve">, </w:t>
      </w:r>
      <w:r w:rsidRPr="00AE79BC">
        <w:rPr>
          <w:rFonts w:ascii="Palatino Linotype" w:eastAsia="Palatino Linotype" w:hAnsi="Palatino Linotype" w:cs="Palatino Linotype"/>
        </w:rPr>
        <w:t xml:space="preserve">a quien en lo sucesivo se le denominará </w:t>
      </w:r>
      <w:r w:rsidRPr="00AE79BC">
        <w:rPr>
          <w:rFonts w:ascii="Palatino Linotype" w:eastAsia="Palatino Linotype" w:hAnsi="Palatino Linotype" w:cs="Palatino Linotype"/>
          <w:b/>
        </w:rPr>
        <w:t>RECURRENTE</w:t>
      </w:r>
      <w:r w:rsidRPr="00AE79BC">
        <w:rPr>
          <w:rFonts w:ascii="Palatino Linotype" w:eastAsia="Palatino Linotype" w:hAnsi="Palatino Linotype" w:cs="Palatino Linotype"/>
        </w:rPr>
        <w:t xml:space="preserve">, en contra de la respuesta de la </w:t>
      </w:r>
      <w:r w:rsidRPr="00AE79BC">
        <w:rPr>
          <w:rFonts w:ascii="Palatino Linotype" w:eastAsia="Palatino Linotype" w:hAnsi="Palatino Linotype" w:cs="Palatino Linotype"/>
          <w:b/>
        </w:rPr>
        <w:t>Secretaría de la Contraloría,</w:t>
      </w:r>
      <w:r w:rsidRPr="00AE79BC">
        <w:rPr>
          <w:rFonts w:ascii="Palatino Linotype" w:eastAsia="Palatino Linotype" w:hAnsi="Palatino Linotype" w:cs="Palatino Linotype"/>
        </w:rPr>
        <w:t xml:space="preserve"> en adelante el</w:t>
      </w:r>
      <w:r w:rsidRPr="00AE79BC">
        <w:rPr>
          <w:rFonts w:ascii="Palatino Linotype" w:eastAsia="Palatino Linotype" w:hAnsi="Palatino Linotype" w:cs="Palatino Linotype"/>
          <w:b/>
        </w:rPr>
        <w:t xml:space="preserve"> SUJETO OBLIGADO</w:t>
      </w:r>
      <w:r w:rsidRPr="00AE79BC">
        <w:rPr>
          <w:rFonts w:ascii="Palatino Linotype" w:eastAsia="Palatino Linotype" w:hAnsi="Palatino Linotype" w:cs="Palatino Linotype"/>
        </w:rPr>
        <w:t xml:space="preserve">, por lo que se procede a dictar la presente resolución, con base en los siguientes: </w:t>
      </w:r>
    </w:p>
    <w:p w:rsidR="00E50370" w:rsidRPr="00AE79BC" w:rsidRDefault="00E50370">
      <w:pPr>
        <w:ind w:right="-28"/>
        <w:jc w:val="both"/>
        <w:rPr>
          <w:rFonts w:ascii="Palatino Linotype" w:eastAsia="Palatino Linotype" w:hAnsi="Palatino Linotype" w:cs="Palatino Linotype"/>
        </w:rPr>
      </w:pPr>
    </w:p>
    <w:p w:rsidR="00E50370" w:rsidRPr="00AE79BC" w:rsidRDefault="00A874D8">
      <w:pPr>
        <w:keepNext/>
        <w:keepLines/>
        <w:spacing w:line="360" w:lineRule="auto"/>
        <w:ind w:right="-28"/>
        <w:jc w:val="center"/>
        <w:rPr>
          <w:rFonts w:ascii="Palatino Linotype" w:eastAsia="Palatino Linotype" w:hAnsi="Palatino Linotype" w:cs="Palatino Linotype"/>
          <w:b/>
        </w:rPr>
      </w:pPr>
      <w:bookmarkStart w:id="2" w:name="_heading=h.gjdgxs" w:colFirst="0" w:colLast="0"/>
      <w:bookmarkEnd w:id="2"/>
      <w:r w:rsidRPr="00AE79BC">
        <w:rPr>
          <w:rFonts w:ascii="Palatino Linotype" w:eastAsia="Palatino Linotype" w:hAnsi="Palatino Linotype" w:cs="Palatino Linotype"/>
          <w:b/>
        </w:rPr>
        <w:t>A N T E C E D E N T E S</w:t>
      </w:r>
    </w:p>
    <w:p w:rsidR="00E50370" w:rsidRPr="00AE79BC" w:rsidRDefault="00E50370">
      <w:pPr>
        <w:ind w:right="-28"/>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El diez de julio de dos mil veinticuatro, se presentó ante el </w:t>
      </w:r>
      <w:r w:rsidRPr="00AE79BC">
        <w:rPr>
          <w:rFonts w:ascii="Palatino Linotype" w:eastAsia="Palatino Linotype" w:hAnsi="Palatino Linotype" w:cs="Palatino Linotype"/>
          <w:b/>
        </w:rPr>
        <w:t xml:space="preserve">SUJETO OBLIGADO </w:t>
      </w:r>
      <w:r w:rsidRPr="00AE79BC">
        <w:rPr>
          <w:rFonts w:ascii="Palatino Linotype" w:eastAsia="Palatino Linotype" w:hAnsi="Palatino Linotype" w:cs="Palatino Linotype"/>
        </w:rPr>
        <w:t xml:space="preserve">vía Plataforma Nacional de Transparencia vinculada al sistema de Acceso a la Información </w:t>
      </w:r>
      <w:r w:rsidRPr="00AE79BC">
        <w:rPr>
          <w:rFonts w:ascii="Palatino Linotype" w:eastAsia="Palatino Linotype" w:hAnsi="Palatino Linotype" w:cs="Palatino Linotype"/>
          <w:color w:val="000000"/>
        </w:rPr>
        <w:t xml:space="preserve">(SAIMEX), la solicitud de información pública registrada con el número de </w:t>
      </w:r>
      <w:r w:rsidRPr="00AE79BC">
        <w:rPr>
          <w:rFonts w:ascii="Palatino Linotype" w:eastAsia="Palatino Linotype" w:hAnsi="Palatino Linotype" w:cs="Palatino Linotype"/>
        </w:rPr>
        <w:t>expediente</w:t>
      </w:r>
      <w:r w:rsidRPr="00AE79BC">
        <w:rPr>
          <w:rFonts w:ascii="Palatino Linotype" w:eastAsia="Palatino Linotype" w:hAnsi="Palatino Linotype" w:cs="Palatino Linotype"/>
          <w:b/>
        </w:rPr>
        <w:t xml:space="preserve"> 00267/SECOGEM/IP/2024</w:t>
      </w:r>
      <w:r w:rsidRPr="00AE79BC">
        <w:rPr>
          <w:rFonts w:ascii="Palatino Linotype" w:eastAsia="Palatino Linotype" w:hAnsi="Palatino Linotype" w:cs="Palatino Linotype"/>
        </w:rPr>
        <w:t>, en la que se solicitó:</w:t>
      </w:r>
    </w:p>
    <w:p w:rsidR="00E50370" w:rsidRPr="00AE79BC" w:rsidRDefault="00E50370">
      <w:pPr>
        <w:ind w:right="-28"/>
        <w:jc w:val="both"/>
        <w:rPr>
          <w:rFonts w:ascii="Palatino Linotype" w:eastAsia="Palatino Linotype" w:hAnsi="Palatino Linotype" w:cs="Palatino Linotype"/>
          <w:i/>
        </w:rPr>
      </w:pPr>
    </w:p>
    <w:p w:rsidR="00E50370" w:rsidRPr="00AE79BC" w:rsidRDefault="00A874D8">
      <w:pPr>
        <w:pBdr>
          <w:top w:val="nil"/>
          <w:left w:val="nil"/>
          <w:bottom w:val="nil"/>
          <w:right w:val="nil"/>
          <w:between w:val="nil"/>
        </w:pBdr>
        <w:ind w:left="567" w:right="680"/>
        <w:jc w:val="both"/>
        <w:rPr>
          <w:rFonts w:ascii="Palatino Linotype" w:eastAsia="Palatino Linotype" w:hAnsi="Palatino Linotype" w:cs="Palatino Linotype"/>
          <w:i/>
          <w:color w:val="000000"/>
        </w:rPr>
      </w:pPr>
      <w:r w:rsidRPr="00AE79BC">
        <w:rPr>
          <w:rFonts w:ascii="Palatino Linotype" w:eastAsia="Palatino Linotype" w:hAnsi="Palatino Linotype" w:cs="Palatino Linotype"/>
          <w:i/>
          <w:color w:val="000000"/>
        </w:rPr>
        <w:t xml:space="preserve">“Favor de proporcionar la siguiente información: 1. ¿Cuántas denuncias fueron presentadas en contra de personas servidoras públicas de la entonces Procuraduría General de Justicia del Estado de México por hechos acontecidos en los periodos de 2000 a 2010? Desagregar por sexo, cargo, tipo de conducta, mes y año en que ocurrieron los hechos, lugar de los hechos (municipio y localidad), fecha de inicio de la investigación, fecha y forma de terminación de la carpeta de investigación. 2. ¿Cuántas averiguaciones previas o carpetas de investigación fueron judicializadas en casos que involucran a personas servidoras públicas de la entonces Procuraduría General de Justicia del Estado de México sobre hechos acontecidos en el periodo de 2000 a 2010? Desglosando los datos </w:t>
      </w:r>
      <w:r w:rsidRPr="00AE79BC">
        <w:rPr>
          <w:rFonts w:ascii="Palatino Linotype" w:eastAsia="Palatino Linotype" w:hAnsi="Palatino Linotype" w:cs="Palatino Linotype"/>
          <w:i/>
          <w:color w:val="000000"/>
        </w:rPr>
        <w:lastRenderedPageBreak/>
        <w:t xml:space="preserve">de dichas personas por sexo, cargo, tipo de hechos, tipo de conducta, mes y año en que ocurrieron los hechos, lugar de los hechos (municipio y localidad), fecha de judicialización y sentido de la última resolución. 3. ¿Cuántas personas servidoras públicas de la entonces Procuraduría General de Justicia del Estado de México fueron sancionadas penalmente por hechos acontecidos en el periodo de 2000 a 2010? Desglosando los datos de dichas personas por sexo, cargo, tipo de hechos, tipo de conducta, mes y año en que ocurrieron los hechos, lugar de los hechos (municipio y localidad), fecha de inicio de la investigación, fecha de judicialización, sentido de la última resolución y sanción impuesta 4. ¿Cuántas denuncias fueron presentadas en contra de personas servidoras públicas de la entonces Secretaría de Seguridad Ciudadana o Pública y de la Agencia de Seguridad Estatal, por hechos acontecidos en los periodos de 2000 a 2010? Desagregar por sexo, cargo, tipo de conducta, mes y año en que ocurrieron los hechos, lugar de los hechos (municipio y localidad), fecha de inicio de la investigación, fecha y forma de terminación de la carpeta de investigación. 5. ¿Cuántas averiguaciones previas o carpetas de investigación fueron judicializadas en casos que involucran a personas servidoras públicas de la entonces Secretaría de Seguridad Ciudadana o Pública y de la Agencia de Seguridad Estatal, por hechos acontecidos en el periodo de 2000 a 2010? Desglosando los datos de dichas personas por sexo, cargo, tipo de hechos, tipo de conducta, mes y año en que ocurrieron los hechos, lugar de los hechos (municipio y localidad), fecha de judicialización y sentido de la última resolución. 6. ¿Cuántas personas servidoras públicas de la entonces Secretaría de Seguridad Ciudadana o Pública y de la Agencia de Seguridad Estatal, fueron sancionadas penalmente por hechos acontecidos en el periodo de 2000 a 2010? Desglosando los datos de dichas personas por sexo, cargo, tipo de hechos, tipo de conducta, mes y año en que ocurrieron los hechos, lugar de los hechos (municipio y localidad), fecha de inicio de la investigación, fecha de judicialización, sentido de la última resolución y sanción impuesta (Sic) </w:t>
      </w:r>
    </w:p>
    <w:p w:rsidR="00E50370" w:rsidRPr="00AE79BC" w:rsidRDefault="00E50370">
      <w:pPr>
        <w:pBdr>
          <w:top w:val="nil"/>
          <w:left w:val="nil"/>
          <w:bottom w:val="nil"/>
          <w:right w:val="nil"/>
          <w:between w:val="nil"/>
        </w:pBdr>
        <w:ind w:right="539"/>
        <w:jc w:val="both"/>
        <w:rPr>
          <w:rFonts w:ascii="Palatino Linotype" w:eastAsia="Palatino Linotype" w:hAnsi="Palatino Linotype" w:cs="Palatino Linotype"/>
          <w:i/>
          <w:color w:val="000000"/>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Se hace constar que se señaló como modalidad de entrega de la información a través del </w:t>
      </w:r>
      <w:r w:rsidRPr="00AE79BC">
        <w:rPr>
          <w:rFonts w:ascii="Palatino Linotype" w:eastAsia="Palatino Linotype" w:hAnsi="Palatino Linotype" w:cs="Palatino Linotype"/>
          <w:b/>
        </w:rPr>
        <w:t>SAIMEX.</w:t>
      </w:r>
    </w:p>
    <w:p w:rsidR="00E50370" w:rsidRPr="00AE79BC" w:rsidRDefault="00E50370">
      <w:pPr>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El once de julio de dos mil veinticuatro, el </w:t>
      </w:r>
      <w:r w:rsidRPr="00AE79BC">
        <w:rPr>
          <w:rFonts w:ascii="Palatino Linotype" w:eastAsia="Palatino Linotype" w:hAnsi="Palatino Linotype" w:cs="Palatino Linotype"/>
          <w:b/>
        </w:rPr>
        <w:t>SUJETO OBLIGADO</w:t>
      </w:r>
      <w:r w:rsidRPr="00AE79BC">
        <w:rPr>
          <w:rFonts w:ascii="Palatino Linotype" w:eastAsia="Palatino Linotype" w:hAnsi="Palatino Linotype" w:cs="Palatino Linotype"/>
          <w:b/>
          <w:i/>
        </w:rPr>
        <w:t xml:space="preserve"> </w:t>
      </w:r>
      <w:r w:rsidRPr="00AE79BC">
        <w:rPr>
          <w:rFonts w:ascii="Palatino Linotype" w:eastAsia="Palatino Linotype" w:hAnsi="Palatino Linotype" w:cs="Palatino Linotype"/>
        </w:rPr>
        <w:t>dio respuesta a la solicitud de información, en los siguientes términos:</w:t>
      </w:r>
    </w:p>
    <w:p w:rsidR="00E50370" w:rsidRPr="00AE79BC" w:rsidRDefault="00A874D8">
      <w:pPr>
        <w:ind w:left="709" w:right="537"/>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color w:val="000000"/>
          <w:sz w:val="22"/>
          <w:szCs w:val="22"/>
        </w:rPr>
        <w:lastRenderedPageBreak/>
        <w:t>“</w:t>
      </w:r>
      <w:r w:rsidRPr="00AE79BC">
        <w:rPr>
          <w:rFonts w:ascii="Palatino Linotype" w:eastAsia="Palatino Linotype" w:hAnsi="Palatino Linotype" w:cs="Palatino Linotype"/>
          <w:i/>
          <w:color w:val="000000"/>
          <w:sz w:val="22"/>
          <w:szCs w:val="22"/>
        </w:rPr>
        <w:t>ESTIMADO SOLICITANTE, DE CONFORMIDAD CON EL ARTÍCULO 167 DE LA LEY DE TRANSPARENCIA Y ACCESO A LA IFORMACIÓN PÚBLICA DEL ESTADO DE MÉXICO Y MUNICIPIOS, LE INFORMO QUE EN ARCHIVOS ADJUNTOS, ENCONTRARÁ EN FORMATO .PDF, EL OFICIO DE RESPUESTA Y EL ACUERDO DE ORIENTACIÓN FIRMADO POR EL ENCARGADO DE DESPACHO DE LA UNIDAD DE PREVENCIÓN DE LA CORRUPCIÓN Y RESPONSABLE DE LA UNIDAD DE TRANSPARENCIA...”(Sic.)</w:t>
      </w:r>
    </w:p>
    <w:p w:rsidR="00E50370" w:rsidRPr="00AE79BC" w:rsidRDefault="00E50370">
      <w:pPr>
        <w:ind w:right="537"/>
        <w:jc w:val="both"/>
        <w:rPr>
          <w:rFonts w:ascii="Palatino Linotype" w:eastAsia="Palatino Linotype" w:hAnsi="Palatino Linotype" w:cs="Palatino Linotype"/>
          <w:i/>
          <w:color w:val="000000"/>
          <w:sz w:val="22"/>
          <w:szCs w:val="22"/>
        </w:rPr>
      </w:pPr>
    </w:p>
    <w:p w:rsidR="00E50370" w:rsidRPr="00AE79BC" w:rsidRDefault="00A874D8" w:rsidP="00CE6E0E">
      <w:pPr>
        <w:pBdr>
          <w:top w:val="nil"/>
          <w:left w:val="nil"/>
          <w:bottom w:val="nil"/>
          <w:right w:val="nil"/>
          <w:between w:val="nil"/>
        </w:pBdr>
        <w:tabs>
          <w:tab w:val="left" w:pos="8505"/>
        </w:tabs>
        <w:ind w:right="537"/>
        <w:jc w:val="both"/>
        <w:rPr>
          <w:rFonts w:ascii="Palatino Linotype" w:eastAsia="Palatino Linotype" w:hAnsi="Palatino Linotype" w:cs="Palatino Linotype"/>
          <w:color w:val="000000"/>
          <w:sz w:val="22"/>
          <w:szCs w:val="22"/>
        </w:rPr>
      </w:pPr>
      <w:r w:rsidRPr="00AE79BC">
        <w:rPr>
          <w:rFonts w:ascii="Palatino Linotype" w:eastAsia="Palatino Linotype" w:hAnsi="Palatino Linotype" w:cs="Palatino Linotype"/>
          <w:color w:val="000000"/>
          <w:sz w:val="22"/>
          <w:szCs w:val="22"/>
        </w:rPr>
        <w:t>Archivos electrónicos adjuntos:</w:t>
      </w:r>
    </w:p>
    <w:p w:rsidR="00E50370" w:rsidRPr="00AE79BC" w:rsidRDefault="00E50370" w:rsidP="00CE6E0E">
      <w:pPr>
        <w:pBdr>
          <w:top w:val="nil"/>
          <w:left w:val="nil"/>
          <w:bottom w:val="nil"/>
          <w:right w:val="nil"/>
          <w:between w:val="nil"/>
        </w:pBdr>
        <w:tabs>
          <w:tab w:val="left" w:pos="8505"/>
        </w:tabs>
        <w:ind w:right="537"/>
        <w:jc w:val="both"/>
        <w:rPr>
          <w:rFonts w:ascii="Palatino Linotype" w:eastAsia="Palatino Linotype" w:hAnsi="Palatino Linotype" w:cs="Palatino Linotype"/>
          <w:color w:val="000000"/>
          <w:sz w:val="22"/>
          <w:szCs w:val="22"/>
        </w:rPr>
      </w:pPr>
    </w:p>
    <w:p w:rsidR="00E50370" w:rsidRPr="00AE79BC" w:rsidRDefault="00A874D8">
      <w:pPr>
        <w:pBdr>
          <w:top w:val="nil"/>
          <w:left w:val="nil"/>
          <w:bottom w:val="nil"/>
          <w:right w:val="nil"/>
          <w:between w:val="nil"/>
        </w:pBdr>
        <w:tabs>
          <w:tab w:val="left" w:pos="8505"/>
        </w:tabs>
        <w:ind w:left="567" w:right="537"/>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color w:val="000000"/>
          <w:sz w:val="22"/>
          <w:szCs w:val="22"/>
        </w:rPr>
        <w:t>“</w:t>
      </w:r>
      <w:r w:rsidRPr="00AE79BC">
        <w:rPr>
          <w:rFonts w:ascii="Palatino Linotype" w:eastAsia="Palatino Linotype" w:hAnsi="Palatino Linotype" w:cs="Palatino Linotype"/>
          <w:b/>
          <w:color w:val="000000"/>
          <w:sz w:val="22"/>
          <w:szCs w:val="22"/>
        </w:rPr>
        <w:t>AO 26707-11-2024-213226.pdf”: C</w:t>
      </w:r>
      <w:r w:rsidRPr="00AE79BC">
        <w:rPr>
          <w:rFonts w:ascii="Palatino Linotype" w:eastAsia="Palatino Linotype" w:hAnsi="Palatino Linotype" w:cs="Palatino Linotype"/>
          <w:color w:val="000000"/>
          <w:sz w:val="22"/>
          <w:szCs w:val="22"/>
        </w:rPr>
        <w:t xml:space="preserve">onsistente en el Acuerdo de Orientación de fecha once de julio de dos mil veinticuatro, constante de tres páginas, signado por el encargado de Despacho de la Unidad de Prevención de la Corrupción y Responsable de la Unidad de Transparencia, del que se desprende lo siguiente: </w:t>
      </w:r>
    </w:p>
    <w:p w:rsidR="00E50370" w:rsidRPr="00AE79BC" w:rsidRDefault="00E50370">
      <w:pPr>
        <w:pBdr>
          <w:top w:val="nil"/>
          <w:left w:val="nil"/>
          <w:bottom w:val="nil"/>
          <w:right w:val="nil"/>
          <w:between w:val="nil"/>
        </w:pBdr>
        <w:ind w:left="567" w:right="537"/>
        <w:jc w:val="both"/>
        <w:rPr>
          <w:rFonts w:ascii="Palatino Linotype" w:eastAsia="Palatino Linotype" w:hAnsi="Palatino Linotype" w:cs="Palatino Linotype"/>
          <w:color w:val="000000"/>
          <w:sz w:val="22"/>
          <w:szCs w:val="22"/>
        </w:rPr>
      </w:pPr>
    </w:p>
    <w:p w:rsidR="00E50370" w:rsidRPr="00AE79BC" w:rsidRDefault="00A874D8">
      <w:pPr>
        <w:ind w:left="567" w:right="537"/>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“…le comento que se advierte que la información solicitada no corresponde a información generada, poseída y administrada en esta Secretaría de la Contraloría; y que ésta puede encontrarse en poder diversos Sujetos Obligados, siendo estos, la Fiscalía General de Justicia del Estado de México y la Secretaría de Seguridad; por lo que, deberá enviar una nueva solicitud de información a cada uno de dichos Sujetos Obligados.</w:t>
      </w:r>
    </w:p>
    <w:p w:rsidR="00E50370" w:rsidRPr="00AE79BC" w:rsidRDefault="00E50370">
      <w:pPr>
        <w:ind w:left="567" w:right="537"/>
        <w:jc w:val="both"/>
        <w:rPr>
          <w:rFonts w:ascii="Palatino Linotype" w:eastAsia="Palatino Linotype" w:hAnsi="Palatino Linotype" w:cs="Palatino Linotype"/>
          <w:i/>
          <w:color w:val="000000"/>
          <w:sz w:val="22"/>
          <w:szCs w:val="22"/>
        </w:rPr>
      </w:pPr>
    </w:p>
    <w:p w:rsidR="00E50370" w:rsidRPr="00AE79BC" w:rsidRDefault="00A874D8">
      <w:pPr>
        <w:ind w:left="567" w:right="537"/>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Se pone nuevamente a su disposición la Plataforma Nacional de Transparencia (PNT), sistema mediante el cual ingresó la solicitud que se contesta; para presentar sus solicitudes de información, al ingresar a la Plataforma Nacional de Transparencia (PNT) con su nombre de usuario y contraseña, deberá seleccionar la opción "Solicitud de Acceso a la Información Pública", hecho lo anterior, en la sección "Denominación o razón social de la institución a la que solicitas información", en el apartado "Estado o Federación" deberá seleccionar "Estado de México" y finalmente en el apartado de "Institución" del listado que despliega el sistema, deberá seleccionar a la Fiscalía General de Justicia del Estado de México y a la Secretaría de Seguridad; finalmente deberá dar clic en la opción de "Agregar", en donde podrá visualizar que se hayan agregado correctamente dichos Sujetos Obligados.</w:t>
      </w:r>
    </w:p>
    <w:p w:rsidR="00E50370" w:rsidRPr="00AE79BC" w:rsidRDefault="00E50370">
      <w:pPr>
        <w:ind w:left="567" w:right="537"/>
        <w:jc w:val="both"/>
        <w:rPr>
          <w:rFonts w:ascii="Palatino Linotype" w:eastAsia="Palatino Linotype" w:hAnsi="Palatino Linotype" w:cs="Palatino Linotype"/>
          <w:i/>
          <w:color w:val="000000"/>
          <w:sz w:val="22"/>
          <w:szCs w:val="22"/>
        </w:rPr>
      </w:pPr>
    </w:p>
    <w:p w:rsidR="00E50370" w:rsidRPr="00AE79BC" w:rsidRDefault="00A874D8">
      <w:pPr>
        <w:ind w:left="567" w:right="537"/>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Aunado a lo anterior, le proporciono los datos de las Unidades de Transparencia de ambos Sujetos Obligados por si es su deseo presentar su solicitud directamente ante dichas Unidades… (Sic.)</w:t>
      </w:r>
    </w:p>
    <w:p w:rsidR="00E50370" w:rsidRPr="00AE79BC" w:rsidRDefault="00E50370">
      <w:pPr>
        <w:ind w:left="567" w:right="537"/>
        <w:jc w:val="both"/>
        <w:rPr>
          <w:rFonts w:ascii="Palatino Linotype" w:eastAsia="Palatino Linotype" w:hAnsi="Palatino Linotype" w:cs="Palatino Linotype"/>
          <w:i/>
          <w:color w:val="000000"/>
          <w:sz w:val="22"/>
          <w:szCs w:val="22"/>
        </w:rPr>
      </w:pPr>
    </w:p>
    <w:p w:rsidR="00E50370" w:rsidRPr="00AE79BC" w:rsidRDefault="00A874D8">
      <w:pPr>
        <w:pBdr>
          <w:top w:val="nil"/>
          <w:left w:val="nil"/>
          <w:bottom w:val="nil"/>
          <w:right w:val="nil"/>
          <w:between w:val="nil"/>
        </w:pBdr>
        <w:tabs>
          <w:tab w:val="left" w:pos="8789"/>
        </w:tabs>
        <w:ind w:left="567" w:right="537"/>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b/>
          <w:color w:val="000000"/>
          <w:sz w:val="22"/>
          <w:szCs w:val="22"/>
        </w:rPr>
        <w:lastRenderedPageBreak/>
        <w:t>“OS 26707-11-2024-213200.pdf”</w:t>
      </w:r>
      <w:r w:rsidRPr="00AE79BC">
        <w:rPr>
          <w:rFonts w:ascii="Palatino Linotype" w:eastAsia="Palatino Linotype" w:hAnsi="Palatino Linotype" w:cs="Palatino Linotype"/>
          <w:color w:val="000000"/>
          <w:sz w:val="22"/>
          <w:szCs w:val="22"/>
        </w:rPr>
        <w:t xml:space="preserve">: Oficio de fecha once de julio de dos mil veinticuatro, constante de una foja, signado por el Encargado de Despacho de la Unidad de Prevención de la Corrupción y Responsable de la Unidad de Transparencia, mediante el cual, refiere lo siguiente: </w:t>
      </w:r>
    </w:p>
    <w:p w:rsidR="00E50370" w:rsidRPr="00AE79BC" w:rsidRDefault="00E50370">
      <w:pPr>
        <w:pBdr>
          <w:top w:val="nil"/>
          <w:left w:val="nil"/>
          <w:bottom w:val="nil"/>
          <w:right w:val="nil"/>
          <w:between w:val="nil"/>
        </w:pBdr>
        <w:ind w:left="567" w:right="537"/>
        <w:jc w:val="both"/>
        <w:rPr>
          <w:rFonts w:ascii="Palatino Linotype" w:eastAsia="Palatino Linotype" w:hAnsi="Palatino Linotype" w:cs="Palatino Linotype"/>
          <w:color w:val="000000"/>
          <w:sz w:val="22"/>
          <w:szCs w:val="22"/>
        </w:rPr>
      </w:pPr>
    </w:p>
    <w:p w:rsidR="00E50370" w:rsidRPr="00AE79BC" w:rsidRDefault="00A874D8">
      <w:pPr>
        <w:ind w:left="567" w:right="537"/>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…”En atención a la solicitud de información registrada en fecha diez de julio de dos mil veinticuatro, la cual fue registrada a través de la Plataforma Nacional de Transparencia (PNT), identificada con el número de Folio 00267/SECOGEM/IP/2024; se notifica </w:t>
      </w:r>
      <w:r w:rsidRPr="00AE79BC">
        <w:rPr>
          <w:rFonts w:ascii="Palatino Linotype" w:eastAsia="Palatino Linotype" w:hAnsi="Palatino Linotype" w:cs="Palatino Linotype"/>
          <w:b/>
          <w:i/>
          <w:color w:val="000000"/>
          <w:sz w:val="22"/>
          <w:szCs w:val="22"/>
        </w:rPr>
        <w:t xml:space="preserve">el Acuerdo de Orientación </w:t>
      </w:r>
      <w:r w:rsidRPr="00AE79BC">
        <w:rPr>
          <w:rFonts w:ascii="Palatino Linotype" w:eastAsia="Palatino Linotype" w:hAnsi="Palatino Linotype" w:cs="Palatino Linotype"/>
          <w:i/>
          <w:color w:val="000000"/>
          <w:sz w:val="22"/>
          <w:szCs w:val="22"/>
        </w:rPr>
        <w:t>de fecha once de julio de dos mil veinticuatro, vía Plataforma Nacional de Transparencia (PNT)…” (Sic.)</w:t>
      </w:r>
    </w:p>
    <w:p w:rsidR="00E50370" w:rsidRPr="00AE79BC" w:rsidRDefault="00E50370">
      <w:pPr>
        <w:ind w:left="567" w:right="537"/>
        <w:jc w:val="both"/>
        <w:rPr>
          <w:rFonts w:ascii="Palatino Linotype" w:eastAsia="Palatino Linotype" w:hAnsi="Palatino Linotype" w:cs="Palatino Linotype"/>
          <w:i/>
          <w:sz w:val="22"/>
          <w:szCs w:val="22"/>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Inconforme con la respuesta emitida por el </w:t>
      </w:r>
      <w:r w:rsidRPr="00AE79BC">
        <w:rPr>
          <w:rFonts w:ascii="Palatino Linotype" w:eastAsia="Palatino Linotype" w:hAnsi="Palatino Linotype" w:cs="Palatino Linotype"/>
          <w:b/>
        </w:rPr>
        <w:t>SUJETO OBLIGADO</w:t>
      </w:r>
      <w:r w:rsidRPr="00AE79BC">
        <w:rPr>
          <w:rFonts w:ascii="Palatino Linotype" w:eastAsia="Palatino Linotype" w:hAnsi="Palatino Linotype" w:cs="Palatino Linotype"/>
        </w:rPr>
        <w:t>, el cinco de agosto de dos mil veinticuatro,</w:t>
      </w:r>
      <w:r w:rsidRPr="00AE79BC">
        <w:rPr>
          <w:rFonts w:ascii="Palatino Linotype" w:eastAsia="Palatino Linotype" w:hAnsi="Palatino Linotype" w:cs="Palatino Linotype"/>
          <w:b/>
        </w:rPr>
        <w:t xml:space="preserve"> </w:t>
      </w:r>
      <w:r w:rsidRPr="00AE79BC">
        <w:rPr>
          <w:rFonts w:ascii="Palatino Linotype" w:eastAsia="Palatino Linotype" w:hAnsi="Palatino Linotype" w:cs="Palatino Linotype"/>
        </w:rPr>
        <w:t xml:space="preserve">el </w:t>
      </w:r>
      <w:r w:rsidRPr="00AE79BC">
        <w:rPr>
          <w:rFonts w:ascii="Palatino Linotype" w:eastAsia="Palatino Linotype" w:hAnsi="Palatino Linotype" w:cs="Palatino Linotype"/>
          <w:b/>
        </w:rPr>
        <w:t>RECURRENTE</w:t>
      </w:r>
      <w:r w:rsidRPr="00AE79BC">
        <w:rPr>
          <w:rFonts w:ascii="Palatino Linotype" w:eastAsia="Palatino Linotype" w:hAnsi="Palatino Linotype" w:cs="Palatino Linotype"/>
        </w:rPr>
        <w:t xml:space="preserve"> interpuso Recurso de Revisión, </w:t>
      </w:r>
      <w:r w:rsidRPr="00AE79BC">
        <w:rPr>
          <w:rFonts w:ascii="Palatino Linotype" w:eastAsia="Palatino Linotype" w:hAnsi="Palatino Linotype" w:cs="Palatino Linotype"/>
          <w:color w:val="000000"/>
        </w:rPr>
        <w:t xml:space="preserve">el cual se registró con el número de expediente: </w:t>
      </w:r>
      <w:r w:rsidRPr="00AE79BC">
        <w:rPr>
          <w:rFonts w:ascii="Palatino Linotype" w:eastAsia="Palatino Linotype" w:hAnsi="Palatino Linotype" w:cs="Palatino Linotype"/>
          <w:b/>
          <w:color w:val="000000"/>
        </w:rPr>
        <w:t>04663/INFOEM/IP/RR/2024</w:t>
      </w:r>
      <w:r w:rsidRPr="00AE79BC">
        <w:rPr>
          <w:rFonts w:ascii="Palatino Linotype" w:eastAsia="Palatino Linotype" w:hAnsi="Palatino Linotype" w:cs="Palatino Linotype"/>
        </w:rPr>
        <w:t xml:space="preserve">, señalando como </w:t>
      </w:r>
    </w:p>
    <w:p w:rsidR="00E50370" w:rsidRPr="00AE79BC" w:rsidRDefault="00A874D8">
      <w:pPr>
        <w:numPr>
          <w:ilvl w:val="0"/>
          <w:numId w:val="6"/>
        </w:numPr>
        <w:ind w:right="680"/>
        <w:jc w:val="both"/>
        <w:rPr>
          <w:rFonts w:ascii="Palatino Linotype" w:eastAsia="Palatino Linotype" w:hAnsi="Palatino Linotype" w:cs="Palatino Linotype"/>
          <w:sz w:val="22"/>
          <w:szCs w:val="22"/>
        </w:rPr>
      </w:pPr>
      <w:r w:rsidRPr="00AE79BC">
        <w:rPr>
          <w:rFonts w:ascii="Palatino Linotype" w:eastAsia="Palatino Linotype" w:hAnsi="Palatino Linotype" w:cs="Palatino Linotype"/>
          <w:b/>
          <w:sz w:val="22"/>
          <w:szCs w:val="22"/>
        </w:rPr>
        <w:t>Acto impugnado</w:t>
      </w:r>
      <w:r w:rsidRPr="00AE79BC">
        <w:rPr>
          <w:rFonts w:ascii="Palatino Linotype" w:eastAsia="Palatino Linotype" w:hAnsi="Palatino Linotype" w:cs="Palatino Linotype"/>
          <w:sz w:val="22"/>
          <w:szCs w:val="22"/>
        </w:rPr>
        <w:t>:</w:t>
      </w:r>
    </w:p>
    <w:p w:rsidR="00E50370" w:rsidRPr="00AE79BC" w:rsidRDefault="00A874D8">
      <w:pPr>
        <w:tabs>
          <w:tab w:val="left" w:pos="8505"/>
        </w:tabs>
        <w:ind w:left="567" w:right="68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“Párrafo impugnación Por este medio, impugno la respuesta de la Secretaría de la Contraloría a través de la Unidad de Prevención de la Corrupción, mediante oficio de fecha 11 de julio de 2024, referente a la solicitud de información 00267/SECOGEM/IP/2024. En tal documento, que esta autoridad refiere que “la información solicitada no corresponde a información generada, poseída y administrada en esta Secretaría de la Contraloría [...]”. Sin embargo, esto es incorrecto conforme a los artículos 1, 23, 26, 27 y 47 (atribuciones de la Contraloría), fracción XIX, de la Ley Orgánica de la Administración Pública del Estado de México; así como según el artículo 17 del Reglamento Interno. La atribución que interesa, contenida en el artículo 47 de dicha Ley Orgánica, señala que la Secretaría de la Contraloría </w:t>
      </w:r>
      <w:proofErr w:type="spellStart"/>
      <w:r w:rsidRPr="00AE79BC">
        <w:rPr>
          <w:rFonts w:ascii="Palatino Linotype" w:eastAsia="Palatino Linotype" w:hAnsi="Palatino Linotype" w:cs="Palatino Linotype"/>
          <w:i/>
          <w:color w:val="000000"/>
          <w:sz w:val="22"/>
          <w:szCs w:val="22"/>
        </w:rPr>
        <w:t>podra</w:t>
      </w:r>
      <w:proofErr w:type="spellEnd"/>
      <w:r w:rsidRPr="00AE79BC">
        <w:rPr>
          <w:rFonts w:ascii="Palatino Linotype" w:eastAsia="Palatino Linotype" w:hAnsi="Palatino Linotype" w:cs="Palatino Linotype"/>
          <w:i/>
          <w:color w:val="000000"/>
          <w:sz w:val="22"/>
          <w:szCs w:val="22"/>
        </w:rPr>
        <w:t xml:space="preserve">: XIX. Conocer e investigar los actos, omisiones o conductas de los servidores públicos que puedan constituir responsabilidades administrativas, substanciar los procedimientos correspondientes en términos de la Ley de Responsabilidades Administrativas del Estado de México y Municipios, por sí, o por conducto de los órganos internos de control que correspondan a cada área de la Administración Pública aplicando las sanciones en los casos que no sean de la competencia del Tribunal de Justicia Administrativa del Estado de México y cuando se trate de faltas administrativas graves, ejercer la acción de responsabilidad ante ese Tribunal, así como presentar las denuncias correspondientes ante la Fiscalía Especializada en Combate a la Corrupción y ante otras autoridades competentes, en términos de las disposiciones legales aplicables, así como realizar investigaciones, inspecciones y supervisiones, a través de acciones encubiertas y usuario simulado, para verificar la legalidad, honradez, eficiencia y oportunidad de la prestación del servicio público. La Secretaría podrá ejercer la facultad de atracción de aquellos </w:t>
      </w:r>
      <w:r w:rsidRPr="00AE79BC">
        <w:rPr>
          <w:rFonts w:ascii="Palatino Linotype" w:eastAsia="Palatino Linotype" w:hAnsi="Palatino Linotype" w:cs="Palatino Linotype"/>
          <w:i/>
          <w:color w:val="000000"/>
          <w:sz w:val="22"/>
          <w:szCs w:val="22"/>
        </w:rPr>
        <w:lastRenderedPageBreak/>
        <w:t xml:space="preserve">asuntos cuyo conocimiento corresponda a los órganos internos de control; Por otra parte, conforme al artículo 17 del Reglamento Interno, la Secretaría de la Contraloría, a través de la Dirección de Coordinación y Enlace de Órgano Interno de Control, puede “coordinar a los órganos internos de control en las dependencias y organismos auxiliares, en el cumplimiento de sus facultades”. Ahora bien, la solicitud que se formuló inquiere precisamente sobre denuncias presentadas contra personas servidoras públicas, por lo que es información que según las atribuciones conferidas por el marco normativo señalado, se encuentra en posesión de la Contraloría. Adicionalmente, es conveniente referir que la Secretaría de Gobernación del Estado de México, a través de la Titular de la Unidad de Transparencia, refirió en su respuesta a la solicitud de información 00483/SEGEGOB//IP/2024 (en la que se solicita la misma información), que: “[...] las instancias gubernamentales que pudieran contar con la información de su interés, son las Secretarías de Seguridad y de la Contraloría, ambas del Estado de México.” (VER ADJUNTO) Por lo expuesto, solicito a este órgano garante revocar la respuesta de la Secretaría de la Contraloría, solicitándole revisar la información que sí tiene a su disposición para atender la totalidad o parte de la información requerida” (Sic) </w:t>
      </w:r>
    </w:p>
    <w:p w:rsidR="00E50370" w:rsidRPr="00AE79BC" w:rsidRDefault="00E50370">
      <w:pPr>
        <w:ind w:left="567" w:right="963"/>
        <w:jc w:val="both"/>
        <w:rPr>
          <w:rFonts w:ascii="Palatino Linotype" w:eastAsia="Palatino Linotype" w:hAnsi="Palatino Linotype" w:cs="Palatino Linotype"/>
          <w:i/>
          <w:sz w:val="22"/>
          <w:szCs w:val="22"/>
        </w:rPr>
      </w:pPr>
    </w:p>
    <w:p w:rsidR="00E50370" w:rsidRPr="00AE79BC" w:rsidRDefault="00A874D8">
      <w:pPr>
        <w:numPr>
          <w:ilvl w:val="0"/>
          <w:numId w:val="1"/>
        </w:numPr>
        <w:ind w:right="963"/>
        <w:jc w:val="both"/>
        <w:rPr>
          <w:rFonts w:ascii="Palatino Linotype" w:eastAsia="Palatino Linotype" w:hAnsi="Palatino Linotype" w:cs="Palatino Linotype"/>
          <w:b/>
          <w:sz w:val="22"/>
          <w:szCs w:val="22"/>
        </w:rPr>
      </w:pPr>
      <w:r w:rsidRPr="00AE79BC">
        <w:rPr>
          <w:rFonts w:ascii="Palatino Linotype" w:eastAsia="Palatino Linotype" w:hAnsi="Palatino Linotype" w:cs="Palatino Linotype"/>
          <w:b/>
          <w:sz w:val="22"/>
          <w:szCs w:val="22"/>
        </w:rPr>
        <w:t>Razones o Motivos de Inconformidad:</w:t>
      </w:r>
    </w:p>
    <w:p w:rsidR="00E50370" w:rsidRPr="00AE79BC" w:rsidRDefault="00A874D8">
      <w:pPr>
        <w:ind w:left="567" w:right="963"/>
        <w:jc w:val="both"/>
        <w:rPr>
          <w:rFonts w:ascii="Palatino Linotype" w:eastAsia="Palatino Linotype" w:hAnsi="Palatino Linotype" w:cs="Palatino Linotype"/>
          <w:sz w:val="22"/>
          <w:szCs w:val="22"/>
        </w:rPr>
      </w:pPr>
      <w:r w:rsidRPr="00AE79BC">
        <w:rPr>
          <w:rFonts w:ascii="Palatino Linotype" w:eastAsia="Palatino Linotype" w:hAnsi="Palatino Linotype" w:cs="Palatino Linotype"/>
          <w:sz w:val="22"/>
          <w:szCs w:val="22"/>
        </w:rPr>
        <w:t>(No se manifestaron razones o motivos de inconformidad)</w:t>
      </w:r>
    </w:p>
    <w:p w:rsidR="00E50370" w:rsidRPr="00AE79BC" w:rsidRDefault="00E50370">
      <w:pPr>
        <w:ind w:left="567" w:right="963"/>
        <w:jc w:val="both"/>
        <w:rPr>
          <w:rFonts w:ascii="Palatino Linotype" w:eastAsia="Palatino Linotype" w:hAnsi="Palatino Linotype" w:cs="Palatino Linotype"/>
          <w:i/>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color w:val="000000"/>
        </w:rPr>
      </w:pPr>
      <w:r w:rsidRPr="00AE79BC">
        <w:rPr>
          <w:rFonts w:ascii="Palatino Linotype" w:eastAsia="Palatino Linotype" w:hAnsi="Palatino Linotype" w:cs="Palatino Linotype"/>
        </w:rPr>
        <w:t xml:space="preserve">Posteriormente, la Comisionada Ponente con fundamento en lo dispuesto por el artículo 185, fracción II, de la Ley de la materia, a través del acuerdo de admisión de fecha </w:t>
      </w:r>
      <w:r w:rsidRPr="00AE79BC">
        <w:rPr>
          <w:rFonts w:ascii="Palatino Linotype" w:eastAsia="Palatino Linotype" w:hAnsi="Palatino Linotype" w:cs="Palatino Linotype"/>
          <w:b/>
        </w:rPr>
        <w:t>siete de agosto de dos mil veinticuatro</w:t>
      </w:r>
      <w:r w:rsidRPr="00AE79BC">
        <w:rPr>
          <w:rFonts w:ascii="Palatino Linotype" w:eastAsia="Palatino Linotype" w:hAnsi="Palatino Linotype" w:cs="Palatino Linotype"/>
        </w:rPr>
        <w:t xml:space="preserve">, puso a disposición de las partes el expediente electrónico vía </w:t>
      </w:r>
      <w:r w:rsidRPr="00AE79BC">
        <w:rPr>
          <w:rFonts w:ascii="Palatino Linotype" w:eastAsia="Palatino Linotype" w:hAnsi="Palatino Linotype" w:cs="Palatino Linotype"/>
          <w:b/>
        </w:rPr>
        <w:t xml:space="preserve">SAIMEX </w:t>
      </w:r>
      <w:r w:rsidRPr="00AE79BC">
        <w:rPr>
          <w:rFonts w:ascii="Palatino Linotype" w:eastAsia="Palatino Linotype" w:hAnsi="Palatino Linotype" w:cs="Palatino Linotype"/>
        </w:rPr>
        <w:t xml:space="preserve">a efecto de que en un plazo máximo de siete días manifestara lo que a derecho conviniera, ofreciera pruebas y alegatos según corresponda al caso concreto, de esta forma para que el </w:t>
      </w:r>
      <w:r w:rsidRPr="00AE79BC">
        <w:rPr>
          <w:rFonts w:ascii="Palatino Linotype" w:eastAsia="Palatino Linotype" w:hAnsi="Palatino Linotype" w:cs="Palatino Linotype"/>
          <w:b/>
        </w:rPr>
        <w:t>SUJETO OBLIGADO</w:t>
      </w:r>
      <w:r w:rsidRPr="00AE79BC">
        <w:rPr>
          <w:rFonts w:ascii="Palatino Linotype" w:eastAsia="Palatino Linotype" w:hAnsi="Palatino Linotype" w:cs="Palatino Linotype"/>
        </w:rPr>
        <w:t xml:space="preserve"> presentará el informe justificado procedente. </w:t>
      </w:r>
    </w:p>
    <w:p w:rsidR="00E50370" w:rsidRPr="00AE79BC" w:rsidRDefault="00E50370">
      <w:pPr>
        <w:ind w:right="-28"/>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b/>
        </w:rPr>
      </w:pPr>
      <w:r w:rsidRPr="00AE79BC">
        <w:rPr>
          <w:rFonts w:ascii="Palatino Linotype" w:eastAsia="Palatino Linotype" w:hAnsi="Palatino Linotype" w:cs="Palatino Linotype"/>
        </w:rPr>
        <w:t xml:space="preserve">El ocho de agosto de dos mil veinticuatro, el </w:t>
      </w:r>
      <w:r w:rsidRPr="00AE79BC">
        <w:rPr>
          <w:rFonts w:ascii="Palatino Linotype" w:eastAsia="Palatino Linotype" w:hAnsi="Palatino Linotype" w:cs="Palatino Linotype"/>
          <w:b/>
        </w:rPr>
        <w:t>SUJETO OBLIGADO</w:t>
      </w:r>
      <w:r w:rsidRPr="00AE79BC">
        <w:rPr>
          <w:rFonts w:ascii="Palatino Linotype" w:eastAsia="Palatino Linotype" w:hAnsi="Palatino Linotype" w:cs="Palatino Linotype"/>
        </w:rPr>
        <w:t xml:space="preserve"> emitió el informe justificado correspondiente, a través del archivo electrónico denominado </w:t>
      </w:r>
      <w:r w:rsidRPr="00AE79BC">
        <w:rPr>
          <w:rFonts w:ascii="Palatino Linotype" w:eastAsia="Palatino Linotype" w:hAnsi="Palatino Linotype" w:cs="Palatino Linotype"/>
          <w:b/>
        </w:rPr>
        <w:t>“INFORME JUSTIFICADO 04663-2024_1.PDF</w:t>
      </w:r>
      <w:r w:rsidRPr="00AE79BC">
        <w:rPr>
          <w:rFonts w:ascii="Palatino Linotype" w:eastAsia="Palatino Linotype" w:hAnsi="Palatino Linotype" w:cs="Palatino Linotype"/>
        </w:rPr>
        <w:t xml:space="preserve"> </w:t>
      </w:r>
      <w:r w:rsidRPr="00AE79BC">
        <w:rPr>
          <w:rFonts w:ascii="Palatino Linotype" w:eastAsia="Palatino Linotype" w:hAnsi="Palatino Linotype" w:cs="Palatino Linotype"/>
          <w:b/>
        </w:rPr>
        <w:t>”</w:t>
      </w:r>
      <w:r w:rsidRPr="00AE79BC">
        <w:rPr>
          <w:rFonts w:ascii="Palatino Linotype" w:eastAsia="Palatino Linotype" w:hAnsi="Palatino Linotype" w:cs="Palatino Linotype"/>
        </w:rPr>
        <w:t>, mediante el cual,</w:t>
      </w:r>
      <w:r w:rsidRPr="00AE79BC">
        <w:rPr>
          <w:rFonts w:ascii="Palatino Linotype" w:eastAsia="Palatino Linotype" w:hAnsi="Palatino Linotype" w:cs="Palatino Linotype"/>
          <w:b/>
        </w:rPr>
        <w:t xml:space="preserve"> ratificó su respuesta</w:t>
      </w:r>
      <w:r w:rsidRPr="00AE79BC">
        <w:rPr>
          <w:rFonts w:ascii="Palatino Linotype" w:eastAsia="Palatino Linotype" w:hAnsi="Palatino Linotype" w:cs="Palatino Linotype"/>
        </w:rPr>
        <w:t>,</w:t>
      </w:r>
      <w:r w:rsidRPr="00AE79BC">
        <w:rPr>
          <w:rFonts w:ascii="Palatino Linotype" w:eastAsia="Palatino Linotype" w:hAnsi="Palatino Linotype" w:cs="Palatino Linotype"/>
          <w:b/>
        </w:rPr>
        <w:t xml:space="preserve"> </w:t>
      </w:r>
      <w:r w:rsidRPr="00AE79BC">
        <w:rPr>
          <w:rFonts w:ascii="Palatino Linotype" w:eastAsia="Palatino Linotype" w:hAnsi="Palatino Linotype" w:cs="Palatino Linotype"/>
        </w:rPr>
        <w:t>en los siguientes términos:</w:t>
      </w:r>
    </w:p>
    <w:p w:rsidR="00E50370" w:rsidRPr="00AE79BC" w:rsidRDefault="00A874D8">
      <w:pPr>
        <w:ind w:left="567" w:right="396"/>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lastRenderedPageBreak/>
        <w:t xml:space="preserve">“La Secretaria de la Contraloría es competente para conocer e investigar los actos, omisiones a conductas ce los servidores públicos que puedan constituir responsabilidades administrativas; y tal como se observa en la solicitado, los datos que el ciudadano requiere es sobre carpetas de investigación, a cual, el Diccionario panhispánico del español jurídico define coma el legajo a conjunto de actas que, en el sistema penal acusatorio, constituyen el registro de la investigación que realiza el Ministerio Público, con auxilia de la Policía y los peritos. Con lo anterior se aclara que se trata de dos ámbitos de competencia totalmente diferentes… ese fue el motivo del acuerdo de incompetencia notificado al ciudadano, incompetencia que esta autoridad reafirma… </w:t>
      </w:r>
    </w:p>
    <w:p w:rsidR="00E50370" w:rsidRPr="00AE79BC" w:rsidRDefault="00A874D8">
      <w:pPr>
        <w:ind w:left="567" w:right="396"/>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t xml:space="preserve">Por lo que hace al punto 2 de la solicitud…el recurrente requiere información sobre carpetas de investigación ya definidas en el párrafo anterior y, sobre averiguaciones previas; una averiguación previa, de acuerdo con el Diccionario panhispánico del español jurídico, es el conjunto de diligencias y actuaciones que lleva a cabo la autoridad administrativa denominada Ministerio Público, para que, en cumplimiento de la facultad derivada del </w:t>
      </w:r>
      <w:proofErr w:type="spellStart"/>
      <w:r w:rsidRPr="00AE79BC">
        <w:rPr>
          <w:rFonts w:ascii="Palatino Linotype" w:eastAsia="Palatino Linotype" w:hAnsi="Palatino Linotype" w:cs="Palatino Linotype"/>
          <w:i/>
          <w:sz w:val="22"/>
          <w:szCs w:val="22"/>
        </w:rPr>
        <w:t>ius</w:t>
      </w:r>
      <w:proofErr w:type="spellEnd"/>
      <w:r w:rsidRPr="00AE79BC">
        <w:rPr>
          <w:rFonts w:ascii="Palatino Linotype" w:eastAsia="Palatino Linotype" w:hAnsi="Palatino Linotype" w:cs="Palatino Linotype"/>
          <w:i/>
          <w:sz w:val="22"/>
          <w:szCs w:val="22"/>
        </w:rPr>
        <w:t xml:space="preserve"> </w:t>
      </w:r>
      <w:proofErr w:type="spellStart"/>
      <w:r w:rsidRPr="00AE79BC">
        <w:rPr>
          <w:rFonts w:ascii="Palatino Linotype" w:eastAsia="Palatino Linotype" w:hAnsi="Palatino Linotype" w:cs="Palatino Linotype"/>
          <w:i/>
          <w:sz w:val="22"/>
          <w:szCs w:val="22"/>
        </w:rPr>
        <w:t>puniendi</w:t>
      </w:r>
      <w:proofErr w:type="spellEnd"/>
      <w:r w:rsidRPr="00AE79BC">
        <w:rPr>
          <w:rFonts w:ascii="Palatino Linotype" w:eastAsia="Palatino Linotype" w:hAnsi="Palatino Linotype" w:cs="Palatino Linotype"/>
          <w:i/>
          <w:sz w:val="22"/>
          <w:szCs w:val="22"/>
        </w:rPr>
        <w:t xml:space="preserve">, se pueda establecer la presencia de componentes suficientes que acrediten la existencia a no del conjunto de elementos objetivos de la correspondiente figura delictiva y que, </w:t>
      </w:r>
      <w:proofErr w:type="spellStart"/>
      <w:r w:rsidRPr="00AE79BC">
        <w:rPr>
          <w:rFonts w:ascii="Palatino Linotype" w:eastAsia="Palatino Linotype" w:hAnsi="Palatino Linotype" w:cs="Palatino Linotype"/>
          <w:i/>
          <w:sz w:val="22"/>
          <w:szCs w:val="22"/>
        </w:rPr>
        <w:t>así</w:t>
      </w:r>
      <w:proofErr w:type="spellEnd"/>
      <w:r w:rsidRPr="00AE79BC">
        <w:rPr>
          <w:rFonts w:ascii="Palatino Linotype" w:eastAsia="Palatino Linotype" w:hAnsi="Palatino Linotype" w:cs="Palatino Linotype"/>
          <w:i/>
          <w:sz w:val="22"/>
          <w:szCs w:val="22"/>
        </w:rPr>
        <w:t xml:space="preserve"> misma, permitan establecer la probable responsabilidad de una a varias personas en su perpetración para resolver jurídicamente si ha lugar a no a ejercitar la acción penal con base en la investigación realizada, materializando la pretensión punitiva del Estado.</w:t>
      </w:r>
    </w:p>
    <w:p w:rsidR="00E50370" w:rsidRPr="00AE79BC" w:rsidRDefault="00A874D8">
      <w:pPr>
        <w:ind w:left="567" w:right="396"/>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t>De los puntos números 3 y 6… ; de conformidad con la Ley Orgánica de la Administración Pública del Estado de México y el Reglamento Interior de la Secretaría de la Contraloría, este Sujeto Obligado no tiene la atribución de sancionar penalmente; la orientación se realizó a la Fiscalía General de Justicia del Estado de México ya que es el Órgano público autónomo, dotado de personalidad jurídica y patrimonio propio con autonomía presupuestal, técnica y de gestión, con capacidad para decidir sobre el ejercicio de su presupuesto, así como de los órganos que la integran, para el despacho de los asuntos que al Ministerio Público, la Policía de Investigación y a los Servicios Periciales le confieren la Constitución Política de los Estados Unidos Mexicanos, la Constitución Política del Estado Libre y Soberano de México, el Código Nacional de Procedimientos Penales, la presente Ley y las demás disposiciones jurídicas aplicables… Se reitera que la competencia que tiene este Sujeto Obligado es en materia de responsabilidad administrativas, por lo tanto la información concerniente a este punto no está en posesión de la Secretaría de la Contraloría y por to tanto, se orientó al particular, incompetencia que esta autoridad reafirma.</w:t>
      </w:r>
    </w:p>
    <w:p w:rsidR="00E50370" w:rsidRPr="00AE79BC" w:rsidRDefault="00A874D8">
      <w:pPr>
        <w:ind w:left="567" w:right="396"/>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t xml:space="preserve">Relativo a los puntos número 4 y 5… una vez más, el ciudadano refiere carpetas de investigación, se estima que ha quedado claro en el presente que la competencia para conocer de carpetas de investigación era de la Procuraduría General de Justicia del Estado de México, ahora Fiscalía General de Justicia del Estado de México; no obstante, en aras de que el solicitante pudiera obtener información, se le informó que la Secretaría de Seguridad también podía contar con la información </w:t>
      </w:r>
      <w:r w:rsidRPr="00AE79BC">
        <w:rPr>
          <w:rFonts w:ascii="Palatino Linotype" w:eastAsia="Palatino Linotype" w:hAnsi="Palatino Linotype" w:cs="Palatino Linotype"/>
          <w:i/>
          <w:sz w:val="22"/>
          <w:szCs w:val="22"/>
        </w:rPr>
        <w:lastRenderedPageBreak/>
        <w:t>que requería o proporcionarle los datos que obraran en su poder. Respecto a este punto, también se reafirma el acuerdo de incompetencia…” (Sic)</w:t>
      </w:r>
    </w:p>
    <w:p w:rsidR="00E50370" w:rsidRPr="00AE79BC" w:rsidRDefault="00E50370">
      <w:pPr>
        <w:pBdr>
          <w:top w:val="nil"/>
          <w:left w:val="nil"/>
          <w:bottom w:val="nil"/>
          <w:right w:val="nil"/>
          <w:between w:val="nil"/>
        </w:pBdr>
        <w:rPr>
          <w:rFonts w:ascii="Palatino Linotype" w:eastAsia="Palatino Linotype" w:hAnsi="Palatino Linotype" w:cs="Palatino Linotype"/>
          <w:color w:val="000000"/>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Por su parte, el </w:t>
      </w:r>
      <w:r w:rsidRPr="00AE79BC">
        <w:rPr>
          <w:rFonts w:ascii="Palatino Linotype" w:eastAsia="Palatino Linotype" w:hAnsi="Palatino Linotype" w:cs="Palatino Linotype"/>
          <w:b/>
        </w:rPr>
        <w:t xml:space="preserve">RECURRENTE </w:t>
      </w:r>
      <w:r w:rsidRPr="00AE79BC">
        <w:rPr>
          <w:rFonts w:ascii="Palatino Linotype" w:eastAsia="Palatino Linotype" w:hAnsi="Palatino Linotype" w:cs="Palatino Linotype"/>
        </w:rPr>
        <w:t>no realizó manifestaciones, ni ofreció pruebas o alegatos que a su derecho conviniera.</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El veinticinco de febrero de dos mil veinticinco, se notificó el acuerdo mediante el cual se amplió el plazo para emitir resolución por un periodo de quince días hábiles.</w:t>
      </w:r>
    </w:p>
    <w:p w:rsidR="00E50370" w:rsidRPr="00AE79BC" w:rsidRDefault="00E50370">
      <w:pPr>
        <w:pBdr>
          <w:top w:val="nil"/>
          <w:left w:val="nil"/>
          <w:bottom w:val="nil"/>
          <w:right w:val="nil"/>
          <w:between w:val="nil"/>
        </w:pBdr>
        <w:tabs>
          <w:tab w:val="left" w:pos="426"/>
        </w:tabs>
        <w:ind w:right="-28"/>
        <w:rPr>
          <w:rFonts w:ascii="Palatino Linotype" w:eastAsia="Palatino Linotype" w:hAnsi="Palatino Linotype" w:cs="Palatino Linotype"/>
          <w:color w:val="000000"/>
        </w:rPr>
      </w:pPr>
    </w:p>
    <w:p w:rsidR="00E50370" w:rsidRPr="00AE79BC" w:rsidRDefault="00A874D8">
      <w:pPr>
        <w:numPr>
          <w:ilvl w:val="0"/>
          <w:numId w:val="5"/>
        </w:numPr>
        <w:pBdr>
          <w:top w:val="nil"/>
          <w:left w:val="nil"/>
          <w:bottom w:val="nil"/>
          <w:right w:val="nil"/>
          <w:between w:val="nil"/>
        </w:pBdr>
        <w:tabs>
          <w:tab w:val="left" w:pos="426"/>
        </w:tabs>
        <w:spacing w:line="360" w:lineRule="auto"/>
        <w:ind w:left="0" w:right="-28" w:firstLine="0"/>
        <w:jc w:val="both"/>
        <w:rPr>
          <w:rFonts w:ascii="Palatino Linotype" w:eastAsia="Palatino Linotype" w:hAnsi="Palatino Linotype" w:cs="Palatino Linotype"/>
          <w:color w:val="000000"/>
        </w:rPr>
      </w:pPr>
      <w:r w:rsidRPr="00AE79BC">
        <w:rPr>
          <w:rFonts w:ascii="Palatino Linotype" w:eastAsia="Palatino Linotype" w:hAnsi="Palatino Linotype" w:cs="Palatino Linotype"/>
          <w:color w:val="000000"/>
        </w:rPr>
        <w:t>Este organismo garante no pasa por alto justificar, que el plazo para emitir resolución en el presente asunto encuentra justificación en el alto número de recursos de revisión recibidos, circunstancia atípica que ha rebasado las capacidades técnicas y humanas del personal encargado de la proyección de las resoluciones a dichos medios de impugnación.</w:t>
      </w:r>
    </w:p>
    <w:p w:rsidR="00E50370" w:rsidRPr="00AE79BC" w:rsidRDefault="00E50370">
      <w:pPr>
        <w:pBdr>
          <w:top w:val="nil"/>
          <w:left w:val="nil"/>
          <w:bottom w:val="nil"/>
          <w:right w:val="nil"/>
          <w:between w:val="nil"/>
        </w:pBdr>
        <w:ind w:right="-28"/>
        <w:rPr>
          <w:rFonts w:ascii="Palatino Linotype" w:eastAsia="Palatino Linotype" w:hAnsi="Palatino Linotype" w:cs="Palatino Linotype"/>
          <w:b/>
          <w:color w:val="000000"/>
          <w:u w:val="single"/>
        </w:rPr>
      </w:pPr>
    </w:p>
    <w:p w:rsidR="00E50370" w:rsidRPr="00AE79BC" w:rsidRDefault="00A874D8">
      <w:pPr>
        <w:numPr>
          <w:ilvl w:val="0"/>
          <w:numId w:val="5"/>
        </w:numPr>
        <w:pBdr>
          <w:top w:val="nil"/>
          <w:left w:val="nil"/>
          <w:bottom w:val="nil"/>
          <w:right w:val="nil"/>
          <w:between w:val="nil"/>
        </w:pBdr>
        <w:spacing w:line="360" w:lineRule="auto"/>
        <w:ind w:left="0" w:right="-28" w:hanging="11"/>
        <w:jc w:val="both"/>
        <w:rPr>
          <w:rFonts w:ascii="Palatino Linotype" w:eastAsia="Palatino Linotype" w:hAnsi="Palatino Linotype" w:cs="Palatino Linotype"/>
          <w:color w:val="000000"/>
        </w:rPr>
      </w:pPr>
      <w:r w:rsidRPr="00AE79BC">
        <w:rPr>
          <w:rFonts w:ascii="Palatino Linotype" w:eastAsia="Palatino Linotype" w:hAnsi="Palatino Linotype" w:cs="Palatino Linotype"/>
          <w:color w:val="000000"/>
        </w:rPr>
        <w:t>Por ello, es menester precisar que, si bien se ha excedido el plazo para resolver el presente medio de impugnación, de conformidad con la ley de la materia, el plazo para emitir resolución se encuentra justificado en los elementos para medir su razonabilidad de asuntos conforme a los parámetros establecidos por diversos órganos jurisdiccionales federales, aplicables también en procedimientos análogos, como el que nos ocupa.</w:t>
      </w:r>
    </w:p>
    <w:p w:rsidR="00E50370" w:rsidRPr="00AE79BC" w:rsidRDefault="00E50370">
      <w:pPr>
        <w:pBdr>
          <w:top w:val="nil"/>
          <w:left w:val="nil"/>
          <w:bottom w:val="nil"/>
          <w:right w:val="nil"/>
          <w:between w:val="nil"/>
        </w:pBdr>
        <w:ind w:right="-28"/>
        <w:rPr>
          <w:rFonts w:ascii="Palatino Linotype" w:eastAsia="Palatino Linotype" w:hAnsi="Palatino Linotype" w:cs="Palatino Linotype"/>
          <w:color w:val="000000"/>
        </w:rPr>
      </w:pPr>
    </w:p>
    <w:p w:rsidR="00E50370" w:rsidRPr="00AE79BC" w:rsidRDefault="00A874D8">
      <w:pPr>
        <w:numPr>
          <w:ilvl w:val="0"/>
          <w:numId w:val="5"/>
        </w:numPr>
        <w:pBdr>
          <w:top w:val="nil"/>
          <w:left w:val="nil"/>
          <w:bottom w:val="nil"/>
          <w:right w:val="nil"/>
          <w:between w:val="nil"/>
        </w:pBdr>
        <w:spacing w:line="360" w:lineRule="auto"/>
        <w:ind w:left="0" w:right="-28" w:firstLine="0"/>
        <w:jc w:val="both"/>
        <w:rPr>
          <w:rFonts w:ascii="Palatino Linotype" w:eastAsia="Palatino Linotype" w:hAnsi="Palatino Linotype" w:cs="Palatino Linotype"/>
          <w:color w:val="000000"/>
        </w:rPr>
      </w:pPr>
      <w:r w:rsidRPr="00AE79BC">
        <w:rPr>
          <w:rFonts w:ascii="Palatino Linotype" w:eastAsia="Palatino Linotype" w:hAnsi="Palatino Linotype" w:cs="Palatino Linotype"/>
          <w:color w:val="000000"/>
        </w:rPr>
        <w:t xml:space="preserve">Así, en términos de lo que establecen los artículos 8.1 y 25 de la Convención Americana sobre Derechos Humanos, los recursos deben ser sencillos y resolverse en el menor tiempo posible, tomando en consideración la dilación total del procedimiento; esto es, en un plazo razonable; en ese sentido, el legislador fijó los términos procesales en las leyes, de manera general, sin que pudiera prever la variada gama de casos que son resueltos por los órganos </w:t>
      </w:r>
      <w:r w:rsidRPr="00AE79BC">
        <w:rPr>
          <w:rFonts w:ascii="Palatino Linotype" w:eastAsia="Palatino Linotype" w:hAnsi="Palatino Linotype" w:cs="Palatino Linotype"/>
          <w:color w:val="000000"/>
        </w:rPr>
        <w:lastRenderedPageBreak/>
        <w:t>jurisdiccionales o cuasi jurisdiccionales, tanto por la complejidad de los hechos, como por el número de casos que conocen.</w:t>
      </w:r>
    </w:p>
    <w:p w:rsidR="00E50370" w:rsidRPr="00AE79BC" w:rsidRDefault="00E50370">
      <w:pPr>
        <w:pBdr>
          <w:top w:val="nil"/>
          <w:left w:val="nil"/>
          <w:bottom w:val="nil"/>
          <w:right w:val="nil"/>
          <w:between w:val="nil"/>
        </w:pBdr>
        <w:ind w:right="-28"/>
        <w:rPr>
          <w:rFonts w:ascii="Palatino Linotype" w:eastAsia="Palatino Linotype" w:hAnsi="Palatino Linotype" w:cs="Palatino Linotype"/>
          <w:color w:val="000000"/>
        </w:rPr>
      </w:pPr>
    </w:p>
    <w:p w:rsidR="00E50370" w:rsidRPr="00AE79BC" w:rsidRDefault="00A874D8">
      <w:pPr>
        <w:numPr>
          <w:ilvl w:val="0"/>
          <w:numId w:val="5"/>
        </w:numPr>
        <w:pBdr>
          <w:top w:val="nil"/>
          <w:left w:val="nil"/>
          <w:bottom w:val="nil"/>
          <w:right w:val="nil"/>
          <w:between w:val="nil"/>
        </w:pBdr>
        <w:spacing w:line="360" w:lineRule="auto"/>
        <w:ind w:left="0" w:right="-28" w:firstLine="0"/>
        <w:jc w:val="both"/>
        <w:rPr>
          <w:rFonts w:ascii="Palatino Linotype" w:eastAsia="Palatino Linotype" w:hAnsi="Palatino Linotype" w:cs="Palatino Linotype"/>
          <w:color w:val="000000"/>
        </w:rPr>
      </w:pPr>
      <w:r w:rsidRPr="00AE79BC">
        <w:rPr>
          <w:rFonts w:ascii="Palatino Linotype" w:eastAsia="Palatino Linotype" w:hAnsi="Palatino Linotype" w:cs="Palatino Linotype"/>
          <w:color w:val="000000"/>
        </w:rPr>
        <w:t>Por ello, excepcionalmente, si un asunto es resuelto con posterioridad a los plazos señalados por la norma debe analizarse la razonabilidad del tiempo necesario para su resolución, atentos a los siguientes criterios:</w:t>
      </w:r>
    </w:p>
    <w:p w:rsidR="00E50370" w:rsidRPr="00AE79BC" w:rsidRDefault="00A874D8">
      <w:pPr>
        <w:pBdr>
          <w:top w:val="nil"/>
          <w:left w:val="nil"/>
          <w:bottom w:val="nil"/>
          <w:right w:val="nil"/>
          <w:between w:val="nil"/>
        </w:pBdr>
        <w:ind w:left="567" w:right="963"/>
        <w:jc w:val="both"/>
        <w:rPr>
          <w:rFonts w:ascii="Palatino Linotype" w:eastAsia="Palatino Linotype" w:hAnsi="Palatino Linotype" w:cs="Palatino Linotype"/>
          <w:color w:val="000000"/>
          <w:sz w:val="22"/>
          <w:szCs w:val="22"/>
        </w:rPr>
      </w:pPr>
      <w:r w:rsidRPr="00AE79BC">
        <w:rPr>
          <w:rFonts w:ascii="Palatino Linotype" w:eastAsia="Palatino Linotype" w:hAnsi="Palatino Linotype" w:cs="Palatino Linotype"/>
          <w:color w:val="000000"/>
          <w:sz w:val="22"/>
          <w:szCs w:val="22"/>
        </w:rPr>
        <w:t>a) Complejidad del asunto: La complejidad de la prueba, la pluralidad de sujetos procesales, el tiempo transcurrido, las características y contexto del recurso.</w:t>
      </w:r>
    </w:p>
    <w:p w:rsidR="00E50370" w:rsidRPr="00AE79BC" w:rsidRDefault="00A874D8">
      <w:pPr>
        <w:pBdr>
          <w:top w:val="nil"/>
          <w:left w:val="nil"/>
          <w:bottom w:val="nil"/>
          <w:right w:val="nil"/>
          <w:between w:val="nil"/>
        </w:pBdr>
        <w:ind w:left="567" w:right="963"/>
        <w:jc w:val="both"/>
        <w:rPr>
          <w:rFonts w:ascii="Palatino Linotype" w:eastAsia="Palatino Linotype" w:hAnsi="Palatino Linotype" w:cs="Palatino Linotype"/>
          <w:color w:val="000000"/>
          <w:sz w:val="22"/>
          <w:szCs w:val="22"/>
        </w:rPr>
      </w:pPr>
      <w:r w:rsidRPr="00AE79BC">
        <w:rPr>
          <w:rFonts w:ascii="Palatino Linotype" w:eastAsia="Palatino Linotype" w:hAnsi="Palatino Linotype" w:cs="Palatino Linotype"/>
          <w:color w:val="000000"/>
          <w:sz w:val="22"/>
          <w:szCs w:val="22"/>
        </w:rPr>
        <w:t>b) Actividad Procesal del interesado: Acciones u omisiones del interesado.</w:t>
      </w:r>
    </w:p>
    <w:p w:rsidR="00E50370" w:rsidRPr="00AE79BC" w:rsidRDefault="00A874D8">
      <w:pPr>
        <w:pBdr>
          <w:top w:val="nil"/>
          <w:left w:val="nil"/>
          <w:bottom w:val="nil"/>
          <w:right w:val="nil"/>
          <w:between w:val="nil"/>
        </w:pBdr>
        <w:ind w:left="567" w:right="963"/>
        <w:jc w:val="both"/>
        <w:rPr>
          <w:rFonts w:ascii="Palatino Linotype" w:eastAsia="Palatino Linotype" w:hAnsi="Palatino Linotype" w:cs="Palatino Linotype"/>
          <w:color w:val="000000"/>
          <w:sz w:val="22"/>
          <w:szCs w:val="22"/>
        </w:rPr>
      </w:pPr>
      <w:r w:rsidRPr="00AE79BC">
        <w:rPr>
          <w:rFonts w:ascii="Palatino Linotype" w:eastAsia="Palatino Linotype" w:hAnsi="Palatino Linotype" w:cs="Palatino Linotype"/>
          <w:color w:val="000000"/>
          <w:sz w:val="22"/>
          <w:szCs w:val="22"/>
        </w:rPr>
        <w:t>c) Conducta de la Autoridad: Las Acciones u omisiones realizadas en el procedimiento. Así como si la autoridad actuó con la debida diligencia.</w:t>
      </w:r>
    </w:p>
    <w:p w:rsidR="00E50370" w:rsidRPr="00AE79BC" w:rsidRDefault="00A874D8">
      <w:pPr>
        <w:pBdr>
          <w:top w:val="nil"/>
          <w:left w:val="nil"/>
          <w:bottom w:val="nil"/>
          <w:right w:val="nil"/>
          <w:between w:val="nil"/>
        </w:pBdr>
        <w:ind w:left="567" w:right="963"/>
        <w:jc w:val="both"/>
        <w:rPr>
          <w:rFonts w:ascii="Palatino Linotype" w:eastAsia="Palatino Linotype" w:hAnsi="Palatino Linotype" w:cs="Palatino Linotype"/>
          <w:color w:val="000000"/>
          <w:sz w:val="22"/>
          <w:szCs w:val="22"/>
        </w:rPr>
      </w:pPr>
      <w:r w:rsidRPr="00AE79BC">
        <w:rPr>
          <w:rFonts w:ascii="Palatino Linotype" w:eastAsia="Palatino Linotype" w:hAnsi="Palatino Linotype" w:cs="Palatino Linotype"/>
          <w:color w:val="000000"/>
          <w:sz w:val="22"/>
          <w:szCs w:val="22"/>
        </w:rPr>
        <w:t>d) La afectación generada en la situación jurídica de la persona involucrada en el proceso: Violación a sus derechos humanos.</w:t>
      </w:r>
    </w:p>
    <w:p w:rsidR="00E50370" w:rsidRPr="00AE79BC" w:rsidRDefault="00E50370">
      <w:pPr>
        <w:pBdr>
          <w:top w:val="nil"/>
          <w:left w:val="nil"/>
          <w:bottom w:val="nil"/>
          <w:right w:val="nil"/>
          <w:between w:val="nil"/>
        </w:pBdr>
        <w:ind w:right="-28"/>
        <w:rPr>
          <w:rFonts w:ascii="Palatino Linotype" w:eastAsia="Palatino Linotype" w:hAnsi="Palatino Linotype" w:cs="Palatino Linotype"/>
          <w:color w:val="000000"/>
          <w:sz w:val="22"/>
          <w:szCs w:val="22"/>
        </w:rPr>
      </w:pPr>
    </w:p>
    <w:p w:rsidR="00E50370" w:rsidRPr="00AE79BC" w:rsidRDefault="00A874D8">
      <w:pPr>
        <w:numPr>
          <w:ilvl w:val="0"/>
          <w:numId w:val="5"/>
        </w:numPr>
        <w:pBdr>
          <w:top w:val="nil"/>
          <w:left w:val="nil"/>
          <w:bottom w:val="nil"/>
          <w:right w:val="nil"/>
          <w:between w:val="nil"/>
        </w:pBdr>
        <w:spacing w:line="360" w:lineRule="auto"/>
        <w:ind w:left="0" w:right="-28" w:firstLine="0"/>
        <w:jc w:val="both"/>
        <w:rPr>
          <w:rFonts w:ascii="Palatino Linotype" w:eastAsia="Palatino Linotype" w:hAnsi="Palatino Linotype" w:cs="Palatino Linotype"/>
          <w:color w:val="000000"/>
        </w:rPr>
      </w:pPr>
      <w:r w:rsidRPr="00AE79BC">
        <w:rPr>
          <w:rFonts w:ascii="Palatino Linotype" w:eastAsia="Palatino Linotype" w:hAnsi="Palatino Linotype" w:cs="Palatino Linotype"/>
          <w:color w:val="000000"/>
        </w:rPr>
        <w:t xml:space="preserve">De modo que, cuando se trate de un asunto excepcional, por alguna o todas las características mencionadas o bien, cuando el ingreso de asuntos al órgano jurisdiccional o cuasi jurisdiccional respectivo supere notoriamente al que podría considerarse normal, debe concluirse que es una excluyente de responsabilidad en relación con la actuación del funcionario, como ha acontecido en el caso que nos ocupa.  Argumento que encuentra sustento en la jurisprudencia </w:t>
      </w:r>
      <w:r w:rsidRPr="00AE79BC">
        <w:rPr>
          <w:rFonts w:ascii="Palatino Linotype" w:eastAsia="Palatino Linotype" w:hAnsi="Palatino Linotype" w:cs="Palatino Linotype"/>
          <w:b/>
          <w:color w:val="000000"/>
        </w:rPr>
        <w:t>P</w:t>
      </w:r>
      <w:proofErr w:type="gramStart"/>
      <w:r w:rsidRPr="00AE79BC">
        <w:rPr>
          <w:rFonts w:ascii="Palatino Linotype" w:eastAsia="Palatino Linotype" w:hAnsi="Palatino Linotype" w:cs="Palatino Linotype"/>
          <w:b/>
          <w:color w:val="000000"/>
        </w:rPr>
        <w:t>./</w:t>
      </w:r>
      <w:proofErr w:type="gramEnd"/>
      <w:r w:rsidRPr="00AE79BC">
        <w:rPr>
          <w:rFonts w:ascii="Palatino Linotype" w:eastAsia="Palatino Linotype" w:hAnsi="Palatino Linotype" w:cs="Palatino Linotype"/>
          <w:b/>
          <w:color w:val="000000"/>
        </w:rPr>
        <w:t xml:space="preserve">J. 32/92 emitida por el Pleno de la Suprema Corte de Justicia de la Nación </w:t>
      </w:r>
      <w:r w:rsidRPr="00AE79BC">
        <w:rPr>
          <w:rFonts w:ascii="Palatino Linotype" w:eastAsia="Palatino Linotype" w:hAnsi="Palatino Linotype" w:cs="Palatino Linotype"/>
          <w:b/>
        </w:rPr>
        <w:t>del rubro</w:t>
      </w:r>
      <w:r w:rsidRPr="00AE79BC">
        <w:rPr>
          <w:rFonts w:ascii="Palatino Linotype" w:eastAsia="Palatino Linotype" w:hAnsi="Palatino Linotype" w:cs="Palatino Linotype"/>
          <w:b/>
          <w:color w:val="000000"/>
        </w:rPr>
        <w:t xml:space="preserve"> “TÉRMINOS PROCESALES. PARA DETERMINAR SI UN FUNCIONARIO JUDICIAL ACTUÓ INDEBIDAMENTE POR NO RESPETARLOS SE DEBE ATENDER AL PRESUPUESTO QUE CONSIDERÓ EL LEGISLADOR AL FIJARLOS Y LAS CARACTERÍSTICAS DEL CASO.”, visible en la Gaceta del </w:t>
      </w:r>
      <w:r w:rsidRPr="00AE79BC">
        <w:rPr>
          <w:rFonts w:ascii="Palatino Linotype" w:eastAsia="Palatino Linotype" w:hAnsi="Palatino Linotype" w:cs="Palatino Linotype"/>
          <w:b/>
        </w:rPr>
        <w:t>Semanario</w:t>
      </w:r>
      <w:r w:rsidRPr="00AE79BC">
        <w:rPr>
          <w:rFonts w:ascii="Palatino Linotype" w:eastAsia="Palatino Linotype" w:hAnsi="Palatino Linotype" w:cs="Palatino Linotype"/>
          <w:b/>
          <w:color w:val="000000"/>
        </w:rPr>
        <w:t xml:space="preserve"> Judicial de la Federación con el registro digital 205635</w:t>
      </w:r>
      <w:r w:rsidRPr="00AE79BC">
        <w:rPr>
          <w:rFonts w:ascii="Palatino Linotype" w:eastAsia="Palatino Linotype" w:hAnsi="Palatino Linotype" w:cs="Palatino Linotype"/>
          <w:color w:val="000000"/>
        </w:rPr>
        <w:t>.</w:t>
      </w:r>
    </w:p>
    <w:p w:rsidR="00E50370" w:rsidRPr="00AE79BC" w:rsidRDefault="00E50370">
      <w:pPr>
        <w:pBdr>
          <w:top w:val="nil"/>
          <w:left w:val="nil"/>
          <w:bottom w:val="nil"/>
          <w:right w:val="nil"/>
          <w:between w:val="nil"/>
        </w:pBdr>
        <w:ind w:right="-28"/>
        <w:jc w:val="both"/>
        <w:rPr>
          <w:rFonts w:ascii="Palatino Linotype" w:eastAsia="Palatino Linotype" w:hAnsi="Palatino Linotype" w:cs="Palatino Linotype"/>
          <w:color w:val="000000"/>
        </w:rPr>
      </w:pPr>
    </w:p>
    <w:p w:rsidR="00E50370" w:rsidRPr="00AE79BC" w:rsidRDefault="00A874D8">
      <w:pPr>
        <w:numPr>
          <w:ilvl w:val="0"/>
          <w:numId w:val="5"/>
        </w:numPr>
        <w:pBdr>
          <w:top w:val="nil"/>
          <w:left w:val="nil"/>
          <w:bottom w:val="nil"/>
          <w:right w:val="nil"/>
          <w:between w:val="nil"/>
        </w:pBdr>
        <w:spacing w:line="360" w:lineRule="auto"/>
        <w:ind w:left="0" w:right="-28" w:firstLine="0"/>
        <w:jc w:val="both"/>
        <w:rPr>
          <w:rFonts w:ascii="Palatino Linotype" w:eastAsia="Palatino Linotype" w:hAnsi="Palatino Linotype" w:cs="Palatino Linotype"/>
          <w:color w:val="000000"/>
        </w:rPr>
      </w:pPr>
      <w:r w:rsidRPr="00AE79BC">
        <w:rPr>
          <w:rFonts w:ascii="Palatino Linotype" w:eastAsia="Palatino Linotype" w:hAnsi="Palatino Linotype" w:cs="Palatino Linotype"/>
          <w:color w:val="000000"/>
        </w:rPr>
        <w:lastRenderedPageBreak/>
        <w:t>Razones por las cuales cabe concluir que, la resolución al recurso de revisión se solventa hasta esta fecha, debido a que existe una excesiva carga de trabajo en desproporción a la capacidad de los recursos materiales y humanos con que cuenta este Instituto para atender la enorme demanda de usuarios que acuden para que se les garantice su Derecho de acceso a la información Pública y Protección de Datos Personales, aunado a la complejidad de los hechos a los que se refieren, así como al volumen del expediente, la extensión de los escritos y pruebas aportadas y desahogadas por las partes; lo que impide la tramitación de los recursos dentro de los términos legales previamente establecidos por la Ley, por tratarse de causas de fuerza mayor.</w:t>
      </w:r>
    </w:p>
    <w:p w:rsidR="00E50370" w:rsidRPr="00AE79BC" w:rsidRDefault="00A874D8">
      <w:pPr>
        <w:numPr>
          <w:ilvl w:val="0"/>
          <w:numId w:val="5"/>
        </w:numPr>
        <w:pBdr>
          <w:top w:val="nil"/>
          <w:left w:val="nil"/>
          <w:bottom w:val="nil"/>
          <w:right w:val="nil"/>
          <w:between w:val="nil"/>
        </w:pBdr>
        <w:spacing w:line="360" w:lineRule="auto"/>
        <w:ind w:left="0" w:right="-28" w:firstLine="0"/>
        <w:jc w:val="both"/>
        <w:rPr>
          <w:rFonts w:ascii="Palatino Linotype" w:eastAsia="Palatino Linotype" w:hAnsi="Palatino Linotype" w:cs="Palatino Linotype"/>
          <w:color w:val="000000"/>
        </w:rPr>
      </w:pPr>
      <w:r w:rsidRPr="00AE79BC">
        <w:rPr>
          <w:rFonts w:ascii="Palatino Linotype" w:eastAsia="Palatino Linotype" w:hAnsi="Palatino Linotype" w:cs="Palatino Linotype"/>
          <w:color w:val="000000"/>
        </w:rPr>
        <w:t>Al respecto, también son de considerar los criterios sostenidos por el Cuarto Tribunal Colegiado en Materia Administrativa del Primer Circuito, cuyos rubros y datos de identificación son los siguientes:</w:t>
      </w:r>
    </w:p>
    <w:p w:rsidR="00E50370" w:rsidRPr="00AE79BC" w:rsidRDefault="00A874D8">
      <w:pPr>
        <w:pBdr>
          <w:top w:val="nil"/>
          <w:left w:val="nil"/>
          <w:bottom w:val="nil"/>
          <w:right w:val="nil"/>
          <w:between w:val="nil"/>
        </w:pBdr>
        <w:ind w:left="567" w:right="539"/>
        <w:jc w:val="both"/>
        <w:rPr>
          <w:rFonts w:ascii="Palatino Linotype" w:eastAsia="Palatino Linotype" w:hAnsi="Palatino Linotype" w:cs="Palatino Linotype"/>
          <w:color w:val="000000"/>
          <w:sz w:val="22"/>
          <w:szCs w:val="22"/>
        </w:rPr>
      </w:pPr>
      <w:r w:rsidRPr="00AE79BC">
        <w:rPr>
          <w:rFonts w:ascii="Palatino Linotype" w:eastAsia="Palatino Linotype" w:hAnsi="Palatino Linotype" w:cs="Palatino Linotype"/>
          <w:color w:val="000000"/>
          <w:sz w:val="22"/>
          <w:szCs w:val="22"/>
        </w:rPr>
        <w:t>“PLAZO RAZONABLE PARA RESOLVER. DIMENSIÓN Y EFECTOS DE ESTE CONCEPTO CUANDO SE ADUCE EXCESIVA CARGA DE TRABAJO.” consultable en el Sem</w:t>
      </w:r>
      <w:r w:rsidRPr="00AE79BC">
        <w:rPr>
          <w:rFonts w:ascii="Palatino Linotype" w:eastAsia="Palatino Linotype" w:hAnsi="Palatino Linotype" w:cs="Palatino Linotype"/>
          <w:sz w:val="22"/>
          <w:szCs w:val="22"/>
        </w:rPr>
        <w:t>a</w:t>
      </w:r>
      <w:r w:rsidRPr="00AE79BC">
        <w:rPr>
          <w:rFonts w:ascii="Palatino Linotype" w:eastAsia="Palatino Linotype" w:hAnsi="Palatino Linotype" w:cs="Palatino Linotype"/>
          <w:color w:val="000000"/>
          <w:sz w:val="22"/>
          <w:szCs w:val="22"/>
        </w:rPr>
        <w:t>nario Judicial de la Federación y su gaceta, con el registro digital 2002351.</w:t>
      </w:r>
    </w:p>
    <w:p w:rsidR="00E50370" w:rsidRPr="00AE79BC" w:rsidRDefault="00E50370">
      <w:pPr>
        <w:pBdr>
          <w:top w:val="nil"/>
          <w:left w:val="nil"/>
          <w:bottom w:val="nil"/>
          <w:right w:val="nil"/>
          <w:between w:val="nil"/>
        </w:pBdr>
        <w:ind w:left="567" w:right="539"/>
        <w:jc w:val="both"/>
        <w:rPr>
          <w:rFonts w:ascii="Palatino Linotype" w:eastAsia="Palatino Linotype" w:hAnsi="Palatino Linotype" w:cs="Palatino Linotype"/>
          <w:color w:val="000000"/>
          <w:sz w:val="22"/>
          <w:szCs w:val="22"/>
        </w:rPr>
      </w:pPr>
    </w:p>
    <w:p w:rsidR="00E50370" w:rsidRPr="00AE79BC" w:rsidRDefault="00A874D8">
      <w:pPr>
        <w:pBdr>
          <w:top w:val="nil"/>
          <w:left w:val="nil"/>
          <w:bottom w:val="nil"/>
          <w:right w:val="nil"/>
          <w:between w:val="nil"/>
        </w:pBdr>
        <w:spacing w:after="240"/>
        <w:ind w:left="567" w:right="539"/>
        <w:jc w:val="both"/>
        <w:rPr>
          <w:rFonts w:ascii="Palatino Linotype" w:eastAsia="Palatino Linotype" w:hAnsi="Palatino Linotype" w:cs="Palatino Linotype"/>
          <w:color w:val="000000"/>
          <w:sz w:val="22"/>
          <w:szCs w:val="22"/>
        </w:rPr>
      </w:pPr>
      <w:r w:rsidRPr="00AE79BC">
        <w:rPr>
          <w:rFonts w:ascii="Palatino Linotype" w:eastAsia="Palatino Linotype" w:hAnsi="Palatino Linotype" w:cs="Palatino Linotype"/>
          <w:color w:val="000000"/>
          <w:sz w:val="22"/>
          <w:szCs w:val="22"/>
        </w:rPr>
        <w:t>PLAZO RAZONABLE PARA RESOLVER. CONCEPTO Y ELEMENTOS QUE LO INTEGRAN A LA LUZ DEL DERECHO INTERNACIONAL DE LOS DERECHOS HUMANOS.”, visible en el Sem</w:t>
      </w:r>
      <w:r w:rsidRPr="00AE79BC">
        <w:rPr>
          <w:rFonts w:ascii="Palatino Linotype" w:eastAsia="Palatino Linotype" w:hAnsi="Palatino Linotype" w:cs="Palatino Linotype"/>
          <w:sz w:val="22"/>
          <w:szCs w:val="22"/>
        </w:rPr>
        <w:t>a</w:t>
      </w:r>
      <w:r w:rsidRPr="00AE79BC">
        <w:rPr>
          <w:rFonts w:ascii="Palatino Linotype" w:eastAsia="Palatino Linotype" w:hAnsi="Palatino Linotype" w:cs="Palatino Linotype"/>
          <w:color w:val="000000"/>
          <w:sz w:val="22"/>
          <w:szCs w:val="22"/>
        </w:rPr>
        <w:t>nario Judicial de la Federación y su gaceta, con el registro digital 2002350.”</w:t>
      </w: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Por ello, este Organismo Garante comprometido con la tutela de los derechos humanos confiados, señala que este exceso de plazo legal para resolver el presente asunto resulta de carácter excepcional.</w:t>
      </w:r>
    </w:p>
    <w:p w:rsidR="00E50370" w:rsidRPr="00AE79BC" w:rsidRDefault="00E50370">
      <w:pPr>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lastRenderedPageBreak/>
        <w:t xml:space="preserve">La Comisionada Ponente decretó el cierre de instrucción mediante el acuerdo del cuatro de marzo de dos mil veinticinco. </w:t>
      </w:r>
    </w:p>
    <w:p w:rsidR="00E50370" w:rsidRPr="00AE79BC" w:rsidRDefault="00E50370">
      <w:pPr>
        <w:ind w:right="-28"/>
        <w:jc w:val="both"/>
        <w:rPr>
          <w:rFonts w:ascii="Palatino Linotype" w:eastAsia="Palatino Linotype" w:hAnsi="Palatino Linotype" w:cs="Palatino Linotype"/>
        </w:rPr>
      </w:pPr>
    </w:p>
    <w:p w:rsidR="00E50370" w:rsidRPr="00AE79BC" w:rsidRDefault="00E50370">
      <w:pPr>
        <w:ind w:right="-28"/>
        <w:jc w:val="both"/>
        <w:rPr>
          <w:rFonts w:ascii="Palatino Linotype" w:eastAsia="Palatino Linotype" w:hAnsi="Palatino Linotype" w:cs="Palatino Linotype"/>
        </w:rPr>
      </w:pPr>
    </w:p>
    <w:p w:rsidR="00E50370" w:rsidRPr="00AE79BC" w:rsidRDefault="00A874D8">
      <w:pPr>
        <w:keepNext/>
        <w:keepLines/>
        <w:spacing w:line="360" w:lineRule="auto"/>
        <w:ind w:right="-28"/>
        <w:jc w:val="center"/>
        <w:rPr>
          <w:rFonts w:ascii="Palatino Linotype" w:eastAsia="Palatino Linotype" w:hAnsi="Palatino Linotype" w:cs="Palatino Linotype"/>
        </w:rPr>
      </w:pPr>
      <w:r w:rsidRPr="00AE79BC">
        <w:rPr>
          <w:rFonts w:ascii="Palatino Linotype" w:eastAsia="Palatino Linotype" w:hAnsi="Palatino Linotype" w:cs="Palatino Linotype"/>
          <w:b/>
        </w:rPr>
        <w:t xml:space="preserve">C O N S I D E R A N D O </w:t>
      </w:r>
    </w:p>
    <w:p w:rsidR="00E50370" w:rsidRPr="00AE79BC" w:rsidRDefault="00E50370">
      <w:pPr>
        <w:ind w:right="-28"/>
        <w:rPr>
          <w:rFonts w:ascii="Palatino Linotype" w:eastAsia="Palatino Linotype" w:hAnsi="Palatino Linotype" w:cs="Palatino Linotype"/>
        </w:rPr>
      </w:pPr>
    </w:p>
    <w:p w:rsidR="00E50370" w:rsidRPr="00AE79BC" w:rsidRDefault="00A874D8">
      <w:pPr>
        <w:keepNext/>
        <w:keepLines/>
        <w:spacing w:line="360" w:lineRule="auto"/>
        <w:ind w:right="-28"/>
        <w:rPr>
          <w:rFonts w:ascii="Palatino Linotype" w:eastAsia="Palatino Linotype" w:hAnsi="Palatino Linotype" w:cs="Palatino Linotype"/>
          <w:b/>
        </w:rPr>
      </w:pPr>
      <w:bookmarkStart w:id="3" w:name="_heading=h.3znysh7" w:colFirst="0" w:colLast="0"/>
      <w:bookmarkEnd w:id="3"/>
      <w:r w:rsidRPr="00AE79BC">
        <w:rPr>
          <w:rFonts w:ascii="Palatino Linotype" w:eastAsia="Palatino Linotype" w:hAnsi="Palatino Linotype" w:cs="Palatino Linotype"/>
          <w:b/>
        </w:rPr>
        <w:t>PRIMERO. De la competencia.</w:t>
      </w: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Este Instituto de Transparencia, Acceso a la Información Pública y Protección de Datos Personales del Estado de México y Municipios, es competente para conocer y resolver del presente recurso de conformidad con el artículo: 6, apartado A, de la Constitución Política de los Estados Unidos Mexicanos; 5, párrafos trigésimo, trigésimo primero y trigésimo segundo, fracciones I, II, III, IV y V de la Constitución Política del Estado Libre y Soberano de México; 1, 3 fracción I, 82, 97, 98, 119, 123, 124, 127, 128 y 133 Ley de Protección de Datos Personales en Posesión de Sujetos Obligados del Estado de México y Municipios; y 10, 7, 9 fracciones I y XXIV, y 11 del Reglamento Interior del Instituto de Transparencia, Acceso a la Información Pública y Protección de Datos Personales del Estado de México y Municipios.</w:t>
      </w:r>
    </w:p>
    <w:p w:rsidR="00E50370" w:rsidRPr="00AE79BC" w:rsidRDefault="00E50370">
      <w:pPr>
        <w:ind w:right="-28"/>
        <w:jc w:val="both"/>
        <w:rPr>
          <w:rFonts w:ascii="Palatino Linotype" w:eastAsia="Palatino Linotype" w:hAnsi="Palatino Linotype" w:cs="Palatino Linotype"/>
        </w:rPr>
      </w:pPr>
    </w:p>
    <w:p w:rsidR="00E50370" w:rsidRPr="00AE79BC" w:rsidRDefault="00A874D8">
      <w:pPr>
        <w:keepNext/>
        <w:keepLines/>
        <w:spacing w:line="360" w:lineRule="auto"/>
        <w:ind w:right="-28"/>
        <w:rPr>
          <w:rFonts w:ascii="Palatino Linotype" w:eastAsia="Palatino Linotype" w:hAnsi="Palatino Linotype" w:cs="Palatino Linotype"/>
          <w:b/>
        </w:rPr>
      </w:pPr>
      <w:bookmarkStart w:id="4" w:name="_heading=h.2et92p0" w:colFirst="0" w:colLast="0"/>
      <w:bookmarkEnd w:id="4"/>
      <w:r w:rsidRPr="00AE79BC">
        <w:rPr>
          <w:rFonts w:ascii="Palatino Linotype" w:eastAsia="Palatino Linotype" w:hAnsi="Palatino Linotype" w:cs="Palatino Linotype"/>
          <w:b/>
        </w:rPr>
        <w:t>SEGUNDO. De la oportunidad y procedencia.</w:t>
      </w: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El medio de impugnación fue presentado vía Plataforma Nacional de Transparencia vinculada al sistema de Acceso a la Información </w:t>
      </w:r>
      <w:r w:rsidRPr="00AE79BC">
        <w:rPr>
          <w:rFonts w:ascii="Palatino Linotype" w:eastAsia="Palatino Linotype" w:hAnsi="Palatino Linotype" w:cs="Palatino Linotype"/>
          <w:color w:val="000000"/>
        </w:rPr>
        <w:t>(SAIMEX)</w:t>
      </w:r>
      <w:r w:rsidRPr="00AE79BC">
        <w:rPr>
          <w:rFonts w:ascii="Palatino Linotype" w:eastAsia="Palatino Linotype" w:hAnsi="Palatino Linotype" w:cs="Palatino Linotype"/>
          <w:b/>
        </w:rPr>
        <w:t>,</w:t>
      </w:r>
      <w:r w:rsidRPr="00AE79BC">
        <w:rPr>
          <w:rFonts w:ascii="Palatino Linotype" w:eastAsia="Palatino Linotype" w:hAnsi="Palatino Linotype" w:cs="Palatino Linotype"/>
        </w:rPr>
        <w:t xml:space="preserve"> en el formato previamente aprobado para tal efecto y dentro del plazo legal de quince días hábiles otorgados; siendo así que el </w:t>
      </w:r>
      <w:r w:rsidRPr="00AE79BC">
        <w:rPr>
          <w:rFonts w:ascii="Palatino Linotype" w:eastAsia="Palatino Linotype" w:hAnsi="Palatino Linotype" w:cs="Palatino Linotype"/>
          <w:b/>
        </w:rPr>
        <w:t>SUJETO OBLIGADO</w:t>
      </w:r>
      <w:r w:rsidRPr="00AE79BC">
        <w:rPr>
          <w:rFonts w:ascii="Palatino Linotype" w:eastAsia="Palatino Linotype" w:hAnsi="Palatino Linotype" w:cs="Palatino Linotype"/>
        </w:rPr>
        <w:t xml:space="preserve"> entregó respuesta el once de julio de dos mil veinticuatro, de tal forma que el plazo para interponer el recurso de revisión transcurrió del doce de julio al quince de agosto de dos mil veinticuatro; lo anterior en razón de que, del veintidós de julio </w:t>
      </w:r>
      <w:r w:rsidRPr="00AE79BC">
        <w:rPr>
          <w:rFonts w:ascii="Palatino Linotype" w:eastAsia="Palatino Linotype" w:hAnsi="Palatino Linotype" w:cs="Palatino Linotype"/>
        </w:rPr>
        <w:lastRenderedPageBreak/>
        <w:t xml:space="preserve">al dos de agosto de dos mil veinticuatro fue periodo vacacional para este Instituto de Transparencia, Acceso a la Información Pública y Protección de Datos Personales del Estado de México y Municipios; en consecuencia, presentó su inconformidad el uno de agosto de dos mil veinticuatro, por lo que se encuentra dentro de los márgenes temporales previstos en el artículo 178 de la </w:t>
      </w:r>
      <w:r w:rsidRPr="00AE79BC">
        <w:rPr>
          <w:rFonts w:ascii="Palatino Linotype" w:eastAsia="Palatino Linotype" w:hAnsi="Palatino Linotype" w:cs="Palatino Linotype"/>
          <w:b/>
        </w:rPr>
        <w:t xml:space="preserve">Ley de Transparencia y Acceso a la Información Pública del Estado de México y Municipios </w:t>
      </w:r>
      <w:r w:rsidRPr="00AE79BC">
        <w:rPr>
          <w:rFonts w:ascii="Palatino Linotype" w:eastAsia="Palatino Linotype" w:hAnsi="Palatino Linotype" w:cs="Palatino Linotype"/>
        </w:rPr>
        <w:t>vigente.</w:t>
      </w:r>
    </w:p>
    <w:p w:rsidR="00E50370" w:rsidRPr="00AE79BC" w:rsidRDefault="00E50370">
      <w:pPr>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bookmarkStart w:id="5" w:name="_heading=h.3dy6vkm" w:colFirst="0" w:colLast="0"/>
      <w:bookmarkEnd w:id="5"/>
      <w:r w:rsidRPr="00AE79BC">
        <w:rPr>
          <w:rFonts w:ascii="Palatino Linotype" w:eastAsia="Palatino Linotype" w:hAnsi="Palatino Linotype" w:cs="Palatino Linotype"/>
        </w:rPr>
        <w:t>Por otro lado, el escrito contiene las formalidades previstas por el artículo 180 último párrafo de la Ley de la materia actual, por lo que resulta procedente que este Instituto de Transparencia, Acceso a la Información Pública y Protección de Datos Personales del Estado de México y Municipios, conozca y resuelva el presente recurso.</w:t>
      </w:r>
    </w:p>
    <w:p w:rsidR="00E50370" w:rsidRPr="00AE79BC" w:rsidRDefault="00E50370">
      <w:pPr>
        <w:ind w:right="-28"/>
        <w:jc w:val="both"/>
        <w:rPr>
          <w:rFonts w:ascii="Palatino Linotype" w:eastAsia="Palatino Linotype" w:hAnsi="Palatino Linotype" w:cs="Palatino Linotype"/>
        </w:rPr>
      </w:pPr>
    </w:p>
    <w:p w:rsidR="00E50370" w:rsidRPr="00AE79BC" w:rsidRDefault="00A874D8">
      <w:pPr>
        <w:spacing w:line="360" w:lineRule="auto"/>
        <w:ind w:right="-28"/>
        <w:jc w:val="both"/>
        <w:rPr>
          <w:rFonts w:ascii="Palatino Linotype" w:eastAsia="Palatino Linotype" w:hAnsi="Palatino Linotype" w:cs="Palatino Linotype"/>
          <w:b/>
        </w:rPr>
      </w:pPr>
      <w:r w:rsidRPr="00AE79BC">
        <w:rPr>
          <w:rFonts w:ascii="Palatino Linotype" w:eastAsia="Palatino Linotype" w:hAnsi="Palatino Linotype" w:cs="Palatino Linotype"/>
          <w:b/>
        </w:rPr>
        <w:t>TERCERO. Planteamiento de la Litis.</w:t>
      </w: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El </w:t>
      </w:r>
      <w:r w:rsidRPr="00AE79BC">
        <w:rPr>
          <w:rFonts w:ascii="Palatino Linotype" w:eastAsia="Palatino Linotype" w:hAnsi="Palatino Linotype" w:cs="Palatino Linotype"/>
          <w:b/>
        </w:rPr>
        <w:t>RECURRENTE</w:t>
      </w:r>
      <w:r w:rsidRPr="00AE79BC">
        <w:rPr>
          <w:rFonts w:ascii="Palatino Linotype" w:eastAsia="Palatino Linotype" w:hAnsi="Palatino Linotype" w:cs="Palatino Linotype"/>
        </w:rPr>
        <w:t xml:space="preserve"> solicitó lo siguiente: </w:t>
      </w:r>
      <w:r w:rsidRPr="00AE79BC">
        <w:rPr>
          <w:rFonts w:ascii="Palatino Linotype" w:eastAsia="Palatino Linotype" w:hAnsi="Palatino Linotype" w:cs="Palatino Linotype"/>
          <w:i/>
        </w:rPr>
        <w:t xml:space="preserve">“Favor de proporcionar la siguiente información: 1. ¿Cuántas </w:t>
      </w:r>
      <w:r w:rsidRPr="00AE79BC">
        <w:rPr>
          <w:rFonts w:ascii="Palatino Linotype" w:eastAsia="Palatino Linotype" w:hAnsi="Palatino Linotype" w:cs="Palatino Linotype"/>
          <w:b/>
          <w:i/>
        </w:rPr>
        <w:t>denuncias fueron presentadas</w:t>
      </w:r>
      <w:r w:rsidRPr="00AE79BC">
        <w:rPr>
          <w:rFonts w:ascii="Palatino Linotype" w:eastAsia="Palatino Linotype" w:hAnsi="Palatino Linotype" w:cs="Palatino Linotype"/>
          <w:i/>
        </w:rPr>
        <w:t xml:space="preserve"> en contra de personas servidoras públicas de la entonces Procuraduría General de Justicia del Estado de México por hechos acontecidos en los periodos de 2000 a 2010? </w:t>
      </w:r>
      <w:r w:rsidRPr="00AE79BC">
        <w:rPr>
          <w:rFonts w:ascii="Palatino Linotype" w:eastAsia="Palatino Linotype" w:hAnsi="Palatino Linotype" w:cs="Palatino Linotype"/>
          <w:b/>
          <w:i/>
        </w:rPr>
        <w:t>Desagregar por sexo, cargo, tipo de conducta, mes y año en que ocurrieron los hechos, lugar de los hechos (municipio y localidad), fecha de inicio de la investigación, fecha y forma de terminación de la</w:t>
      </w:r>
      <w:r w:rsidRPr="00AE79BC">
        <w:rPr>
          <w:rFonts w:ascii="Palatino Linotype" w:eastAsia="Palatino Linotype" w:hAnsi="Palatino Linotype" w:cs="Palatino Linotype"/>
          <w:i/>
        </w:rPr>
        <w:t xml:space="preserve"> </w:t>
      </w:r>
      <w:r w:rsidRPr="00AE79BC">
        <w:rPr>
          <w:rFonts w:ascii="Palatino Linotype" w:eastAsia="Palatino Linotype" w:hAnsi="Palatino Linotype" w:cs="Palatino Linotype"/>
          <w:b/>
          <w:i/>
          <w:u w:val="single"/>
        </w:rPr>
        <w:t>carpeta de investigación</w:t>
      </w:r>
      <w:r w:rsidRPr="00AE79BC">
        <w:rPr>
          <w:rFonts w:ascii="Palatino Linotype" w:eastAsia="Palatino Linotype" w:hAnsi="Palatino Linotype" w:cs="Palatino Linotype"/>
          <w:i/>
        </w:rPr>
        <w:t xml:space="preserve">. 2. ¿Cuántas </w:t>
      </w:r>
      <w:r w:rsidRPr="00AE79BC">
        <w:rPr>
          <w:rFonts w:ascii="Palatino Linotype" w:eastAsia="Palatino Linotype" w:hAnsi="Palatino Linotype" w:cs="Palatino Linotype"/>
          <w:b/>
          <w:i/>
        </w:rPr>
        <w:t>averiguaciones previas</w:t>
      </w:r>
      <w:r w:rsidRPr="00AE79BC">
        <w:rPr>
          <w:rFonts w:ascii="Palatino Linotype" w:eastAsia="Palatino Linotype" w:hAnsi="Palatino Linotype" w:cs="Palatino Linotype"/>
          <w:i/>
        </w:rPr>
        <w:t xml:space="preserve"> o </w:t>
      </w:r>
      <w:r w:rsidRPr="00AE79BC">
        <w:rPr>
          <w:rFonts w:ascii="Palatino Linotype" w:eastAsia="Palatino Linotype" w:hAnsi="Palatino Linotype" w:cs="Palatino Linotype"/>
          <w:b/>
          <w:i/>
        </w:rPr>
        <w:t>carpetas de investigación</w:t>
      </w:r>
      <w:r w:rsidRPr="00AE79BC">
        <w:rPr>
          <w:rFonts w:ascii="Palatino Linotype" w:eastAsia="Palatino Linotype" w:hAnsi="Palatino Linotype" w:cs="Palatino Linotype"/>
          <w:i/>
        </w:rPr>
        <w:t xml:space="preserve"> fueron </w:t>
      </w:r>
      <w:r w:rsidRPr="00AE79BC">
        <w:rPr>
          <w:rFonts w:ascii="Palatino Linotype" w:eastAsia="Palatino Linotype" w:hAnsi="Palatino Linotype" w:cs="Palatino Linotype"/>
          <w:b/>
          <w:i/>
        </w:rPr>
        <w:t xml:space="preserve">judicializadas </w:t>
      </w:r>
      <w:r w:rsidRPr="00AE79BC">
        <w:rPr>
          <w:rFonts w:ascii="Palatino Linotype" w:eastAsia="Palatino Linotype" w:hAnsi="Palatino Linotype" w:cs="Palatino Linotype"/>
          <w:i/>
        </w:rPr>
        <w:t xml:space="preserve">en casos que involucran a personas servidoras públicas de la entonces Procuraduría General de Justicia del Estado de México sobre hechos acontecidos en el periodo de 2000 a 2010? Desglosando los datos de dichas personas por sexo, cargo, tipo de hechos, tipo de conducta, mes y año en que ocurrieron los hechos, lugar de los hechos (municipio y localidad), </w:t>
      </w:r>
      <w:r w:rsidRPr="00AE79BC">
        <w:rPr>
          <w:rFonts w:ascii="Palatino Linotype" w:eastAsia="Palatino Linotype" w:hAnsi="Palatino Linotype" w:cs="Palatino Linotype"/>
          <w:b/>
          <w:i/>
        </w:rPr>
        <w:t xml:space="preserve">fecha </w:t>
      </w:r>
      <w:r w:rsidRPr="00AE79BC">
        <w:rPr>
          <w:rFonts w:ascii="Palatino Linotype" w:eastAsia="Palatino Linotype" w:hAnsi="Palatino Linotype" w:cs="Palatino Linotype"/>
          <w:b/>
          <w:i/>
        </w:rPr>
        <w:lastRenderedPageBreak/>
        <w:t>de judicialización</w:t>
      </w:r>
      <w:r w:rsidRPr="00AE79BC">
        <w:rPr>
          <w:rFonts w:ascii="Palatino Linotype" w:eastAsia="Palatino Linotype" w:hAnsi="Palatino Linotype" w:cs="Palatino Linotype"/>
          <w:i/>
        </w:rPr>
        <w:t xml:space="preserve"> y sentido de la última resolución. 3. ¿Cuántas personas servidoras públicas de la entonces Procuraduría General de Justicia del Estado de México fueron </w:t>
      </w:r>
      <w:r w:rsidRPr="00AE79BC">
        <w:rPr>
          <w:rFonts w:ascii="Palatino Linotype" w:eastAsia="Palatino Linotype" w:hAnsi="Palatino Linotype" w:cs="Palatino Linotype"/>
          <w:b/>
          <w:i/>
        </w:rPr>
        <w:t>sancionadas penalmente</w:t>
      </w:r>
      <w:r w:rsidRPr="00AE79BC">
        <w:rPr>
          <w:rFonts w:ascii="Palatino Linotype" w:eastAsia="Palatino Linotype" w:hAnsi="Palatino Linotype" w:cs="Palatino Linotype"/>
          <w:i/>
        </w:rPr>
        <w:t xml:space="preserve"> por hechos acontecidos en el periodo de 2000 a 2010? Desglosando los datos de dichas personas por sexo, cargo, tipo de hechos, tipo de conducta, mes y año en que ocurrieron los hechos, lugar de los hechos (municipio y localidad), fecha de inicio de la investigación, </w:t>
      </w:r>
      <w:r w:rsidRPr="00AE79BC">
        <w:rPr>
          <w:rFonts w:ascii="Palatino Linotype" w:eastAsia="Palatino Linotype" w:hAnsi="Palatino Linotype" w:cs="Palatino Linotype"/>
          <w:b/>
          <w:i/>
        </w:rPr>
        <w:t>fecha de judicialización</w:t>
      </w:r>
      <w:r w:rsidRPr="00AE79BC">
        <w:rPr>
          <w:rFonts w:ascii="Palatino Linotype" w:eastAsia="Palatino Linotype" w:hAnsi="Palatino Linotype" w:cs="Palatino Linotype"/>
          <w:i/>
        </w:rPr>
        <w:t xml:space="preserve">, sentido de la última resolución y sanción impuesta 4. ¿Cuántas </w:t>
      </w:r>
      <w:r w:rsidRPr="00AE79BC">
        <w:rPr>
          <w:rFonts w:ascii="Palatino Linotype" w:eastAsia="Palatino Linotype" w:hAnsi="Palatino Linotype" w:cs="Palatino Linotype"/>
          <w:b/>
          <w:i/>
        </w:rPr>
        <w:t>denuncias fueron presentadas en contra de personas servidoras públicas de la entonces Secretaría de Seguridad Ciudadana o Pública y de la Agencia de Seguridad Estatal, por hechos acontecidos en los periodos de 2000 a 2010? Desagregar por sexo, cargo, tipo de conducta, mes y año en que ocurrieron los hechos, lugar de los hechos (municipio y localidad), fecha de inicio de la investigación, fecha y forma de terminación de la carpeta de investigación.</w:t>
      </w:r>
      <w:r w:rsidRPr="00AE79BC">
        <w:rPr>
          <w:rFonts w:ascii="Palatino Linotype" w:eastAsia="Palatino Linotype" w:hAnsi="Palatino Linotype" w:cs="Palatino Linotype"/>
          <w:i/>
        </w:rPr>
        <w:t xml:space="preserve"> 5. ¿Cuántas </w:t>
      </w:r>
      <w:r w:rsidRPr="00AE79BC">
        <w:rPr>
          <w:rFonts w:ascii="Palatino Linotype" w:eastAsia="Palatino Linotype" w:hAnsi="Palatino Linotype" w:cs="Palatino Linotype"/>
          <w:b/>
          <w:i/>
        </w:rPr>
        <w:t>averiguaciones previas o carpetas de investigación fueron judicializadas en casos que involucran a personas servidoras públicas de la entonces Secretaría de Seguridad Ciudadana o Pública y de la Agencia de Seguridad Estatal,</w:t>
      </w:r>
      <w:r w:rsidRPr="00AE79BC">
        <w:rPr>
          <w:rFonts w:ascii="Palatino Linotype" w:eastAsia="Palatino Linotype" w:hAnsi="Palatino Linotype" w:cs="Palatino Linotype"/>
          <w:i/>
        </w:rPr>
        <w:t xml:space="preserve"> por hechos acontecidos en el periodo de 2000 a 2010? Desglosando los datos de dichas personas por sexo, cargo, tipo de hechos, tipo de conducta, mes y año en que ocurrieron los hechos, lugar de los hechos (municipio y localidad</w:t>
      </w:r>
      <w:r w:rsidRPr="00AE79BC">
        <w:rPr>
          <w:rFonts w:ascii="Palatino Linotype" w:eastAsia="Palatino Linotype" w:hAnsi="Palatino Linotype" w:cs="Palatino Linotype"/>
          <w:b/>
          <w:i/>
        </w:rPr>
        <w:t>), fecha de judicialización</w:t>
      </w:r>
      <w:r w:rsidRPr="00AE79BC">
        <w:rPr>
          <w:rFonts w:ascii="Palatino Linotype" w:eastAsia="Palatino Linotype" w:hAnsi="Palatino Linotype" w:cs="Palatino Linotype"/>
          <w:i/>
        </w:rPr>
        <w:t xml:space="preserve"> y sentido de la última resolución. 6. ¿Cuántas personas servidoras públicas de la entonces Secretaría de Seguridad Ciudadana o Pública y de la Agencia de Seguridad Estatal, fueron sancionadas penalmente por hechos acontecidos en el periodo de 2000 a 2010? Desglosando los datos de dichas personas por sexo, cargo, tipo de hechos, tipo de conducta, mes y año en que ocurrieron los hechos, lugar de los hechos (municipio y localidad), fecha de inicio de la investigación, fecha </w:t>
      </w:r>
      <w:r w:rsidRPr="00AE79BC">
        <w:rPr>
          <w:rFonts w:ascii="Palatino Linotype" w:eastAsia="Palatino Linotype" w:hAnsi="Palatino Linotype" w:cs="Palatino Linotype"/>
          <w:b/>
          <w:i/>
        </w:rPr>
        <w:t>de judicialización</w:t>
      </w:r>
      <w:r w:rsidRPr="00AE79BC">
        <w:rPr>
          <w:rFonts w:ascii="Palatino Linotype" w:eastAsia="Palatino Linotype" w:hAnsi="Palatino Linotype" w:cs="Palatino Linotype"/>
          <w:i/>
        </w:rPr>
        <w:t xml:space="preserve">, sentido de la última resolución y sanción impuesta (Sic) </w:t>
      </w:r>
    </w:p>
    <w:p w:rsidR="00E50370" w:rsidRPr="00AE79BC" w:rsidRDefault="00E50370">
      <w:pPr>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En respuesta, el </w:t>
      </w:r>
      <w:r w:rsidRPr="00AE79BC">
        <w:rPr>
          <w:rFonts w:ascii="Palatino Linotype" w:eastAsia="Palatino Linotype" w:hAnsi="Palatino Linotype" w:cs="Palatino Linotype"/>
          <w:b/>
        </w:rPr>
        <w:t xml:space="preserve">SUJETO OBLIGADO </w:t>
      </w:r>
      <w:r w:rsidRPr="00AE79BC">
        <w:rPr>
          <w:rFonts w:ascii="Palatino Linotype" w:eastAsia="Palatino Linotype" w:hAnsi="Palatino Linotype" w:cs="Palatino Linotype"/>
        </w:rPr>
        <w:t xml:space="preserve">informó su incompetencia para atender el requerimiento, asimismo, sugirió </w:t>
      </w:r>
      <w:r w:rsidRPr="00AE79BC">
        <w:rPr>
          <w:rFonts w:ascii="Palatino Linotype" w:eastAsia="Palatino Linotype" w:hAnsi="Palatino Linotype" w:cs="Palatino Linotype"/>
          <w:color w:val="000000"/>
        </w:rPr>
        <w:t>realizar su consulta a la Fiscalía General de Justicia del Estado de México (antes Procuraduría General de Justicia del Estado de México), quién podría ser el sujeto obligado competente para atender la solicitud de información</w:t>
      </w:r>
      <w:r w:rsidRPr="00AE79BC">
        <w:rPr>
          <w:rFonts w:ascii="Palatino Linotype" w:eastAsia="Palatino Linotype" w:hAnsi="Palatino Linotype" w:cs="Palatino Linotype"/>
        </w:rPr>
        <w:t xml:space="preserve">. Motivo de inconformidad del </w:t>
      </w:r>
      <w:r w:rsidRPr="00AE79BC">
        <w:rPr>
          <w:rFonts w:ascii="Palatino Linotype" w:eastAsia="Palatino Linotype" w:hAnsi="Palatino Linotype" w:cs="Palatino Linotype"/>
          <w:b/>
        </w:rPr>
        <w:t>RECURRENTE.</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En dichas condiciones, la </w:t>
      </w:r>
      <w:r w:rsidRPr="00AE79BC">
        <w:rPr>
          <w:rFonts w:ascii="Palatino Linotype" w:eastAsia="Palatino Linotype" w:hAnsi="Palatino Linotype" w:cs="Palatino Linotype"/>
          <w:i/>
        </w:rPr>
        <w:t>Litis</w:t>
      </w:r>
      <w:r w:rsidRPr="00AE79BC">
        <w:rPr>
          <w:rFonts w:ascii="Palatino Linotype" w:eastAsia="Palatino Linotype" w:hAnsi="Palatino Linotype" w:cs="Palatino Linotype"/>
        </w:rPr>
        <w:t xml:space="preserve"> a resolver en el presente recurso de revisión se circunscribe a determinar, qué, sí se actualiza la causal de procedencia prevista en el artículo </w:t>
      </w:r>
      <w:r w:rsidRPr="00AE79BC">
        <w:rPr>
          <w:rFonts w:ascii="Palatino Linotype" w:eastAsia="Palatino Linotype" w:hAnsi="Palatino Linotype" w:cs="Palatino Linotype"/>
          <w:b/>
        </w:rPr>
        <w:t>179, fracción IV</w:t>
      </w:r>
      <w:r w:rsidRPr="00AE79BC">
        <w:rPr>
          <w:rFonts w:ascii="Palatino Linotype" w:eastAsia="Palatino Linotype" w:hAnsi="Palatino Linotype" w:cs="Palatino Linotype"/>
        </w:rPr>
        <w:t xml:space="preserve"> de la Ley de Transparencia y Acceso a la Información Pública del Estado de México y Municipios</w:t>
      </w:r>
      <w:r w:rsidRPr="00AE79BC">
        <w:rPr>
          <w:rFonts w:ascii="Palatino Linotype" w:eastAsia="Palatino Linotype" w:hAnsi="Palatino Linotype" w:cs="Palatino Linotype"/>
          <w:b/>
        </w:rPr>
        <w:t>.</w:t>
      </w:r>
    </w:p>
    <w:p w:rsidR="00E50370" w:rsidRPr="00AE79BC" w:rsidRDefault="00E50370">
      <w:pPr>
        <w:ind w:right="-28"/>
        <w:jc w:val="both"/>
        <w:rPr>
          <w:rFonts w:ascii="Palatino Linotype" w:eastAsia="Palatino Linotype" w:hAnsi="Palatino Linotype" w:cs="Palatino Linotype"/>
        </w:rPr>
      </w:pPr>
    </w:p>
    <w:p w:rsidR="00E50370" w:rsidRPr="00AE79BC" w:rsidRDefault="00A874D8">
      <w:pPr>
        <w:pStyle w:val="Ttulo2"/>
        <w:spacing w:before="0" w:line="360" w:lineRule="auto"/>
        <w:ind w:right="-28"/>
        <w:rPr>
          <w:rFonts w:ascii="Palatino Linotype" w:eastAsia="Palatino Linotype" w:hAnsi="Palatino Linotype" w:cs="Palatino Linotype"/>
          <w:b/>
          <w:color w:val="000000"/>
          <w:sz w:val="24"/>
          <w:szCs w:val="24"/>
        </w:rPr>
      </w:pPr>
      <w:bookmarkStart w:id="6" w:name="_heading=h.tyjcwt" w:colFirst="0" w:colLast="0"/>
      <w:bookmarkEnd w:id="6"/>
      <w:r w:rsidRPr="00AE79BC">
        <w:rPr>
          <w:rFonts w:ascii="Palatino Linotype" w:eastAsia="Palatino Linotype" w:hAnsi="Palatino Linotype" w:cs="Palatino Linotype"/>
          <w:b/>
          <w:color w:val="000000"/>
          <w:sz w:val="24"/>
          <w:szCs w:val="24"/>
        </w:rPr>
        <w:t>CUARTO. Estudio y resolución del asunto.</w:t>
      </w: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El </w:t>
      </w:r>
      <w:r w:rsidRPr="00AE79BC">
        <w:rPr>
          <w:rFonts w:ascii="Palatino Linotype" w:eastAsia="Palatino Linotype" w:hAnsi="Palatino Linotype" w:cs="Palatino Linotype"/>
          <w:color w:val="000000"/>
        </w:rPr>
        <w:t xml:space="preserve">Derecho de Acceso a la Información Pública, es un derecho humano reconocido en el Pacto de Derechos Civiles y Políticos en su artículo 19.2; en la Convención Americana sobre Derechos Humanos en su artículo 13.1; en el artículo sexto de la Constitución Política de los Estados Unidos Mexicanos y en el artículo quinto de la </w:t>
      </w:r>
      <w:r w:rsidRPr="00AE79BC">
        <w:rPr>
          <w:rFonts w:ascii="Palatino Linotype" w:eastAsia="Palatino Linotype" w:hAnsi="Palatino Linotype" w:cs="Palatino Linotype"/>
        </w:rPr>
        <w:t>Particular</w:t>
      </w:r>
      <w:r w:rsidRPr="00AE79BC">
        <w:rPr>
          <w:rFonts w:ascii="Palatino Linotype" w:eastAsia="Palatino Linotype" w:hAnsi="Palatino Linotype" w:cs="Palatino Linotype"/>
          <w:color w:val="000000"/>
        </w:rPr>
        <w:t xml:space="preserve"> del Estado de México.</w:t>
      </w:r>
    </w:p>
    <w:p w:rsidR="00E50370" w:rsidRPr="00AE79BC" w:rsidRDefault="00E50370">
      <w:pPr>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color w:val="000000"/>
        </w:rPr>
        <w:t xml:space="preserve">Definiendo </w:t>
      </w:r>
      <w:r w:rsidRPr="00AE79BC">
        <w:rPr>
          <w:rFonts w:ascii="Palatino Linotype" w:eastAsia="Palatino Linotype" w:hAnsi="Palatino Linotype" w:cs="Palatino Linotype"/>
        </w:rPr>
        <w:t xml:space="preserve">el Derecho de Acceso a la Información Pública como: </w:t>
      </w:r>
      <w:r w:rsidRPr="00AE79BC">
        <w:rPr>
          <w:rFonts w:ascii="Palatino Linotype" w:eastAsia="Palatino Linotype" w:hAnsi="Palatino Linotype" w:cs="Palatino Linotype"/>
          <w:i/>
          <w:color w:val="000000"/>
        </w:rPr>
        <w:t xml:space="preserve">La igualdad de </w:t>
      </w:r>
      <w:r w:rsidRPr="00AE79BC">
        <w:rPr>
          <w:rFonts w:ascii="Palatino Linotype" w:eastAsia="Palatino Linotype" w:hAnsi="Palatino Linotype" w:cs="Palatino Linotype"/>
        </w:rPr>
        <w:t>oportunidades</w:t>
      </w:r>
      <w:r w:rsidRPr="00AE79BC">
        <w:rPr>
          <w:rFonts w:ascii="Palatino Linotype" w:eastAsia="Palatino Linotype" w:hAnsi="Palatino Linotype" w:cs="Palatino Linotype"/>
          <w:i/>
          <w:color w:val="000000"/>
        </w:rPr>
        <w:t xml:space="preserve"> para recibir, buscar e impartir información</w:t>
      </w:r>
      <w:r w:rsidRPr="00AE79BC">
        <w:rPr>
          <w:rFonts w:ascii="Palatino Linotype" w:eastAsia="Palatino Linotype" w:hAnsi="Palatino Linotype" w:cs="Palatino Linotype"/>
          <w:i/>
          <w:color w:val="000000"/>
          <w:vertAlign w:val="superscript"/>
        </w:rPr>
        <w:footnoteReference w:id="1"/>
      </w:r>
      <w:r w:rsidRPr="00AE79BC">
        <w:rPr>
          <w:rFonts w:ascii="Palatino Linotype" w:eastAsia="Palatino Linotype" w:hAnsi="Palatino Linotype" w:cs="Palatino Linotype"/>
          <w:i/>
          <w:color w:val="000000"/>
        </w:rPr>
        <w:t xml:space="preserve">en posesión de cualquier autoridad, entidad, órgano y organismo de los poderes Ejecutivo, Legislativo y Judicial, órganos autónomos, partidos políticos, fideicomisos y fondos públicos, así como de cualquier persona física, moral o sindicato </w:t>
      </w:r>
      <w:r w:rsidRPr="00AE79BC">
        <w:rPr>
          <w:rFonts w:ascii="Palatino Linotype" w:eastAsia="Palatino Linotype" w:hAnsi="Palatino Linotype" w:cs="Palatino Linotype"/>
          <w:i/>
          <w:color w:val="000000"/>
        </w:rPr>
        <w:lastRenderedPageBreak/>
        <w:t>que reciba y ejerza recursos públicos o realice actos de autoridad en el ámbito federal, estatal y municipal,</w:t>
      </w:r>
      <w:r w:rsidRPr="00AE79BC">
        <w:rPr>
          <w:rFonts w:ascii="Palatino Linotype" w:eastAsia="Palatino Linotype" w:hAnsi="Palatino Linotype" w:cs="Palatino Linotype"/>
          <w:i/>
          <w:color w:val="000000"/>
          <w:vertAlign w:val="superscript"/>
        </w:rPr>
        <w:footnoteReference w:id="2"/>
      </w:r>
      <w:r w:rsidRPr="00AE79BC">
        <w:rPr>
          <w:rFonts w:ascii="Palatino Linotype" w:eastAsia="Palatino Linotype" w:hAnsi="Palatino Linotype" w:cs="Palatino Linotype"/>
          <w:color w:val="000000"/>
        </w:rPr>
        <w:t>que se constituye como una herramienta fundamental para ejercer</w:t>
      </w:r>
      <w:r w:rsidRPr="00AE79BC">
        <w:rPr>
          <w:rFonts w:ascii="Palatino Linotype" w:eastAsia="Palatino Linotype" w:hAnsi="Palatino Linotype" w:cs="Palatino Linotype"/>
          <w:i/>
          <w:color w:val="000000"/>
        </w:rPr>
        <w:t xml:space="preserve"> el control democrático de las gestiones estatales, de forma tal que puedan cuestionar, indagar y considerar si se está dando un adecuado cumplimiento a las funciones públicas,</w:t>
      </w:r>
      <w:r w:rsidRPr="00AE79BC">
        <w:rPr>
          <w:rFonts w:ascii="Palatino Linotype" w:eastAsia="Palatino Linotype" w:hAnsi="Palatino Linotype" w:cs="Palatino Linotype"/>
          <w:i/>
          <w:color w:val="000000"/>
          <w:vertAlign w:val="superscript"/>
        </w:rPr>
        <w:footnoteReference w:id="3"/>
      </w:r>
      <w:r w:rsidRPr="00AE79BC">
        <w:rPr>
          <w:rFonts w:ascii="Palatino Linotype" w:eastAsia="Palatino Linotype" w:hAnsi="Palatino Linotype" w:cs="Palatino Linotype"/>
          <w:color w:val="000000"/>
        </w:rPr>
        <w:t>fomentando</w:t>
      </w:r>
      <w:r w:rsidRPr="00AE79BC">
        <w:rPr>
          <w:rFonts w:ascii="Palatino Linotype" w:eastAsia="Palatino Linotype" w:hAnsi="Palatino Linotype" w:cs="Palatino Linotype"/>
          <w:i/>
          <w:color w:val="000000"/>
        </w:rPr>
        <w:t xml:space="preserve"> la transparencia de las actividades estatales y </w:t>
      </w:r>
      <w:r w:rsidRPr="00AE79BC">
        <w:rPr>
          <w:rFonts w:ascii="Palatino Linotype" w:eastAsia="Palatino Linotype" w:hAnsi="Palatino Linotype" w:cs="Palatino Linotype"/>
          <w:color w:val="000000"/>
        </w:rPr>
        <w:t>promoviendo</w:t>
      </w:r>
      <w:r w:rsidRPr="00AE79BC">
        <w:rPr>
          <w:rFonts w:ascii="Palatino Linotype" w:eastAsia="Palatino Linotype" w:hAnsi="Palatino Linotype" w:cs="Palatino Linotype"/>
          <w:i/>
          <w:color w:val="000000"/>
        </w:rPr>
        <w:t xml:space="preserve"> la responsabilidad de los funcionarios sobre su gestión pública,</w:t>
      </w:r>
      <w:r w:rsidRPr="00AE79BC">
        <w:rPr>
          <w:rFonts w:ascii="Palatino Linotype" w:eastAsia="Palatino Linotype" w:hAnsi="Palatino Linotype" w:cs="Palatino Linotype"/>
          <w:i/>
          <w:color w:val="000000"/>
          <w:vertAlign w:val="superscript"/>
        </w:rPr>
        <w:footnoteReference w:id="4"/>
      </w:r>
      <w:r w:rsidRPr="00AE79BC">
        <w:rPr>
          <w:rFonts w:ascii="Palatino Linotype" w:eastAsia="Palatino Linotype" w:hAnsi="Palatino Linotype" w:cs="Palatino Linotype"/>
          <w:color w:val="000000"/>
        </w:rPr>
        <w:t>que permite</w:t>
      </w:r>
      <w:r w:rsidRPr="00AE79BC">
        <w:rPr>
          <w:rFonts w:ascii="Palatino Linotype" w:eastAsia="Palatino Linotype" w:hAnsi="Palatino Linotype" w:cs="Palatino Linotype"/>
          <w:i/>
          <w:color w:val="000000"/>
        </w:rPr>
        <w:t xml:space="preserve"> saber qué están haciendo los gobiernos por sus pueblos, sin lo cual la verdad languidecería y la participación en el gobierno permanecería fragmentada.</w:t>
      </w:r>
    </w:p>
    <w:p w:rsidR="00E50370" w:rsidRPr="00AE79BC" w:rsidRDefault="00E50370">
      <w:pPr>
        <w:spacing w:line="360" w:lineRule="auto"/>
        <w:ind w:left="644" w:right="-28"/>
        <w:jc w:val="both"/>
        <w:rPr>
          <w:rFonts w:ascii="Palatino Linotype" w:eastAsia="Palatino Linotype" w:hAnsi="Palatino Linotype" w:cs="Palatino Linotype"/>
          <w:i/>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color w:val="000000"/>
        </w:rPr>
        <w:t xml:space="preserve">En </w:t>
      </w:r>
      <w:r w:rsidRPr="00AE79BC">
        <w:rPr>
          <w:rFonts w:ascii="Palatino Linotype" w:eastAsia="Palatino Linotype" w:hAnsi="Palatino Linotype" w:cs="Palatino Linotype"/>
        </w:rPr>
        <w:t>México, además de los derechos, están reconocidas las garantías para su protección, en ese sentido el párrafo tercero de artículo primero de la Constitución Política de los Estados Unidos Mexicanos, dispone lo siguiente:</w:t>
      </w:r>
    </w:p>
    <w:p w:rsidR="00E50370" w:rsidRPr="00AE79BC" w:rsidRDefault="00E50370">
      <w:pPr>
        <w:ind w:right="-28"/>
        <w:jc w:val="both"/>
        <w:rPr>
          <w:rFonts w:ascii="Palatino Linotype" w:eastAsia="Palatino Linotype" w:hAnsi="Palatino Linotype" w:cs="Palatino Linotype"/>
        </w:rPr>
      </w:pPr>
    </w:p>
    <w:p w:rsidR="00E50370" w:rsidRPr="00AE79BC" w:rsidRDefault="00A874D8">
      <w:pPr>
        <w:ind w:left="567" w:right="963"/>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t>“</w:t>
      </w:r>
      <w:r w:rsidRPr="00AE79BC">
        <w:rPr>
          <w:rFonts w:ascii="Palatino Linotype" w:eastAsia="Palatino Linotype" w:hAnsi="Palatino Linotype" w:cs="Palatino Linotype"/>
          <w:b/>
          <w:i/>
          <w:sz w:val="22"/>
          <w:szCs w:val="22"/>
        </w:rPr>
        <w:t>Artículo 1.-</w:t>
      </w:r>
      <w:r w:rsidRPr="00AE79BC">
        <w:rPr>
          <w:rFonts w:ascii="Palatino Linotype" w:eastAsia="Palatino Linotype" w:hAnsi="Palatino Linotype" w:cs="Palatino Linotype"/>
          <w:i/>
          <w:sz w:val="22"/>
          <w:szCs w:val="22"/>
        </w:rPr>
        <w:t xml:space="preserve"> </w:t>
      </w:r>
    </w:p>
    <w:p w:rsidR="00E50370" w:rsidRPr="00AE79BC" w:rsidRDefault="00A874D8">
      <w:pPr>
        <w:ind w:left="567" w:right="963"/>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t>(…)</w:t>
      </w:r>
    </w:p>
    <w:p w:rsidR="00E50370" w:rsidRPr="00AE79BC" w:rsidRDefault="00A874D8">
      <w:pPr>
        <w:ind w:left="567" w:right="963"/>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t>Todas las</w:t>
      </w:r>
      <w:r w:rsidRPr="00AE79BC">
        <w:rPr>
          <w:rFonts w:ascii="Palatino Linotype" w:eastAsia="Palatino Linotype" w:hAnsi="Palatino Linotype" w:cs="Palatino Linotype"/>
          <w:sz w:val="22"/>
          <w:szCs w:val="22"/>
        </w:rPr>
        <w:t xml:space="preserve"> </w:t>
      </w:r>
      <w:r w:rsidRPr="00AE79BC">
        <w:rPr>
          <w:rFonts w:ascii="Palatino Linotype" w:eastAsia="Palatino Linotype" w:hAnsi="Palatino Linotype" w:cs="Palatino Linotype"/>
          <w:i/>
          <w:sz w:val="22"/>
          <w:szCs w:val="22"/>
        </w:rPr>
        <w:t>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términos que establezca la ley.</w:t>
      </w:r>
    </w:p>
    <w:p w:rsidR="00E50370" w:rsidRPr="00AE79BC" w:rsidRDefault="00A874D8">
      <w:pPr>
        <w:ind w:left="567" w:right="963"/>
        <w:jc w:val="both"/>
        <w:rPr>
          <w:rFonts w:ascii="Palatino Linotype" w:eastAsia="Palatino Linotype" w:hAnsi="Palatino Linotype" w:cs="Palatino Linotype"/>
          <w:sz w:val="22"/>
          <w:szCs w:val="22"/>
        </w:rPr>
      </w:pPr>
      <w:r w:rsidRPr="00AE79BC">
        <w:rPr>
          <w:rFonts w:ascii="Palatino Linotype" w:eastAsia="Palatino Linotype" w:hAnsi="Palatino Linotype" w:cs="Palatino Linotype"/>
          <w:i/>
          <w:sz w:val="22"/>
          <w:szCs w:val="22"/>
        </w:rPr>
        <w:t>(…)</w:t>
      </w:r>
      <w:r w:rsidRPr="00AE79BC">
        <w:rPr>
          <w:rFonts w:ascii="Palatino Linotype" w:eastAsia="Palatino Linotype" w:hAnsi="Palatino Linotype" w:cs="Palatino Linotype"/>
          <w:sz w:val="22"/>
          <w:szCs w:val="22"/>
        </w:rPr>
        <w:t>”</w:t>
      </w:r>
    </w:p>
    <w:p w:rsidR="00E50370" w:rsidRPr="00AE79BC" w:rsidRDefault="00E50370">
      <w:pPr>
        <w:ind w:right="539"/>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color w:val="000000"/>
        </w:rPr>
        <w:t xml:space="preserve">Por </w:t>
      </w:r>
      <w:r w:rsidRPr="00AE79BC">
        <w:rPr>
          <w:rFonts w:ascii="Palatino Linotype" w:eastAsia="Palatino Linotype" w:hAnsi="Palatino Linotype" w:cs="Palatino Linotype"/>
        </w:rPr>
        <w:t xml:space="preserve">lo anterior, se deduce que el Derecho de Acceso a la Información Pública es un Derecho Humano de Fuente Internacional y Constitucionalmente reconocido. Además del </w:t>
      </w:r>
      <w:r w:rsidRPr="00AE79BC">
        <w:rPr>
          <w:rFonts w:ascii="Palatino Linotype" w:eastAsia="Palatino Linotype" w:hAnsi="Palatino Linotype" w:cs="Palatino Linotype"/>
        </w:rPr>
        <w:lastRenderedPageBreak/>
        <w:t>derecho, también se reconocen garantías para su protección, lo que vincula con el mandato del párrafo tercero del mismo artículo.</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color w:val="000000"/>
        </w:rPr>
        <w:t xml:space="preserve">Así, </w:t>
      </w:r>
      <w:r w:rsidRPr="00AE79BC">
        <w:rPr>
          <w:rFonts w:ascii="Palatino Linotype" w:eastAsia="Palatino Linotype" w:hAnsi="Palatino Linotype" w:cs="Palatino Linotype"/>
        </w:rPr>
        <w:t>conforme a la Constitución Política de los Estado Unidos Mexicanos y la Constitución Política del Estado Libre y Soberano de México respectivamente, el cumplimiento de las garantías primarias, entendidas como obligaciones inmediatamente relacionadas con el Derecho de Acceso a la Información Pública, permiten que todas las autoridades, en el ámbito de sus atribuciones lo respeten, protejan y garanticen:</w:t>
      </w:r>
    </w:p>
    <w:p w:rsidR="00E50370" w:rsidRPr="00AE79BC" w:rsidRDefault="00A874D8">
      <w:pPr>
        <w:ind w:left="567" w:right="679"/>
        <w:jc w:val="center"/>
        <w:rPr>
          <w:rFonts w:ascii="Palatino Linotype" w:eastAsia="Palatino Linotype" w:hAnsi="Palatino Linotype" w:cs="Palatino Linotype"/>
          <w:b/>
          <w:i/>
          <w:sz w:val="22"/>
          <w:szCs w:val="22"/>
        </w:rPr>
      </w:pPr>
      <w:r w:rsidRPr="00AE79BC">
        <w:rPr>
          <w:rFonts w:ascii="Palatino Linotype" w:eastAsia="Palatino Linotype" w:hAnsi="Palatino Linotype" w:cs="Palatino Linotype"/>
          <w:b/>
          <w:i/>
          <w:sz w:val="22"/>
          <w:szCs w:val="22"/>
        </w:rPr>
        <w:t>Constitución Política de los Estados Unidos Mexicanos</w:t>
      </w:r>
    </w:p>
    <w:p w:rsidR="00E50370" w:rsidRPr="00AE79BC" w:rsidRDefault="00E50370">
      <w:pPr>
        <w:ind w:left="567" w:right="679"/>
        <w:jc w:val="center"/>
        <w:rPr>
          <w:rFonts w:ascii="Palatino Linotype" w:eastAsia="Palatino Linotype" w:hAnsi="Palatino Linotype" w:cs="Palatino Linotype"/>
          <w:b/>
          <w:i/>
          <w:sz w:val="22"/>
          <w:szCs w:val="22"/>
        </w:rPr>
      </w:pPr>
    </w:p>
    <w:p w:rsidR="00E50370" w:rsidRPr="00AE79BC" w:rsidRDefault="00A874D8">
      <w:pPr>
        <w:ind w:left="567" w:right="679"/>
        <w:jc w:val="center"/>
        <w:rPr>
          <w:rFonts w:ascii="Palatino Linotype" w:eastAsia="Palatino Linotype" w:hAnsi="Palatino Linotype" w:cs="Palatino Linotype"/>
          <w:b/>
          <w:i/>
          <w:sz w:val="22"/>
          <w:szCs w:val="22"/>
        </w:rPr>
      </w:pPr>
      <w:r w:rsidRPr="00AE79BC">
        <w:rPr>
          <w:rFonts w:ascii="Palatino Linotype" w:eastAsia="Palatino Linotype" w:hAnsi="Palatino Linotype" w:cs="Palatino Linotype"/>
          <w:b/>
          <w:i/>
          <w:sz w:val="22"/>
          <w:szCs w:val="22"/>
        </w:rPr>
        <w:t>“Artículo 6.</w:t>
      </w:r>
      <w:r w:rsidRPr="00AE79BC">
        <w:rPr>
          <w:rFonts w:ascii="Palatino Linotype" w:eastAsia="Palatino Linotype" w:hAnsi="Palatino Linotype" w:cs="Palatino Linotype"/>
          <w:i/>
          <w:sz w:val="22"/>
          <w:szCs w:val="22"/>
        </w:rPr>
        <w:t xml:space="preserve"> …</w:t>
      </w:r>
    </w:p>
    <w:p w:rsidR="00E50370" w:rsidRPr="00AE79BC" w:rsidRDefault="00A874D8">
      <w:pPr>
        <w:ind w:left="567" w:right="679"/>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t>…</w:t>
      </w:r>
    </w:p>
    <w:p w:rsidR="00E50370" w:rsidRPr="00AE79BC" w:rsidRDefault="00A874D8">
      <w:pPr>
        <w:ind w:left="567" w:right="679"/>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t>Para efectos de lo dispuesto en el presente artículo se observará lo siguiente:</w:t>
      </w:r>
    </w:p>
    <w:p w:rsidR="00E50370" w:rsidRPr="00AE79BC" w:rsidRDefault="00A874D8">
      <w:pPr>
        <w:ind w:left="567" w:right="679"/>
        <w:jc w:val="both"/>
        <w:rPr>
          <w:rFonts w:ascii="Palatino Linotype" w:eastAsia="Palatino Linotype" w:hAnsi="Palatino Linotype" w:cs="Palatino Linotype"/>
          <w:b/>
          <w:i/>
          <w:sz w:val="22"/>
          <w:szCs w:val="22"/>
        </w:rPr>
      </w:pPr>
      <w:r w:rsidRPr="00AE79BC">
        <w:rPr>
          <w:rFonts w:ascii="Palatino Linotype" w:eastAsia="Palatino Linotype" w:hAnsi="Palatino Linotype" w:cs="Palatino Linotype"/>
          <w:b/>
          <w:i/>
          <w:sz w:val="22"/>
          <w:szCs w:val="22"/>
        </w:rPr>
        <w:t>A</w:t>
      </w:r>
      <w:r w:rsidRPr="00AE79BC">
        <w:rPr>
          <w:rFonts w:ascii="Palatino Linotype" w:eastAsia="Palatino Linotype" w:hAnsi="Palatino Linotype" w:cs="Palatino Linotype"/>
          <w:i/>
          <w:sz w:val="22"/>
          <w:szCs w:val="22"/>
        </w:rPr>
        <w:t xml:space="preserve">. </w:t>
      </w:r>
      <w:r w:rsidRPr="00AE79BC">
        <w:rPr>
          <w:rFonts w:ascii="Palatino Linotype" w:eastAsia="Palatino Linotype" w:hAnsi="Palatino Linotype" w:cs="Palatino Linotype"/>
          <w:b/>
          <w:i/>
          <w:sz w:val="22"/>
          <w:szCs w:val="22"/>
        </w:rPr>
        <w:t>Para el ejercicio del derecho de acceso a la información</w:t>
      </w:r>
      <w:r w:rsidRPr="00AE79BC">
        <w:rPr>
          <w:rFonts w:ascii="Palatino Linotype" w:eastAsia="Palatino Linotype" w:hAnsi="Palatino Linotype" w:cs="Palatino Linotype"/>
          <w:i/>
          <w:sz w:val="22"/>
          <w:szCs w:val="22"/>
        </w:rPr>
        <w:t xml:space="preserve">, la Federación y </w:t>
      </w:r>
      <w:r w:rsidRPr="00AE79BC">
        <w:rPr>
          <w:rFonts w:ascii="Palatino Linotype" w:eastAsia="Palatino Linotype" w:hAnsi="Palatino Linotype" w:cs="Palatino Linotype"/>
          <w:b/>
          <w:i/>
          <w:sz w:val="22"/>
          <w:szCs w:val="22"/>
        </w:rPr>
        <w:t>las entidades federativas, en el ámbito de sus respectivas competencias, se regirán por los siguientes principios y bases:</w:t>
      </w:r>
    </w:p>
    <w:p w:rsidR="00E50370" w:rsidRPr="00AE79BC" w:rsidRDefault="00A874D8">
      <w:pPr>
        <w:ind w:left="567" w:right="679"/>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b/>
          <w:i/>
          <w:sz w:val="22"/>
          <w:szCs w:val="22"/>
        </w:rPr>
        <w:t xml:space="preserve">I. </w:t>
      </w:r>
      <w:r w:rsidRPr="00AE79BC">
        <w:rPr>
          <w:rFonts w:ascii="Palatino Linotype" w:eastAsia="Palatino Linotype" w:hAnsi="Palatino Linotype" w:cs="Palatino Linotype"/>
          <w:b/>
          <w:i/>
          <w:sz w:val="22"/>
          <w:szCs w:val="22"/>
        </w:rPr>
        <w:tab/>
        <w:t>Toda la información en posesión de cualquier</w:t>
      </w:r>
      <w:r w:rsidRPr="00AE79BC">
        <w:rPr>
          <w:rFonts w:ascii="Palatino Linotype" w:eastAsia="Palatino Linotype" w:hAnsi="Palatino Linotype" w:cs="Palatino Linotype"/>
          <w:i/>
          <w:sz w:val="22"/>
          <w:szCs w:val="22"/>
        </w:rPr>
        <w:t xml:space="preserve"> </w:t>
      </w:r>
      <w:r w:rsidRPr="00AE79BC">
        <w:rPr>
          <w:rFonts w:ascii="Palatino Linotype" w:eastAsia="Palatino Linotype" w:hAnsi="Palatino Linotype" w:cs="Palatino Linotype"/>
          <w:b/>
          <w:i/>
          <w:sz w:val="22"/>
          <w:szCs w:val="22"/>
        </w:rPr>
        <w:t>autoridad</w:t>
      </w:r>
      <w:r w:rsidRPr="00AE79BC">
        <w:rPr>
          <w:rFonts w:ascii="Palatino Linotype" w:eastAsia="Palatino Linotype" w:hAnsi="Palatino Linotype" w:cs="Palatino Linotype"/>
          <w:i/>
          <w:sz w:val="22"/>
          <w:szCs w:val="22"/>
        </w:rPr>
        <w:t xml:space="preserve">,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w:t>
      </w:r>
      <w:r w:rsidRPr="00AE79BC">
        <w:rPr>
          <w:rFonts w:ascii="Palatino Linotype" w:eastAsia="Palatino Linotype" w:hAnsi="Palatino Linotype" w:cs="Palatino Linotype"/>
          <w:b/>
          <w:i/>
          <w:sz w:val="22"/>
          <w:szCs w:val="22"/>
        </w:rPr>
        <w:t>municipal</w:t>
      </w:r>
      <w:r w:rsidRPr="00AE79BC">
        <w:rPr>
          <w:rFonts w:ascii="Palatino Linotype" w:eastAsia="Palatino Linotype" w:hAnsi="Palatino Linotype" w:cs="Palatino Linotype"/>
          <w:i/>
          <w:sz w:val="22"/>
          <w:szCs w:val="22"/>
        </w:rPr>
        <w:t xml:space="preserve">, </w:t>
      </w:r>
      <w:r w:rsidRPr="00AE79BC">
        <w:rPr>
          <w:rFonts w:ascii="Palatino Linotype" w:eastAsia="Palatino Linotype" w:hAnsi="Palatino Linotype" w:cs="Palatino Linotype"/>
          <w:b/>
          <w:i/>
          <w:sz w:val="22"/>
          <w:szCs w:val="22"/>
        </w:rPr>
        <w:t>es pública</w:t>
      </w:r>
      <w:r w:rsidRPr="00AE79BC">
        <w:rPr>
          <w:rFonts w:ascii="Palatino Linotype" w:eastAsia="Palatino Linotype" w:hAnsi="Palatino Linotype" w:cs="Palatino Linotype"/>
          <w:i/>
          <w:sz w:val="22"/>
          <w:szCs w:val="22"/>
        </w:rPr>
        <w:t xml:space="preserve"> y sólo podrá ser reservada temporalmente por razones de interés público y seguridad nacional, en los términos que fijen las leyes. </w:t>
      </w:r>
      <w:r w:rsidRPr="00AE79BC">
        <w:rPr>
          <w:rFonts w:ascii="Palatino Linotype" w:eastAsia="Palatino Linotype" w:hAnsi="Palatino Linotype" w:cs="Palatino Linotype"/>
          <w:b/>
          <w:i/>
          <w:sz w:val="22"/>
          <w:szCs w:val="22"/>
        </w:rPr>
        <w:t>En la interpretación de este derecho deberá prevalecer el principio de máxima publicidad. Los sujetos obligados deberán documentar todo acto que derive del ejercicio de sus facultades, competencias o funciones</w:t>
      </w:r>
      <w:r w:rsidRPr="00AE79BC">
        <w:rPr>
          <w:rFonts w:ascii="Palatino Linotype" w:eastAsia="Palatino Linotype" w:hAnsi="Palatino Linotype" w:cs="Palatino Linotype"/>
          <w:i/>
          <w:sz w:val="22"/>
          <w:szCs w:val="22"/>
        </w:rPr>
        <w:t>, la ley determinará los supuestos específicos bajo los cuales procederá la declaración de inexistencia de la información.”</w:t>
      </w:r>
    </w:p>
    <w:p w:rsidR="00E50370" w:rsidRPr="00AE79BC" w:rsidRDefault="00E50370">
      <w:pPr>
        <w:tabs>
          <w:tab w:val="left" w:pos="426"/>
          <w:tab w:val="left" w:pos="567"/>
        </w:tabs>
        <w:ind w:left="567" w:right="679"/>
        <w:jc w:val="both"/>
        <w:rPr>
          <w:rFonts w:ascii="Palatino Linotype" w:eastAsia="Palatino Linotype" w:hAnsi="Palatino Linotype" w:cs="Palatino Linotype"/>
          <w:color w:val="000000"/>
          <w:sz w:val="22"/>
          <w:szCs w:val="22"/>
        </w:rPr>
      </w:pPr>
    </w:p>
    <w:p w:rsidR="00E50370" w:rsidRPr="00AE79BC" w:rsidRDefault="00A874D8">
      <w:pPr>
        <w:ind w:left="567" w:right="679"/>
        <w:jc w:val="center"/>
        <w:rPr>
          <w:rFonts w:ascii="Palatino Linotype" w:eastAsia="Palatino Linotype" w:hAnsi="Palatino Linotype" w:cs="Palatino Linotype"/>
          <w:b/>
          <w:i/>
          <w:sz w:val="22"/>
          <w:szCs w:val="22"/>
        </w:rPr>
      </w:pPr>
      <w:r w:rsidRPr="00AE79BC">
        <w:rPr>
          <w:rFonts w:ascii="Palatino Linotype" w:eastAsia="Palatino Linotype" w:hAnsi="Palatino Linotype" w:cs="Palatino Linotype"/>
          <w:b/>
          <w:i/>
          <w:sz w:val="22"/>
          <w:szCs w:val="22"/>
        </w:rPr>
        <w:t>Constitución Política del Estado Libre y Soberano de México</w:t>
      </w:r>
    </w:p>
    <w:p w:rsidR="00E50370" w:rsidRPr="00AE79BC" w:rsidRDefault="00A874D8">
      <w:pPr>
        <w:ind w:left="567" w:right="679"/>
        <w:jc w:val="center"/>
        <w:rPr>
          <w:rFonts w:ascii="Palatino Linotype" w:eastAsia="Palatino Linotype" w:hAnsi="Palatino Linotype" w:cs="Palatino Linotype"/>
          <w:i/>
          <w:sz w:val="22"/>
          <w:szCs w:val="22"/>
        </w:rPr>
      </w:pPr>
      <w:r w:rsidRPr="00AE79BC">
        <w:rPr>
          <w:rFonts w:ascii="Palatino Linotype" w:eastAsia="Palatino Linotype" w:hAnsi="Palatino Linotype" w:cs="Palatino Linotype"/>
          <w:b/>
          <w:i/>
          <w:sz w:val="22"/>
          <w:szCs w:val="22"/>
        </w:rPr>
        <w:t>“Artículo 5</w:t>
      </w:r>
      <w:r w:rsidRPr="00AE79BC">
        <w:rPr>
          <w:rFonts w:ascii="Palatino Linotype" w:eastAsia="Palatino Linotype" w:hAnsi="Palatino Linotype" w:cs="Palatino Linotype"/>
          <w:i/>
          <w:sz w:val="22"/>
          <w:szCs w:val="22"/>
        </w:rPr>
        <w:t>.-…</w:t>
      </w:r>
    </w:p>
    <w:p w:rsidR="00E50370" w:rsidRPr="00AE79BC" w:rsidRDefault="00A874D8">
      <w:pPr>
        <w:ind w:left="567" w:right="679"/>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t>…</w:t>
      </w:r>
    </w:p>
    <w:p w:rsidR="00E50370" w:rsidRPr="00AE79BC" w:rsidRDefault="00A874D8">
      <w:pPr>
        <w:ind w:left="567" w:right="679"/>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b/>
          <w:i/>
          <w:sz w:val="22"/>
          <w:szCs w:val="22"/>
        </w:rPr>
        <w:lastRenderedPageBreak/>
        <w:t>El derecho a la información será garantizado por el Estado. La ley establecerá las previsiones que permitan asegurar la protección, el respeto y la difusión de este derecho</w:t>
      </w:r>
      <w:r w:rsidRPr="00AE79BC">
        <w:rPr>
          <w:rFonts w:ascii="Palatino Linotype" w:eastAsia="Palatino Linotype" w:hAnsi="Palatino Linotype" w:cs="Palatino Linotype"/>
          <w:i/>
          <w:sz w:val="22"/>
          <w:szCs w:val="22"/>
        </w:rPr>
        <w:t>.</w:t>
      </w:r>
    </w:p>
    <w:p w:rsidR="00E50370" w:rsidRPr="00AE79BC" w:rsidRDefault="00A874D8">
      <w:pPr>
        <w:ind w:left="567" w:right="679"/>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w:t>
      </w:r>
    </w:p>
    <w:p w:rsidR="00E50370" w:rsidRPr="00AE79BC" w:rsidRDefault="00E50370">
      <w:pPr>
        <w:ind w:left="567" w:right="679"/>
        <w:jc w:val="both"/>
        <w:rPr>
          <w:rFonts w:ascii="Palatino Linotype" w:eastAsia="Palatino Linotype" w:hAnsi="Palatino Linotype" w:cs="Palatino Linotype"/>
          <w:i/>
          <w:sz w:val="22"/>
          <w:szCs w:val="22"/>
        </w:rPr>
      </w:pPr>
    </w:p>
    <w:p w:rsidR="00E50370" w:rsidRPr="00AE79BC" w:rsidRDefault="00A874D8">
      <w:pPr>
        <w:ind w:left="567" w:right="679"/>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b/>
          <w:i/>
          <w:sz w:val="22"/>
          <w:szCs w:val="22"/>
        </w:rPr>
        <w:t>Este derecho se regirá por los principios y bases siguientes</w:t>
      </w:r>
      <w:r w:rsidRPr="00AE79BC">
        <w:rPr>
          <w:rFonts w:ascii="Palatino Linotype" w:eastAsia="Palatino Linotype" w:hAnsi="Palatino Linotype" w:cs="Palatino Linotype"/>
          <w:i/>
          <w:sz w:val="22"/>
          <w:szCs w:val="22"/>
        </w:rPr>
        <w:t>:</w:t>
      </w:r>
    </w:p>
    <w:p w:rsidR="00E50370" w:rsidRPr="00AE79BC" w:rsidRDefault="00A874D8">
      <w:pPr>
        <w:ind w:left="567" w:right="679"/>
        <w:jc w:val="both"/>
        <w:rPr>
          <w:rFonts w:ascii="Palatino Linotype" w:eastAsia="Palatino Linotype" w:hAnsi="Palatino Linotype" w:cs="Palatino Linotype"/>
          <w:sz w:val="22"/>
          <w:szCs w:val="22"/>
        </w:rPr>
      </w:pPr>
      <w:r w:rsidRPr="00AE79BC">
        <w:rPr>
          <w:rFonts w:ascii="Palatino Linotype" w:eastAsia="Palatino Linotype" w:hAnsi="Palatino Linotype" w:cs="Palatino Linotype"/>
          <w:b/>
          <w:i/>
          <w:sz w:val="22"/>
          <w:szCs w:val="22"/>
        </w:rPr>
        <w:t>Toda la información en posesión de cualquier autoridad, entidad, órgano y organismos de los</w:t>
      </w:r>
      <w:r w:rsidRPr="00AE79BC">
        <w:rPr>
          <w:rFonts w:ascii="Palatino Linotype" w:eastAsia="Palatino Linotype" w:hAnsi="Palatino Linotype" w:cs="Palatino Linotype"/>
          <w:i/>
          <w:sz w:val="22"/>
          <w:szCs w:val="22"/>
        </w:rPr>
        <w:t xml:space="preserve"> Poderes Ejecutivo, Legislativo y Judicial, órganos autónomos, partidos políticos, fideicomisos y fondos públicos estatales y </w:t>
      </w:r>
      <w:r w:rsidRPr="00AE79BC">
        <w:rPr>
          <w:rFonts w:ascii="Palatino Linotype" w:eastAsia="Palatino Linotype" w:hAnsi="Palatino Linotype" w:cs="Palatino Linotype"/>
          <w:b/>
          <w:i/>
          <w:sz w:val="22"/>
          <w:szCs w:val="22"/>
        </w:rPr>
        <w:t>municipales</w:t>
      </w:r>
      <w:r w:rsidRPr="00AE79BC">
        <w:rPr>
          <w:rFonts w:ascii="Palatino Linotype" w:eastAsia="Palatino Linotype" w:hAnsi="Palatino Linotype" w:cs="Palatino Linotype"/>
          <w:i/>
          <w:sz w:val="22"/>
          <w:szCs w:val="22"/>
        </w:rPr>
        <w:t xml:space="preserve">, así como del gobierno y de la administración pública municipal y sus organismos descentralizados, asimismo de cualquier persona física, jurídica colectiva o sindicato que reciba y ejerza recursos públicos o realice actos de autoridad en el ámbito estatal y municipal, </w:t>
      </w:r>
      <w:r w:rsidRPr="00AE79BC">
        <w:rPr>
          <w:rFonts w:ascii="Palatino Linotype" w:eastAsia="Palatino Linotype" w:hAnsi="Palatino Linotype" w:cs="Palatino Linotype"/>
          <w:b/>
          <w:i/>
          <w:sz w:val="22"/>
          <w:szCs w:val="22"/>
        </w:rPr>
        <w:t>es pública</w:t>
      </w:r>
      <w:r w:rsidRPr="00AE79BC">
        <w:rPr>
          <w:rFonts w:ascii="Palatino Linotype" w:eastAsia="Palatino Linotype" w:hAnsi="Palatino Linotype" w:cs="Palatino Linotype"/>
          <w:i/>
          <w:sz w:val="22"/>
          <w:szCs w:val="22"/>
        </w:rPr>
        <w:t xml:space="preserve"> y sólo podrá ser reservada temporalmente por razones previstas en la Constitución Política de los Estados Unidos Mexicanos de interés público y seguridad, en los términos que fijen las leyes. </w:t>
      </w:r>
      <w:r w:rsidRPr="00AE79BC">
        <w:rPr>
          <w:rFonts w:ascii="Palatino Linotype" w:eastAsia="Palatino Linotype" w:hAnsi="Palatino Linotype" w:cs="Palatino Linotype"/>
          <w:b/>
          <w:i/>
          <w:sz w:val="22"/>
          <w:szCs w:val="22"/>
        </w:rPr>
        <w:t>En la interpretación de este derecho deberá prevalecer el principio de máxima publicidad</w:t>
      </w:r>
      <w:r w:rsidRPr="00AE79BC">
        <w:rPr>
          <w:rFonts w:ascii="Palatino Linotype" w:eastAsia="Palatino Linotype" w:hAnsi="Palatino Linotype" w:cs="Palatino Linotype"/>
          <w:i/>
          <w:sz w:val="22"/>
          <w:szCs w:val="22"/>
        </w:rPr>
        <w:t xml:space="preserve">. </w:t>
      </w:r>
      <w:r w:rsidRPr="00AE79BC">
        <w:rPr>
          <w:rFonts w:ascii="Palatino Linotype" w:eastAsia="Palatino Linotype" w:hAnsi="Palatino Linotype" w:cs="Palatino Linotype"/>
          <w:b/>
          <w:i/>
          <w:sz w:val="22"/>
          <w:szCs w:val="22"/>
        </w:rPr>
        <w:t>Los sujetos obligados deberán documentar todo acto que derive del ejercicio de sus facultades, competencias o funciones</w:t>
      </w:r>
      <w:r w:rsidRPr="00AE79BC">
        <w:rPr>
          <w:rFonts w:ascii="Palatino Linotype" w:eastAsia="Palatino Linotype" w:hAnsi="Palatino Linotype" w:cs="Palatino Linotype"/>
          <w:i/>
          <w:sz w:val="22"/>
          <w:szCs w:val="22"/>
        </w:rPr>
        <w:t>, la ley determinará los supuestos específicos bajo los cuales procederá la declaración de inexistencia de la información.”</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color w:val="000000"/>
        </w:rPr>
        <w:t>De acuerdo a</w:t>
      </w:r>
      <w:r w:rsidRPr="00AE79BC">
        <w:rPr>
          <w:rFonts w:ascii="Palatino Linotype" w:eastAsia="Palatino Linotype" w:hAnsi="Palatino Linotype" w:cs="Palatino Linotype"/>
        </w:rPr>
        <w:t xml:space="preserve">l artículo 150 de la Ley de Transparencia del Estado, la solicitud es la garantía primaria del Derecho de Acceso a la Información, además, establece que se regirá </w:t>
      </w:r>
      <w:r w:rsidRPr="00AE79BC">
        <w:rPr>
          <w:rFonts w:ascii="Palatino Linotype" w:eastAsia="Palatino Linotype" w:hAnsi="Palatino Linotype" w:cs="Palatino Linotype"/>
          <w:i/>
        </w:rPr>
        <w:t>por los principios de simplicidad, rapidez gratuidad del procedimiento, auxilio y orientación a los particulares</w:t>
      </w:r>
      <w:r w:rsidRPr="00AE79BC">
        <w:rPr>
          <w:rFonts w:ascii="Palatino Linotype" w:eastAsia="Palatino Linotype" w:hAnsi="Palatino Linotype" w:cs="Palatino Linotype"/>
        </w:rPr>
        <w:t>, contemplando el derecho de las personas con discapacidad y hablantes de lengua indígena.</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color w:val="000000"/>
        </w:rPr>
        <w:t xml:space="preserve">El </w:t>
      </w:r>
      <w:r w:rsidRPr="00AE79BC">
        <w:rPr>
          <w:rFonts w:ascii="Palatino Linotype" w:eastAsia="Palatino Linotype" w:hAnsi="Palatino Linotype" w:cs="Palatino Linotype"/>
        </w:rPr>
        <w:t xml:space="preserve">Derecho de Acceso a la Información se garantiza y respeta oportunamente, y según lo que dispone la Ley, las </w:t>
      </w:r>
      <w:r w:rsidRPr="00AE79BC">
        <w:rPr>
          <w:rFonts w:ascii="Palatino Linotype" w:eastAsia="Palatino Linotype" w:hAnsi="Palatino Linotype" w:cs="Palatino Linotype"/>
          <w:i/>
        </w:rPr>
        <w:t>solicitudes de acceso a la información</w:t>
      </w:r>
      <w:r w:rsidRPr="00AE79BC">
        <w:rPr>
          <w:rFonts w:ascii="Palatino Linotype" w:eastAsia="Palatino Linotype" w:hAnsi="Palatino Linotype" w:cs="Palatino Linotype"/>
        </w:rPr>
        <w:t>.</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color w:val="000000"/>
        </w:rPr>
        <w:lastRenderedPageBreak/>
        <w:t xml:space="preserve">Así </w:t>
      </w:r>
      <w:r w:rsidRPr="00AE79BC">
        <w:rPr>
          <w:rFonts w:ascii="Palatino Linotype" w:eastAsia="Palatino Linotype" w:hAnsi="Palatino Linotype" w:cs="Palatino Linotype"/>
        </w:rPr>
        <w:t xml:space="preserve">entonces, se procede analizar, en primer lugar, si el </w:t>
      </w:r>
      <w:r w:rsidRPr="00AE79BC">
        <w:rPr>
          <w:rFonts w:ascii="Palatino Linotype" w:eastAsia="Palatino Linotype" w:hAnsi="Palatino Linotype" w:cs="Palatino Linotype"/>
          <w:b/>
        </w:rPr>
        <w:t>SUJETO OBLIGADO</w:t>
      </w:r>
      <w:r w:rsidRPr="00AE79BC">
        <w:rPr>
          <w:rFonts w:ascii="Palatino Linotype" w:eastAsia="Palatino Linotype" w:hAnsi="Palatino Linotype" w:cs="Palatino Linotype"/>
        </w:rPr>
        <w:t xml:space="preserve"> al atender la solicitud de acceso a la información, satisfice la garantía primaria del derecho según lo dispuesto por el artículo 150 de la Ley de Transparencia y Acceso a la Información Pública del Estado de México y Municipios y en segundo término si cumplió con su deber de respetar y garantizar el derecho, entregando la información solicitada.</w:t>
      </w:r>
    </w:p>
    <w:p w:rsidR="00E50370" w:rsidRPr="00AE79BC" w:rsidRDefault="00E50370">
      <w:pPr>
        <w:spacing w:line="360" w:lineRule="auto"/>
        <w:ind w:left="644" w:right="-28"/>
        <w:jc w:val="both"/>
        <w:rPr>
          <w:rFonts w:ascii="Palatino Linotype" w:eastAsia="Palatino Linotype" w:hAnsi="Palatino Linotype" w:cs="Palatino Linotype"/>
        </w:rPr>
      </w:pPr>
    </w:p>
    <w:p w:rsidR="00E50370" w:rsidRPr="00AE79BC" w:rsidRDefault="00A874D8">
      <w:pPr>
        <w:keepNext/>
        <w:keepLines/>
        <w:numPr>
          <w:ilvl w:val="1"/>
          <w:numId w:val="2"/>
        </w:numPr>
        <w:spacing w:line="360" w:lineRule="auto"/>
        <w:ind w:left="567" w:right="-28"/>
        <w:jc w:val="both"/>
        <w:rPr>
          <w:rFonts w:ascii="Palatino Linotype" w:eastAsia="Palatino Linotype" w:hAnsi="Palatino Linotype" w:cs="Palatino Linotype"/>
          <w:b/>
        </w:rPr>
      </w:pPr>
      <w:bookmarkStart w:id="7" w:name="_heading=h.lnxbz9" w:colFirst="0" w:colLast="0"/>
      <w:bookmarkEnd w:id="7"/>
      <w:r w:rsidRPr="00AE79BC">
        <w:rPr>
          <w:rFonts w:ascii="Palatino Linotype" w:eastAsia="Palatino Linotype" w:hAnsi="Palatino Linotype" w:cs="Palatino Linotype"/>
          <w:b/>
        </w:rPr>
        <w:t>De la información solicitada y la respuesta del SUJETO OBLIGADO.</w:t>
      </w: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Derivado del Planteamiento de la Litis, se procede a analizar el contenido íntegro de las actuaciones que obran en el expediente electrónico y con ello, este Órgano Garante dicte la resolución correspondiente, tomando en consideración los elementos aportados por las partes y apegándose en todo momento al principio de máxima publicidad, de acuerdo con lo establecido en el artículo 8 de la Ley de Transparencia y Acceso a la Información Pública del Estado de México y Municipios.</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Ahora bien, del análisis de la solicitud de información motivo del recurso de revisión, el Particular requirió que se atendiera la siguiente solicitud: </w:t>
      </w:r>
    </w:p>
    <w:p w:rsidR="00E50370" w:rsidRPr="00AE79BC" w:rsidRDefault="00A874D8">
      <w:pPr>
        <w:pBdr>
          <w:top w:val="nil"/>
          <w:left w:val="nil"/>
          <w:bottom w:val="nil"/>
          <w:right w:val="nil"/>
          <w:between w:val="nil"/>
        </w:pBdr>
        <w:ind w:left="567" w:right="68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“Favor de proporcionar la siguiente información: 1. ¿Cuántas denuncias fueron presentadas en contra de personas servidoras públicas de la entonces Procuraduría General de Justicia del Estado de México por hechos acontecidos en los periodos de 2000 a 2010? Desagregar por sexo, cargo, tipo de conducta, mes y año en que ocurrieron los hechos, lugar de los hechos (municipio y localidad), fecha de inicio de la investigación, fecha y forma de terminación de la carpeta de investigación. 2. ¿Cuántas averiguaciones previas o carpetas de investigación fueron judicializadas en casos que involucran a personas servidoras públicas de la entonces Procuraduría General de Justicia del Estado de México sobre hechos acontecidos en el periodo de 2000 a 2010? Desglosando los datos de dichas personas por sexo, cargo, tipo de hechos, tipo de conducta, mes y año en que ocurrieron los hechos, lugar de los hechos (municipio y localidad), fecha de </w:t>
      </w:r>
      <w:r w:rsidRPr="00AE79BC">
        <w:rPr>
          <w:rFonts w:ascii="Palatino Linotype" w:eastAsia="Palatino Linotype" w:hAnsi="Palatino Linotype" w:cs="Palatino Linotype"/>
          <w:i/>
          <w:color w:val="000000"/>
          <w:sz w:val="22"/>
          <w:szCs w:val="22"/>
        </w:rPr>
        <w:lastRenderedPageBreak/>
        <w:t xml:space="preserve">judicialización y sentido de la última resolución. 3. ¿Cuántas personas servidoras públicas de la entonces Procuraduría General de Justicia del Estado de México fueron sancionadas penalmente por hechos acontecidos en el periodo de 2000 a 2010? Desglosando los datos de dichas personas por sexo, cargo, tipo de hechos, tipo de conducta, mes y año en que ocurrieron los hechos, lugar de los hechos (municipio y localidad), fecha de inicio de la investigación, fecha de judicialización, sentido de la última resolución y sanción impuesta 4. ¿Cuántas denuncias fueron presentadas en contra de personas servidoras públicas de la entonces Secretaría de Seguridad Ciudadana o Pública y de la Agencia de Seguridad Estatal, por hechos acontecidos en los periodos de 2000 a 2010? Desagregar por sexo, cargo, tipo de conducta, mes y año en que ocurrieron los hechos, lugar de los hechos (municipio y localidad), fecha de inicio de la investigación, fecha y forma de terminación de la carpeta de investigación. 5. ¿Cuántas averiguaciones previas o carpetas de investigación fueron judicializadas en casos que involucran a personas servidoras públicas de la entonces Secretaría de Seguridad Ciudadana o Pública y de la Agencia de Seguridad Estatal, por hechos acontecidos en el periodo de 2000 a 2010? Desglosando los datos de dichas personas por sexo, cargo, tipo de hechos, tipo de conducta, mes y año en que ocurrieron los hechos, lugar de los hechos (municipio y localidad), fecha de judicialización y sentido de la última resolución. 6. ¿Cuántas personas servidoras públicas de la entonces Secretaría de Seguridad Ciudadana o Pública y de la Agencia de Seguridad Estatal, fueron sancionadas penalmente por hechos acontecidos en el periodo de 2000 a 2010? Desglosando los datos de dichas personas por sexo, cargo, tipo de hechos, tipo de conducta, mes y año en que ocurrieron los hechos, lugar de los hechos (municipio y localidad), fecha de inicio de la investigación, fecha de judicialización, sentido de la última resolución y sanción impuesta (Sic) </w:t>
      </w:r>
    </w:p>
    <w:p w:rsidR="00E50370" w:rsidRPr="00AE79BC" w:rsidRDefault="00E50370">
      <w:pPr>
        <w:pBdr>
          <w:top w:val="nil"/>
          <w:left w:val="nil"/>
          <w:bottom w:val="nil"/>
          <w:right w:val="nil"/>
          <w:between w:val="nil"/>
        </w:pBdr>
        <w:ind w:left="567" w:right="680"/>
        <w:jc w:val="both"/>
        <w:rPr>
          <w:rFonts w:ascii="Palatino Linotype" w:eastAsia="Palatino Linotype" w:hAnsi="Palatino Linotype" w:cs="Palatino Linotype"/>
          <w:i/>
          <w:color w:val="000000"/>
          <w:sz w:val="22"/>
          <w:szCs w:val="22"/>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Por su parte, el </w:t>
      </w:r>
      <w:r w:rsidRPr="00AE79BC">
        <w:rPr>
          <w:rFonts w:ascii="Palatino Linotype" w:eastAsia="Palatino Linotype" w:hAnsi="Palatino Linotype" w:cs="Palatino Linotype"/>
          <w:b/>
        </w:rPr>
        <w:t>SUJETO OBLIGADO</w:t>
      </w:r>
      <w:r w:rsidRPr="00AE79BC">
        <w:rPr>
          <w:rFonts w:ascii="Palatino Linotype" w:eastAsia="Palatino Linotype" w:hAnsi="Palatino Linotype" w:cs="Palatino Linotype"/>
        </w:rPr>
        <w:t xml:space="preserve"> se declaró incompetente para atender lo requerido, orientando al Particular para que </w:t>
      </w:r>
      <w:r w:rsidRPr="00AE79BC">
        <w:rPr>
          <w:rFonts w:ascii="Palatino Linotype" w:eastAsia="Palatino Linotype" w:hAnsi="Palatino Linotype" w:cs="Palatino Linotype"/>
          <w:color w:val="000000"/>
        </w:rPr>
        <w:t xml:space="preserve">realizará su consulta a la Unidad de Transparencia de la Fiscalía General de Justicia del Estado de México (FGJEM), quien de manera enunciativa más no limitativa podría ser el Sujeto Obligado competente para atender su solicitud de información. </w:t>
      </w:r>
    </w:p>
    <w:p w:rsidR="00E50370" w:rsidRPr="00AE79BC" w:rsidRDefault="00E50370">
      <w:pPr>
        <w:pBdr>
          <w:top w:val="nil"/>
          <w:left w:val="nil"/>
          <w:bottom w:val="nil"/>
          <w:right w:val="nil"/>
          <w:between w:val="nil"/>
        </w:pBdr>
        <w:ind w:left="720"/>
        <w:rPr>
          <w:rFonts w:ascii="Palatino Linotype" w:eastAsia="Palatino Linotype" w:hAnsi="Palatino Linotype" w:cs="Palatino Linotype"/>
          <w:color w:val="000000"/>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En consecuencia, el </w:t>
      </w:r>
      <w:r w:rsidRPr="00AE79BC">
        <w:rPr>
          <w:rFonts w:ascii="Palatino Linotype" w:eastAsia="Palatino Linotype" w:hAnsi="Palatino Linotype" w:cs="Palatino Linotype"/>
          <w:b/>
        </w:rPr>
        <w:t xml:space="preserve">RECURRENTE </w:t>
      </w:r>
      <w:r w:rsidRPr="00AE79BC">
        <w:rPr>
          <w:rFonts w:ascii="Palatino Linotype" w:eastAsia="Palatino Linotype" w:hAnsi="Palatino Linotype" w:cs="Palatino Linotype"/>
        </w:rPr>
        <w:t xml:space="preserve">se inconforma por la declaratoria de incompetencia del </w:t>
      </w:r>
      <w:r w:rsidRPr="00AE79BC">
        <w:rPr>
          <w:rFonts w:ascii="Palatino Linotype" w:eastAsia="Palatino Linotype" w:hAnsi="Palatino Linotype" w:cs="Palatino Linotype"/>
          <w:b/>
        </w:rPr>
        <w:t>SUJETO OBLIGADO.</w:t>
      </w:r>
    </w:p>
    <w:p w:rsidR="00E50370" w:rsidRPr="00AE79BC" w:rsidRDefault="00E50370">
      <w:pPr>
        <w:pBdr>
          <w:top w:val="nil"/>
          <w:left w:val="nil"/>
          <w:bottom w:val="nil"/>
          <w:right w:val="nil"/>
          <w:between w:val="nil"/>
        </w:pBdr>
        <w:rPr>
          <w:rFonts w:ascii="Palatino Linotype" w:eastAsia="Palatino Linotype" w:hAnsi="Palatino Linotype" w:cs="Palatino Linotype"/>
          <w:color w:val="000000"/>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lastRenderedPageBreak/>
        <w:t>Expuesto lo anterior, resulta conveniente precisar que la Ley Orgánica de la Administración Pública del Estado de México, establece que auxiliará al Poder Ejecutivo del Estado las siguientes Dependencias:</w:t>
      </w:r>
    </w:p>
    <w:p w:rsidR="00E50370" w:rsidRPr="00AE79BC" w:rsidRDefault="00A874D8">
      <w:pPr>
        <w:pBdr>
          <w:top w:val="nil"/>
          <w:left w:val="nil"/>
          <w:bottom w:val="nil"/>
          <w:right w:val="nil"/>
          <w:between w:val="nil"/>
        </w:pBdr>
        <w:ind w:left="567"/>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“I. Secretaría General de Gobierno; </w:t>
      </w:r>
    </w:p>
    <w:p w:rsidR="00E50370" w:rsidRPr="00AE79BC" w:rsidRDefault="00A874D8">
      <w:pPr>
        <w:pBdr>
          <w:top w:val="nil"/>
          <w:left w:val="nil"/>
          <w:bottom w:val="nil"/>
          <w:right w:val="nil"/>
          <w:between w:val="nil"/>
        </w:pBdr>
        <w:ind w:left="567"/>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II. </w:t>
      </w:r>
      <w:r w:rsidRPr="00AE79BC">
        <w:rPr>
          <w:rFonts w:ascii="Palatino Linotype" w:eastAsia="Palatino Linotype" w:hAnsi="Palatino Linotype" w:cs="Palatino Linotype"/>
          <w:b/>
          <w:i/>
          <w:color w:val="000000"/>
          <w:sz w:val="22"/>
          <w:szCs w:val="22"/>
        </w:rPr>
        <w:t>Secretaría de Seguridad;</w:t>
      </w:r>
      <w:r w:rsidRPr="00AE79BC">
        <w:rPr>
          <w:rFonts w:ascii="Palatino Linotype" w:eastAsia="Palatino Linotype" w:hAnsi="Palatino Linotype" w:cs="Palatino Linotype"/>
          <w:i/>
          <w:color w:val="000000"/>
          <w:sz w:val="22"/>
          <w:szCs w:val="22"/>
        </w:rPr>
        <w:t xml:space="preserve"> </w:t>
      </w:r>
    </w:p>
    <w:p w:rsidR="00E50370" w:rsidRPr="00AE79BC" w:rsidRDefault="00A874D8">
      <w:pPr>
        <w:pBdr>
          <w:top w:val="nil"/>
          <w:left w:val="nil"/>
          <w:bottom w:val="nil"/>
          <w:right w:val="nil"/>
          <w:between w:val="nil"/>
        </w:pBdr>
        <w:ind w:left="567"/>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w:t>
      </w:r>
    </w:p>
    <w:p w:rsidR="00E50370" w:rsidRPr="00AE79BC" w:rsidRDefault="00A874D8">
      <w:pPr>
        <w:pBdr>
          <w:top w:val="nil"/>
          <w:left w:val="nil"/>
          <w:bottom w:val="nil"/>
          <w:right w:val="nil"/>
          <w:between w:val="nil"/>
        </w:pBdr>
        <w:ind w:left="567"/>
        <w:rPr>
          <w:rFonts w:ascii="Palatino Linotype" w:eastAsia="Palatino Linotype" w:hAnsi="Palatino Linotype" w:cs="Palatino Linotype"/>
          <w:b/>
          <w:i/>
          <w:color w:val="000000"/>
          <w:sz w:val="22"/>
          <w:szCs w:val="22"/>
        </w:rPr>
      </w:pPr>
      <w:r w:rsidRPr="00AE79BC">
        <w:rPr>
          <w:rFonts w:ascii="Palatino Linotype" w:eastAsia="Palatino Linotype" w:hAnsi="Palatino Linotype" w:cs="Palatino Linotype"/>
          <w:b/>
          <w:i/>
          <w:color w:val="000000"/>
          <w:sz w:val="22"/>
          <w:szCs w:val="22"/>
        </w:rPr>
        <w:t xml:space="preserve">XII. Secretaría de la Contraloría; </w:t>
      </w:r>
    </w:p>
    <w:p w:rsidR="00E50370" w:rsidRPr="00AE79BC" w:rsidRDefault="00A874D8">
      <w:pPr>
        <w:pBdr>
          <w:top w:val="nil"/>
          <w:left w:val="nil"/>
          <w:bottom w:val="nil"/>
          <w:right w:val="nil"/>
          <w:between w:val="nil"/>
        </w:pBdr>
        <w:ind w:left="567"/>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w:t>
      </w:r>
    </w:p>
    <w:p w:rsidR="00E50370" w:rsidRPr="00AE79BC" w:rsidRDefault="00E50370">
      <w:pPr>
        <w:rPr>
          <w:rFonts w:ascii="Palatino Linotype" w:eastAsia="Palatino Linotype" w:hAnsi="Palatino Linotype" w:cs="Palatino Linotype"/>
          <w:i/>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Así mismo, el Ordenamiento Legal mencionado en el párrafo que antecede, nos establece las atribuciones de la Secretaría de la Contraloría en su artículo 47, que a la letra dice:</w:t>
      </w:r>
    </w:p>
    <w:p w:rsidR="00E50370" w:rsidRPr="00AE79BC" w:rsidRDefault="00A874D8">
      <w:pPr>
        <w:ind w:left="567" w:right="680"/>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b/>
          <w:i/>
          <w:sz w:val="22"/>
          <w:szCs w:val="22"/>
        </w:rPr>
        <w:t xml:space="preserve">Artículo 47. </w:t>
      </w:r>
      <w:r w:rsidRPr="00AE79BC">
        <w:rPr>
          <w:rFonts w:ascii="Palatino Linotype" w:eastAsia="Palatino Linotype" w:hAnsi="Palatino Linotype" w:cs="Palatino Linotype"/>
          <w:i/>
          <w:sz w:val="22"/>
          <w:szCs w:val="22"/>
        </w:rPr>
        <w:t xml:space="preserve">La Secretaría de la Contraloría contará con las siguientes </w:t>
      </w:r>
      <w:r w:rsidRPr="00AE79BC">
        <w:rPr>
          <w:rFonts w:ascii="Palatino Linotype" w:eastAsia="Palatino Linotype" w:hAnsi="Palatino Linotype" w:cs="Palatino Linotype"/>
          <w:b/>
          <w:i/>
          <w:sz w:val="22"/>
          <w:szCs w:val="22"/>
        </w:rPr>
        <w:t>atribuciones:</w:t>
      </w:r>
    </w:p>
    <w:p w:rsidR="00E50370" w:rsidRPr="00AE79BC" w:rsidRDefault="00E50370">
      <w:pPr>
        <w:ind w:left="567" w:right="680"/>
        <w:jc w:val="both"/>
        <w:rPr>
          <w:rFonts w:ascii="Palatino Linotype" w:eastAsia="Palatino Linotype" w:hAnsi="Palatino Linotype" w:cs="Palatino Linotype"/>
          <w:i/>
          <w:sz w:val="22"/>
          <w:szCs w:val="22"/>
        </w:rPr>
      </w:pPr>
    </w:p>
    <w:p w:rsidR="00E50370" w:rsidRPr="00AE79BC" w:rsidRDefault="00A874D8">
      <w:pPr>
        <w:ind w:left="567" w:right="680"/>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t>“(…)</w:t>
      </w:r>
    </w:p>
    <w:p w:rsidR="00E50370" w:rsidRPr="00AE79BC" w:rsidRDefault="00A874D8">
      <w:pPr>
        <w:ind w:left="567" w:right="680"/>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b/>
          <w:i/>
          <w:sz w:val="22"/>
          <w:szCs w:val="22"/>
        </w:rPr>
        <w:t>XVIII.</w:t>
      </w:r>
      <w:r w:rsidRPr="00AE79BC">
        <w:rPr>
          <w:rFonts w:ascii="Palatino Linotype" w:eastAsia="Palatino Linotype" w:hAnsi="Palatino Linotype" w:cs="Palatino Linotype"/>
          <w:i/>
          <w:sz w:val="22"/>
          <w:szCs w:val="22"/>
        </w:rPr>
        <w:t xml:space="preserve"> Recibir directamente o a través de los órganos internos de control, </w:t>
      </w:r>
      <w:r w:rsidRPr="00AE79BC">
        <w:rPr>
          <w:rFonts w:ascii="Palatino Linotype" w:eastAsia="Palatino Linotype" w:hAnsi="Palatino Linotype" w:cs="Palatino Linotype"/>
          <w:b/>
          <w:i/>
          <w:sz w:val="22"/>
          <w:szCs w:val="22"/>
        </w:rPr>
        <w:t>atender y dar curso y seguimiento a las denuncias que presenten los particulares con motivo de acuerdos, convenios o contratos que celebren con las dependencias, organismos auxiliares y fideicomisos de la Administración Pública,</w:t>
      </w:r>
      <w:r w:rsidRPr="00AE79BC">
        <w:rPr>
          <w:rFonts w:ascii="Palatino Linotype" w:eastAsia="Palatino Linotype" w:hAnsi="Palatino Linotype" w:cs="Palatino Linotype"/>
          <w:i/>
          <w:sz w:val="22"/>
          <w:szCs w:val="22"/>
        </w:rPr>
        <w:t xml:space="preserve"> así como de las empresas de participación estatal, sociedades o asociaciones asimiladas a éstas, y en su caso, recurrir determinaciones de otras instancias legales en los términos que disponga la ley;</w:t>
      </w:r>
    </w:p>
    <w:p w:rsidR="00E50370" w:rsidRPr="00AE79BC" w:rsidRDefault="00E50370">
      <w:pPr>
        <w:ind w:right="680"/>
        <w:jc w:val="both"/>
        <w:rPr>
          <w:rFonts w:ascii="Palatino Linotype" w:eastAsia="Palatino Linotype" w:hAnsi="Palatino Linotype" w:cs="Palatino Linotype"/>
          <w:i/>
          <w:sz w:val="22"/>
          <w:szCs w:val="22"/>
        </w:rPr>
      </w:pPr>
    </w:p>
    <w:p w:rsidR="00E50370" w:rsidRPr="00AE79BC" w:rsidRDefault="00A874D8">
      <w:pPr>
        <w:ind w:left="567" w:right="680"/>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b/>
          <w:i/>
          <w:sz w:val="22"/>
          <w:szCs w:val="22"/>
        </w:rPr>
        <w:t>XIX.</w:t>
      </w:r>
      <w:r w:rsidRPr="00AE79BC">
        <w:rPr>
          <w:rFonts w:ascii="Palatino Linotype" w:eastAsia="Palatino Linotype" w:hAnsi="Palatino Linotype" w:cs="Palatino Linotype"/>
          <w:i/>
          <w:sz w:val="22"/>
          <w:szCs w:val="22"/>
        </w:rPr>
        <w:t xml:space="preserve"> </w:t>
      </w:r>
      <w:r w:rsidRPr="00AE79BC">
        <w:rPr>
          <w:rFonts w:ascii="Palatino Linotype" w:eastAsia="Palatino Linotype" w:hAnsi="Palatino Linotype" w:cs="Palatino Linotype"/>
          <w:b/>
          <w:i/>
          <w:sz w:val="22"/>
          <w:szCs w:val="22"/>
        </w:rPr>
        <w:t>Conocer e investigar los actos, omisiones o conductas de los servidores públicos que puedan constituir responsabilidades administrativas,</w:t>
      </w:r>
      <w:r w:rsidRPr="00AE79BC">
        <w:rPr>
          <w:rFonts w:ascii="Palatino Linotype" w:eastAsia="Palatino Linotype" w:hAnsi="Palatino Linotype" w:cs="Palatino Linotype"/>
          <w:i/>
          <w:sz w:val="22"/>
          <w:szCs w:val="22"/>
        </w:rPr>
        <w:t xml:space="preserve"> </w:t>
      </w:r>
      <w:r w:rsidRPr="00AE79BC">
        <w:rPr>
          <w:rFonts w:ascii="Palatino Linotype" w:eastAsia="Palatino Linotype" w:hAnsi="Palatino Linotype" w:cs="Palatino Linotype"/>
          <w:b/>
          <w:i/>
          <w:sz w:val="22"/>
          <w:szCs w:val="22"/>
        </w:rPr>
        <w:t>substanciar los procedimientos correspondientes en términos de la Ley de Responsabilidades Administrativas del Estado de México y Municipios,</w:t>
      </w:r>
      <w:r w:rsidRPr="00AE79BC">
        <w:rPr>
          <w:rFonts w:ascii="Palatino Linotype" w:eastAsia="Palatino Linotype" w:hAnsi="Palatino Linotype" w:cs="Palatino Linotype"/>
          <w:i/>
          <w:sz w:val="22"/>
          <w:szCs w:val="22"/>
        </w:rPr>
        <w:t xml:space="preserve"> por sí, o por conducto de los órganos internos de control que correspondan a cada área de la Administración Pública aplicando las sanciones en los casos que no sean de la competencia del Tribunal de Justicia Administrativa del Estado de México y cuando se trate de faltas administrativas graves, ejercer la acción de responsabilidad ante ese Tribunal, así como presentar las denuncias correspondientes ante la Fiscalía Especializada en Combate a la Corrupción y ante otras autoridades competentes, en términos de las disposiciones legales aplicables, así como realizar investigaciones, inspecciones y supervisiones, a través de acciones encubiertas y usuario simulado, para verificar la legalidad, </w:t>
      </w:r>
      <w:r w:rsidRPr="00AE79BC">
        <w:rPr>
          <w:rFonts w:ascii="Palatino Linotype" w:eastAsia="Palatino Linotype" w:hAnsi="Palatino Linotype" w:cs="Palatino Linotype"/>
          <w:i/>
          <w:sz w:val="22"/>
          <w:szCs w:val="22"/>
        </w:rPr>
        <w:lastRenderedPageBreak/>
        <w:t>honradez, eficiencia y oportunidad de la prestación del servicio público. La Secretaría podrá ejercer la facultad de atracción de aquellos asuntos cuyo conocimiento corresponda a los órganos internos de control;</w:t>
      </w:r>
    </w:p>
    <w:p w:rsidR="00E50370" w:rsidRPr="00AE79BC" w:rsidRDefault="00E50370">
      <w:pPr>
        <w:ind w:left="567" w:right="680"/>
        <w:jc w:val="both"/>
        <w:rPr>
          <w:rFonts w:ascii="Palatino Linotype" w:eastAsia="Palatino Linotype" w:hAnsi="Palatino Linotype" w:cs="Palatino Linotype"/>
          <w:i/>
          <w:sz w:val="22"/>
          <w:szCs w:val="22"/>
        </w:rPr>
      </w:pPr>
    </w:p>
    <w:p w:rsidR="00E50370" w:rsidRPr="00AE79BC" w:rsidRDefault="00A874D8">
      <w:pPr>
        <w:ind w:left="567" w:right="680"/>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b/>
          <w:i/>
          <w:sz w:val="22"/>
          <w:szCs w:val="22"/>
        </w:rPr>
        <w:t>XX.</w:t>
      </w:r>
      <w:r w:rsidRPr="00AE79BC">
        <w:rPr>
          <w:rFonts w:ascii="Palatino Linotype" w:eastAsia="Palatino Linotype" w:hAnsi="Palatino Linotype" w:cs="Palatino Linotype"/>
          <w:i/>
          <w:sz w:val="22"/>
          <w:szCs w:val="22"/>
        </w:rPr>
        <w:t xml:space="preserve"> </w:t>
      </w:r>
      <w:r w:rsidRPr="00AE79BC">
        <w:rPr>
          <w:rFonts w:ascii="Palatino Linotype" w:eastAsia="Palatino Linotype" w:hAnsi="Palatino Linotype" w:cs="Palatino Linotype"/>
          <w:b/>
          <w:i/>
          <w:sz w:val="22"/>
          <w:szCs w:val="22"/>
        </w:rPr>
        <w:t>Vigilar el cumplimiento de las normas internas de la Secretaría, constituir las responsabilidades administrativas de su personal</w:t>
      </w:r>
      <w:r w:rsidRPr="00AE79BC">
        <w:rPr>
          <w:rFonts w:ascii="Palatino Linotype" w:eastAsia="Palatino Linotype" w:hAnsi="Palatino Linotype" w:cs="Palatino Linotype"/>
          <w:i/>
          <w:sz w:val="22"/>
          <w:szCs w:val="22"/>
        </w:rPr>
        <w:t>, aplicándoles las correcciones que correspondan, así como formular y presentar las denuncias, querellas, acusaciones de naturaleza administrativa o penal ante la Fiscalía Especializada en Combate a la Corrupción u otras autoridades competentes respectivamente…” (Sic.)</w:t>
      </w:r>
    </w:p>
    <w:p w:rsidR="00E50370" w:rsidRPr="00AE79BC" w:rsidRDefault="00E50370">
      <w:pPr>
        <w:ind w:left="567" w:right="680"/>
        <w:jc w:val="both"/>
        <w:rPr>
          <w:rFonts w:ascii="Palatino Linotype" w:eastAsia="Palatino Linotype" w:hAnsi="Palatino Linotype" w:cs="Palatino Linotype"/>
          <w:i/>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Correlativo a lo anterior, el Manual General de Organización de la Secretaría de la Contraloría del Estado de México, nos refiere que tiene como objetivo dirigir la planeación, organización y funcionamiento del control, vigilancia, fiscalización y evaluación de la administración pública estatal y su sector auxiliar; la implementación y evaluación de una política de contrataciones públicas y, las </w:t>
      </w:r>
      <w:r w:rsidRPr="00AE79BC">
        <w:rPr>
          <w:rFonts w:ascii="Palatino Linotype" w:eastAsia="Palatino Linotype" w:hAnsi="Palatino Linotype" w:cs="Palatino Linotype"/>
          <w:b/>
        </w:rPr>
        <w:t>investigaciones, sanciones y control de las responsabilidades administrativas de las personas servidoras públicas;</w:t>
      </w:r>
      <w:r w:rsidRPr="00AE79BC">
        <w:rPr>
          <w:rFonts w:ascii="Palatino Linotype" w:eastAsia="Palatino Linotype" w:hAnsi="Palatino Linotype" w:cs="Palatino Linotype"/>
        </w:rPr>
        <w:t xml:space="preserve"> así como lo relativo a sentar las bases de la ética pública; la presentación de la declaración patrimonial de intereses y constancia de presentación de la declaración fiscal, lo que vislumbra su falta de competencia para investigar denuncias, relacionadas con Carpetas de Investigación.</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En atención a lo expuesto, se tiene que si bien la Secretaría de la Contraloría es competente para conocer e investigar los actos, omisiones a conductas de los servidores públicos que puedan constituir </w:t>
      </w:r>
      <w:r w:rsidRPr="00AE79BC">
        <w:rPr>
          <w:rFonts w:ascii="Palatino Linotype" w:eastAsia="Palatino Linotype" w:hAnsi="Palatino Linotype" w:cs="Palatino Linotype"/>
          <w:b/>
        </w:rPr>
        <w:t xml:space="preserve">responsabilidades administrativas </w:t>
      </w:r>
      <w:r w:rsidRPr="00AE79BC">
        <w:rPr>
          <w:rFonts w:ascii="Palatino Linotype" w:eastAsia="Palatino Linotype" w:hAnsi="Palatino Linotype" w:cs="Palatino Linotype"/>
        </w:rPr>
        <w:t xml:space="preserve">atribuibles a Servidores Públicos adscritos a la propia Secretaría de la Contraloría; así como, a los Órganos Internos de Control de las diversas Dependencias Públicas; y </w:t>
      </w:r>
      <w:r w:rsidRPr="00AE79BC">
        <w:rPr>
          <w:rFonts w:ascii="Palatino Linotype" w:eastAsia="Palatino Linotype" w:hAnsi="Palatino Linotype" w:cs="Palatino Linotype"/>
          <w:b/>
        </w:rPr>
        <w:t xml:space="preserve">no así </w:t>
      </w:r>
      <w:r w:rsidRPr="00AE79BC">
        <w:rPr>
          <w:rFonts w:ascii="Palatino Linotype" w:eastAsia="Palatino Linotype" w:hAnsi="Palatino Linotype" w:cs="Palatino Linotype"/>
        </w:rPr>
        <w:t>lo requerido por el particular</w:t>
      </w:r>
      <w:r w:rsidRPr="00AE79BC">
        <w:rPr>
          <w:rFonts w:ascii="Palatino Linotype" w:eastAsia="Palatino Linotype" w:hAnsi="Palatino Linotype" w:cs="Palatino Linotype"/>
          <w:b/>
        </w:rPr>
        <w:t>, relativo a delitos relacionados a carpetas de investigación</w:t>
      </w:r>
      <w:r w:rsidRPr="00AE79BC">
        <w:rPr>
          <w:rFonts w:ascii="Palatino Linotype" w:eastAsia="Palatino Linotype" w:hAnsi="Palatino Linotype" w:cs="Palatino Linotype"/>
        </w:rPr>
        <w:t xml:space="preserve"> (antes averiguación previa), la </w:t>
      </w:r>
      <w:r w:rsidRPr="00AE79BC">
        <w:rPr>
          <w:rFonts w:ascii="Palatino Linotype" w:eastAsia="Palatino Linotype" w:hAnsi="Palatino Linotype" w:cs="Palatino Linotype"/>
        </w:rPr>
        <w:lastRenderedPageBreak/>
        <w:t>cual el Diccionario panhispánico del español jurídico define como el legajo a conjunto de actas que en el sistema penal acusatorio, constituyen el registro de la investigación que realiza el Ministerio Público, con auxilio de la Policía y los peritos.</w:t>
      </w:r>
    </w:p>
    <w:p w:rsidR="00E50370" w:rsidRPr="00AE79BC" w:rsidRDefault="00E50370">
      <w:pPr>
        <w:spacing w:line="360" w:lineRule="auto"/>
        <w:ind w:right="-28"/>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Por lo anterior, resulta conveniente referir que el artículo 143 de la Constitución Política del Estado Libre y Soberano de México, indica que las autoridades administrativas únicamente pueden hacer lo que la ley expresamente les confiere.</w:t>
      </w:r>
    </w:p>
    <w:p w:rsidR="00E50370" w:rsidRPr="00AE79BC" w:rsidRDefault="00A874D8">
      <w:pPr>
        <w:ind w:left="567" w:right="963"/>
        <w:jc w:val="both"/>
        <w:rPr>
          <w:rFonts w:ascii="Palatino Linotype" w:eastAsia="Palatino Linotype" w:hAnsi="Palatino Linotype" w:cs="Palatino Linotype"/>
          <w:b/>
          <w:i/>
          <w:sz w:val="22"/>
          <w:szCs w:val="22"/>
        </w:rPr>
      </w:pPr>
      <w:r w:rsidRPr="00AE79BC">
        <w:rPr>
          <w:rFonts w:ascii="Palatino Linotype" w:eastAsia="Palatino Linotype" w:hAnsi="Palatino Linotype" w:cs="Palatino Linotype"/>
          <w:b/>
          <w:i/>
          <w:sz w:val="22"/>
          <w:szCs w:val="22"/>
        </w:rPr>
        <w:t xml:space="preserve">“Artículo 143.- </w:t>
      </w:r>
      <w:r w:rsidRPr="00AE79BC">
        <w:rPr>
          <w:rFonts w:ascii="Palatino Linotype" w:eastAsia="Palatino Linotype" w:hAnsi="Palatino Linotype" w:cs="Palatino Linotype"/>
          <w:i/>
          <w:sz w:val="22"/>
          <w:szCs w:val="22"/>
        </w:rPr>
        <w:t>Las autoridades del Estado sólo tienen las facultades que expresamente les confieren las leyes y otros ordenamientos jurídicos.”</w:t>
      </w:r>
    </w:p>
    <w:p w:rsidR="00E50370" w:rsidRPr="00AE79BC" w:rsidRDefault="00E50370">
      <w:pPr>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En atención a los preceptos legales citados, no se advierte que el </w:t>
      </w:r>
      <w:r w:rsidRPr="00AE79BC">
        <w:rPr>
          <w:rFonts w:ascii="Palatino Linotype" w:eastAsia="Palatino Linotype" w:hAnsi="Palatino Linotype" w:cs="Palatino Linotype"/>
          <w:b/>
        </w:rPr>
        <w:t>SUJETO OBLIGADO</w:t>
      </w:r>
      <w:r w:rsidRPr="00AE79BC">
        <w:rPr>
          <w:rFonts w:ascii="Palatino Linotype" w:eastAsia="Palatino Linotype" w:hAnsi="Palatino Linotype" w:cs="Palatino Linotype"/>
        </w:rPr>
        <w:t xml:space="preserve"> tenga acceso, administre o posea los documentos donde se conste la información solicitada, toda vez que, no cuenta con facultades para conocer de lo requerido.</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No obstante, es necesario precisar que el </w:t>
      </w:r>
      <w:r w:rsidRPr="00AE79BC">
        <w:rPr>
          <w:rFonts w:ascii="Palatino Linotype" w:eastAsia="Palatino Linotype" w:hAnsi="Palatino Linotype" w:cs="Palatino Linotype"/>
          <w:b/>
        </w:rPr>
        <w:t xml:space="preserve">SUJETO OBLIGADO </w:t>
      </w:r>
      <w:r w:rsidRPr="00AE79BC">
        <w:rPr>
          <w:rFonts w:ascii="Palatino Linotype" w:eastAsia="Palatino Linotype" w:hAnsi="Palatino Linotype" w:cs="Palatino Linotype"/>
        </w:rPr>
        <w:t xml:space="preserve">refirió que </w:t>
      </w:r>
      <w:r w:rsidRPr="00AE79BC">
        <w:rPr>
          <w:rFonts w:ascii="Palatino Linotype" w:eastAsia="Palatino Linotype" w:hAnsi="Palatino Linotype" w:cs="Palatino Linotype"/>
          <w:color w:val="000000"/>
        </w:rPr>
        <w:t xml:space="preserve">la </w:t>
      </w:r>
      <w:r w:rsidRPr="00AE79BC">
        <w:rPr>
          <w:rFonts w:ascii="Palatino Linotype" w:eastAsia="Palatino Linotype" w:hAnsi="Palatino Linotype" w:cs="Palatino Linotype"/>
          <w:b/>
          <w:color w:val="000000"/>
        </w:rPr>
        <w:t>Fiscalía General de Justicia del Estado de México</w:t>
      </w:r>
      <w:r w:rsidRPr="00AE79BC">
        <w:rPr>
          <w:rFonts w:ascii="Palatino Linotype" w:eastAsia="Palatino Linotype" w:hAnsi="Palatino Linotype" w:cs="Palatino Linotype"/>
          <w:b/>
        </w:rPr>
        <w:t>,</w:t>
      </w:r>
      <w:r w:rsidRPr="00AE79BC">
        <w:rPr>
          <w:rFonts w:ascii="Palatino Linotype" w:eastAsia="Palatino Linotype" w:hAnsi="Palatino Linotype" w:cs="Palatino Linotype"/>
        </w:rPr>
        <w:t xml:space="preserve"> podría ser competente para conocer de lo solicitado por el </w:t>
      </w:r>
      <w:r w:rsidRPr="00AE79BC">
        <w:rPr>
          <w:rFonts w:ascii="Palatino Linotype" w:eastAsia="Palatino Linotype" w:hAnsi="Palatino Linotype" w:cs="Palatino Linotype"/>
          <w:b/>
        </w:rPr>
        <w:t>RECURRENTE.</w:t>
      </w:r>
    </w:p>
    <w:p w:rsidR="00E50370" w:rsidRPr="00AE79BC" w:rsidRDefault="00E50370">
      <w:pPr>
        <w:pBdr>
          <w:top w:val="nil"/>
          <w:left w:val="nil"/>
          <w:bottom w:val="nil"/>
          <w:right w:val="nil"/>
          <w:between w:val="nil"/>
        </w:pBdr>
        <w:ind w:left="720"/>
        <w:rPr>
          <w:rFonts w:ascii="Palatino Linotype" w:eastAsia="Palatino Linotype" w:hAnsi="Palatino Linotype" w:cs="Palatino Linotype"/>
          <w:color w:val="000000"/>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Esto, en atención a lo anterior, el Manual General de Organización de la Procuraduría General de Justicia del Estado de México indica, las atribuciones de las Unidades de Investigación en los siguientes términos:</w:t>
      </w:r>
    </w:p>
    <w:p w:rsidR="00E50370" w:rsidRPr="00AE79BC" w:rsidRDefault="00A874D8">
      <w:pPr>
        <w:pBdr>
          <w:top w:val="nil"/>
          <w:left w:val="nil"/>
          <w:bottom w:val="nil"/>
          <w:right w:val="nil"/>
          <w:between w:val="nil"/>
        </w:pBdr>
        <w:ind w:left="567" w:right="680"/>
        <w:rPr>
          <w:rFonts w:ascii="Palatino Linotype" w:eastAsia="Palatino Linotype" w:hAnsi="Palatino Linotype" w:cs="Palatino Linotype"/>
          <w:b/>
          <w:i/>
          <w:color w:val="000000"/>
          <w:sz w:val="22"/>
          <w:szCs w:val="22"/>
        </w:rPr>
      </w:pPr>
      <w:r w:rsidRPr="00AE79BC">
        <w:rPr>
          <w:rFonts w:ascii="Palatino Linotype" w:eastAsia="Palatino Linotype" w:hAnsi="Palatino Linotype" w:cs="Palatino Linotype"/>
          <w:b/>
          <w:i/>
          <w:color w:val="000000"/>
          <w:sz w:val="22"/>
          <w:szCs w:val="22"/>
        </w:rPr>
        <w:t xml:space="preserve"> “OBJETIVO: </w:t>
      </w:r>
    </w:p>
    <w:p w:rsidR="00E50370" w:rsidRPr="00AE79BC" w:rsidRDefault="00A874D8">
      <w:pPr>
        <w:pBdr>
          <w:top w:val="nil"/>
          <w:left w:val="nil"/>
          <w:bottom w:val="nil"/>
          <w:right w:val="nil"/>
          <w:between w:val="nil"/>
        </w:pBdr>
        <w:ind w:left="567" w:right="68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Coordinar, organizar y vigilar las actuaciones realizadas por el Ministerio Público en la </w:t>
      </w:r>
      <w:r w:rsidRPr="00AE79BC">
        <w:rPr>
          <w:rFonts w:ascii="Palatino Linotype" w:eastAsia="Palatino Linotype" w:hAnsi="Palatino Linotype" w:cs="Palatino Linotype"/>
          <w:b/>
          <w:i/>
          <w:color w:val="000000"/>
          <w:sz w:val="22"/>
          <w:szCs w:val="22"/>
        </w:rPr>
        <w:t xml:space="preserve">integración de las carpetas de investigación, en las etapas del juicio oral, procedimientos especiales y atribuciones que la ley le otorga, </w:t>
      </w:r>
      <w:r w:rsidRPr="00AE79BC">
        <w:rPr>
          <w:rFonts w:ascii="Palatino Linotype" w:eastAsia="Palatino Linotype" w:hAnsi="Palatino Linotype" w:cs="Palatino Linotype"/>
          <w:i/>
          <w:color w:val="000000"/>
          <w:sz w:val="22"/>
          <w:szCs w:val="22"/>
        </w:rPr>
        <w:t xml:space="preserve">así como ante los tribunales </w:t>
      </w:r>
      <w:r w:rsidRPr="00AE79BC">
        <w:rPr>
          <w:rFonts w:ascii="Palatino Linotype" w:eastAsia="Palatino Linotype" w:hAnsi="Palatino Linotype" w:cs="Palatino Linotype"/>
          <w:i/>
          <w:color w:val="000000"/>
          <w:sz w:val="22"/>
          <w:szCs w:val="22"/>
        </w:rPr>
        <w:lastRenderedPageBreak/>
        <w:t>de segunda instancia, cuidando que en ellas se respeten irrestrictamente los derechos de los imputados, de las víctimas u ofendidos y las normas y procedimientos establecidos para la procuración de justicia.”</w:t>
      </w:r>
    </w:p>
    <w:p w:rsidR="00E50370" w:rsidRPr="00AE79BC" w:rsidRDefault="00E50370">
      <w:pPr>
        <w:pBdr>
          <w:top w:val="nil"/>
          <w:left w:val="nil"/>
          <w:bottom w:val="nil"/>
          <w:right w:val="nil"/>
          <w:between w:val="nil"/>
        </w:pBdr>
        <w:ind w:left="567" w:right="680"/>
        <w:jc w:val="both"/>
        <w:rPr>
          <w:rFonts w:ascii="Palatino Linotype" w:eastAsia="Palatino Linotype" w:hAnsi="Palatino Linotype" w:cs="Palatino Linotype"/>
          <w:i/>
          <w:color w:val="000000"/>
          <w:sz w:val="22"/>
          <w:szCs w:val="22"/>
        </w:rPr>
      </w:pPr>
    </w:p>
    <w:p w:rsidR="00E50370" w:rsidRPr="00AE79BC" w:rsidRDefault="00A874D8">
      <w:pPr>
        <w:pBdr>
          <w:top w:val="nil"/>
          <w:left w:val="nil"/>
          <w:bottom w:val="nil"/>
          <w:right w:val="nil"/>
          <w:between w:val="nil"/>
        </w:pBdr>
        <w:ind w:left="567" w:right="68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b/>
          <w:i/>
          <w:color w:val="000000"/>
          <w:sz w:val="22"/>
          <w:szCs w:val="22"/>
        </w:rPr>
        <w:t>“FUNCIONES:</w:t>
      </w:r>
      <w:r w:rsidRPr="00AE79BC">
        <w:rPr>
          <w:rFonts w:ascii="Palatino Linotype" w:eastAsia="Palatino Linotype" w:hAnsi="Palatino Linotype" w:cs="Palatino Linotype"/>
          <w:i/>
          <w:color w:val="000000"/>
          <w:sz w:val="22"/>
          <w:szCs w:val="22"/>
        </w:rPr>
        <w:t xml:space="preserve">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b/>
          <w:i/>
          <w:color w:val="000000"/>
          <w:sz w:val="22"/>
          <w:szCs w:val="22"/>
        </w:rPr>
        <w:t>Organizar y coordinar las acciones encaminadas a la integración de la carpeta de investigación</w:t>
      </w:r>
      <w:r w:rsidRPr="00AE79BC">
        <w:rPr>
          <w:rFonts w:ascii="Palatino Linotype" w:eastAsia="Palatino Linotype" w:hAnsi="Palatino Linotype" w:cs="Palatino Linotype"/>
          <w:i/>
          <w:color w:val="000000"/>
          <w:sz w:val="22"/>
          <w:szCs w:val="22"/>
        </w:rPr>
        <w:t xml:space="preserve">, conforme a las disposiciones legales que regulen la materia.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Analizar las causas por las cuales los jueces niegan la vinculación a procesos, medidas cautelares e investigaciones que requieran autorización judicial y cualquier otra actuación en el cumplimiento de las atribuciones que la ley otorga al Ministerio Público, implementando las correcciones conducentes, a fin de subsanar los errores y evitar su repetición.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Someter a consideración del Fiscal Regional, los casos de no ejercicio de la acción penal que se presenten.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b/>
          <w:i/>
          <w:color w:val="000000"/>
          <w:sz w:val="22"/>
          <w:szCs w:val="22"/>
        </w:rPr>
        <w:t>Supervisar la remisión de las carpetas de investigación,</w:t>
      </w:r>
      <w:r w:rsidRPr="00AE79BC">
        <w:rPr>
          <w:rFonts w:ascii="Palatino Linotype" w:eastAsia="Palatino Linotype" w:hAnsi="Palatino Linotype" w:cs="Palatino Linotype"/>
          <w:i/>
          <w:color w:val="000000"/>
          <w:sz w:val="22"/>
          <w:szCs w:val="22"/>
        </w:rPr>
        <w:t xml:space="preserve"> que sean solicitadas por las Agencias del Ministerio Público o por las autoridades competentes.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Proponer medidas correctivas en los casos en que se detecten irregularidades en la integración de las carpetas de investigación.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Vigilar que los Agentes del Ministerio Público realicen las promociones que resulten procedentes ante los Tribunales de Segunda Instancia respectivos.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b/>
          <w:i/>
          <w:color w:val="000000"/>
          <w:sz w:val="22"/>
          <w:szCs w:val="22"/>
        </w:rPr>
        <w:t>Elaborar la estadística de las carpetas de investigación, iniciadas</w:t>
      </w:r>
      <w:r w:rsidRPr="00AE79BC">
        <w:rPr>
          <w:rFonts w:ascii="Palatino Linotype" w:eastAsia="Palatino Linotype" w:hAnsi="Palatino Linotype" w:cs="Palatino Linotype"/>
          <w:i/>
          <w:color w:val="000000"/>
          <w:sz w:val="22"/>
          <w:szCs w:val="22"/>
        </w:rPr>
        <w:t xml:space="preserve"> conforme a las necesidades que se establezcan.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b/>
          <w:i/>
          <w:color w:val="000000"/>
          <w:sz w:val="22"/>
          <w:szCs w:val="22"/>
        </w:rPr>
        <w:t>Proporcionar la información que requieran las autoridades competentes en relación al estado que guardan las carpetas de investigación</w:t>
      </w:r>
      <w:r w:rsidRPr="00AE79BC">
        <w:rPr>
          <w:rFonts w:ascii="Palatino Linotype" w:eastAsia="Palatino Linotype" w:hAnsi="Palatino Linotype" w:cs="Palatino Linotype"/>
          <w:i/>
          <w:color w:val="000000"/>
          <w:sz w:val="22"/>
          <w:szCs w:val="22"/>
        </w:rPr>
        <w:t xml:space="preserve">.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Promover y practicar estrategias de modernización, adecuación y complementación en las carpetas de investigación, sometiéndolas a consideración del Fiscal Regional para su autorización.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b/>
          <w:i/>
          <w:color w:val="000000"/>
          <w:sz w:val="22"/>
          <w:szCs w:val="22"/>
        </w:rPr>
        <w:t>Revisar las investigaciones de los delitos</w:t>
      </w:r>
      <w:r w:rsidRPr="00AE79BC">
        <w:rPr>
          <w:rFonts w:ascii="Palatino Linotype" w:eastAsia="Palatino Linotype" w:hAnsi="Palatino Linotype" w:cs="Palatino Linotype"/>
          <w:i/>
          <w:color w:val="000000"/>
          <w:sz w:val="22"/>
          <w:szCs w:val="22"/>
        </w:rPr>
        <w:t xml:space="preserve"> del fuero común </w:t>
      </w:r>
      <w:r w:rsidRPr="00AE79BC">
        <w:rPr>
          <w:rFonts w:ascii="Palatino Linotype" w:eastAsia="Palatino Linotype" w:hAnsi="Palatino Linotype" w:cs="Palatino Linotype"/>
          <w:b/>
          <w:i/>
          <w:color w:val="000000"/>
          <w:sz w:val="22"/>
          <w:szCs w:val="22"/>
        </w:rPr>
        <w:t>cometidos en el territorio del Estado</w:t>
      </w:r>
      <w:r w:rsidRPr="00AE79BC">
        <w:rPr>
          <w:rFonts w:ascii="Palatino Linotype" w:eastAsia="Palatino Linotype" w:hAnsi="Palatino Linotype" w:cs="Palatino Linotype"/>
          <w:i/>
          <w:color w:val="000000"/>
          <w:sz w:val="22"/>
          <w:szCs w:val="22"/>
        </w:rPr>
        <w:t xml:space="preserve">, a fin de </w:t>
      </w:r>
      <w:r w:rsidRPr="00AE79BC">
        <w:rPr>
          <w:rFonts w:ascii="Palatino Linotype" w:eastAsia="Palatino Linotype" w:hAnsi="Palatino Linotype" w:cs="Palatino Linotype"/>
          <w:b/>
          <w:i/>
          <w:color w:val="000000"/>
          <w:sz w:val="22"/>
          <w:szCs w:val="22"/>
        </w:rPr>
        <w:t>verificar que se recaben los datos o elementos para sustentar una acusación</w:t>
      </w:r>
      <w:r w:rsidRPr="00AE79BC">
        <w:rPr>
          <w:rFonts w:ascii="Palatino Linotype" w:eastAsia="Palatino Linotype" w:hAnsi="Palatino Linotype" w:cs="Palatino Linotype"/>
          <w:i/>
          <w:color w:val="000000"/>
          <w:sz w:val="22"/>
          <w:szCs w:val="22"/>
        </w:rPr>
        <w:t xml:space="preserve"> ante el juez o tribunal de juicio oral, así como que en la práctica de las diligencias respectivas se respeten los derechos humanos y las normas y procedimientos.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Revisar y validar las solicitudes de órdenes de cateo que requiera el Agente del Ministerio Público conforme a lo dispuesto en los preceptos legales aplicables.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Revisar y validar las determinaciones de no ejercicio y desistimiento del ejercicio de la acción penal que formule el Agente del Ministerio Público.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Revisar que la ejecución de la detención de los indiciados se realice en los casos y con los requisitos determinados en la ley.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lastRenderedPageBreak/>
        <w:t xml:space="preserve">Revisar y validar cuando proceda la libertad provisional de los indiciados, en los casos y con los requisitos determinados en la ley.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Revisar, coordinar y controlar la actuación de los Agentes del Ministerio Público, de la Policía Ministerial y el auxilio de los servicios periciales en la investigación de hechos delictuosos.</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 Revisar las actuaciones de los Agentes del Ministerio Público y, en su caso, proponer al Fiscal Regional las medidas correctivas que sean necesarias en las etapas de investigación preliminar, formalizada, intermedia y de juicio oral, así como las relativas a la aplicación de medidas cautelares, provisionales, precautorias y de protección, medios alternativos de solución de controversias, procedimientos especiales y atribuciones que la ley otorga al Ministerio Público.</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 Vigilar que las personas detenidas sean puestas a disposición de la autoridad judicial competente dentro de los plazos establecidos por la ley.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Analizar si se actualiza alguna de las causas excluyentes del delito, de la responsabilidad o de inimputabilidad, en las investigaciones que realice el Ministerio Público para los efectos legales procedentes.</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Vigilar que la aplicación de los principios de oportunidad por parte de los Agentes del Ministerio Público, se ajusten a las normas y criterios que la ley señale.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Hacer del conocimiento al Fiscal Regional de las irregularidades en que incurran los Agentes del Ministerio Público en las actuaciones que realicen en las etapas del juicio oral, procedimientos especiales, medios alternativos de solución de controversias o atribuciones que le otorgue la ley.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Vigilar que el Ministerio Público sustente la acusación que corresponda ante el Tribunal o Juez de Juicio Oral, mediante el desahogo de las pruebas respectivas en la etapa de juicio oral.</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b/>
          <w:i/>
          <w:color w:val="000000"/>
          <w:sz w:val="22"/>
          <w:szCs w:val="22"/>
        </w:rPr>
        <w:t>Controlar, supervisar y clasificar el funcionamiento del archivo de la unidad de investigación y mantenerlo actualizado</w:t>
      </w:r>
      <w:r w:rsidRPr="00AE79BC">
        <w:rPr>
          <w:rFonts w:ascii="Palatino Linotype" w:eastAsia="Palatino Linotype" w:hAnsi="Palatino Linotype" w:cs="Palatino Linotype"/>
          <w:i/>
          <w:color w:val="000000"/>
          <w:sz w:val="22"/>
          <w:szCs w:val="22"/>
        </w:rPr>
        <w:t xml:space="preserve"> conforme a las disposiciones legales correspondientes.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Atender y resolver las consultas que sobre el ejercicio de sus atribuciones le formulen los Agentes del Ministerio Público adscritos a la unidad.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Organizar provisionalmente y conforme a las necesidades del servicio, al personal adscrito a la unidad de investigación, solicitando en su oportunidad la realización de los trámites administrativos correspondientes para la asignación respectiva.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Informar al Fiscal Regional de los hechos que deban llegar inmediatamente al conocimiento del Procurador.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Auxiliar a las autoridades del Ministerio Público Federal, Distrito Federal y demás entidades federativas, cuando lo determine la ley. </w:t>
      </w:r>
    </w:p>
    <w:p w:rsidR="00E50370" w:rsidRPr="00AE79BC" w:rsidRDefault="00A874D8">
      <w:pPr>
        <w:numPr>
          <w:ilvl w:val="0"/>
          <w:numId w:val="3"/>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Desarrollar las demás funciones inherentes al área de su competencia.”</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lastRenderedPageBreak/>
        <w:t xml:space="preserve">Así el mismo ordenamiento legal, nos refiere que para tramitar denuncias relacionadas con Servidores Públicos cuenta con una </w:t>
      </w:r>
      <w:r w:rsidRPr="00AE79BC">
        <w:rPr>
          <w:rFonts w:ascii="Palatino Linotype" w:eastAsia="Palatino Linotype" w:hAnsi="Palatino Linotype" w:cs="Palatino Linotype"/>
          <w:b/>
        </w:rPr>
        <w:t xml:space="preserve">FISCALÍA ESPECIALIZADA EN DELITOS COMETIDOS POR SERVIDORES PÚBLICOS, </w:t>
      </w:r>
      <w:r w:rsidRPr="00AE79BC">
        <w:rPr>
          <w:rFonts w:ascii="Palatino Linotype" w:eastAsia="Palatino Linotype" w:hAnsi="Palatino Linotype" w:cs="Palatino Linotype"/>
        </w:rPr>
        <w:t>misma que tiene las siguientes funciones:</w:t>
      </w:r>
    </w:p>
    <w:p w:rsidR="00E50370" w:rsidRPr="00AE79BC" w:rsidRDefault="00A874D8">
      <w:pPr>
        <w:numPr>
          <w:ilvl w:val="0"/>
          <w:numId w:val="4"/>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b/>
          <w:i/>
          <w:color w:val="000000"/>
          <w:sz w:val="22"/>
          <w:szCs w:val="22"/>
        </w:rPr>
        <w:t xml:space="preserve">Recibir y analizar las denuncias en contra de servidores públicos. </w:t>
      </w:r>
    </w:p>
    <w:p w:rsidR="00E50370" w:rsidRPr="00AE79BC" w:rsidRDefault="00A874D8">
      <w:pPr>
        <w:numPr>
          <w:ilvl w:val="0"/>
          <w:numId w:val="4"/>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Practicar diligencias para llegar a la verdad histórica de los hechos y determinar el ejercicio de la acción penal. </w:t>
      </w:r>
    </w:p>
    <w:p w:rsidR="00E50370" w:rsidRPr="00AE79BC" w:rsidRDefault="00A874D8">
      <w:pPr>
        <w:numPr>
          <w:ilvl w:val="0"/>
          <w:numId w:val="4"/>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Asesorar legalmente a los usuarios sobre el trámite que se debe seguir</w:t>
      </w:r>
    </w:p>
    <w:p w:rsidR="00E50370" w:rsidRPr="00AE79BC" w:rsidRDefault="00A874D8">
      <w:pPr>
        <w:numPr>
          <w:ilvl w:val="0"/>
          <w:numId w:val="4"/>
        </w:numPr>
        <w:pBdr>
          <w:top w:val="nil"/>
          <w:left w:val="nil"/>
          <w:bottom w:val="nil"/>
          <w:right w:val="nil"/>
          <w:between w:val="nil"/>
        </w:pBdr>
        <w:ind w:left="567" w:right="680" w:firstLine="0"/>
        <w:jc w:val="both"/>
        <w:rPr>
          <w:rFonts w:ascii="Palatino Linotype" w:eastAsia="Palatino Linotype" w:hAnsi="Palatino Linotype" w:cs="Palatino Linotype"/>
          <w:b/>
          <w:i/>
          <w:color w:val="000000"/>
          <w:sz w:val="22"/>
          <w:szCs w:val="22"/>
        </w:rPr>
      </w:pPr>
      <w:r w:rsidRPr="00AE79BC">
        <w:rPr>
          <w:rFonts w:ascii="Palatino Linotype" w:eastAsia="Palatino Linotype" w:hAnsi="Palatino Linotype" w:cs="Palatino Linotype"/>
          <w:b/>
          <w:i/>
          <w:color w:val="000000"/>
          <w:sz w:val="22"/>
          <w:szCs w:val="22"/>
        </w:rPr>
        <w:t xml:space="preserve">Dar continuidad ante los tribunales para no dejar en estado de indefensión a la víctima, en el caso de que el ejercicio de la acción penal sea competencia de los Agentes del Ministerio Público de la Fiscalía. </w:t>
      </w:r>
    </w:p>
    <w:p w:rsidR="00E50370" w:rsidRPr="00AE79BC" w:rsidRDefault="00A874D8">
      <w:pPr>
        <w:numPr>
          <w:ilvl w:val="0"/>
          <w:numId w:val="4"/>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Solicitar en los juicios orales ante el Juez la orden de aprehensión, medidas cautelares, vinculación a proceso y procedimientos abreviados cuando sea procedente. </w:t>
      </w:r>
    </w:p>
    <w:p w:rsidR="00E50370" w:rsidRPr="00AE79BC" w:rsidRDefault="00A874D8">
      <w:pPr>
        <w:numPr>
          <w:ilvl w:val="0"/>
          <w:numId w:val="4"/>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Presentar visitas constantes a las Agencias del Ministerio Público, para evaluar el desempeño de los funcionarios de la Institución y verificar que éstos cumplan con los lineamientos jurídicos establecidos. </w:t>
      </w:r>
    </w:p>
    <w:p w:rsidR="00E50370" w:rsidRPr="00AE79BC" w:rsidRDefault="00A874D8">
      <w:pPr>
        <w:numPr>
          <w:ilvl w:val="0"/>
          <w:numId w:val="4"/>
        </w:numPr>
        <w:pBdr>
          <w:top w:val="nil"/>
          <w:left w:val="nil"/>
          <w:bottom w:val="nil"/>
          <w:right w:val="nil"/>
          <w:between w:val="nil"/>
        </w:pBdr>
        <w:ind w:left="567" w:right="680" w:firstLine="0"/>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i/>
          <w:color w:val="000000"/>
          <w:sz w:val="22"/>
          <w:szCs w:val="22"/>
        </w:rPr>
        <w:t xml:space="preserve">Establecer una comunicación y coordinación entre las diversas dependencias federales, estatales y municipales para fomentar la cultura de la denuncia ciudadana. </w:t>
      </w:r>
    </w:p>
    <w:p w:rsidR="00E50370" w:rsidRPr="00AE79BC" w:rsidRDefault="00A874D8">
      <w:pPr>
        <w:numPr>
          <w:ilvl w:val="0"/>
          <w:numId w:val="4"/>
        </w:numPr>
        <w:pBdr>
          <w:top w:val="nil"/>
          <w:left w:val="nil"/>
          <w:bottom w:val="nil"/>
          <w:right w:val="nil"/>
          <w:between w:val="nil"/>
        </w:pBdr>
        <w:ind w:left="567" w:right="680" w:firstLine="0"/>
        <w:jc w:val="both"/>
        <w:rPr>
          <w:rFonts w:ascii="Palatino Linotype" w:eastAsia="Palatino Linotype" w:hAnsi="Palatino Linotype" w:cs="Palatino Linotype"/>
          <w:b/>
          <w:i/>
          <w:color w:val="000000"/>
          <w:sz w:val="22"/>
          <w:szCs w:val="22"/>
        </w:rPr>
      </w:pPr>
      <w:r w:rsidRPr="00AE79BC">
        <w:rPr>
          <w:rFonts w:ascii="Palatino Linotype" w:eastAsia="Palatino Linotype" w:hAnsi="Palatino Linotype" w:cs="Palatino Linotype"/>
          <w:b/>
          <w:i/>
          <w:color w:val="000000"/>
          <w:sz w:val="22"/>
          <w:szCs w:val="22"/>
        </w:rPr>
        <w:t xml:space="preserve">Informar al </w:t>
      </w:r>
      <w:r w:rsidRPr="00AE79BC">
        <w:rPr>
          <w:rFonts w:ascii="Palatino Linotype" w:eastAsia="Palatino Linotype" w:hAnsi="Palatino Linotype" w:cs="Palatino Linotype"/>
          <w:b/>
          <w:i/>
          <w:color w:val="000000"/>
          <w:sz w:val="22"/>
          <w:szCs w:val="22"/>
          <w:u w:val="single"/>
        </w:rPr>
        <w:t xml:space="preserve">órgano de control interno </w:t>
      </w:r>
      <w:r w:rsidRPr="00AE79BC">
        <w:rPr>
          <w:rFonts w:ascii="Palatino Linotype" w:eastAsia="Palatino Linotype" w:hAnsi="Palatino Linotype" w:cs="Palatino Linotype"/>
          <w:b/>
          <w:i/>
          <w:color w:val="000000"/>
          <w:sz w:val="22"/>
          <w:szCs w:val="22"/>
        </w:rPr>
        <w:t>sobre la mala actuación de servidores públicos, con la finalidad de que se aplique la normatividad correspondiente. Desarrollar las demás funciones inherentes al área de su competencia.</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Expuesto lo anterior, se advierte que el </w:t>
      </w:r>
      <w:r w:rsidRPr="00AE79BC">
        <w:rPr>
          <w:rFonts w:ascii="Palatino Linotype" w:eastAsia="Palatino Linotype" w:hAnsi="Palatino Linotype" w:cs="Palatino Linotype"/>
          <w:b/>
        </w:rPr>
        <w:t xml:space="preserve">SUJETO OBLIGADO </w:t>
      </w:r>
      <w:r w:rsidRPr="00AE79BC">
        <w:rPr>
          <w:rFonts w:ascii="Palatino Linotype" w:eastAsia="Palatino Linotype" w:hAnsi="Palatino Linotype" w:cs="Palatino Linotype"/>
        </w:rPr>
        <w:t xml:space="preserve">que cuenta con las facultades necesarias para conocer lo referente </w:t>
      </w:r>
      <w:r w:rsidRPr="00AE79BC">
        <w:rPr>
          <w:rFonts w:ascii="Palatino Linotype" w:eastAsia="Palatino Linotype" w:hAnsi="Palatino Linotype" w:cs="Palatino Linotype"/>
          <w:b/>
        </w:rPr>
        <w:t xml:space="preserve">a las denuncias iniciadas, carpetas de investigación y/o averiguaciones previas judicializadas; así como las sanciones que se impusieron a servidoras públicas en el periodo de 2000 al 2010 tanto de la entonces Procuraduría General de Justicia; así como de la Secretaría de Seguridad, ambas del Estado de México, en forma enunciativa más no limitativa, es la </w:t>
      </w:r>
      <w:r w:rsidRPr="00AE79BC">
        <w:rPr>
          <w:rFonts w:ascii="Palatino Linotype" w:eastAsia="Palatino Linotype" w:hAnsi="Palatino Linotype" w:cs="Palatino Linotype"/>
          <w:b/>
          <w:u w:val="single"/>
        </w:rPr>
        <w:t>Fiscalía General de Justicia del Estado de México.</w:t>
      </w:r>
      <w:r w:rsidRPr="00AE79BC">
        <w:rPr>
          <w:rFonts w:ascii="Palatino Linotype" w:eastAsia="Palatino Linotype" w:hAnsi="Palatino Linotype" w:cs="Palatino Linotype"/>
          <w:b/>
        </w:rPr>
        <w:t xml:space="preserve"> </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lastRenderedPageBreak/>
        <w:t xml:space="preserve">Al respecto, del Directorio de Sujetos Obligados del Instituto de Transparencia, Acceso a la Información Pública y Protección de Datos Personales del Estado de México y Municipios, señala que la Secretaría de la Contraloría y la Fiscalía General de Justicia, son Sujetos Obligados diversos, como se muestra a continuación: (Consulta: </w:t>
      </w:r>
      <w:hyperlink r:id="rId8">
        <w:r w:rsidRPr="00AE79BC">
          <w:rPr>
            <w:rFonts w:ascii="Palatino Linotype" w:eastAsia="Palatino Linotype" w:hAnsi="Palatino Linotype" w:cs="Palatino Linotype"/>
            <w:color w:val="0563C1"/>
            <w:u w:val="single"/>
          </w:rPr>
          <w:t>https://www.infoem.org.mx/es/contenido/transparencia/directorio-de-sujetos-obligados</w:t>
        </w:r>
      </w:hyperlink>
      <w:r w:rsidRPr="00AE79BC">
        <w:rPr>
          <w:rFonts w:ascii="Palatino Linotype" w:eastAsia="Palatino Linotype" w:hAnsi="Palatino Linotype" w:cs="Palatino Linotype"/>
        </w:rPr>
        <w:t>)</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spacing w:line="360" w:lineRule="auto"/>
        <w:ind w:right="-28"/>
        <w:jc w:val="center"/>
        <w:rPr>
          <w:rFonts w:ascii="Palatino Linotype" w:eastAsia="Palatino Linotype" w:hAnsi="Palatino Linotype" w:cs="Palatino Linotype"/>
        </w:rPr>
      </w:pPr>
      <w:r w:rsidRPr="00AE79BC">
        <w:rPr>
          <w:rFonts w:ascii="Palatino Linotype" w:eastAsia="Palatino Linotype" w:hAnsi="Palatino Linotype" w:cs="Palatino Linotype"/>
          <w:noProof/>
        </w:rPr>
        <w:drawing>
          <wp:inline distT="0" distB="0" distL="0" distR="0">
            <wp:extent cx="5420403" cy="656031"/>
            <wp:effectExtent l="0" t="0" r="0" b="0"/>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l="9242" t="58467" r="67880" b="36743"/>
                    <a:stretch>
                      <a:fillRect/>
                    </a:stretch>
                  </pic:blipFill>
                  <pic:spPr>
                    <a:xfrm>
                      <a:off x="0" y="0"/>
                      <a:ext cx="5420403" cy="656031"/>
                    </a:xfrm>
                    <a:prstGeom prst="rect">
                      <a:avLst/>
                    </a:prstGeom>
                    <a:ln/>
                  </pic:spPr>
                </pic:pic>
              </a:graphicData>
            </a:graphic>
          </wp:inline>
        </w:drawing>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spacing w:line="360" w:lineRule="auto"/>
        <w:ind w:right="-28"/>
        <w:jc w:val="center"/>
        <w:rPr>
          <w:rFonts w:ascii="Palatino Linotype" w:eastAsia="Palatino Linotype" w:hAnsi="Palatino Linotype" w:cs="Palatino Linotype"/>
        </w:rPr>
      </w:pPr>
      <w:r w:rsidRPr="00AE79BC">
        <w:rPr>
          <w:rFonts w:ascii="Palatino Linotype" w:eastAsia="Palatino Linotype" w:hAnsi="Palatino Linotype" w:cs="Palatino Linotype"/>
          <w:noProof/>
        </w:rPr>
        <w:drawing>
          <wp:inline distT="0" distB="0" distL="0" distR="0">
            <wp:extent cx="5342833" cy="562404"/>
            <wp:effectExtent l="0" t="0" r="0" b="0"/>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a:srcRect l="8146" t="58646" r="68161" b="36920"/>
                    <a:stretch>
                      <a:fillRect/>
                    </a:stretch>
                  </pic:blipFill>
                  <pic:spPr>
                    <a:xfrm>
                      <a:off x="0" y="0"/>
                      <a:ext cx="5342833" cy="562404"/>
                    </a:xfrm>
                    <a:prstGeom prst="rect">
                      <a:avLst/>
                    </a:prstGeom>
                    <a:ln/>
                  </pic:spPr>
                </pic:pic>
              </a:graphicData>
            </a:graphic>
          </wp:inline>
        </w:drawing>
      </w:r>
    </w:p>
    <w:p w:rsidR="00E50370" w:rsidRPr="00AE79BC" w:rsidRDefault="00E50370">
      <w:pPr>
        <w:spacing w:line="360" w:lineRule="auto"/>
        <w:ind w:right="-28"/>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Precisado lo anterior, se advierte que, tanto el acto impugnado como los motivos de inconformidad hechos valer por el </w:t>
      </w:r>
      <w:r w:rsidRPr="00AE79BC">
        <w:rPr>
          <w:rFonts w:ascii="Palatino Linotype" w:eastAsia="Palatino Linotype" w:hAnsi="Palatino Linotype" w:cs="Palatino Linotype"/>
          <w:b/>
        </w:rPr>
        <w:t>RECURRENTE</w:t>
      </w:r>
      <w:r w:rsidRPr="00AE79BC">
        <w:rPr>
          <w:rFonts w:ascii="Palatino Linotype" w:eastAsia="Palatino Linotype" w:hAnsi="Palatino Linotype" w:cs="Palatino Linotype"/>
        </w:rPr>
        <w:t xml:space="preserve"> son improcedentes, </w:t>
      </w:r>
      <w:r w:rsidRPr="00AE79BC">
        <w:rPr>
          <w:rFonts w:ascii="Palatino Linotype" w:eastAsia="Palatino Linotype" w:hAnsi="Palatino Linotype" w:cs="Palatino Linotype"/>
          <w:b/>
        </w:rPr>
        <w:t xml:space="preserve">puesto que la información que solicitó es competencia de un Sujeto Obligado distinto al que se le formuló la solicitud. </w:t>
      </w:r>
    </w:p>
    <w:p w:rsidR="00E50370" w:rsidRPr="00AE79BC" w:rsidRDefault="00E50370">
      <w:pPr>
        <w:ind w:right="-28"/>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Entonces, al ser dos entes distintos en materia de transparencia, resulta en obviedad que uno no puede atender las solicitudes de información de otro, puesto que es información que cada Sujeto Obligado posee, genera y administra.</w:t>
      </w:r>
    </w:p>
    <w:p w:rsidR="00E50370" w:rsidRPr="00AE79BC" w:rsidRDefault="00E50370">
      <w:pPr>
        <w:ind w:right="-28"/>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lastRenderedPageBreak/>
        <w:t xml:space="preserve">Ahora bien, este Órgano Garante estima que el actuar del </w:t>
      </w:r>
      <w:r w:rsidRPr="00AE79BC">
        <w:rPr>
          <w:rFonts w:ascii="Palatino Linotype" w:eastAsia="Palatino Linotype" w:hAnsi="Palatino Linotype" w:cs="Palatino Linotype"/>
          <w:b/>
        </w:rPr>
        <w:t>SUJETO OBLIGADO</w:t>
      </w:r>
      <w:r w:rsidRPr="00AE79BC">
        <w:rPr>
          <w:rFonts w:ascii="Palatino Linotype" w:eastAsia="Palatino Linotype" w:hAnsi="Palatino Linotype" w:cs="Palatino Linotype"/>
        </w:rPr>
        <w:t xml:space="preserve"> encuadra en lo preceptuado por la Ley de la materia, por lo que es necesario señalar los siguientes preceptos legales:</w:t>
      </w:r>
    </w:p>
    <w:p w:rsidR="00E50370" w:rsidRPr="00AE79BC" w:rsidRDefault="00A874D8">
      <w:pPr>
        <w:ind w:left="567" w:right="963"/>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b/>
          <w:i/>
          <w:sz w:val="22"/>
          <w:szCs w:val="22"/>
        </w:rPr>
        <w:t>“Artículo 53</w:t>
      </w:r>
      <w:r w:rsidRPr="00AE79BC">
        <w:rPr>
          <w:rFonts w:ascii="Palatino Linotype" w:eastAsia="Palatino Linotype" w:hAnsi="Palatino Linotype" w:cs="Palatino Linotype"/>
          <w:i/>
          <w:sz w:val="22"/>
          <w:szCs w:val="22"/>
        </w:rPr>
        <w:t xml:space="preserve">. Las Unidades de Transparencia tendrán las siguientes funciones: </w:t>
      </w:r>
    </w:p>
    <w:p w:rsidR="00E50370" w:rsidRPr="00AE79BC" w:rsidRDefault="00A874D8">
      <w:pPr>
        <w:ind w:left="567" w:right="963"/>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t>(…)</w:t>
      </w:r>
    </w:p>
    <w:p w:rsidR="00E50370" w:rsidRPr="00AE79BC" w:rsidRDefault="00A874D8">
      <w:pPr>
        <w:ind w:left="567" w:right="963"/>
        <w:jc w:val="both"/>
        <w:rPr>
          <w:rFonts w:ascii="Palatino Linotype" w:eastAsia="Palatino Linotype" w:hAnsi="Palatino Linotype" w:cs="Palatino Linotype"/>
          <w:b/>
          <w:i/>
          <w:sz w:val="22"/>
          <w:szCs w:val="22"/>
        </w:rPr>
      </w:pPr>
      <w:r w:rsidRPr="00AE79BC">
        <w:rPr>
          <w:rFonts w:ascii="Palatino Linotype" w:eastAsia="Palatino Linotype" w:hAnsi="Palatino Linotype" w:cs="Palatino Linotype"/>
          <w:b/>
          <w:i/>
          <w:sz w:val="22"/>
          <w:szCs w:val="22"/>
        </w:rPr>
        <w:t>III. Auxiliar a los particulares en la elaboración de solicitudes de acceso a la información y, en su caso, orientarlos sobre los sujetos obligados competentes conforme a la normatividad aplicable;</w:t>
      </w:r>
    </w:p>
    <w:p w:rsidR="00E50370" w:rsidRPr="00AE79BC" w:rsidRDefault="00A874D8">
      <w:pPr>
        <w:ind w:left="567" w:right="963"/>
        <w:jc w:val="both"/>
        <w:rPr>
          <w:rFonts w:ascii="Palatino Linotype" w:eastAsia="Palatino Linotype" w:hAnsi="Palatino Linotype" w:cs="Palatino Linotype"/>
          <w:i/>
          <w:sz w:val="22"/>
          <w:szCs w:val="22"/>
        </w:rPr>
      </w:pPr>
      <w:r w:rsidRPr="00AE79BC">
        <w:rPr>
          <w:rFonts w:ascii="Palatino Linotype" w:eastAsia="Palatino Linotype" w:hAnsi="Palatino Linotype" w:cs="Palatino Linotype"/>
          <w:i/>
          <w:sz w:val="22"/>
          <w:szCs w:val="22"/>
        </w:rPr>
        <w:t>(…)”</w:t>
      </w:r>
    </w:p>
    <w:p w:rsidR="00E50370" w:rsidRPr="00AE79BC" w:rsidRDefault="00A874D8">
      <w:pPr>
        <w:pBdr>
          <w:top w:val="nil"/>
          <w:left w:val="nil"/>
          <w:bottom w:val="nil"/>
          <w:right w:val="nil"/>
          <w:between w:val="nil"/>
        </w:pBdr>
        <w:spacing w:before="240"/>
        <w:ind w:left="567" w:right="963"/>
        <w:jc w:val="center"/>
        <w:rPr>
          <w:rFonts w:ascii="Palatino Linotype" w:eastAsia="Palatino Linotype" w:hAnsi="Palatino Linotype" w:cs="Palatino Linotype"/>
          <w:b/>
          <w:i/>
          <w:color w:val="000000"/>
          <w:sz w:val="22"/>
          <w:szCs w:val="22"/>
        </w:rPr>
      </w:pPr>
      <w:r w:rsidRPr="00AE79BC">
        <w:rPr>
          <w:rFonts w:ascii="Palatino Linotype" w:eastAsia="Palatino Linotype" w:hAnsi="Palatino Linotype" w:cs="Palatino Linotype"/>
          <w:b/>
          <w:i/>
          <w:color w:val="000000"/>
          <w:sz w:val="22"/>
          <w:szCs w:val="22"/>
        </w:rPr>
        <w:t>Capítulo I</w:t>
      </w:r>
    </w:p>
    <w:p w:rsidR="00E50370" w:rsidRPr="00AE79BC" w:rsidRDefault="00A874D8">
      <w:pPr>
        <w:pBdr>
          <w:top w:val="nil"/>
          <w:left w:val="nil"/>
          <w:bottom w:val="nil"/>
          <w:right w:val="nil"/>
          <w:between w:val="nil"/>
        </w:pBdr>
        <w:ind w:left="567" w:right="963"/>
        <w:jc w:val="center"/>
        <w:rPr>
          <w:rFonts w:ascii="Palatino Linotype" w:eastAsia="Palatino Linotype" w:hAnsi="Palatino Linotype" w:cs="Palatino Linotype"/>
          <w:b/>
          <w:i/>
          <w:color w:val="000000"/>
          <w:sz w:val="22"/>
          <w:szCs w:val="22"/>
        </w:rPr>
      </w:pPr>
      <w:r w:rsidRPr="00AE79BC">
        <w:rPr>
          <w:rFonts w:ascii="Palatino Linotype" w:eastAsia="Palatino Linotype" w:hAnsi="Palatino Linotype" w:cs="Palatino Linotype"/>
          <w:b/>
          <w:i/>
          <w:color w:val="000000"/>
          <w:sz w:val="22"/>
          <w:szCs w:val="22"/>
        </w:rPr>
        <w:t>Del Procedimiento de Acceso a la Información Pública</w:t>
      </w:r>
    </w:p>
    <w:p w:rsidR="00E50370" w:rsidRPr="00AE79BC" w:rsidRDefault="00E50370">
      <w:pPr>
        <w:pBdr>
          <w:top w:val="nil"/>
          <w:left w:val="nil"/>
          <w:bottom w:val="nil"/>
          <w:right w:val="nil"/>
          <w:between w:val="nil"/>
        </w:pBdr>
        <w:ind w:left="567" w:right="963"/>
        <w:jc w:val="center"/>
        <w:rPr>
          <w:rFonts w:ascii="Palatino Linotype" w:eastAsia="Palatino Linotype" w:hAnsi="Palatino Linotype" w:cs="Palatino Linotype"/>
          <w:b/>
          <w:i/>
          <w:color w:val="000000"/>
          <w:sz w:val="22"/>
          <w:szCs w:val="22"/>
        </w:rPr>
      </w:pPr>
    </w:p>
    <w:p w:rsidR="00E50370" w:rsidRPr="00AE79BC" w:rsidRDefault="00A874D8">
      <w:pPr>
        <w:pBdr>
          <w:top w:val="nil"/>
          <w:left w:val="nil"/>
          <w:bottom w:val="nil"/>
          <w:right w:val="nil"/>
          <w:between w:val="nil"/>
        </w:pBdr>
        <w:spacing w:after="240"/>
        <w:ind w:left="567" w:right="963"/>
        <w:jc w:val="both"/>
        <w:rPr>
          <w:rFonts w:ascii="Palatino Linotype" w:eastAsia="Palatino Linotype" w:hAnsi="Palatino Linotype" w:cs="Palatino Linotype"/>
          <w:i/>
          <w:color w:val="000000"/>
          <w:sz w:val="22"/>
          <w:szCs w:val="22"/>
        </w:rPr>
      </w:pPr>
      <w:r w:rsidRPr="00AE79BC">
        <w:rPr>
          <w:rFonts w:ascii="Palatino Linotype" w:eastAsia="Palatino Linotype" w:hAnsi="Palatino Linotype" w:cs="Palatino Linotype"/>
          <w:b/>
          <w:i/>
          <w:color w:val="000000"/>
          <w:sz w:val="22"/>
          <w:szCs w:val="22"/>
        </w:rPr>
        <w:t>“Artículo 150.</w:t>
      </w:r>
      <w:r w:rsidRPr="00AE79BC">
        <w:rPr>
          <w:rFonts w:ascii="Palatino Linotype" w:eastAsia="Palatino Linotype" w:hAnsi="Palatino Linotype" w:cs="Palatino Linotype"/>
          <w:i/>
          <w:color w:val="000000"/>
          <w:sz w:val="22"/>
          <w:szCs w:val="22"/>
        </w:rPr>
        <w:t xml:space="preserve"> El procedimiento de acceso a la información es la garantía primaria del derecho en cuestión y se rige por los principios de simplicidad, rapidez gratuidad del procedimiento, auxilio y orientación a los particulares, así como atención adecuada a las personas con discapacidad y a los hablantes de lengua indígena con el objeto de otorgar la protección más amplia del derecho de las personas.”</w:t>
      </w:r>
    </w:p>
    <w:p w:rsidR="00E50370" w:rsidRPr="00AE79BC" w:rsidRDefault="00E50370">
      <w:pPr>
        <w:pBdr>
          <w:top w:val="nil"/>
          <w:left w:val="nil"/>
          <w:bottom w:val="nil"/>
          <w:right w:val="nil"/>
          <w:between w:val="nil"/>
        </w:pBdr>
        <w:spacing w:after="240"/>
        <w:ind w:left="567" w:right="963"/>
        <w:jc w:val="both"/>
        <w:rPr>
          <w:rFonts w:ascii="Palatino Linotype" w:eastAsia="Palatino Linotype" w:hAnsi="Palatino Linotype" w:cs="Palatino Linotype"/>
          <w:i/>
          <w:sz w:val="22"/>
          <w:szCs w:val="22"/>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bookmarkStart w:id="8" w:name="_heading=h.1t3h5sf" w:colFirst="0" w:colLast="0"/>
      <w:bookmarkEnd w:id="8"/>
      <w:r w:rsidRPr="00AE79BC">
        <w:rPr>
          <w:rFonts w:ascii="Palatino Linotype" w:eastAsia="Palatino Linotype" w:hAnsi="Palatino Linotype" w:cs="Palatino Linotype"/>
        </w:rPr>
        <w:t xml:space="preserve">De los artículos transcritos se deriva que prevalece en el procedimiento de acceso a la información pública el principio de auxilio y orientación en favor de los particulares, y, que en los casos en que un Sujeto Obligado determine que no es competente para atender una solicitud de información, por no corresponderle generar o administrar lo solicitado, debe orientar sobre el Sujeto Obligado competente, debiendo hacerlo en el plazo de </w:t>
      </w:r>
      <w:r w:rsidRPr="00AE79BC">
        <w:rPr>
          <w:rFonts w:ascii="Palatino Linotype" w:eastAsia="Palatino Linotype" w:hAnsi="Palatino Linotype" w:cs="Palatino Linotype"/>
          <w:b/>
        </w:rPr>
        <w:t>tres días hábiles</w:t>
      </w:r>
      <w:r w:rsidRPr="00AE79BC">
        <w:rPr>
          <w:rFonts w:ascii="Palatino Linotype" w:eastAsia="Palatino Linotype" w:hAnsi="Palatino Linotype" w:cs="Palatino Linotype"/>
        </w:rPr>
        <w:t xml:space="preserve"> posteriores a la recepción de la solicitud; en caso de no hacerlo en dicho plazo, podrá canalizar la solicitud al Sujeto Obligado competente.</w:t>
      </w:r>
    </w:p>
    <w:p w:rsidR="00E50370" w:rsidRPr="00AE79BC" w:rsidRDefault="00E50370">
      <w:pPr>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lastRenderedPageBreak/>
        <w:t xml:space="preserve">En el caso particular, se precisa que el Particular ingresó la solicitud de información el </w:t>
      </w:r>
      <w:r w:rsidRPr="00AE79BC">
        <w:rPr>
          <w:rFonts w:ascii="Palatino Linotype" w:eastAsia="Palatino Linotype" w:hAnsi="Palatino Linotype" w:cs="Palatino Linotype"/>
          <w:b/>
        </w:rPr>
        <w:t>diez de julio de dos mil veinticuatro</w:t>
      </w:r>
      <w:r w:rsidRPr="00AE79BC">
        <w:rPr>
          <w:rFonts w:ascii="Palatino Linotype" w:eastAsia="Palatino Linotype" w:hAnsi="Palatino Linotype" w:cs="Palatino Linotype"/>
        </w:rPr>
        <w:t xml:space="preserve">, posteriormente el </w:t>
      </w:r>
      <w:r w:rsidRPr="00AE79BC">
        <w:rPr>
          <w:rFonts w:ascii="Palatino Linotype" w:eastAsia="Palatino Linotype" w:hAnsi="Palatino Linotype" w:cs="Palatino Linotype"/>
          <w:b/>
        </w:rPr>
        <w:t>SUJETO OBLIGADO</w:t>
      </w:r>
      <w:r w:rsidRPr="00AE79BC">
        <w:rPr>
          <w:rFonts w:ascii="Palatino Linotype" w:eastAsia="Palatino Linotype" w:hAnsi="Palatino Linotype" w:cs="Palatino Linotype"/>
        </w:rPr>
        <w:t xml:space="preserve"> determinó su incompetencia para atender la solicitud el </w:t>
      </w:r>
      <w:r w:rsidRPr="00AE79BC">
        <w:rPr>
          <w:rFonts w:ascii="Palatino Linotype" w:eastAsia="Palatino Linotype" w:hAnsi="Palatino Linotype" w:cs="Palatino Linotype"/>
          <w:b/>
        </w:rPr>
        <w:t>once de julio de dos mil veinticuatro</w:t>
      </w:r>
      <w:r w:rsidRPr="00AE79BC">
        <w:rPr>
          <w:rFonts w:ascii="Palatino Linotype" w:eastAsia="Palatino Linotype" w:hAnsi="Palatino Linotype" w:cs="Palatino Linotype"/>
        </w:rPr>
        <w:t xml:space="preserve">, es decir, </w:t>
      </w:r>
      <w:r w:rsidRPr="00AE79BC">
        <w:rPr>
          <w:rFonts w:ascii="Palatino Linotype" w:eastAsia="Palatino Linotype" w:hAnsi="Palatino Linotype" w:cs="Palatino Linotype"/>
          <w:b/>
        </w:rPr>
        <w:t xml:space="preserve">un día hábil </w:t>
      </w:r>
      <w:r w:rsidRPr="00AE79BC">
        <w:rPr>
          <w:rFonts w:ascii="Palatino Linotype" w:eastAsia="Palatino Linotype" w:hAnsi="Palatino Linotype" w:cs="Palatino Linotype"/>
        </w:rPr>
        <w:t>posterior a la recepción de la solicitud, por lo cual, se encontraba dentro del plazo establecido en el artículo 167 de la Ley de Transparencia Local.</w:t>
      </w:r>
    </w:p>
    <w:p w:rsidR="00E50370" w:rsidRPr="00AE79BC" w:rsidRDefault="00E50370">
      <w:pPr>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Por lo tanto, bajo los principios de certeza, eficacia y objetividad, establecidos en el artículo 9 de la Ley de Transparencia y Acceso a la Información Pública del Estado de México y Municipios, y derivado de que la información requerida corresponde con atribuciones de un Sujeto Obligado distinto al que le fue presentada la solicitud, y a fin de no dilatar el derecho de acceso a la información, como ya fue establecido, se dejan a salvo los derechos del </w:t>
      </w:r>
      <w:r w:rsidRPr="00AE79BC">
        <w:rPr>
          <w:rFonts w:ascii="Palatino Linotype" w:eastAsia="Palatino Linotype" w:hAnsi="Palatino Linotype" w:cs="Palatino Linotype"/>
          <w:b/>
        </w:rPr>
        <w:t>RECURRENTE</w:t>
      </w:r>
      <w:r w:rsidRPr="00AE79BC">
        <w:rPr>
          <w:rFonts w:ascii="Palatino Linotype" w:eastAsia="Palatino Linotype" w:hAnsi="Palatino Linotype" w:cs="Palatino Linotype"/>
        </w:rPr>
        <w:t xml:space="preserve"> para que pueda realizar la solicitud de información ante el Sujeto Obligado correspondiente.</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r w:rsidRPr="00AE79BC">
        <w:rPr>
          <w:rFonts w:ascii="Palatino Linotype" w:eastAsia="Palatino Linotype" w:hAnsi="Palatino Linotype" w:cs="Palatino Linotype"/>
        </w:rPr>
        <w:t xml:space="preserve">En este sentido, resultan </w:t>
      </w:r>
      <w:r w:rsidRPr="00AE79BC">
        <w:rPr>
          <w:rFonts w:ascii="Palatino Linotype" w:eastAsia="Palatino Linotype" w:hAnsi="Palatino Linotype" w:cs="Palatino Linotype"/>
          <w:b/>
        </w:rPr>
        <w:t>INFUNDADAS</w:t>
      </w:r>
      <w:r w:rsidRPr="00AE79BC">
        <w:rPr>
          <w:rFonts w:ascii="Palatino Linotype" w:eastAsia="Palatino Linotype" w:hAnsi="Palatino Linotype" w:cs="Palatino Linotype"/>
        </w:rPr>
        <w:t xml:space="preserve"> las razones o motivos de inconformidad hechos valer por el </w:t>
      </w:r>
      <w:r w:rsidRPr="00AE79BC">
        <w:rPr>
          <w:rFonts w:ascii="Palatino Linotype" w:eastAsia="Palatino Linotype" w:hAnsi="Palatino Linotype" w:cs="Palatino Linotype"/>
          <w:b/>
        </w:rPr>
        <w:t>RECURRENTE,</w:t>
      </w:r>
      <w:r w:rsidRPr="00AE79BC">
        <w:rPr>
          <w:rFonts w:ascii="Palatino Linotype" w:eastAsia="Palatino Linotype" w:hAnsi="Palatino Linotype" w:cs="Palatino Linotype"/>
        </w:rPr>
        <w:t xml:space="preserve"> toda vez que no se actualizan las hipótesis de procedencia contenidas en el artículo 179, de la Ley de Transparencia y Acceso a la Información Pública del Estado de México y Municipios, de tal manera que se </w:t>
      </w:r>
      <w:r w:rsidRPr="00AE79BC">
        <w:rPr>
          <w:rFonts w:ascii="Palatino Linotype" w:eastAsia="Palatino Linotype" w:hAnsi="Palatino Linotype" w:cs="Palatino Linotype"/>
          <w:b/>
        </w:rPr>
        <w:t>CONFIRMA</w:t>
      </w:r>
      <w:r w:rsidRPr="00AE79BC">
        <w:rPr>
          <w:rFonts w:ascii="Palatino Linotype" w:eastAsia="Palatino Linotype" w:hAnsi="Palatino Linotype" w:cs="Palatino Linotype"/>
        </w:rPr>
        <w:t xml:space="preserve"> la respuesta del </w:t>
      </w:r>
      <w:r w:rsidRPr="00AE79BC">
        <w:rPr>
          <w:rFonts w:ascii="Palatino Linotype" w:eastAsia="Palatino Linotype" w:hAnsi="Palatino Linotype" w:cs="Palatino Linotype"/>
          <w:b/>
        </w:rPr>
        <w:t>SUJETO OBLIGADO.</w:t>
      </w:r>
    </w:p>
    <w:p w:rsidR="00E50370" w:rsidRPr="00AE79BC" w:rsidRDefault="00E50370">
      <w:pPr>
        <w:ind w:right="-28"/>
        <w:jc w:val="both"/>
        <w:rPr>
          <w:rFonts w:ascii="Palatino Linotype" w:eastAsia="Palatino Linotype" w:hAnsi="Palatino Linotype" w:cs="Palatino Linotype"/>
        </w:rPr>
      </w:pPr>
    </w:p>
    <w:p w:rsidR="00E50370" w:rsidRPr="00AE79BC" w:rsidRDefault="00A874D8">
      <w:pPr>
        <w:numPr>
          <w:ilvl w:val="0"/>
          <w:numId w:val="5"/>
        </w:numPr>
        <w:spacing w:line="360" w:lineRule="auto"/>
        <w:ind w:left="0" w:right="-28" w:firstLine="0"/>
        <w:jc w:val="both"/>
        <w:rPr>
          <w:rFonts w:ascii="Palatino Linotype" w:eastAsia="Palatino Linotype" w:hAnsi="Palatino Linotype" w:cs="Palatino Linotype"/>
        </w:rPr>
      </w:pPr>
      <w:bookmarkStart w:id="9" w:name="_heading=h.3rdcrjn" w:colFirst="0" w:colLast="0"/>
      <w:bookmarkEnd w:id="9"/>
      <w:r w:rsidRPr="00AE79BC">
        <w:rPr>
          <w:rFonts w:ascii="Palatino Linotype" w:eastAsia="Palatino Linotype" w:hAnsi="Palatino Linotype" w:cs="Palatino Linotype"/>
          <w:color w:val="222222"/>
        </w:rPr>
        <w:t xml:space="preserve">Por lo anteriormente expuesto y fundado, este </w:t>
      </w:r>
      <w:r w:rsidRPr="00AE79BC">
        <w:rPr>
          <w:rFonts w:ascii="Palatino Linotype" w:eastAsia="Palatino Linotype" w:hAnsi="Palatino Linotype" w:cs="Palatino Linotype"/>
          <w:b/>
          <w:color w:val="222222"/>
        </w:rPr>
        <w:t>ÓRGANO GARANTE</w:t>
      </w:r>
      <w:r w:rsidRPr="00AE79BC">
        <w:rPr>
          <w:rFonts w:ascii="Palatino Linotype" w:eastAsia="Palatino Linotype" w:hAnsi="Palatino Linotype" w:cs="Palatino Linotype"/>
          <w:color w:val="222222"/>
        </w:rPr>
        <w:t xml:space="preserve"> emite los siguientes:</w:t>
      </w:r>
    </w:p>
    <w:p w:rsidR="00E50370" w:rsidRPr="00AE79BC" w:rsidRDefault="00E50370">
      <w:pPr>
        <w:spacing w:line="360" w:lineRule="auto"/>
        <w:ind w:right="-28"/>
        <w:jc w:val="both"/>
        <w:rPr>
          <w:rFonts w:ascii="Palatino Linotype" w:eastAsia="Palatino Linotype" w:hAnsi="Palatino Linotype" w:cs="Palatino Linotype"/>
        </w:rPr>
      </w:pPr>
    </w:p>
    <w:p w:rsidR="00E50370" w:rsidRPr="00AE79BC" w:rsidRDefault="00A874D8">
      <w:pPr>
        <w:keepNext/>
        <w:keepLines/>
        <w:spacing w:line="360" w:lineRule="auto"/>
        <w:ind w:right="-28"/>
        <w:jc w:val="center"/>
        <w:rPr>
          <w:rFonts w:ascii="Palatino Linotype" w:eastAsia="Palatino Linotype" w:hAnsi="Palatino Linotype" w:cs="Palatino Linotype"/>
          <w:b/>
          <w:color w:val="000000"/>
        </w:rPr>
      </w:pPr>
      <w:r w:rsidRPr="00AE79BC">
        <w:rPr>
          <w:rFonts w:ascii="Palatino Linotype" w:eastAsia="Palatino Linotype" w:hAnsi="Palatino Linotype" w:cs="Palatino Linotype"/>
          <w:b/>
          <w:color w:val="000000"/>
        </w:rPr>
        <w:lastRenderedPageBreak/>
        <w:t>R E S O L U T I V O S</w:t>
      </w:r>
    </w:p>
    <w:p w:rsidR="00E50370" w:rsidRPr="00AE79BC" w:rsidRDefault="00E50370">
      <w:pPr>
        <w:keepNext/>
        <w:keepLines/>
        <w:ind w:right="-28"/>
        <w:jc w:val="center"/>
        <w:rPr>
          <w:rFonts w:ascii="Palatino Linotype" w:eastAsia="Palatino Linotype" w:hAnsi="Palatino Linotype" w:cs="Palatino Linotype"/>
          <w:b/>
        </w:rPr>
      </w:pPr>
    </w:p>
    <w:p w:rsidR="00E50370" w:rsidRPr="00AE79BC" w:rsidRDefault="00A874D8">
      <w:pPr>
        <w:spacing w:line="360" w:lineRule="auto"/>
        <w:ind w:right="-28"/>
        <w:jc w:val="both"/>
        <w:rPr>
          <w:rFonts w:ascii="Palatino Linotype" w:eastAsia="Palatino Linotype" w:hAnsi="Palatino Linotype" w:cs="Palatino Linotype"/>
        </w:rPr>
      </w:pPr>
      <w:r w:rsidRPr="00AE79BC">
        <w:rPr>
          <w:rFonts w:ascii="Palatino Linotype" w:eastAsia="Palatino Linotype" w:hAnsi="Palatino Linotype" w:cs="Palatino Linotype"/>
          <w:b/>
        </w:rPr>
        <w:t xml:space="preserve">PRIMERO. </w:t>
      </w:r>
      <w:r w:rsidRPr="00AE79BC">
        <w:rPr>
          <w:rFonts w:ascii="Palatino Linotype" w:eastAsia="Palatino Linotype" w:hAnsi="Palatino Linotype" w:cs="Palatino Linotype"/>
        </w:rPr>
        <w:t>Resultan infundadas las</w:t>
      </w:r>
      <w:r w:rsidRPr="00AE79BC">
        <w:rPr>
          <w:rFonts w:ascii="Palatino Linotype" w:eastAsia="Palatino Linotype" w:hAnsi="Palatino Linotype" w:cs="Palatino Linotype"/>
          <w:b/>
        </w:rPr>
        <w:t xml:space="preserve"> </w:t>
      </w:r>
      <w:r w:rsidRPr="00AE79BC">
        <w:rPr>
          <w:rFonts w:ascii="Palatino Linotype" w:eastAsia="Palatino Linotype" w:hAnsi="Palatino Linotype" w:cs="Palatino Linotype"/>
        </w:rPr>
        <w:t>razones o motivos de inconformidad hechos valer en el recurso de revisión</w:t>
      </w:r>
      <w:r w:rsidRPr="00AE79BC">
        <w:rPr>
          <w:rFonts w:ascii="Palatino Linotype" w:eastAsia="Palatino Linotype" w:hAnsi="Palatino Linotype" w:cs="Palatino Linotype"/>
          <w:b/>
        </w:rPr>
        <w:t xml:space="preserve"> 04663/INFOEM/IP/RR/2024, </w:t>
      </w:r>
      <w:r w:rsidRPr="00AE79BC">
        <w:rPr>
          <w:rFonts w:ascii="Palatino Linotype" w:eastAsia="Palatino Linotype" w:hAnsi="Palatino Linotype" w:cs="Palatino Linotype"/>
        </w:rPr>
        <w:t xml:space="preserve">en términos del </w:t>
      </w:r>
      <w:r w:rsidRPr="00AE79BC">
        <w:rPr>
          <w:rFonts w:ascii="Palatino Linotype" w:eastAsia="Palatino Linotype" w:hAnsi="Palatino Linotype" w:cs="Palatino Linotype"/>
          <w:b/>
        </w:rPr>
        <w:t>Considerando</w:t>
      </w:r>
      <w:r w:rsidRPr="00AE79BC">
        <w:rPr>
          <w:rFonts w:ascii="Palatino Linotype" w:eastAsia="Palatino Linotype" w:hAnsi="Palatino Linotype" w:cs="Palatino Linotype"/>
        </w:rPr>
        <w:t xml:space="preserve"> </w:t>
      </w:r>
      <w:r w:rsidRPr="00AE79BC">
        <w:rPr>
          <w:rFonts w:ascii="Palatino Linotype" w:eastAsia="Palatino Linotype" w:hAnsi="Palatino Linotype" w:cs="Palatino Linotype"/>
          <w:b/>
        </w:rPr>
        <w:t>CUARTO</w:t>
      </w:r>
      <w:r w:rsidRPr="00AE79BC">
        <w:rPr>
          <w:rFonts w:ascii="Palatino Linotype" w:eastAsia="Palatino Linotype" w:hAnsi="Palatino Linotype" w:cs="Palatino Linotype"/>
        </w:rPr>
        <w:t xml:space="preserve"> de la presente resolución.</w:t>
      </w:r>
    </w:p>
    <w:p w:rsidR="00E50370" w:rsidRPr="00AE79BC" w:rsidRDefault="00E50370">
      <w:pPr>
        <w:ind w:right="-28"/>
        <w:jc w:val="both"/>
        <w:rPr>
          <w:rFonts w:ascii="Palatino Linotype" w:eastAsia="Palatino Linotype" w:hAnsi="Palatino Linotype" w:cs="Palatino Linotype"/>
        </w:rPr>
      </w:pPr>
    </w:p>
    <w:p w:rsidR="00E50370" w:rsidRPr="00AE79BC" w:rsidRDefault="00A874D8">
      <w:pPr>
        <w:spacing w:line="360" w:lineRule="auto"/>
        <w:ind w:right="-28"/>
        <w:jc w:val="both"/>
        <w:rPr>
          <w:rFonts w:ascii="Palatino Linotype" w:eastAsia="Palatino Linotype" w:hAnsi="Palatino Linotype" w:cs="Palatino Linotype"/>
          <w:b/>
        </w:rPr>
      </w:pPr>
      <w:r w:rsidRPr="00AE79BC">
        <w:rPr>
          <w:rFonts w:ascii="Palatino Linotype" w:eastAsia="Palatino Linotype" w:hAnsi="Palatino Linotype" w:cs="Palatino Linotype"/>
          <w:b/>
        </w:rPr>
        <w:t>SEGUNDO.</w:t>
      </w:r>
      <w:r w:rsidRPr="00AE79BC">
        <w:rPr>
          <w:rFonts w:ascii="Palatino Linotype" w:eastAsia="Palatino Linotype" w:hAnsi="Palatino Linotype" w:cs="Palatino Linotype"/>
          <w:b/>
          <w:color w:val="2E75B5"/>
        </w:rPr>
        <w:t xml:space="preserve"> </w:t>
      </w:r>
      <w:r w:rsidRPr="00AE79BC">
        <w:rPr>
          <w:rFonts w:ascii="Palatino Linotype" w:eastAsia="Palatino Linotype" w:hAnsi="Palatino Linotype" w:cs="Palatino Linotype"/>
        </w:rPr>
        <w:t>Se</w:t>
      </w:r>
      <w:r w:rsidRPr="00AE79BC">
        <w:rPr>
          <w:rFonts w:ascii="Palatino Linotype" w:eastAsia="Palatino Linotype" w:hAnsi="Palatino Linotype" w:cs="Palatino Linotype"/>
          <w:b/>
        </w:rPr>
        <w:t xml:space="preserve"> CONFIRMA </w:t>
      </w:r>
      <w:r w:rsidRPr="00AE79BC">
        <w:rPr>
          <w:rFonts w:ascii="Palatino Linotype" w:eastAsia="Palatino Linotype" w:hAnsi="Palatino Linotype" w:cs="Palatino Linotype"/>
        </w:rPr>
        <w:t xml:space="preserve">la respuesta emitida por la </w:t>
      </w:r>
      <w:r w:rsidRPr="00AE79BC">
        <w:rPr>
          <w:rFonts w:ascii="Palatino Linotype" w:eastAsia="Palatino Linotype" w:hAnsi="Palatino Linotype" w:cs="Palatino Linotype"/>
          <w:b/>
        </w:rPr>
        <w:t xml:space="preserve">Secretaría de la Contraloría del Estado de México </w:t>
      </w:r>
      <w:r w:rsidRPr="00AE79BC">
        <w:rPr>
          <w:rFonts w:ascii="Palatino Linotype" w:eastAsia="Palatino Linotype" w:hAnsi="Palatino Linotype" w:cs="Palatino Linotype"/>
        </w:rPr>
        <w:t xml:space="preserve">a la solicitud </w:t>
      </w:r>
      <w:r w:rsidRPr="00AE79BC">
        <w:rPr>
          <w:rFonts w:ascii="Palatino Linotype" w:eastAsia="Palatino Linotype" w:hAnsi="Palatino Linotype" w:cs="Palatino Linotype"/>
          <w:b/>
        </w:rPr>
        <w:t>00267/SECOGEM/IP/2024.</w:t>
      </w:r>
    </w:p>
    <w:p w:rsidR="00E50370" w:rsidRPr="00AE79BC" w:rsidRDefault="00E50370">
      <w:pPr>
        <w:ind w:right="-28"/>
        <w:jc w:val="both"/>
        <w:rPr>
          <w:rFonts w:ascii="Palatino Linotype" w:eastAsia="Palatino Linotype" w:hAnsi="Palatino Linotype" w:cs="Palatino Linotype"/>
          <w:b/>
        </w:rPr>
      </w:pPr>
    </w:p>
    <w:p w:rsidR="00E50370" w:rsidRPr="00AE79BC" w:rsidRDefault="00A874D8">
      <w:pPr>
        <w:tabs>
          <w:tab w:val="left" w:pos="8080"/>
        </w:tabs>
        <w:spacing w:line="360" w:lineRule="auto"/>
        <w:ind w:right="-28"/>
        <w:jc w:val="both"/>
        <w:rPr>
          <w:rFonts w:ascii="Palatino Linotype" w:eastAsia="Palatino Linotype" w:hAnsi="Palatino Linotype" w:cs="Palatino Linotype"/>
          <w:b/>
        </w:rPr>
      </w:pPr>
      <w:r w:rsidRPr="00AE79BC">
        <w:rPr>
          <w:rFonts w:ascii="Palatino Linotype" w:eastAsia="Palatino Linotype" w:hAnsi="Palatino Linotype" w:cs="Palatino Linotype"/>
          <w:b/>
        </w:rPr>
        <w:t xml:space="preserve">TERCERO. NOTIFÍQUESE, </w:t>
      </w:r>
      <w:r w:rsidRPr="00AE79BC">
        <w:rPr>
          <w:rFonts w:ascii="Palatino Linotype" w:eastAsia="Palatino Linotype" w:hAnsi="Palatino Linotype" w:cs="Palatino Linotype"/>
        </w:rPr>
        <w:t xml:space="preserve">vía Sistema de Acceso a la Información Mexiquense </w:t>
      </w:r>
      <w:r w:rsidRPr="00AE79BC">
        <w:rPr>
          <w:rFonts w:ascii="Palatino Linotype" w:eastAsia="Palatino Linotype" w:hAnsi="Palatino Linotype" w:cs="Palatino Linotype"/>
          <w:b/>
        </w:rPr>
        <w:t>(SAIMEX),</w:t>
      </w:r>
      <w:r w:rsidRPr="00AE79BC">
        <w:rPr>
          <w:rFonts w:ascii="Palatino Linotype" w:eastAsia="Palatino Linotype" w:hAnsi="Palatino Linotype" w:cs="Palatino Linotype"/>
        </w:rPr>
        <w:t xml:space="preserve"> la presente resolución al Titular de la Unidad de Transparencia del </w:t>
      </w:r>
      <w:r w:rsidRPr="00AE79BC">
        <w:rPr>
          <w:rFonts w:ascii="Palatino Linotype" w:eastAsia="Palatino Linotype" w:hAnsi="Palatino Linotype" w:cs="Palatino Linotype"/>
          <w:b/>
        </w:rPr>
        <w:t>SUJETO OBLIGADO.</w:t>
      </w:r>
    </w:p>
    <w:p w:rsidR="00E50370" w:rsidRPr="00AE79BC" w:rsidRDefault="00E50370">
      <w:pPr>
        <w:tabs>
          <w:tab w:val="left" w:pos="8080"/>
        </w:tabs>
        <w:ind w:right="-28"/>
        <w:jc w:val="both"/>
        <w:rPr>
          <w:rFonts w:ascii="Palatino Linotype" w:eastAsia="Palatino Linotype" w:hAnsi="Palatino Linotype" w:cs="Palatino Linotype"/>
          <w:b/>
        </w:rPr>
      </w:pPr>
    </w:p>
    <w:p w:rsidR="00E50370" w:rsidRPr="00AE79BC" w:rsidRDefault="00A874D8">
      <w:pPr>
        <w:shd w:val="clear" w:color="auto" w:fill="FFFFFF"/>
        <w:spacing w:line="360" w:lineRule="auto"/>
        <w:ind w:right="-28"/>
        <w:jc w:val="both"/>
        <w:rPr>
          <w:rFonts w:ascii="Palatino Linotype" w:eastAsia="Palatino Linotype" w:hAnsi="Palatino Linotype" w:cs="Palatino Linotype"/>
        </w:rPr>
      </w:pPr>
      <w:r w:rsidRPr="00AE79BC">
        <w:rPr>
          <w:rFonts w:ascii="Palatino Linotype" w:eastAsia="Palatino Linotype" w:hAnsi="Palatino Linotype" w:cs="Palatino Linotype"/>
          <w:b/>
        </w:rPr>
        <w:t xml:space="preserve">CUARTO. </w:t>
      </w:r>
      <w:r w:rsidRPr="00AE79BC">
        <w:rPr>
          <w:rFonts w:ascii="Palatino Linotype" w:eastAsia="Palatino Linotype" w:hAnsi="Palatino Linotype" w:cs="Palatino Linotype"/>
          <w:b/>
          <w:color w:val="222222"/>
        </w:rPr>
        <w:t>Notifíquese al RECURRENTE</w:t>
      </w:r>
      <w:r w:rsidRPr="00AE79BC">
        <w:rPr>
          <w:rFonts w:ascii="Palatino Linotype" w:eastAsia="Palatino Linotype" w:hAnsi="Palatino Linotype" w:cs="Palatino Linotype"/>
          <w:b/>
        </w:rPr>
        <w:t xml:space="preserve"> </w:t>
      </w:r>
      <w:r w:rsidRPr="00AE79BC">
        <w:rPr>
          <w:rFonts w:ascii="Palatino Linotype" w:eastAsia="Palatino Linotype" w:hAnsi="Palatino Linotype" w:cs="Palatino Linotype"/>
        </w:rPr>
        <w:t xml:space="preserve">la presente resolución a través del </w:t>
      </w:r>
      <w:r w:rsidRPr="00AE79BC">
        <w:rPr>
          <w:rFonts w:ascii="Palatino Linotype" w:eastAsia="Palatino Linotype" w:hAnsi="Palatino Linotype" w:cs="Palatino Linotype"/>
          <w:b/>
        </w:rPr>
        <w:t>SAIMEX.</w:t>
      </w:r>
    </w:p>
    <w:p w:rsidR="00E50370" w:rsidRPr="00AE79BC" w:rsidRDefault="00A874D8">
      <w:pPr>
        <w:spacing w:before="240" w:after="240" w:line="360" w:lineRule="auto"/>
        <w:ind w:right="-28"/>
        <w:jc w:val="both"/>
        <w:rPr>
          <w:rFonts w:ascii="Palatino Linotype" w:eastAsia="Palatino Linotype" w:hAnsi="Palatino Linotype" w:cs="Palatino Linotype"/>
        </w:rPr>
      </w:pPr>
      <w:r w:rsidRPr="00AE79BC">
        <w:rPr>
          <w:rFonts w:ascii="Palatino Linotype" w:eastAsia="Palatino Linotype" w:hAnsi="Palatino Linotype" w:cs="Palatino Linotype"/>
          <w:b/>
        </w:rPr>
        <w:t>QUINTO.</w:t>
      </w:r>
      <w:r w:rsidRPr="00AE79BC">
        <w:rPr>
          <w:rFonts w:ascii="Palatino Linotype" w:eastAsia="Palatino Linotype" w:hAnsi="Palatino Linotype" w:cs="Palatino Linotype"/>
        </w:rPr>
        <w:t xml:space="preserve"> Se hace del conocimiento del </w:t>
      </w:r>
      <w:r w:rsidRPr="00AE79BC">
        <w:rPr>
          <w:rFonts w:ascii="Palatino Linotype" w:eastAsia="Palatino Linotype" w:hAnsi="Palatino Linotype" w:cs="Palatino Linotype"/>
          <w:b/>
          <w:color w:val="222222"/>
        </w:rPr>
        <w:t>RECURRENTE</w:t>
      </w:r>
      <w:r w:rsidRPr="00AE79BC">
        <w:rPr>
          <w:rFonts w:ascii="Palatino Linotype" w:eastAsia="Palatino Linotype" w:hAnsi="Palatino Linotype" w:cs="Palatino Linotype"/>
          <w:b/>
        </w:rPr>
        <w:t xml:space="preserve"> </w:t>
      </w:r>
      <w:r w:rsidRPr="00AE79BC">
        <w:rPr>
          <w:rFonts w:ascii="Palatino Linotype" w:eastAsia="Palatino Linotype" w:hAnsi="Palatino Linotype" w:cs="Palatino Linotype"/>
        </w:rPr>
        <w:t>que, de conformidad con lo establecido en el artículo 196 de la Ley de Transparencia y Acceso a la Información Pública del Estado de México y Municipios, en caso de que considere que la resolución le cause algún perjuicio podrá impugnar vía juicio de amparo en los términos de las leyes aplicables.</w:t>
      </w:r>
    </w:p>
    <w:p w:rsidR="00E50370" w:rsidRPr="00AE79BC" w:rsidRDefault="00E50370">
      <w:pPr>
        <w:spacing w:before="240" w:after="240"/>
        <w:ind w:right="-28"/>
        <w:jc w:val="both"/>
        <w:rPr>
          <w:rFonts w:ascii="Palatino Linotype" w:eastAsia="Palatino Linotype" w:hAnsi="Palatino Linotype" w:cs="Palatino Linotype"/>
        </w:rPr>
      </w:pPr>
    </w:p>
    <w:p w:rsidR="00643B74" w:rsidRPr="003C7186" w:rsidRDefault="00643B74" w:rsidP="00643B74">
      <w:pPr>
        <w:spacing w:line="360" w:lineRule="auto"/>
        <w:ind w:right="-29" w:firstLine="1"/>
        <w:jc w:val="both"/>
        <w:rPr>
          <w:rFonts w:ascii="Palatino Linotype" w:hAnsi="Palatino Linotype"/>
        </w:rPr>
      </w:pPr>
      <w:r w:rsidRPr="00AE79BC">
        <w:rPr>
          <w:rFonts w:ascii="Palatino Linotype" w:hAnsi="Palatino Linotype"/>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w:t>
      </w:r>
      <w:r w:rsidRPr="00AE79BC">
        <w:rPr>
          <w:rFonts w:ascii="Palatino Linotype" w:hAnsi="Palatino Linotype"/>
        </w:rPr>
        <w:lastRenderedPageBreak/>
        <w:t>GUADALUPE RAMÍREZ PEÑA; EN LA OCTAVA SESIÓN ORDINARIA CELEBRADA EL SEIS (06) DE MARZO DE DOS MIL VEINTICINCO, ANTE EL SECRETARIO TÉCNICO DEL PLENO ALEXIS TAPIA RAMÍREZ.</w:t>
      </w:r>
      <w:r w:rsidRPr="003C7186">
        <w:rPr>
          <w:rFonts w:ascii="Palatino Linotype" w:hAnsi="Palatino Linotype"/>
        </w:rPr>
        <w:t xml:space="preserve"> </w:t>
      </w:r>
    </w:p>
    <w:p w:rsidR="00E50370" w:rsidRDefault="00E50370" w:rsidP="00643B74">
      <w:pPr>
        <w:spacing w:line="360" w:lineRule="auto"/>
        <w:ind w:right="-29"/>
        <w:jc w:val="both"/>
        <w:rPr>
          <w:rFonts w:ascii="Palatino Linotype" w:eastAsia="Palatino Linotype" w:hAnsi="Palatino Linotype" w:cs="Palatino Linotype"/>
        </w:rPr>
      </w:pPr>
    </w:p>
    <w:p w:rsidR="00E50370" w:rsidRDefault="00E50370">
      <w:pPr>
        <w:spacing w:line="360" w:lineRule="auto"/>
        <w:ind w:right="-28"/>
        <w:jc w:val="both"/>
        <w:rPr>
          <w:rFonts w:ascii="Palatino Linotype" w:eastAsia="Palatino Linotype" w:hAnsi="Palatino Linotype" w:cs="Palatino Linotype"/>
        </w:rPr>
      </w:pPr>
    </w:p>
    <w:p w:rsidR="00E50370" w:rsidRDefault="00E50370">
      <w:pPr>
        <w:spacing w:line="360" w:lineRule="auto"/>
        <w:ind w:right="-28"/>
        <w:jc w:val="both"/>
        <w:rPr>
          <w:rFonts w:ascii="Palatino Linotype" w:eastAsia="Palatino Linotype" w:hAnsi="Palatino Linotype" w:cs="Palatino Linotype"/>
        </w:rPr>
      </w:pPr>
    </w:p>
    <w:p w:rsidR="00E50370" w:rsidRDefault="00E50370">
      <w:pPr>
        <w:spacing w:line="360" w:lineRule="auto"/>
        <w:ind w:right="-28"/>
        <w:jc w:val="both"/>
        <w:rPr>
          <w:rFonts w:ascii="Palatino Linotype" w:eastAsia="Palatino Linotype" w:hAnsi="Palatino Linotype" w:cs="Palatino Linotype"/>
        </w:rPr>
      </w:pPr>
    </w:p>
    <w:p w:rsidR="00E50370" w:rsidRDefault="00E50370">
      <w:pPr>
        <w:spacing w:line="360" w:lineRule="auto"/>
        <w:ind w:right="-28"/>
        <w:jc w:val="both"/>
        <w:rPr>
          <w:rFonts w:ascii="Palatino Linotype" w:eastAsia="Palatino Linotype" w:hAnsi="Palatino Linotype" w:cs="Palatino Linotype"/>
        </w:rPr>
      </w:pPr>
    </w:p>
    <w:p w:rsidR="00E50370" w:rsidRDefault="00E50370">
      <w:pPr>
        <w:spacing w:line="360" w:lineRule="auto"/>
        <w:ind w:right="-28"/>
        <w:jc w:val="both"/>
        <w:rPr>
          <w:rFonts w:ascii="Palatino Linotype" w:eastAsia="Palatino Linotype" w:hAnsi="Palatino Linotype" w:cs="Palatino Linotype"/>
        </w:rPr>
      </w:pPr>
    </w:p>
    <w:p w:rsidR="00E50370" w:rsidRDefault="00E50370">
      <w:pPr>
        <w:spacing w:line="360" w:lineRule="auto"/>
        <w:ind w:right="-28"/>
        <w:rPr>
          <w:rFonts w:ascii="Palatino Linotype" w:eastAsia="Palatino Linotype" w:hAnsi="Palatino Linotype" w:cs="Palatino Linotype"/>
        </w:rPr>
      </w:pPr>
    </w:p>
    <w:p w:rsidR="00E50370" w:rsidRDefault="00E50370">
      <w:pPr>
        <w:spacing w:line="360" w:lineRule="auto"/>
        <w:ind w:right="-28"/>
        <w:rPr>
          <w:rFonts w:ascii="Palatino Linotype" w:eastAsia="Palatino Linotype" w:hAnsi="Palatino Linotype" w:cs="Palatino Linotype"/>
        </w:rPr>
      </w:pPr>
    </w:p>
    <w:p w:rsidR="00E50370" w:rsidRDefault="00E50370">
      <w:pPr>
        <w:spacing w:line="360" w:lineRule="auto"/>
        <w:ind w:right="-28"/>
        <w:rPr>
          <w:rFonts w:ascii="Palatino Linotype" w:eastAsia="Palatino Linotype" w:hAnsi="Palatino Linotype" w:cs="Palatino Linotype"/>
        </w:rPr>
      </w:pPr>
    </w:p>
    <w:p w:rsidR="00E50370" w:rsidRDefault="00E50370">
      <w:pPr>
        <w:spacing w:line="360" w:lineRule="auto"/>
        <w:ind w:right="-28"/>
        <w:rPr>
          <w:rFonts w:ascii="Palatino Linotype" w:eastAsia="Palatino Linotype" w:hAnsi="Palatino Linotype" w:cs="Palatino Linotype"/>
        </w:rPr>
      </w:pPr>
    </w:p>
    <w:p w:rsidR="00E50370" w:rsidRDefault="00E50370">
      <w:pPr>
        <w:spacing w:line="360" w:lineRule="auto"/>
        <w:ind w:right="-28"/>
        <w:rPr>
          <w:rFonts w:ascii="Palatino Linotype" w:eastAsia="Palatino Linotype" w:hAnsi="Palatino Linotype" w:cs="Palatino Linotype"/>
        </w:rPr>
      </w:pPr>
    </w:p>
    <w:p w:rsidR="00E50370" w:rsidRDefault="00E50370">
      <w:pPr>
        <w:spacing w:line="360" w:lineRule="auto"/>
        <w:ind w:right="-28"/>
        <w:rPr>
          <w:rFonts w:ascii="Palatino Linotype" w:eastAsia="Palatino Linotype" w:hAnsi="Palatino Linotype" w:cs="Palatino Linotype"/>
        </w:rPr>
      </w:pPr>
    </w:p>
    <w:p w:rsidR="00E50370" w:rsidRDefault="00E50370">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p w:rsidR="00AE79BC" w:rsidRDefault="00AE79BC">
      <w:pPr>
        <w:spacing w:line="360" w:lineRule="auto"/>
        <w:ind w:right="-28"/>
        <w:rPr>
          <w:rFonts w:ascii="Palatino Linotype" w:eastAsia="Palatino Linotype" w:hAnsi="Palatino Linotype" w:cs="Palatino Linotype"/>
        </w:rPr>
      </w:pPr>
    </w:p>
    <w:sectPr w:rsidR="00AE79BC">
      <w:headerReference w:type="even" r:id="rId11"/>
      <w:headerReference w:type="default" r:id="rId12"/>
      <w:footerReference w:type="default" r:id="rId13"/>
      <w:headerReference w:type="first" r:id="rId14"/>
      <w:footerReference w:type="first" r:id="rId15"/>
      <w:pgSz w:w="12240" w:h="15840"/>
      <w:pgMar w:top="3402" w:right="900" w:bottom="1418" w:left="1588" w:header="709" w:footer="91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714E" w:rsidRDefault="0086714E">
      <w:r>
        <w:separator/>
      </w:r>
    </w:p>
  </w:endnote>
  <w:endnote w:type="continuationSeparator" w:id="0">
    <w:p w:rsidR="0086714E" w:rsidRDefault="008671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0370" w:rsidRDefault="00A874D8">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CE6E0E">
      <w:rPr>
        <w:b/>
        <w:noProof/>
        <w:color w:val="000000"/>
      </w:rPr>
      <w:t>24</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CE6E0E">
      <w:rPr>
        <w:b/>
        <w:noProof/>
        <w:color w:val="000000"/>
      </w:rPr>
      <w:t>30</w:t>
    </w:r>
    <w:r>
      <w:rPr>
        <w:b/>
        <w:color w:val="000000"/>
      </w:rPr>
      <w:fldChar w:fldCharType="end"/>
    </w:r>
  </w:p>
  <w:p w:rsidR="00E50370" w:rsidRDefault="00E50370">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0370" w:rsidRDefault="00A874D8">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CE6E0E">
      <w:rPr>
        <w:b/>
        <w:noProof/>
        <w:color w:val="000000"/>
      </w:rPr>
      <w:t>1</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CE6E0E">
      <w:rPr>
        <w:b/>
        <w:noProof/>
        <w:color w:val="000000"/>
      </w:rPr>
      <w:t>30</w:t>
    </w:r>
    <w:r>
      <w:rPr>
        <w:b/>
        <w:color w:val="000000"/>
      </w:rPr>
      <w:fldChar w:fldCharType="end"/>
    </w:r>
  </w:p>
  <w:p w:rsidR="00E50370" w:rsidRDefault="00E50370">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714E" w:rsidRDefault="0086714E">
      <w:r>
        <w:separator/>
      </w:r>
    </w:p>
  </w:footnote>
  <w:footnote w:type="continuationSeparator" w:id="0">
    <w:p w:rsidR="0086714E" w:rsidRDefault="0086714E">
      <w:r>
        <w:continuationSeparator/>
      </w:r>
    </w:p>
  </w:footnote>
  <w:footnote w:id="1">
    <w:p w:rsidR="00E50370" w:rsidRDefault="00A874D8">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Convención Americana sobre Derechos Humanos. Artículo 13.</w:t>
      </w:r>
    </w:p>
  </w:footnote>
  <w:footnote w:id="2">
    <w:p w:rsidR="00E50370" w:rsidRDefault="00A874D8">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Constitución Política de los Estados Unidos Mexicanos. Artículo sexto, sección A, fracción I.</w:t>
      </w:r>
    </w:p>
  </w:footnote>
  <w:footnote w:id="3">
    <w:p w:rsidR="00E50370" w:rsidRDefault="00A874D8">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Corte Interamericana de Derechos Humanos. Caso Claude Reyes y otros vs. Chile. Sentencia de 19 de septiembre de 2006. Serie C. No. 151. Párr. 86.</w:t>
      </w:r>
    </w:p>
  </w:footnote>
  <w:footnote w:id="4">
    <w:p w:rsidR="00E50370" w:rsidRDefault="00A874D8">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Ibídem. </w:t>
      </w:r>
      <w:proofErr w:type="spellStart"/>
      <w:r>
        <w:rPr>
          <w:rFonts w:ascii="Calibri" w:eastAsia="Calibri" w:hAnsi="Calibri" w:cs="Calibri"/>
          <w:color w:val="000000"/>
          <w:sz w:val="20"/>
          <w:szCs w:val="20"/>
        </w:rPr>
        <w:t>Parr</w:t>
      </w:r>
      <w:proofErr w:type="spellEnd"/>
      <w:r>
        <w:rPr>
          <w:rFonts w:ascii="Calibri" w:eastAsia="Calibri" w:hAnsi="Calibri" w:cs="Calibri"/>
          <w:color w:val="000000"/>
          <w:sz w:val="20"/>
          <w:szCs w:val="20"/>
        </w:rPr>
        <w:t>. 87.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0370" w:rsidRDefault="0086714E">
    <w:pPr>
      <w:pBdr>
        <w:top w:val="nil"/>
        <w:left w:val="nil"/>
        <w:bottom w:val="nil"/>
        <w:right w:val="nil"/>
        <w:between w:val="nil"/>
      </w:pBdr>
      <w:tabs>
        <w:tab w:val="center" w:pos="4419"/>
        <w:tab w:val="right" w:pos="8838"/>
      </w:tabs>
      <w:rPr>
        <w:color w:val="000000"/>
      </w:rPr>
    </w:pPr>
    <w:r>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alt="" style="position:absolute;margin-left:0;margin-top:0;width:589.8pt;height:768pt;z-index:-251657728;mso-position-horizontal:center;mso-position-horizontal-relative:margin;mso-position-vertical:center;mso-position-vertical-relative:margin">
          <v:imagedata r:id="rId1" o:title="image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0370" w:rsidRDefault="00E50370">
    <w:pPr>
      <w:widowControl w:val="0"/>
      <w:pBdr>
        <w:top w:val="nil"/>
        <w:left w:val="nil"/>
        <w:bottom w:val="nil"/>
        <w:right w:val="nil"/>
        <w:between w:val="nil"/>
      </w:pBdr>
      <w:spacing w:line="276" w:lineRule="auto"/>
      <w:rPr>
        <w:color w:val="000000"/>
      </w:rPr>
    </w:pPr>
  </w:p>
  <w:tbl>
    <w:tblPr>
      <w:tblStyle w:val="af7"/>
      <w:tblW w:w="10290" w:type="dxa"/>
      <w:tblInd w:w="0" w:type="dxa"/>
      <w:tblLayout w:type="fixed"/>
      <w:tblLook w:val="0400" w:firstRow="0" w:lastRow="0" w:firstColumn="0" w:lastColumn="0" w:noHBand="0" w:noVBand="1"/>
    </w:tblPr>
    <w:tblGrid>
      <w:gridCol w:w="2310"/>
      <w:gridCol w:w="7980"/>
    </w:tblGrid>
    <w:tr w:rsidR="00E50370">
      <w:trPr>
        <w:trHeight w:val="917"/>
      </w:trPr>
      <w:tc>
        <w:tcPr>
          <w:tcW w:w="2310" w:type="dxa"/>
          <w:shd w:val="clear" w:color="auto" w:fill="auto"/>
        </w:tcPr>
        <w:p w:rsidR="00E50370" w:rsidRDefault="00E50370">
          <w:pPr>
            <w:tabs>
              <w:tab w:val="right" w:pos="4273"/>
            </w:tabs>
            <w:rPr>
              <w:rFonts w:ascii="Garamond" w:eastAsia="Garamond" w:hAnsi="Garamond" w:cs="Garamond"/>
              <w:sz w:val="16"/>
              <w:szCs w:val="16"/>
            </w:rPr>
          </w:pPr>
        </w:p>
      </w:tc>
      <w:tc>
        <w:tcPr>
          <w:tcW w:w="7980" w:type="dxa"/>
          <w:shd w:val="clear" w:color="auto" w:fill="auto"/>
        </w:tcPr>
        <w:p w:rsidR="00E50370" w:rsidRDefault="00E50370">
          <w:pPr>
            <w:widowControl w:val="0"/>
            <w:pBdr>
              <w:top w:val="nil"/>
              <w:left w:val="nil"/>
              <w:bottom w:val="nil"/>
              <w:right w:val="nil"/>
              <w:between w:val="nil"/>
            </w:pBdr>
            <w:spacing w:line="276" w:lineRule="auto"/>
            <w:rPr>
              <w:rFonts w:ascii="Garamond" w:eastAsia="Garamond" w:hAnsi="Garamond" w:cs="Garamond"/>
              <w:sz w:val="16"/>
              <w:szCs w:val="16"/>
            </w:rPr>
          </w:pPr>
        </w:p>
        <w:tbl>
          <w:tblPr>
            <w:tblStyle w:val="af8"/>
            <w:tblW w:w="7245" w:type="dxa"/>
            <w:tblInd w:w="43" w:type="dxa"/>
            <w:tblLayout w:type="fixed"/>
            <w:tblLook w:val="0400" w:firstRow="0" w:lastRow="0" w:firstColumn="0" w:lastColumn="0" w:noHBand="0" w:noVBand="1"/>
          </w:tblPr>
          <w:tblGrid>
            <w:gridCol w:w="3285"/>
            <w:gridCol w:w="3960"/>
          </w:tblGrid>
          <w:tr w:rsidR="00E50370">
            <w:trPr>
              <w:trHeight w:val="68"/>
            </w:trPr>
            <w:tc>
              <w:tcPr>
                <w:tcW w:w="3285" w:type="dxa"/>
                <w:shd w:val="clear" w:color="auto" w:fill="auto"/>
              </w:tcPr>
              <w:p w:rsidR="00E50370" w:rsidRDefault="00A874D8">
                <w:pPr>
                  <w:tabs>
                    <w:tab w:val="right" w:pos="8838"/>
                  </w:tabs>
                  <w:ind w:left="850" w:right="-274"/>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960" w:type="dxa"/>
                <w:shd w:val="clear" w:color="auto" w:fill="auto"/>
              </w:tcPr>
              <w:p w:rsidR="00E50370" w:rsidRDefault="00A874D8">
                <w:pPr>
                  <w:ind w:right="-1512"/>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04663/INFOEM/IP/RR/2024</w:t>
                </w:r>
              </w:p>
            </w:tc>
          </w:tr>
          <w:tr w:rsidR="00E50370">
            <w:trPr>
              <w:trHeight w:val="135"/>
            </w:trPr>
            <w:tc>
              <w:tcPr>
                <w:tcW w:w="3285" w:type="dxa"/>
                <w:shd w:val="clear" w:color="auto" w:fill="auto"/>
              </w:tcPr>
              <w:p w:rsidR="00E50370" w:rsidRDefault="00A874D8">
                <w:pPr>
                  <w:tabs>
                    <w:tab w:val="right" w:pos="8838"/>
                  </w:tabs>
                  <w:ind w:left="850" w:right="-274"/>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960" w:type="dxa"/>
                <w:shd w:val="clear" w:color="auto" w:fill="auto"/>
              </w:tcPr>
              <w:p w:rsidR="00E50370" w:rsidRDefault="00A874D8">
                <w:pPr>
                  <w:tabs>
                    <w:tab w:val="left" w:pos="2834"/>
                  </w:tabs>
                  <w:ind w:right="-1512"/>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Secretaría de la Contraloría</w:t>
                </w:r>
              </w:p>
            </w:tc>
          </w:tr>
          <w:tr w:rsidR="00E50370">
            <w:trPr>
              <w:trHeight w:val="135"/>
            </w:trPr>
            <w:tc>
              <w:tcPr>
                <w:tcW w:w="3285" w:type="dxa"/>
                <w:shd w:val="clear" w:color="auto" w:fill="auto"/>
              </w:tcPr>
              <w:p w:rsidR="00E50370" w:rsidRDefault="00A874D8">
                <w:pPr>
                  <w:tabs>
                    <w:tab w:val="right" w:pos="8838"/>
                  </w:tabs>
                  <w:ind w:left="850" w:right="-274"/>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960" w:type="dxa"/>
                <w:shd w:val="clear" w:color="auto" w:fill="auto"/>
              </w:tcPr>
              <w:p w:rsidR="00E50370" w:rsidRDefault="00A874D8">
                <w:pPr>
                  <w:ind w:right="-1512"/>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María del Rosario Mejía Ayala</w:t>
                </w:r>
              </w:p>
              <w:p w:rsidR="00E50370" w:rsidRDefault="00E50370">
                <w:pPr>
                  <w:ind w:right="-1512"/>
                  <w:rPr>
                    <w:rFonts w:ascii="Palatino Linotype" w:eastAsia="Palatino Linotype" w:hAnsi="Palatino Linotype" w:cs="Palatino Linotype"/>
                    <w:sz w:val="22"/>
                    <w:szCs w:val="22"/>
                  </w:rPr>
                </w:pPr>
              </w:p>
            </w:tc>
          </w:tr>
        </w:tbl>
        <w:p w:rsidR="00E50370" w:rsidRDefault="00E50370">
          <w:pPr>
            <w:tabs>
              <w:tab w:val="right" w:pos="8838"/>
            </w:tabs>
            <w:ind w:left="-28"/>
            <w:jc w:val="both"/>
            <w:rPr>
              <w:rFonts w:ascii="Arial" w:eastAsia="Arial" w:hAnsi="Arial" w:cs="Arial"/>
              <w:b/>
              <w:sz w:val="22"/>
              <w:szCs w:val="22"/>
            </w:rPr>
          </w:pPr>
        </w:p>
      </w:tc>
    </w:tr>
  </w:tbl>
  <w:p w:rsidR="00E50370" w:rsidRDefault="0086714E">
    <w:pPr>
      <w:pBdr>
        <w:top w:val="nil"/>
        <w:left w:val="nil"/>
        <w:bottom w:val="nil"/>
        <w:right w:val="nil"/>
        <w:between w:val="nil"/>
      </w:pBdr>
      <w:tabs>
        <w:tab w:val="center" w:pos="4419"/>
        <w:tab w:val="right" w:pos="8838"/>
      </w:tabs>
      <w:rPr>
        <w:color w:val="000000"/>
        <w:sz w:val="14"/>
        <w:szCs w:val="14"/>
      </w:rPr>
    </w:pPr>
    <w:r>
      <w:rPr>
        <w:color w:val="000000"/>
        <w:sz w:val="14"/>
        <w:szCs w:val="1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1" type="#_x0000_t75" alt="" style="position:absolute;margin-left:-67.45pt;margin-top:-110.35pt;width:589.8pt;height:768pt;z-index:-251659776;mso-position-horizontal:absolute;mso-position-horizontal-relative:margin;mso-position-vertical:absolute;mso-position-vertical-relative:margin">
          <v:imagedata r:id="rId1" o:title="image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0370" w:rsidRDefault="00E50370">
    <w:pPr>
      <w:widowControl w:val="0"/>
      <w:pBdr>
        <w:top w:val="nil"/>
        <w:left w:val="nil"/>
        <w:bottom w:val="nil"/>
        <w:right w:val="nil"/>
        <w:between w:val="nil"/>
      </w:pBdr>
      <w:spacing w:line="276" w:lineRule="auto"/>
      <w:rPr>
        <w:color w:val="000000"/>
        <w:sz w:val="14"/>
        <w:szCs w:val="14"/>
      </w:rPr>
    </w:pPr>
  </w:p>
  <w:tbl>
    <w:tblPr>
      <w:tblStyle w:val="af9"/>
      <w:tblW w:w="10350" w:type="dxa"/>
      <w:tblInd w:w="0" w:type="dxa"/>
      <w:tblLayout w:type="fixed"/>
      <w:tblLook w:val="0400" w:firstRow="0" w:lastRow="0" w:firstColumn="0" w:lastColumn="0" w:noHBand="0" w:noVBand="1"/>
    </w:tblPr>
    <w:tblGrid>
      <w:gridCol w:w="3092"/>
      <w:gridCol w:w="7258"/>
    </w:tblGrid>
    <w:tr w:rsidR="00E50370">
      <w:trPr>
        <w:trHeight w:val="2303"/>
      </w:trPr>
      <w:tc>
        <w:tcPr>
          <w:tcW w:w="3092" w:type="dxa"/>
          <w:shd w:val="clear" w:color="auto" w:fill="auto"/>
        </w:tcPr>
        <w:p w:rsidR="00E50370" w:rsidRDefault="00E50370">
          <w:pPr>
            <w:tabs>
              <w:tab w:val="right" w:pos="4273"/>
            </w:tabs>
            <w:rPr>
              <w:rFonts w:ascii="Garamond" w:eastAsia="Garamond" w:hAnsi="Garamond" w:cs="Garamond"/>
              <w:sz w:val="22"/>
              <w:szCs w:val="22"/>
            </w:rPr>
          </w:pPr>
        </w:p>
      </w:tc>
      <w:tc>
        <w:tcPr>
          <w:tcW w:w="7258" w:type="dxa"/>
          <w:shd w:val="clear" w:color="auto" w:fill="auto"/>
        </w:tcPr>
        <w:p w:rsidR="00E50370" w:rsidRDefault="00E50370">
          <w:pPr>
            <w:widowControl w:val="0"/>
            <w:pBdr>
              <w:top w:val="nil"/>
              <w:left w:val="nil"/>
              <w:bottom w:val="nil"/>
              <w:right w:val="nil"/>
              <w:between w:val="nil"/>
            </w:pBdr>
            <w:spacing w:line="276" w:lineRule="auto"/>
            <w:rPr>
              <w:rFonts w:ascii="Garamond" w:eastAsia="Garamond" w:hAnsi="Garamond" w:cs="Garamond"/>
              <w:sz w:val="22"/>
              <w:szCs w:val="22"/>
            </w:rPr>
          </w:pPr>
        </w:p>
        <w:tbl>
          <w:tblPr>
            <w:tblStyle w:val="afa"/>
            <w:tblW w:w="6390" w:type="dxa"/>
            <w:tblInd w:w="621" w:type="dxa"/>
            <w:tblLayout w:type="fixed"/>
            <w:tblLook w:val="0400" w:firstRow="0" w:lastRow="0" w:firstColumn="0" w:lastColumn="0" w:noHBand="0" w:noVBand="1"/>
          </w:tblPr>
          <w:tblGrid>
            <w:gridCol w:w="2520"/>
            <w:gridCol w:w="3870"/>
          </w:tblGrid>
          <w:tr w:rsidR="00E50370">
            <w:trPr>
              <w:trHeight w:val="144"/>
            </w:trPr>
            <w:tc>
              <w:tcPr>
                <w:tcW w:w="2520" w:type="dxa"/>
                <w:shd w:val="clear" w:color="auto" w:fill="auto"/>
              </w:tcPr>
              <w:p w:rsidR="00E50370" w:rsidRDefault="00A874D8">
                <w:pPr>
                  <w:tabs>
                    <w:tab w:val="right" w:pos="8838"/>
                  </w:tabs>
                  <w:ind w:left="-264" w:right="-105" w:firstLine="264"/>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870" w:type="dxa"/>
                <w:shd w:val="clear" w:color="auto" w:fill="auto"/>
              </w:tcPr>
              <w:p w:rsidR="00E50370" w:rsidRDefault="00A874D8">
                <w:pPr>
                  <w:ind w:right="-810"/>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04663/INFOEM/IP/RR/2024</w:t>
                </w:r>
              </w:p>
            </w:tc>
          </w:tr>
          <w:tr w:rsidR="00E50370">
            <w:trPr>
              <w:trHeight w:val="144"/>
            </w:trPr>
            <w:tc>
              <w:tcPr>
                <w:tcW w:w="2520" w:type="dxa"/>
                <w:shd w:val="clear" w:color="auto" w:fill="auto"/>
              </w:tcPr>
              <w:p w:rsidR="00E50370" w:rsidRDefault="00A874D8">
                <w:pPr>
                  <w:tabs>
                    <w:tab w:val="right" w:pos="8838"/>
                  </w:tabs>
                  <w:ind w:left="-74" w:right="-105" w:firstLine="74"/>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3870" w:type="dxa"/>
                <w:shd w:val="clear" w:color="auto" w:fill="auto"/>
              </w:tcPr>
              <w:p w:rsidR="00E50370" w:rsidRDefault="00643B74">
                <w:pPr>
                  <w:tabs>
                    <w:tab w:val="left" w:pos="3122"/>
                  </w:tabs>
                  <w:ind w:right="-810"/>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Anónimo</w:t>
                </w:r>
                <w:r w:rsidR="00A874D8">
                  <w:rPr>
                    <w:rFonts w:ascii="Palatino Linotype" w:eastAsia="Palatino Linotype" w:hAnsi="Palatino Linotype" w:cs="Palatino Linotype"/>
                    <w:sz w:val="22"/>
                    <w:szCs w:val="22"/>
                  </w:rPr>
                  <w:t xml:space="preserve"> </w:t>
                </w:r>
              </w:p>
            </w:tc>
          </w:tr>
          <w:tr w:rsidR="00E50370">
            <w:trPr>
              <w:trHeight w:val="283"/>
            </w:trPr>
            <w:tc>
              <w:tcPr>
                <w:tcW w:w="2520" w:type="dxa"/>
                <w:shd w:val="clear" w:color="auto" w:fill="auto"/>
              </w:tcPr>
              <w:p w:rsidR="00E50370" w:rsidRDefault="00A874D8">
                <w:pPr>
                  <w:tabs>
                    <w:tab w:val="right" w:pos="8838"/>
                  </w:tabs>
                  <w:ind w:left="-74" w:right="-105" w:firstLine="74"/>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870" w:type="dxa"/>
                <w:shd w:val="clear" w:color="auto" w:fill="auto"/>
              </w:tcPr>
              <w:p w:rsidR="00E50370" w:rsidRDefault="00A874D8">
                <w:pPr>
                  <w:tabs>
                    <w:tab w:val="left" w:pos="2834"/>
                  </w:tabs>
                  <w:ind w:right="-810"/>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Secretaría de la Contraloría</w:t>
                </w:r>
              </w:p>
            </w:tc>
          </w:tr>
          <w:tr w:rsidR="00E50370">
            <w:trPr>
              <w:trHeight w:val="283"/>
            </w:trPr>
            <w:tc>
              <w:tcPr>
                <w:tcW w:w="2520" w:type="dxa"/>
                <w:shd w:val="clear" w:color="auto" w:fill="auto"/>
              </w:tcPr>
              <w:p w:rsidR="00E50370" w:rsidRDefault="00A874D8">
                <w:pPr>
                  <w:tabs>
                    <w:tab w:val="right" w:pos="8838"/>
                  </w:tabs>
                  <w:ind w:left="-74" w:right="-105" w:firstLine="74"/>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870" w:type="dxa"/>
                <w:shd w:val="clear" w:color="auto" w:fill="auto"/>
              </w:tcPr>
              <w:p w:rsidR="00E50370" w:rsidRDefault="00A874D8">
                <w:pPr>
                  <w:ind w:right="-810"/>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María del Rosario Mejía Ayala</w:t>
                </w:r>
              </w:p>
              <w:p w:rsidR="00E50370" w:rsidRDefault="00E50370">
                <w:pPr>
                  <w:ind w:right="-810"/>
                  <w:rPr>
                    <w:rFonts w:ascii="Palatino Linotype" w:eastAsia="Palatino Linotype" w:hAnsi="Palatino Linotype" w:cs="Palatino Linotype"/>
                    <w:sz w:val="22"/>
                    <w:szCs w:val="22"/>
                  </w:rPr>
                </w:pPr>
              </w:p>
            </w:tc>
          </w:tr>
        </w:tbl>
        <w:p w:rsidR="00E50370" w:rsidRDefault="00E50370">
          <w:pPr>
            <w:tabs>
              <w:tab w:val="right" w:pos="8838"/>
            </w:tabs>
            <w:ind w:left="-28"/>
            <w:jc w:val="both"/>
            <w:rPr>
              <w:rFonts w:ascii="Arial" w:eastAsia="Arial" w:hAnsi="Arial" w:cs="Arial"/>
              <w:b/>
              <w:sz w:val="22"/>
              <w:szCs w:val="22"/>
            </w:rPr>
          </w:pPr>
        </w:p>
      </w:tc>
    </w:tr>
  </w:tbl>
  <w:p w:rsidR="00E50370" w:rsidRDefault="0086714E">
    <w:pPr>
      <w:pBdr>
        <w:top w:val="nil"/>
        <w:left w:val="nil"/>
        <w:bottom w:val="nil"/>
        <w:right w:val="nil"/>
        <w:between w:val="nil"/>
      </w:pBdr>
      <w:tabs>
        <w:tab w:val="center" w:pos="4419"/>
        <w:tab w:val="right" w:pos="8838"/>
      </w:tabs>
      <w:rPr>
        <w:color w:val="000000"/>
        <w:sz w:val="2"/>
        <w:szCs w:val="2"/>
      </w:rPr>
    </w:pPr>
    <w:r>
      <w:rPr>
        <w:color w:val="000000"/>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0" type="#_x0000_t75" alt="" style="position:absolute;margin-left:-85.1pt;margin-top:-148.15pt;width:589.8pt;height:768pt;z-index:-251658752;mso-position-horizontal:absolute;mso-position-horizontal-relative:margin;mso-position-vertical:absolute;mso-position-vertical-relative:margin">
          <v:imagedata r:id="rId1" o:title="image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5F68FB"/>
    <w:multiLevelType w:val="multilevel"/>
    <w:tmpl w:val="5E58DF6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 w15:restartNumberingAfterBreak="0">
    <w:nsid w:val="18CC050F"/>
    <w:multiLevelType w:val="multilevel"/>
    <w:tmpl w:val="5C0220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A926848"/>
    <w:multiLevelType w:val="multilevel"/>
    <w:tmpl w:val="B3F8D082"/>
    <w:lvl w:ilvl="0">
      <w:start w:val="1"/>
      <w:numFmt w:val="decimal"/>
      <w:lvlText w:val="%1."/>
      <w:lvlJc w:val="left"/>
      <w:pPr>
        <w:ind w:left="644" w:hanging="357"/>
      </w:pPr>
      <w:rPr>
        <w:rFonts w:ascii="Palatino Linotype" w:eastAsia="Palatino Linotype" w:hAnsi="Palatino Linotype" w:cs="Palatino Linotype"/>
        <w:b/>
        <w:i w:val="0"/>
        <w:color w:val="000000"/>
        <w:sz w:val="24"/>
        <w:szCs w:val="24"/>
      </w:rPr>
    </w:lvl>
    <w:lvl w:ilvl="1">
      <w:start w:val="1"/>
      <w:numFmt w:val="upperRoman"/>
      <w:lvlText w:val="%2."/>
      <w:lvlJc w:val="right"/>
      <w:pPr>
        <w:ind w:left="7525" w:hanging="720"/>
      </w:pPr>
    </w:lvl>
    <w:lvl w:ilvl="2">
      <w:start w:val="4"/>
      <w:numFmt w:val="lowerLetter"/>
      <w:lvlText w:val="%3)"/>
      <w:lvlJc w:val="left"/>
      <w:pPr>
        <w:ind w:left="2340" w:hanging="360"/>
      </w:pPr>
    </w:lvl>
    <w:lvl w:ilvl="3">
      <w:start w:val="1"/>
      <w:numFmt w:val="decimal"/>
      <w:lvlText w:val="%4."/>
      <w:lvlJc w:val="left"/>
      <w:pPr>
        <w:ind w:left="2880" w:hanging="360"/>
      </w:pPr>
    </w:lvl>
    <w:lvl w:ilvl="4">
      <w:start w:val="104"/>
      <w:numFmt w:val="decimal"/>
      <w:lvlText w:val="%5"/>
      <w:lvlJc w:val="left"/>
      <w:pPr>
        <w:ind w:left="3600" w:hanging="360"/>
      </w:pPr>
      <w:rPr>
        <w:b/>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85702C6"/>
    <w:multiLevelType w:val="multilevel"/>
    <w:tmpl w:val="4498F8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766B3BAE"/>
    <w:multiLevelType w:val="multilevel"/>
    <w:tmpl w:val="67A8F6DE"/>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5" w15:restartNumberingAfterBreak="0">
    <w:nsid w:val="7DCA7BC7"/>
    <w:multiLevelType w:val="multilevel"/>
    <w:tmpl w:val="A1F81626"/>
    <w:lvl w:ilvl="0">
      <w:start w:val="1"/>
      <w:numFmt w:val="decimal"/>
      <w:lvlText w:val="%1."/>
      <w:lvlJc w:val="left"/>
      <w:pPr>
        <w:ind w:left="502"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upperLetter"/>
      <w:lvlText w:val="%3)"/>
      <w:lvlJc w:val="left"/>
      <w:pPr>
        <w:ind w:left="234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5"/>
  </w:num>
  <w:num w:numId="3">
    <w:abstractNumId w:val="0"/>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0370"/>
    <w:rsid w:val="00643B74"/>
    <w:rsid w:val="0086714E"/>
    <w:rsid w:val="00A874D8"/>
    <w:rsid w:val="00AE79BC"/>
    <w:rsid w:val="00B466B2"/>
    <w:rsid w:val="00CE6E0E"/>
    <w:rsid w:val="00E5037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B0F7BF5E-FCF5-4336-A77E-AEA71DC248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3EF5"/>
  </w:style>
  <w:style w:type="paragraph" w:styleId="Ttulo1">
    <w:name w:val="heading 1"/>
    <w:basedOn w:val="Normal"/>
    <w:next w:val="Normal"/>
    <w:link w:val="Ttulo1Car"/>
    <w:uiPriority w:val="9"/>
    <w:qFormat/>
    <w:rsid w:val="00CE3EF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CE3EF5"/>
    <w:pPr>
      <w:keepNext/>
      <w:keepLines/>
      <w:spacing w:before="40" w:line="259" w:lineRule="auto"/>
      <w:outlineLvl w:val="1"/>
    </w:pPr>
    <w:rPr>
      <w:rFonts w:asciiTheme="majorHAnsi" w:eastAsiaTheme="majorEastAsia" w:hAnsiTheme="majorHAnsi" w:cstheme="majorBidi"/>
      <w:color w:val="2E74B5" w:themeColor="accent1" w:themeShade="BF"/>
      <w:sz w:val="26"/>
      <w:szCs w:val="26"/>
      <w:lang w:eastAsia="en-US"/>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character" w:customStyle="1" w:styleId="Ttulo1Car">
    <w:name w:val="Título 1 Car"/>
    <w:basedOn w:val="Fuentedeprrafopredeter"/>
    <w:link w:val="Ttulo1"/>
    <w:uiPriority w:val="9"/>
    <w:rsid w:val="00CE3EF5"/>
    <w:rPr>
      <w:rFonts w:asciiTheme="majorHAnsi" w:eastAsiaTheme="majorEastAsia" w:hAnsiTheme="majorHAnsi" w:cstheme="majorBidi"/>
      <w:color w:val="2E74B5" w:themeColor="accent1" w:themeShade="BF"/>
      <w:sz w:val="32"/>
      <w:szCs w:val="32"/>
      <w:lang w:eastAsia="es-MX"/>
    </w:rPr>
  </w:style>
  <w:style w:type="character" w:customStyle="1" w:styleId="Ttulo2Car">
    <w:name w:val="Título 2 Car"/>
    <w:basedOn w:val="Fuentedeprrafopredeter"/>
    <w:link w:val="Ttulo2"/>
    <w:uiPriority w:val="9"/>
    <w:rsid w:val="00CE3EF5"/>
    <w:rPr>
      <w:rFonts w:asciiTheme="majorHAnsi" w:eastAsiaTheme="majorEastAsia" w:hAnsiTheme="majorHAnsi" w:cstheme="majorBidi"/>
      <w:color w:val="2E74B5" w:themeColor="accent1" w:themeShade="BF"/>
      <w:sz w:val="26"/>
      <w:szCs w:val="26"/>
    </w:rPr>
  </w:style>
  <w:style w:type="paragraph" w:styleId="Encabezado">
    <w:name w:val="header"/>
    <w:basedOn w:val="Normal"/>
    <w:link w:val="EncabezadoCar"/>
    <w:uiPriority w:val="99"/>
    <w:unhideWhenUsed/>
    <w:rsid w:val="00CE3EF5"/>
    <w:pPr>
      <w:tabs>
        <w:tab w:val="center" w:pos="4419"/>
        <w:tab w:val="right" w:pos="8838"/>
      </w:tabs>
    </w:pPr>
  </w:style>
  <w:style w:type="character" w:customStyle="1" w:styleId="EncabezadoCar">
    <w:name w:val="Encabezado Car"/>
    <w:basedOn w:val="Fuentedeprrafopredeter"/>
    <w:link w:val="Encabezado"/>
    <w:uiPriority w:val="99"/>
    <w:rsid w:val="00CE3EF5"/>
    <w:rPr>
      <w:rFonts w:ascii="Times New Roman" w:eastAsia="Times New Roman" w:hAnsi="Times New Roman" w:cs="Times New Roman"/>
      <w:sz w:val="24"/>
      <w:szCs w:val="24"/>
      <w:lang w:eastAsia="es-MX"/>
    </w:rPr>
  </w:style>
  <w:style w:type="paragraph" w:styleId="Piedepgina">
    <w:name w:val="footer"/>
    <w:basedOn w:val="Normal"/>
    <w:link w:val="PiedepginaCar"/>
    <w:uiPriority w:val="99"/>
    <w:unhideWhenUsed/>
    <w:rsid w:val="00CE3EF5"/>
    <w:pPr>
      <w:tabs>
        <w:tab w:val="center" w:pos="4419"/>
        <w:tab w:val="right" w:pos="8838"/>
      </w:tabs>
    </w:pPr>
  </w:style>
  <w:style w:type="character" w:customStyle="1" w:styleId="PiedepginaCar">
    <w:name w:val="Pie de página Car"/>
    <w:basedOn w:val="Fuentedeprrafopredeter"/>
    <w:link w:val="Piedepgina"/>
    <w:uiPriority w:val="99"/>
    <w:rsid w:val="00CE3EF5"/>
    <w:rPr>
      <w:rFonts w:ascii="Times New Roman" w:eastAsia="Times New Roman" w:hAnsi="Times New Roman" w:cs="Times New Roman"/>
      <w:sz w:val="24"/>
      <w:szCs w:val="24"/>
      <w:lang w:eastAsia="es-MX"/>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CE3EF5"/>
    <w:pPr>
      <w:ind w:left="720"/>
      <w:contextualSpacing/>
    </w:pPr>
    <w:rPr>
      <w:rFonts w:ascii="Century Gothic" w:hAnsi="Century Gothic"/>
      <w:sz w:val="22"/>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rsid w:val="00CE3EF5"/>
    <w:rPr>
      <w:rFonts w:ascii="Century Gothic" w:eastAsia="Times New Roman" w:hAnsi="Century Gothic" w:cs="Times New Roman"/>
      <w:szCs w:val="24"/>
      <w:lang w:eastAsia="es-MX"/>
    </w:rPr>
  </w:style>
  <w:style w:type="character" w:styleId="Hipervnculo">
    <w:name w:val="Hyperlink"/>
    <w:aliases w:val="Hipervínculo1,Hipervínculo11,Hipervínculo12,Hipervínculo13,Hipervínculo14,Hipervínculo15"/>
    <w:uiPriority w:val="99"/>
    <w:unhideWhenUsed/>
    <w:rsid w:val="00CE3EF5"/>
    <w:rPr>
      <w:color w:val="0563C1"/>
      <w:u w:val="single"/>
    </w:rPr>
  </w:style>
  <w:style w:type="paragraph" w:styleId="Sinespaciado">
    <w:name w:val="No Spacing"/>
    <w:aliases w:val="Francesa,INAI,Fundamentos"/>
    <w:link w:val="SinespaciadoCar"/>
    <w:uiPriority w:val="1"/>
    <w:qFormat/>
    <w:rsid w:val="00CE3EF5"/>
  </w:style>
  <w:style w:type="character" w:customStyle="1" w:styleId="SinespaciadoCar">
    <w:name w:val="Sin espaciado Car"/>
    <w:aliases w:val="Francesa Car,INAI Car,Fundamentos Car"/>
    <w:link w:val="Sinespaciado"/>
    <w:uiPriority w:val="1"/>
    <w:qFormat/>
    <w:locked/>
    <w:rsid w:val="00CE3EF5"/>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CE3EF5"/>
    <w:rPr>
      <w:vertAlign w:val="superscript"/>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locked/>
    <w:rsid w:val="00CE3EF5"/>
    <w:rPr>
      <w:sz w:val="20"/>
      <w:szCs w:val="20"/>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CE3EF5"/>
    <w:rPr>
      <w:rFonts w:asciiTheme="minorHAnsi" w:eastAsiaTheme="minorHAnsi" w:hAnsiTheme="minorHAnsi" w:cstheme="minorBidi"/>
      <w:sz w:val="20"/>
      <w:szCs w:val="20"/>
      <w:lang w:eastAsia="en-US"/>
    </w:rPr>
  </w:style>
  <w:style w:type="character" w:customStyle="1" w:styleId="TextonotapieCar1">
    <w:name w:val="Texto nota pie Car1"/>
    <w:basedOn w:val="Fuentedeprrafopredeter"/>
    <w:uiPriority w:val="99"/>
    <w:semiHidden/>
    <w:rsid w:val="00CE3EF5"/>
    <w:rPr>
      <w:rFonts w:ascii="Times New Roman" w:eastAsia="Times New Roman" w:hAnsi="Times New Roman" w:cs="Times New Roman"/>
      <w:sz w:val="20"/>
      <w:szCs w:val="20"/>
      <w:lang w:eastAsia="es-MX"/>
    </w:rPr>
  </w:style>
  <w:style w:type="character" w:styleId="Hipervnculovisitado">
    <w:name w:val="FollowedHyperlink"/>
    <w:basedOn w:val="Fuentedeprrafopredeter"/>
    <w:uiPriority w:val="99"/>
    <w:semiHidden/>
    <w:unhideWhenUsed/>
    <w:rsid w:val="00243D8E"/>
    <w:rPr>
      <w:color w:val="954F72" w:themeColor="followedHyperlink"/>
      <w:u w:val="single"/>
    </w:rPr>
  </w:style>
  <w:style w:type="table" w:styleId="Tabladecuadrcula6concolores">
    <w:name w:val="Grid Table 6 Colorful"/>
    <w:basedOn w:val="Tablanormal"/>
    <w:uiPriority w:val="51"/>
    <w:rsid w:val="00DC69EC"/>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Default">
    <w:name w:val="Default"/>
    <w:rsid w:val="0095227B"/>
    <w:pPr>
      <w:autoSpaceDE w:val="0"/>
      <w:autoSpaceDN w:val="0"/>
      <w:adjustRightInd w:val="0"/>
    </w:pPr>
    <w:rPr>
      <w:rFonts w:ascii="Arial" w:hAnsi="Arial" w:cs="Arial"/>
      <w:color w:val="000000"/>
    </w:rPr>
  </w:style>
  <w:style w:type="character" w:customStyle="1" w:styleId="markedcontent">
    <w:name w:val="markedcontent"/>
    <w:basedOn w:val="Fuentedeprrafopredeter"/>
    <w:rsid w:val="00AD0C84"/>
  </w:style>
  <w:style w:type="numbering" w:customStyle="1" w:styleId="Estiloimportado1">
    <w:name w:val="Estilo importado 1"/>
    <w:rsid w:val="008B5F61"/>
  </w:style>
  <w:style w:type="table" w:customStyle="1" w:styleId="Tablanormal13">
    <w:name w:val="Tabla normal 13"/>
    <w:basedOn w:val="Tablanormal"/>
    <w:next w:val="Tablanormal1"/>
    <w:uiPriority w:val="41"/>
    <w:rsid w:val="002023A6"/>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styleId="Tablanormal1">
    <w:name w:val="Plain Table 1"/>
    <w:basedOn w:val="Tablanormal"/>
    <w:uiPriority w:val="41"/>
    <w:rsid w:val="002023A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4"/>
    <w:rPr>
      <w:color w:val="000000"/>
    </w:rPr>
    <w:tblPr>
      <w:tblStyleRowBandSize w:val="1"/>
      <w:tblStyleColBandSize w:val="1"/>
      <w:tblCellMar>
        <w:left w:w="108" w:type="dxa"/>
        <w:right w:w="108" w:type="dxa"/>
      </w:tblCellMar>
    </w:tblPr>
    <w:tblStylePr w:type="firstRow">
      <w:rPr>
        <w:b/>
      </w:rPr>
    </w:tblStylePr>
    <w:tblStylePr w:type="lastRow">
      <w:rPr>
        <w:b/>
      </w:rPr>
      <w:tblPr/>
      <w:tcPr>
        <w:tcBorders>
          <w:top w:val="single" w:sz="4" w:space="0" w:color="BFBFBF"/>
        </w:tcBorders>
      </w:tcPr>
    </w:tblStylePr>
    <w:tblStylePr w:type="firstCol">
      <w:rPr>
        <w:b/>
      </w:rPr>
    </w:tblStylePr>
    <w:tblStylePr w:type="lastCol">
      <w:rPr>
        <w:b/>
      </w:rPr>
    </w:tblStylePr>
    <w:tblStylePr w:type="band1Vert">
      <w:tblPr/>
      <w:tcPr>
        <w:shd w:val="clear" w:color="auto" w:fill="F2F2F2"/>
      </w:tcPr>
    </w:tblStylePr>
    <w:tblStylePr w:type="band1Horz">
      <w:tblPr/>
      <w:tcPr>
        <w:shd w:val="clear" w:color="auto" w:fill="F2F2F2"/>
      </w:tcPr>
    </w:tblStylePr>
  </w:style>
  <w:style w:type="table" w:customStyle="1" w:styleId="a0">
    <w:basedOn w:val="TableNormal4"/>
    <w:tblPr>
      <w:tblStyleRowBandSize w:val="1"/>
      <w:tblStyleColBandSize w:val="1"/>
      <w:tblCellMar>
        <w:left w:w="115" w:type="dxa"/>
        <w:right w:w="115" w:type="dxa"/>
      </w:tblCellMar>
    </w:tblPr>
  </w:style>
  <w:style w:type="table" w:customStyle="1" w:styleId="a1">
    <w:basedOn w:val="TableNormal4"/>
    <w:tblPr>
      <w:tblStyleRowBandSize w:val="1"/>
      <w:tblStyleColBandSize w:val="1"/>
      <w:tblCellMar>
        <w:left w:w="115" w:type="dxa"/>
        <w:right w:w="115" w:type="dxa"/>
      </w:tblCellMar>
    </w:tblPr>
  </w:style>
  <w:style w:type="table" w:customStyle="1" w:styleId="a2">
    <w:basedOn w:val="TableNormal4"/>
    <w:tblPr>
      <w:tblStyleRowBandSize w:val="1"/>
      <w:tblStyleColBandSize w:val="1"/>
      <w:tblCellMar>
        <w:left w:w="115" w:type="dxa"/>
        <w:right w:w="115" w:type="dxa"/>
      </w:tblCellMar>
    </w:tblPr>
  </w:style>
  <w:style w:type="table" w:customStyle="1" w:styleId="a3">
    <w:basedOn w:val="TableNormal4"/>
    <w:tblPr>
      <w:tblStyleRowBandSize w:val="1"/>
      <w:tblStyleColBandSize w:val="1"/>
      <w:tblCellMar>
        <w:left w:w="115" w:type="dxa"/>
        <w:right w:w="115" w:type="dxa"/>
      </w:tblCellMar>
    </w:tblPr>
  </w:style>
  <w:style w:type="table" w:customStyle="1" w:styleId="a4">
    <w:basedOn w:val="TableNormal4"/>
    <w:rPr>
      <w:color w:val="000000"/>
    </w:rPr>
    <w:tblPr>
      <w:tblStyleRowBandSize w:val="1"/>
      <w:tblStyleColBandSize w:val="1"/>
      <w:tblCellMar>
        <w:left w:w="115" w:type="dxa"/>
        <w:right w:w="115" w:type="dxa"/>
      </w:tblCellMar>
    </w:tblPr>
    <w:tblStylePr w:type="firstRow">
      <w:rPr>
        <w:b/>
      </w:rPr>
    </w:tblStylePr>
    <w:tblStylePr w:type="lastRow">
      <w:rPr>
        <w:b/>
      </w:rPr>
      <w:tblPr/>
      <w:tcPr>
        <w:tcBorders>
          <w:top w:val="single" w:sz="4" w:space="0" w:color="BFBFBF"/>
        </w:tcBorders>
      </w:tcPr>
    </w:tblStylePr>
    <w:tblStylePr w:type="firstCol">
      <w:rPr>
        <w:b/>
      </w:rPr>
    </w:tblStylePr>
    <w:tblStylePr w:type="lastCol">
      <w:rPr>
        <w:b/>
      </w:rPr>
    </w:tblStylePr>
    <w:tblStylePr w:type="band1Vert">
      <w:tblPr/>
      <w:tcPr>
        <w:shd w:val="clear" w:color="auto" w:fill="F2F2F2"/>
      </w:tcPr>
    </w:tblStylePr>
    <w:tblStylePr w:type="band1Horz">
      <w:tblPr/>
      <w:tcPr>
        <w:shd w:val="clear" w:color="auto" w:fill="F2F2F2"/>
      </w:tcPr>
    </w:tblStylePr>
  </w:style>
  <w:style w:type="table" w:customStyle="1" w:styleId="a5">
    <w:basedOn w:val="TableNormal4"/>
    <w:rPr>
      <w:color w:val="000000"/>
    </w:rPr>
    <w:tblPr>
      <w:tblStyleRowBandSize w:val="1"/>
      <w:tblStyleColBandSize w:val="1"/>
      <w:tblCellMar>
        <w:left w:w="115" w:type="dxa"/>
        <w:right w:w="115" w:type="dxa"/>
      </w:tblCellMar>
    </w:tblPr>
  </w:style>
  <w:style w:type="table" w:customStyle="1" w:styleId="a6">
    <w:basedOn w:val="TableNormal4"/>
    <w:rPr>
      <w:color w:val="000000"/>
    </w:rPr>
    <w:tblPr>
      <w:tblStyleRowBandSize w:val="1"/>
      <w:tblStyleColBandSize w:val="1"/>
      <w:tblCellMar>
        <w:left w:w="115" w:type="dxa"/>
        <w:right w:w="115" w:type="dxa"/>
      </w:tblCellMar>
    </w:tblPr>
  </w:style>
  <w:style w:type="table" w:customStyle="1" w:styleId="a7">
    <w:basedOn w:val="TableNormal4"/>
    <w:rPr>
      <w:color w:val="000000"/>
    </w:rPr>
    <w:tblPr>
      <w:tblStyleRowBandSize w:val="1"/>
      <w:tblStyleColBandSize w:val="1"/>
      <w:tblCellMar>
        <w:left w:w="115" w:type="dxa"/>
        <w:right w:w="115" w:type="dxa"/>
      </w:tblCellMar>
    </w:tblPr>
  </w:style>
  <w:style w:type="table" w:customStyle="1" w:styleId="a8">
    <w:basedOn w:val="TableNormal4"/>
    <w:rPr>
      <w:color w:val="000000"/>
    </w:rPr>
    <w:tblPr>
      <w:tblStyleRowBandSize w:val="1"/>
      <w:tblStyleColBandSize w:val="1"/>
      <w:tblCellMar>
        <w:left w:w="115" w:type="dxa"/>
        <w:right w:w="115" w:type="dxa"/>
      </w:tblCellMar>
    </w:tblPr>
  </w:style>
  <w:style w:type="character" w:customStyle="1" w:styleId="Mencinsinresolver1">
    <w:name w:val="Mención sin resolver1"/>
    <w:basedOn w:val="Fuentedeprrafopredeter"/>
    <w:uiPriority w:val="99"/>
    <w:semiHidden/>
    <w:unhideWhenUsed/>
    <w:rsid w:val="00EF7312"/>
    <w:rPr>
      <w:color w:val="605E5C"/>
      <w:shd w:val="clear" w:color="auto" w:fill="E1DFDD"/>
    </w:rPr>
  </w:style>
  <w:style w:type="character" w:styleId="Refdecomentario">
    <w:name w:val="annotation reference"/>
    <w:basedOn w:val="Fuentedeprrafopredeter"/>
    <w:uiPriority w:val="99"/>
    <w:semiHidden/>
    <w:unhideWhenUsed/>
    <w:rsid w:val="00E60A26"/>
    <w:rPr>
      <w:sz w:val="16"/>
      <w:szCs w:val="16"/>
    </w:rPr>
  </w:style>
  <w:style w:type="paragraph" w:styleId="Textocomentario">
    <w:name w:val="annotation text"/>
    <w:basedOn w:val="Normal"/>
    <w:link w:val="TextocomentarioCar"/>
    <w:uiPriority w:val="99"/>
    <w:semiHidden/>
    <w:unhideWhenUsed/>
    <w:rsid w:val="00E60A26"/>
    <w:rPr>
      <w:sz w:val="20"/>
      <w:szCs w:val="20"/>
    </w:rPr>
  </w:style>
  <w:style w:type="character" w:customStyle="1" w:styleId="TextocomentarioCar">
    <w:name w:val="Texto comentario Car"/>
    <w:basedOn w:val="Fuentedeprrafopredeter"/>
    <w:link w:val="Textocomentario"/>
    <w:uiPriority w:val="99"/>
    <w:semiHidden/>
    <w:rsid w:val="00E60A26"/>
    <w:rPr>
      <w:sz w:val="20"/>
      <w:szCs w:val="20"/>
    </w:rPr>
  </w:style>
  <w:style w:type="paragraph" w:styleId="Asuntodelcomentario">
    <w:name w:val="annotation subject"/>
    <w:basedOn w:val="Textocomentario"/>
    <w:next w:val="Textocomentario"/>
    <w:link w:val="AsuntodelcomentarioCar"/>
    <w:uiPriority w:val="99"/>
    <w:semiHidden/>
    <w:unhideWhenUsed/>
    <w:rsid w:val="00E60A26"/>
    <w:rPr>
      <w:b/>
      <w:bCs/>
    </w:rPr>
  </w:style>
  <w:style w:type="character" w:customStyle="1" w:styleId="AsuntodelcomentarioCar">
    <w:name w:val="Asunto del comentario Car"/>
    <w:basedOn w:val="TextocomentarioCar"/>
    <w:link w:val="Asuntodelcomentario"/>
    <w:uiPriority w:val="99"/>
    <w:semiHidden/>
    <w:rsid w:val="00E60A26"/>
    <w:rPr>
      <w:b/>
      <w:bCs/>
      <w:sz w:val="20"/>
      <w:szCs w:val="20"/>
    </w:rPr>
  </w:style>
  <w:style w:type="paragraph" w:styleId="Textodeglobo">
    <w:name w:val="Balloon Text"/>
    <w:basedOn w:val="Normal"/>
    <w:link w:val="TextodegloboCar"/>
    <w:uiPriority w:val="99"/>
    <w:semiHidden/>
    <w:unhideWhenUsed/>
    <w:rsid w:val="00E60A26"/>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60A26"/>
    <w:rPr>
      <w:rFonts w:ascii="Segoe UI" w:hAnsi="Segoe UI" w:cs="Segoe UI"/>
      <w:sz w:val="18"/>
      <w:szCs w:val="18"/>
    </w:rPr>
  </w:style>
  <w:style w:type="table" w:styleId="Tablaconcuadrcula">
    <w:name w:val="Table Grid"/>
    <w:basedOn w:val="Tablanormal"/>
    <w:uiPriority w:val="39"/>
    <w:rsid w:val="00D46DD8"/>
    <w:rPr>
      <w:rFonts w:asciiTheme="minorHAnsi" w:eastAsiaTheme="minorEastAsia" w:hAnsiTheme="minorHAnsi" w:cstheme="minorBidi"/>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9">
    <w:basedOn w:val="TableNormal3"/>
    <w:rPr>
      <w:rFonts w:ascii="Calibri" w:eastAsia="Calibri" w:hAnsi="Calibri" w:cs="Calibri"/>
      <w:color w:val="000000"/>
    </w:rPr>
    <w:tblPr>
      <w:tblStyleRowBandSize w:val="1"/>
      <w:tblStyleColBandSize w:val="1"/>
      <w:tblCellMar>
        <w:left w:w="108" w:type="dxa"/>
        <w:right w:w="108" w:type="dxa"/>
      </w:tblCellMar>
    </w:tblPr>
  </w:style>
  <w:style w:type="table" w:customStyle="1" w:styleId="aa">
    <w:basedOn w:val="TableNormal3"/>
    <w:tblPr>
      <w:tblStyleRowBandSize w:val="1"/>
      <w:tblStyleColBandSize w:val="1"/>
      <w:tblCellMar>
        <w:left w:w="115" w:type="dxa"/>
        <w:right w:w="115" w:type="dxa"/>
      </w:tblCellMar>
    </w:tblPr>
  </w:style>
  <w:style w:type="table" w:customStyle="1" w:styleId="ab">
    <w:basedOn w:val="TableNormal3"/>
    <w:rPr>
      <w:color w:val="000000"/>
    </w:rPr>
    <w:tblPr>
      <w:tblStyleRowBandSize w:val="1"/>
      <w:tblStyleColBandSize w:val="1"/>
      <w:tblCellMar>
        <w:left w:w="115" w:type="dxa"/>
        <w:right w:w="115" w:type="dxa"/>
      </w:tblCellMar>
    </w:tblPr>
  </w:style>
  <w:style w:type="table" w:customStyle="1" w:styleId="ac">
    <w:basedOn w:val="TableNormal3"/>
    <w:rPr>
      <w:color w:val="000000"/>
    </w:rPr>
    <w:tblPr>
      <w:tblStyleRowBandSize w:val="1"/>
      <w:tblStyleColBandSize w:val="1"/>
      <w:tblCellMar>
        <w:left w:w="115" w:type="dxa"/>
        <w:right w:w="115" w:type="dxa"/>
      </w:tblCellMar>
    </w:tblPr>
  </w:style>
  <w:style w:type="table" w:customStyle="1" w:styleId="ad">
    <w:basedOn w:val="TableNormal3"/>
    <w:rPr>
      <w:color w:val="000000"/>
    </w:rPr>
    <w:tblPr>
      <w:tblStyleRowBandSize w:val="1"/>
      <w:tblStyleColBandSize w:val="1"/>
      <w:tblCellMar>
        <w:left w:w="115" w:type="dxa"/>
        <w:right w:w="115" w:type="dxa"/>
      </w:tblCellMar>
    </w:tblPr>
  </w:style>
  <w:style w:type="table" w:customStyle="1" w:styleId="ae">
    <w:basedOn w:val="TableNormal3"/>
    <w:rPr>
      <w:color w:val="000000"/>
    </w:rPr>
    <w:tblPr>
      <w:tblStyleRowBandSize w:val="1"/>
      <w:tblStyleColBandSize w:val="1"/>
      <w:tblCellMar>
        <w:left w:w="115" w:type="dxa"/>
        <w:right w:w="115" w:type="dxa"/>
      </w:tblCellMar>
    </w:tblPr>
  </w:style>
  <w:style w:type="table" w:customStyle="1" w:styleId="af">
    <w:basedOn w:val="TableNormal2"/>
    <w:rPr>
      <w:rFonts w:ascii="Calibri" w:eastAsia="Calibri" w:hAnsi="Calibri" w:cs="Calibri"/>
      <w:color w:val="000000"/>
    </w:rPr>
    <w:tblPr>
      <w:tblStyleRowBandSize w:val="1"/>
      <w:tblStyleColBandSize w:val="1"/>
      <w:tblCellMar>
        <w:left w:w="115" w:type="dxa"/>
        <w:right w:w="115" w:type="dxa"/>
      </w:tblCellMar>
    </w:tblPr>
  </w:style>
  <w:style w:type="table" w:customStyle="1" w:styleId="af0">
    <w:basedOn w:val="TableNormal2"/>
    <w:rPr>
      <w:rFonts w:ascii="Calibri" w:eastAsia="Calibri" w:hAnsi="Calibri" w:cs="Calibri"/>
      <w:color w:val="000000"/>
    </w:rPr>
    <w:tblPr>
      <w:tblStyleRowBandSize w:val="1"/>
      <w:tblStyleColBandSize w:val="1"/>
      <w:tblCellMar>
        <w:left w:w="115" w:type="dxa"/>
        <w:right w:w="115" w:type="dxa"/>
      </w:tblCellMar>
    </w:tblPr>
  </w:style>
  <w:style w:type="table" w:customStyle="1" w:styleId="af1">
    <w:basedOn w:val="TableNormal2"/>
    <w:rPr>
      <w:rFonts w:ascii="Calibri" w:eastAsia="Calibri" w:hAnsi="Calibri" w:cs="Calibri"/>
      <w:color w:val="000000"/>
    </w:rPr>
    <w:tblPr>
      <w:tblStyleRowBandSize w:val="1"/>
      <w:tblStyleColBandSize w:val="1"/>
      <w:tblCellMar>
        <w:left w:w="115" w:type="dxa"/>
        <w:right w:w="115" w:type="dxa"/>
      </w:tblCellMar>
    </w:tblPr>
  </w:style>
  <w:style w:type="table" w:customStyle="1" w:styleId="af2">
    <w:basedOn w:val="TableNormal2"/>
    <w:rPr>
      <w:rFonts w:ascii="Calibri" w:eastAsia="Calibri" w:hAnsi="Calibri" w:cs="Calibri"/>
      <w:color w:val="000000"/>
    </w:rPr>
    <w:tblPr>
      <w:tblStyleRowBandSize w:val="1"/>
      <w:tblStyleColBandSize w:val="1"/>
      <w:tblCellMar>
        <w:left w:w="115" w:type="dxa"/>
        <w:right w:w="115" w:type="dxa"/>
      </w:tblCellMar>
    </w:tblPr>
  </w:style>
  <w:style w:type="character" w:styleId="Referenciasutil">
    <w:name w:val="Subtle Reference"/>
    <w:basedOn w:val="Fuentedeprrafopredeter"/>
    <w:uiPriority w:val="31"/>
    <w:qFormat/>
    <w:rsid w:val="00A36329"/>
    <w:rPr>
      <w:rFonts w:cs="Times New Roman"/>
      <w:smallCaps/>
      <w:color w:val="5A5A5A" w:themeColor="text1" w:themeTint="A5"/>
    </w:rPr>
  </w:style>
  <w:style w:type="table" w:customStyle="1" w:styleId="af3">
    <w:basedOn w:val="TableNormal1"/>
    <w:rPr>
      <w:rFonts w:ascii="Calibri" w:eastAsia="Calibri" w:hAnsi="Calibri" w:cs="Calibri"/>
      <w:color w:val="000000"/>
    </w:rPr>
    <w:tblPr>
      <w:tblStyleRowBandSize w:val="1"/>
      <w:tblStyleColBandSize w:val="1"/>
      <w:tblCellMar>
        <w:left w:w="115" w:type="dxa"/>
        <w:right w:w="115" w:type="dxa"/>
      </w:tblCellMar>
    </w:tblPr>
  </w:style>
  <w:style w:type="table" w:customStyle="1" w:styleId="af4">
    <w:basedOn w:val="TableNormal1"/>
    <w:rPr>
      <w:rFonts w:ascii="Calibri" w:eastAsia="Calibri" w:hAnsi="Calibri" w:cs="Calibri"/>
      <w:color w:val="000000"/>
    </w:rPr>
    <w:tblPr>
      <w:tblStyleRowBandSize w:val="1"/>
      <w:tblStyleColBandSize w:val="1"/>
      <w:tblCellMar>
        <w:left w:w="115" w:type="dxa"/>
        <w:right w:w="115" w:type="dxa"/>
      </w:tblCellMar>
    </w:tblPr>
  </w:style>
  <w:style w:type="table" w:customStyle="1" w:styleId="af5">
    <w:basedOn w:val="TableNormal1"/>
    <w:rPr>
      <w:rFonts w:ascii="Calibri" w:eastAsia="Calibri" w:hAnsi="Calibri" w:cs="Calibri"/>
      <w:color w:val="000000"/>
    </w:rPr>
    <w:tblPr>
      <w:tblStyleRowBandSize w:val="1"/>
      <w:tblStyleColBandSize w:val="1"/>
      <w:tblCellMar>
        <w:left w:w="115" w:type="dxa"/>
        <w:right w:w="115" w:type="dxa"/>
      </w:tblCellMar>
    </w:tblPr>
  </w:style>
  <w:style w:type="table" w:customStyle="1" w:styleId="af6">
    <w:basedOn w:val="TableNormal1"/>
    <w:rPr>
      <w:rFonts w:ascii="Calibri" w:eastAsia="Calibri" w:hAnsi="Calibri" w:cs="Calibri"/>
      <w:color w:val="000000"/>
    </w:rPr>
    <w:tblPr>
      <w:tblStyleRowBandSize w:val="1"/>
      <w:tblStyleColBandSize w:val="1"/>
      <w:tblCellMar>
        <w:left w:w="115" w:type="dxa"/>
        <w:right w:w="115" w:type="dxa"/>
      </w:tblCellMar>
    </w:tblPr>
  </w:style>
  <w:style w:type="table" w:customStyle="1" w:styleId="af7">
    <w:basedOn w:val="TableNormal0"/>
    <w:rPr>
      <w:rFonts w:ascii="Calibri" w:eastAsia="Calibri" w:hAnsi="Calibri" w:cs="Calibri"/>
      <w:color w:val="000000"/>
    </w:rPr>
    <w:tblPr>
      <w:tblStyleRowBandSize w:val="1"/>
      <w:tblStyleColBandSize w:val="1"/>
      <w:tblCellMar>
        <w:left w:w="115" w:type="dxa"/>
        <w:right w:w="115" w:type="dxa"/>
      </w:tblCellMar>
    </w:tblPr>
  </w:style>
  <w:style w:type="table" w:customStyle="1" w:styleId="af8">
    <w:basedOn w:val="TableNormal0"/>
    <w:rPr>
      <w:rFonts w:ascii="Calibri" w:eastAsia="Calibri" w:hAnsi="Calibri" w:cs="Calibri"/>
      <w:color w:val="000000"/>
    </w:rPr>
    <w:tblPr>
      <w:tblStyleRowBandSize w:val="1"/>
      <w:tblStyleColBandSize w:val="1"/>
      <w:tblCellMar>
        <w:left w:w="115" w:type="dxa"/>
        <w:right w:w="115" w:type="dxa"/>
      </w:tblCellMar>
    </w:tblPr>
  </w:style>
  <w:style w:type="table" w:customStyle="1" w:styleId="af9">
    <w:basedOn w:val="TableNormal0"/>
    <w:rPr>
      <w:rFonts w:ascii="Calibri" w:eastAsia="Calibri" w:hAnsi="Calibri" w:cs="Calibri"/>
      <w:color w:val="000000"/>
    </w:rPr>
    <w:tblPr>
      <w:tblStyleRowBandSize w:val="1"/>
      <w:tblStyleColBandSize w:val="1"/>
      <w:tblCellMar>
        <w:left w:w="115" w:type="dxa"/>
        <w:right w:w="115" w:type="dxa"/>
      </w:tblCellMar>
    </w:tblPr>
  </w:style>
  <w:style w:type="table" w:customStyle="1" w:styleId="afa">
    <w:basedOn w:val="TableNormal0"/>
    <w:rPr>
      <w:rFonts w:ascii="Calibri" w:eastAsia="Calibri" w:hAnsi="Calibri" w:cs="Calibri"/>
      <w:color w:val="000000"/>
    </w:rPr>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www.infoem.org.mx/es/contenido/transparencia/directorio-de-sujetos-obligados"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fJJOHrn7OfEgEzMu4QGFgUl6iKA==">CgMxLjAyCWguMWZvYjl0ZTIIaC5namRneHMyCWguM3pueXNoNzIJaC4yZXQ5MnAwMgloLjNkeTZ2a20yCGgudHlqY3d0MghoLmxueGJ6OTIJaC4xdDNoNXNmMgloLjNyZGNyam4yCWguMzBqMHpsbDgAciExbTRURDJzRllBNWEyOGticFJLNks4aUxGYTlzbm0xN2g=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30</Pages>
  <Words>8461</Words>
  <Characters>46540</Characters>
  <Application>Microsoft Office Word</Application>
  <DocSecurity>0</DocSecurity>
  <Lines>387</Lines>
  <Paragraphs>109</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54892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Cuenta Microsoft</dc:creator>
  <cp:lastModifiedBy>Cuenta Microsoft</cp:lastModifiedBy>
  <cp:revision>4</cp:revision>
  <cp:lastPrinted>2025-03-07T20:03:00Z</cp:lastPrinted>
  <dcterms:created xsi:type="dcterms:W3CDTF">2025-02-25T19:52:00Z</dcterms:created>
  <dcterms:modified xsi:type="dcterms:W3CDTF">2025-03-31T19:43:00Z</dcterms:modified>
</cp:coreProperties>
</file>