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32D" w:rsidRPr="004274D4" w:rsidRDefault="00F028C1">
      <w:pPr>
        <w:spacing w:before="240" w:after="240" w:line="360" w:lineRule="auto"/>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del </w:t>
      </w:r>
      <w:r w:rsidRPr="004274D4">
        <w:rPr>
          <w:rFonts w:ascii="Palatino Linotype" w:eastAsia="Palatino Linotype" w:hAnsi="Palatino Linotype" w:cs="Palatino Linotype"/>
          <w:b/>
          <w:sz w:val="22"/>
          <w:szCs w:val="22"/>
        </w:rPr>
        <w:t>veintinueve de enero de dos mil veinticinco</w:t>
      </w:r>
      <w:r w:rsidRPr="004274D4">
        <w:rPr>
          <w:rFonts w:ascii="Palatino Linotype" w:eastAsia="Palatino Linotype" w:hAnsi="Palatino Linotype" w:cs="Palatino Linotype"/>
          <w:sz w:val="22"/>
          <w:szCs w:val="22"/>
        </w:rPr>
        <w:t xml:space="preserve">. </w:t>
      </w:r>
    </w:p>
    <w:p w:rsidR="0064332D" w:rsidRPr="004274D4" w:rsidRDefault="00F028C1">
      <w:pPr>
        <w:pBdr>
          <w:top w:val="nil"/>
          <w:left w:val="nil"/>
          <w:bottom w:val="nil"/>
          <w:right w:val="nil"/>
          <w:between w:val="nil"/>
        </w:pBdr>
        <w:tabs>
          <w:tab w:val="center" w:pos="4419"/>
          <w:tab w:val="right" w:pos="8838"/>
        </w:tabs>
        <w:spacing w:line="360" w:lineRule="auto"/>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b/>
          <w:color w:val="000000"/>
          <w:sz w:val="22"/>
          <w:szCs w:val="22"/>
        </w:rPr>
        <w:t>VISTO el</w:t>
      </w:r>
      <w:r w:rsidRPr="004274D4">
        <w:rPr>
          <w:rFonts w:ascii="Palatino Linotype" w:eastAsia="Palatino Linotype" w:hAnsi="Palatino Linotype" w:cs="Palatino Linotype"/>
          <w:color w:val="000000"/>
          <w:sz w:val="22"/>
          <w:szCs w:val="22"/>
        </w:rPr>
        <w:t xml:space="preserve"> expediente electrónico formado con motivo del recurso de revisión </w:t>
      </w:r>
      <w:r w:rsidRPr="004274D4">
        <w:rPr>
          <w:rFonts w:ascii="Palatino Linotype" w:eastAsia="Palatino Linotype" w:hAnsi="Palatino Linotype" w:cs="Palatino Linotype"/>
          <w:b/>
          <w:color w:val="000000"/>
          <w:sz w:val="22"/>
          <w:szCs w:val="22"/>
        </w:rPr>
        <w:t xml:space="preserve">04783/INFOEM/IP/RR/2024, </w:t>
      </w:r>
      <w:r w:rsidRPr="004274D4">
        <w:rPr>
          <w:rFonts w:ascii="Palatino Linotype" w:eastAsia="Palatino Linotype" w:hAnsi="Palatino Linotype" w:cs="Palatino Linotype"/>
          <w:color w:val="000000"/>
          <w:sz w:val="22"/>
          <w:szCs w:val="22"/>
        </w:rPr>
        <w:t xml:space="preserve">promovido por </w:t>
      </w:r>
      <w:r w:rsidRPr="004274D4">
        <w:rPr>
          <w:rFonts w:ascii="Palatino Linotype" w:eastAsia="Palatino Linotype" w:hAnsi="Palatino Linotype" w:cs="Palatino Linotype"/>
          <w:b/>
          <w:color w:val="000000"/>
          <w:sz w:val="22"/>
          <w:szCs w:val="22"/>
        </w:rPr>
        <w:t>un usuario que no proporcionó nombre,</w:t>
      </w:r>
      <w:r w:rsidRPr="004274D4">
        <w:rPr>
          <w:rFonts w:ascii="Palatino Linotype" w:eastAsia="Palatino Linotype" w:hAnsi="Palatino Linotype" w:cs="Palatino Linotype"/>
          <w:color w:val="000000"/>
          <w:sz w:val="22"/>
          <w:szCs w:val="22"/>
        </w:rPr>
        <w:t xml:space="preserve"> y que se identificará como </w:t>
      </w:r>
      <w:r w:rsidRPr="004274D4">
        <w:rPr>
          <w:rFonts w:ascii="Palatino Linotype" w:eastAsia="Palatino Linotype" w:hAnsi="Palatino Linotype" w:cs="Palatino Linotype"/>
          <w:b/>
          <w:color w:val="000000"/>
          <w:sz w:val="22"/>
          <w:szCs w:val="22"/>
        </w:rPr>
        <w:t>RECURRENTE</w:t>
      </w:r>
      <w:r w:rsidRPr="004274D4">
        <w:rPr>
          <w:rFonts w:ascii="Palatino Linotype" w:eastAsia="Palatino Linotype" w:hAnsi="Palatino Linotype" w:cs="Palatino Linotype"/>
          <w:color w:val="000000"/>
          <w:sz w:val="22"/>
          <w:szCs w:val="22"/>
        </w:rPr>
        <w:t xml:space="preserve">, en contra de la respuesta del </w:t>
      </w:r>
      <w:r w:rsidRPr="004274D4">
        <w:rPr>
          <w:rFonts w:ascii="Palatino Linotype" w:eastAsia="Palatino Linotype" w:hAnsi="Palatino Linotype" w:cs="Palatino Linotype"/>
          <w:b/>
          <w:color w:val="000000"/>
          <w:sz w:val="22"/>
          <w:szCs w:val="22"/>
        </w:rPr>
        <w:t xml:space="preserve">Ayuntamiento de </w:t>
      </w:r>
      <w:proofErr w:type="spellStart"/>
      <w:r w:rsidRPr="004274D4">
        <w:rPr>
          <w:rFonts w:ascii="Palatino Linotype" w:eastAsia="Palatino Linotype" w:hAnsi="Palatino Linotype" w:cs="Palatino Linotype"/>
          <w:b/>
          <w:color w:val="000000"/>
          <w:sz w:val="22"/>
          <w:szCs w:val="22"/>
        </w:rPr>
        <w:t>Temamatla</w:t>
      </w:r>
      <w:proofErr w:type="spellEnd"/>
      <w:r w:rsidRPr="004274D4">
        <w:rPr>
          <w:rFonts w:ascii="Palatino Linotype" w:eastAsia="Palatino Linotype" w:hAnsi="Palatino Linotype" w:cs="Palatino Linotype"/>
          <w:color w:val="000000"/>
          <w:sz w:val="22"/>
          <w:szCs w:val="22"/>
        </w:rPr>
        <w:t>,</w:t>
      </w:r>
      <w:r w:rsidRPr="004274D4">
        <w:rPr>
          <w:rFonts w:ascii="Palatino Linotype" w:eastAsia="Palatino Linotype" w:hAnsi="Palatino Linotype" w:cs="Palatino Linotype"/>
          <w:b/>
          <w:color w:val="000000"/>
          <w:sz w:val="22"/>
          <w:szCs w:val="22"/>
        </w:rPr>
        <w:t xml:space="preserve"> </w:t>
      </w:r>
      <w:r w:rsidRPr="004274D4">
        <w:rPr>
          <w:rFonts w:ascii="Palatino Linotype" w:eastAsia="Palatino Linotype" w:hAnsi="Palatino Linotype" w:cs="Palatino Linotype"/>
          <w:color w:val="000000"/>
          <w:sz w:val="22"/>
          <w:szCs w:val="22"/>
        </w:rPr>
        <w:t>en lo sucesivo el</w:t>
      </w:r>
      <w:r w:rsidRPr="004274D4">
        <w:rPr>
          <w:rFonts w:ascii="Palatino Linotype" w:eastAsia="Palatino Linotype" w:hAnsi="Palatino Linotype" w:cs="Palatino Linotype"/>
          <w:b/>
          <w:color w:val="000000"/>
          <w:sz w:val="22"/>
          <w:szCs w:val="22"/>
        </w:rPr>
        <w:t xml:space="preserve"> SUJETO OBLIGADO, </w:t>
      </w:r>
      <w:r w:rsidRPr="004274D4">
        <w:rPr>
          <w:rFonts w:ascii="Palatino Linotype" w:eastAsia="Palatino Linotype" w:hAnsi="Palatino Linotype" w:cs="Palatino Linotype"/>
          <w:color w:val="000000"/>
          <w:sz w:val="22"/>
          <w:szCs w:val="22"/>
        </w:rPr>
        <w:t>se procede a dictar la presente resolución, con base en los siguientes:</w:t>
      </w:r>
    </w:p>
    <w:p w:rsidR="0064332D" w:rsidRPr="004274D4" w:rsidRDefault="00F028C1">
      <w:pPr>
        <w:pStyle w:val="Ttulo1"/>
        <w:jc w:val="center"/>
        <w:rPr>
          <w:rFonts w:ascii="Palatino Linotype" w:eastAsia="Palatino Linotype" w:hAnsi="Palatino Linotype" w:cs="Palatino Linotype"/>
          <w:b/>
          <w:color w:val="000000"/>
          <w:sz w:val="22"/>
          <w:szCs w:val="22"/>
        </w:rPr>
      </w:pPr>
      <w:bookmarkStart w:id="0" w:name="_heading=h.gjdgxs" w:colFirst="0" w:colLast="0"/>
      <w:bookmarkEnd w:id="0"/>
      <w:r w:rsidRPr="004274D4">
        <w:rPr>
          <w:rFonts w:ascii="Palatino Linotype" w:eastAsia="Palatino Linotype" w:hAnsi="Palatino Linotype" w:cs="Palatino Linotype"/>
          <w:b/>
          <w:color w:val="000000"/>
          <w:sz w:val="22"/>
          <w:szCs w:val="22"/>
        </w:rPr>
        <w:t>ANTECEDENTES</w:t>
      </w:r>
    </w:p>
    <w:p w:rsidR="0064332D" w:rsidRPr="004274D4" w:rsidRDefault="0064332D">
      <w:pPr>
        <w:rPr>
          <w:rFonts w:ascii="Palatino Linotype" w:eastAsia="Palatino Linotype" w:hAnsi="Palatino Linotype" w:cs="Palatino Linotype"/>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El </w:t>
      </w:r>
      <w:r w:rsidRPr="004274D4">
        <w:rPr>
          <w:rFonts w:ascii="Palatino Linotype" w:eastAsia="Palatino Linotype" w:hAnsi="Palatino Linotype" w:cs="Palatino Linotype"/>
          <w:b/>
          <w:color w:val="000000"/>
          <w:sz w:val="22"/>
          <w:szCs w:val="22"/>
        </w:rPr>
        <w:t>cuatro de julio de dos mil veinticuatro</w:t>
      </w:r>
      <w:r w:rsidRPr="004274D4">
        <w:rPr>
          <w:rFonts w:ascii="Palatino Linotype" w:eastAsia="Palatino Linotype" w:hAnsi="Palatino Linotype" w:cs="Palatino Linotype"/>
          <w:color w:val="000000"/>
          <w:sz w:val="22"/>
          <w:szCs w:val="22"/>
        </w:rPr>
        <w:t xml:space="preserve">, </w:t>
      </w:r>
      <w:r w:rsidRPr="004274D4">
        <w:rPr>
          <w:rFonts w:ascii="Palatino Linotype" w:eastAsia="Palatino Linotype" w:hAnsi="Palatino Linotype" w:cs="Palatino Linotype"/>
          <w:b/>
          <w:color w:val="000000"/>
          <w:sz w:val="22"/>
          <w:szCs w:val="22"/>
        </w:rPr>
        <w:t xml:space="preserve">EL RECURRENTE </w:t>
      </w:r>
      <w:r w:rsidRPr="004274D4">
        <w:rPr>
          <w:rFonts w:ascii="Palatino Linotype" w:eastAsia="Palatino Linotype" w:hAnsi="Palatino Linotype" w:cs="Palatino Linotype"/>
          <w:color w:val="000000"/>
          <w:sz w:val="22"/>
          <w:szCs w:val="22"/>
        </w:rPr>
        <w:t>presentó</w:t>
      </w:r>
      <w:r w:rsidRPr="004274D4">
        <w:rPr>
          <w:rFonts w:ascii="Palatino Linotype" w:eastAsia="Palatino Linotype" w:hAnsi="Palatino Linotype" w:cs="Palatino Linotype"/>
          <w:b/>
          <w:color w:val="000000"/>
          <w:sz w:val="22"/>
          <w:szCs w:val="22"/>
        </w:rPr>
        <w:t>,</w:t>
      </w:r>
      <w:r w:rsidRPr="004274D4">
        <w:rPr>
          <w:rFonts w:ascii="Palatino Linotype" w:eastAsia="Palatino Linotype" w:hAnsi="Palatino Linotype" w:cs="Palatino Linotype"/>
          <w:color w:val="000000"/>
          <w:sz w:val="22"/>
          <w:szCs w:val="22"/>
        </w:rPr>
        <w:t xml:space="preserve"> ante el </w:t>
      </w:r>
      <w:r w:rsidRPr="004274D4">
        <w:rPr>
          <w:rFonts w:ascii="Palatino Linotype" w:eastAsia="Palatino Linotype" w:hAnsi="Palatino Linotype" w:cs="Palatino Linotype"/>
          <w:b/>
          <w:color w:val="000000"/>
          <w:sz w:val="22"/>
          <w:szCs w:val="22"/>
        </w:rPr>
        <w:t>SUJETO OBLIGADO</w:t>
      </w:r>
      <w:r w:rsidRPr="004274D4">
        <w:rPr>
          <w:rFonts w:ascii="Palatino Linotype" w:eastAsia="Palatino Linotype" w:hAnsi="Palatino Linotype" w:cs="Palatino Linotype"/>
          <w:color w:val="000000"/>
          <w:sz w:val="22"/>
          <w:szCs w:val="22"/>
        </w:rPr>
        <w:t xml:space="preserve"> vía Sistema de Acceso a la Información Mexiquense (</w:t>
      </w:r>
      <w:r w:rsidRPr="004274D4">
        <w:rPr>
          <w:rFonts w:ascii="Palatino Linotype" w:eastAsia="Palatino Linotype" w:hAnsi="Palatino Linotype" w:cs="Palatino Linotype"/>
          <w:b/>
          <w:color w:val="000000"/>
          <w:sz w:val="22"/>
          <w:szCs w:val="22"/>
        </w:rPr>
        <w:t>SAIMEX)</w:t>
      </w:r>
      <w:r w:rsidRPr="004274D4">
        <w:rPr>
          <w:rFonts w:ascii="Palatino Linotype" w:eastAsia="Palatino Linotype" w:hAnsi="Palatino Linotype" w:cs="Palatino Linotype"/>
          <w:color w:val="000000"/>
          <w:sz w:val="22"/>
          <w:szCs w:val="22"/>
        </w:rPr>
        <w:t xml:space="preserve">, la solicitud de información pública registrada con el número </w:t>
      </w:r>
      <w:r w:rsidRPr="004274D4">
        <w:rPr>
          <w:rFonts w:ascii="Palatino Linotype" w:eastAsia="Palatino Linotype" w:hAnsi="Palatino Linotype" w:cs="Palatino Linotype"/>
          <w:b/>
          <w:color w:val="000000"/>
          <w:sz w:val="22"/>
          <w:szCs w:val="22"/>
        </w:rPr>
        <w:t>00145/TEMAMATL/IP/2024</w:t>
      </w:r>
      <w:r w:rsidRPr="004274D4">
        <w:rPr>
          <w:rFonts w:ascii="Palatino Linotype" w:eastAsia="Palatino Linotype" w:hAnsi="Palatino Linotype" w:cs="Palatino Linotype"/>
          <w:color w:val="000000"/>
          <w:sz w:val="22"/>
          <w:szCs w:val="22"/>
        </w:rPr>
        <w:t>; mediante la cual solicitó lo siguiente:</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“SOLICITO LAS ACTAS DE ENTREGA RECEPCION DE LAS OBRAS REALIZADAS POR LA ENTREGA DE LAS OBRAS EJECUTADAS DURANTE EL 2022, 2023 Y 2024”</w:t>
      </w:r>
    </w:p>
    <w:p w:rsidR="0064332D" w:rsidRPr="004274D4" w:rsidRDefault="0064332D">
      <w:pPr>
        <w:pBdr>
          <w:top w:val="nil"/>
          <w:left w:val="nil"/>
          <w:bottom w:val="nil"/>
          <w:right w:val="nil"/>
          <w:between w:val="nil"/>
        </w:pBdr>
        <w:spacing w:line="360" w:lineRule="auto"/>
        <w:ind w:left="567" w:right="822"/>
        <w:jc w:val="both"/>
        <w:rPr>
          <w:rFonts w:ascii="Palatino Linotype" w:eastAsia="Palatino Linotype" w:hAnsi="Palatino Linotype" w:cs="Palatino Linotype"/>
          <w:i/>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Señaló como modalidad de entrega de la información a través del </w:t>
      </w:r>
      <w:r w:rsidRPr="004274D4">
        <w:rPr>
          <w:rFonts w:ascii="Palatino Linotype" w:eastAsia="Palatino Linotype" w:hAnsi="Palatino Linotype" w:cs="Palatino Linotype"/>
          <w:b/>
          <w:color w:val="000000"/>
          <w:sz w:val="22"/>
          <w:szCs w:val="22"/>
        </w:rPr>
        <w:t>SAIMEX.</w:t>
      </w:r>
    </w:p>
    <w:p w:rsidR="0064332D" w:rsidRPr="004274D4" w:rsidRDefault="0064332D">
      <w:pPr>
        <w:rPr>
          <w:rFonts w:ascii="Palatino Linotype" w:eastAsia="Palatino Linotype" w:hAnsi="Palatino Linotype" w:cs="Palatino Linotype"/>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b/>
          <w:color w:val="000000"/>
          <w:sz w:val="22"/>
          <w:szCs w:val="22"/>
        </w:rPr>
        <w:t xml:space="preserve">El ocho de julio de dos mil veinticuatro, </w:t>
      </w:r>
      <w:r w:rsidRPr="004274D4">
        <w:rPr>
          <w:rFonts w:ascii="Palatino Linotype" w:eastAsia="Palatino Linotype" w:hAnsi="Palatino Linotype" w:cs="Palatino Linotype"/>
          <w:color w:val="000000"/>
          <w:sz w:val="22"/>
          <w:szCs w:val="22"/>
        </w:rPr>
        <w:t xml:space="preserve">se realizó un requerimiento de información al servidor público habilitado. </w:t>
      </w:r>
    </w:p>
    <w:p w:rsidR="0064332D" w:rsidRPr="004274D4" w:rsidRDefault="0064332D">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4274D4">
        <w:rPr>
          <w:rFonts w:ascii="Palatino Linotype" w:eastAsia="Palatino Linotype" w:hAnsi="Palatino Linotype" w:cs="Palatino Linotype"/>
          <w:color w:val="000000"/>
          <w:sz w:val="22"/>
          <w:szCs w:val="22"/>
        </w:rPr>
        <w:t xml:space="preserve">El </w:t>
      </w:r>
      <w:r w:rsidRPr="004274D4">
        <w:rPr>
          <w:rFonts w:ascii="Palatino Linotype" w:eastAsia="Palatino Linotype" w:hAnsi="Palatino Linotype" w:cs="Palatino Linotype"/>
          <w:b/>
          <w:color w:val="000000"/>
          <w:sz w:val="22"/>
          <w:szCs w:val="22"/>
        </w:rPr>
        <w:t>doce de julio de dos mil veinticuatro</w:t>
      </w:r>
      <w:r w:rsidRPr="004274D4">
        <w:rPr>
          <w:rFonts w:ascii="Palatino Linotype" w:eastAsia="Palatino Linotype" w:hAnsi="Palatino Linotype" w:cs="Palatino Linotype"/>
          <w:color w:val="000000"/>
          <w:sz w:val="22"/>
          <w:szCs w:val="22"/>
        </w:rPr>
        <w:t>, el Sujeto Obligado dio respuesta a la solicitud de información en el siguiente sentido:</w:t>
      </w:r>
    </w:p>
    <w:p w:rsidR="0064332D" w:rsidRPr="004274D4" w:rsidRDefault="0064332D">
      <w:pPr>
        <w:pBdr>
          <w:top w:val="nil"/>
          <w:left w:val="nil"/>
          <w:bottom w:val="nil"/>
          <w:right w:val="nil"/>
          <w:between w:val="nil"/>
        </w:pBdr>
        <w:ind w:left="720"/>
        <w:rPr>
          <w:rFonts w:ascii="Palatino Linotype" w:eastAsia="Palatino Linotype" w:hAnsi="Palatino Linotype" w:cs="Palatino Linotype"/>
          <w:b/>
          <w:color w:val="000000"/>
          <w:sz w:val="22"/>
          <w:szCs w:val="22"/>
        </w:rPr>
      </w:pPr>
    </w:p>
    <w:tbl>
      <w:tblPr>
        <w:tblStyle w:val="a"/>
        <w:tblW w:w="7688" w:type="dxa"/>
        <w:jc w:val="center"/>
        <w:tblInd w:w="0" w:type="dxa"/>
        <w:tblLayout w:type="fixed"/>
        <w:tblLook w:val="0400" w:firstRow="0" w:lastRow="0" w:firstColumn="0" w:lastColumn="0" w:noHBand="0" w:noVBand="1"/>
      </w:tblPr>
      <w:tblGrid>
        <w:gridCol w:w="7688"/>
      </w:tblGrid>
      <w:tr w:rsidR="0064332D" w:rsidRPr="004274D4">
        <w:trPr>
          <w:trHeight w:val="313"/>
          <w:jc w:val="center"/>
        </w:trPr>
        <w:tc>
          <w:tcPr>
            <w:tcW w:w="7688" w:type="dxa"/>
            <w:vAlign w:val="center"/>
          </w:tcPr>
          <w:p w:rsidR="0064332D" w:rsidRPr="004274D4" w:rsidRDefault="00F028C1">
            <w:pPr>
              <w:jc w:val="right"/>
              <w:rPr>
                <w:rFonts w:ascii="Palatino Linotype" w:eastAsia="Palatino Linotype" w:hAnsi="Palatino Linotype" w:cs="Palatino Linotype"/>
                <w:i/>
                <w:sz w:val="22"/>
                <w:szCs w:val="22"/>
              </w:rPr>
            </w:pPr>
            <w:proofErr w:type="spellStart"/>
            <w:r w:rsidRPr="004274D4">
              <w:rPr>
                <w:rFonts w:ascii="Palatino Linotype" w:eastAsia="Palatino Linotype" w:hAnsi="Palatino Linotype" w:cs="Palatino Linotype"/>
                <w:i/>
                <w:sz w:val="22"/>
                <w:szCs w:val="22"/>
              </w:rPr>
              <w:t>Temamatla</w:t>
            </w:r>
            <w:proofErr w:type="spellEnd"/>
            <w:r w:rsidRPr="004274D4">
              <w:rPr>
                <w:rFonts w:ascii="Palatino Linotype" w:eastAsia="Palatino Linotype" w:hAnsi="Palatino Linotype" w:cs="Palatino Linotype"/>
                <w:i/>
                <w:sz w:val="22"/>
                <w:szCs w:val="22"/>
              </w:rPr>
              <w:t>, México a 12 de Julio de 2024</w:t>
            </w:r>
          </w:p>
        </w:tc>
      </w:tr>
      <w:tr w:rsidR="0064332D" w:rsidRPr="004274D4">
        <w:trPr>
          <w:trHeight w:val="313"/>
          <w:jc w:val="center"/>
        </w:trPr>
        <w:tc>
          <w:tcPr>
            <w:tcW w:w="7688" w:type="dxa"/>
            <w:vAlign w:val="center"/>
          </w:tcPr>
          <w:p w:rsidR="0064332D" w:rsidRPr="004274D4" w:rsidRDefault="00F028C1">
            <w:pPr>
              <w:jc w:val="right"/>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t>Nombre del solicitante: C. Solicitante</w:t>
            </w:r>
          </w:p>
        </w:tc>
      </w:tr>
      <w:tr w:rsidR="0064332D" w:rsidRPr="004274D4">
        <w:trPr>
          <w:trHeight w:val="313"/>
          <w:jc w:val="center"/>
        </w:trPr>
        <w:tc>
          <w:tcPr>
            <w:tcW w:w="7688" w:type="dxa"/>
            <w:vAlign w:val="center"/>
          </w:tcPr>
          <w:p w:rsidR="0064332D" w:rsidRPr="004274D4" w:rsidRDefault="00F028C1">
            <w:pPr>
              <w:jc w:val="right"/>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t>Folio de la solicitud: 00145/TEMAMATL/IP/2024</w:t>
            </w:r>
          </w:p>
        </w:tc>
      </w:tr>
      <w:tr w:rsidR="0064332D" w:rsidRPr="004274D4">
        <w:trPr>
          <w:trHeight w:val="470"/>
          <w:jc w:val="center"/>
        </w:trPr>
        <w:tc>
          <w:tcPr>
            <w:tcW w:w="7688" w:type="dxa"/>
            <w:vAlign w:val="center"/>
          </w:tcPr>
          <w:p w:rsidR="0064332D" w:rsidRPr="004274D4" w:rsidRDefault="0064332D">
            <w:pPr>
              <w:jc w:val="right"/>
              <w:rPr>
                <w:rFonts w:ascii="Palatino Linotype" w:eastAsia="Palatino Linotype" w:hAnsi="Palatino Linotype" w:cs="Palatino Linotype"/>
                <w:i/>
                <w:sz w:val="22"/>
                <w:szCs w:val="22"/>
              </w:rPr>
            </w:pPr>
          </w:p>
        </w:tc>
      </w:tr>
      <w:tr w:rsidR="0064332D" w:rsidRPr="004274D4">
        <w:trPr>
          <w:trHeight w:val="156"/>
          <w:jc w:val="center"/>
        </w:trPr>
        <w:tc>
          <w:tcPr>
            <w:tcW w:w="7688" w:type="dxa"/>
            <w:vAlign w:val="center"/>
          </w:tcPr>
          <w:p w:rsidR="0064332D" w:rsidRPr="004274D4" w:rsidRDefault="00F028C1">
            <w:pPr>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64332D" w:rsidRPr="004274D4">
        <w:trPr>
          <w:trHeight w:val="391"/>
          <w:jc w:val="center"/>
        </w:trPr>
        <w:tc>
          <w:tcPr>
            <w:tcW w:w="7688" w:type="dxa"/>
            <w:vAlign w:val="center"/>
          </w:tcPr>
          <w:p w:rsidR="0064332D" w:rsidRPr="004274D4" w:rsidRDefault="0064332D">
            <w:pPr>
              <w:jc w:val="both"/>
              <w:rPr>
                <w:rFonts w:ascii="Palatino Linotype" w:eastAsia="Palatino Linotype" w:hAnsi="Palatino Linotype" w:cs="Palatino Linotype"/>
                <w:i/>
                <w:sz w:val="22"/>
                <w:szCs w:val="22"/>
              </w:rPr>
            </w:pPr>
          </w:p>
        </w:tc>
      </w:tr>
      <w:tr w:rsidR="0064332D" w:rsidRPr="004274D4">
        <w:trPr>
          <w:trHeight w:val="156"/>
          <w:jc w:val="center"/>
        </w:trPr>
        <w:tc>
          <w:tcPr>
            <w:tcW w:w="7688" w:type="dxa"/>
            <w:vAlign w:val="center"/>
          </w:tcPr>
          <w:p w:rsidR="0064332D" w:rsidRPr="004274D4" w:rsidRDefault="00F028C1">
            <w:pPr>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t>SOLICITANTE SEA ESTE EL MEDIO IDÓNEO PARA SALUDARLO Y A SU VEZ DAR CONTESTACIÓN A LA SOLICITUD EN CITA, CON FUNDAMENTO EN EL ARTICULO 6° DE LA CARTA MAGNA, 5° DE LA CONSTITUCIÓN LOCAL Y 4° DE LA LEY DE TRANSPARENCIA Y ACCESO A LA INFORMACIÓN PUBLICA DEL ESTADO DE MÉXICO Y MUNICIPIOS. SE DA CABAL CUMPLIMIENTO, OBSERVANDO LOS PRINCIPIOS DE CERTEZA, EFICIENCIA, IMPARCIALIDAD, INDEPENDENCIA. LEGALIDAD, MÁXIMA PUBLICIDAD, OBJETIVIDAD, PROFESIONALISMO Y TRANSPARENCIA. RESPUESTA FUNDADA Y MOTIVADA EN EL CONTENIDO DEL OFICIO QUE SE ADJUNTA, DANDO RESPUESTA CLARA Y PRECISA DADA LA INDAGATORIA DEL SOLICITANTE. SIN OTRA PARTICULAR QUEDA A LA ORDEN ESTA UNIDAD DE TRANSPARENCIA DEL MUNICIPIO DE TEMAMATLA, CON DOMICILIO EN CALLE GUERRERO NO. 40, TEMAMATLA. PARA CUALQUIER DUDA O ACLARACIÓN. ATENTAMENTE TITULAR DE LA UNIDAD DE TRANSPARENCIA Y ACCESO A LA INFORMACIÓN PÚBLICA DEL MUNICIPIO DE TEMAMATLA, ESTADO DE MÉXICO</w:t>
            </w:r>
          </w:p>
        </w:tc>
      </w:tr>
      <w:tr w:rsidR="0064332D" w:rsidRPr="004274D4">
        <w:trPr>
          <w:trHeight w:val="391"/>
          <w:jc w:val="center"/>
        </w:trPr>
        <w:tc>
          <w:tcPr>
            <w:tcW w:w="7688" w:type="dxa"/>
            <w:vAlign w:val="center"/>
          </w:tcPr>
          <w:p w:rsidR="0064332D" w:rsidRPr="004274D4" w:rsidRDefault="0064332D">
            <w:pPr>
              <w:rPr>
                <w:rFonts w:ascii="Palatino Linotype" w:eastAsia="Palatino Linotype" w:hAnsi="Palatino Linotype" w:cs="Palatino Linotype"/>
                <w:i/>
                <w:sz w:val="22"/>
                <w:szCs w:val="22"/>
              </w:rPr>
            </w:pPr>
          </w:p>
        </w:tc>
      </w:tr>
      <w:tr w:rsidR="0064332D" w:rsidRPr="004274D4">
        <w:trPr>
          <w:trHeight w:val="156"/>
          <w:jc w:val="center"/>
        </w:trPr>
        <w:tc>
          <w:tcPr>
            <w:tcW w:w="7688" w:type="dxa"/>
            <w:vAlign w:val="center"/>
          </w:tcPr>
          <w:p w:rsidR="0064332D" w:rsidRPr="004274D4" w:rsidRDefault="0064332D">
            <w:pPr>
              <w:jc w:val="center"/>
              <w:rPr>
                <w:rFonts w:ascii="Palatino Linotype" w:eastAsia="Palatino Linotype" w:hAnsi="Palatino Linotype" w:cs="Palatino Linotype"/>
                <w:i/>
                <w:sz w:val="22"/>
                <w:szCs w:val="22"/>
              </w:rPr>
            </w:pPr>
          </w:p>
        </w:tc>
      </w:tr>
      <w:tr w:rsidR="0064332D" w:rsidRPr="004274D4">
        <w:trPr>
          <w:trHeight w:val="156"/>
          <w:jc w:val="center"/>
        </w:trPr>
        <w:tc>
          <w:tcPr>
            <w:tcW w:w="7688" w:type="dxa"/>
            <w:vAlign w:val="center"/>
          </w:tcPr>
          <w:p w:rsidR="0064332D" w:rsidRPr="004274D4" w:rsidRDefault="0064332D">
            <w:pPr>
              <w:rPr>
                <w:rFonts w:ascii="Palatino Linotype" w:eastAsia="Palatino Linotype" w:hAnsi="Palatino Linotype" w:cs="Palatino Linotype"/>
                <w:i/>
                <w:sz w:val="22"/>
                <w:szCs w:val="22"/>
              </w:rPr>
            </w:pPr>
          </w:p>
        </w:tc>
      </w:tr>
      <w:tr w:rsidR="0064332D" w:rsidRPr="004274D4">
        <w:trPr>
          <w:trHeight w:val="156"/>
          <w:jc w:val="center"/>
        </w:trPr>
        <w:tc>
          <w:tcPr>
            <w:tcW w:w="7688" w:type="dxa"/>
            <w:vAlign w:val="center"/>
          </w:tcPr>
          <w:p w:rsidR="0064332D" w:rsidRPr="004274D4" w:rsidRDefault="00F028C1">
            <w:pPr>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lastRenderedPageBreak/>
              <w:t>ATENTAMENTE</w:t>
            </w:r>
          </w:p>
        </w:tc>
      </w:tr>
      <w:tr w:rsidR="0064332D" w:rsidRPr="004274D4">
        <w:trPr>
          <w:trHeight w:val="235"/>
          <w:jc w:val="center"/>
        </w:trPr>
        <w:tc>
          <w:tcPr>
            <w:tcW w:w="7688" w:type="dxa"/>
            <w:vAlign w:val="center"/>
          </w:tcPr>
          <w:p w:rsidR="0064332D" w:rsidRPr="004274D4" w:rsidRDefault="0064332D">
            <w:pPr>
              <w:rPr>
                <w:rFonts w:ascii="Palatino Linotype" w:eastAsia="Palatino Linotype" w:hAnsi="Palatino Linotype" w:cs="Palatino Linotype"/>
                <w:i/>
                <w:sz w:val="22"/>
                <w:szCs w:val="22"/>
              </w:rPr>
            </w:pPr>
          </w:p>
        </w:tc>
      </w:tr>
      <w:tr w:rsidR="0064332D" w:rsidRPr="004274D4">
        <w:trPr>
          <w:trHeight w:val="156"/>
          <w:jc w:val="center"/>
        </w:trPr>
        <w:tc>
          <w:tcPr>
            <w:tcW w:w="7688" w:type="dxa"/>
            <w:vAlign w:val="center"/>
          </w:tcPr>
          <w:p w:rsidR="0064332D" w:rsidRPr="004274D4" w:rsidRDefault="00F028C1">
            <w:pPr>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t xml:space="preserve">Lic. Derecho Claudia </w:t>
            </w:r>
            <w:proofErr w:type="spellStart"/>
            <w:r w:rsidRPr="004274D4">
              <w:rPr>
                <w:rFonts w:ascii="Palatino Linotype" w:eastAsia="Palatino Linotype" w:hAnsi="Palatino Linotype" w:cs="Palatino Linotype"/>
                <w:i/>
                <w:sz w:val="22"/>
                <w:szCs w:val="22"/>
              </w:rPr>
              <w:t>Jimenéz</w:t>
            </w:r>
            <w:proofErr w:type="spellEnd"/>
            <w:r w:rsidRPr="004274D4">
              <w:rPr>
                <w:rFonts w:ascii="Palatino Linotype" w:eastAsia="Palatino Linotype" w:hAnsi="Palatino Linotype" w:cs="Palatino Linotype"/>
                <w:i/>
                <w:sz w:val="22"/>
                <w:szCs w:val="22"/>
              </w:rPr>
              <w:t xml:space="preserve"> Maldonado</w:t>
            </w:r>
          </w:p>
        </w:tc>
      </w:tr>
    </w:tbl>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rsidR="0064332D" w:rsidRPr="004274D4" w:rsidRDefault="00F028C1">
      <w:pPr>
        <w:numPr>
          <w:ilvl w:val="0"/>
          <w:numId w:val="5"/>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sz w:val="22"/>
          <w:szCs w:val="22"/>
        </w:rPr>
      </w:pPr>
      <w:r w:rsidRPr="004274D4">
        <w:rPr>
          <w:rFonts w:ascii="Palatino Linotype" w:eastAsia="Palatino Linotype" w:hAnsi="Palatino Linotype" w:cs="Palatino Linotype"/>
          <w:color w:val="000000"/>
          <w:sz w:val="22"/>
          <w:szCs w:val="22"/>
        </w:rPr>
        <w:t xml:space="preserve">A la respuesta se adjuntó el archivo denominado </w:t>
      </w:r>
      <w:hyperlink r:id="rId8">
        <w:r w:rsidRPr="004274D4">
          <w:rPr>
            <w:rFonts w:ascii="Palatino Linotype" w:eastAsia="Palatino Linotype" w:hAnsi="Palatino Linotype" w:cs="Palatino Linotype"/>
            <w:b/>
            <w:color w:val="000000"/>
            <w:sz w:val="22"/>
            <w:szCs w:val="22"/>
            <w:u w:val="single"/>
          </w:rPr>
          <w:t>145 obras.pdf</w:t>
        </w:r>
      </w:hyperlink>
      <w:r w:rsidRPr="004274D4">
        <w:rPr>
          <w:rFonts w:ascii="Palatino Linotype" w:eastAsia="Palatino Linotype" w:hAnsi="Palatino Linotype" w:cs="Palatino Linotype"/>
          <w:color w:val="000000"/>
          <w:sz w:val="22"/>
          <w:szCs w:val="22"/>
        </w:rPr>
        <w:t xml:space="preserve">, en el que se advierte el oficio número DOP/149/2024 de fecha ocho de julio de dos mil veinticuatro, suscrito por el Director de Obras Públicas del Ayuntamiento, en el que refirió que la información solicitada podía ser consultada en la página oficial IPOMEX 3.0 del ejercicio fiscal 2023 y respecto al ejercicio fiscal 2024 refirió que puede ser consultada en IPOMEX 4.0, asimismo, refirió tres ligas electrónicas en las que se señaló se puede consultar la información respecto a los ejercicios 2022, 2023 y 2024. </w:t>
      </w:r>
    </w:p>
    <w:p w:rsidR="0064332D" w:rsidRPr="004274D4" w:rsidRDefault="0064332D">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bookmarkStart w:id="1" w:name="_heading=h.30j0zll" w:colFirst="0" w:colLast="0"/>
      <w:bookmarkEnd w:id="1"/>
      <w:r w:rsidRPr="004274D4">
        <w:rPr>
          <w:rFonts w:ascii="Palatino Linotype" w:eastAsia="Palatino Linotype" w:hAnsi="Palatino Linotype" w:cs="Palatino Linotype"/>
          <w:color w:val="000000"/>
          <w:sz w:val="22"/>
          <w:szCs w:val="22"/>
        </w:rPr>
        <w:t xml:space="preserve">El </w:t>
      </w:r>
      <w:r w:rsidRPr="004274D4">
        <w:rPr>
          <w:rFonts w:ascii="Palatino Linotype" w:eastAsia="Palatino Linotype" w:hAnsi="Palatino Linotype" w:cs="Palatino Linotype"/>
          <w:b/>
          <w:color w:val="000000"/>
          <w:sz w:val="22"/>
          <w:szCs w:val="22"/>
        </w:rPr>
        <w:t>diez de agosto de dos mil veinticuatro</w:t>
      </w:r>
      <w:r w:rsidRPr="004274D4">
        <w:rPr>
          <w:rFonts w:ascii="Palatino Linotype" w:eastAsia="Palatino Linotype" w:hAnsi="Palatino Linotype" w:cs="Palatino Linotype"/>
          <w:color w:val="000000"/>
          <w:sz w:val="22"/>
          <w:szCs w:val="22"/>
        </w:rPr>
        <w:t xml:space="preserve">, </w:t>
      </w:r>
      <w:r w:rsidRPr="004274D4">
        <w:rPr>
          <w:rFonts w:ascii="Palatino Linotype" w:eastAsia="Palatino Linotype" w:hAnsi="Palatino Linotype" w:cs="Palatino Linotype"/>
          <w:b/>
          <w:color w:val="000000"/>
          <w:sz w:val="22"/>
          <w:szCs w:val="22"/>
        </w:rPr>
        <w:t>EL RECURRENTE</w:t>
      </w:r>
      <w:r w:rsidRPr="004274D4">
        <w:rPr>
          <w:rFonts w:ascii="Palatino Linotype" w:eastAsia="Palatino Linotype" w:hAnsi="Palatino Linotype" w:cs="Palatino Linotype"/>
          <w:color w:val="000000"/>
          <w:sz w:val="22"/>
          <w:szCs w:val="22"/>
        </w:rPr>
        <w:t xml:space="preserve"> interpuso el recurso de revisión, en contra de la respuesta y señaló como:</w:t>
      </w:r>
    </w:p>
    <w:p w:rsidR="0064332D" w:rsidRPr="004274D4" w:rsidRDefault="0064332D">
      <w:pPr>
        <w:pBdr>
          <w:top w:val="nil"/>
          <w:left w:val="nil"/>
          <w:bottom w:val="nil"/>
          <w:right w:val="nil"/>
          <w:between w:val="nil"/>
        </w:pBdr>
        <w:ind w:left="720"/>
        <w:rPr>
          <w:rFonts w:ascii="Palatino Linotype" w:eastAsia="Palatino Linotype" w:hAnsi="Palatino Linotype" w:cs="Palatino Linotype"/>
          <w:b/>
          <w:color w:val="000000"/>
          <w:sz w:val="22"/>
          <w:szCs w:val="22"/>
        </w:rPr>
      </w:pPr>
    </w:p>
    <w:p w:rsidR="0064332D" w:rsidRPr="004274D4" w:rsidRDefault="00F028C1">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b/>
          <w:color w:val="000000"/>
          <w:sz w:val="22"/>
          <w:szCs w:val="22"/>
        </w:rPr>
        <w:t xml:space="preserve">Acto impugnado: </w:t>
      </w:r>
      <w:r w:rsidRPr="004274D4">
        <w:rPr>
          <w:rFonts w:ascii="Palatino Linotype" w:eastAsia="Palatino Linotype" w:hAnsi="Palatino Linotype" w:cs="Palatino Linotype"/>
          <w:i/>
          <w:color w:val="000000"/>
          <w:sz w:val="22"/>
          <w:szCs w:val="22"/>
        </w:rPr>
        <w:t>“Respuesta a solicitud” (sic)</w:t>
      </w:r>
    </w:p>
    <w:p w:rsidR="0064332D" w:rsidRPr="004274D4" w:rsidRDefault="00F028C1">
      <w:pPr>
        <w:pBdr>
          <w:top w:val="nil"/>
          <w:left w:val="nil"/>
          <w:bottom w:val="nil"/>
          <w:right w:val="nil"/>
          <w:between w:val="nil"/>
        </w:pBdr>
        <w:spacing w:line="360" w:lineRule="auto"/>
        <w:ind w:left="720"/>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b/>
          <w:color w:val="000000"/>
          <w:sz w:val="22"/>
          <w:szCs w:val="22"/>
        </w:rPr>
        <w:t xml:space="preserve">Motivos o razones de inconformidad: </w:t>
      </w:r>
      <w:r w:rsidRPr="004274D4">
        <w:rPr>
          <w:rFonts w:ascii="Palatino Linotype" w:eastAsia="Palatino Linotype" w:hAnsi="Palatino Linotype" w:cs="Palatino Linotype"/>
          <w:b/>
          <w:i/>
          <w:color w:val="000000"/>
          <w:sz w:val="22"/>
          <w:szCs w:val="22"/>
        </w:rPr>
        <w:t>“</w:t>
      </w:r>
      <w:r w:rsidRPr="004274D4">
        <w:rPr>
          <w:rFonts w:ascii="Palatino Linotype" w:eastAsia="Palatino Linotype" w:hAnsi="Palatino Linotype" w:cs="Palatino Linotype"/>
          <w:i/>
          <w:color w:val="000000"/>
          <w:sz w:val="22"/>
          <w:szCs w:val="22"/>
        </w:rPr>
        <w:t xml:space="preserve">El sujeto obligado refiere que la información se encuentra en la plataforma de </w:t>
      </w:r>
      <w:proofErr w:type="spellStart"/>
      <w:r w:rsidRPr="004274D4">
        <w:rPr>
          <w:rFonts w:ascii="Palatino Linotype" w:eastAsia="Palatino Linotype" w:hAnsi="Palatino Linotype" w:cs="Palatino Linotype"/>
          <w:i/>
          <w:color w:val="000000"/>
          <w:sz w:val="22"/>
          <w:szCs w:val="22"/>
        </w:rPr>
        <w:t>Ipomex</w:t>
      </w:r>
      <w:proofErr w:type="spellEnd"/>
      <w:r w:rsidRPr="004274D4">
        <w:rPr>
          <w:rFonts w:ascii="Palatino Linotype" w:eastAsia="Palatino Linotype" w:hAnsi="Palatino Linotype" w:cs="Palatino Linotype"/>
          <w:i/>
          <w:color w:val="000000"/>
          <w:sz w:val="22"/>
          <w:szCs w:val="22"/>
        </w:rPr>
        <w:t xml:space="preserve"> siendo esto falso, astutamente refiriendo plataformas distintas con información inexistente para no realizar la entrega de </w:t>
      </w:r>
      <w:proofErr w:type="spellStart"/>
      <w:r w:rsidRPr="004274D4">
        <w:rPr>
          <w:rFonts w:ascii="Palatino Linotype" w:eastAsia="Palatino Linotype" w:hAnsi="Palatino Linotype" w:cs="Palatino Linotype"/>
          <w:i/>
          <w:color w:val="000000"/>
          <w:sz w:val="22"/>
          <w:szCs w:val="22"/>
        </w:rPr>
        <w:t>informacion</w:t>
      </w:r>
      <w:proofErr w:type="spellEnd"/>
      <w:r w:rsidRPr="004274D4">
        <w:rPr>
          <w:rFonts w:ascii="Palatino Linotype" w:eastAsia="Palatino Linotype" w:hAnsi="Palatino Linotype" w:cs="Palatino Linotype"/>
          <w:i/>
          <w:color w:val="000000"/>
          <w:sz w:val="22"/>
          <w:szCs w:val="22"/>
        </w:rPr>
        <w:t xml:space="preserve"> solicitada, requiero la información me sea entregada a través de la plataforma </w:t>
      </w:r>
      <w:proofErr w:type="spellStart"/>
      <w:r w:rsidRPr="004274D4">
        <w:rPr>
          <w:rFonts w:ascii="Palatino Linotype" w:eastAsia="Palatino Linotype" w:hAnsi="Palatino Linotype" w:cs="Palatino Linotype"/>
          <w:i/>
          <w:color w:val="000000"/>
          <w:sz w:val="22"/>
          <w:szCs w:val="22"/>
        </w:rPr>
        <w:t>saimex</w:t>
      </w:r>
      <w:proofErr w:type="spellEnd"/>
      <w:r w:rsidRPr="004274D4">
        <w:rPr>
          <w:rFonts w:ascii="Palatino Linotype" w:eastAsia="Palatino Linotype" w:hAnsi="Palatino Linotype" w:cs="Palatino Linotype"/>
          <w:b/>
          <w:i/>
          <w:color w:val="000000"/>
          <w:sz w:val="22"/>
          <w:szCs w:val="22"/>
        </w:rPr>
        <w:t>”</w:t>
      </w:r>
      <w:r w:rsidRPr="004274D4">
        <w:rPr>
          <w:rFonts w:ascii="Palatino Linotype" w:eastAsia="Palatino Linotype" w:hAnsi="Palatino Linotype" w:cs="Palatino Linotype"/>
          <w:i/>
          <w:color w:val="000000"/>
          <w:sz w:val="22"/>
          <w:szCs w:val="22"/>
        </w:rPr>
        <w:t xml:space="preserve"> (sic)</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Se registró el recurso revisión bajo el número de expediente al rubro indicado, asimismo con fundamento en lo dispuesto por el artículo 185 fracción I de la </w:t>
      </w:r>
      <w:r w:rsidRPr="004274D4">
        <w:rPr>
          <w:rFonts w:ascii="Palatino Linotype" w:eastAsia="Palatino Linotype" w:hAnsi="Palatino Linotype" w:cs="Palatino Linotype"/>
          <w:b/>
          <w:color w:val="000000"/>
          <w:sz w:val="22"/>
          <w:szCs w:val="22"/>
        </w:rPr>
        <w:t xml:space="preserve">Ley de </w:t>
      </w:r>
      <w:r w:rsidRPr="004274D4">
        <w:rPr>
          <w:rFonts w:ascii="Palatino Linotype" w:eastAsia="Palatino Linotype" w:hAnsi="Palatino Linotype" w:cs="Palatino Linotype"/>
          <w:b/>
          <w:color w:val="000000"/>
          <w:sz w:val="22"/>
          <w:szCs w:val="22"/>
        </w:rPr>
        <w:lastRenderedPageBreak/>
        <w:t xml:space="preserve">Transparencia y Acceso a la Información Pública del Estado de México y Municipios </w:t>
      </w:r>
      <w:r w:rsidRPr="004274D4">
        <w:rPr>
          <w:rFonts w:ascii="Palatino Linotype" w:eastAsia="Palatino Linotype" w:hAnsi="Palatino Linotype" w:cs="Palatino Linotype"/>
          <w:color w:val="000000"/>
          <w:sz w:val="22"/>
          <w:szCs w:val="22"/>
        </w:rPr>
        <w:t xml:space="preserve">se turnó a la </w:t>
      </w:r>
      <w:r w:rsidRPr="004274D4">
        <w:rPr>
          <w:rFonts w:ascii="Palatino Linotype" w:eastAsia="Palatino Linotype" w:hAnsi="Palatino Linotype" w:cs="Palatino Linotype"/>
          <w:b/>
          <w:color w:val="000000"/>
          <w:sz w:val="22"/>
          <w:szCs w:val="22"/>
        </w:rPr>
        <w:t xml:space="preserve">Comisionada María del Rosario Mejía Ayala, </w:t>
      </w:r>
      <w:r w:rsidRPr="004274D4">
        <w:rPr>
          <w:rFonts w:ascii="Palatino Linotype" w:eastAsia="Palatino Linotype" w:hAnsi="Palatino Linotype" w:cs="Palatino Linotype"/>
          <w:color w:val="000000"/>
          <w:sz w:val="22"/>
          <w:szCs w:val="22"/>
        </w:rPr>
        <w:t>con el objeto de su análisis.</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color w:val="000000"/>
          <w:sz w:val="22"/>
          <w:szCs w:val="22"/>
        </w:rPr>
        <w:t xml:space="preserve">La Comisionada Ponente con fundamento en lo dispuesto por el artículo 185 fracción II de la ley de la materia, a través del acuerdo de admisión de fecha </w:t>
      </w:r>
      <w:r w:rsidRPr="004274D4">
        <w:rPr>
          <w:rFonts w:ascii="Palatino Linotype" w:eastAsia="Palatino Linotype" w:hAnsi="Palatino Linotype" w:cs="Palatino Linotype"/>
          <w:b/>
          <w:color w:val="000000"/>
          <w:sz w:val="22"/>
          <w:szCs w:val="22"/>
        </w:rPr>
        <w:t>trece de agosto de dos mil veinticuatro</w:t>
      </w:r>
      <w:r w:rsidRPr="004274D4">
        <w:rPr>
          <w:rFonts w:ascii="Palatino Linotype" w:eastAsia="Palatino Linotype" w:hAnsi="Palatino Linotype" w:cs="Palatino Linotype"/>
          <w:color w:val="000000"/>
          <w:sz w:val="22"/>
          <w:szCs w:val="22"/>
        </w:rPr>
        <w:t xml:space="preserve">, puso a disposición de las partes el expediente electrónico vía </w:t>
      </w:r>
      <w:r w:rsidRPr="004274D4">
        <w:rPr>
          <w:rFonts w:ascii="Palatino Linotype" w:eastAsia="Palatino Linotype" w:hAnsi="Palatino Linotype" w:cs="Palatino Linotype"/>
          <w:b/>
          <w:color w:val="000000"/>
          <w:sz w:val="22"/>
          <w:szCs w:val="22"/>
        </w:rPr>
        <w:t xml:space="preserve">SAIMEX </w:t>
      </w:r>
      <w:r w:rsidRPr="004274D4">
        <w:rPr>
          <w:rFonts w:ascii="Palatino Linotype" w:eastAsia="Palatino Linotype" w:hAnsi="Palatino Linotype" w:cs="Palatino Linotype"/>
          <w:color w:val="000000"/>
          <w:sz w:val="22"/>
          <w:szCs w:val="22"/>
        </w:rPr>
        <w:t xml:space="preserve">a efecto de que en un plazo máximo de siete días manifestaran lo que a derecho convinieran, ofrecieran pruebas y alegatos según corresponda al caso concreto, de esta forma para que el </w:t>
      </w:r>
      <w:r w:rsidRPr="004274D4">
        <w:rPr>
          <w:rFonts w:ascii="Palatino Linotype" w:eastAsia="Palatino Linotype" w:hAnsi="Palatino Linotype" w:cs="Palatino Linotype"/>
          <w:b/>
          <w:color w:val="000000"/>
          <w:sz w:val="22"/>
          <w:szCs w:val="22"/>
        </w:rPr>
        <w:t>SUJETO OBLIGADO</w:t>
      </w:r>
      <w:r w:rsidRPr="004274D4">
        <w:rPr>
          <w:rFonts w:ascii="Palatino Linotype" w:eastAsia="Palatino Linotype" w:hAnsi="Palatino Linotype" w:cs="Palatino Linotype"/>
          <w:color w:val="000000"/>
          <w:sz w:val="22"/>
          <w:szCs w:val="22"/>
        </w:rPr>
        <w:t xml:space="preserve"> presentara el informe justificado procedente.</w:t>
      </w:r>
    </w:p>
    <w:p w:rsidR="0064332D" w:rsidRPr="004274D4" w:rsidRDefault="0064332D">
      <w:pPr>
        <w:pBdr>
          <w:top w:val="nil"/>
          <w:left w:val="nil"/>
          <w:bottom w:val="nil"/>
          <w:right w:val="nil"/>
          <w:between w:val="nil"/>
        </w:pBdr>
        <w:ind w:left="720"/>
        <w:rPr>
          <w:rFonts w:ascii="Palatino Linotype" w:eastAsia="Palatino Linotype" w:hAnsi="Palatino Linotype" w:cs="Palatino Linotype"/>
          <w:i/>
          <w:color w:val="000000"/>
          <w:sz w:val="22"/>
          <w:szCs w:val="22"/>
        </w:rPr>
      </w:pPr>
    </w:p>
    <w:p w:rsidR="0064332D" w:rsidRPr="004274D4" w:rsidRDefault="00F028C1">
      <w:pPr>
        <w:numPr>
          <w:ilvl w:val="0"/>
          <w:numId w:val="3"/>
        </w:numPr>
        <w:tabs>
          <w:tab w:val="left" w:pos="284"/>
        </w:tabs>
        <w:spacing w:before="240" w:line="360" w:lineRule="auto"/>
        <w:ind w:left="0" w:firstLine="0"/>
        <w:jc w:val="both"/>
        <w:rPr>
          <w:rFonts w:ascii="Palatino Linotype" w:eastAsia="Palatino Linotype" w:hAnsi="Palatino Linotype" w:cs="Palatino Linotype"/>
          <w:b/>
          <w:i/>
          <w:sz w:val="22"/>
          <w:szCs w:val="22"/>
        </w:rPr>
      </w:pPr>
      <w:r w:rsidRPr="004274D4">
        <w:rPr>
          <w:rFonts w:ascii="Palatino Linotype" w:eastAsia="Palatino Linotype" w:hAnsi="Palatino Linotype" w:cs="Palatino Linotype"/>
          <w:sz w:val="22"/>
          <w:szCs w:val="22"/>
        </w:rPr>
        <w:t>De las constancias que obran en el expediente electrónico del SAIMEX, se aprecia que el Recurrente no realizó manifestaciones; por su parte, el Sujeto Obligado entregó su informe justificado el nueve de octubre de dos mil veinticuatro, mismo que fue puesto a la vista del particular el veintidós de enero de dos mil veinticinco. Al respecto. El Sujeto Obligado adjuntó el archivo denominado</w:t>
      </w:r>
      <w:r w:rsidRPr="004274D4">
        <w:rPr>
          <w:sz w:val="22"/>
          <w:szCs w:val="22"/>
        </w:rPr>
        <w:t xml:space="preserve"> </w:t>
      </w:r>
      <w:hyperlink r:id="rId9">
        <w:r w:rsidRPr="004274D4">
          <w:rPr>
            <w:rFonts w:ascii="Palatino Linotype" w:eastAsia="Palatino Linotype" w:hAnsi="Palatino Linotype" w:cs="Palatino Linotype"/>
            <w:b/>
            <w:color w:val="000000"/>
            <w:sz w:val="22"/>
            <w:szCs w:val="22"/>
            <w:u w:val="single"/>
          </w:rPr>
          <w:t>MANIFESTACIONES PDF.pdf</w:t>
        </w:r>
      </w:hyperlink>
      <w:r w:rsidRPr="004274D4">
        <w:rPr>
          <w:rFonts w:ascii="Palatino Linotype" w:eastAsia="Palatino Linotype" w:hAnsi="Palatino Linotype" w:cs="Palatino Linotype"/>
          <w:sz w:val="22"/>
          <w:szCs w:val="22"/>
        </w:rPr>
        <w:t xml:space="preserve"> , en el que se advierte un escrito denominado manifestaciones, suscrito por la Titular de la Unidad de Transparencia, en el que medularmente ratificó su respuesta.</w:t>
      </w:r>
    </w:p>
    <w:p w:rsidR="0064332D" w:rsidRPr="004274D4" w:rsidRDefault="0064332D">
      <w:pPr>
        <w:tabs>
          <w:tab w:val="left" w:pos="284"/>
        </w:tabs>
        <w:spacing w:line="360" w:lineRule="auto"/>
        <w:jc w:val="both"/>
        <w:rPr>
          <w:rFonts w:ascii="Palatino Linotype" w:eastAsia="Palatino Linotype" w:hAnsi="Palatino Linotype" w:cs="Palatino Linotype"/>
          <w:b/>
          <w:i/>
          <w:sz w:val="22"/>
          <w:szCs w:val="22"/>
        </w:rPr>
      </w:pPr>
    </w:p>
    <w:p w:rsidR="0064332D" w:rsidRPr="004274D4" w:rsidRDefault="00F028C1">
      <w:pPr>
        <w:numPr>
          <w:ilvl w:val="0"/>
          <w:numId w:val="3"/>
        </w:numPr>
        <w:tabs>
          <w:tab w:val="left" w:pos="284"/>
        </w:tabs>
        <w:spacing w:line="360" w:lineRule="auto"/>
        <w:ind w:left="0" w:firstLine="0"/>
        <w:jc w:val="both"/>
        <w:rPr>
          <w:rFonts w:ascii="Palatino Linotype" w:eastAsia="Palatino Linotype" w:hAnsi="Palatino Linotype" w:cs="Palatino Linotype"/>
          <w:b/>
          <w:i/>
          <w:sz w:val="22"/>
          <w:szCs w:val="22"/>
        </w:rPr>
      </w:pPr>
      <w:r w:rsidRPr="004274D4">
        <w:rPr>
          <w:rFonts w:ascii="Palatino Linotype" w:eastAsia="Palatino Linotype" w:hAnsi="Palatino Linotype" w:cs="Palatino Linotype"/>
          <w:sz w:val="22"/>
          <w:szCs w:val="22"/>
        </w:rPr>
        <w:t xml:space="preserve">El </w:t>
      </w:r>
      <w:r w:rsidR="001E1A87" w:rsidRPr="004274D4">
        <w:rPr>
          <w:rFonts w:ascii="Palatino Linotype" w:eastAsia="Palatino Linotype" w:hAnsi="Palatino Linotype" w:cs="Palatino Linotype"/>
          <w:b/>
          <w:sz w:val="22"/>
          <w:szCs w:val="22"/>
        </w:rPr>
        <w:t>veintisiete</w:t>
      </w:r>
      <w:r w:rsidRPr="004274D4">
        <w:rPr>
          <w:rFonts w:ascii="Palatino Linotype" w:eastAsia="Palatino Linotype" w:hAnsi="Palatino Linotype" w:cs="Palatino Linotype"/>
          <w:b/>
          <w:sz w:val="22"/>
          <w:szCs w:val="22"/>
        </w:rPr>
        <w:t xml:space="preserve"> de enero de dos mil veinticinco,</w:t>
      </w:r>
      <w:r w:rsidRPr="004274D4">
        <w:rPr>
          <w:rFonts w:ascii="Palatino Linotype" w:eastAsia="Palatino Linotype" w:hAnsi="Palatino Linotype" w:cs="Palatino Linotype"/>
          <w:sz w:val="22"/>
          <w:szCs w:val="22"/>
        </w:rPr>
        <w:t xml:space="preserve"> se notificó el acuerdo a través del cual se aprobó la ampliación de plazo para emitir resolución.  </w:t>
      </w:r>
    </w:p>
    <w:p w:rsidR="0064332D" w:rsidRPr="004274D4" w:rsidRDefault="0064332D">
      <w:pPr>
        <w:rPr>
          <w:rFonts w:ascii="Palatino Linotype" w:eastAsia="Palatino Linotype" w:hAnsi="Palatino Linotype" w:cs="Palatino Linotype"/>
          <w:b/>
          <w:i/>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4274D4">
        <w:rPr>
          <w:rFonts w:ascii="Palatino Linotype" w:eastAsia="Palatino Linotype" w:hAnsi="Palatino Linotype" w:cs="Palatino Linotype"/>
          <w:color w:val="000000"/>
          <w:sz w:val="22"/>
          <w:szCs w:val="22"/>
        </w:rPr>
        <w:t xml:space="preserve">Este organismo garante no pasa por alto justificar, que la dilación en la resolución del presente asunto encuentra justificación en el alto número de recursos de revisión recibidos, </w:t>
      </w:r>
      <w:r w:rsidRPr="004274D4">
        <w:rPr>
          <w:rFonts w:ascii="Palatino Linotype" w:eastAsia="Palatino Linotype" w:hAnsi="Palatino Linotype" w:cs="Palatino Linotype"/>
          <w:color w:val="000000"/>
          <w:sz w:val="22"/>
          <w:szCs w:val="22"/>
        </w:rPr>
        <w:lastRenderedPageBreak/>
        <w:t>circunstancia atípica que ha rebasado las capacidades técnicas y humanas del personal encargado de la proyección de las resoluciones a dichos medios de impugnación.</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4274D4">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4274D4">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4274D4">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4274D4">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 dicha dilación atendiendo a los siguientes criterios:   </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Complejidad del Asunto: La complejidad de la prueba, la pluralidad de sujetos procesales, el tiempo transcurrido, las características y contexto del recurso. </w:t>
      </w:r>
    </w:p>
    <w:p w:rsidR="0064332D" w:rsidRPr="004274D4" w:rsidRDefault="0064332D">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p>
    <w:p w:rsidR="0064332D" w:rsidRPr="004274D4" w:rsidRDefault="00F028C1">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Actividad Procesal del interesado. Acciones u omisiones del interesado.</w:t>
      </w:r>
    </w:p>
    <w:p w:rsidR="0064332D" w:rsidRPr="004274D4" w:rsidRDefault="0064332D">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p>
    <w:p w:rsidR="0064332D" w:rsidRPr="004274D4" w:rsidRDefault="00F028C1">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64332D" w:rsidRPr="004274D4" w:rsidRDefault="0064332D">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p>
    <w:p w:rsidR="0064332D" w:rsidRPr="004274D4" w:rsidRDefault="00F028C1">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64332D" w:rsidRPr="004274D4" w:rsidRDefault="0064332D">
      <w:pPr>
        <w:pBdr>
          <w:top w:val="nil"/>
          <w:left w:val="nil"/>
          <w:bottom w:val="nil"/>
          <w:right w:val="nil"/>
          <w:between w:val="nil"/>
        </w:pBdr>
        <w:spacing w:line="360" w:lineRule="auto"/>
        <w:ind w:left="851" w:right="255"/>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4274D4">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4274D4">
        <w:rPr>
          <w:rFonts w:ascii="Palatino Linotype" w:eastAsia="Palatino Linotype" w:hAnsi="Palatino Linotype" w:cs="Palatino Linotype"/>
          <w:color w:val="000000"/>
          <w:sz w:val="22"/>
          <w:szCs w:val="22"/>
        </w:rPr>
        <w:t>Argumento que encuentra sustento en la jurisprudencia P</w:t>
      </w:r>
      <w:proofErr w:type="gramStart"/>
      <w:r w:rsidRPr="004274D4">
        <w:rPr>
          <w:rFonts w:ascii="Palatino Linotype" w:eastAsia="Palatino Linotype" w:hAnsi="Palatino Linotype" w:cs="Palatino Linotype"/>
          <w:color w:val="000000"/>
          <w:sz w:val="22"/>
          <w:szCs w:val="22"/>
        </w:rPr>
        <w:t>./</w:t>
      </w:r>
      <w:proofErr w:type="gramEnd"/>
      <w:r w:rsidRPr="004274D4">
        <w:rPr>
          <w:rFonts w:ascii="Palatino Linotype" w:eastAsia="Palatino Linotype" w:hAnsi="Palatino Linotype" w:cs="Palatino Linotype"/>
          <w:color w:val="000000"/>
          <w:sz w:val="22"/>
          <w:szCs w:val="22"/>
        </w:rPr>
        <w:t xml:space="preserve">J. 32/92 emitida por el Pleno de la Suprema Corte de Justicia de la Nación de rubro </w:t>
      </w:r>
      <w:r w:rsidRPr="004274D4">
        <w:rPr>
          <w:rFonts w:ascii="Palatino Linotype" w:eastAsia="Palatino Linotype" w:hAnsi="Palatino Linotype" w:cs="Palatino Linotype"/>
          <w:i/>
          <w:color w:val="000000"/>
          <w:sz w:val="22"/>
          <w:szCs w:val="22"/>
        </w:rPr>
        <w:t xml:space="preserve">“TÉRMINOS PROCESALES. PARA DETERMINAR SI UN FUNCIONARIO JUDICIAL ACTUÓ INDEBIDAMENTE POR NO RESPETARLOS SE DEBE ATENDER AL PRESUPUESTO QUE CONSIDERÓ EL </w:t>
      </w:r>
      <w:r w:rsidRPr="004274D4">
        <w:rPr>
          <w:rFonts w:ascii="Palatino Linotype" w:eastAsia="Palatino Linotype" w:hAnsi="Palatino Linotype" w:cs="Palatino Linotype"/>
          <w:i/>
          <w:color w:val="000000"/>
          <w:sz w:val="22"/>
          <w:szCs w:val="22"/>
        </w:rPr>
        <w:lastRenderedPageBreak/>
        <w:t>LEGISLADOR AL FIJARLOS Y LAS CARACTERÍSTICAS DEL CASO.”</w:t>
      </w:r>
      <w:r w:rsidRPr="004274D4">
        <w:rPr>
          <w:rFonts w:ascii="Palatino Linotype" w:eastAsia="Palatino Linotype" w:hAnsi="Palatino Linotype" w:cs="Palatino Linotype"/>
          <w:color w:val="000000"/>
          <w:sz w:val="22"/>
          <w:szCs w:val="22"/>
        </w:rPr>
        <w:t>, visible en la Gaceta del Seminario Judicial de la Federación con el registro digital 205635.</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4274D4">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4274D4">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sz w:val="22"/>
          <w:szCs w:val="22"/>
        </w:rPr>
      </w:pPr>
      <w:r w:rsidRPr="004274D4">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i/>
          <w:color w:val="000000"/>
          <w:sz w:val="22"/>
          <w:szCs w:val="22"/>
        </w:rPr>
        <w:t xml:space="preserve">“PLAZO RAZONABLE PARA RESOLVER. DIMENSIÓN Y EFECTOS DE ESTE CONCEPTO CUANDO SE ADUCE EXCESIVA CARGA DE </w:t>
      </w:r>
      <w:r w:rsidRPr="004274D4">
        <w:rPr>
          <w:rFonts w:ascii="Palatino Linotype" w:eastAsia="Palatino Linotype" w:hAnsi="Palatino Linotype" w:cs="Palatino Linotype"/>
          <w:i/>
          <w:color w:val="000000"/>
          <w:sz w:val="22"/>
          <w:szCs w:val="22"/>
        </w:rPr>
        <w:lastRenderedPageBreak/>
        <w:t>TRABAJO.”</w:t>
      </w:r>
      <w:r w:rsidRPr="004274D4">
        <w:rPr>
          <w:rFonts w:ascii="Palatino Linotype" w:eastAsia="Palatino Linotype" w:hAnsi="Palatino Linotype" w:cs="Palatino Linotype"/>
          <w:color w:val="000000"/>
          <w:sz w:val="22"/>
          <w:szCs w:val="22"/>
        </w:rPr>
        <w:t xml:space="preserve"> consultable en el Seminario Judicial de la Federación y su gaceta, con el registro digital 2002351.</w:t>
      </w:r>
    </w:p>
    <w:p w:rsidR="0064332D" w:rsidRPr="004274D4" w:rsidRDefault="0064332D">
      <w:pPr>
        <w:pBdr>
          <w:top w:val="nil"/>
          <w:left w:val="nil"/>
          <w:bottom w:val="nil"/>
          <w:right w:val="nil"/>
          <w:between w:val="nil"/>
        </w:pBdr>
        <w:spacing w:line="360" w:lineRule="auto"/>
        <w:ind w:left="851" w:right="822"/>
        <w:jc w:val="both"/>
        <w:rPr>
          <w:rFonts w:ascii="Palatino Linotype" w:eastAsia="Palatino Linotype" w:hAnsi="Palatino Linotype" w:cs="Palatino Linotype"/>
          <w:b/>
          <w:color w:val="000000"/>
          <w:sz w:val="22"/>
          <w:szCs w:val="22"/>
        </w:rPr>
      </w:pPr>
    </w:p>
    <w:p w:rsidR="0064332D" w:rsidRPr="004274D4" w:rsidRDefault="00F028C1">
      <w:pPr>
        <w:pBdr>
          <w:top w:val="nil"/>
          <w:left w:val="nil"/>
          <w:bottom w:val="nil"/>
          <w:right w:val="nil"/>
          <w:between w:val="nil"/>
        </w:pBdr>
        <w:spacing w:line="360" w:lineRule="auto"/>
        <w:ind w:left="851" w:right="822"/>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w:t>
      </w:r>
      <w:r w:rsidRPr="004274D4">
        <w:rPr>
          <w:rFonts w:ascii="Palatino Linotype" w:eastAsia="Palatino Linotype" w:hAnsi="Palatino Linotype" w:cs="Palatino Linotype"/>
          <w:color w:val="000000"/>
          <w:sz w:val="22"/>
          <w:szCs w:val="22"/>
        </w:rPr>
        <w:t>, visible en el Seminario Judicial de la Federación y su gaceta, con el registro digital 2002350.</w:t>
      </w: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Por ello, este Organismo Garante comprometido con la tutela de los derechos humanos confiados, señala que este exceso de plazo legal para resolver el presente asunto, resulta de carácter excepcional.</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El </w:t>
      </w:r>
      <w:r w:rsidRPr="004274D4">
        <w:rPr>
          <w:rFonts w:ascii="Palatino Linotype" w:eastAsia="Palatino Linotype" w:hAnsi="Palatino Linotype" w:cs="Palatino Linotype"/>
          <w:b/>
          <w:color w:val="000000"/>
          <w:sz w:val="22"/>
          <w:szCs w:val="22"/>
        </w:rPr>
        <w:t>veintiocho de enero de dos mil veinticinco,</w:t>
      </w:r>
      <w:r w:rsidRPr="004274D4">
        <w:rPr>
          <w:rFonts w:ascii="Palatino Linotype" w:eastAsia="Palatino Linotype" w:hAnsi="Palatino Linotype" w:cs="Palatino Linotype"/>
          <w:color w:val="000000"/>
          <w:sz w:val="22"/>
          <w:szCs w:val="22"/>
        </w:rPr>
        <w:t xml:space="preserve"> se notificó el acuerdo mediante el cual se decretó el cierre de instrucción.</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pStyle w:val="Ttulo1"/>
        <w:jc w:val="center"/>
        <w:rPr>
          <w:rFonts w:ascii="Palatino Linotype" w:eastAsia="Palatino Linotype" w:hAnsi="Palatino Linotype" w:cs="Palatino Linotype"/>
          <w:b/>
          <w:color w:val="000000"/>
          <w:sz w:val="22"/>
          <w:szCs w:val="22"/>
        </w:rPr>
      </w:pPr>
      <w:bookmarkStart w:id="2" w:name="_heading=h.1fob9te" w:colFirst="0" w:colLast="0"/>
      <w:bookmarkEnd w:id="2"/>
      <w:r w:rsidRPr="004274D4">
        <w:rPr>
          <w:rFonts w:ascii="Palatino Linotype" w:eastAsia="Palatino Linotype" w:hAnsi="Palatino Linotype" w:cs="Palatino Linotype"/>
          <w:b/>
          <w:color w:val="000000"/>
          <w:sz w:val="22"/>
          <w:szCs w:val="22"/>
        </w:rPr>
        <w:t xml:space="preserve">CONSIDERANDO </w:t>
      </w:r>
    </w:p>
    <w:p w:rsidR="0064332D" w:rsidRPr="004274D4" w:rsidRDefault="0064332D">
      <w:pPr>
        <w:rPr>
          <w:rFonts w:ascii="Palatino Linotype" w:eastAsia="Palatino Linotype" w:hAnsi="Palatino Linotype" w:cs="Palatino Linotype"/>
          <w:sz w:val="22"/>
          <w:szCs w:val="22"/>
        </w:rPr>
      </w:pPr>
    </w:p>
    <w:p w:rsidR="0064332D" w:rsidRPr="004274D4" w:rsidRDefault="00F028C1">
      <w:pPr>
        <w:pStyle w:val="Ttulo2"/>
        <w:rPr>
          <w:rFonts w:ascii="Palatino Linotype" w:eastAsia="Palatino Linotype" w:hAnsi="Palatino Linotype" w:cs="Palatino Linotype"/>
          <w:b/>
          <w:color w:val="000000"/>
          <w:sz w:val="22"/>
          <w:szCs w:val="22"/>
        </w:rPr>
      </w:pPr>
      <w:bookmarkStart w:id="3" w:name="_heading=h.3znysh7" w:colFirst="0" w:colLast="0"/>
      <w:bookmarkEnd w:id="3"/>
      <w:r w:rsidRPr="004274D4">
        <w:rPr>
          <w:rFonts w:ascii="Palatino Linotype" w:eastAsia="Palatino Linotype" w:hAnsi="Palatino Linotype" w:cs="Palatino Linotype"/>
          <w:b/>
          <w:color w:val="000000"/>
          <w:sz w:val="22"/>
          <w:szCs w:val="22"/>
        </w:rPr>
        <w:t>PRIMERO. De la competencia</w:t>
      </w:r>
    </w:p>
    <w:p w:rsidR="0064332D" w:rsidRPr="004274D4" w:rsidRDefault="0064332D">
      <w:pPr>
        <w:rPr>
          <w:rFonts w:ascii="Palatino Linotype" w:eastAsia="Palatino Linotype" w:hAnsi="Palatino Linotype" w:cs="Palatino Linotype"/>
          <w:sz w:val="22"/>
          <w:szCs w:val="22"/>
        </w:rPr>
      </w:pPr>
    </w:p>
    <w:p w:rsidR="0064332D" w:rsidRPr="004274D4" w:rsidRDefault="00F028C1">
      <w:pPr>
        <w:numPr>
          <w:ilvl w:val="0"/>
          <w:numId w:val="3"/>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sz w:val="22"/>
          <w:szCs w:val="22"/>
        </w:rPr>
      </w:pPr>
      <w:r w:rsidRPr="004274D4">
        <w:rPr>
          <w:rFonts w:ascii="Palatino Linotype" w:eastAsia="Palatino Linotype" w:hAnsi="Palatino Linotype" w:cs="Palatino Linotype"/>
          <w:color w:val="000000"/>
          <w:sz w:val="22"/>
          <w:szCs w:val="22"/>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4274D4">
        <w:rPr>
          <w:rFonts w:ascii="Palatino Linotype" w:eastAsia="Palatino Linotype" w:hAnsi="Palatino Linotype" w:cs="Palatino Linotype"/>
          <w:b/>
          <w:color w:val="000000"/>
          <w:sz w:val="22"/>
          <w:szCs w:val="22"/>
        </w:rPr>
        <w:t>Constitución Política de los Estados Unidos Mexicanos</w:t>
      </w:r>
      <w:r w:rsidRPr="004274D4">
        <w:rPr>
          <w:rFonts w:ascii="Palatino Linotype" w:eastAsia="Palatino Linotype" w:hAnsi="Palatino Linotype" w:cs="Palatino Linotype"/>
          <w:color w:val="000000"/>
          <w:sz w:val="22"/>
          <w:szCs w:val="22"/>
        </w:rPr>
        <w:t xml:space="preserve">; 5, párrafos trigésimo segundo, trigésimo tercero y trigésimo cuarto fracciones IV y V de la </w:t>
      </w:r>
      <w:r w:rsidRPr="004274D4">
        <w:rPr>
          <w:rFonts w:ascii="Palatino Linotype" w:eastAsia="Palatino Linotype" w:hAnsi="Palatino Linotype" w:cs="Palatino Linotype"/>
          <w:b/>
          <w:color w:val="000000"/>
          <w:sz w:val="22"/>
          <w:szCs w:val="22"/>
        </w:rPr>
        <w:t>Constitución Política del Estado Libre y Soberano de México</w:t>
      </w:r>
      <w:r w:rsidRPr="004274D4">
        <w:rPr>
          <w:rFonts w:ascii="Palatino Linotype" w:eastAsia="Palatino Linotype" w:hAnsi="Palatino Linotype" w:cs="Palatino Linotype"/>
          <w:color w:val="000000"/>
          <w:sz w:val="22"/>
          <w:szCs w:val="22"/>
        </w:rPr>
        <w:t xml:space="preserve">; artículos 1, 2 fracción II, 13, 29, 36 fracciones I y II, 176, 178, 179, 181 párrafo tercero </w:t>
      </w:r>
      <w:r w:rsidRPr="004274D4">
        <w:rPr>
          <w:rFonts w:ascii="Palatino Linotype" w:eastAsia="Palatino Linotype" w:hAnsi="Palatino Linotype" w:cs="Palatino Linotype"/>
          <w:color w:val="000000"/>
          <w:sz w:val="22"/>
          <w:szCs w:val="22"/>
        </w:rPr>
        <w:lastRenderedPageBreak/>
        <w:t xml:space="preserve">y 185 de la </w:t>
      </w:r>
      <w:r w:rsidRPr="004274D4">
        <w:rPr>
          <w:rFonts w:ascii="Palatino Linotype" w:eastAsia="Palatino Linotype" w:hAnsi="Palatino Linotype" w:cs="Palatino Linotype"/>
          <w:b/>
          <w:color w:val="000000"/>
          <w:sz w:val="22"/>
          <w:szCs w:val="22"/>
        </w:rPr>
        <w:t>Ley de Transparencia y Acceso a la Información Pública del Estado de México y Municipios</w:t>
      </w:r>
      <w:r w:rsidRPr="004274D4">
        <w:rPr>
          <w:rFonts w:ascii="Palatino Linotype" w:eastAsia="Palatino Linotype" w:hAnsi="Palatino Linotype" w:cs="Palatino Linotype"/>
          <w:color w:val="000000"/>
          <w:sz w:val="22"/>
          <w:szCs w:val="22"/>
        </w:rPr>
        <w:t xml:space="preserve">; y 7, 9 fracciones I y XXIII, y 11 del </w:t>
      </w:r>
      <w:r w:rsidRPr="004274D4">
        <w:rPr>
          <w:rFonts w:ascii="Palatino Linotype" w:eastAsia="Palatino Linotype" w:hAnsi="Palatino Linotype" w:cs="Palatino Linotype"/>
          <w:b/>
          <w:color w:val="000000"/>
          <w:sz w:val="22"/>
          <w:szCs w:val="22"/>
        </w:rPr>
        <w:t>Reglamento Interior del Instituto de Transparencia, Acceso a la Información Pública y Protección de Datos Personales del Estado de México y Municipios</w:t>
      </w:r>
      <w:r w:rsidRPr="004274D4">
        <w:rPr>
          <w:rFonts w:ascii="Palatino Linotype" w:eastAsia="Palatino Linotype" w:hAnsi="Palatino Linotype" w:cs="Palatino Linotype"/>
          <w:color w:val="000000"/>
          <w:sz w:val="22"/>
          <w:szCs w:val="22"/>
        </w:rPr>
        <w:t>.</w:t>
      </w:r>
    </w:p>
    <w:p w:rsidR="0064332D" w:rsidRPr="004274D4" w:rsidRDefault="0064332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sz w:val="22"/>
          <w:szCs w:val="22"/>
        </w:rPr>
      </w:pPr>
    </w:p>
    <w:p w:rsidR="0064332D" w:rsidRPr="004274D4" w:rsidRDefault="00F028C1">
      <w:pPr>
        <w:pStyle w:val="Ttulo2"/>
        <w:rPr>
          <w:rFonts w:ascii="Palatino Linotype" w:eastAsia="Palatino Linotype" w:hAnsi="Palatino Linotype" w:cs="Palatino Linotype"/>
          <w:b/>
          <w:color w:val="000000"/>
          <w:sz w:val="22"/>
          <w:szCs w:val="22"/>
        </w:rPr>
      </w:pPr>
      <w:bookmarkStart w:id="4" w:name="_heading=h.2et92p0" w:colFirst="0" w:colLast="0"/>
      <w:bookmarkEnd w:id="4"/>
      <w:r w:rsidRPr="004274D4">
        <w:rPr>
          <w:rFonts w:ascii="Palatino Linotype" w:eastAsia="Palatino Linotype" w:hAnsi="Palatino Linotype" w:cs="Palatino Linotype"/>
          <w:b/>
          <w:color w:val="000000"/>
          <w:sz w:val="22"/>
          <w:szCs w:val="22"/>
        </w:rPr>
        <w:t>SEGUNDO. De la oportunidad y procedencia.</w:t>
      </w:r>
    </w:p>
    <w:p w:rsidR="0064332D" w:rsidRPr="004274D4" w:rsidRDefault="0064332D">
      <w:pPr>
        <w:rPr>
          <w:rFonts w:ascii="Palatino Linotype" w:eastAsia="Palatino Linotype" w:hAnsi="Palatino Linotype" w:cs="Palatino Linotype"/>
          <w:sz w:val="22"/>
          <w:szCs w:val="22"/>
        </w:rPr>
      </w:pPr>
    </w:p>
    <w:p w:rsidR="0064332D" w:rsidRPr="004274D4" w:rsidRDefault="00F028C1">
      <w:pPr>
        <w:numPr>
          <w:ilvl w:val="0"/>
          <w:numId w:val="3"/>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sz w:val="22"/>
          <w:szCs w:val="22"/>
        </w:rPr>
      </w:pPr>
      <w:bookmarkStart w:id="5" w:name="_heading=h.tyjcwt" w:colFirst="0" w:colLast="0"/>
      <w:bookmarkEnd w:id="5"/>
      <w:r w:rsidRPr="004274D4">
        <w:rPr>
          <w:rFonts w:ascii="Palatino Linotype" w:eastAsia="Palatino Linotype" w:hAnsi="Palatino Linotype" w:cs="Palatino Linotype"/>
          <w:color w:val="000000"/>
          <w:sz w:val="22"/>
          <w:szCs w:val="22"/>
        </w:rPr>
        <w:t xml:space="preserve">El medio de impugnación fue presentado a través del SAIMEX en el formato previamente aprobado para tal efecto y dentro del plazo legal de quince días hábiles otorgados; siendo así que el </w:t>
      </w:r>
      <w:r w:rsidRPr="004274D4">
        <w:rPr>
          <w:rFonts w:ascii="Palatino Linotype" w:eastAsia="Palatino Linotype" w:hAnsi="Palatino Linotype" w:cs="Palatino Linotype"/>
          <w:b/>
          <w:color w:val="000000"/>
          <w:sz w:val="22"/>
          <w:szCs w:val="22"/>
        </w:rPr>
        <w:t>SUJETO OBLIGADO</w:t>
      </w:r>
      <w:r w:rsidRPr="004274D4">
        <w:rPr>
          <w:rFonts w:ascii="Palatino Linotype" w:eastAsia="Palatino Linotype" w:hAnsi="Palatino Linotype" w:cs="Palatino Linotype"/>
          <w:color w:val="000000"/>
          <w:sz w:val="22"/>
          <w:szCs w:val="22"/>
        </w:rPr>
        <w:t xml:space="preserve"> entregó respuesta el </w:t>
      </w:r>
      <w:r w:rsidRPr="004274D4">
        <w:rPr>
          <w:rFonts w:ascii="Palatino Linotype" w:eastAsia="Palatino Linotype" w:hAnsi="Palatino Linotype" w:cs="Palatino Linotype"/>
          <w:b/>
          <w:color w:val="000000"/>
          <w:sz w:val="22"/>
          <w:szCs w:val="22"/>
        </w:rPr>
        <w:t>doce de julio de dos mil veinticuatro</w:t>
      </w:r>
      <w:r w:rsidRPr="004274D4">
        <w:rPr>
          <w:rFonts w:ascii="Palatino Linotype" w:eastAsia="Palatino Linotype" w:hAnsi="Palatino Linotype" w:cs="Palatino Linotype"/>
          <w:color w:val="000000"/>
          <w:sz w:val="22"/>
          <w:szCs w:val="22"/>
        </w:rPr>
        <w:t xml:space="preserve">, de tal forma que el plazo para interponer el recurso de revisión transcurrió del </w:t>
      </w:r>
      <w:r w:rsidRPr="004274D4">
        <w:rPr>
          <w:rFonts w:ascii="Palatino Linotype" w:eastAsia="Palatino Linotype" w:hAnsi="Palatino Linotype" w:cs="Palatino Linotype"/>
          <w:b/>
          <w:color w:val="000000"/>
          <w:sz w:val="22"/>
          <w:szCs w:val="22"/>
        </w:rPr>
        <w:t>quince de julio al dieciséis de agosto de dos mil veinticuatro</w:t>
      </w:r>
      <w:r w:rsidRPr="004274D4">
        <w:rPr>
          <w:rFonts w:ascii="Palatino Linotype" w:eastAsia="Palatino Linotype" w:hAnsi="Palatino Linotype" w:cs="Palatino Linotype"/>
          <w:color w:val="000000"/>
          <w:sz w:val="22"/>
          <w:szCs w:val="22"/>
        </w:rPr>
        <w:t xml:space="preserve">, el recurso de revisión fue interpuesto el </w:t>
      </w:r>
      <w:r w:rsidRPr="004274D4">
        <w:rPr>
          <w:rFonts w:ascii="Palatino Linotype" w:eastAsia="Palatino Linotype" w:hAnsi="Palatino Linotype" w:cs="Palatino Linotype"/>
          <w:b/>
          <w:color w:val="000000"/>
          <w:sz w:val="22"/>
          <w:szCs w:val="22"/>
        </w:rPr>
        <w:t>diez de agosto de dos mil veinticuatro</w:t>
      </w:r>
      <w:r w:rsidRPr="004274D4">
        <w:rPr>
          <w:rFonts w:ascii="Palatino Linotype" w:eastAsia="Palatino Linotype" w:hAnsi="Palatino Linotype" w:cs="Palatino Linotype"/>
          <w:color w:val="000000"/>
          <w:sz w:val="22"/>
          <w:szCs w:val="22"/>
        </w:rPr>
        <w:t>, éste se encuentra dentro de los márgenes temporales previstos en el artículo 178 de la Ley de Transparencia y Acceso a la Información Pública del Estado de México y Municipios</w:t>
      </w:r>
      <w:r w:rsidRPr="004274D4">
        <w:rPr>
          <w:rFonts w:ascii="Palatino Linotype" w:eastAsia="Palatino Linotype" w:hAnsi="Palatino Linotype" w:cs="Palatino Linotype"/>
          <w:b/>
          <w:color w:val="000000"/>
          <w:sz w:val="22"/>
          <w:szCs w:val="22"/>
        </w:rPr>
        <w:t xml:space="preserve"> </w:t>
      </w:r>
      <w:r w:rsidRPr="004274D4">
        <w:rPr>
          <w:rFonts w:ascii="Palatino Linotype" w:eastAsia="Palatino Linotype" w:hAnsi="Palatino Linotype" w:cs="Palatino Linotype"/>
          <w:color w:val="000000"/>
          <w:sz w:val="22"/>
          <w:szCs w:val="22"/>
        </w:rPr>
        <w:t xml:space="preserve">vigente. </w:t>
      </w:r>
    </w:p>
    <w:p w:rsidR="0064332D" w:rsidRPr="004274D4" w:rsidRDefault="0064332D">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spacing w:line="360" w:lineRule="auto"/>
        <w:ind w:left="0" w:firstLine="0"/>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Por otra parte, de la revisión al expediente electrónico del </w:t>
      </w:r>
      <w:r w:rsidRPr="004274D4">
        <w:rPr>
          <w:rFonts w:ascii="Palatino Linotype" w:eastAsia="Palatino Linotype" w:hAnsi="Palatino Linotype" w:cs="Palatino Linotype"/>
          <w:b/>
          <w:sz w:val="22"/>
          <w:szCs w:val="22"/>
        </w:rPr>
        <w:t>SAIMEX</w:t>
      </w:r>
      <w:r w:rsidRPr="004274D4">
        <w:rPr>
          <w:rFonts w:ascii="Palatino Linotype" w:eastAsia="Palatino Linotype" w:hAnsi="Palatino Linotype" w:cs="Palatino Linotype"/>
          <w:sz w:val="22"/>
          <w:szCs w:val="22"/>
        </w:rPr>
        <w:t xml:space="preserve"> se desprende que la parte solicitante en ejercicio de su derecho de acceso a la información pública en el expediente que se revisa, tanto en la solicitud de información como en el recurso de revisión no proporciona su nombre completo para que sea identificado, ni se tiene la certeza sobre su identidad; sin embargo, es importante señalar también que el nombre de los solicitantes y recurrentes no es requisito indispensable para la tramitación del acto procesal específico en materia de acceso a la información, ello en estricto apego al numeral 155 párrafo tercero de la Ley de la materia, en concatenación con el 180 del mismo ordenamiento.</w:t>
      </w:r>
    </w:p>
    <w:p w:rsidR="0064332D" w:rsidRPr="004274D4" w:rsidRDefault="0064332D">
      <w:pPr>
        <w:pBdr>
          <w:top w:val="nil"/>
          <w:left w:val="nil"/>
          <w:bottom w:val="nil"/>
          <w:right w:val="nil"/>
          <w:between w:val="nil"/>
        </w:pBdr>
        <w:rPr>
          <w:rFonts w:ascii="Palatino Linotype" w:eastAsia="Palatino Linotype" w:hAnsi="Palatino Linotype" w:cs="Palatino Linotype"/>
          <w:color w:val="000000"/>
          <w:sz w:val="22"/>
          <w:szCs w:val="22"/>
        </w:rPr>
      </w:pPr>
    </w:p>
    <w:p w:rsidR="0064332D" w:rsidRPr="004274D4" w:rsidRDefault="00F028C1">
      <w:pPr>
        <w:numPr>
          <w:ilvl w:val="0"/>
          <w:numId w:val="3"/>
        </w:numPr>
        <w:spacing w:line="360" w:lineRule="auto"/>
        <w:ind w:left="0" w:firstLine="0"/>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Esto es así, ya que de conformidad con los artículos 6, Apartado A, fracciones III y IV de la Constitución Política de los Estados Unidos Mexicanos y 5, párrafos vigésimo, vigésimo primero y vigésimo </w:t>
      </w:r>
      <w:proofErr w:type="spellStart"/>
      <w:r w:rsidRPr="004274D4">
        <w:rPr>
          <w:rFonts w:ascii="Palatino Linotype" w:eastAsia="Palatino Linotype" w:hAnsi="Palatino Linotype" w:cs="Palatino Linotype"/>
          <w:sz w:val="22"/>
          <w:szCs w:val="22"/>
        </w:rPr>
        <w:t>segúndo</w:t>
      </w:r>
      <w:proofErr w:type="spellEnd"/>
      <w:r w:rsidRPr="004274D4">
        <w:rPr>
          <w:rFonts w:ascii="Palatino Linotype" w:eastAsia="Palatino Linotype" w:hAnsi="Palatino Linotype" w:cs="Palatino Linotype"/>
          <w:sz w:val="22"/>
          <w:szCs w:val="22"/>
        </w:rPr>
        <w:t> fracciones IV y V de la Constitución Política del Estado Libre y Soberano de México, se establece que toda persona, sin necesidad de acreditar interés alguno o justificar su utilización, tendrá acceso gratuito a la información pública, a sus datos personales o a la rectificación de éstos, además de que se establecerán mecanismos de acceso a la información y procedimientos de revisión expeditos que se sustanciarán ante los organismos autónomos especializados e imparciales que establece la Constitución Federal y local.</w:t>
      </w:r>
    </w:p>
    <w:p w:rsidR="0064332D" w:rsidRPr="004274D4" w:rsidRDefault="0064332D">
      <w:pPr>
        <w:pBdr>
          <w:top w:val="nil"/>
          <w:left w:val="nil"/>
          <w:bottom w:val="nil"/>
          <w:right w:val="nil"/>
          <w:between w:val="nil"/>
        </w:pBdr>
        <w:rPr>
          <w:rFonts w:ascii="Palatino Linotype" w:eastAsia="Palatino Linotype" w:hAnsi="Palatino Linotype" w:cs="Palatino Linotype"/>
          <w:color w:val="000000"/>
          <w:sz w:val="22"/>
          <w:szCs w:val="22"/>
        </w:rPr>
      </w:pPr>
    </w:p>
    <w:p w:rsidR="0064332D" w:rsidRPr="004274D4" w:rsidRDefault="00F028C1">
      <w:pPr>
        <w:numPr>
          <w:ilvl w:val="0"/>
          <w:numId w:val="3"/>
        </w:numPr>
        <w:spacing w:line="360" w:lineRule="auto"/>
        <w:ind w:left="0" w:firstLine="0"/>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Por lo cual, de una interpretación sistemática, armónica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rsidR="0064332D" w:rsidRPr="004274D4" w:rsidRDefault="0064332D">
      <w:pPr>
        <w:pBdr>
          <w:top w:val="nil"/>
          <w:left w:val="nil"/>
          <w:bottom w:val="nil"/>
          <w:right w:val="nil"/>
          <w:between w:val="nil"/>
        </w:pBdr>
        <w:rPr>
          <w:rFonts w:ascii="Palatino Linotype" w:eastAsia="Palatino Linotype" w:hAnsi="Palatino Linotype" w:cs="Palatino Linotype"/>
          <w:color w:val="000000"/>
          <w:sz w:val="22"/>
          <w:szCs w:val="22"/>
        </w:rPr>
      </w:pPr>
    </w:p>
    <w:p w:rsidR="0064332D" w:rsidRPr="004274D4" w:rsidRDefault="00F028C1">
      <w:pPr>
        <w:numPr>
          <w:ilvl w:val="0"/>
          <w:numId w:val="3"/>
        </w:numPr>
        <w:spacing w:line="360" w:lineRule="auto"/>
        <w:ind w:left="0" w:firstLine="0"/>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En ese entendido, se omite un análisis más profundo en torno a los conceptos de interés jurídico y legitimación, debido a que se estima que a ningún efecto práctico conduciría, puesto que la propia estructura del derecho fundamental bajo análisis no lo exige.</w:t>
      </w:r>
    </w:p>
    <w:p w:rsidR="0064332D" w:rsidRPr="004274D4" w:rsidRDefault="0064332D">
      <w:pPr>
        <w:pBdr>
          <w:top w:val="nil"/>
          <w:left w:val="nil"/>
          <w:bottom w:val="nil"/>
          <w:right w:val="nil"/>
          <w:between w:val="nil"/>
        </w:pBdr>
        <w:rPr>
          <w:rFonts w:ascii="Palatino Linotype" w:eastAsia="Palatino Linotype" w:hAnsi="Palatino Linotype" w:cs="Palatino Linotype"/>
          <w:color w:val="000000"/>
          <w:sz w:val="22"/>
          <w:szCs w:val="22"/>
        </w:rPr>
      </w:pPr>
    </w:p>
    <w:p w:rsidR="0064332D" w:rsidRPr="004274D4" w:rsidRDefault="00F028C1">
      <w:pPr>
        <w:numPr>
          <w:ilvl w:val="0"/>
          <w:numId w:val="3"/>
        </w:numPr>
        <w:spacing w:line="360" w:lineRule="auto"/>
        <w:ind w:left="0" w:firstLine="0"/>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lastRenderedPageBreak/>
        <w:t xml:space="preserve">Por lo que el nombre del solicitando y recurrente no puede ser considerado un requisito indispensable de </w:t>
      </w:r>
      <w:proofErr w:type="spellStart"/>
      <w:r w:rsidRPr="004274D4">
        <w:rPr>
          <w:rFonts w:ascii="Palatino Linotype" w:eastAsia="Palatino Linotype" w:hAnsi="Palatino Linotype" w:cs="Palatino Linotype"/>
          <w:sz w:val="22"/>
          <w:szCs w:val="22"/>
        </w:rPr>
        <w:t>procedibilidad</w:t>
      </w:r>
      <w:proofErr w:type="spellEnd"/>
      <w:r w:rsidRPr="004274D4">
        <w:rPr>
          <w:rFonts w:ascii="Palatino Linotype" w:eastAsia="Palatino Linotype" w:hAnsi="Palatino Linotype" w:cs="Palatino Linotype"/>
          <w:sz w:val="22"/>
          <w:szCs w:val="22"/>
        </w:rPr>
        <w:t xml:space="preserve"> del recurso de revisión que nos ocupa, ya que el acceso a la información no está condicionado a acreditar algún interés ya sea jurídico o legítimo, máxime que es un elemento subsanable por este Órgano </w:t>
      </w:r>
      <w:proofErr w:type="spellStart"/>
      <w:r w:rsidRPr="004274D4">
        <w:rPr>
          <w:rFonts w:ascii="Palatino Linotype" w:eastAsia="Palatino Linotype" w:hAnsi="Palatino Linotype" w:cs="Palatino Linotype"/>
          <w:sz w:val="22"/>
          <w:szCs w:val="22"/>
        </w:rPr>
        <w:t>Resolutor</w:t>
      </w:r>
      <w:proofErr w:type="spellEnd"/>
      <w:r w:rsidRPr="004274D4">
        <w:rPr>
          <w:rFonts w:ascii="Palatino Linotype" w:eastAsia="Palatino Linotype" w:hAnsi="Palatino Linotype" w:cs="Palatino Linotype"/>
          <w:sz w:val="22"/>
          <w:szCs w:val="22"/>
        </w:rPr>
        <w:t>.</w:t>
      </w:r>
    </w:p>
    <w:p w:rsidR="0064332D" w:rsidRPr="004274D4" w:rsidRDefault="0064332D">
      <w:pPr>
        <w:spacing w:line="360" w:lineRule="auto"/>
        <w:jc w:val="both"/>
        <w:rPr>
          <w:rFonts w:ascii="Palatino Linotype" w:eastAsia="Palatino Linotype" w:hAnsi="Palatino Linotype" w:cs="Palatino Linotype"/>
          <w:sz w:val="22"/>
          <w:szCs w:val="22"/>
        </w:rPr>
      </w:pPr>
    </w:p>
    <w:p w:rsidR="0064332D" w:rsidRPr="004274D4" w:rsidRDefault="00F028C1">
      <w:pPr>
        <w:numPr>
          <w:ilvl w:val="0"/>
          <w:numId w:val="3"/>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64332D" w:rsidRPr="004274D4" w:rsidRDefault="00F028C1">
      <w:pPr>
        <w:pStyle w:val="Ttulo1"/>
        <w:rPr>
          <w:rFonts w:ascii="Palatino Linotype" w:eastAsia="Palatino Linotype" w:hAnsi="Palatino Linotype" w:cs="Palatino Linotype"/>
          <w:b/>
          <w:color w:val="000000"/>
          <w:sz w:val="22"/>
          <w:szCs w:val="22"/>
        </w:rPr>
      </w:pPr>
      <w:r w:rsidRPr="004274D4">
        <w:rPr>
          <w:rFonts w:ascii="Palatino Linotype" w:eastAsia="Palatino Linotype" w:hAnsi="Palatino Linotype" w:cs="Palatino Linotype"/>
          <w:b/>
          <w:color w:val="000000"/>
          <w:sz w:val="22"/>
          <w:szCs w:val="22"/>
        </w:rPr>
        <w:t xml:space="preserve">TERCERO. Planteamiento de la Litis </w:t>
      </w:r>
    </w:p>
    <w:p w:rsidR="0064332D" w:rsidRPr="004274D4" w:rsidRDefault="00F028C1">
      <w:pPr>
        <w:numPr>
          <w:ilvl w:val="0"/>
          <w:numId w:val="3"/>
        </w:numPr>
        <w:pBdr>
          <w:top w:val="nil"/>
          <w:left w:val="nil"/>
          <w:bottom w:val="nil"/>
          <w:right w:val="nil"/>
          <w:between w:val="nil"/>
        </w:pBdr>
        <w:spacing w:before="240" w:line="360" w:lineRule="auto"/>
        <w:ind w:left="0" w:right="49" w:firstLine="0"/>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color w:val="000000"/>
          <w:sz w:val="22"/>
          <w:szCs w:val="22"/>
        </w:rPr>
        <w:t xml:space="preserve">El recurrente solicitó las actas de entrega recepción de las obras realizadas por la entrega de las obras ejecutadas durante el año 2022, 2023 y 2024. </w:t>
      </w:r>
    </w:p>
    <w:p w:rsidR="0064332D" w:rsidRPr="004274D4" w:rsidRDefault="0064332D">
      <w:pPr>
        <w:pBdr>
          <w:top w:val="nil"/>
          <w:left w:val="nil"/>
          <w:bottom w:val="nil"/>
          <w:right w:val="nil"/>
          <w:between w:val="nil"/>
        </w:pBdr>
        <w:spacing w:line="360" w:lineRule="auto"/>
        <w:ind w:right="49"/>
        <w:jc w:val="both"/>
        <w:rPr>
          <w:rFonts w:ascii="Palatino Linotype" w:eastAsia="Palatino Linotype" w:hAnsi="Palatino Linotype" w:cs="Palatino Linotype"/>
          <w:i/>
          <w:color w:val="000000"/>
          <w:sz w:val="22"/>
          <w:szCs w:val="22"/>
        </w:rPr>
      </w:pPr>
    </w:p>
    <w:p w:rsidR="0064332D" w:rsidRPr="004274D4" w:rsidRDefault="00F028C1">
      <w:pPr>
        <w:numPr>
          <w:ilvl w:val="0"/>
          <w:numId w:val="3"/>
        </w:numPr>
        <w:pBdr>
          <w:top w:val="nil"/>
          <w:left w:val="nil"/>
          <w:bottom w:val="nil"/>
          <w:right w:val="nil"/>
          <w:between w:val="nil"/>
        </w:pBdr>
        <w:spacing w:after="240" w:line="360" w:lineRule="auto"/>
        <w:ind w:left="0" w:firstLine="0"/>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color w:val="000000"/>
          <w:sz w:val="22"/>
          <w:szCs w:val="22"/>
        </w:rPr>
        <w:t xml:space="preserve">El Sujeto Obligado, señaló que la información puede ser consultada en tres ligas electrónicas que adjuntó.  El Recurrente interpuso recurso de revisión y se inconformó, de forma medular, por la entrega de la ligas electrónicas. </w:t>
      </w:r>
    </w:p>
    <w:p w:rsidR="0064332D" w:rsidRPr="004274D4" w:rsidRDefault="00F028C1">
      <w:pPr>
        <w:numPr>
          <w:ilvl w:val="0"/>
          <w:numId w:val="3"/>
        </w:numPr>
        <w:tabs>
          <w:tab w:val="left" w:pos="284"/>
        </w:tabs>
        <w:spacing w:before="240" w:line="360" w:lineRule="auto"/>
        <w:ind w:left="0" w:firstLine="0"/>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sz w:val="22"/>
          <w:szCs w:val="22"/>
        </w:rPr>
        <w:t>Por lo tanto, el presente recurso de revisión se circunscribe en determinar si se actualiza las causales de procedencia</w:t>
      </w:r>
      <w:r w:rsidRPr="004274D4">
        <w:rPr>
          <w:rFonts w:ascii="Palatino Linotype" w:eastAsia="Palatino Linotype" w:hAnsi="Palatino Linotype" w:cs="Palatino Linotype"/>
          <w:b/>
          <w:sz w:val="22"/>
          <w:szCs w:val="22"/>
        </w:rPr>
        <w:t xml:space="preserve"> </w:t>
      </w:r>
      <w:r w:rsidRPr="004274D4">
        <w:rPr>
          <w:rFonts w:ascii="Palatino Linotype" w:eastAsia="Palatino Linotype" w:hAnsi="Palatino Linotype" w:cs="Palatino Linotype"/>
          <w:sz w:val="22"/>
          <w:szCs w:val="22"/>
        </w:rPr>
        <w:t xml:space="preserve">contenidas en el artículo 179 fracciones I y IX, relativo a la negativa de la información y la entrega o puesta a disposición de información en un formato incomprensible y/o no accesible para el solicitante, de la </w:t>
      </w:r>
      <w:r w:rsidRPr="004274D4">
        <w:rPr>
          <w:rFonts w:ascii="Palatino Linotype" w:eastAsia="Palatino Linotype" w:hAnsi="Palatino Linotype" w:cs="Palatino Linotype"/>
          <w:b/>
          <w:sz w:val="22"/>
          <w:szCs w:val="22"/>
        </w:rPr>
        <w:t>Ley de Transparencia y Acceso a la Información Pública del Estado de México y Municipios</w:t>
      </w:r>
      <w:r w:rsidRPr="004274D4">
        <w:rPr>
          <w:rFonts w:ascii="Palatino Linotype" w:eastAsia="Palatino Linotype" w:hAnsi="Palatino Linotype" w:cs="Palatino Linotype"/>
          <w:sz w:val="22"/>
          <w:szCs w:val="22"/>
        </w:rPr>
        <w:t>.</w:t>
      </w:r>
    </w:p>
    <w:p w:rsidR="0064332D" w:rsidRPr="004274D4" w:rsidRDefault="0064332D">
      <w:pPr>
        <w:tabs>
          <w:tab w:val="left" w:pos="426"/>
        </w:tabs>
        <w:spacing w:line="360" w:lineRule="auto"/>
        <w:ind w:left="567" w:right="616"/>
        <w:jc w:val="both"/>
        <w:rPr>
          <w:rFonts w:ascii="Palatino Linotype" w:eastAsia="Palatino Linotype" w:hAnsi="Palatino Linotype" w:cs="Palatino Linotype"/>
          <w:i/>
          <w:sz w:val="22"/>
          <w:szCs w:val="22"/>
        </w:rPr>
      </w:pPr>
    </w:p>
    <w:p w:rsidR="0064332D" w:rsidRPr="004274D4" w:rsidRDefault="00F028C1">
      <w:pPr>
        <w:pStyle w:val="Ttulo2"/>
        <w:tabs>
          <w:tab w:val="left" w:pos="426"/>
        </w:tabs>
        <w:rPr>
          <w:rFonts w:ascii="Palatino Linotype" w:eastAsia="Palatino Linotype" w:hAnsi="Palatino Linotype" w:cs="Palatino Linotype"/>
          <w:b/>
          <w:color w:val="000000"/>
          <w:sz w:val="22"/>
          <w:szCs w:val="22"/>
        </w:rPr>
      </w:pPr>
      <w:bookmarkStart w:id="6" w:name="_heading=h.3dy6vkm" w:colFirst="0" w:colLast="0"/>
      <w:bookmarkEnd w:id="6"/>
      <w:r w:rsidRPr="004274D4">
        <w:rPr>
          <w:rFonts w:ascii="Palatino Linotype" w:eastAsia="Palatino Linotype" w:hAnsi="Palatino Linotype" w:cs="Palatino Linotype"/>
          <w:b/>
          <w:color w:val="000000"/>
          <w:sz w:val="22"/>
          <w:szCs w:val="22"/>
        </w:rPr>
        <w:t>CUARTO. Estudio y Resolución del asunto.</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64332D" w:rsidRPr="004274D4" w:rsidRDefault="0064332D">
      <w:pPr>
        <w:pBdr>
          <w:top w:val="nil"/>
          <w:left w:val="nil"/>
          <w:bottom w:val="nil"/>
          <w:right w:val="nil"/>
          <w:between w:val="nil"/>
        </w:pBdr>
        <w:spacing w:line="360" w:lineRule="auto"/>
        <w:ind w:right="113"/>
        <w:jc w:val="both"/>
        <w:rPr>
          <w:rFonts w:ascii="Palatino Linotype" w:eastAsia="Palatino Linotype" w:hAnsi="Palatino Linotype" w:cs="Palatino Linotype"/>
          <w:sz w:val="22"/>
          <w:szCs w:val="22"/>
        </w:rPr>
      </w:pPr>
    </w:p>
    <w:p w:rsidR="0064332D" w:rsidRPr="004274D4" w:rsidRDefault="00F028C1">
      <w:pPr>
        <w:numPr>
          <w:ilvl w:val="0"/>
          <w:numId w:val="3"/>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sz w:val="22"/>
          <w:szCs w:val="22"/>
        </w:rPr>
        <w:t>Primeramente, debemos recapitular que el particular solicitó las actas de entrega recepción de las obras realizadas por la entrega de las obras ejecutadas durante el año 2022, 2023 y 2024.</w:t>
      </w:r>
    </w:p>
    <w:p w:rsidR="0064332D" w:rsidRPr="004274D4" w:rsidRDefault="0064332D">
      <w:pPr>
        <w:pBdr>
          <w:top w:val="nil"/>
          <w:left w:val="nil"/>
          <w:bottom w:val="nil"/>
          <w:right w:val="nil"/>
          <w:between w:val="nil"/>
        </w:pBdr>
        <w:spacing w:line="360" w:lineRule="auto"/>
        <w:ind w:right="-28"/>
        <w:jc w:val="both"/>
        <w:rPr>
          <w:rFonts w:ascii="Palatino Linotype" w:eastAsia="Palatino Linotype" w:hAnsi="Palatino Linotype" w:cs="Palatino Linotype"/>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Dicho lo anterior y derivado de la naturaleza de la información requerida, es necesario traer a contexto el artículo 12.8 del Código Administrativo del Estado de México, que a la letra dice:</w:t>
      </w:r>
    </w:p>
    <w:p w:rsidR="0064332D" w:rsidRPr="004274D4" w:rsidRDefault="00F028C1">
      <w:pPr>
        <w:spacing w:before="280" w:after="280" w:line="360" w:lineRule="auto"/>
        <w:ind w:left="567" w:right="851"/>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t xml:space="preserve">Artículo 12.8.- Corresponde a la Secretaría del Ramo y a los ayuntamientos, en el ámbito de sus respectivas competencias, ejecutar la obra pública, mediante contrato con terceros o por administración directa. </w:t>
      </w:r>
    </w:p>
    <w:p w:rsidR="0064332D" w:rsidRPr="004274D4" w:rsidRDefault="00F028C1">
      <w:pPr>
        <w:spacing w:before="280" w:after="280" w:line="360" w:lineRule="auto"/>
        <w:ind w:left="567" w:right="851"/>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t xml:space="preserve">La Secretaría del Ramo podrá autorizar a las dependencias y entidades estatales, a ejecutar obras, por contrato o por administración directa, cuando a su juicio éstas </w:t>
      </w:r>
      <w:r w:rsidRPr="004274D4">
        <w:rPr>
          <w:rFonts w:ascii="Palatino Linotype" w:eastAsia="Palatino Linotype" w:hAnsi="Palatino Linotype" w:cs="Palatino Linotype"/>
          <w:i/>
          <w:sz w:val="22"/>
          <w:szCs w:val="22"/>
        </w:rPr>
        <w:lastRenderedPageBreak/>
        <w:t xml:space="preserve">cuenten con elementos propios y organización necesarios. El acuerdo de autorización deberá publicarse en la Gaceta del Gobierno. </w:t>
      </w:r>
    </w:p>
    <w:p w:rsidR="0064332D" w:rsidRPr="004274D4" w:rsidRDefault="00F028C1">
      <w:pPr>
        <w:spacing w:before="280" w:after="280" w:line="360" w:lineRule="auto"/>
        <w:ind w:left="567" w:right="851"/>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t xml:space="preserve">Lo dispuesto en el párrafo anterior será aplicable a los ayuntamientos, tratándose de la realización de obras con cargo a fondos estatales total o parcialmente. </w:t>
      </w:r>
    </w:p>
    <w:p w:rsidR="0064332D" w:rsidRPr="004274D4" w:rsidRDefault="00F028C1">
      <w:pPr>
        <w:spacing w:before="280" w:after="280" w:line="360" w:lineRule="auto"/>
        <w:ind w:left="567" w:right="851"/>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t>Para la mejor planeación de la obra pública en el Estado, las dependencias, entidades y ayuntamientos que ejecuten obra, deberán dar aviso a la Secretaría del Ramo, de sus proyectos y programación de ejecución, independientemente del origen de los recursos.</w:t>
      </w: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Por obra pública debemos entender lo que establece el Código Administrativo del Estado de México en el artículo 12.4, siendo lo siguiente:</w:t>
      </w:r>
    </w:p>
    <w:p w:rsidR="0064332D" w:rsidRPr="004274D4" w:rsidRDefault="00F028C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 </w:t>
      </w:r>
    </w:p>
    <w:p w:rsidR="0064332D" w:rsidRPr="004274D4" w:rsidRDefault="00F028C1">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 xml:space="preserve">Artículo 12.4.- </w:t>
      </w:r>
      <w:r w:rsidRPr="004274D4">
        <w:rPr>
          <w:rFonts w:ascii="Palatino Linotype" w:eastAsia="Palatino Linotype" w:hAnsi="Palatino Linotype" w:cs="Palatino Linotype"/>
          <w:b/>
          <w:i/>
          <w:color w:val="000000"/>
          <w:sz w:val="22"/>
          <w:szCs w:val="22"/>
        </w:rPr>
        <w:t>Se considera obra pública todo trabajo que tenga por objeto principal</w:t>
      </w:r>
      <w:r w:rsidRPr="004274D4">
        <w:rPr>
          <w:rFonts w:ascii="Palatino Linotype" w:eastAsia="Palatino Linotype" w:hAnsi="Palatino Linotype" w:cs="Palatino Linotype"/>
          <w:i/>
          <w:color w:val="000000"/>
          <w:sz w:val="22"/>
          <w:szCs w:val="22"/>
        </w:rPr>
        <w:t xml:space="preserve"> construir, instalar, ampliar, adecuar, </w:t>
      </w:r>
      <w:r w:rsidRPr="004274D4">
        <w:rPr>
          <w:rFonts w:ascii="Palatino Linotype" w:eastAsia="Palatino Linotype" w:hAnsi="Palatino Linotype" w:cs="Palatino Linotype"/>
          <w:b/>
          <w:i/>
          <w:color w:val="000000"/>
          <w:sz w:val="22"/>
          <w:szCs w:val="22"/>
        </w:rPr>
        <w:t>remodelar</w:t>
      </w:r>
      <w:r w:rsidRPr="004274D4">
        <w:rPr>
          <w:rFonts w:ascii="Palatino Linotype" w:eastAsia="Palatino Linotype" w:hAnsi="Palatino Linotype" w:cs="Palatino Linotype"/>
          <w:i/>
          <w:color w:val="000000"/>
          <w:sz w:val="22"/>
          <w:szCs w:val="22"/>
        </w:rPr>
        <w:t xml:space="preserve">, </w:t>
      </w:r>
      <w:r w:rsidRPr="004274D4">
        <w:rPr>
          <w:rFonts w:ascii="Palatino Linotype" w:eastAsia="Palatino Linotype" w:hAnsi="Palatino Linotype" w:cs="Palatino Linotype"/>
          <w:b/>
          <w:i/>
          <w:color w:val="000000"/>
          <w:sz w:val="22"/>
          <w:szCs w:val="22"/>
        </w:rPr>
        <w:t>restaurar</w:t>
      </w:r>
      <w:r w:rsidRPr="004274D4">
        <w:rPr>
          <w:rFonts w:ascii="Palatino Linotype" w:eastAsia="Palatino Linotype" w:hAnsi="Palatino Linotype" w:cs="Palatino Linotype"/>
          <w:i/>
          <w:color w:val="000000"/>
          <w:sz w:val="22"/>
          <w:szCs w:val="22"/>
        </w:rPr>
        <w:t xml:space="preserve">, conservar, mantener, modificar o demoler bienes inmuebles propiedad del Estado, de sus dependencias y entidades y de los municipios y sus organismos con cargo a recursos públicos estatales o municipales. </w:t>
      </w:r>
    </w:p>
    <w:p w:rsidR="0064332D" w:rsidRPr="004274D4" w:rsidRDefault="0064332D">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 w:val="22"/>
          <w:szCs w:val="22"/>
        </w:rPr>
      </w:pPr>
    </w:p>
    <w:p w:rsidR="0064332D" w:rsidRPr="004274D4" w:rsidRDefault="00F028C1">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 xml:space="preserve">Quedan comprendidos dentro de la obra pública: </w:t>
      </w:r>
    </w:p>
    <w:p w:rsidR="0064332D" w:rsidRPr="004274D4" w:rsidRDefault="0064332D">
      <w:pPr>
        <w:pBdr>
          <w:top w:val="nil"/>
          <w:left w:val="nil"/>
          <w:bottom w:val="nil"/>
          <w:right w:val="nil"/>
          <w:between w:val="nil"/>
        </w:pBdr>
        <w:spacing w:line="360" w:lineRule="auto"/>
        <w:ind w:left="567"/>
        <w:jc w:val="both"/>
        <w:rPr>
          <w:rFonts w:ascii="Palatino Linotype" w:eastAsia="Palatino Linotype" w:hAnsi="Palatino Linotype" w:cs="Palatino Linotype"/>
          <w:i/>
          <w:color w:val="000000"/>
          <w:sz w:val="22"/>
          <w:szCs w:val="22"/>
        </w:rPr>
      </w:pPr>
    </w:p>
    <w:p w:rsidR="0064332D" w:rsidRPr="004274D4" w:rsidRDefault="00F028C1">
      <w:pPr>
        <w:numPr>
          <w:ilvl w:val="0"/>
          <w:numId w:val="1"/>
        </w:numPr>
        <w:pBdr>
          <w:top w:val="nil"/>
          <w:left w:val="nil"/>
          <w:bottom w:val="nil"/>
          <w:right w:val="nil"/>
          <w:between w:val="nil"/>
        </w:pBdr>
        <w:spacing w:line="360" w:lineRule="auto"/>
        <w:ind w:left="851" w:hanging="425"/>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 xml:space="preserve">El mantenimiento, restauración, desmantelamiento o remoción de bienes muebles incorporados o adheridos a un inmueble; </w:t>
      </w:r>
    </w:p>
    <w:p w:rsidR="0064332D" w:rsidRPr="004274D4" w:rsidRDefault="00F028C1">
      <w:pPr>
        <w:numPr>
          <w:ilvl w:val="0"/>
          <w:numId w:val="1"/>
        </w:numPr>
        <w:pBdr>
          <w:top w:val="nil"/>
          <w:left w:val="nil"/>
          <w:bottom w:val="nil"/>
          <w:right w:val="nil"/>
          <w:between w:val="nil"/>
        </w:pBdr>
        <w:spacing w:line="360" w:lineRule="auto"/>
        <w:ind w:left="851" w:hanging="425"/>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lastRenderedPageBreak/>
        <w:t xml:space="preserve">Los proyectos integrales o comúnmente denominados llave en mano, en los cuales el contratista se obliga desde el diseño de la obra hasta su terminación total, incluyéndose, cuando se requiera, la transferencia de tecnología; </w:t>
      </w:r>
    </w:p>
    <w:p w:rsidR="0064332D" w:rsidRPr="004274D4" w:rsidRDefault="00F028C1">
      <w:pPr>
        <w:numPr>
          <w:ilvl w:val="0"/>
          <w:numId w:val="1"/>
        </w:numPr>
        <w:pBdr>
          <w:top w:val="nil"/>
          <w:left w:val="nil"/>
          <w:bottom w:val="nil"/>
          <w:right w:val="nil"/>
          <w:between w:val="nil"/>
        </w:pBdr>
        <w:spacing w:line="360" w:lineRule="auto"/>
        <w:ind w:left="851" w:hanging="425"/>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 xml:space="preserve">Los trabajos de exploración, localización y perforación; mejoramiento del suelo y/o subsuelo; desmontes y extracción y aquellos similares que tengan por objeto la explotación y desarrollo de los recursos naturales que se encuentran en el suelo y/o subsuelo; </w:t>
      </w:r>
    </w:p>
    <w:p w:rsidR="0064332D" w:rsidRPr="004274D4" w:rsidRDefault="00F028C1">
      <w:pPr>
        <w:numPr>
          <w:ilvl w:val="0"/>
          <w:numId w:val="1"/>
        </w:numPr>
        <w:pBdr>
          <w:top w:val="nil"/>
          <w:left w:val="nil"/>
          <w:bottom w:val="nil"/>
          <w:right w:val="nil"/>
          <w:between w:val="nil"/>
        </w:pBdr>
        <w:spacing w:line="360" w:lineRule="auto"/>
        <w:ind w:left="851" w:hanging="425"/>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 xml:space="preserve">Los trabajos de infraestructura agropecuaria e </w:t>
      </w:r>
      <w:proofErr w:type="spellStart"/>
      <w:r w:rsidRPr="004274D4">
        <w:rPr>
          <w:rFonts w:ascii="Palatino Linotype" w:eastAsia="Palatino Linotype" w:hAnsi="Palatino Linotype" w:cs="Palatino Linotype"/>
          <w:i/>
          <w:color w:val="000000"/>
          <w:sz w:val="22"/>
          <w:szCs w:val="22"/>
        </w:rPr>
        <w:t>hidroagrícola</w:t>
      </w:r>
      <w:proofErr w:type="spellEnd"/>
      <w:r w:rsidRPr="004274D4">
        <w:rPr>
          <w:rFonts w:ascii="Palatino Linotype" w:eastAsia="Palatino Linotype" w:hAnsi="Palatino Linotype" w:cs="Palatino Linotype"/>
          <w:i/>
          <w:color w:val="000000"/>
          <w:sz w:val="22"/>
          <w:szCs w:val="22"/>
        </w:rPr>
        <w:t xml:space="preserve">: </w:t>
      </w:r>
    </w:p>
    <w:p w:rsidR="0064332D" w:rsidRPr="004274D4" w:rsidRDefault="00F028C1">
      <w:pPr>
        <w:numPr>
          <w:ilvl w:val="0"/>
          <w:numId w:val="1"/>
        </w:numPr>
        <w:pBdr>
          <w:top w:val="nil"/>
          <w:left w:val="nil"/>
          <w:bottom w:val="nil"/>
          <w:right w:val="nil"/>
          <w:between w:val="nil"/>
        </w:pBdr>
        <w:spacing w:line="360" w:lineRule="auto"/>
        <w:ind w:left="851" w:hanging="425"/>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 xml:space="preserve">La instalación, montaje, colocación y/o aplicación, incluyendo las pruebas de operación de bienes muebles que deban incorporarse, adherirse o destinarse a un inmueble, siempre que dichos muebles sean proporcionados por la convocante al contratista o bien, cuando su adquisición esté incluida en los trabajos que se contraten y su precio sea menor al de estos últimos; </w:t>
      </w:r>
    </w:p>
    <w:p w:rsidR="0064332D" w:rsidRPr="004274D4" w:rsidRDefault="00F028C1">
      <w:pPr>
        <w:numPr>
          <w:ilvl w:val="0"/>
          <w:numId w:val="1"/>
        </w:numPr>
        <w:pBdr>
          <w:top w:val="nil"/>
          <w:left w:val="nil"/>
          <w:bottom w:val="nil"/>
          <w:right w:val="nil"/>
          <w:between w:val="nil"/>
        </w:pBdr>
        <w:spacing w:line="360" w:lineRule="auto"/>
        <w:ind w:left="851" w:hanging="425"/>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Los demás que tengan por objeto principal alguno de los conceptos a que se refiere el párrafo primero de este artículo, excluyéndose expresamente los trabajos regulados por el Libro Décimo Sexto de este Código.</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Lo manifestado hasta éste punto, nos deja en claro que los Ayuntamientos tienen la facultad para celebrar contratos por concepto de obras públicas. Ahora bien, para llevar a cabo obras públicas, los Ayuntamientos, pueden ejercer recursos municipales, estatales o federales, siempre y cuando se sujeten a la normatividad correspondiente, tal como lo señala el artículo 12.7 del ordenamiento en cito, del cual se transcribe su contenido, siendo el siguiente:</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lastRenderedPageBreak/>
        <w:t>Artículo 12.7.- La ejecución de la obra pública o servicios relacionados con la misma que realicen las dependencias, entidades o ayuntamientos con cargo total o parcial a fondos aportados por la Federación, estarán sujetas a las disposiciones de la ley federal de la materia, conforme a los convenios respectivos.</w:t>
      </w:r>
    </w:p>
    <w:p w:rsidR="0064332D" w:rsidRPr="004274D4" w:rsidRDefault="0064332D">
      <w:pPr>
        <w:pBdr>
          <w:top w:val="nil"/>
          <w:left w:val="nil"/>
          <w:bottom w:val="nil"/>
          <w:right w:val="nil"/>
          <w:between w:val="nil"/>
        </w:pBdr>
        <w:spacing w:line="360" w:lineRule="auto"/>
        <w:jc w:val="both"/>
        <w:rPr>
          <w:rFonts w:ascii="Century Gothic" w:eastAsia="Century Gothic" w:hAnsi="Century Gothic" w:cs="Century Gothic"/>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Por lo anterior, no pasa desapercibido que las obras públicas que realicen los Ayuntamientos deberán estar a lo dispuesto en el Libro Décimo Segundo Capítulo tercero del Código Administrativo del Estado de México, que corresponde a la planeación, programación y </w:t>
      </w:r>
      <w:proofErr w:type="spellStart"/>
      <w:r w:rsidRPr="004274D4">
        <w:rPr>
          <w:rFonts w:ascii="Palatino Linotype" w:eastAsia="Palatino Linotype" w:hAnsi="Palatino Linotype" w:cs="Palatino Linotype"/>
          <w:color w:val="000000"/>
          <w:sz w:val="22"/>
          <w:szCs w:val="22"/>
        </w:rPr>
        <w:t>presupuestación</w:t>
      </w:r>
      <w:proofErr w:type="spellEnd"/>
      <w:r w:rsidRPr="004274D4">
        <w:rPr>
          <w:rFonts w:ascii="Palatino Linotype" w:eastAsia="Palatino Linotype" w:hAnsi="Palatino Linotype" w:cs="Palatino Linotype"/>
          <w:color w:val="000000"/>
          <w:sz w:val="22"/>
          <w:szCs w:val="22"/>
        </w:rPr>
        <w:t xml:space="preserve"> de las mismas.</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Para la planeación de obras públicas o servicios relacionados, las dependencias deberán:</w:t>
      </w:r>
    </w:p>
    <w:p w:rsidR="0064332D" w:rsidRPr="004274D4" w:rsidRDefault="0064332D">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64332D" w:rsidRPr="004274D4" w:rsidRDefault="00F028C1">
      <w:pPr>
        <w:numPr>
          <w:ilvl w:val="1"/>
          <w:numId w:val="3"/>
        </w:numPr>
        <w:pBdr>
          <w:top w:val="nil"/>
          <w:left w:val="nil"/>
          <w:bottom w:val="nil"/>
          <w:right w:val="nil"/>
          <w:between w:val="nil"/>
        </w:pBdr>
        <w:spacing w:line="360" w:lineRule="auto"/>
        <w:ind w:left="851" w:hanging="567"/>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 xml:space="preserve">Ajustarse a las políticas, objetivos y prioridades señalados en los planes de desarrollo estatal y municipal. Los programas de obra municipales serán congruentes con los programas estatales; </w:t>
      </w:r>
    </w:p>
    <w:p w:rsidR="0064332D" w:rsidRPr="004274D4" w:rsidRDefault="00F028C1">
      <w:pPr>
        <w:numPr>
          <w:ilvl w:val="1"/>
          <w:numId w:val="3"/>
        </w:numPr>
        <w:pBdr>
          <w:top w:val="nil"/>
          <w:left w:val="nil"/>
          <w:bottom w:val="nil"/>
          <w:right w:val="nil"/>
          <w:between w:val="nil"/>
        </w:pBdr>
        <w:spacing w:line="360" w:lineRule="auto"/>
        <w:ind w:left="851" w:hanging="567"/>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 xml:space="preserve">Jerarquizar las obras públicas en función de las necesidades del Estado o del municipio, considerando el beneficia económico, social y ambiental que representen; </w:t>
      </w:r>
    </w:p>
    <w:p w:rsidR="0064332D" w:rsidRPr="004274D4" w:rsidRDefault="00F028C1">
      <w:pPr>
        <w:numPr>
          <w:ilvl w:val="1"/>
          <w:numId w:val="3"/>
        </w:numPr>
        <w:pBdr>
          <w:top w:val="nil"/>
          <w:left w:val="nil"/>
          <w:bottom w:val="nil"/>
          <w:right w:val="nil"/>
          <w:between w:val="nil"/>
        </w:pBdr>
        <w:spacing w:line="360" w:lineRule="auto"/>
        <w:ind w:left="851" w:hanging="567"/>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 xml:space="preserve">Sujetarse a lo establecido por las disposiciones legales; </w:t>
      </w:r>
    </w:p>
    <w:p w:rsidR="0064332D" w:rsidRPr="004274D4" w:rsidRDefault="00F028C1">
      <w:pPr>
        <w:numPr>
          <w:ilvl w:val="1"/>
          <w:numId w:val="3"/>
        </w:numPr>
        <w:pBdr>
          <w:top w:val="nil"/>
          <w:left w:val="nil"/>
          <w:bottom w:val="nil"/>
          <w:right w:val="nil"/>
          <w:between w:val="nil"/>
        </w:pBdr>
        <w:spacing w:line="360" w:lineRule="auto"/>
        <w:ind w:left="851" w:hanging="567"/>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 xml:space="preserve">Contar con inmuebles aptos para la obra pública que se pretenda ejecutar. Tratándose de obra con cargo a recursos estatales total o parcialmente, se requerirá dictamen de la Secretaría del Ramo; </w:t>
      </w:r>
    </w:p>
    <w:p w:rsidR="0064332D" w:rsidRPr="004274D4" w:rsidRDefault="00F028C1">
      <w:pPr>
        <w:numPr>
          <w:ilvl w:val="1"/>
          <w:numId w:val="3"/>
        </w:numPr>
        <w:pBdr>
          <w:top w:val="nil"/>
          <w:left w:val="nil"/>
          <w:bottom w:val="nil"/>
          <w:right w:val="nil"/>
          <w:between w:val="nil"/>
        </w:pBdr>
        <w:spacing w:line="360" w:lineRule="auto"/>
        <w:ind w:left="851" w:hanging="567"/>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 xml:space="preserve">Considerar la disponibilidad de recursos financieros; </w:t>
      </w:r>
    </w:p>
    <w:p w:rsidR="0064332D" w:rsidRPr="004274D4" w:rsidRDefault="00F028C1">
      <w:pPr>
        <w:numPr>
          <w:ilvl w:val="1"/>
          <w:numId w:val="3"/>
        </w:numPr>
        <w:pBdr>
          <w:top w:val="nil"/>
          <w:left w:val="nil"/>
          <w:bottom w:val="nil"/>
          <w:right w:val="nil"/>
          <w:between w:val="nil"/>
        </w:pBdr>
        <w:spacing w:line="360" w:lineRule="auto"/>
        <w:ind w:left="851" w:hanging="567"/>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lastRenderedPageBreak/>
        <w:t xml:space="preserve">Prever las obras principales, de infraestructura, complementarias y accesorias, así como las acciones necesarias para poner aquellas en servicio, estableciendo las etapas que se requieran para su terminación; </w:t>
      </w:r>
    </w:p>
    <w:p w:rsidR="0064332D" w:rsidRPr="004274D4" w:rsidRDefault="00F028C1">
      <w:pPr>
        <w:numPr>
          <w:ilvl w:val="1"/>
          <w:numId w:val="3"/>
        </w:numPr>
        <w:pBdr>
          <w:top w:val="nil"/>
          <w:left w:val="nil"/>
          <w:bottom w:val="nil"/>
          <w:right w:val="nil"/>
          <w:between w:val="nil"/>
        </w:pBdr>
        <w:spacing w:line="360" w:lineRule="auto"/>
        <w:ind w:left="851" w:hanging="567"/>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 xml:space="preserve">Considerar la tecnología aplicable, en función de la naturaleza de las obras y la selección de materiales, productos, equipos y procedimientos de tecnología nacional preferentemente, que satisfagan los requerimientos técnicos y económicos del proyecto; </w:t>
      </w:r>
    </w:p>
    <w:p w:rsidR="0064332D" w:rsidRPr="004274D4" w:rsidRDefault="00F028C1">
      <w:pPr>
        <w:numPr>
          <w:ilvl w:val="1"/>
          <w:numId w:val="3"/>
        </w:numPr>
        <w:pBdr>
          <w:top w:val="nil"/>
          <w:left w:val="nil"/>
          <w:bottom w:val="nil"/>
          <w:right w:val="nil"/>
          <w:between w:val="nil"/>
        </w:pBdr>
        <w:spacing w:line="360" w:lineRule="auto"/>
        <w:ind w:left="851" w:hanging="567"/>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Preferir el empleo de los recursos humanos y la utilización de los materiales propios de la región donde se ubiquen las obras; IX. Cuando así se requiera, ajustarse a lo establecido en el Dictamen Único de Factibilidad</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Además, los Ayuntamientos deben formular programas de obra pública, mismos que serán remitidos a la Secretaría de Finanzas así como sus respectivos presupuestos con base en las políticas, objetivos y prioridades de la planeación del desarrollo del municipio.</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Los contratos que deban realizarse por concepto de obras podrán ser:</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2"/>
        </w:numPr>
        <w:pBdr>
          <w:top w:val="nil"/>
          <w:left w:val="nil"/>
          <w:bottom w:val="nil"/>
          <w:right w:val="nil"/>
          <w:between w:val="nil"/>
        </w:pBdr>
        <w:spacing w:line="360" w:lineRule="auto"/>
        <w:ind w:left="851" w:hanging="283"/>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Licitación Pública;</w:t>
      </w:r>
    </w:p>
    <w:p w:rsidR="0064332D" w:rsidRPr="004274D4" w:rsidRDefault="00F028C1">
      <w:pPr>
        <w:numPr>
          <w:ilvl w:val="0"/>
          <w:numId w:val="2"/>
        </w:numPr>
        <w:pBdr>
          <w:top w:val="nil"/>
          <w:left w:val="nil"/>
          <w:bottom w:val="nil"/>
          <w:right w:val="nil"/>
          <w:between w:val="nil"/>
        </w:pBdr>
        <w:spacing w:line="360" w:lineRule="auto"/>
        <w:ind w:left="851" w:hanging="283"/>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Invitación restringida; y, </w:t>
      </w:r>
    </w:p>
    <w:p w:rsidR="0064332D" w:rsidRPr="004274D4" w:rsidRDefault="00F028C1">
      <w:pPr>
        <w:numPr>
          <w:ilvl w:val="0"/>
          <w:numId w:val="2"/>
        </w:numPr>
        <w:pBdr>
          <w:top w:val="nil"/>
          <w:left w:val="nil"/>
          <w:bottom w:val="nil"/>
          <w:right w:val="nil"/>
          <w:between w:val="nil"/>
        </w:pBdr>
        <w:spacing w:line="360" w:lineRule="auto"/>
        <w:ind w:left="851" w:hanging="283"/>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Adjudicación directa.</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Las Licitaciones Públicas deberán establecer los mismos requisitos y condiciones para todos los participantes, debiendo los Ayuntamientos proporcionarles igual acceso a la información relacionada con dicho procedimiento a fin de evitar favorecer a algún </w:t>
      </w:r>
      <w:r w:rsidRPr="004274D4">
        <w:rPr>
          <w:rFonts w:ascii="Palatino Linotype" w:eastAsia="Palatino Linotype" w:hAnsi="Palatino Linotype" w:cs="Palatino Linotype"/>
          <w:color w:val="000000"/>
          <w:sz w:val="22"/>
          <w:szCs w:val="22"/>
        </w:rPr>
        <w:lastRenderedPageBreak/>
        <w:t>participante, es decir, estarán abiertas a todas aquellas personas físicas o morales que tengan la capacidad para poder realizar las obras requeridas. Estas a su vez podrán ser Nacionales e Internacionales.</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Relativo a la invitación restringida, procederá cuando se declare desierto un procedimiento de licitación. Este tipo de Licitación se caracteriza, en el sentido de que comprende la invitación de tres personas cuando menos, que serán seleccionadas entre las que se inscriban en el catálogo de contratistas.</w:t>
      </w:r>
    </w:p>
    <w:p w:rsidR="0064332D" w:rsidRPr="004274D4" w:rsidRDefault="0064332D">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Mientras que la Adjudicación directa, es un tipo de contratación mediante el cual, las obras, acciones o adquisiciones que por su naturaleza no puedan ser llevadas a cabo más que por una sola persona, entre los ejemplos de ello encuentran:</w:t>
      </w:r>
    </w:p>
    <w:p w:rsidR="0064332D" w:rsidRPr="004274D4" w:rsidRDefault="0064332D">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64332D" w:rsidRPr="004274D4" w:rsidRDefault="00F028C1">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I. Se trate de restauración de monumentos arqueológicos, artísticos e históricos;</w:t>
      </w:r>
    </w:p>
    <w:p w:rsidR="0064332D" w:rsidRPr="004274D4" w:rsidRDefault="00F028C1">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 xml:space="preserve">II. Para la ejecución de la obra o servicios se requiera contratar al titular de una patente, derechos de autor u otros derechos exclusivos; </w:t>
      </w:r>
    </w:p>
    <w:p w:rsidR="0064332D" w:rsidRPr="004274D4" w:rsidRDefault="00F028C1">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III. Se requiera de experiencia, materiales, equipos o técnicas especiales;</w:t>
      </w:r>
    </w:p>
    <w:p w:rsidR="0064332D" w:rsidRPr="004274D4" w:rsidRDefault="00F028C1">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w:t>
      </w:r>
    </w:p>
    <w:p w:rsidR="0064332D" w:rsidRPr="004274D4" w:rsidRDefault="0064332D">
      <w:pPr>
        <w:pBdr>
          <w:top w:val="nil"/>
          <w:left w:val="nil"/>
          <w:bottom w:val="nil"/>
          <w:right w:val="nil"/>
          <w:between w:val="nil"/>
        </w:pBdr>
        <w:spacing w:line="360" w:lineRule="auto"/>
        <w:ind w:left="567" w:right="567"/>
        <w:jc w:val="both"/>
        <w:rPr>
          <w:rFonts w:ascii="Palatino Linotype" w:eastAsia="Palatino Linotype" w:hAnsi="Palatino Linotype" w:cs="Palatino Linotype"/>
          <w:i/>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Posteriormente, el Capitulo Quinto del Libro Décimo Segundo del Código Administrativo, establece el tema de la Ejecución que a la letra dice:</w:t>
      </w:r>
    </w:p>
    <w:p w:rsidR="0064332D" w:rsidRPr="004274D4" w:rsidRDefault="0064332D">
      <w:pPr>
        <w:pBdr>
          <w:top w:val="nil"/>
          <w:left w:val="nil"/>
          <w:bottom w:val="nil"/>
          <w:right w:val="nil"/>
          <w:between w:val="nil"/>
        </w:pBdr>
        <w:spacing w:line="360" w:lineRule="auto"/>
        <w:ind w:right="-28"/>
        <w:jc w:val="both"/>
        <w:rPr>
          <w:rFonts w:ascii="Palatino Linotype" w:eastAsia="Palatino Linotype" w:hAnsi="Palatino Linotype" w:cs="Palatino Linotype"/>
          <w:sz w:val="22"/>
          <w:szCs w:val="22"/>
        </w:rPr>
      </w:pPr>
    </w:p>
    <w:p w:rsidR="0064332D" w:rsidRPr="004274D4" w:rsidRDefault="00F028C1">
      <w:pPr>
        <w:pBdr>
          <w:top w:val="nil"/>
          <w:left w:val="nil"/>
          <w:bottom w:val="nil"/>
          <w:right w:val="nil"/>
          <w:between w:val="nil"/>
        </w:pBdr>
        <w:spacing w:line="360" w:lineRule="auto"/>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sz w:val="22"/>
          <w:szCs w:val="22"/>
        </w:rPr>
        <w:t xml:space="preserve"> </w:t>
      </w:r>
      <w:r w:rsidRPr="004274D4">
        <w:rPr>
          <w:rFonts w:ascii="Palatino Linotype" w:eastAsia="Palatino Linotype" w:hAnsi="Palatino Linotype" w:cs="Palatino Linotype"/>
          <w:i/>
          <w:sz w:val="22"/>
          <w:szCs w:val="22"/>
        </w:rPr>
        <w:t xml:space="preserve">Artículo 12.50.- La ejecución de los trabajos contratados deberá iniciarse en la fecha señalada en el contrato. La dependencia, entidad o ayuntamiento contratante, </w:t>
      </w:r>
      <w:r w:rsidRPr="004274D4">
        <w:rPr>
          <w:rFonts w:ascii="Palatino Linotype" w:eastAsia="Palatino Linotype" w:hAnsi="Palatino Linotype" w:cs="Palatino Linotype"/>
          <w:i/>
          <w:sz w:val="22"/>
          <w:szCs w:val="22"/>
        </w:rPr>
        <w:lastRenderedPageBreak/>
        <w:t>proporcionará previamente al contratista el o los inmuebles en que deberán llevarse a cabo. El incumplimiento de la contratante diferirá en igual plazo la fecha originalmente pactada para la entrega de los trabajos.</w:t>
      </w:r>
    </w:p>
    <w:p w:rsidR="0064332D" w:rsidRPr="004274D4" w:rsidRDefault="0064332D">
      <w:pPr>
        <w:pBdr>
          <w:top w:val="nil"/>
          <w:left w:val="nil"/>
          <w:bottom w:val="nil"/>
          <w:right w:val="nil"/>
          <w:between w:val="nil"/>
        </w:pBdr>
        <w:spacing w:line="360" w:lineRule="auto"/>
        <w:ind w:left="851" w:right="822"/>
        <w:jc w:val="both"/>
        <w:rPr>
          <w:rFonts w:ascii="Palatino Linotype" w:eastAsia="Palatino Linotype" w:hAnsi="Palatino Linotype" w:cs="Palatino Linotype"/>
          <w:i/>
          <w:sz w:val="22"/>
          <w:szCs w:val="22"/>
        </w:rPr>
      </w:pPr>
    </w:p>
    <w:p w:rsidR="0064332D" w:rsidRPr="004274D4" w:rsidRDefault="00F028C1">
      <w:pPr>
        <w:pBdr>
          <w:top w:val="nil"/>
          <w:left w:val="nil"/>
          <w:bottom w:val="nil"/>
          <w:right w:val="nil"/>
          <w:between w:val="nil"/>
        </w:pBdr>
        <w:spacing w:line="360" w:lineRule="auto"/>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t xml:space="preserve">Artículo 12.57.- El contratista comunicará por escrito a la dependencia, entidad o ayuntamiento contratante la conclusión de los trabajos que le fueron encomendados, para que ésta verifique la debida terminación de los mismos conforme a las condiciones establecidas en el contrato. </w:t>
      </w:r>
    </w:p>
    <w:p w:rsidR="0064332D" w:rsidRPr="004274D4" w:rsidRDefault="00F028C1">
      <w:pPr>
        <w:pBdr>
          <w:top w:val="nil"/>
          <w:left w:val="nil"/>
          <w:bottom w:val="nil"/>
          <w:right w:val="nil"/>
          <w:between w:val="nil"/>
        </w:pBdr>
        <w:spacing w:line="360" w:lineRule="auto"/>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b/>
          <w:i/>
          <w:sz w:val="22"/>
          <w:szCs w:val="22"/>
        </w:rPr>
        <w:t>Al finalizar la verificación de los trabajos, la dependencia, entidad o ayuntamiento procederá a su recepción física, haciéndolo constar en el acta correspondiente.</w:t>
      </w:r>
      <w:r w:rsidRPr="004274D4">
        <w:rPr>
          <w:rFonts w:ascii="Palatino Linotype" w:eastAsia="Palatino Linotype" w:hAnsi="Palatino Linotype" w:cs="Palatino Linotype"/>
          <w:i/>
          <w:sz w:val="22"/>
          <w:szCs w:val="22"/>
        </w:rPr>
        <w:t xml:space="preserve"> Las dependencias y entidades estatales, lo harán del conocimiento de las Secretarías del Ramo, de Finanzas y a la Contraloría. </w:t>
      </w:r>
    </w:p>
    <w:p w:rsidR="0064332D" w:rsidRPr="004274D4" w:rsidRDefault="00F028C1">
      <w:pPr>
        <w:pBdr>
          <w:top w:val="nil"/>
          <w:left w:val="nil"/>
          <w:bottom w:val="nil"/>
          <w:right w:val="nil"/>
          <w:between w:val="nil"/>
        </w:pBdr>
        <w:spacing w:line="360" w:lineRule="auto"/>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t xml:space="preserve">Los ayuntamientos están obligados a proporcionar dicha información, solamente de aquellas obras que realicen con cargo total o parcial a fondos estatales. </w:t>
      </w:r>
    </w:p>
    <w:p w:rsidR="0064332D" w:rsidRPr="004274D4" w:rsidRDefault="00F028C1">
      <w:pPr>
        <w:pBdr>
          <w:top w:val="nil"/>
          <w:left w:val="nil"/>
          <w:bottom w:val="nil"/>
          <w:right w:val="nil"/>
          <w:between w:val="nil"/>
        </w:pBdr>
        <w:spacing w:line="360" w:lineRule="auto"/>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t>En la fecha señalada para la recepción, la dependencia, entidad o ayuntamiento contratante y el contratista suscribirán el finiquito correspondiente.</w:t>
      </w:r>
    </w:p>
    <w:p w:rsidR="0064332D" w:rsidRPr="004274D4" w:rsidRDefault="0064332D">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Como se advierte de los preceptos legales señalados, corresponde a los contratistas comunicar la conclusión de las obras, para que estas verifiquen la debida terminación conforme a las condiciones establecidas en los contratos, una vez terminada la verificación, el Ayuntamiento procederá a su recepción física, haciéndolo constar en el acta correspondiente. </w:t>
      </w:r>
    </w:p>
    <w:p w:rsidR="0064332D" w:rsidRPr="004274D4" w:rsidRDefault="0064332D">
      <w:pPr>
        <w:pBdr>
          <w:top w:val="nil"/>
          <w:left w:val="nil"/>
          <w:bottom w:val="nil"/>
          <w:right w:val="nil"/>
          <w:between w:val="nil"/>
        </w:pBdr>
        <w:spacing w:line="360" w:lineRule="auto"/>
        <w:ind w:right="-28"/>
        <w:jc w:val="both"/>
        <w:rPr>
          <w:rFonts w:ascii="Palatino Linotype" w:eastAsia="Palatino Linotype" w:hAnsi="Palatino Linotype" w:cs="Palatino Linotype"/>
          <w:sz w:val="22"/>
          <w:szCs w:val="22"/>
        </w:rPr>
      </w:pPr>
    </w:p>
    <w:p w:rsidR="0064332D" w:rsidRPr="004274D4" w:rsidRDefault="00F028C1">
      <w:pPr>
        <w:numPr>
          <w:ilvl w:val="0"/>
          <w:numId w:val="3"/>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lastRenderedPageBreak/>
        <w:t>Ahora bien, una vez establecido lo anterior, es necesario precisar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64332D" w:rsidRPr="004274D4" w:rsidRDefault="0064332D">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Es así que, su obligación es </w:t>
      </w:r>
      <w:r w:rsidRPr="004274D4">
        <w:rPr>
          <w:rFonts w:ascii="Palatino Linotype" w:eastAsia="Palatino Linotype" w:hAnsi="Palatino Linotype" w:cs="Palatino Linotype"/>
          <w:i/>
          <w:color w:val="000000"/>
          <w:sz w:val="22"/>
          <w:szCs w:val="22"/>
        </w:rPr>
        <w:t>realizar, con efectividad, los trámites internos necesarios para la atención de las solicitudes de información</w:t>
      </w:r>
      <w:r w:rsidRPr="004274D4">
        <w:rPr>
          <w:rFonts w:ascii="Palatino Linotype" w:eastAsia="Palatino Linotype" w:hAnsi="Palatino Linotype" w:cs="Palatino Linotype"/>
          <w:color w:val="000000"/>
          <w:sz w:val="22"/>
          <w:szCs w:val="22"/>
          <w:vertAlign w:val="superscript"/>
        </w:rPr>
        <w:footnoteReference w:id="1"/>
      </w:r>
      <w:r w:rsidRPr="004274D4">
        <w:rPr>
          <w:rFonts w:ascii="Palatino Linotype" w:eastAsia="Palatino Linotype" w:hAnsi="Palatino Linotype" w:cs="Palatino Linotype"/>
          <w:color w:val="000000"/>
          <w:sz w:val="22"/>
          <w:szCs w:val="22"/>
        </w:rPr>
        <w:t>, es decir, deben otorgar respuestas concisas, contundentes y sobre todo que den la certeza de los actos que realizan.</w:t>
      </w:r>
    </w:p>
    <w:p w:rsidR="0064332D" w:rsidRPr="004274D4" w:rsidRDefault="0064332D">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rsidR="0064332D" w:rsidRPr="004274D4" w:rsidRDefault="0064332D">
      <w:pPr>
        <w:spacing w:line="360" w:lineRule="auto"/>
        <w:jc w:val="both"/>
        <w:rPr>
          <w:rFonts w:ascii="Palatino Linotype" w:eastAsia="Palatino Linotype" w:hAnsi="Palatino Linotype" w:cs="Palatino Linotype"/>
          <w:sz w:val="22"/>
          <w:szCs w:val="22"/>
        </w:rPr>
      </w:pPr>
    </w:p>
    <w:p w:rsidR="0064332D" w:rsidRPr="004274D4" w:rsidRDefault="00F028C1">
      <w:pPr>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b/>
          <w:i/>
          <w:sz w:val="22"/>
          <w:szCs w:val="22"/>
        </w:rPr>
        <w:t xml:space="preserve">Artículo 50. </w:t>
      </w:r>
      <w:r w:rsidRPr="004274D4">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rsidR="0064332D" w:rsidRPr="004274D4" w:rsidRDefault="0064332D">
      <w:pPr>
        <w:ind w:left="851" w:right="822"/>
        <w:jc w:val="both"/>
        <w:rPr>
          <w:rFonts w:ascii="Palatino Linotype" w:eastAsia="Palatino Linotype" w:hAnsi="Palatino Linotype" w:cs="Palatino Linotype"/>
          <w:i/>
          <w:sz w:val="22"/>
          <w:szCs w:val="22"/>
        </w:rPr>
      </w:pPr>
    </w:p>
    <w:p w:rsidR="0064332D" w:rsidRPr="004274D4" w:rsidRDefault="00F028C1">
      <w:pPr>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b/>
          <w:i/>
          <w:sz w:val="22"/>
          <w:szCs w:val="22"/>
        </w:rPr>
        <w:t xml:space="preserve">Artículo 53. </w:t>
      </w:r>
      <w:r w:rsidRPr="004274D4">
        <w:rPr>
          <w:rFonts w:ascii="Palatino Linotype" w:eastAsia="Palatino Linotype" w:hAnsi="Palatino Linotype" w:cs="Palatino Linotype"/>
          <w:i/>
          <w:sz w:val="22"/>
          <w:szCs w:val="22"/>
        </w:rPr>
        <w:t>Las Unidades de Transparencia tendrán las siguientes funciones:</w:t>
      </w:r>
    </w:p>
    <w:p w:rsidR="0064332D" w:rsidRPr="004274D4" w:rsidRDefault="00F028C1">
      <w:pPr>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t>(…)</w:t>
      </w:r>
    </w:p>
    <w:p w:rsidR="0064332D" w:rsidRPr="004274D4" w:rsidRDefault="00F028C1">
      <w:pPr>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b/>
          <w:i/>
          <w:sz w:val="22"/>
          <w:szCs w:val="22"/>
        </w:rPr>
        <w:t>II.</w:t>
      </w:r>
      <w:r w:rsidRPr="004274D4">
        <w:rPr>
          <w:rFonts w:ascii="Palatino Linotype" w:eastAsia="Palatino Linotype" w:hAnsi="Palatino Linotype" w:cs="Palatino Linotype"/>
          <w:i/>
          <w:sz w:val="22"/>
          <w:szCs w:val="22"/>
        </w:rPr>
        <w:t xml:space="preserve"> Recibir, tramitar y dar respuesta a las solicitudes de acceso a la información;</w:t>
      </w:r>
    </w:p>
    <w:p w:rsidR="0064332D" w:rsidRPr="004274D4" w:rsidRDefault="00F028C1">
      <w:pPr>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t>(…)</w:t>
      </w:r>
    </w:p>
    <w:p w:rsidR="0064332D" w:rsidRPr="004274D4" w:rsidRDefault="00F028C1">
      <w:pPr>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b/>
          <w:i/>
          <w:sz w:val="22"/>
          <w:szCs w:val="22"/>
        </w:rPr>
        <w:lastRenderedPageBreak/>
        <w:t>IV.</w:t>
      </w:r>
      <w:r w:rsidRPr="004274D4">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rsidR="0064332D" w:rsidRPr="004274D4" w:rsidRDefault="00F028C1">
      <w:pPr>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b/>
          <w:i/>
          <w:sz w:val="22"/>
          <w:szCs w:val="22"/>
        </w:rPr>
        <w:t>V.</w:t>
      </w:r>
      <w:r w:rsidRPr="004274D4">
        <w:rPr>
          <w:rFonts w:ascii="Palatino Linotype" w:eastAsia="Palatino Linotype" w:hAnsi="Palatino Linotype" w:cs="Palatino Linotype"/>
          <w:i/>
          <w:sz w:val="22"/>
          <w:szCs w:val="22"/>
        </w:rPr>
        <w:t xml:space="preserve"> Entregar, en su caso, a los particulares la información solicitada;</w:t>
      </w:r>
    </w:p>
    <w:p w:rsidR="0064332D" w:rsidRPr="004274D4" w:rsidRDefault="00F028C1">
      <w:pPr>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t>(…)</w:t>
      </w:r>
    </w:p>
    <w:p w:rsidR="0064332D" w:rsidRPr="004274D4" w:rsidRDefault="0064332D">
      <w:pPr>
        <w:ind w:left="851" w:right="822"/>
        <w:jc w:val="both"/>
        <w:rPr>
          <w:rFonts w:ascii="Palatino Linotype" w:eastAsia="Palatino Linotype" w:hAnsi="Palatino Linotype" w:cs="Palatino Linotype"/>
          <w:i/>
          <w:sz w:val="22"/>
          <w:szCs w:val="22"/>
        </w:rPr>
      </w:pPr>
    </w:p>
    <w:p w:rsidR="0064332D" w:rsidRPr="004274D4" w:rsidRDefault="00F028C1">
      <w:pPr>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b/>
          <w:i/>
          <w:sz w:val="22"/>
          <w:szCs w:val="22"/>
        </w:rPr>
        <w:t xml:space="preserve">Artículo 58. </w:t>
      </w:r>
      <w:r w:rsidRPr="004274D4">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rsidR="0064332D" w:rsidRPr="004274D4" w:rsidRDefault="0064332D">
      <w:pPr>
        <w:ind w:left="851" w:right="822"/>
        <w:jc w:val="both"/>
        <w:rPr>
          <w:rFonts w:ascii="Palatino Linotype" w:eastAsia="Palatino Linotype" w:hAnsi="Palatino Linotype" w:cs="Palatino Linotype"/>
          <w:i/>
          <w:sz w:val="22"/>
          <w:szCs w:val="22"/>
        </w:rPr>
      </w:pPr>
    </w:p>
    <w:p w:rsidR="0064332D" w:rsidRPr="004274D4" w:rsidRDefault="00F028C1">
      <w:pPr>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b/>
          <w:i/>
          <w:sz w:val="22"/>
          <w:szCs w:val="22"/>
        </w:rPr>
        <w:t xml:space="preserve">Artículo 59. </w:t>
      </w:r>
      <w:r w:rsidRPr="004274D4">
        <w:rPr>
          <w:rFonts w:ascii="Palatino Linotype" w:eastAsia="Palatino Linotype" w:hAnsi="Palatino Linotype" w:cs="Palatino Linotype"/>
          <w:i/>
          <w:sz w:val="22"/>
          <w:szCs w:val="22"/>
        </w:rPr>
        <w:t>Los servidores públicos habilitados tendrán las funciones siguientes:</w:t>
      </w:r>
    </w:p>
    <w:p w:rsidR="0064332D" w:rsidRPr="004274D4" w:rsidRDefault="0064332D">
      <w:pPr>
        <w:ind w:left="851" w:right="822"/>
        <w:jc w:val="both"/>
        <w:rPr>
          <w:rFonts w:ascii="Palatino Linotype" w:eastAsia="Palatino Linotype" w:hAnsi="Palatino Linotype" w:cs="Palatino Linotype"/>
          <w:i/>
          <w:sz w:val="22"/>
          <w:szCs w:val="22"/>
        </w:rPr>
      </w:pPr>
    </w:p>
    <w:p w:rsidR="0064332D" w:rsidRPr="004274D4" w:rsidRDefault="00F028C1">
      <w:pPr>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b/>
          <w:i/>
          <w:sz w:val="22"/>
          <w:szCs w:val="22"/>
        </w:rPr>
        <w:t>I.</w:t>
      </w:r>
      <w:r w:rsidRPr="004274D4">
        <w:rPr>
          <w:rFonts w:ascii="Palatino Linotype" w:eastAsia="Palatino Linotype" w:hAnsi="Palatino Linotype" w:cs="Palatino Linotype"/>
          <w:i/>
          <w:sz w:val="22"/>
          <w:szCs w:val="22"/>
        </w:rPr>
        <w:t xml:space="preserve"> Localizar la información que le solicite la Unidad de Transparencia;</w:t>
      </w:r>
    </w:p>
    <w:p w:rsidR="0064332D" w:rsidRPr="004274D4" w:rsidRDefault="00F028C1">
      <w:pPr>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b/>
          <w:i/>
          <w:sz w:val="22"/>
          <w:szCs w:val="22"/>
        </w:rPr>
        <w:t>II.</w:t>
      </w:r>
      <w:r w:rsidRPr="004274D4">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rsidR="0064332D" w:rsidRPr="004274D4" w:rsidRDefault="00F028C1">
      <w:pPr>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i/>
          <w:sz w:val="22"/>
          <w:szCs w:val="22"/>
        </w:rPr>
        <w:t>(...)</w:t>
      </w:r>
    </w:p>
    <w:p w:rsidR="0064332D" w:rsidRPr="004274D4" w:rsidRDefault="0064332D">
      <w:pPr>
        <w:ind w:left="851" w:right="822"/>
        <w:jc w:val="both"/>
        <w:rPr>
          <w:rFonts w:ascii="Palatino Linotype" w:eastAsia="Palatino Linotype" w:hAnsi="Palatino Linotype" w:cs="Palatino Linotype"/>
          <w:i/>
          <w:sz w:val="22"/>
          <w:szCs w:val="22"/>
        </w:rPr>
      </w:pPr>
    </w:p>
    <w:p w:rsidR="0064332D" w:rsidRPr="004274D4" w:rsidRDefault="00F028C1">
      <w:pPr>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b/>
          <w:i/>
          <w:sz w:val="22"/>
          <w:szCs w:val="22"/>
        </w:rPr>
        <w:t xml:space="preserve">Artículo 162. </w:t>
      </w:r>
      <w:r w:rsidRPr="004274D4">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64332D" w:rsidRPr="004274D4" w:rsidRDefault="0064332D">
      <w:pPr>
        <w:spacing w:line="360" w:lineRule="auto"/>
        <w:jc w:val="both"/>
        <w:rPr>
          <w:rFonts w:ascii="Palatino Linotype" w:eastAsia="Palatino Linotype" w:hAnsi="Palatino Linotype" w:cs="Palatino Linotype"/>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w:t>
      </w:r>
      <w:r w:rsidRPr="004274D4">
        <w:rPr>
          <w:rFonts w:ascii="Palatino Linotype" w:eastAsia="Palatino Linotype" w:hAnsi="Palatino Linotype" w:cs="Palatino Linotype"/>
          <w:color w:val="000000"/>
          <w:sz w:val="22"/>
          <w:szCs w:val="22"/>
        </w:rPr>
        <w:lastRenderedPageBreak/>
        <w:t>exhaustiva y razonable de la información solicitada a fin de que ésta sea entregada a los solicitantes.</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 En el presente caso, la respuesta fue emitida por el Director de Obras Públicas, servidor público habilitado con facultades para generar, poseer y administrar la información solicitada, por lo que, se dio cumplimiento al proceso de búsqueda establecido en el </w:t>
      </w:r>
    </w:p>
    <w:p w:rsidR="0064332D" w:rsidRPr="004274D4" w:rsidRDefault="0064332D">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right="113"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Por otro lado, la Ley en la materia en términos generales, establece que como uno de los objetivos con el que cuenta es el de garantizar a toda persona el derecho de acceso a la información pública, mediante los procedimientos establecidos de forma </w:t>
      </w:r>
      <w:r w:rsidRPr="004274D4">
        <w:rPr>
          <w:rFonts w:ascii="Palatino Linotype" w:eastAsia="Palatino Linotype" w:hAnsi="Palatino Linotype" w:cs="Palatino Linotype"/>
          <w:b/>
          <w:color w:val="000000"/>
          <w:sz w:val="22"/>
          <w:szCs w:val="22"/>
        </w:rPr>
        <w:t>sencilla</w:t>
      </w:r>
      <w:r w:rsidRPr="004274D4">
        <w:rPr>
          <w:rFonts w:ascii="Palatino Linotype" w:eastAsia="Palatino Linotype" w:hAnsi="Palatino Linotype" w:cs="Palatino Linotype"/>
          <w:color w:val="000000"/>
          <w:sz w:val="22"/>
          <w:szCs w:val="22"/>
        </w:rPr>
        <w:t xml:space="preserve">, expeditos, </w:t>
      </w:r>
      <w:r w:rsidRPr="004274D4">
        <w:rPr>
          <w:rFonts w:ascii="Palatino Linotype" w:eastAsia="Palatino Linotype" w:hAnsi="Palatino Linotype" w:cs="Palatino Linotype"/>
          <w:b/>
          <w:color w:val="000000"/>
          <w:sz w:val="22"/>
          <w:szCs w:val="22"/>
        </w:rPr>
        <w:t>oportunos</w:t>
      </w:r>
      <w:r w:rsidRPr="004274D4">
        <w:rPr>
          <w:rFonts w:ascii="Palatino Linotype" w:eastAsia="Palatino Linotype" w:hAnsi="Palatino Linotype" w:cs="Palatino Linotype"/>
          <w:color w:val="000000"/>
          <w:sz w:val="22"/>
          <w:szCs w:val="22"/>
        </w:rPr>
        <w:t xml:space="preserve"> y gratuitos, y con ello contribuir a la mejora de procedimientos y mecanismos que permitan trasparentar la gestión pública y mejora la toma decisiones, a través de la difusión de la información que obra en poder de los sujeto obligados.</w:t>
      </w:r>
    </w:p>
    <w:p w:rsidR="0064332D" w:rsidRPr="004274D4" w:rsidRDefault="0064332D">
      <w:p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El formato prediseñado para que los particulares formulen su solicitud de acceso a la información contiene opciones para seleccionar la modalidad de entrega de la información. En el presente asunto en particular, se solicitó la información a través del SAIMEX. En consecuencia, lo idóneo es que, los Sujetos Obligados proporcionen la información por el medio solicitado; no obstante, la Ley de Transparencia y Acceso</w:t>
      </w:r>
      <w:r w:rsidRPr="004274D4">
        <w:rPr>
          <w:rFonts w:ascii="Palatino Linotype" w:eastAsia="Palatino Linotype" w:hAnsi="Palatino Linotype" w:cs="Palatino Linotype"/>
          <w:b/>
          <w:color w:val="000000"/>
          <w:sz w:val="22"/>
          <w:szCs w:val="22"/>
        </w:rPr>
        <w:t xml:space="preserve"> </w:t>
      </w:r>
      <w:r w:rsidRPr="004274D4">
        <w:rPr>
          <w:rFonts w:ascii="Palatino Linotype" w:eastAsia="Palatino Linotype" w:hAnsi="Palatino Linotype" w:cs="Palatino Linotype"/>
          <w:color w:val="000000"/>
          <w:sz w:val="22"/>
          <w:szCs w:val="22"/>
        </w:rPr>
        <w:t xml:space="preserve">a la Información Pública del </w:t>
      </w:r>
      <w:r w:rsidRPr="004274D4">
        <w:rPr>
          <w:rFonts w:ascii="Palatino Linotype" w:eastAsia="Palatino Linotype" w:hAnsi="Palatino Linotype" w:cs="Palatino Linotype"/>
          <w:color w:val="000000"/>
          <w:sz w:val="22"/>
          <w:szCs w:val="22"/>
        </w:rPr>
        <w:lastRenderedPageBreak/>
        <w:t>Estado de México y Municipios establece dos puntos importantes que impactan sobre la modalidad de entrega de la información.</w:t>
      </w:r>
    </w:p>
    <w:p w:rsidR="0064332D" w:rsidRPr="004274D4" w:rsidRDefault="0064332D">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El primer punto a analizar es que la ley en materia contempla </w:t>
      </w:r>
      <w:r w:rsidRPr="004274D4">
        <w:rPr>
          <w:rFonts w:ascii="Palatino Linotype" w:eastAsia="Palatino Linotype" w:hAnsi="Palatino Linotype" w:cs="Palatino Linotype"/>
          <w:b/>
          <w:color w:val="000000"/>
          <w:sz w:val="22"/>
          <w:szCs w:val="22"/>
        </w:rPr>
        <w:t>información pública de oficio</w:t>
      </w:r>
      <w:r w:rsidRPr="004274D4">
        <w:rPr>
          <w:rFonts w:ascii="Palatino Linotype" w:eastAsia="Palatino Linotype" w:hAnsi="Palatino Linotype" w:cs="Palatino Linotype"/>
          <w:color w:val="000000"/>
          <w:sz w:val="22"/>
          <w:szCs w:val="22"/>
        </w:rPr>
        <w:t xml:space="preserve"> que los Sujetos Obligados deben poner a disposición del público de manera permanente y actualizada de forma sencilla, precisa y entendible, en los respectivos medios electrónicos la información pública que generen, administren o posean.</w:t>
      </w:r>
    </w:p>
    <w:p w:rsidR="0064332D" w:rsidRPr="004274D4" w:rsidRDefault="0064332D">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El segundo punto a analizar y que guarda estricta relación con el punto anterior, se encuentra en el artículo 161 de la citada Ley de Transparencia Local:</w:t>
      </w:r>
    </w:p>
    <w:p w:rsidR="0064332D" w:rsidRPr="004274D4" w:rsidRDefault="0064332D">
      <w:pPr>
        <w:pBdr>
          <w:top w:val="nil"/>
          <w:left w:val="nil"/>
          <w:bottom w:val="nil"/>
          <w:right w:val="nil"/>
          <w:between w:val="nil"/>
        </w:pBdr>
        <w:ind w:left="720"/>
        <w:rPr>
          <w:rFonts w:ascii="Palatino Linotype" w:eastAsia="Palatino Linotype" w:hAnsi="Palatino Linotype" w:cs="Palatino Linotype"/>
          <w:color w:val="000000"/>
          <w:sz w:val="22"/>
          <w:szCs w:val="22"/>
        </w:rPr>
      </w:pPr>
    </w:p>
    <w:p w:rsidR="0064332D" w:rsidRPr="004274D4" w:rsidRDefault="00F028C1">
      <w:pPr>
        <w:spacing w:line="360" w:lineRule="auto"/>
        <w:ind w:left="851" w:right="822"/>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b/>
          <w:i/>
          <w:sz w:val="22"/>
          <w:szCs w:val="22"/>
        </w:rPr>
        <w:t>Artículo 161. Cuando la información requerida por el solicitante ya esté disponible</w:t>
      </w:r>
      <w:r w:rsidRPr="004274D4">
        <w:rPr>
          <w:rFonts w:ascii="Palatino Linotype" w:eastAsia="Palatino Linotype" w:hAnsi="Palatino Linotype" w:cs="Palatino Linotype"/>
          <w:i/>
          <w:sz w:val="22"/>
          <w:szCs w:val="22"/>
        </w:rPr>
        <w:t xml:space="preserve"> al público en medios impresos, tales como libros, compendios, trípticos, registros públicos, </w:t>
      </w:r>
      <w:r w:rsidRPr="004274D4">
        <w:rPr>
          <w:rFonts w:ascii="Palatino Linotype" w:eastAsia="Palatino Linotype" w:hAnsi="Palatino Linotype" w:cs="Palatino Linotype"/>
          <w:b/>
          <w:i/>
          <w:sz w:val="22"/>
          <w:szCs w:val="22"/>
        </w:rPr>
        <w:t xml:space="preserve">en formatos electrónicos disponibles en Internet </w:t>
      </w:r>
      <w:r w:rsidRPr="004274D4">
        <w:rPr>
          <w:rFonts w:ascii="Palatino Linotype" w:eastAsia="Palatino Linotype" w:hAnsi="Palatino Linotype" w:cs="Palatino Linotype"/>
          <w:i/>
          <w:sz w:val="22"/>
          <w:szCs w:val="22"/>
        </w:rPr>
        <w:t xml:space="preserve">o en cualquier otro medio, se le hará saber por el medio requerido por el solicitante la fuente, el lugar y la forma en que puede consultar, reproducir o adquirir dicha información </w:t>
      </w:r>
      <w:r w:rsidRPr="004274D4">
        <w:rPr>
          <w:rFonts w:ascii="Palatino Linotype" w:eastAsia="Palatino Linotype" w:hAnsi="Palatino Linotype" w:cs="Palatino Linotype"/>
          <w:b/>
          <w:i/>
          <w:sz w:val="22"/>
          <w:szCs w:val="22"/>
        </w:rPr>
        <w:t>en un plazo no mayor a cinco días hábiles</w:t>
      </w:r>
      <w:r w:rsidRPr="004274D4">
        <w:rPr>
          <w:rFonts w:ascii="Palatino Linotype" w:eastAsia="Palatino Linotype" w:hAnsi="Palatino Linotype" w:cs="Palatino Linotype"/>
          <w:i/>
          <w:sz w:val="22"/>
          <w:szCs w:val="22"/>
        </w:rPr>
        <w:t xml:space="preserve">. </w:t>
      </w:r>
      <w:r w:rsidRPr="004274D4">
        <w:rPr>
          <w:rFonts w:ascii="Palatino Linotype" w:eastAsia="Palatino Linotype" w:hAnsi="Palatino Linotype" w:cs="Palatino Linotype"/>
          <w:b/>
          <w:i/>
          <w:sz w:val="22"/>
          <w:szCs w:val="22"/>
        </w:rPr>
        <w:t>La fuente deberá ser precisa y concreta y no debe implicar que el solicitante realice una búsqueda en toda la información que se encuentre disponible</w:t>
      </w:r>
      <w:r w:rsidRPr="004274D4">
        <w:rPr>
          <w:rFonts w:ascii="Palatino Linotype" w:eastAsia="Palatino Linotype" w:hAnsi="Palatino Linotype" w:cs="Palatino Linotype"/>
          <w:i/>
          <w:sz w:val="22"/>
          <w:szCs w:val="22"/>
        </w:rPr>
        <w:t>.</w:t>
      </w:r>
    </w:p>
    <w:p w:rsidR="0064332D" w:rsidRPr="004274D4" w:rsidRDefault="00F028C1">
      <w:pPr>
        <w:numPr>
          <w:ilvl w:val="0"/>
          <w:numId w:val="3"/>
        </w:numPr>
        <w:pBdr>
          <w:top w:val="nil"/>
          <w:left w:val="nil"/>
          <w:bottom w:val="nil"/>
          <w:right w:val="nil"/>
          <w:between w:val="nil"/>
        </w:pBdr>
        <w:tabs>
          <w:tab w:val="left" w:pos="851"/>
        </w:tabs>
        <w:spacing w:before="240" w:line="360" w:lineRule="auto"/>
        <w:ind w:left="0" w:right="49" w:firstLine="0"/>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color w:val="000000"/>
          <w:sz w:val="22"/>
          <w:szCs w:val="22"/>
        </w:rPr>
        <w:t xml:space="preserve">Es así que, toda aquella información que sea requerida por los particulares pero que, previamente se encuentre disponible en sitios electrónicos, como puede ser de manera enunciativa más no limitativa, el sitio oficial del Sujeto Obligado o el portal IPOMEX o las páginas institucionales. Los Sujetos Obligado pueden indicar la dirección electrónica donde </w:t>
      </w:r>
      <w:r w:rsidRPr="004274D4">
        <w:rPr>
          <w:rFonts w:ascii="Palatino Linotype" w:eastAsia="Palatino Linotype" w:hAnsi="Palatino Linotype" w:cs="Palatino Linotype"/>
          <w:color w:val="000000"/>
          <w:sz w:val="22"/>
          <w:szCs w:val="22"/>
        </w:rPr>
        <w:lastRenderedPageBreak/>
        <w:t>obra la información solicitada. Esta dirección electrónica debe ser precisa, de tal modo que no implique realizar una búsqueda en toda la información que ahí se encuentre. Además, debe ir acompañada del procedimiento a seguir, en caso de que la información se encuentre en distintos puntos del sitio electrónico referido.</w:t>
      </w:r>
    </w:p>
    <w:p w:rsidR="0064332D" w:rsidRPr="004274D4" w:rsidRDefault="0064332D">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sz w:val="22"/>
          <w:szCs w:val="22"/>
        </w:rPr>
      </w:pPr>
    </w:p>
    <w:p w:rsidR="0064332D" w:rsidRPr="004274D4" w:rsidRDefault="00F028C1">
      <w:pPr>
        <w:numPr>
          <w:ilvl w:val="0"/>
          <w:numId w:val="3"/>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b/>
          <w:color w:val="000000"/>
          <w:sz w:val="22"/>
          <w:szCs w:val="22"/>
        </w:rPr>
        <w:t>La orientación</w:t>
      </w:r>
      <w:r w:rsidRPr="004274D4">
        <w:rPr>
          <w:rFonts w:ascii="Palatino Linotype" w:eastAsia="Palatino Linotype" w:hAnsi="Palatino Linotype" w:cs="Palatino Linotype"/>
          <w:color w:val="000000"/>
          <w:sz w:val="22"/>
          <w:szCs w:val="22"/>
        </w:rPr>
        <w:t xml:space="preserve"> que realicen los Sujetos Obligados a los sitios electrónicos para la consulta de la información </w:t>
      </w:r>
      <w:r w:rsidRPr="004274D4">
        <w:rPr>
          <w:rFonts w:ascii="Palatino Linotype" w:eastAsia="Palatino Linotype" w:hAnsi="Palatino Linotype" w:cs="Palatino Linotype"/>
          <w:b/>
          <w:color w:val="000000"/>
          <w:sz w:val="22"/>
          <w:szCs w:val="22"/>
        </w:rPr>
        <w:t>debe cumplir con las características de tiempo y forma.</w:t>
      </w:r>
    </w:p>
    <w:p w:rsidR="0064332D" w:rsidRPr="004274D4" w:rsidRDefault="0064332D">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sz w:val="22"/>
          <w:szCs w:val="22"/>
        </w:rPr>
      </w:pPr>
    </w:p>
    <w:p w:rsidR="0064332D" w:rsidRPr="004274D4" w:rsidRDefault="00F028C1">
      <w:pPr>
        <w:numPr>
          <w:ilvl w:val="0"/>
          <w:numId w:val="3"/>
        </w:numPr>
        <w:pBdr>
          <w:top w:val="nil"/>
          <w:left w:val="nil"/>
          <w:bottom w:val="nil"/>
          <w:right w:val="nil"/>
          <w:between w:val="nil"/>
        </w:pBdr>
        <w:tabs>
          <w:tab w:val="left" w:pos="851"/>
        </w:tabs>
        <w:spacing w:line="360" w:lineRule="auto"/>
        <w:ind w:left="0" w:right="49" w:firstLine="0"/>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color w:val="000000"/>
          <w:sz w:val="22"/>
          <w:szCs w:val="22"/>
        </w:rPr>
        <w:t xml:space="preserve">En ese sentido, la normatividad en materia establece que las direcciones electrónicas deben ser precisas, de tal modo que no implique que el Recurrente deba de realizar una búsqueda dentro de toda la información disponible. En el presente caso, el Sujeto Obligado señaló 3 ligas electrónicas en las que se encuentra la información solicitada, sin embargo, no se encuentran en datos abiertos, es decir, que para acceder a la información se tiene que transcribir la liga electrónica. </w:t>
      </w:r>
    </w:p>
    <w:p w:rsidR="0064332D" w:rsidRPr="004274D4" w:rsidRDefault="0064332D">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i/>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Así, es oportuno mencionar lo que debemos entender por datos abiertos, siendo estos los datos digitales de carácter público que pueden ser usados, reutilizados y redistribuidos por cualquier interesado y que tienen como característica ser accesibles, integrales, gratuitos, no discriminatorios, oportunos, permanentes, primarios, legibles por las máquinas, en formatos abiertos y de libre uso.  </w:t>
      </w:r>
    </w:p>
    <w:p w:rsidR="0064332D" w:rsidRPr="004274D4" w:rsidRDefault="0064332D">
      <w:pPr>
        <w:pBdr>
          <w:top w:val="nil"/>
          <w:left w:val="nil"/>
          <w:bottom w:val="nil"/>
          <w:right w:val="nil"/>
          <w:between w:val="nil"/>
        </w:pBdr>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lastRenderedPageBreak/>
        <w:t>En este mismo sentido, nuestra Ley de Transparencia y Acceso a la Información Pública del Estado de México y Municipios, expresa en su artículo 3, de manera textual lo siguiente:</w:t>
      </w:r>
    </w:p>
    <w:p w:rsidR="0064332D" w:rsidRPr="004274D4" w:rsidRDefault="0064332D">
      <w:pPr>
        <w:pBdr>
          <w:top w:val="nil"/>
          <w:left w:val="nil"/>
          <w:bottom w:val="nil"/>
          <w:right w:val="nil"/>
          <w:between w:val="nil"/>
        </w:pBdr>
        <w:shd w:val="clear" w:color="auto" w:fill="FFFFFF"/>
        <w:ind w:left="851" w:right="822"/>
        <w:jc w:val="both"/>
        <w:rPr>
          <w:rFonts w:ascii="Palatino Linotype" w:eastAsia="Palatino Linotype" w:hAnsi="Palatino Linotype" w:cs="Palatino Linotype"/>
          <w:color w:val="000000"/>
          <w:sz w:val="22"/>
          <w:szCs w:val="22"/>
        </w:rPr>
      </w:pPr>
    </w:p>
    <w:p w:rsidR="0064332D" w:rsidRPr="004274D4" w:rsidRDefault="00F028C1">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b/>
          <w:i/>
          <w:color w:val="000000"/>
          <w:sz w:val="22"/>
          <w:szCs w:val="22"/>
        </w:rPr>
        <w:t>“VIII. Datos abiertos: Los datos digitales de carácter público que son accesibles en línea que pueden ser usados, reutilizados y redistribuidos por cualquier interesado y que tienen las siguientes características:</w:t>
      </w:r>
    </w:p>
    <w:p w:rsidR="0064332D" w:rsidRPr="004274D4" w:rsidRDefault="00F028C1">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i/>
          <w:color w:val="000000"/>
          <w:sz w:val="22"/>
          <w:szCs w:val="22"/>
        </w:rPr>
        <w:t>a) Accesibles: Los datos están disponibles para la gama más amplia de usuarios, para cualquier propósito;</w:t>
      </w:r>
    </w:p>
    <w:p w:rsidR="0064332D" w:rsidRPr="004274D4" w:rsidRDefault="00F028C1">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i/>
          <w:color w:val="000000"/>
          <w:sz w:val="22"/>
          <w:szCs w:val="22"/>
        </w:rPr>
        <w:t>b) Integrales: Contienen el tema que describen a detalle y con los metadatos necesarios;</w:t>
      </w:r>
    </w:p>
    <w:p w:rsidR="0064332D" w:rsidRPr="004274D4" w:rsidRDefault="00F028C1">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i/>
          <w:color w:val="000000"/>
          <w:sz w:val="22"/>
          <w:szCs w:val="22"/>
        </w:rPr>
        <w:t>c) Gratuitos: Se obtienen sin entregar a cambio contraprestación alguna;</w:t>
      </w:r>
    </w:p>
    <w:p w:rsidR="0064332D" w:rsidRPr="004274D4" w:rsidRDefault="00F028C1">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i/>
          <w:color w:val="000000"/>
          <w:sz w:val="22"/>
          <w:szCs w:val="22"/>
        </w:rPr>
        <w:t>d) No discriminatorios: Los datos están disponibles para cualquier persona, sin necesidad de registro;</w:t>
      </w:r>
    </w:p>
    <w:p w:rsidR="0064332D" w:rsidRPr="004274D4" w:rsidRDefault="00F028C1">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i/>
          <w:color w:val="000000"/>
          <w:sz w:val="22"/>
          <w:szCs w:val="22"/>
        </w:rPr>
        <w:t>e) Oportunos: Son actualizados, periódicamente, conforme se generen;</w:t>
      </w:r>
    </w:p>
    <w:p w:rsidR="0064332D" w:rsidRPr="004274D4" w:rsidRDefault="00F028C1">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i/>
          <w:color w:val="000000"/>
          <w:sz w:val="22"/>
          <w:szCs w:val="22"/>
        </w:rPr>
        <w:t>f) Permanentes: Se conservan en el tiempo, para lo cual, las versiones históricas relevantes para uso público se mantendrán disponibles con identificadores adecuados al efecto;</w:t>
      </w:r>
    </w:p>
    <w:p w:rsidR="0064332D" w:rsidRPr="004274D4" w:rsidRDefault="00F028C1">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i/>
          <w:color w:val="000000"/>
          <w:sz w:val="22"/>
          <w:szCs w:val="22"/>
        </w:rPr>
        <w:t>g) Primarios: Provienen de la fuente de origen con el máximo nivel de desagregación posible;</w:t>
      </w:r>
    </w:p>
    <w:p w:rsidR="0064332D" w:rsidRPr="004274D4" w:rsidRDefault="00F028C1">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i/>
          <w:color w:val="000000"/>
          <w:sz w:val="22"/>
          <w:szCs w:val="22"/>
        </w:rPr>
        <w:t>h) Legibles por máquinas: Deberán estar estructurados, total o parcialmente, para ser procesados e interpretados por equipos electrónicos de manera automática;</w:t>
      </w:r>
    </w:p>
    <w:p w:rsidR="0064332D" w:rsidRPr="004274D4" w:rsidRDefault="00F028C1">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b/>
          <w:i/>
          <w:color w:val="000000"/>
          <w:sz w:val="22"/>
          <w:szCs w:val="22"/>
        </w:rPr>
        <w:t>i) 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r w:rsidRPr="004274D4">
        <w:rPr>
          <w:rFonts w:ascii="Palatino Linotype" w:eastAsia="Palatino Linotype" w:hAnsi="Palatino Linotype" w:cs="Palatino Linotype"/>
          <w:i/>
          <w:color w:val="000000"/>
          <w:sz w:val="22"/>
          <w:szCs w:val="22"/>
        </w:rPr>
        <w:t>; y</w:t>
      </w:r>
    </w:p>
    <w:p w:rsidR="0064332D" w:rsidRPr="004274D4" w:rsidRDefault="00F028C1">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i/>
          <w:color w:val="000000"/>
          <w:sz w:val="22"/>
          <w:szCs w:val="22"/>
        </w:rPr>
        <w:lastRenderedPageBreak/>
        <w:t>j) De libre uso: Citan la fuente de origen como único requerimiento para ser utilizados libremente.</w:t>
      </w:r>
    </w:p>
    <w:p w:rsidR="0064332D" w:rsidRPr="004274D4" w:rsidRDefault="00F028C1">
      <w:pPr>
        <w:pBdr>
          <w:top w:val="nil"/>
          <w:left w:val="nil"/>
          <w:bottom w:val="nil"/>
          <w:right w:val="nil"/>
          <w:between w:val="nil"/>
        </w:pBdr>
        <w:shd w:val="clear" w:color="auto" w:fill="FFFFFF"/>
        <w:spacing w:line="276" w:lineRule="auto"/>
        <w:ind w:left="851" w:right="822"/>
        <w:jc w:val="both"/>
        <w:rPr>
          <w:rFonts w:ascii="Palatino Linotype" w:eastAsia="Palatino Linotype" w:hAnsi="Palatino Linotype" w:cs="Palatino Linotype"/>
          <w:i/>
          <w:color w:val="000000"/>
          <w:sz w:val="22"/>
          <w:szCs w:val="22"/>
        </w:rPr>
      </w:pPr>
      <w:r w:rsidRPr="004274D4">
        <w:rPr>
          <w:rFonts w:ascii="Palatino Linotype" w:eastAsia="Palatino Linotype" w:hAnsi="Palatino Linotype" w:cs="Palatino Linotype"/>
          <w:i/>
          <w:color w:val="000000"/>
          <w:sz w:val="22"/>
          <w:szCs w:val="22"/>
        </w:rPr>
        <w:t>(Énfasis añadido)</w:t>
      </w:r>
    </w:p>
    <w:p w:rsidR="0064332D" w:rsidRPr="004274D4" w:rsidRDefault="0064332D">
      <w:pPr>
        <w:pBdr>
          <w:top w:val="nil"/>
          <w:left w:val="nil"/>
          <w:bottom w:val="nil"/>
          <w:right w:val="nil"/>
          <w:between w:val="nil"/>
        </w:pBdr>
        <w:shd w:val="clear" w:color="auto" w:fill="FFFFFF"/>
        <w:ind w:right="616"/>
        <w:jc w:val="both"/>
        <w:rPr>
          <w:rFonts w:ascii="Palatino Linotype" w:eastAsia="Palatino Linotype" w:hAnsi="Palatino Linotype" w:cs="Palatino Linotype"/>
          <w:color w:val="000000"/>
          <w:sz w:val="22"/>
          <w:szCs w:val="22"/>
        </w:rPr>
      </w:pPr>
    </w:p>
    <w:p w:rsidR="0064332D" w:rsidRPr="004274D4" w:rsidRDefault="0064332D">
      <w:pPr>
        <w:pBdr>
          <w:top w:val="nil"/>
          <w:left w:val="nil"/>
          <w:bottom w:val="nil"/>
          <w:right w:val="nil"/>
          <w:between w:val="nil"/>
        </w:pBdr>
        <w:shd w:val="clear" w:color="auto" w:fill="FFFFFF"/>
        <w:ind w:right="616"/>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hd w:val="clear" w:color="auto" w:fill="FFFFFF"/>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El dispositivo legal estatal aplicable a la materia, establece en su artículo 41 que el Instituto promoverá la publicación de la información en datos abiertos y accesibles, de tal manera que este Órgano Garante se encuentra en posibilidades de ordenar al </w:t>
      </w:r>
      <w:r w:rsidRPr="004274D4">
        <w:rPr>
          <w:rFonts w:ascii="Palatino Linotype" w:eastAsia="Palatino Linotype" w:hAnsi="Palatino Linotype" w:cs="Palatino Linotype"/>
          <w:b/>
          <w:color w:val="000000"/>
          <w:sz w:val="22"/>
          <w:szCs w:val="22"/>
        </w:rPr>
        <w:t>Sujeto Obligado, en caso de tener la información en formatos abiertos </w:t>
      </w:r>
      <w:r w:rsidRPr="004274D4">
        <w:rPr>
          <w:rFonts w:ascii="Palatino Linotype" w:eastAsia="Palatino Linotype" w:hAnsi="Palatino Linotype" w:cs="Palatino Linotype"/>
          <w:color w:val="000000"/>
          <w:sz w:val="22"/>
          <w:szCs w:val="22"/>
        </w:rPr>
        <w:t>entregar la misma en el formato solicitado. Por lo tanto, con la información entrega en respuesta, no se puede tener por atendido el derecho de acceso a la información del particular, pues no se atendió la solicitud en términos de los señalado en el artículo 161 de la Ley de Transparencia y Acceso a la Información Pública del Estado de México y Municipios.</w:t>
      </w:r>
    </w:p>
    <w:p w:rsidR="0064332D" w:rsidRPr="004274D4" w:rsidRDefault="0064332D">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Así, podemos advertir que las ligas electrónicas que se remitieren en respuesta no se encuentran en datos abiertos, es decir, que el particular tiene que transcribir la liga, lo que implica que al realizarlo pueda equivocarse y no poder acceder a la información, situación que puede ocurrir en el presente caso. Por lo tanto, con las ligas electrónicas remitidas por el Sujeto Obligado, no se puede tener por colmado el derecho de acceso a la información del particular. </w:t>
      </w:r>
    </w:p>
    <w:p w:rsidR="0064332D" w:rsidRPr="004274D4" w:rsidRDefault="00F028C1">
      <w:pPr>
        <w:numPr>
          <w:ilvl w:val="0"/>
          <w:numId w:val="3"/>
        </w:numPr>
        <w:shd w:val="clear" w:color="auto" w:fill="FFFFFF"/>
        <w:spacing w:before="240" w:after="240" w:line="360" w:lineRule="auto"/>
        <w:ind w:left="0" w:firstLine="0"/>
        <w:jc w:val="both"/>
        <w:rPr>
          <w:rFonts w:ascii="Palatino Linotype" w:eastAsia="Palatino Linotype" w:hAnsi="Palatino Linotype" w:cs="Palatino Linotype"/>
          <w:sz w:val="22"/>
          <w:szCs w:val="22"/>
        </w:rPr>
      </w:pPr>
      <w:bookmarkStart w:id="7" w:name="_heading=h.2s8eyo1" w:colFirst="0" w:colLast="0"/>
      <w:bookmarkEnd w:id="7"/>
      <w:r w:rsidRPr="004274D4">
        <w:rPr>
          <w:rFonts w:ascii="Palatino Linotype" w:eastAsia="Palatino Linotype" w:hAnsi="Palatino Linotype" w:cs="Palatino Linotype"/>
          <w:sz w:val="22"/>
          <w:szCs w:val="22"/>
        </w:rPr>
        <w:t xml:space="preserve">Por lo tanto, en consecuencia y en mérito de lo expuesto en líneas anteriores, resultan fundadas las razones o motivos de inconformidad hechos valer por el </w:t>
      </w:r>
      <w:r w:rsidRPr="004274D4">
        <w:rPr>
          <w:rFonts w:ascii="Palatino Linotype" w:eastAsia="Palatino Linotype" w:hAnsi="Palatino Linotype" w:cs="Palatino Linotype"/>
          <w:b/>
          <w:sz w:val="22"/>
          <w:szCs w:val="22"/>
        </w:rPr>
        <w:t>RECURRENTE</w:t>
      </w:r>
      <w:r w:rsidRPr="004274D4">
        <w:rPr>
          <w:rFonts w:ascii="Palatino Linotype" w:eastAsia="Palatino Linotype" w:hAnsi="Palatino Linotype" w:cs="Palatino Linotype"/>
          <w:sz w:val="22"/>
          <w:szCs w:val="22"/>
        </w:rPr>
        <w:t xml:space="preserve"> dentro del recurso de revisión </w:t>
      </w:r>
      <w:r w:rsidRPr="004274D4">
        <w:rPr>
          <w:rFonts w:ascii="Palatino Linotype" w:eastAsia="Palatino Linotype" w:hAnsi="Palatino Linotype" w:cs="Palatino Linotype"/>
          <w:b/>
          <w:sz w:val="22"/>
          <w:szCs w:val="22"/>
        </w:rPr>
        <w:t>04783/INFOEM/IP/RR/2024</w:t>
      </w:r>
      <w:r w:rsidRPr="004274D4">
        <w:rPr>
          <w:rFonts w:ascii="Palatino Linotype" w:eastAsia="Palatino Linotype" w:hAnsi="Palatino Linotype" w:cs="Palatino Linotype"/>
          <w:sz w:val="22"/>
          <w:szCs w:val="22"/>
        </w:rPr>
        <w:t xml:space="preserve">; por ello, y con fundamento en la fracción III del numeral 186 de la Ley de Transparencia y Acceso a la Información Pública del Estado </w:t>
      </w:r>
      <w:r w:rsidRPr="004274D4">
        <w:rPr>
          <w:rFonts w:ascii="Palatino Linotype" w:eastAsia="Palatino Linotype" w:hAnsi="Palatino Linotype" w:cs="Palatino Linotype"/>
          <w:sz w:val="22"/>
          <w:szCs w:val="22"/>
        </w:rPr>
        <w:lastRenderedPageBreak/>
        <w:t xml:space="preserve">de México y Municipios, se </w:t>
      </w:r>
      <w:r w:rsidRPr="004274D4">
        <w:rPr>
          <w:rFonts w:ascii="Palatino Linotype" w:eastAsia="Palatino Linotype" w:hAnsi="Palatino Linotype" w:cs="Palatino Linotype"/>
          <w:b/>
          <w:sz w:val="22"/>
          <w:szCs w:val="22"/>
        </w:rPr>
        <w:t>REVOCA</w:t>
      </w:r>
      <w:r w:rsidRPr="004274D4">
        <w:rPr>
          <w:rFonts w:ascii="Palatino Linotype" w:eastAsia="Palatino Linotype" w:hAnsi="Palatino Linotype" w:cs="Palatino Linotype"/>
          <w:sz w:val="22"/>
          <w:szCs w:val="22"/>
        </w:rPr>
        <w:t xml:space="preserve"> la respuesta a la solicitud de información número </w:t>
      </w:r>
      <w:r w:rsidRPr="004274D4">
        <w:rPr>
          <w:rFonts w:ascii="Palatino Linotype" w:eastAsia="Palatino Linotype" w:hAnsi="Palatino Linotype" w:cs="Palatino Linotype"/>
          <w:b/>
          <w:sz w:val="22"/>
          <w:szCs w:val="22"/>
        </w:rPr>
        <w:t>00145/TEMAMATL/IP/2024</w:t>
      </w:r>
      <w:r w:rsidRPr="004274D4">
        <w:rPr>
          <w:rFonts w:ascii="Palatino Linotype" w:eastAsia="Palatino Linotype" w:hAnsi="Palatino Linotype" w:cs="Palatino Linotype"/>
          <w:sz w:val="22"/>
          <w:szCs w:val="22"/>
        </w:rPr>
        <w:t>.</w:t>
      </w:r>
    </w:p>
    <w:p w:rsidR="0064332D" w:rsidRPr="004274D4" w:rsidRDefault="00F028C1">
      <w:pPr>
        <w:pStyle w:val="Ttulo1"/>
        <w:rPr>
          <w:rFonts w:ascii="Palatino Linotype" w:eastAsia="Palatino Linotype" w:hAnsi="Palatino Linotype" w:cs="Palatino Linotype"/>
          <w:b/>
          <w:color w:val="000000"/>
          <w:sz w:val="22"/>
          <w:szCs w:val="22"/>
        </w:rPr>
      </w:pPr>
      <w:bookmarkStart w:id="8" w:name="_heading=h.1t3h5sf" w:colFirst="0" w:colLast="0"/>
      <w:bookmarkEnd w:id="8"/>
      <w:r w:rsidRPr="004274D4">
        <w:rPr>
          <w:rFonts w:ascii="Palatino Linotype" w:eastAsia="Palatino Linotype" w:hAnsi="Palatino Linotype" w:cs="Palatino Linotype"/>
          <w:b/>
          <w:color w:val="000000"/>
          <w:sz w:val="22"/>
          <w:szCs w:val="22"/>
        </w:rPr>
        <w:t>QUINTO. De la versión pública.</w:t>
      </w:r>
    </w:p>
    <w:p w:rsidR="0064332D" w:rsidRPr="004274D4" w:rsidRDefault="0064332D">
      <w:pPr>
        <w:rPr>
          <w:rFonts w:ascii="Palatino Linotype" w:eastAsia="Palatino Linotype" w:hAnsi="Palatino Linotype" w:cs="Palatino Linotype"/>
          <w:sz w:val="22"/>
          <w:szCs w:val="22"/>
        </w:rPr>
      </w:pPr>
    </w:p>
    <w:p w:rsidR="0064332D" w:rsidRPr="004274D4" w:rsidRDefault="0064332D">
      <w:pPr>
        <w:rPr>
          <w:rFonts w:ascii="Palatino Linotype" w:eastAsia="Palatino Linotype" w:hAnsi="Palatino Linotype" w:cs="Palatino Linotype"/>
          <w:sz w:val="22"/>
          <w:szCs w:val="22"/>
        </w:rPr>
      </w:pPr>
    </w:p>
    <w:p w:rsidR="0064332D" w:rsidRPr="004274D4" w:rsidRDefault="00F028C1">
      <w:pPr>
        <w:numPr>
          <w:ilvl w:val="0"/>
          <w:numId w:val="3"/>
        </w:numPr>
        <w:pBdr>
          <w:top w:val="nil"/>
          <w:left w:val="nil"/>
          <w:bottom w:val="nil"/>
          <w:right w:val="nil"/>
          <w:between w:val="nil"/>
        </w:pBdr>
        <w:tabs>
          <w:tab w:val="left" w:pos="284"/>
        </w:tabs>
        <w:spacing w:line="360" w:lineRule="auto"/>
        <w:ind w:left="0" w:right="49"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Debe destacarse que, debido a la naturaleza de la información solicitada</w:t>
      </w:r>
      <w:r w:rsidRPr="004274D4">
        <w:rPr>
          <w:rFonts w:ascii="Palatino Linotype" w:eastAsia="Palatino Linotype" w:hAnsi="Palatino Linotype" w:cs="Palatino Linotype"/>
          <w:b/>
          <w:color w:val="000000"/>
          <w:sz w:val="22"/>
          <w:szCs w:val="22"/>
        </w:rPr>
        <w:t xml:space="preserve">, </w:t>
      </w:r>
      <w:r w:rsidRPr="004274D4">
        <w:rPr>
          <w:rFonts w:ascii="Palatino Linotype" w:eastAsia="Palatino Linotype" w:hAnsi="Palatino Linotype" w:cs="Palatino Linotype"/>
          <w:color w:val="000000"/>
          <w:sz w:val="22"/>
          <w:szCs w:val="22"/>
        </w:rPr>
        <w:t xml:space="preserve">eventualmente pudiera obrar datos personales susceptibles de protegerse, así como información susceptible de clasificarse como reservada, el </w:t>
      </w:r>
      <w:r w:rsidRPr="004274D4">
        <w:rPr>
          <w:rFonts w:ascii="Palatino Linotype" w:eastAsia="Palatino Linotype" w:hAnsi="Palatino Linotype" w:cs="Palatino Linotype"/>
          <w:b/>
          <w:color w:val="000000"/>
          <w:sz w:val="22"/>
          <w:szCs w:val="22"/>
        </w:rPr>
        <w:t xml:space="preserve">Sujeto Obligado </w:t>
      </w:r>
      <w:r w:rsidRPr="004274D4">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rsidR="0064332D" w:rsidRPr="004274D4" w:rsidRDefault="0064332D">
      <w:pPr>
        <w:pBdr>
          <w:top w:val="nil"/>
          <w:left w:val="nil"/>
          <w:bottom w:val="nil"/>
          <w:right w:val="nil"/>
          <w:between w:val="nil"/>
        </w:pBdr>
        <w:tabs>
          <w:tab w:val="left" w:pos="0"/>
          <w:tab w:val="left" w:pos="284"/>
        </w:tabs>
        <w:spacing w:line="360" w:lineRule="auto"/>
        <w:ind w:right="49"/>
        <w:jc w:val="both"/>
        <w:rPr>
          <w:rFonts w:ascii="Palatino Linotype" w:eastAsia="Palatino Linotype" w:hAnsi="Palatino Linotype" w:cs="Palatino Linotype"/>
          <w:color w:val="000000"/>
          <w:sz w:val="22"/>
          <w:szCs w:val="22"/>
        </w:rPr>
      </w:pPr>
    </w:p>
    <w:p w:rsidR="0064332D" w:rsidRPr="004274D4" w:rsidRDefault="00F028C1">
      <w:pPr>
        <w:numPr>
          <w:ilvl w:val="0"/>
          <w:numId w:val="3"/>
        </w:numPr>
        <w:tabs>
          <w:tab w:val="left" w:pos="284"/>
        </w:tabs>
        <w:spacing w:line="360" w:lineRule="auto"/>
        <w:ind w:left="0" w:right="49" w:firstLine="0"/>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No pasa desapercibido para este Órgano Garante que los </w:t>
      </w:r>
      <w:r w:rsidRPr="004274D4">
        <w:rPr>
          <w:rFonts w:ascii="Palatino Linotype" w:eastAsia="Palatino Linotype" w:hAnsi="Palatino Linotype" w:cs="Palatino Linotype"/>
          <w:b/>
          <w:sz w:val="22"/>
          <w:szCs w:val="22"/>
        </w:rPr>
        <w:t xml:space="preserve">Sujetos Obligados </w:t>
      </w:r>
      <w:r w:rsidRPr="004274D4">
        <w:rPr>
          <w:rFonts w:ascii="Palatino Linotype" w:eastAsia="Palatino Linotype" w:hAnsi="Palatino Linotype" w:cs="Palatino Linotype"/>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64332D" w:rsidRPr="004274D4" w:rsidRDefault="0064332D">
      <w:pPr>
        <w:tabs>
          <w:tab w:val="left" w:pos="284"/>
        </w:tabs>
        <w:spacing w:line="360" w:lineRule="auto"/>
        <w:ind w:right="49"/>
        <w:jc w:val="both"/>
        <w:rPr>
          <w:rFonts w:ascii="Palatino Linotype" w:eastAsia="Palatino Linotype" w:hAnsi="Palatino Linotype" w:cs="Palatino Linotype"/>
          <w:sz w:val="22"/>
          <w:szCs w:val="22"/>
        </w:rPr>
      </w:pPr>
    </w:p>
    <w:tbl>
      <w:tblPr>
        <w:tblStyle w:val="a0"/>
        <w:tblW w:w="8505"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667"/>
      </w:tblGrid>
      <w:tr w:rsidR="0064332D" w:rsidRPr="004274D4" w:rsidTr="006433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64332D" w:rsidRPr="004274D4" w:rsidRDefault="00F028C1">
            <w:pPr>
              <w:tabs>
                <w:tab w:val="left" w:pos="284"/>
              </w:tabs>
              <w:spacing w:line="360" w:lineRule="auto"/>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a) Requisitos previos.</w:t>
            </w:r>
          </w:p>
        </w:tc>
        <w:tc>
          <w:tcPr>
            <w:tcW w:w="6667" w:type="dxa"/>
          </w:tcPr>
          <w:p w:rsidR="0064332D" w:rsidRPr="004274D4" w:rsidRDefault="00F028C1">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64332D" w:rsidRPr="004274D4" w:rsidRDefault="00F028C1">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lastRenderedPageBreak/>
              <w:t>Al hacerlo tienen que precisar de qué información se trata, señalando el supuesto de clasificación (confidencialidad o reserva).</w:t>
            </w:r>
          </w:p>
          <w:p w:rsidR="0064332D" w:rsidRPr="004274D4" w:rsidRDefault="00F028C1">
            <w:pPr>
              <w:tabs>
                <w:tab w:val="left" w:pos="284"/>
              </w:tabs>
              <w:spacing w:line="360" w:lineRule="auto"/>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Además, se debe señalar el procedimiento, de los tres que establecen los artículos 132 y 106 de la Ley Estatal y General, respectivamente.</w:t>
            </w:r>
          </w:p>
          <w:p w:rsidR="0064332D" w:rsidRPr="004274D4" w:rsidRDefault="00F028C1">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El último de estos requisitos previos consiste en que no se pueden emitir acuerdos de carácter general ni particular, esto es, </w:t>
            </w:r>
            <w:r w:rsidRPr="004274D4">
              <w:rPr>
                <w:rFonts w:ascii="Palatino Linotype" w:eastAsia="Palatino Linotype" w:hAnsi="Palatino Linotype" w:cs="Palatino Linotype"/>
                <w:sz w:val="22"/>
                <w:szCs w:val="22"/>
                <w:u w:val="single"/>
              </w:rPr>
              <w:t>no se puede hacer un acuerdo para clasificar de manera general todos los documentos de un expediente o área, sin</w:t>
            </w:r>
            <w:r w:rsidRPr="004274D4">
              <w:rPr>
                <w:rFonts w:ascii="Palatino Linotype" w:eastAsia="Palatino Linotype" w:hAnsi="Palatino Linotype" w:cs="Palatino Linotype"/>
                <w:sz w:val="22"/>
                <w:szCs w:val="22"/>
              </w:rPr>
              <w:t xml:space="preserve"> individualizar su análisis y tampoco se puede hacer un acuerdo por cada dato que se vaya a clasificar dentro de un documento con diez datos, por ejemplo, susceptibles de ser clasificados.</w:t>
            </w:r>
          </w:p>
        </w:tc>
      </w:tr>
      <w:tr w:rsidR="0064332D" w:rsidRPr="004274D4" w:rsidTr="00643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64332D" w:rsidRPr="004274D4" w:rsidRDefault="00F028C1">
            <w:pPr>
              <w:tabs>
                <w:tab w:val="left" w:pos="284"/>
              </w:tabs>
              <w:spacing w:line="360" w:lineRule="auto"/>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lastRenderedPageBreak/>
              <w:t>b) Supuestos de clasificación.</w:t>
            </w:r>
          </w:p>
        </w:tc>
        <w:tc>
          <w:tcPr>
            <w:tcW w:w="6667" w:type="dxa"/>
          </w:tcPr>
          <w:p w:rsidR="0064332D" w:rsidRPr="004274D4" w:rsidRDefault="00F028C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Las disposiciones constitucionales y legales en la materia establecen los dos supuestos generales para clasificar la información: por reserva y por confidencialidad.</w:t>
            </w:r>
          </w:p>
          <w:p w:rsidR="0064332D" w:rsidRPr="004274D4" w:rsidRDefault="00F028C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w:t>
            </w:r>
            <w:r w:rsidRPr="004274D4">
              <w:rPr>
                <w:rFonts w:ascii="Palatino Linotype" w:eastAsia="Palatino Linotype" w:hAnsi="Palatino Linotype" w:cs="Palatino Linotype"/>
                <w:sz w:val="22"/>
                <w:szCs w:val="22"/>
              </w:rPr>
              <w:lastRenderedPageBreak/>
              <w:t>o supuestos de clasificación aduciendo analogía o mayoría de razón.</w:t>
            </w:r>
          </w:p>
          <w:p w:rsidR="0064332D" w:rsidRPr="004274D4" w:rsidRDefault="00F028C1">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El </w:t>
            </w:r>
            <w:r w:rsidRPr="004274D4">
              <w:rPr>
                <w:rFonts w:ascii="Palatino Linotype" w:eastAsia="Palatino Linotype" w:hAnsi="Palatino Linotype" w:cs="Palatino Linotype"/>
                <w:b/>
                <w:sz w:val="22"/>
                <w:szCs w:val="22"/>
              </w:rPr>
              <w:t>Sujeto Obligado</w:t>
            </w:r>
            <w:r w:rsidRPr="004274D4">
              <w:rPr>
                <w:rFonts w:ascii="Palatino Linotype" w:eastAsia="Palatino Linotype" w:hAnsi="Palatino Linotype" w:cs="Palatino Linotype"/>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4332D" w:rsidRPr="004274D4" w:rsidTr="0064332D">
        <w:tc>
          <w:tcPr>
            <w:cnfStyle w:val="001000000000" w:firstRow="0" w:lastRow="0" w:firstColumn="1" w:lastColumn="0" w:oddVBand="0" w:evenVBand="0" w:oddHBand="0" w:evenHBand="0" w:firstRowFirstColumn="0" w:firstRowLastColumn="0" w:lastRowFirstColumn="0" w:lastRowLastColumn="0"/>
            <w:tcW w:w="1838" w:type="dxa"/>
          </w:tcPr>
          <w:p w:rsidR="0064332D" w:rsidRPr="004274D4" w:rsidRDefault="00F028C1">
            <w:pPr>
              <w:tabs>
                <w:tab w:val="left" w:pos="284"/>
              </w:tabs>
              <w:spacing w:line="360" w:lineRule="auto"/>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lastRenderedPageBreak/>
              <w:t>c) Formalidades para emitir el acuerdo de clasificación.</w:t>
            </w:r>
          </w:p>
        </w:tc>
        <w:tc>
          <w:tcPr>
            <w:tcW w:w="6667" w:type="dxa"/>
          </w:tcPr>
          <w:p w:rsidR="0064332D" w:rsidRPr="004274D4" w:rsidRDefault="00F028C1">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El Comité de Transparencia, según lo dispuesto en los artículos cuenta con las facultades para aprobar, modificar o revocar la clasificación de la información que haya propuesto. </w:t>
            </w:r>
          </w:p>
          <w:p w:rsidR="0064332D" w:rsidRPr="004274D4" w:rsidRDefault="00F028C1">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Es necesario que </w:t>
            </w:r>
            <w:r w:rsidRPr="004274D4">
              <w:rPr>
                <w:rFonts w:ascii="Palatino Linotype" w:eastAsia="Palatino Linotype" w:hAnsi="Palatino Linotype" w:cs="Palatino Linotype"/>
                <w:b/>
                <w:sz w:val="22"/>
                <w:szCs w:val="22"/>
                <w:u w:val="single"/>
              </w:rPr>
              <w:t>el acto reúna con los requisitos elementales</w:t>
            </w:r>
            <w:r w:rsidRPr="004274D4">
              <w:rPr>
                <w:rFonts w:ascii="Palatino Linotype" w:eastAsia="Palatino Linotype" w:hAnsi="Palatino Linotype" w:cs="Palatino Linotype"/>
                <w:sz w:val="22"/>
                <w:szCs w:val="22"/>
              </w:rPr>
              <w:t>, entre ellos, que la autoridad que va a emitir el acto de autoridad sea la legalmente facultada para ello.</w:t>
            </w:r>
          </w:p>
          <w:p w:rsidR="0064332D" w:rsidRPr="004274D4" w:rsidRDefault="00F028C1">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4332D" w:rsidRPr="004274D4" w:rsidTr="006433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64332D" w:rsidRPr="004274D4" w:rsidRDefault="0064332D">
            <w:pPr>
              <w:tabs>
                <w:tab w:val="left" w:pos="284"/>
              </w:tabs>
              <w:spacing w:line="360" w:lineRule="auto"/>
              <w:rPr>
                <w:rFonts w:ascii="Palatino Linotype" w:eastAsia="Palatino Linotype" w:hAnsi="Palatino Linotype" w:cs="Palatino Linotype"/>
                <w:sz w:val="22"/>
                <w:szCs w:val="22"/>
              </w:rPr>
            </w:pPr>
          </w:p>
          <w:p w:rsidR="0064332D" w:rsidRPr="004274D4" w:rsidRDefault="00F028C1">
            <w:pPr>
              <w:tabs>
                <w:tab w:val="left" w:pos="284"/>
              </w:tabs>
              <w:spacing w:line="360" w:lineRule="auto"/>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d) Requisitos de fondo del acuerdo de clasificación. </w:t>
            </w:r>
          </w:p>
        </w:tc>
        <w:tc>
          <w:tcPr>
            <w:tcW w:w="6667" w:type="dxa"/>
          </w:tcPr>
          <w:p w:rsidR="0064332D" w:rsidRPr="004274D4" w:rsidRDefault="00F028C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4274D4">
              <w:rPr>
                <w:rFonts w:ascii="Palatino Linotype" w:eastAsia="Palatino Linotype" w:hAnsi="Palatino Linotype" w:cs="Palatino Linotype"/>
                <w:b/>
                <w:sz w:val="22"/>
                <w:szCs w:val="22"/>
              </w:rPr>
              <w:t>Sujetos Obligados</w:t>
            </w:r>
            <w:r w:rsidRPr="004274D4">
              <w:rPr>
                <w:rFonts w:ascii="Palatino Linotype" w:eastAsia="Palatino Linotype" w:hAnsi="Palatino Linotype" w:cs="Palatino Linotype"/>
                <w:sz w:val="22"/>
                <w:szCs w:val="22"/>
              </w:rPr>
              <w:t xml:space="preserve">, por lo que deberán fundar y motivar debidamente la clasificación. </w:t>
            </w:r>
          </w:p>
          <w:p w:rsidR="0064332D" w:rsidRPr="004274D4" w:rsidRDefault="00F028C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De lo anterior, se desprende que para una correcta </w:t>
            </w:r>
            <w:r w:rsidRPr="004274D4">
              <w:rPr>
                <w:rFonts w:ascii="Palatino Linotype" w:eastAsia="Palatino Linotype" w:hAnsi="Palatino Linotype" w:cs="Palatino Linotype"/>
                <w:b/>
                <w:sz w:val="22"/>
                <w:szCs w:val="22"/>
              </w:rPr>
              <w:t>clasificación total o parcial</w:t>
            </w:r>
            <w:r w:rsidRPr="004274D4">
              <w:rPr>
                <w:rFonts w:ascii="Palatino Linotype" w:eastAsia="Palatino Linotype" w:hAnsi="Palatino Linotype" w:cs="Palatino Linotype"/>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64332D" w:rsidRPr="004274D4" w:rsidRDefault="00F028C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64332D" w:rsidRPr="004274D4" w:rsidRDefault="00F028C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lastRenderedPageBreak/>
              <w:t>En ese mismo sentido, el numeral trigésimo tercero fracción V de los Lineamientos Generales, precisa que para motivar la clasificación se deben acreditar las circunstancias de tiempo, modo y lugar.</w:t>
            </w:r>
          </w:p>
          <w:p w:rsidR="0064332D" w:rsidRPr="004274D4" w:rsidRDefault="00F028C1">
            <w:pPr>
              <w:tabs>
                <w:tab w:val="left" w:pos="284"/>
              </w:tabs>
              <w:spacing w:line="360" w:lineRule="auto"/>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Ahora bien, </w:t>
            </w:r>
            <w:r w:rsidRPr="004274D4">
              <w:rPr>
                <w:rFonts w:ascii="Palatino Linotype" w:eastAsia="Palatino Linotype" w:hAnsi="Palatino Linotype" w:cs="Palatino Linotype"/>
                <w:b/>
                <w:sz w:val="22"/>
                <w:szCs w:val="22"/>
                <w:u w:val="single"/>
              </w:rPr>
              <w:t>para cada caso además de fundar y motivar</w:t>
            </w:r>
            <w:r w:rsidRPr="004274D4">
              <w:rPr>
                <w:rFonts w:ascii="Palatino Linotype" w:eastAsia="Palatino Linotype" w:hAnsi="Palatino Linotype" w:cs="Palatino Linotype"/>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4332D" w:rsidRPr="004274D4" w:rsidTr="0064332D">
        <w:tc>
          <w:tcPr>
            <w:cnfStyle w:val="001000000000" w:firstRow="0" w:lastRow="0" w:firstColumn="1" w:lastColumn="0" w:oddVBand="0" w:evenVBand="0" w:oddHBand="0" w:evenHBand="0" w:firstRowFirstColumn="0" w:firstRowLastColumn="0" w:lastRowFirstColumn="0" w:lastRowLastColumn="0"/>
            <w:tcW w:w="1838" w:type="dxa"/>
          </w:tcPr>
          <w:p w:rsidR="0064332D" w:rsidRPr="004274D4" w:rsidRDefault="00F028C1">
            <w:pPr>
              <w:tabs>
                <w:tab w:val="left" w:pos="284"/>
              </w:tabs>
              <w:spacing w:line="360" w:lineRule="auto"/>
              <w:ind w:right="49"/>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667" w:type="dxa"/>
          </w:tcPr>
          <w:p w:rsidR="0064332D" w:rsidRPr="004274D4" w:rsidRDefault="00F028C1">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Los artículos 148 y 120 de la Ley Estatal y de la Ley General, respectivamente, establecen que aun tratándose de datos personales, se podrán proporcionar, incluso sin solicitar el consentimiento de su titular. </w:t>
            </w:r>
          </w:p>
          <w:p w:rsidR="0064332D" w:rsidRPr="004274D4" w:rsidRDefault="00F028C1">
            <w:pPr>
              <w:tabs>
                <w:tab w:val="left" w:pos="284"/>
              </w:tabs>
              <w:spacing w:line="360" w:lineRule="auto"/>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64332D" w:rsidRPr="004274D4" w:rsidRDefault="00F028C1">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4274D4">
              <w:rPr>
                <w:rFonts w:ascii="Palatino Linotype" w:eastAsia="Palatino Linotype" w:hAnsi="Palatino Linotype" w:cs="Palatino Linotype"/>
                <w:sz w:val="22"/>
                <w:szCs w:val="22"/>
              </w:rPr>
              <w:t xml:space="preserve">Pero si la información que se pretende clasificar como confidencial no se encuentra en los supuestos de los artículos señalados y es posible, se deberá consultar al titular de los datos si </w:t>
            </w:r>
            <w:r w:rsidRPr="004274D4">
              <w:rPr>
                <w:rFonts w:ascii="Palatino Linotype" w:eastAsia="Palatino Linotype" w:hAnsi="Palatino Linotype" w:cs="Palatino Linotype"/>
                <w:sz w:val="22"/>
                <w:szCs w:val="22"/>
              </w:rPr>
              <w:lastRenderedPageBreak/>
              <w:t>permite o no el acceso. De no ser posible, la realización de la consulta, procede, fundando y motivando, la clasificación.</w:t>
            </w:r>
          </w:p>
        </w:tc>
      </w:tr>
    </w:tbl>
    <w:p w:rsidR="0064332D" w:rsidRPr="004274D4" w:rsidRDefault="0064332D">
      <w:pPr>
        <w:pBdr>
          <w:top w:val="nil"/>
          <w:left w:val="nil"/>
          <w:bottom w:val="nil"/>
          <w:right w:val="nil"/>
          <w:between w:val="nil"/>
        </w:pBdr>
        <w:tabs>
          <w:tab w:val="left" w:pos="284"/>
        </w:tabs>
        <w:rPr>
          <w:rFonts w:ascii="Palatino Linotype" w:eastAsia="Palatino Linotype" w:hAnsi="Palatino Linotype" w:cs="Palatino Linotype"/>
          <w:color w:val="000000"/>
          <w:sz w:val="22"/>
          <w:szCs w:val="22"/>
        </w:rPr>
      </w:pP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F028C1" w:rsidRPr="004274D4" w:rsidRDefault="00F028C1" w:rsidP="00F028C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028C1" w:rsidRPr="004274D4" w:rsidRDefault="00F028C1" w:rsidP="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Por otro lado, no pasa desapercibido para este Órgano Garante que dentro de la información que se ordena entregar, pueden estar contenidos datos que por su naturaleza son clasificados, </w:t>
      </w:r>
      <w:r w:rsidR="003829C5" w:rsidRPr="004274D4">
        <w:rPr>
          <w:rFonts w:ascii="Palatino Linotype" w:eastAsia="Palatino Linotype" w:hAnsi="Palatino Linotype" w:cs="Palatino Linotype"/>
          <w:color w:val="000000"/>
          <w:sz w:val="22"/>
          <w:szCs w:val="22"/>
        </w:rPr>
        <w:t>entre los que, de manera enunciativa más no limitativa, se puede advertir  el</w:t>
      </w:r>
      <w:r w:rsidRPr="004274D4">
        <w:rPr>
          <w:rFonts w:ascii="Palatino Linotype" w:eastAsia="Palatino Linotype" w:hAnsi="Palatino Linotype" w:cs="Palatino Linotype"/>
          <w:color w:val="000000"/>
          <w:sz w:val="22"/>
          <w:szCs w:val="22"/>
        </w:rPr>
        <w:t xml:space="preserve"> domicilio fiscal y RCF</w:t>
      </w:r>
      <w:r w:rsidR="003829C5" w:rsidRPr="004274D4">
        <w:rPr>
          <w:rFonts w:ascii="Palatino Linotype" w:eastAsia="Palatino Linotype" w:hAnsi="Palatino Linotype" w:cs="Palatino Linotype"/>
          <w:color w:val="000000"/>
          <w:sz w:val="22"/>
          <w:szCs w:val="22"/>
        </w:rPr>
        <w:t xml:space="preserve"> del representante legal</w:t>
      </w:r>
      <w:r w:rsidRPr="004274D4">
        <w:rPr>
          <w:rFonts w:ascii="Palatino Linotype" w:eastAsia="Palatino Linotype" w:hAnsi="Palatino Linotype" w:cs="Palatino Linotype"/>
          <w:color w:val="000000"/>
          <w:sz w:val="22"/>
          <w:szCs w:val="22"/>
        </w:rPr>
        <w:t xml:space="preserve">. </w:t>
      </w:r>
    </w:p>
    <w:p w:rsidR="00F028C1" w:rsidRPr="004274D4" w:rsidRDefault="00F028C1" w:rsidP="00F028C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028C1" w:rsidRPr="004274D4" w:rsidRDefault="00F028C1" w:rsidP="00F028C1">
      <w:pPr>
        <w:pStyle w:val="Prrafodelista"/>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b/>
          <w:color w:val="000000"/>
          <w:szCs w:val="22"/>
        </w:rPr>
      </w:pPr>
      <w:r w:rsidRPr="004274D4">
        <w:rPr>
          <w:rFonts w:ascii="Palatino Linotype" w:eastAsia="Palatino Linotype" w:hAnsi="Palatino Linotype" w:cs="Palatino Linotype"/>
          <w:b/>
          <w:color w:val="000000"/>
          <w:szCs w:val="22"/>
        </w:rPr>
        <w:t xml:space="preserve">Domicilio fiscal. </w:t>
      </w:r>
    </w:p>
    <w:p w:rsidR="00F028C1" w:rsidRPr="004274D4" w:rsidRDefault="00F028C1" w:rsidP="00F028C1">
      <w:pPr>
        <w:pStyle w:val="Prrafodelista"/>
        <w:pBdr>
          <w:top w:val="nil"/>
          <w:left w:val="nil"/>
          <w:bottom w:val="nil"/>
          <w:right w:val="nil"/>
          <w:between w:val="nil"/>
        </w:pBdr>
        <w:spacing w:line="360" w:lineRule="auto"/>
        <w:jc w:val="both"/>
        <w:rPr>
          <w:rFonts w:ascii="Palatino Linotype" w:eastAsia="Palatino Linotype" w:hAnsi="Palatino Linotype" w:cs="Palatino Linotype"/>
          <w:color w:val="000000"/>
          <w:szCs w:val="22"/>
        </w:rPr>
      </w:pPr>
    </w:p>
    <w:p w:rsidR="00F028C1" w:rsidRPr="004274D4" w:rsidRDefault="00F028C1" w:rsidP="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hAnsi="Palatino Linotype" w:cs="Tahoma"/>
          <w:sz w:val="22"/>
          <w:szCs w:val="22"/>
          <w:lang w:val="es-ES"/>
        </w:rPr>
        <w:t>De acuerdo a lo señalado en los artículos 2.17 y 2.21 del Código Civil del Estado de México, el domicilio de una persona física, es el lugar donde reside, en donde tiene el principal asiente de negocios, o en su caso, el dónde se halle; mientras, que el de personas jurídicas colectivas, es aquel donde se halle establecida su administración o ejerza sus actividades.</w:t>
      </w:r>
    </w:p>
    <w:p w:rsidR="00F028C1" w:rsidRPr="004274D4" w:rsidRDefault="00F028C1" w:rsidP="00F028C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F028C1" w:rsidRPr="004274D4" w:rsidRDefault="00F028C1" w:rsidP="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hAnsi="Palatino Linotype" w:cs="Tahoma"/>
          <w:sz w:val="22"/>
          <w:szCs w:val="22"/>
          <w:lang w:val="es-ES"/>
        </w:rPr>
        <w:t>De la misma manera, lo establece los diversos 29 y 33 del Código Civil Federal, al precisar que el domicilio de personas físicas</w:t>
      </w:r>
      <w:r w:rsidRPr="004274D4">
        <w:rPr>
          <w:rFonts w:ascii="Palatino Linotype" w:hAnsi="Palatino Linotype" w:cs="Tahoma"/>
          <w:b/>
          <w:sz w:val="22"/>
          <w:szCs w:val="22"/>
          <w:lang w:val="es-ES"/>
        </w:rPr>
        <w:t xml:space="preserve">, es el lugar donde residen habitualmente, el </w:t>
      </w:r>
      <w:r w:rsidRPr="004274D4">
        <w:rPr>
          <w:rFonts w:ascii="Palatino Linotype" w:hAnsi="Palatino Linotype" w:cs="Tahoma"/>
          <w:b/>
          <w:sz w:val="22"/>
          <w:szCs w:val="22"/>
          <w:lang w:val="es-ES"/>
        </w:rPr>
        <w:lastRenderedPageBreak/>
        <w:t xml:space="preserve">lugar del centro principal de sus negocios, donde residan o el lugar donde se encuentren; </w:t>
      </w:r>
      <w:r w:rsidRPr="004274D4">
        <w:rPr>
          <w:rFonts w:ascii="Palatino Linotype" w:hAnsi="Palatino Linotype" w:cs="Tahoma"/>
          <w:sz w:val="22"/>
          <w:szCs w:val="22"/>
          <w:lang w:val="es-ES"/>
        </w:rPr>
        <w:t>mientras que, de las personas morales, aquel donde se halle su administración.</w:t>
      </w:r>
    </w:p>
    <w:p w:rsidR="00F028C1" w:rsidRPr="004274D4" w:rsidRDefault="00F028C1" w:rsidP="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Calibri" w:hAnsi="Palatino Linotype" w:cs="Tahoma"/>
          <w:bCs/>
          <w:iCs/>
          <w:sz w:val="22"/>
          <w:szCs w:val="22"/>
          <w:lang w:val="es-ES"/>
        </w:rPr>
        <w:t>Además, respecto al domicilio fiscal, resulta necesario traer el artículo 10 del Código Fiscal de la Federación, que establece que, tratándose de personas físicas, corresponderá dicho dato:</w:t>
      </w:r>
    </w:p>
    <w:p w:rsidR="00F028C1" w:rsidRPr="004274D4" w:rsidRDefault="00F028C1" w:rsidP="00F028C1">
      <w:pPr>
        <w:shd w:val="clear" w:color="auto" w:fill="FFFFFF" w:themeFill="background1"/>
        <w:spacing w:line="360" w:lineRule="auto"/>
        <w:jc w:val="both"/>
        <w:rPr>
          <w:rFonts w:ascii="Palatino Linotype" w:eastAsia="Calibri" w:hAnsi="Palatino Linotype" w:cs="Tahoma"/>
          <w:bCs/>
          <w:iCs/>
          <w:sz w:val="22"/>
          <w:szCs w:val="22"/>
          <w:lang w:val="es-ES"/>
        </w:rPr>
      </w:pPr>
    </w:p>
    <w:p w:rsidR="00F028C1" w:rsidRPr="004274D4" w:rsidRDefault="00F028C1" w:rsidP="00F028C1">
      <w:pPr>
        <w:pStyle w:val="Prrafodelista"/>
        <w:numPr>
          <w:ilvl w:val="0"/>
          <w:numId w:val="6"/>
        </w:numPr>
        <w:shd w:val="clear" w:color="auto" w:fill="FFFFFF" w:themeFill="background1"/>
        <w:spacing w:line="360" w:lineRule="auto"/>
        <w:jc w:val="both"/>
        <w:rPr>
          <w:rFonts w:ascii="Palatino Linotype" w:eastAsia="Calibri" w:hAnsi="Palatino Linotype" w:cs="Tahoma"/>
          <w:bCs/>
          <w:iCs/>
          <w:szCs w:val="22"/>
        </w:rPr>
      </w:pPr>
      <w:r w:rsidRPr="004274D4">
        <w:rPr>
          <w:rFonts w:ascii="Palatino Linotype" w:eastAsia="Calibri" w:hAnsi="Palatino Linotype" w:cs="Tahoma"/>
          <w:bCs/>
          <w:iCs/>
          <w:szCs w:val="22"/>
        </w:rPr>
        <w:t>El lugar donde realizan actividades empresariales, el local, en que se encuentre el principal asiente de sus negocios, y</w:t>
      </w:r>
    </w:p>
    <w:p w:rsidR="00F028C1" w:rsidRPr="004274D4" w:rsidRDefault="00F028C1" w:rsidP="00F028C1">
      <w:pPr>
        <w:pStyle w:val="Prrafodelista"/>
        <w:numPr>
          <w:ilvl w:val="0"/>
          <w:numId w:val="6"/>
        </w:numPr>
        <w:shd w:val="clear" w:color="auto" w:fill="FFFFFF" w:themeFill="background1"/>
        <w:spacing w:line="360" w:lineRule="auto"/>
        <w:jc w:val="both"/>
        <w:rPr>
          <w:rFonts w:ascii="Palatino Linotype" w:eastAsia="Calibri" w:hAnsi="Palatino Linotype" w:cs="Tahoma"/>
          <w:bCs/>
          <w:iCs/>
          <w:szCs w:val="22"/>
        </w:rPr>
      </w:pPr>
      <w:r w:rsidRPr="004274D4">
        <w:rPr>
          <w:rFonts w:ascii="Palatino Linotype" w:eastAsia="Calibri" w:hAnsi="Palatino Linotype" w:cs="Tahoma"/>
          <w:bCs/>
          <w:iCs/>
          <w:szCs w:val="22"/>
        </w:rPr>
        <w:t>La casa habitación, cuando no cuenta con un local o lugar donde realice las acciones previamente señaladas.</w:t>
      </w:r>
    </w:p>
    <w:p w:rsidR="00F028C1" w:rsidRPr="004274D4" w:rsidRDefault="00F028C1" w:rsidP="00F028C1">
      <w:pPr>
        <w:pStyle w:val="Prrafodelista"/>
        <w:shd w:val="clear" w:color="auto" w:fill="FFFFFF" w:themeFill="background1"/>
        <w:spacing w:line="360" w:lineRule="auto"/>
        <w:jc w:val="both"/>
        <w:rPr>
          <w:rFonts w:ascii="Palatino Linotype" w:eastAsia="Calibri" w:hAnsi="Palatino Linotype" w:cs="Tahoma"/>
          <w:bCs/>
          <w:iCs/>
          <w:szCs w:val="22"/>
        </w:rPr>
      </w:pPr>
    </w:p>
    <w:p w:rsidR="00F028C1" w:rsidRPr="004274D4" w:rsidRDefault="00F028C1" w:rsidP="00F028C1">
      <w:pPr>
        <w:pStyle w:val="Prrafodelista"/>
        <w:numPr>
          <w:ilvl w:val="0"/>
          <w:numId w:val="3"/>
        </w:numPr>
        <w:shd w:val="clear" w:color="auto" w:fill="FFFFFF" w:themeFill="background1"/>
        <w:spacing w:line="360" w:lineRule="auto"/>
        <w:ind w:left="0" w:firstLine="0"/>
        <w:jc w:val="both"/>
        <w:rPr>
          <w:rFonts w:ascii="Palatino Linotype" w:eastAsia="Calibri" w:hAnsi="Palatino Linotype" w:cs="Tahoma"/>
          <w:bCs/>
          <w:iCs/>
          <w:szCs w:val="22"/>
          <w:lang w:val="es-ES"/>
        </w:rPr>
      </w:pPr>
      <w:r w:rsidRPr="004274D4">
        <w:rPr>
          <w:rFonts w:ascii="Palatino Linotype" w:eastAsia="Calibri" w:hAnsi="Palatino Linotype" w:cs="Tahoma"/>
          <w:bCs/>
          <w:iCs/>
          <w:szCs w:val="22"/>
          <w:lang w:val="es-ES"/>
        </w:rPr>
        <w:t>Mientras, que, en el caso de personas morales, el domicilio fiscal, corresponderá al local donde se encuentra la administración principal del negocio.</w:t>
      </w:r>
    </w:p>
    <w:p w:rsidR="00F028C1" w:rsidRPr="004274D4" w:rsidRDefault="00F028C1" w:rsidP="00F028C1">
      <w:pPr>
        <w:pStyle w:val="Prrafodelista"/>
        <w:shd w:val="clear" w:color="auto" w:fill="FFFFFF" w:themeFill="background1"/>
        <w:spacing w:line="360" w:lineRule="auto"/>
        <w:ind w:left="0"/>
        <w:jc w:val="both"/>
        <w:rPr>
          <w:rFonts w:ascii="Palatino Linotype" w:eastAsia="Calibri" w:hAnsi="Palatino Linotype" w:cs="Tahoma"/>
          <w:bCs/>
          <w:iCs/>
          <w:szCs w:val="22"/>
          <w:lang w:val="es-ES"/>
        </w:rPr>
      </w:pPr>
    </w:p>
    <w:p w:rsidR="00F028C1" w:rsidRPr="004274D4" w:rsidRDefault="00F028C1" w:rsidP="00F028C1">
      <w:pPr>
        <w:pStyle w:val="Prrafodelista"/>
        <w:numPr>
          <w:ilvl w:val="0"/>
          <w:numId w:val="3"/>
        </w:numPr>
        <w:shd w:val="clear" w:color="auto" w:fill="FFFFFF" w:themeFill="background1"/>
        <w:spacing w:line="360" w:lineRule="auto"/>
        <w:ind w:left="0" w:firstLine="0"/>
        <w:jc w:val="both"/>
        <w:rPr>
          <w:rFonts w:ascii="Palatino Linotype" w:eastAsia="Calibri" w:hAnsi="Palatino Linotype" w:cs="Tahoma"/>
          <w:bCs/>
          <w:iCs/>
          <w:szCs w:val="22"/>
          <w:lang w:val="es-ES"/>
        </w:rPr>
      </w:pPr>
      <w:r w:rsidRPr="004274D4">
        <w:rPr>
          <w:rFonts w:ascii="Palatino Linotype" w:eastAsia="Calibri" w:hAnsi="Palatino Linotype" w:cs="Tahoma"/>
          <w:bCs/>
          <w:iCs/>
          <w:szCs w:val="22"/>
          <w:lang w:val="es-ES"/>
        </w:rPr>
        <w:t>Como se logra observar, el domicilio fiscal de los proveedores personas físicas, se encuentra en dos supuestos, por lo que, se procede a su análisis.</w:t>
      </w:r>
    </w:p>
    <w:p w:rsidR="00F028C1" w:rsidRPr="004274D4" w:rsidRDefault="00F028C1" w:rsidP="00F028C1">
      <w:pPr>
        <w:pStyle w:val="Prrafodelista"/>
        <w:rPr>
          <w:rFonts w:ascii="Palatino Linotype" w:hAnsi="Palatino Linotype" w:cs="Tahoma"/>
          <w:szCs w:val="22"/>
          <w:lang w:val="es-ES"/>
        </w:rPr>
      </w:pPr>
    </w:p>
    <w:p w:rsidR="00F028C1" w:rsidRPr="004274D4" w:rsidRDefault="00F028C1" w:rsidP="00F028C1">
      <w:pPr>
        <w:pStyle w:val="Prrafodelista"/>
        <w:numPr>
          <w:ilvl w:val="0"/>
          <w:numId w:val="3"/>
        </w:numPr>
        <w:shd w:val="clear" w:color="auto" w:fill="FFFFFF" w:themeFill="background1"/>
        <w:spacing w:line="360" w:lineRule="auto"/>
        <w:ind w:left="0" w:firstLine="0"/>
        <w:jc w:val="both"/>
        <w:rPr>
          <w:rFonts w:ascii="Palatino Linotype" w:eastAsia="Calibri" w:hAnsi="Palatino Linotype" w:cs="Tahoma"/>
          <w:bCs/>
          <w:iCs/>
          <w:szCs w:val="22"/>
          <w:lang w:val="es-ES"/>
        </w:rPr>
      </w:pPr>
      <w:r w:rsidRPr="004274D4">
        <w:rPr>
          <w:rFonts w:ascii="Palatino Linotype" w:hAnsi="Palatino Linotype" w:cs="Tahoma"/>
          <w:szCs w:val="22"/>
          <w:lang w:val="es-ES"/>
        </w:rPr>
        <w:t xml:space="preserve">Si bien es cierto que el primero, corresponde al lugar en donde reside habitualmente una persona en comento y, permite hacerlo identificable y ubicable, propiciando que pueda ser molestado en su casa, de este modo, los datos que permiten a cualquier individuo con esfuerzos mínimos identificar el lugar de residencia constituye un dato personal y, por ende, susceptible de clasificarse como confidencial, ya que incide directamente en la vida priva del individuo identificado, no debe dejarse de lado que, aquellas personas que deciden tener </w:t>
      </w:r>
      <w:r w:rsidRPr="004274D4">
        <w:rPr>
          <w:rFonts w:ascii="Palatino Linotype" w:hAnsi="Palatino Linotype" w:cs="Tahoma"/>
          <w:szCs w:val="22"/>
          <w:lang w:val="es-ES"/>
        </w:rPr>
        <w:lastRenderedPageBreak/>
        <w:t>relaciones comerciales con las instituciones públicas, tienen una expectativa de privacidad menor, respecto del resto de las personas, en razón de obtener el beneficio de vender sus productos o servicios y recibir por ellos dinero del erario, situación que debe ser transparentada.</w:t>
      </w:r>
    </w:p>
    <w:p w:rsidR="00F028C1" w:rsidRPr="004274D4" w:rsidRDefault="00F028C1" w:rsidP="00F028C1">
      <w:pPr>
        <w:pStyle w:val="Prrafodelista"/>
        <w:rPr>
          <w:rFonts w:ascii="Palatino Linotype" w:eastAsia="Calibri" w:hAnsi="Palatino Linotype" w:cs="Tahoma"/>
          <w:bCs/>
          <w:iCs/>
          <w:szCs w:val="22"/>
          <w:lang w:val="es-ES"/>
        </w:rPr>
      </w:pPr>
    </w:p>
    <w:p w:rsidR="00F028C1" w:rsidRPr="004274D4" w:rsidRDefault="00F028C1" w:rsidP="00F028C1">
      <w:pPr>
        <w:pStyle w:val="Prrafodelista"/>
        <w:numPr>
          <w:ilvl w:val="0"/>
          <w:numId w:val="3"/>
        </w:numPr>
        <w:shd w:val="clear" w:color="auto" w:fill="FFFFFF" w:themeFill="background1"/>
        <w:spacing w:line="360" w:lineRule="auto"/>
        <w:ind w:left="0" w:firstLine="0"/>
        <w:jc w:val="both"/>
        <w:rPr>
          <w:rFonts w:ascii="Palatino Linotype" w:eastAsia="Calibri" w:hAnsi="Palatino Linotype" w:cs="Tahoma"/>
          <w:bCs/>
          <w:iCs/>
          <w:szCs w:val="22"/>
          <w:lang w:val="es-ES"/>
        </w:rPr>
      </w:pPr>
      <w:r w:rsidRPr="004274D4">
        <w:rPr>
          <w:rFonts w:ascii="Palatino Linotype" w:eastAsia="Calibri" w:hAnsi="Palatino Linotype" w:cs="Tahoma"/>
          <w:bCs/>
          <w:iCs/>
          <w:szCs w:val="22"/>
          <w:lang w:val="es-ES"/>
        </w:rPr>
        <w:t xml:space="preserve">Ahora bien, en el caso de que el domicilio corresponda al lugar donde realiza sus actividades empresariales, como es el caso de las personas morales, se considera necesario traer a colación, </w:t>
      </w:r>
      <w:r w:rsidRPr="004274D4">
        <w:rPr>
          <w:rFonts w:ascii="Palatino Linotype" w:eastAsia="Calibri" w:hAnsi="Palatino Linotype" w:cs="Tahoma"/>
          <w:bCs/>
          <w:szCs w:val="22"/>
        </w:rPr>
        <w:t>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w:t>
      </w:r>
    </w:p>
    <w:p w:rsidR="00F028C1" w:rsidRPr="004274D4" w:rsidRDefault="00F028C1" w:rsidP="00F028C1">
      <w:pPr>
        <w:spacing w:line="360" w:lineRule="auto"/>
        <w:jc w:val="both"/>
        <w:rPr>
          <w:rFonts w:ascii="Palatino Linotype" w:eastAsia="Calibri" w:hAnsi="Palatino Linotype" w:cs="Tahoma"/>
          <w:bCs/>
          <w:sz w:val="22"/>
          <w:szCs w:val="22"/>
        </w:rPr>
      </w:pPr>
    </w:p>
    <w:p w:rsidR="00F028C1" w:rsidRPr="004274D4" w:rsidRDefault="00F028C1" w:rsidP="00F028C1">
      <w:pPr>
        <w:shd w:val="clear" w:color="auto" w:fill="FFFFFF" w:themeFill="background1"/>
        <w:spacing w:line="360" w:lineRule="auto"/>
        <w:jc w:val="center"/>
        <w:rPr>
          <w:rFonts w:ascii="Palatino Linotype" w:eastAsia="Calibri" w:hAnsi="Palatino Linotype" w:cs="Tahoma"/>
          <w:b/>
          <w:bCs/>
          <w:iCs/>
          <w:sz w:val="22"/>
          <w:szCs w:val="22"/>
          <w:lang w:val="es-ES"/>
        </w:rPr>
      </w:pPr>
      <w:r w:rsidRPr="004274D4">
        <w:rPr>
          <w:noProof/>
          <w:sz w:val="22"/>
          <w:szCs w:val="22"/>
          <w:lang w:eastAsia="es-MX"/>
        </w:rPr>
        <w:drawing>
          <wp:inline distT="0" distB="0" distL="0" distR="0" wp14:anchorId="6E5DFD91" wp14:editId="26D59AAA">
            <wp:extent cx="4680000" cy="625042"/>
            <wp:effectExtent l="0" t="0" r="6350" b="3810"/>
            <wp:docPr id="29" name="Imagen 2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Diagrama&#10;&#10;Descripción generada automáticamente"/>
                    <pic:cNvPicPr/>
                  </pic:nvPicPr>
                  <pic:blipFill rotWithShape="1">
                    <a:blip r:embed="rId10"/>
                    <a:srcRect b="18367"/>
                    <a:stretch/>
                  </pic:blipFill>
                  <pic:spPr bwMode="auto">
                    <a:xfrm>
                      <a:off x="0" y="0"/>
                      <a:ext cx="4680000" cy="625042"/>
                    </a:xfrm>
                    <a:prstGeom prst="rect">
                      <a:avLst/>
                    </a:prstGeom>
                    <a:ln>
                      <a:noFill/>
                    </a:ln>
                    <a:extLst>
                      <a:ext uri="{53640926-AAD7-44D8-BBD7-CCE9431645EC}">
                        <a14:shadowObscured xmlns:a14="http://schemas.microsoft.com/office/drawing/2010/main"/>
                      </a:ext>
                    </a:extLst>
                  </pic:spPr>
                </pic:pic>
              </a:graphicData>
            </a:graphic>
          </wp:inline>
        </w:drawing>
      </w:r>
    </w:p>
    <w:p w:rsidR="00F028C1" w:rsidRPr="004274D4" w:rsidRDefault="00F028C1" w:rsidP="00F028C1">
      <w:pPr>
        <w:shd w:val="clear" w:color="auto" w:fill="FFFFFF" w:themeFill="background1"/>
        <w:spacing w:line="360" w:lineRule="auto"/>
        <w:jc w:val="center"/>
        <w:rPr>
          <w:rFonts w:ascii="Palatino Linotype" w:eastAsia="Calibri" w:hAnsi="Palatino Linotype" w:cs="Tahoma"/>
          <w:b/>
          <w:bCs/>
          <w:iCs/>
          <w:sz w:val="22"/>
          <w:szCs w:val="22"/>
          <w:lang w:val="es-ES"/>
        </w:rPr>
      </w:pPr>
      <w:r w:rsidRPr="004274D4">
        <w:rPr>
          <w:noProof/>
          <w:sz w:val="22"/>
          <w:szCs w:val="22"/>
          <w:lang w:eastAsia="es-MX"/>
        </w:rPr>
        <w:lastRenderedPageBreak/>
        <mc:AlternateContent>
          <mc:Choice Requires="wps">
            <w:drawing>
              <wp:anchor distT="0" distB="0" distL="114300" distR="114300" simplePos="0" relativeHeight="251659264" behindDoc="0" locked="0" layoutInCell="1" allowOverlap="1" wp14:anchorId="6B9B3051" wp14:editId="3B9974FC">
                <wp:simplePos x="0" y="0"/>
                <wp:positionH relativeFrom="column">
                  <wp:posOffset>587375</wp:posOffset>
                </wp:positionH>
                <wp:positionV relativeFrom="paragraph">
                  <wp:posOffset>1589405</wp:posOffset>
                </wp:positionV>
                <wp:extent cx="4707172" cy="1193855"/>
                <wp:effectExtent l="19050" t="19050" r="17780" b="25400"/>
                <wp:wrapNone/>
                <wp:docPr id="17" name="Rectángulo 17"/>
                <wp:cNvGraphicFramePr/>
                <a:graphic xmlns:a="http://schemas.openxmlformats.org/drawingml/2006/main">
                  <a:graphicData uri="http://schemas.microsoft.com/office/word/2010/wordprocessingShape">
                    <wps:wsp>
                      <wps:cNvSpPr/>
                      <wps:spPr>
                        <a:xfrm>
                          <a:off x="0" y="0"/>
                          <a:ext cx="4707172" cy="119385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523CB" id="Rectángulo 17" o:spid="_x0000_s1026" style="position:absolute;margin-left:46.25pt;margin-top:125.15pt;width:370.6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" filled="f" strokecolor="red" strokeweight="3pt"/>
            </w:pict>
          </mc:Fallback>
        </mc:AlternateContent>
      </w:r>
      <w:r w:rsidRPr="004274D4">
        <w:rPr>
          <w:noProof/>
          <w:sz w:val="22"/>
          <w:szCs w:val="22"/>
          <w:lang w:eastAsia="es-MX"/>
        </w:rPr>
        <w:drawing>
          <wp:inline distT="0" distB="0" distL="0" distR="0" wp14:anchorId="0929AE35" wp14:editId="1F0CE5BF">
            <wp:extent cx="4678586" cy="2822713"/>
            <wp:effectExtent l="0" t="0" r="825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 b="-499"/>
                    <a:stretch/>
                  </pic:blipFill>
                  <pic:spPr bwMode="auto">
                    <a:xfrm>
                      <a:off x="0" y="0"/>
                      <a:ext cx="4680000" cy="2823566"/>
                    </a:xfrm>
                    <a:prstGeom prst="rect">
                      <a:avLst/>
                    </a:prstGeom>
                    <a:ln>
                      <a:noFill/>
                    </a:ln>
                    <a:extLst>
                      <a:ext uri="{53640926-AAD7-44D8-BBD7-CCE9431645EC}">
                        <a14:shadowObscured xmlns:a14="http://schemas.microsoft.com/office/drawing/2010/main"/>
                      </a:ext>
                    </a:extLst>
                  </pic:spPr>
                </pic:pic>
              </a:graphicData>
            </a:graphic>
          </wp:inline>
        </w:drawing>
      </w:r>
    </w:p>
    <w:p w:rsidR="00F028C1" w:rsidRPr="004274D4" w:rsidRDefault="00F028C1" w:rsidP="00F028C1">
      <w:pPr>
        <w:shd w:val="clear" w:color="auto" w:fill="FFFFFF" w:themeFill="background1"/>
        <w:spacing w:line="360" w:lineRule="auto"/>
        <w:jc w:val="both"/>
        <w:rPr>
          <w:rFonts w:ascii="Palatino Linotype" w:eastAsia="Calibri" w:hAnsi="Palatino Linotype" w:cs="Tahoma"/>
          <w:bCs/>
          <w:iCs/>
          <w:sz w:val="22"/>
          <w:szCs w:val="22"/>
          <w:lang w:val="es-ES"/>
        </w:rPr>
      </w:pPr>
    </w:p>
    <w:p w:rsidR="00F028C1" w:rsidRPr="004274D4" w:rsidRDefault="00F028C1" w:rsidP="00F028C1">
      <w:pPr>
        <w:pStyle w:val="Prrafodelista"/>
        <w:numPr>
          <w:ilvl w:val="0"/>
          <w:numId w:val="3"/>
        </w:numPr>
        <w:shd w:val="clear" w:color="auto" w:fill="FFFFFF" w:themeFill="background1"/>
        <w:spacing w:line="360" w:lineRule="auto"/>
        <w:ind w:left="0" w:firstLine="0"/>
        <w:jc w:val="both"/>
        <w:rPr>
          <w:rFonts w:ascii="Palatino Linotype" w:eastAsia="Calibri" w:hAnsi="Palatino Linotype" w:cs="Tahoma"/>
          <w:bCs/>
          <w:iCs/>
          <w:szCs w:val="22"/>
          <w:lang w:val="es-ES"/>
        </w:rPr>
      </w:pPr>
      <w:r w:rsidRPr="004274D4">
        <w:rPr>
          <w:rFonts w:ascii="Palatino Linotype" w:eastAsia="Calibri" w:hAnsi="Palatino Linotype" w:cs="Tahoma"/>
          <w:bCs/>
          <w:iCs/>
          <w:szCs w:val="22"/>
          <w:lang w:val="es-ES"/>
        </w:rPr>
        <w:t>Como se logra observar, es obligación de transparencia proporcionar el domicilio fiscal de los proveedores, por lo que, se considera que, en el caso, de que dicho dato, corresponda a un local o lugar donde realice sus actividades empresariales, se debe entregar.</w:t>
      </w:r>
    </w:p>
    <w:p w:rsidR="00F028C1" w:rsidRPr="004274D4" w:rsidRDefault="00F028C1" w:rsidP="00F028C1">
      <w:pPr>
        <w:pStyle w:val="Prrafodelista"/>
        <w:shd w:val="clear" w:color="auto" w:fill="FFFFFF" w:themeFill="background1"/>
        <w:spacing w:line="360" w:lineRule="auto"/>
        <w:ind w:left="0"/>
        <w:jc w:val="both"/>
        <w:rPr>
          <w:rFonts w:ascii="Palatino Linotype" w:eastAsia="Calibri" w:hAnsi="Palatino Linotype" w:cs="Tahoma"/>
          <w:bCs/>
          <w:iCs/>
          <w:szCs w:val="22"/>
          <w:lang w:val="es-ES"/>
        </w:rPr>
      </w:pPr>
    </w:p>
    <w:p w:rsidR="00F028C1" w:rsidRPr="004274D4" w:rsidRDefault="00F028C1" w:rsidP="00F028C1">
      <w:pPr>
        <w:pStyle w:val="Prrafodelista"/>
        <w:numPr>
          <w:ilvl w:val="0"/>
          <w:numId w:val="3"/>
        </w:numPr>
        <w:shd w:val="clear" w:color="auto" w:fill="FFFFFF" w:themeFill="background1"/>
        <w:spacing w:line="360" w:lineRule="auto"/>
        <w:ind w:left="0" w:firstLine="0"/>
        <w:jc w:val="both"/>
        <w:rPr>
          <w:rFonts w:ascii="Palatino Linotype" w:eastAsia="Calibri" w:hAnsi="Palatino Linotype" w:cs="Tahoma"/>
          <w:bCs/>
          <w:iCs/>
          <w:szCs w:val="22"/>
          <w:lang w:val="es-ES"/>
        </w:rPr>
      </w:pPr>
      <w:r w:rsidRPr="004274D4">
        <w:rPr>
          <w:rFonts w:ascii="Palatino Linotype" w:eastAsia="Calibri" w:hAnsi="Palatino Linotype" w:cs="Tahoma"/>
          <w:bCs/>
          <w:iCs/>
          <w:szCs w:val="22"/>
          <w:lang w:val="es-ES"/>
        </w:rPr>
        <w:t>De tal suerte que, tratándose de proveedores (personas físicas o jurídico-colectivas), el domicilio fiscal, no es susceptible de clasificarse como confidencial, es decir, no se actualiza lo establecido en el artículo 143, fracción I de la Ley de Transparencia y Acceso a la Información Pública del Estado de México y Municipios.</w:t>
      </w:r>
    </w:p>
    <w:p w:rsidR="00F028C1" w:rsidRPr="004274D4" w:rsidRDefault="00F028C1" w:rsidP="003829C5">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3829C5" w:rsidRPr="004274D4" w:rsidRDefault="003829C5" w:rsidP="003829C5">
      <w:pPr>
        <w:pStyle w:val="Prrafodelista"/>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b/>
          <w:color w:val="000000"/>
          <w:szCs w:val="22"/>
        </w:rPr>
      </w:pPr>
      <w:r w:rsidRPr="004274D4">
        <w:rPr>
          <w:rFonts w:ascii="Palatino Linotype" w:eastAsia="Palatino Linotype" w:hAnsi="Palatino Linotype" w:cs="Palatino Linotype"/>
          <w:b/>
          <w:color w:val="000000"/>
          <w:szCs w:val="22"/>
        </w:rPr>
        <w:t>Del RFC de personas físicas</w:t>
      </w:r>
    </w:p>
    <w:p w:rsidR="003829C5" w:rsidRPr="004274D4" w:rsidRDefault="003829C5" w:rsidP="003829C5">
      <w:pPr>
        <w:pStyle w:val="Prrafodelista"/>
        <w:pBdr>
          <w:top w:val="nil"/>
          <w:left w:val="nil"/>
          <w:bottom w:val="nil"/>
          <w:right w:val="nil"/>
          <w:between w:val="nil"/>
        </w:pBdr>
        <w:spacing w:line="360" w:lineRule="auto"/>
        <w:jc w:val="both"/>
        <w:rPr>
          <w:rFonts w:ascii="Palatino Linotype" w:eastAsia="Palatino Linotype" w:hAnsi="Palatino Linotype" w:cs="Palatino Linotype"/>
          <w:b/>
          <w:color w:val="000000"/>
          <w:szCs w:val="22"/>
        </w:rPr>
      </w:pPr>
    </w:p>
    <w:p w:rsidR="003829C5" w:rsidRPr="004274D4" w:rsidRDefault="003829C5" w:rsidP="003829C5">
      <w:pPr>
        <w:pStyle w:val="Prrafodelista"/>
        <w:numPr>
          <w:ilvl w:val="0"/>
          <w:numId w:val="3"/>
        </w:numPr>
        <w:spacing w:before="240" w:after="240" w:line="360" w:lineRule="auto"/>
        <w:ind w:left="0" w:firstLine="0"/>
        <w:jc w:val="both"/>
        <w:rPr>
          <w:rFonts w:ascii="Palatino Linotype" w:eastAsia="Palatino Linotype" w:hAnsi="Palatino Linotype" w:cs="Palatino Linotype"/>
        </w:rPr>
      </w:pPr>
      <w:r w:rsidRPr="004274D4">
        <w:rPr>
          <w:rFonts w:ascii="Palatino Linotype" w:eastAsia="Palatino Linotype" w:hAnsi="Palatino Linotype" w:cs="Palatino Linotype"/>
        </w:rPr>
        <w:lastRenderedPageBreak/>
        <w:t xml:space="preserve">Por cuanto hace al Registro Federal de Contribuyentes de las personas físicas, constituye un dato personal, pues se genera con caracteres alfanuméricos a partir del nombre y la fecha de nacimiento de cada persona, y finalmente la </w:t>
      </w:r>
      <w:proofErr w:type="spellStart"/>
      <w:r w:rsidRPr="004274D4">
        <w:rPr>
          <w:rFonts w:ascii="Palatino Linotype" w:eastAsia="Palatino Linotype" w:hAnsi="Palatino Linotype" w:cs="Palatino Linotype"/>
        </w:rPr>
        <w:t>homoclave</w:t>
      </w:r>
      <w:proofErr w:type="spellEnd"/>
      <w:r w:rsidRPr="004274D4">
        <w:rPr>
          <w:rFonts w:ascii="Palatino Linotype" w:eastAsia="Palatino Linotype" w:hAnsi="Palatino Linotype" w:cs="Palatino Linotype"/>
        </w:rPr>
        <w:t>, por lo que para su obtención es necesario acreditar ante la autoridad fiscal previamente la identidad de la persona, su fecha de nacimiento, entre otros aspectos.</w:t>
      </w:r>
    </w:p>
    <w:p w:rsidR="003829C5" w:rsidRPr="004274D4" w:rsidRDefault="003829C5" w:rsidP="003829C5">
      <w:pPr>
        <w:pStyle w:val="Prrafodelista"/>
        <w:spacing w:before="240" w:after="240" w:line="360" w:lineRule="auto"/>
        <w:ind w:left="0"/>
        <w:jc w:val="both"/>
        <w:rPr>
          <w:rFonts w:ascii="Palatino Linotype" w:eastAsia="Palatino Linotype" w:hAnsi="Palatino Linotype" w:cs="Palatino Linotype"/>
        </w:rPr>
      </w:pPr>
    </w:p>
    <w:p w:rsidR="003829C5" w:rsidRPr="004274D4" w:rsidRDefault="003829C5" w:rsidP="003829C5">
      <w:pPr>
        <w:pStyle w:val="Prrafodelista"/>
        <w:numPr>
          <w:ilvl w:val="0"/>
          <w:numId w:val="3"/>
        </w:numPr>
        <w:spacing w:before="240" w:after="240" w:line="360" w:lineRule="auto"/>
        <w:ind w:left="0" w:firstLine="0"/>
        <w:jc w:val="both"/>
        <w:rPr>
          <w:rFonts w:ascii="Palatino Linotype" w:eastAsia="Palatino Linotype" w:hAnsi="Palatino Linotype" w:cs="Palatino Linotype"/>
        </w:rPr>
      </w:pPr>
      <w:r w:rsidRPr="004274D4">
        <w:rPr>
          <w:rFonts w:ascii="Palatino Linotype" w:eastAsia="Palatino Linotype" w:hAnsi="Palatino Linotype" w:cs="Palatino Linotype"/>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rsidR="003829C5" w:rsidRPr="004274D4" w:rsidRDefault="003829C5" w:rsidP="003829C5">
      <w:pPr>
        <w:pStyle w:val="Prrafodelista"/>
        <w:rPr>
          <w:rFonts w:ascii="Palatino Linotype" w:eastAsia="Palatino Linotype" w:hAnsi="Palatino Linotype" w:cs="Palatino Linotype"/>
        </w:rPr>
      </w:pPr>
    </w:p>
    <w:p w:rsidR="003829C5" w:rsidRPr="004274D4" w:rsidRDefault="003829C5" w:rsidP="003829C5">
      <w:pPr>
        <w:pStyle w:val="Prrafodelista"/>
        <w:spacing w:before="240" w:after="240" w:line="360" w:lineRule="auto"/>
        <w:ind w:left="0"/>
        <w:jc w:val="both"/>
        <w:rPr>
          <w:rFonts w:ascii="Palatino Linotype" w:eastAsia="Palatino Linotype" w:hAnsi="Palatino Linotype" w:cs="Palatino Linotype"/>
        </w:rPr>
      </w:pPr>
    </w:p>
    <w:p w:rsidR="003829C5" w:rsidRPr="004274D4" w:rsidRDefault="003829C5" w:rsidP="003829C5">
      <w:pPr>
        <w:pStyle w:val="Prrafodelista"/>
        <w:numPr>
          <w:ilvl w:val="0"/>
          <w:numId w:val="3"/>
        </w:numPr>
        <w:spacing w:before="240" w:after="240" w:line="360" w:lineRule="auto"/>
        <w:ind w:left="0" w:firstLine="0"/>
        <w:jc w:val="both"/>
        <w:rPr>
          <w:rFonts w:ascii="Palatino Linotype" w:eastAsia="Palatino Linotype" w:hAnsi="Palatino Linotype" w:cs="Palatino Linotype"/>
        </w:rPr>
      </w:pPr>
      <w:r w:rsidRPr="004274D4">
        <w:rPr>
          <w:rFonts w:ascii="Palatino Linotype" w:eastAsia="Palatino Linotype" w:hAnsi="Palatino Linotype" w:cs="Palatino Linotype"/>
        </w:rPr>
        <w:t>Lo anterior es compartido por el Instituto Nacional de Transparencia, Acceso a la Información y Protección de Datos Personales, INAI, a través del Criterio 19/17, el cual es del tenor literal siguiente:</w:t>
      </w:r>
    </w:p>
    <w:p w:rsidR="003829C5" w:rsidRPr="004274D4" w:rsidRDefault="003829C5" w:rsidP="003829C5">
      <w:pPr>
        <w:spacing w:after="160" w:line="259" w:lineRule="auto"/>
        <w:ind w:left="851" w:right="900"/>
        <w:jc w:val="both"/>
        <w:rPr>
          <w:rFonts w:ascii="Palatino Linotype" w:eastAsia="Palatino Linotype" w:hAnsi="Palatino Linotype" w:cs="Palatino Linotype"/>
          <w:i/>
          <w:sz w:val="22"/>
          <w:szCs w:val="22"/>
        </w:rPr>
      </w:pPr>
      <w:r w:rsidRPr="004274D4">
        <w:rPr>
          <w:rFonts w:ascii="Palatino Linotype" w:eastAsia="Palatino Linotype" w:hAnsi="Palatino Linotype" w:cs="Palatino Linotype"/>
          <w:b/>
          <w:i/>
          <w:sz w:val="22"/>
          <w:szCs w:val="22"/>
        </w:rPr>
        <w:t xml:space="preserve"> “Registro Federal de Contribuyentes (RFC) de personas físicas</w:t>
      </w:r>
      <w:r w:rsidRPr="004274D4">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rsidR="00F028C1" w:rsidRPr="004274D4" w:rsidRDefault="003829C5" w:rsidP="003829C5">
      <w:pPr>
        <w:pStyle w:val="Prrafodelista"/>
        <w:numPr>
          <w:ilvl w:val="0"/>
          <w:numId w:val="3"/>
        </w:numPr>
        <w:pBdr>
          <w:top w:val="nil"/>
          <w:left w:val="nil"/>
          <w:bottom w:val="nil"/>
          <w:right w:val="nil"/>
          <w:between w:val="nil"/>
        </w:pBdr>
        <w:spacing w:before="240" w:after="240" w:line="360" w:lineRule="auto"/>
        <w:ind w:left="0" w:firstLine="0"/>
        <w:jc w:val="both"/>
        <w:rPr>
          <w:rFonts w:ascii="Palatino Linotype" w:eastAsia="Palatino Linotype" w:hAnsi="Palatino Linotype" w:cs="Palatino Linotype"/>
        </w:rPr>
      </w:pPr>
      <w:r w:rsidRPr="004274D4">
        <w:rPr>
          <w:rFonts w:ascii="Palatino Linotype" w:eastAsia="Palatino Linotype" w:hAnsi="Palatino Linotype" w:cs="Palatino Linotype"/>
        </w:rPr>
        <w:t xml:space="preserve">Así, el Registro Federal de Contribuyentes, RFC, se vincula al nombre de su titular y permite identificar la edad de la persona, su fecha de nacimiento, así como su </w:t>
      </w:r>
      <w:proofErr w:type="spellStart"/>
      <w:r w:rsidRPr="004274D4">
        <w:rPr>
          <w:rFonts w:ascii="Palatino Linotype" w:eastAsia="Palatino Linotype" w:hAnsi="Palatino Linotype" w:cs="Palatino Linotype"/>
        </w:rPr>
        <w:t>homoclave</w:t>
      </w:r>
      <w:proofErr w:type="spellEnd"/>
      <w:r w:rsidRPr="004274D4">
        <w:rPr>
          <w:rFonts w:ascii="Palatino Linotype" w:eastAsia="Palatino Linotype" w:hAnsi="Palatino Linotype" w:cs="Palatino Linotype"/>
        </w:rPr>
        <w:t xml:space="preser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w:t>
      </w:r>
      <w:r w:rsidRPr="004274D4">
        <w:rPr>
          <w:rFonts w:ascii="Palatino Linotype" w:eastAsia="Palatino Linotype" w:hAnsi="Palatino Linotype" w:cs="Palatino Linotype"/>
        </w:rPr>
        <w:lastRenderedPageBreak/>
        <w:t>de Protección de Datos Personales en Posesión de los Sujetos Obligados del Estado de México y Municipios.</w:t>
      </w:r>
    </w:p>
    <w:p w:rsidR="0064332D" w:rsidRPr="004274D4" w:rsidRDefault="00F028C1">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Por lo anteriormente expuesto y fundado, este </w:t>
      </w:r>
      <w:r w:rsidRPr="004274D4">
        <w:rPr>
          <w:rFonts w:ascii="Palatino Linotype" w:eastAsia="Palatino Linotype" w:hAnsi="Palatino Linotype" w:cs="Palatino Linotype"/>
          <w:b/>
          <w:color w:val="000000"/>
          <w:sz w:val="22"/>
          <w:szCs w:val="22"/>
        </w:rPr>
        <w:t>ÓRGANO GARANTE</w:t>
      </w:r>
      <w:r w:rsidRPr="004274D4">
        <w:rPr>
          <w:rFonts w:ascii="Palatino Linotype" w:eastAsia="Palatino Linotype" w:hAnsi="Palatino Linotype" w:cs="Palatino Linotype"/>
          <w:color w:val="000000"/>
          <w:sz w:val="22"/>
          <w:szCs w:val="22"/>
        </w:rPr>
        <w:t xml:space="preserve"> emite los siguientes:</w:t>
      </w:r>
    </w:p>
    <w:p w:rsidR="0064332D" w:rsidRPr="004274D4" w:rsidRDefault="00F028C1">
      <w:pPr>
        <w:pStyle w:val="Ttulo1"/>
        <w:jc w:val="center"/>
        <w:rPr>
          <w:rFonts w:ascii="Palatino Linotype" w:eastAsia="Palatino Linotype" w:hAnsi="Palatino Linotype" w:cs="Palatino Linotype"/>
          <w:b/>
          <w:color w:val="000000"/>
          <w:sz w:val="22"/>
          <w:szCs w:val="22"/>
        </w:rPr>
      </w:pPr>
      <w:bookmarkStart w:id="9" w:name="_heading=h.4d34og8" w:colFirst="0" w:colLast="0"/>
      <w:bookmarkEnd w:id="9"/>
      <w:r w:rsidRPr="004274D4">
        <w:rPr>
          <w:rFonts w:ascii="Palatino Linotype" w:eastAsia="Palatino Linotype" w:hAnsi="Palatino Linotype" w:cs="Palatino Linotype"/>
          <w:b/>
          <w:color w:val="000000"/>
          <w:sz w:val="22"/>
          <w:szCs w:val="22"/>
        </w:rPr>
        <w:t>R E S O L U T I V O S</w:t>
      </w:r>
    </w:p>
    <w:p w:rsidR="0064332D" w:rsidRPr="004274D4" w:rsidRDefault="0064332D">
      <w:pPr>
        <w:keepNext/>
        <w:keepLines/>
        <w:spacing w:line="360" w:lineRule="auto"/>
        <w:jc w:val="center"/>
        <w:rPr>
          <w:rFonts w:ascii="Palatino Linotype" w:eastAsia="Palatino Linotype" w:hAnsi="Palatino Linotype" w:cs="Palatino Linotype"/>
          <w:b/>
          <w:sz w:val="22"/>
          <w:szCs w:val="22"/>
        </w:rPr>
      </w:pPr>
    </w:p>
    <w:p w:rsidR="0064332D" w:rsidRPr="004274D4" w:rsidRDefault="00F028C1">
      <w:pPr>
        <w:spacing w:line="360" w:lineRule="auto"/>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b/>
          <w:sz w:val="22"/>
          <w:szCs w:val="22"/>
        </w:rPr>
        <w:t xml:space="preserve">PRIMERO. </w:t>
      </w:r>
      <w:r w:rsidRPr="004274D4">
        <w:rPr>
          <w:rFonts w:ascii="Palatino Linotype" w:eastAsia="Palatino Linotype" w:hAnsi="Palatino Linotype" w:cs="Palatino Linotype"/>
          <w:sz w:val="22"/>
          <w:szCs w:val="22"/>
        </w:rPr>
        <w:t>Resultan fundadas las</w:t>
      </w:r>
      <w:r w:rsidRPr="004274D4">
        <w:rPr>
          <w:rFonts w:ascii="Palatino Linotype" w:eastAsia="Palatino Linotype" w:hAnsi="Palatino Linotype" w:cs="Palatino Linotype"/>
          <w:b/>
          <w:sz w:val="22"/>
          <w:szCs w:val="22"/>
        </w:rPr>
        <w:t xml:space="preserve"> </w:t>
      </w:r>
      <w:r w:rsidRPr="004274D4">
        <w:rPr>
          <w:rFonts w:ascii="Palatino Linotype" w:eastAsia="Palatino Linotype" w:hAnsi="Palatino Linotype" w:cs="Palatino Linotype"/>
          <w:sz w:val="22"/>
          <w:szCs w:val="22"/>
        </w:rPr>
        <w:t xml:space="preserve">razones o motivos de inconformidad hechos valer en el recurso de revisión </w:t>
      </w:r>
      <w:r w:rsidRPr="004274D4">
        <w:rPr>
          <w:rFonts w:ascii="Palatino Linotype" w:eastAsia="Palatino Linotype" w:hAnsi="Palatino Linotype" w:cs="Palatino Linotype"/>
          <w:b/>
          <w:sz w:val="22"/>
          <w:szCs w:val="22"/>
        </w:rPr>
        <w:t xml:space="preserve">04783/INFOEM/IP/RR/2024 </w:t>
      </w:r>
      <w:r w:rsidRPr="004274D4">
        <w:rPr>
          <w:rFonts w:ascii="Palatino Linotype" w:eastAsia="Palatino Linotype" w:hAnsi="Palatino Linotype" w:cs="Palatino Linotype"/>
          <w:sz w:val="22"/>
          <w:szCs w:val="22"/>
        </w:rPr>
        <w:t>en términos de los</w:t>
      </w:r>
      <w:r w:rsidRPr="004274D4">
        <w:rPr>
          <w:rFonts w:ascii="Palatino Linotype" w:eastAsia="Palatino Linotype" w:hAnsi="Palatino Linotype" w:cs="Palatino Linotype"/>
          <w:b/>
          <w:sz w:val="22"/>
          <w:szCs w:val="22"/>
        </w:rPr>
        <w:t xml:space="preserve"> Considerandos</w:t>
      </w:r>
      <w:r w:rsidRPr="004274D4">
        <w:rPr>
          <w:rFonts w:ascii="Palatino Linotype" w:eastAsia="Palatino Linotype" w:hAnsi="Palatino Linotype" w:cs="Palatino Linotype"/>
          <w:sz w:val="22"/>
          <w:szCs w:val="22"/>
        </w:rPr>
        <w:t xml:space="preserve"> </w:t>
      </w:r>
      <w:r w:rsidRPr="004274D4">
        <w:rPr>
          <w:rFonts w:ascii="Palatino Linotype" w:eastAsia="Palatino Linotype" w:hAnsi="Palatino Linotype" w:cs="Palatino Linotype"/>
          <w:b/>
          <w:sz w:val="22"/>
          <w:szCs w:val="22"/>
        </w:rPr>
        <w:t>CUARTO y QUINTO</w:t>
      </w:r>
      <w:r w:rsidRPr="004274D4">
        <w:rPr>
          <w:rFonts w:ascii="Palatino Linotype" w:eastAsia="Palatino Linotype" w:hAnsi="Palatino Linotype" w:cs="Palatino Linotype"/>
          <w:sz w:val="22"/>
          <w:szCs w:val="22"/>
        </w:rPr>
        <w:t xml:space="preserve"> de la presente resolución.</w:t>
      </w:r>
    </w:p>
    <w:p w:rsidR="0064332D" w:rsidRPr="004274D4" w:rsidRDefault="0064332D">
      <w:pPr>
        <w:spacing w:line="360" w:lineRule="auto"/>
        <w:jc w:val="both"/>
        <w:rPr>
          <w:rFonts w:ascii="Palatino Linotype" w:eastAsia="Palatino Linotype" w:hAnsi="Palatino Linotype" w:cs="Palatino Linotype"/>
          <w:b/>
          <w:sz w:val="22"/>
          <w:szCs w:val="22"/>
        </w:rPr>
      </w:pPr>
    </w:p>
    <w:p w:rsidR="0064332D" w:rsidRPr="004274D4" w:rsidRDefault="00F028C1">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b/>
          <w:color w:val="000000"/>
          <w:sz w:val="22"/>
          <w:szCs w:val="22"/>
        </w:rPr>
        <w:t xml:space="preserve">SEGUNDO. </w:t>
      </w:r>
      <w:r w:rsidRPr="004274D4">
        <w:rPr>
          <w:rFonts w:ascii="Palatino Linotype" w:eastAsia="Palatino Linotype" w:hAnsi="Palatino Linotype" w:cs="Palatino Linotype"/>
          <w:color w:val="000000"/>
          <w:sz w:val="22"/>
          <w:szCs w:val="22"/>
        </w:rPr>
        <w:t xml:space="preserve">Se </w:t>
      </w:r>
      <w:r w:rsidRPr="004274D4">
        <w:rPr>
          <w:rFonts w:ascii="Palatino Linotype" w:eastAsia="Palatino Linotype" w:hAnsi="Palatino Linotype" w:cs="Palatino Linotype"/>
          <w:b/>
          <w:color w:val="000000"/>
          <w:sz w:val="22"/>
          <w:szCs w:val="22"/>
        </w:rPr>
        <w:t>REVOCA</w:t>
      </w:r>
      <w:r w:rsidRPr="004274D4">
        <w:rPr>
          <w:rFonts w:ascii="Palatino Linotype" w:eastAsia="Palatino Linotype" w:hAnsi="Palatino Linotype" w:cs="Palatino Linotype"/>
          <w:color w:val="000000"/>
          <w:sz w:val="22"/>
          <w:szCs w:val="22"/>
        </w:rPr>
        <w:t xml:space="preserve"> la respuesta y se </w:t>
      </w:r>
      <w:r w:rsidRPr="004274D4">
        <w:rPr>
          <w:rFonts w:ascii="Palatino Linotype" w:eastAsia="Palatino Linotype" w:hAnsi="Palatino Linotype" w:cs="Palatino Linotype"/>
          <w:b/>
          <w:color w:val="000000"/>
          <w:sz w:val="22"/>
          <w:szCs w:val="22"/>
        </w:rPr>
        <w:t xml:space="preserve">ORDENA </w:t>
      </w:r>
      <w:r w:rsidRPr="004274D4">
        <w:rPr>
          <w:rFonts w:ascii="Palatino Linotype" w:eastAsia="Palatino Linotype" w:hAnsi="Palatino Linotype" w:cs="Palatino Linotype"/>
          <w:color w:val="000000"/>
          <w:sz w:val="22"/>
          <w:szCs w:val="22"/>
        </w:rPr>
        <w:t xml:space="preserve">al </w:t>
      </w:r>
      <w:r w:rsidRPr="004274D4">
        <w:rPr>
          <w:rFonts w:ascii="Palatino Linotype" w:eastAsia="Palatino Linotype" w:hAnsi="Palatino Linotype" w:cs="Palatino Linotype"/>
          <w:b/>
          <w:color w:val="000000"/>
          <w:sz w:val="22"/>
          <w:szCs w:val="22"/>
        </w:rPr>
        <w:t xml:space="preserve">Ayuntamiento de </w:t>
      </w:r>
      <w:proofErr w:type="spellStart"/>
      <w:r w:rsidRPr="004274D4">
        <w:rPr>
          <w:rFonts w:ascii="Palatino Linotype" w:eastAsia="Palatino Linotype" w:hAnsi="Palatino Linotype" w:cs="Palatino Linotype"/>
          <w:b/>
          <w:color w:val="000000"/>
          <w:sz w:val="22"/>
          <w:szCs w:val="22"/>
        </w:rPr>
        <w:t>Temamatla</w:t>
      </w:r>
      <w:proofErr w:type="spellEnd"/>
      <w:r w:rsidRPr="004274D4">
        <w:rPr>
          <w:rFonts w:ascii="Palatino Linotype" w:eastAsia="Palatino Linotype" w:hAnsi="Palatino Linotype" w:cs="Palatino Linotype"/>
          <w:b/>
          <w:color w:val="000000"/>
          <w:sz w:val="22"/>
          <w:szCs w:val="22"/>
        </w:rPr>
        <w:t xml:space="preserve"> </w:t>
      </w:r>
      <w:r w:rsidRPr="004274D4">
        <w:rPr>
          <w:rFonts w:ascii="Palatino Linotype" w:eastAsia="Palatino Linotype" w:hAnsi="Palatino Linotype" w:cs="Palatino Linotype"/>
          <w:color w:val="000000"/>
          <w:sz w:val="22"/>
          <w:szCs w:val="22"/>
        </w:rPr>
        <w:t>entregar, vía Sistema de Acceso a la Información Mexiquense (SAIMEX), de ser el caso en versión pública, la siguiente información:</w:t>
      </w:r>
    </w:p>
    <w:p w:rsidR="0064332D" w:rsidRPr="004274D4" w:rsidRDefault="0064332D">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64332D" w:rsidRPr="004274D4" w:rsidRDefault="00F028C1">
      <w:pPr>
        <w:numPr>
          <w:ilvl w:val="0"/>
          <w:numId w:val="4"/>
        </w:numPr>
        <w:spacing w:line="360" w:lineRule="auto"/>
        <w:ind w:right="822"/>
        <w:jc w:val="both"/>
        <w:rPr>
          <w:rFonts w:ascii="Palatino Linotype" w:eastAsia="Palatino Linotype" w:hAnsi="Palatino Linotype" w:cs="Palatino Linotype"/>
          <w:b/>
          <w:sz w:val="22"/>
          <w:szCs w:val="22"/>
        </w:rPr>
      </w:pPr>
      <w:r w:rsidRPr="004274D4">
        <w:rPr>
          <w:rFonts w:ascii="Palatino Linotype" w:eastAsia="Palatino Linotype" w:hAnsi="Palatino Linotype" w:cs="Palatino Linotype"/>
          <w:b/>
          <w:sz w:val="22"/>
          <w:szCs w:val="22"/>
        </w:rPr>
        <w:t xml:space="preserve">Actas de entrega recepción de las obras ejecutadas durante el periodo comprendido del primero de enero de dos mil veintidós al cuatro de julio de dos mil veinticuatro.  </w:t>
      </w:r>
    </w:p>
    <w:p w:rsidR="0064332D" w:rsidRPr="004274D4" w:rsidRDefault="0064332D">
      <w:pPr>
        <w:spacing w:line="360" w:lineRule="auto"/>
        <w:ind w:left="720" w:right="822"/>
        <w:jc w:val="both"/>
        <w:rPr>
          <w:rFonts w:ascii="Palatino Linotype" w:eastAsia="Palatino Linotype" w:hAnsi="Palatino Linotype" w:cs="Palatino Linotype"/>
          <w:b/>
          <w:sz w:val="22"/>
          <w:szCs w:val="22"/>
        </w:rPr>
      </w:pPr>
    </w:p>
    <w:p w:rsidR="0064332D" w:rsidRPr="004274D4" w:rsidRDefault="00F028C1">
      <w:pPr>
        <w:pBdr>
          <w:top w:val="nil"/>
          <w:left w:val="nil"/>
          <w:bottom w:val="nil"/>
          <w:right w:val="nil"/>
          <w:between w:val="nil"/>
        </w:pBdr>
        <w:spacing w:after="160" w:line="360" w:lineRule="auto"/>
        <w:ind w:right="113"/>
        <w:jc w:val="both"/>
        <w:rPr>
          <w:rFonts w:ascii="Palatino Linotype" w:eastAsia="Palatino Linotype" w:hAnsi="Palatino Linotype" w:cs="Palatino Linotype"/>
          <w:color w:val="000000"/>
          <w:sz w:val="22"/>
          <w:szCs w:val="22"/>
        </w:rPr>
      </w:pPr>
      <w:r w:rsidRPr="004274D4">
        <w:rPr>
          <w:rFonts w:ascii="Palatino Linotype" w:eastAsia="Palatino Linotype" w:hAnsi="Palatino Linotype" w:cs="Palatino Linotype"/>
          <w:color w:val="000000"/>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w:t>
      </w:r>
      <w:r w:rsidRPr="004274D4">
        <w:rPr>
          <w:rFonts w:ascii="Palatino Linotype" w:eastAsia="Palatino Linotype" w:hAnsi="Palatino Linotype" w:cs="Palatino Linotype"/>
          <w:color w:val="000000"/>
          <w:sz w:val="22"/>
          <w:szCs w:val="22"/>
        </w:rPr>
        <w:lastRenderedPageBreak/>
        <w:t xml:space="preserve">respectivo objeto de las versiones públicas que se formulen y se ponga a disposición de la parte recurrente. </w:t>
      </w:r>
    </w:p>
    <w:p w:rsidR="0064332D" w:rsidRPr="004274D4" w:rsidRDefault="0064332D">
      <w:pPr>
        <w:spacing w:line="360" w:lineRule="auto"/>
        <w:jc w:val="both"/>
        <w:rPr>
          <w:rFonts w:ascii="Palatino Linotype" w:eastAsia="Palatino Linotype" w:hAnsi="Palatino Linotype" w:cs="Palatino Linotype"/>
          <w:sz w:val="22"/>
          <w:szCs w:val="22"/>
        </w:rPr>
      </w:pPr>
    </w:p>
    <w:p w:rsidR="0064332D" w:rsidRPr="004274D4" w:rsidRDefault="00F028C1">
      <w:pPr>
        <w:tabs>
          <w:tab w:val="left" w:pos="284"/>
          <w:tab w:val="left" w:pos="8080"/>
        </w:tabs>
        <w:spacing w:line="360" w:lineRule="auto"/>
        <w:ind w:right="49"/>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b/>
          <w:sz w:val="22"/>
          <w:szCs w:val="22"/>
        </w:rPr>
        <w:t>TERCERO. NOTIFÍQUESE</w:t>
      </w:r>
      <w:r w:rsidRPr="004274D4">
        <w:rPr>
          <w:rFonts w:ascii="Palatino Linotype" w:eastAsia="Palatino Linotype" w:hAnsi="Palatino Linotype" w:cs="Palatino Linotype"/>
          <w:sz w:val="22"/>
          <w:szCs w:val="22"/>
        </w:rPr>
        <w:t xml:space="preserve"> la presente resolución al Titular de la Unidad de Transparencia del Sujeto Obligado </w:t>
      </w:r>
      <w:r w:rsidRPr="004274D4">
        <w:rPr>
          <w:rFonts w:ascii="Palatino Linotype" w:eastAsia="Palatino Linotype" w:hAnsi="Palatino Linotype" w:cs="Palatino Linotype"/>
          <w:b/>
          <w:sz w:val="22"/>
          <w:szCs w:val="22"/>
        </w:rPr>
        <w:t>vía SAIMEX</w:t>
      </w:r>
      <w:r w:rsidRPr="004274D4">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4332D" w:rsidRPr="004274D4" w:rsidRDefault="0064332D">
      <w:pPr>
        <w:tabs>
          <w:tab w:val="left" w:pos="284"/>
          <w:tab w:val="left" w:pos="8080"/>
        </w:tabs>
        <w:spacing w:line="360" w:lineRule="auto"/>
        <w:ind w:right="49"/>
        <w:jc w:val="both"/>
        <w:rPr>
          <w:rFonts w:ascii="Palatino Linotype" w:eastAsia="Palatino Linotype" w:hAnsi="Palatino Linotype" w:cs="Palatino Linotype"/>
          <w:sz w:val="22"/>
          <w:szCs w:val="22"/>
        </w:rPr>
      </w:pPr>
    </w:p>
    <w:p w:rsidR="0064332D" w:rsidRPr="004274D4" w:rsidRDefault="00F028C1">
      <w:pPr>
        <w:tabs>
          <w:tab w:val="left" w:pos="284"/>
        </w:tabs>
        <w:spacing w:line="360" w:lineRule="auto"/>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b/>
          <w:sz w:val="22"/>
          <w:szCs w:val="22"/>
        </w:rPr>
        <w:t xml:space="preserve">CUARTO. Notifíquese </w:t>
      </w:r>
      <w:r w:rsidRPr="004274D4">
        <w:rPr>
          <w:rFonts w:ascii="Palatino Linotype" w:eastAsia="Palatino Linotype" w:hAnsi="Palatino Linotype" w:cs="Palatino Linotype"/>
          <w:sz w:val="22"/>
          <w:szCs w:val="22"/>
        </w:rPr>
        <w:t xml:space="preserve">al </w:t>
      </w:r>
      <w:r w:rsidRPr="004274D4">
        <w:rPr>
          <w:rFonts w:ascii="Palatino Linotype" w:eastAsia="Palatino Linotype" w:hAnsi="Palatino Linotype" w:cs="Palatino Linotype"/>
          <w:b/>
          <w:sz w:val="22"/>
          <w:szCs w:val="22"/>
        </w:rPr>
        <w:t xml:space="preserve">RECURRENTE </w:t>
      </w:r>
      <w:r w:rsidRPr="004274D4">
        <w:rPr>
          <w:rFonts w:ascii="Palatino Linotype" w:eastAsia="Palatino Linotype" w:hAnsi="Palatino Linotype" w:cs="Palatino Linotype"/>
          <w:sz w:val="22"/>
          <w:szCs w:val="22"/>
        </w:rPr>
        <w:t>la presente resolución a través del Sistema de Acceso a la Información Mexiquense (SAIMEX).</w:t>
      </w:r>
    </w:p>
    <w:p w:rsidR="0064332D" w:rsidRPr="004274D4" w:rsidRDefault="0064332D">
      <w:pPr>
        <w:tabs>
          <w:tab w:val="left" w:pos="284"/>
        </w:tabs>
        <w:spacing w:line="360" w:lineRule="auto"/>
        <w:jc w:val="both"/>
        <w:rPr>
          <w:rFonts w:ascii="Palatino Linotype" w:eastAsia="Palatino Linotype" w:hAnsi="Palatino Linotype" w:cs="Palatino Linotype"/>
          <w:sz w:val="22"/>
          <w:szCs w:val="22"/>
        </w:rPr>
      </w:pPr>
    </w:p>
    <w:p w:rsidR="0064332D" w:rsidRPr="004274D4" w:rsidRDefault="00F028C1">
      <w:pPr>
        <w:spacing w:line="360" w:lineRule="auto"/>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b/>
          <w:sz w:val="22"/>
          <w:szCs w:val="22"/>
        </w:rPr>
        <w:t xml:space="preserve">QUINTO. </w:t>
      </w:r>
      <w:r w:rsidRPr="004274D4">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64332D" w:rsidRPr="004274D4" w:rsidRDefault="00F028C1">
      <w:pPr>
        <w:spacing w:before="240" w:after="360" w:line="360" w:lineRule="auto"/>
        <w:jc w:val="both"/>
        <w:rPr>
          <w:rFonts w:ascii="Palatino Linotype" w:eastAsia="Palatino Linotype" w:hAnsi="Palatino Linotype" w:cs="Palatino Linotype"/>
          <w:sz w:val="22"/>
          <w:szCs w:val="22"/>
        </w:rPr>
      </w:pPr>
      <w:r w:rsidRPr="004274D4">
        <w:rPr>
          <w:rFonts w:ascii="Palatino Linotype" w:eastAsia="Palatino Linotype" w:hAnsi="Palatino Linotype" w:cs="Palatino Linotype"/>
          <w:b/>
          <w:sz w:val="22"/>
          <w:szCs w:val="22"/>
        </w:rPr>
        <w:t>SEXTO.</w:t>
      </w:r>
      <w:r w:rsidRPr="004274D4">
        <w:rPr>
          <w:rFonts w:ascii="Palatino Linotype" w:eastAsia="Palatino Linotype" w:hAnsi="Palatino Linotype" w:cs="Palatino Linotype"/>
          <w:sz w:val="22"/>
          <w:szCs w:val="22"/>
        </w:rPr>
        <w:t xml:space="preserve"> Se hace del conocimiento de </w:t>
      </w:r>
      <w:r w:rsidRPr="004274D4">
        <w:rPr>
          <w:rFonts w:ascii="Palatino Linotype" w:eastAsia="Palatino Linotype" w:hAnsi="Palatino Linotype" w:cs="Palatino Linotype"/>
          <w:b/>
          <w:sz w:val="22"/>
          <w:szCs w:val="22"/>
        </w:rPr>
        <w:t>RECURRENTE</w:t>
      </w:r>
      <w:r w:rsidRPr="004274D4">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w:t>
      </w:r>
      <w:r w:rsidRPr="004274D4">
        <w:rPr>
          <w:rFonts w:ascii="Palatino Linotype" w:eastAsia="Palatino Linotype" w:hAnsi="Palatino Linotype" w:cs="Palatino Linotype"/>
          <w:sz w:val="22"/>
          <w:szCs w:val="22"/>
        </w:rPr>
        <w:lastRenderedPageBreak/>
        <w:t>México y Municipios, en caso de que considere que la resolución le cause algún perjuicio podrá impugnarla vía juicio de amparo en los términos de las leyes aplicables.</w:t>
      </w:r>
    </w:p>
    <w:p w:rsidR="00525F4E" w:rsidRPr="00525F4E" w:rsidRDefault="00525F4E" w:rsidP="00525F4E">
      <w:pPr>
        <w:spacing w:line="360" w:lineRule="auto"/>
        <w:ind w:left="-142" w:right="-234" w:firstLine="1"/>
        <w:jc w:val="both"/>
        <w:rPr>
          <w:rFonts w:ascii="Palatino Linotype" w:hAnsi="Palatino Linotype"/>
          <w:sz w:val="22"/>
        </w:rPr>
      </w:pPr>
      <w:r w:rsidRPr="004274D4">
        <w:rPr>
          <w:rFonts w:ascii="Palatino Linotype" w:hAnsi="Palatino Linotype"/>
          <w:sz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(29) DE ENERO DE DOS MIL VEINTICINCO, ANTE EL SECRETARIO TÉCNICO DEL PLENO ALEXIS TAPIA RAMÍREZ.</w:t>
      </w:r>
      <w:bookmarkStart w:id="10" w:name="_GoBack"/>
      <w:bookmarkEnd w:id="10"/>
      <w:r w:rsidRPr="00525F4E">
        <w:rPr>
          <w:rFonts w:ascii="Palatino Linotype" w:hAnsi="Palatino Linotype"/>
          <w:sz w:val="22"/>
        </w:rPr>
        <w:t xml:space="preserve"> </w:t>
      </w:r>
    </w:p>
    <w:p w:rsidR="0064332D" w:rsidRPr="00525F4E" w:rsidRDefault="0064332D">
      <w:pPr>
        <w:spacing w:before="240" w:after="360" w:line="360" w:lineRule="auto"/>
        <w:jc w:val="both"/>
        <w:rPr>
          <w:rFonts w:ascii="Palatino Linotype" w:eastAsia="Palatino Linotype" w:hAnsi="Palatino Linotype" w:cs="Palatino Linotype"/>
          <w:sz w:val="24"/>
          <w:szCs w:val="22"/>
        </w:rPr>
      </w:pPr>
    </w:p>
    <w:p w:rsidR="0064332D" w:rsidRPr="00525F4E" w:rsidRDefault="0064332D">
      <w:pPr>
        <w:spacing w:before="240" w:after="360" w:line="360" w:lineRule="auto"/>
        <w:jc w:val="both"/>
        <w:rPr>
          <w:rFonts w:ascii="Palatino Linotype" w:eastAsia="Palatino Linotype" w:hAnsi="Palatino Linotype" w:cs="Palatino Linotype"/>
          <w:sz w:val="24"/>
          <w:szCs w:val="22"/>
        </w:rPr>
      </w:pPr>
    </w:p>
    <w:p w:rsidR="0064332D" w:rsidRPr="00F028C1" w:rsidRDefault="0064332D">
      <w:pPr>
        <w:spacing w:before="240" w:after="360" w:line="360" w:lineRule="auto"/>
        <w:jc w:val="both"/>
        <w:rPr>
          <w:rFonts w:ascii="Palatino Linotype" w:eastAsia="Palatino Linotype" w:hAnsi="Palatino Linotype" w:cs="Palatino Linotype"/>
          <w:sz w:val="22"/>
          <w:szCs w:val="22"/>
        </w:rPr>
      </w:pPr>
    </w:p>
    <w:p w:rsidR="0064332D" w:rsidRPr="00F028C1" w:rsidRDefault="0064332D">
      <w:pPr>
        <w:spacing w:before="240" w:after="360" w:line="360" w:lineRule="auto"/>
        <w:jc w:val="both"/>
        <w:rPr>
          <w:rFonts w:ascii="Palatino Linotype" w:eastAsia="Palatino Linotype" w:hAnsi="Palatino Linotype" w:cs="Palatino Linotype"/>
          <w:sz w:val="22"/>
          <w:szCs w:val="22"/>
        </w:rPr>
      </w:pPr>
    </w:p>
    <w:p w:rsidR="0064332D" w:rsidRPr="00F028C1" w:rsidRDefault="0064332D">
      <w:pPr>
        <w:spacing w:before="240" w:after="360" w:line="360" w:lineRule="auto"/>
        <w:jc w:val="both"/>
        <w:rPr>
          <w:rFonts w:ascii="Palatino Linotype" w:eastAsia="Palatino Linotype" w:hAnsi="Palatino Linotype" w:cs="Palatino Linotype"/>
          <w:sz w:val="22"/>
          <w:szCs w:val="22"/>
        </w:rPr>
      </w:pPr>
    </w:p>
    <w:p w:rsidR="0064332D" w:rsidRPr="00F028C1" w:rsidRDefault="0064332D">
      <w:pPr>
        <w:spacing w:before="240" w:after="360" w:line="360" w:lineRule="auto"/>
        <w:jc w:val="both"/>
        <w:rPr>
          <w:rFonts w:ascii="Palatino Linotype" w:eastAsia="Palatino Linotype" w:hAnsi="Palatino Linotype" w:cs="Palatino Linotype"/>
          <w:sz w:val="22"/>
          <w:szCs w:val="22"/>
        </w:rPr>
      </w:pPr>
    </w:p>
    <w:p w:rsidR="0064332D" w:rsidRPr="00F028C1" w:rsidRDefault="0064332D">
      <w:pPr>
        <w:spacing w:before="240" w:after="360" w:line="360" w:lineRule="auto"/>
        <w:jc w:val="both"/>
        <w:rPr>
          <w:rFonts w:ascii="Palatino Linotype" w:eastAsia="Palatino Linotype" w:hAnsi="Palatino Linotype" w:cs="Palatino Linotype"/>
          <w:sz w:val="22"/>
          <w:szCs w:val="22"/>
        </w:rPr>
      </w:pPr>
    </w:p>
    <w:p w:rsidR="0064332D" w:rsidRPr="00F028C1" w:rsidRDefault="0064332D">
      <w:pPr>
        <w:spacing w:before="240" w:after="360" w:line="360" w:lineRule="auto"/>
        <w:jc w:val="both"/>
        <w:rPr>
          <w:rFonts w:ascii="Palatino Linotype" w:eastAsia="Palatino Linotype" w:hAnsi="Palatino Linotype" w:cs="Palatino Linotype"/>
          <w:sz w:val="22"/>
          <w:szCs w:val="22"/>
        </w:rPr>
      </w:pPr>
    </w:p>
    <w:p w:rsidR="0064332D" w:rsidRPr="00F028C1" w:rsidRDefault="0064332D">
      <w:pPr>
        <w:rPr>
          <w:rFonts w:ascii="Palatino Linotype" w:eastAsia="Palatino Linotype" w:hAnsi="Palatino Linotype" w:cs="Palatino Linotype"/>
          <w:sz w:val="22"/>
          <w:szCs w:val="22"/>
        </w:rPr>
      </w:pPr>
    </w:p>
    <w:p w:rsidR="0064332D" w:rsidRPr="00525F4E" w:rsidRDefault="0064332D">
      <w:pPr>
        <w:rPr>
          <w:rFonts w:ascii="Palatino Linotype" w:eastAsia="Palatino Linotype" w:hAnsi="Palatino Linotype" w:cs="Palatino Linotype"/>
          <w:sz w:val="22"/>
          <w:szCs w:val="22"/>
        </w:rPr>
      </w:pPr>
    </w:p>
    <w:sectPr w:rsidR="0064332D" w:rsidRPr="00525F4E">
      <w:headerReference w:type="even" r:id="rId12"/>
      <w:headerReference w:type="default" r:id="rId13"/>
      <w:footerReference w:type="default" r:id="rId14"/>
      <w:headerReference w:type="first" r:id="rId15"/>
      <w:footerReference w:type="first" r:id="rId16"/>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01A" w:rsidRDefault="00CD101A">
      <w:r>
        <w:separator/>
      </w:r>
    </w:p>
  </w:endnote>
  <w:endnote w:type="continuationSeparator" w:id="0">
    <w:p w:rsidR="00CD101A" w:rsidRDefault="00CD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C1" w:rsidRDefault="00F028C1">
    <w:pPr>
      <w:pBdr>
        <w:top w:val="nil"/>
        <w:left w:val="nil"/>
        <w:bottom w:val="nil"/>
        <w:right w:val="nil"/>
        <w:between w:val="nil"/>
      </w:pBdr>
      <w:tabs>
        <w:tab w:val="center" w:pos="4419"/>
        <w:tab w:val="right" w:pos="8838"/>
      </w:tabs>
      <w:jc w:val="right"/>
      <w:rPr>
        <w:color w:val="000000"/>
      </w:rPr>
    </w:pPr>
  </w:p>
  <w:p w:rsidR="00F028C1" w:rsidRDefault="00F028C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274D4">
      <w:rPr>
        <w:b/>
        <w:noProof/>
        <w:color w:val="000000"/>
        <w:sz w:val="24"/>
        <w:szCs w:val="24"/>
      </w:rPr>
      <w:t>37</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274D4">
      <w:rPr>
        <w:b/>
        <w:noProof/>
        <w:color w:val="000000"/>
        <w:sz w:val="24"/>
        <w:szCs w:val="24"/>
      </w:rPr>
      <w:t>39</w:t>
    </w:r>
    <w:r>
      <w:rPr>
        <w:b/>
        <w:color w:val="000000"/>
        <w:sz w:val="24"/>
        <w:szCs w:val="24"/>
      </w:rPr>
      <w:fldChar w:fldCharType="end"/>
    </w:r>
  </w:p>
  <w:p w:rsidR="00F028C1" w:rsidRDefault="00F028C1">
    <w:pPr>
      <w:pBdr>
        <w:top w:val="nil"/>
        <w:left w:val="nil"/>
        <w:bottom w:val="nil"/>
        <w:right w:val="nil"/>
        <w:between w:val="nil"/>
      </w:pBdr>
      <w:tabs>
        <w:tab w:val="center" w:pos="4419"/>
        <w:tab w:val="right" w:pos="8838"/>
      </w:tabs>
      <w:rPr>
        <w:color w:val="000000"/>
      </w:rPr>
    </w:pPr>
  </w:p>
  <w:p w:rsidR="00F028C1" w:rsidRDefault="00F028C1"/>
  <w:p w:rsidR="00F028C1" w:rsidRDefault="00F028C1"/>
  <w:p w:rsidR="00F028C1" w:rsidRDefault="00F028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C1" w:rsidRDefault="00F028C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4274D4">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274D4">
      <w:rPr>
        <w:b/>
        <w:noProof/>
        <w:color w:val="000000"/>
        <w:sz w:val="24"/>
        <w:szCs w:val="24"/>
      </w:rPr>
      <w:t>39</w:t>
    </w:r>
    <w:r>
      <w:rPr>
        <w:b/>
        <w:color w:val="000000"/>
        <w:sz w:val="24"/>
        <w:szCs w:val="24"/>
      </w:rPr>
      <w:fldChar w:fldCharType="end"/>
    </w:r>
  </w:p>
  <w:p w:rsidR="00F028C1" w:rsidRDefault="00F028C1">
    <w:pPr>
      <w:pBdr>
        <w:top w:val="nil"/>
        <w:left w:val="nil"/>
        <w:bottom w:val="nil"/>
        <w:right w:val="nil"/>
        <w:between w:val="nil"/>
      </w:pBdr>
      <w:tabs>
        <w:tab w:val="center" w:pos="4419"/>
        <w:tab w:val="right" w:pos="8838"/>
      </w:tabs>
      <w:rPr>
        <w:color w:val="000000"/>
      </w:rPr>
    </w:pPr>
  </w:p>
  <w:p w:rsidR="00F028C1" w:rsidRDefault="00F028C1"/>
  <w:p w:rsidR="00F028C1" w:rsidRDefault="00F028C1"/>
  <w:p w:rsidR="00F028C1" w:rsidRDefault="00F028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01A" w:rsidRDefault="00CD101A">
      <w:r>
        <w:separator/>
      </w:r>
    </w:p>
  </w:footnote>
  <w:footnote w:type="continuationSeparator" w:id="0">
    <w:p w:rsidR="00CD101A" w:rsidRDefault="00CD101A">
      <w:r>
        <w:continuationSeparator/>
      </w:r>
    </w:p>
  </w:footnote>
  <w:footnote w:id="1">
    <w:p w:rsidR="00F028C1" w:rsidRDefault="00F028C1">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C1" w:rsidRDefault="00CD101A">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p w:rsidR="00F028C1" w:rsidRDefault="00F028C1"/>
  <w:p w:rsidR="00F028C1" w:rsidRDefault="00F028C1"/>
  <w:p w:rsidR="00F028C1" w:rsidRDefault="00F028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C1" w:rsidRDefault="00F028C1">
    <w:pPr>
      <w:widowControl w:val="0"/>
      <w:pBdr>
        <w:top w:val="nil"/>
        <w:left w:val="nil"/>
        <w:bottom w:val="nil"/>
        <w:right w:val="nil"/>
        <w:between w:val="nil"/>
      </w:pBdr>
      <w:spacing w:line="276" w:lineRule="auto"/>
    </w:pPr>
  </w:p>
  <w:tbl>
    <w:tblPr>
      <w:tblStyle w:val="a1"/>
      <w:tblW w:w="9356" w:type="dxa"/>
      <w:tblInd w:w="0" w:type="dxa"/>
      <w:tblLayout w:type="fixed"/>
      <w:tblLook w:val="0400" w:firstRow="0" w:lastRow="0" w:firstColumn="0" w:lastColumn="0" w:noHBand="0" w:noVBand="1"/>
    </w:tblPr>
    <w:tblGrid>
      <w:gridCol w:w="1843"/>
      <w:gridCol w:w="7513"/>
    </w:tblGrid>
    <w:tr w:rsidR="00F028C1">
      <w:trPr>
        <w:trHeight w:val="1435"/>
      </w:trPr>
      <w:tc>
        <w:tcPr>
          <w:tcW w:w="1843" w:type="dxa"/>
          <w:shd w:val="clear" w:color="auto" w:fill="auto"/>
        </w:tcPr>
        <w:p w:rsidR="00F028C1" w:rsidRDefault="00F028C1">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rsidR="00F028C1" w:rsidRDefault="00F028C1"/>
        <w:tbl>
          <w:tblPr>
            <w:tblStyle w:val="a2"/>
            <w:tblW w:w="5528"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551"/>
            <w:gridCol w:w="2977"/>
          </w:tblGrid>
          <w:tr w:rsidR="00F028C1">
            <w:trPr>
              <w:trHeight w:val="338"/>
            </w:trPr>
            <w:tc>
              <w:tcPr>
                <w:tcW w:w="2551" w:type="dxa"/>
              </w:tcPr>
              <w:p w:rsidR="00F028C1" w:rsidRDefault="00F028C1">
                <w:pPr>
                  <w:tabs>
                    <w:tab w:val="right" w:pos="8838"/>
                  </w:tabs>
                  <w:ind w:right="-105"/>
                  <w:rPr>
                    <w:rFonts w:ascii="Palatino Linotype" w:eastAsia="Palatino Linotype" w:hAnsi="Palatino Linotype" w:cs="Palatino Linotype"/>
                    <w:b/>
                    <w:sz w:val="22"/>
                    <w:szCs w:val="22"/>
                  </w:rPr>
                </w:pPr>
              </w:p>
              <w:p w:rsidR="00F028C1" w:rsidRDefault="00F028C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tcPr>
              <w:p w:rsidR="00F028C1" w:rsidRDefault="00F028C1">
                <w:pPr>
                  <w:tabs>
                    <w:tab w:val="right" w:pos="8838"/>
                  </w:tabs>
                  <w:ind w:right="-105" w:hanging="101"/>
                  <w:jc w:val="both"/>
                  <w:rPr>
                    <w:rFonts w:ascii="Palatino Linotype" w:eastAsia="Palatino Linotype" w:hAnsi="Palatino Linotype" w:cs="Palatino Linotype"/>
                    <w:sz w:val="22"/>
                    <w:szCs w:val="22"/>
                  </w:rPr>
                </w:pPr>
              </w:p>
              <w:p w:rsidR="00F028C1" w:rsidRDefault="00F028C1">
                <w:pPr>
                  <w:tabs>
                    <w:tab w:val="right" w:pos="8838"/>
                  </w:tabs>
                  <w:ind w:right="-105" w:hanging="10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04783/INFOEM/IP/RR/2024</w:t>
                </w:r>
              </w:p>
            </w:tc>
          </w:tr>
          <w:tr w:rsidR="00F028C1">
            <w:trPr>
              <w:trHeight w:val="283"/>
            </w:trPr>
            <w:tc>
              <w:tcPr>
                <w:tcW w:w="2551" w:type="dxa"/>
              </w:tcPr>
              <w:p w:rsidR="00F028C1" w:rsidRDefault="00F028C1">
                <w:pPr>
                  <w:tabs>
                    <w:tab w:val="right" w:pos="8838"/>
                  </w:tabs>
                  <w:ind w:right="-105"/>
                  <w:rPr>
                    <w:rFonts w:ascii="Palatino Linotype" w:eastAsia="Palatino Linotype" w:hAnsi="Palatino Linotype" w:cs="Palatino Linotype"/>
                    <w:b/>
                    <w:sz w:val="22"/>
                    <w:szCs w:val="22"/>
                  </w:rPr>
                </w:pPr>
                <w:bookmarkStart w:id="11" w:name="_heading=h.17dp8vu" w:colFirst="0" w:colLast="0"/>
                <w:bookmarkEnd w:id="11"/>
                <w:r>
                  <w:rPr>
                    <w:rFonts w:ascii="Palatino Linotype" w:eastAsia="Palatino Linotype" w:hAnsi="Palatino Linotype" w:cs="Palatino Linotype"/>
                    <w:b/>
                    <w:sz w:val="22"/>
                    <w:szCs w:val="22"/>
                  </w:rPr>
                  <w:t>Sujeto Obligado:</w:t>
                </w:r>
              </w:p>
            </w:tc>
            <w:tc>
              <w:tcPr>
                <w:tcW w:w="2977" w:type="dxa"/>
              </w:tcPr>
              <w:p w:rsidR="00F028C1" w:rsidRDefault="00F028C1">
                <w:pPr>
                  <w:tabs>
                    <w:tab w:val="left" w:pos="2834"/>
                    <w:tab w:val="right" w:pos="8838"/>
                  </w:tabs>
                  <w:ind w:left="-113" w:right="-10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Temamatla</w:t>
                </w:r>
                <w:proofErr w:type="spellEnd"/>
              </w:p>
            </w:tc>
          </w:tr>
          <w:tr w:rsidR="00F028C1">
            <w:trPr>
              <w:trHeight w:val="283"/>
            </w:trPr>
            <w:tc>
              <w:tcPr>
                <w:tcW w:w="2551" w:type="dxa"/>
              </w:tcPr>
              <w:p w:rsidR="00F028C1" w:rsidRDefault="00F028C1">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tcPr>
              <w:p w:rsidR="00F028C1" w:rsidRDefault="00F028C1">
                <w:pPr>
                  <w:tabs>
                    <w:tab w:val="right" w:pos="8838"/>
                  </w:tabs>
                  <w:ind w:left="-113" w:right="-105"/>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María del Rosario Mejía Ayala</w:t>
                </w:r>
              </w:p>
            </w:tc>
          </w:tr>
        </w:tbl>
        <w:p w:rsidR="00F028C1" w:rsidRDefault="00F028C1">
          <w:pPr>
            <w:tabs>
              <w:tab w:val="right" w:pos="8838"/>
            </w:tabs>
            <w:ind w:left="-28"/>
            <w:jc w:val="both"/>
            <w:rPr>
              <w:rFonts w:ascii="Arial" w:eastAsia="Arial" w:hAnsi="Arial" w:cs="Arial"/>
              <w:b/>
              <w:sz w:val="22"/>
              <w:szCs w:val="22"/>
            </w:rPr>
          </w:pPr>
        </w:p>
      </w:tc>
    </w:tr>
  </w:tbl>
  <w:p w:rsidR="00F028C1" w:rsidRDefault="00CD101A">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104.3pt;margin-top:-133.1pt;width:663.5pt;height:12in;z-index:-251659776;mso-position-horizontal:absolute;mso-position-horizontal-relative:margin;mso-position-vertical:absolute;mso-position-vertical-relative:margin">
          <v:imagedata r:id="rId1" o:title="image1"/>
          <w10:wrap anchorx="margin" anchory="margin"/>
        </v:shape>
      </w:pict>
    </w:r>
  </w:p>
  <w:p w:rsidR="00F028C1" w:rsidRDefault="00F028C1"/>
  <w:p w:rsidR="00F028C1" w:rsidRDefault="00F028C1"/>
  <w:p w:rsidR="00F028C1" w:rsidRDefault="00F028C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C1" w:rsidRDefault="00F028C1">
    <w:pPr>
      <w:widowControl w:val="0"/>
      <w:pBdr>
        <w:top w:val="nil"/>
        <w:left w:val="nil"/>
        <w:bottom w:val="nil"/>
        <w:right w:val="nil"/>
        <w:between w:val="nil"/>
      </w:pBdr>
      <w:spacing w:line="276" w:lineRule="auto"/>
    </w:pPr>
  </w:p>
  <w:tbl>
    <w:tblPr>
      <w:tblStyle w:val="a3"/>
      <w:tblW w:w="9498" w:type="dxa"/>
      <w:tblInd w:w="0" w:type="dxa"/>
      <w:tblLayout w:type="fixed"/>
      <w:tblLook w:val="0400" w:firstRow="0" w:lastRow="0" w:firstColumn="0" w:lastColumn="0" w:noHBand="0" w:noVBand="1"/>
    </w:tblPr>
    <w:tblGrid>
      <w:gridCol w:w="1560"/>
      <w:gridCol w:w="7938"/>
    </w:tblGrid>
    <w:tr w:rsidR="00F028C1">
      <w:trPr>
        <w:trHeight w:val="1435"/>
      </w:trPr>
      <w:tc>
        <w:tcPr>
          <w:tcW w:w="1560" w:type="dxa"/>
          <w:shd w:val="clear" w:color="auto" w:fill="auto"/>
        </w:tcPr>
        <w:p w:rsidR="00F028C1" w:rsidRDefault="00F028C1">
          <w:pPr>
            <w:tabs>
              <w:tab w:val="right" w:pos="4273"/>
            </w:tabs>
            <w:rPr>
              <w:rFonts w:ascii="Garamond" w:eastAsia="Garamond" w:hAnsi="Garamond" w:cs="Garamond"/>
              <w:sz w:val="22"/>
              <w:szCs w:val="22"/>
            </w:rPr>
          </w:pPr>
        </w:p>
      </w:tc>
      <w:tc>
        <w:tcPr>
          <w:tcW w:w="7938" w:type="dxa"/>
          <w:shd w:val="clear" w:color="auto" w:fill="auto"/>
        </w:tcPr>
        <w:p w:rsidR="00F028C1" w:rsidRDefault="00F028C1">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4"/>
            <w:tblW w:w="893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4"/>
            <w:gridCol w:w="3084"/>
            <w:gridCol w:w="3402"/>
          </w:tblGrid>
          <w:tr w:rsidR="00F028C1">
            <w:trPr>
              <w:trHeight w:val="144"/>
            </w:trPr>
            <w:tc>
              <w:tcPr>
                <w:tcW w:w="2444" w:type="dxa"/>
              </w:tcPr>
              <w:p w:rsidR="00F028C1" w:rsidRDefault="00F028C1">
                <w:pPr>
                  <w:tabs>
                    <w:tab w:val="right" w:pos="8838"/>
                  </w:tabs>
                  <w:ind w:left="-74" w:right="-105"/>
                  <w:rPr>
                    <w:rFonts w:ascii="Palatino Linotype" w:eastAsia="Palatino Linotype" w:hAnsi="Palatino Linotype" w:cs="Palatino Linotype"/>
                    <w:b/>
                    <w:sz w:val="22"/>
                    <w:szCs w:val="22"/>
                  </w:rPr>
                </w:pPr>
                <w:bookmarkStart w:id="12" w:name="_heading=h.3rdcrjn" w:colFirst="0" w:colLast="0"/>
                <w:bookmarkEnd w:id="12"/>
                <w:r>
                  <w:rPr>
                    <w:rFonts w:ascii="Palatino Linotype" w:eastAsia="Palatino Linotype" w:hAnsi="Palatino Linotype" w:cs="Palatino Linotype"/>
                    <w:b/>
                    <w:sz w:val="22"/>
                    <w:szCs w:val="22"/>
                  </w:rPr>
                  <w:t>Recurso de Revisión:</w:t>
                </w:r>
              </w:p>
            </w:tc>
            <w:tc>
              <w:tcPr>
                <w:tcW w:w="3084" w:type="dxa"/>
              </w:tcPr>
              <w:p w:rsidR="00F028C1" w:rsidRDefault="00F028C1">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04783/INFOEM/IP/RR/2024</w:t>
                </w:r>
              </w:p>
            </w:tc>
            <w:tc>
              <w:tcPr>
                <w:tcW w:w="3402" w:type="dxa"/>
              </w:tcPr>
              <w:p w:rsidR="00F028C1" w:rsidRDefault="00F028C1">
                <w:pPr>
                  <w:tabs>
                    <w:tab w:val="right" w:pos="8838"/>
                  </w:tabs>
                  <w:ind w:left="-74" w:right="-105"/>
                  <w:jc w:val="both"/>
                  <w:rPr>
                    <w:rFonts w:ascii="Palatino Linotype" w:eastAsia="Palatino Linotype" w:hAnsi="Palatino Linotype" w:cs="Palatino Linotype"/>
                    <w:sz w:val="22"/>
                    <w:szCs w:val="22"/>
                  </w:rPr>
                </w:pPr>
              </w:p>
            </w:tc>
          </w:tr>
          <w:tr w:rsidR="00F028C1">
            <w:trPr>
              <w:trHeight w:val="144"/>
            </w:trPr>
            <w:tc>
              <w:tcPr>
                <w:tcW w:w="2444" w:type="dxa"/>
              </w:tcPr>
              <w:p w:rsidR="00F028C1" w:rsidRDefault="00F028C1">
                <w:pPr>
                  <w:tabs>
                    <w:tab w:val="right" w:pos="8838"/>
                  </w:tabs>
                  <w:ind w:left="-74" w:right="-105"/>
                  <w:rPr>
                    <w:rFonts w:ascii="Palatino Linotype" w:eastAsia="Palatino Linotype" w:hAnsi="Palatino Linotype" w:cs="Palatino Linotype"/>
                    <w:b/>
                    <w:sz w:val="22"/>
                    <w:szCs w:val="22"/>
                  </w:rPr>
                </w:pPr>
                <w:bookmarkStart w:id="13" w:name="_heading=h.26in1rg" w:colFirst="0" w:colLast="0"/>
                <w:bookmarkEnd w:id="13"/>
                <w:r>
                  <w:rPr>
                    <w:rFonts w:ascii="Palatino Linotype" w:eastAsia="Palatino Linotype" w:hAnsi="Palatino Linotype" w:cs="Palatino Linotype"/>
                    <w:b/>
                    <w:sz w:val="22"/>
                    <w:szCs w:val="22"/>
                  </w:rPr>
                  <w:t>Recurrente:</w:t>
                </w:r>
              </w:p>
            </w:tc>
            <w:tc>
              <w:tcPr>
                <w:tcW w:w="3084" w:type="dxa"/>
              </w:tcPr>
              <w:p w:rsidR="00F028C1" w:rsidRDefault="00F028C1">
                <w:pPr>
                  <w:tabs>
                    <w:tab w:val="left" w:pos="3122"/>
                    <w:tab w:val="right" w:pos="8838"/>
                  </w:tabs>
                  <w:ind w:right="745"/>
                  <w:jc w:val="both"/>
                  <w:rPr>
                    <w:rFonts w:ascii="Palatino Linotype" w:eastAsia="Palatino Linotype" w:hAnsi="Palatino Linotype" w:cs="Palatino Linotype"/>
                    <w:sz w:val="22"/>
                    <w:szCs w:val="22"/>
                  </w:rPr>
                </w:pPr>
              </w:p>
            </w:tc>
            <w:tc>
              <w:tcPr>
                <w:tcW w:w="3402" w:type="dxa"/>
              </w:tcPr>
              <w:p w:rsidR="00F028C1" w:rsidRDefault="00F028C1">
                <w:pPr>
                  <w:tabs>
                    <w:tab w:val="left" w:pos="3122"/>
                    <w:tab w:val="right" w:pos="8838"/>
                  </w:tabs>
                  <w:ind w:right="-105"/>
                  <w:jc w:val="both"/>
                  <w:rPr>
                    <w:rFonts w:ascii="Palatino Linotype" w:eastAsia="Palatino Linotype" w:hAnsi="Palatino Linotype" w:cs="Palatino Linotype"/>
                    <w:sz w:val="22"/>
                    <w:szCs w:val="22"/>
                  </w:rPr>
                </w:pPr>
              </w:p>
            </w:tc>
          </w:tr>
          <w:tr w:rsidR="00F028C1">
            <w:trPr>
              <w:trHeight w:val="283"/>
            </w:trPr>
            <w:tc>
              <w:tcPr>
                <w:tcW w:w="2444" w:type="dxa"/>
              </w:tcPr>
              <w:p w:rsidR="00F028C1" w:rsidRDefault="00F028C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084" w:type="dxa"/>
              </w:tcPr>
              <w:p w:rsidR="00F028C1" w:rsidRDefault="00F028C1">
                <w:pPr>
                  <w:tabs>
                    <w:tab w:val="left" w:pos="2834"/>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w:t>
                </w:r>
                <w:proofErr w:type="spellStart"/>
                <w:r>
                  <w:rPr>
                    <w:rFonts w:ascii="Palatino Linotype" w:eastAsia="Palatino Linotype" w:hAnsi="Palatino Linotype" w:cs="Palatino Linotype"/>
                    <w:sz w:val="22"/>
                    <w:szCs w:val="22"/>
                  </w:rPr>
                  <w:t>Temamatla</w:t>
                </w:r>
                <w:proofErr w:type="spellEnd"/>
              </w:p>
            </w:tc>
            <w:tc>
              <w:tcPr>
                <w:tcW w:w="3402" w:type="dxa"/>
              </w:tcPr>
              <w:p w:rsidR="00F028C1" w:rsidRDefault="00F028C1">
                <w:pPr>
                  <w:tabs>
                    <w:tab w:val="left" w:pos="2834"/>
                    <w:tab w:val="right" w:pos="8838"/>
                  </w:tabs>
                  <w:ind w:left="-74" w:right="-105"/>
                  <w:jc w:val="both"/>
                  <w:rPr>
                    <w:rFonts w:ascii="Palatino Linotype" w:eastAsia="Palatino Linotype" w:hAnsi="Palatino Linotype" w:cs="Palatino Linotype"/>
                    <w:sz w:val="22"/>
                    <w:szCs w:val="22"/>
                  </w:rPr>
                </w:pPr>
              </w:p>
            </w:tc>
          </w:tr>
          <w:tr w:rsidR="00F028C1">
            <w:trPr>
              <w:trHeight w:val="283"/>
            </w:trPr>
            <w:tc>
              <w:tcPr>
                <w:tcW w:w="2444" w:type="dxa"/>
              </w:tcPr>
              <w:p w:rsidR="00F028C1" w:rsidRDefault="00F028C1">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084" w:type="dxa"/>
              </w:tcPr>
              <w:p w:rsidR="00F028C1" w:rsidRDefault="00F028C1">
                <w:pPr>
                  <w:tabs>
                    <w:tab w:val="right" w:pos="8838"/>
                  </w:tabs>
                  <w:ind w:left="-3"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3402" w:type="dxa"/>
              </w:tcPr>
              <w:p w:rsidR="00F028C1" w:rsidRDefault="00F028C1">
                <w:pPr>
                  <w:tabs>
                    <w:tab w:val="right" w:pos="8838"/>
                  </w:tabs>
                  <w:ind w:left="-74" w:right="-105"/>
                  <w:jc w:val="both"/>
                  <w:rPr>
                    <w:rFonts w:ascii="Palatino Linotype" w:eastAsia="Palatino Linotype" w:hAnsi="Palatino Linotype" w:cs="Palatino Linotype"/>
                    <w:sz w:val="22"/>
                    <w:szCs w:val="22"/>
                  </w:rPr>
                </w:pPr>
              </w:p>
            </w:tc>
          </w:tr>
        </w:tbl>
        <w:p w:rsidR="00F028C1" w:rsidRDefault="00F028C1">
          <w:pPr>
            <w:tabs>
              <w:tab w:val="right" w:pos="8838"/>
            </w:tabs>
            <w:ind w:left="-28"/>
            <w:jc w:val="both"/>
            <w:rPr>
              <w:rFonts w:ascii="Arial" w:eastAsia="Arial" w:hAnsi="Arial" w:cs="Arial"/>
              <w:b/>
              <w:sz w:val="22"/>
              <w:szCs w:val="22"/>
            </w:rPr>
          </w:pPr>
        </w:p>
      </w:tc>
    </w:tr>
  </w:tbl>
  <w:p w:rsidR="00F028C1" w:rsidRDefault="00CD101A">
    <w:pPr>
      <w:pBdr>
        <w:top w:val="nil"/>
        <w:left w:val="nil"/>
        <w:bottom w:val="nil"/>
        <w:right w:val="nil"/>
        <w:between w:val="nil"/>
      </w:pBdr>
      <w:tabs>
        <w:tab w:val="center" w:pos="4419"/>
        <w:tab w:val="right" w:pos="8838"/>
        <w:tab w:val="center" w:pos="4522"/>
      </w:tabs>
      <w:rPr>
        <w:color w:val="000000"/>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75.8pt;margin-top:-134.3pt;width:663.5pt;height:12in;z-index:-251658752;mso-position-horizontal:absolute;mso-position-horizontal-relative:margin;mso-position-vertical:absolute;mso-position-vertical-relative:margin">
          <v:imagedata r:id="rId1" o:title="image1"/>
          <w10:wrap anchorx="margin" anchory="margin"/>
        </v:shape>
      </w:pict>
    </w:r>
  </w:p>
  <w:p w:rsidR="00F028C1" w:rsidRDefault="00F028C1"/>
  <w:p w:rsidR="00F028C1" w:rsidRDefault="00F028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33F5C"/>
    <w:multiLevelType w:val="multilevel"/>
    <w:tmpl w:val="DBD64C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9E564E"/>
    <w:multiLevelType w:val="multilevel"/>
    <w:tmpl w:val="621E752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7E224A"/>
    <w:multiLevelType w:val="hybridMultilevel"/>
    <w:tmpl w:val="486E2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9D4CE2"/>
    <w:multiLevelType w:val="hybridMultilevel"/>
    <w:tmpl w:val="A2120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2E5339"/>
    <w:multiLevelType w:val="hybridMultilevel"/>
    <w:tmpl w:val="EA9CE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4FA752B"/>
    <w:multiLevelType w:val="multilevel"/>
    <w:tmpl w:val="95A69DB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CD5B5E"/>
    <w:multiLevelType w:val="multilevel"/>
    <w:tmpl w:val="02E8B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165C95"/>
    <w:multiLevelType w:val="hybridMultilevel"/>
    <w:tmpl w:val="03D8B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E927C22"/>
    <w:multiLevelType w:val="multilevel"/>
    <w:tmpl w:val="CCF8E8CA"/>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6"/>
  </w:num>
  <w:num w:numId="6">
    <w:abstractNumId w:val="4"/>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2D"/>
    <w:rsid w:val="00071922"/>
    <w:rsid w:val="00184C85"/>
    <w:rsid w:val="001E1A87"/>
    <w:rsid w:val="002D37F4"/>
    <w:rsid w:val="003829C5"/>
    <w:rsid w:val="004274D4"/>
    <w:rsid w:val="00522BCA"/>
    <w:rsid w:val="00525F4E"/>
    <w:rsid w:val="0064332D"/>
    <w:rsid w:val="0085635C"/>
    <w:rsid w:val="00B12804"/>
    <w:rsid w:val="00CD101A"/>
    <w:rsid w:val="00DD43A7"/>
    <w:rsid w:val="00EB4B21"/>
    <w:rsid w:val="00EE4511"/>
    <w:rsid w:val="00F028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FDAE2DD-7813-4850-B536-764D8E6B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97D"/>
    <w:rPr>
      <w:lang w:eastAsia="es-ES"/>
    </w:rPr>
  </w:style>
  <w:style w:type="paragraph" w:styleId="Ttulo1">
    <w:name w:val="heading 1"/>
    <w:basedOn w:val="Normal"/>
    <w:next w:val="Normal"/>
    <w:link w:val="Ttulo1Car"/>
    <w:uiPriority w:val="9"/>
    <w:qFormat/>
    <w:rsid w:val="000769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769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07697D"/>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07697D"/>
    <w:rPr>
      <w:rFonts w:asciiTheme="majorHAnsi" w:eastAsiaTheme="majorEastAsia" w:hAnsiTheme="majorHAnsi" w:cstheme="majorBidi"/>
      <w:color w:val="2E74B5" w:themeColor="accent1" w:themeShade="BF"/>
      <w:sz w:val="26"/>
      <w:szCs w:val="26"/>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7697D"/>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7697D"/>
    <w:rPr>
      <w:rFonts w:ascii="Calibri" w:eastAsia="Calibri" w:hAnsi="Calibri" w:cs="Times New Roman"/>
      <w:sz w:val="20"/>
      <w:szCs w:val="20"/>
    </w:rPr>
  </w:style>
  <w:style w:type="paragraph" w:styleId="Encabezado">
    <w:name w:val="header"/>
    <w:basedOn w:val="Normal"/>
    <w:link w:val="EncabezadoCar"/>
    <w:uiPriority w:val="99"/>
    <w:unhideWhenUsed/>
    <w:qFormat/>
    <w:rsid w:val="0007697D"/>
    <w:pPr>
      <w:tabs>
        <w:tab w:val="center" w:pos="4419"/>
        <w:tab w:val="right" w:pos="8838"/>
      </w:tabs>
    </w:pPr>
  </w:style>
  <w:style w:type="character" w:customStyle="1" w:styleId="EncabezadoCar">
    <w:name w:val="Encabezado Car"/>
    <w:basedOn w:val="Fuentedeprrafopredeter"/>
    <w:link w:val="Encabezado"/>
    <w:uiPriority w:val="99"/>
    <w:qFormat/>
    <w:rsid w:val="0007697D"/>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qFormat/>
    <w:rsid w:val="0007697D"/>
    <w:pPr>
      <w:tabs>
        <w:tab w:val="center" w:pos="4419"/>
        <w:tab w:val="right" w:pos="8838"/>
      </w:tabs>
    </w:pPr>
  </w:style>
  <w:style w:type="character" w:customStyle="1" w:styleId="PiedepginaCar">
    <w:name w:val="Pie de página Car"/>
    <w:basedOn w:val="Fuentedeprrafopredeter"/>
    <w:link w:val="Piedepgina"/>
    <w:uiPriority w:val="99"/>
    <w:qFormat/>
    <w:rsid w:val="0007697D"/>
    <w:rPr>
      <w:rFonts w:ascii="Times New Roman" w:eastAsia="Times New Roman" w:hAnsi="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7697D"/>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07697D"/>
    <w:rPr>
      <w:color w:val="0563C1" w:themeColor="hyperlink"/>
      <w:u w:val="single"/>
    </w:rPr>
  </w:style>
  <w:style w:type="table" w:styleId="Tablaconcuadrcula">
    <w:name w:val="Table Grid"/>
    <w:basedOn w:val="Tablanormal"/>
    <w:uiPriority w:val="39"/>
    <w:qFormat/>
    <w:rsid w:val="0007697D"/>
    <w:rPr>
      <w:rFonts w:eastAsia="SimSu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7697D"/>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07697D"/>
    <w:rPr>
      <w:rFonts w:ascii="Century Gothic" w:eastAsia="Times New Roman" w:hAnsi="Century Gothic" w:cs="Times New Roman"/>
      <w:szCs w:val="24"/>
      <w:lang w:eastAsia="es-ES"/>
    </w:rPr>
  </w:style>
  <w:style w:type="paragraph" w:styleId="Sinespaciado">
    <w:name w:val="No Spacing"/>
    <w:aliases w:val="Francesa,INAI"/>
    <w:link w:val="SinespaciadoCar"/>
    <w:uiPriority w:val="1"/>
    <w:qFormat/>
    <w:rsid w:val="0007697D"/>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sid w:val="0007697D"/>
    <w:rPr>
      <w:rFonts w:ascii="Arial" w:eastAsia="Batang" w:hAnsi="Arial" w:cs="Times New Roman"/>
      <w:sz w:val="20"/>
      <w:szCs w:val="24"/>
      <w:lang w:eastAsia="es-ES"/>
    </w:rPr>
  </w:style>
  <w:style w:type="table" w:styleId="Tablanormal1">
    <w:name w:val="Plain Table 1"/>
    <w:basedOn w:val="Tablanormal"/>
    <w:uiPriority w:val="41"/>
    <w:rsid w:val="000769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as">
    <w:name w:val="Citas"/>
    <w:basedOn w:val="Normal"/>
    <w:qFormat/>
    <w:rsid w:val="0007697D"/>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66098.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2244644.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uZSUgj7xzJfTek0tpbJwEsTqg==">CgMxLjAyCGguZ2pkZ3hzMgloLjMwajB6bGwyCWguMWZvYjl0ZTIJaC4zem55c2g3MgloLjJldDkycDAyCGgudHlqY3d0MgloLjNkeTZ2a20yCWguMnM4ZXlvMTIJaC4xdDNoNXNmMgloLjRkMzRvZzgyCWguMTdkcDh2dTIJaC4zcmRjcmpuMgloLjI2aW4xcmc4AHIhMTdrakVJRmFsS25CRk5rZWFRR29ObElMdTRJdmkwR0wz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8131</Words>
  <Characters>44726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5</cp:revision>
  <dcterms:created xsi:type="dcterms:W3CDTF">2025-01-27T23:13:00Z</dcterms:created>
  <dcterms:modified xsi:type="dcterms:W3CDTF">2025-02-11T01:23:00Z</dcterms:modified>
</cp:coreProperties>
</file>