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489C11" w14:textId="77777777" w:rsidR="005801F9" w:rsidRPr="005B36AC" w:rsidRDefault="003D6A59">
      <w:pPr>
        <w:spacing w:before="240" w:after="240" w:line="360" w:lineRule="auto"/>
        <w:jc w:val="both"/>
        <w:rPr>
          <w:rFonts w:ascii="Palatino Linotype" w:eastAsia="Palatino Linotype" w:hAnsi="Palatino Linotype" w:cs="Palatino Linotype"/>
        </w:rPr>
      </w:pPr>
      <w:bookmarkStart w:id="0" w:name="_heading=h.3rdcrjn" w:colFirst="0" w:colLast="0"/>
      <w:bookmarkEnd w:id="0"/>
      <w:r w:rsidRPr="005B36AC">
        <w:rPr>
          <w:rFonts w:ascii="Palatino Linotype" w:eastAsia="Palatino Linotype" w:hAnsi="Palatino Linotype" w:cs="Palatino Linotype"/>
        </w:rPr>
        <w:t>Resolución del Pleno del Instituto de Transparencia, Acceso a la Información Pública y Protección de Datos Personales del Estado de México y Municipios, con domicilio en Metepec</w:t>
      </w:r>
      <w:r w:rsidR="00CB497F" w:rsidRPr="005B36AC">
        <w:rPr>
          <w:rFonts w:ascii="Palatino Linotype" w:eastAsia="Palatino Linotype" w:hAnsi="Palatino Linotype" w:cs="Palatino Linotype"/>
        </w:rPr>
        <w:t xml:space="preserve">, Estado de México, a doce de marzo </w:t>
      </w:r>
      <w:r w:rsidRPr="005B36AC">
        <w:rPr>
          <w:rFonts w:ascii="Palatino Linotype" w:eastAsia="Palatino Linotype" w:hAnsi="Palatino Linotype" w:cs="Palatino Linotype"/>
        </w:rPr>
        <w:t xml:space="preserve">de dos mil veinticinco. </w:t>
      </w:r>
    </w:p>
    <w:p w14:paraId="5C980F9E" w14:textId="72AE526D" w:rsidR="005801F9" w:rsidRPr="005B36AC" w:rsidRDefault="003D6A59">
      <w:pPr>
        <w:tabs>
          <w:tab w:val="left" w:pos="5812"/>
        </w:tabs>
        <w:spacing w:before="240" w:after="240" w:line="360" w:lineRule="auto"/>
        <w:jc w:val="both"/>
        <w:rPr>
          <w:rFonts w:ascii="Palatino Linotype" w:eastAsia="Palatino Linotype" w:hAnsi="Palatino Linotype" w:cs="Palatino Linotype"/>
        </w:rPr>
      </w:pPr>
      <w:r w:rsidRPr="005B36AC">
        <w:rPr>
          <w:rFonts w:ascii="Palatino Linotype" w:eastAsia="Palatino Linotype" w:hAnsi="Palatino Linotype" w:cs="Palatino Linotype"/>
          <w:b/>
        </w:rPr>
        <w:t>VISTO</w:t>
      </w:r>
      <w:r w:rsidRPr="005B36AC">
        <w:rPr>
          <w:rFonts w:ascii="Palatino Linotype" w:eastAsia="Palatino Linotype" w:hAnsi="Palatino Linotype" w:cs="Palatino Linotype"/>
        </w:rPr>
        <w:t xml:space="preserve"> el expediente formado con motivo del recurso de revisión </w:t>
      </w:r>
      <w:r w:rsidR="00CB497F" w:rsidRPr="005B36AC">
        <w:rPr>
          <w:rFonts w:ascii="Palatino Linotype" w:eastAsia="Palatino Linotype" w:hAnsi="Palatino Linotype" w:cs="Palatino Linotype"/>
          <w:b/>
        </w:rPr>
        <w:t>00979/INFOEM/IP/RR/2025</w:t>
      </w:r>
      <w:r w:rsidRPr="005B36AC">
        <w:rPr>
          <w:rFonts w:ascii="Palatino Linotype" w:eastAsia="Palatino Linotype" w:hAnsi="Palatino Linotype" w:cs="Palatino Linotype"/>
        </w:rPr>
        <w:t xml:space="preserve">, interpuesto por </w:t>
      </w:r>
      <w:r w:rsidR="008E1C42" w:rsidRPr="008E1C42">
        <w:rPr>
          <w:rFonts w:ascii="Palatino Linotype" w:eastAsia="Palatino Linotype" w:hAnsi="Palatino Linotype" w:cs="Palatino Linotype"/>
          <w:b/>
        </w:rPr>
        <w:t>XXXX XXXXXX XXXXXXX XXXXXXXXX</w:t>
      </w:r>
      <w:r w:rsidRPr="005B36AC">
        <w:rPr>
          <w:rFonts w:ascii="Palatino Linotype" w:eastAsia="Palatino Linotype" w:hAnsi="Palatino Linotype" w:cs="Palatino Linotype"/>
          <w:b/>
        </w:rPr>
        <w:t>,</w:t>
      </w:r>
      <w:r w:rsidRPr="005B36AC">
        <w:rPr>
          <w:rFonts w:ascii="Palatino Linotype" w:eastAsia="Palatino Linotype" w:hAnsi="Palatino Linotype" w:cs="Palatino Linotype"/>
        </w:rPr>
        <w:t xml:space="preserve"> en lo sucesivo</w:t>
      </w:r>
      <w:r w:rsidRPr="005B36AC">
        <w:rPr>
          <w:rFonts w:ascii="Palatino Linotype" w:eastAsia="Palatino Linotype" w:hAnsi="Palatino Linotype" w:cs="Palatino Linotype"/>
          <w:b/>
        </w:rPr>
        <w:t xml:space="preserve"> </w:t>
      </w:r>
      <w:r w:rsidRPr="005B36AC">
        <w:rPr>
          <w:rFonts w:ascii="Palatino Linotype" w:eastAsia="Palatino Linotype" w:hAnsi="Palatino Linotype" w:cs="Palatino Linotype"/>
        </w:rPr>
        <w:t xml:space="preserve">la parte </w:t>
      </w:r>
      <w:r w:rsidRPr="005B36AC">
        <w:rPr>
          <w:rFonts w:ascii="Palatino Linotype" w:eastAsia="Palatino Linotype" w:hAnsi="Palatino Linotype" w:cs="Palatino Linotype"/>
          <w:b/>
        </w:rPr>
        <w:t>Recurrente,</w:t>
      </w:r>
      <w:r w:rsidRPr="005B36AC">
        <w:rPr>
          <w:rFonts w:ascii="Palatino Linotype" w:eastAsia="Palatino Linotype" w:hAnsi="Palatino Linotype" w:cs="Palatino Linotype"/>
        </w:rPr>
        <w:t xml:space="preserve"> en contra de la respuesta a la solicitud de información con número de folio</w:t>
      </w:r>
      <w:r w:rsidRPr="005B36AC">
        <w:rPr>
          <w:rFonts w:ascii="Palatino Linotype" w:eastAsia="Palatino Linotype" w:hAnsi="Palatino Linotype" w:cs="Palatino Linotype"/>
          <w:b/>
        </w:rPr>
        <w:t xml:space="preserve"> </w:t>
      </w:r>
      <w:r w:rsidR="00CB497F" w:rsidRPr="005B36AC">
        <w:rPr>
          <w:rFonts w:ascii="Palatino Linotype" w:eastAsia="Palatino Linotype" w:hAnsi="Palatino Linotype" w:cs="Palatino Linotype"/>
          <w:b/>
        </w:rPr>
        <w:t>00172/JIQUIPIL/IP/2024</w:t>
      </w:r>
      <w:r w:rsidRPr="005B36AC">
        <w:rPr>
          <w:rFonts w:ascii="Palatino Linotype" w:eastAsia="Palatino Linotype" w:hAnsi="Palatino Linotype" w:cs="Palatino Linotype"/>
          <w:b/>
        </w:rPr>
        <w:t xml:space="preserve">, </w:t>
      </w:r>
      <w:r w:rsidRPr="005B36AC">
        <w:rPr>
          <w:rFonts w:ascii="Palatino Linotype" w:eastAsia="Palatino Linotype" w:hAnsi="Palatino Linotype" w:cs="Palatino Linotype"/>
        </w:rPr>
        <w:t xml:space="preserve">por parte del </w:t>
      </w:r>
      <w:r w:rsidR="00CB497F" w:rsidRPr="005B36AC">
        <w:rPr>
          <w:rFonts w:ascii="Palatino Linotype" w:eastAsia="Palatino Linotype" w:hAnsi="Palatino Linotype" w:cs="Palatino Linotype"/>
          <w:b/>
        </w:rPr>
        <w:t>Ayuntamiento de Jiquipilco</w:t>
      </w:r>
      <w:r w:rsidRPr="005B36AC">
        <w:rPr>
          <w:rFonts w:ascii="Palatino Linotype" w:eastAsia="Palatino Linotype" w:hAnsi="Palatino Linotype" w:cs="Palatino Linotype"/>
          <w:b/>
        </w:rPr>
        <w:t xml:space="preserve">, </w:t>
      </w:r>
      <w:r w:rsidRPr="005B36AC">
        <w:rPr>
          <w:rFonts w:ascii="Palatino Linotype" w:eastAsia="Palatino Linotype" w:hAnsi="Palatino Linotype" w:cs="Palatino Linotype"/>
        </w:rPr>
        <w:t xml:space="preserve">en lo sucesivo el </w:t>
      </w:r>
      <w:r w:rsidRPr="005B36AC">
        <w:rPr>
          <w:rFonts w:ascii="Palatino Linotype" w:eastAsia="Palatino Linotype" w:hAnsi="Palatino Linotype" w:cs="Palatino Linotype"/>
          <w:b/>
        </w:rPr>
        <w:t xml:space="preserve">Sujeto Obligado, </w:t>
      </w:r>
      <w:r w:rsidRPr="005B36AC">
        <w:rPr>
          <w:rFonts w:ascii="Palatino Linotype" w:eastAsia="Palatino Linotype" w:hAnsi="Palatino Linotype" w:cs="Palatino Linotype"/>
        </w:rPr>
        <w:t xml:space="preserve">se procede a dictar la presente resolución con base en los siguientes: </w:t>
      </w:r>
    </w:p>
    <w:p w14:paraId="509BF943" w14:textId="77777777" w:rsidR="005801F9" w:rsidRPr="005B36AC" w:rsidRDefault="003D6A59">
      <w:pPr>
        <w:spacing w:before="240" w:after="240" w:line="360" w:lineRule="auto"/>
        <w:jc w:val="center"/>
        <w:rPr>
          <w:rFonts w:ascii="Palatino Linotype" w:eastAsia="Palatino Linotype" w:hAnsi="Palatino Linotype" w:cs="Palatino Linotype"/>
          <w:b/>
        </w:rPr>
      </w:pPr>
      <w:r w:rsidRPr="005B36AC">
        <w:rPr>
          <w:rFonts w:ascii="Palatino Linotype" w:eastAsia="Palatino Linotype" w:hAnsi="Palatino Linotype" w:cs="Palatino Linotype"/>
          <w:b/>
        </w:rPr>
        <w:t>I. A N T E C E D E N T E S</w:t>
      </w:r>
    </w:p>
    <w:p w14:paraId="0AB66984" w14:textId="77777777" w:rsidR="005801F9" w:rsidRPr="005B36AC" w:rsidRDefault="003D6A59">
      <w:pPr>
        <w:spacing w:before="240" w:after="240" w:line="360" w:lineRule="auto"/>
        <w:jc w:val="both"/>
        <w:rPr>
          <w:rFonts w:ascii="Palatino Linotype" w:eastAsia="Palatino Linotype" w:hAnsi="Palatino Linotype" w:cs="Palatino Linotype"/>
        </w:rPr>
      </w:pPr>
      <w:bookmarkStart w:id="1" w:name="_heading=h.4d34og8" w:colFirst="0" w:colLast="0"/>
      <w:bookmarkEnd w:id="1"/>
      <w:r w:rsidRPr="005B36AC">
        <w:rPr>
          <w:rFonts w:ascii="Palatino Linotype" w:eastAsia="Palatino Linotype" w:hAnsi="Palatino Linotype" w:cs="Palatino Linotype"/>
          <w:b/>
        </w:rPr>
        <w:t>1. Solicitud de acceso a la información.</w:t>
      </w:r>
      <w:r w:rsidRPr="005B36AC">
        <w:rPr>
          <w:rFonts w:ascii="Palatino Linotype" w:eastAsia="Palatino Linotype" w:hAnsi="Palatino Linotype" w:cs="Palatino Linotype"/>
        </w:rPr>
        <w:t xml:space="preserve"> El </w:t>
      </w:r>
      <w:r w:rsidR="00CB497F" w:rsidRPr="005B36AC">
        <w:rPr>
          <w:rFonts w:ascii="Palatino Linotype" w:eastAsia="Palatino Linotype" w:hAnsi="Palatino Linotype" w:cs="Palatino Linotype"/>
          <w:b/>
        </w:rPr>
        <w:t>veinte de diciembre de dos mil veinticuatro</w:t>
      </w:r>
      <w:r w:rsidRPr="005B36AC">
        <w:rPr>
          <w:rFonts w:ascii="Palatino Linotype" w:eastAsia="Palatino Linotype" w:hAnsi="Palatino Linotype" w:cs="Palatino Linotype"/>
          <w:b/>
        </w:rPr>
        <w:t>,</w:t>
      </w:r>
      <w:r w:rsidRPr="005B36AC">
        <w:rPr>
          <w:rFonts w:ascii="Palatino Linotype" w:eastAsia="Palatino Linotype" w:hAnsi="Palatino Linotype" w:cs="Palatino Linotype"/>
        </w:rPr>
        <w:t xml:space="preserve"> la parte </w:t>
      </w:r>
      <w:r w:rsidRPr="005B36AC">
        <w:rPr>
          <w:rFonts w:ascii="Palatino Linotype" w:eastAsia="Palatino Linotype" w:hAnsi="Palatino Linotype" w:cs="Palatino Linotype"/>
          <w:b/>
        </w:rPr>
        <w:t xml:space="preserve">Recurrente </w:t>
      </w:r>
      <w:r w:rsidRPr="005B36AC">
        <w:rPr>
          <w:rFonts w:ascii="Palatino Linotype" w:eastAsia="Palatino Linotype" w:hAnsi="Palatino Linotype" w:cs="Palatino Linotype"/>
        </w:rPr>
        <w:t xml:space="preserve">presentó, a través del Sistema de Acceso a la Información Mexiquense, en lo subsecuente el </w:t>
      </w:r>
      <w:r w:rsidRPr="005B36AC">
        <w:rPr>
          <w:rFonts w:ascii="Palatino Linotype" w:eastAsia="Palatino Linotype" w:hAnsi="Palatino Linotype" w:cs="Palatino Linotype"/>
          <w:b/>
        </w:rPr>
        <w:t>SAIMEX,</w:t>
      </w:r>
      <w:r w:rsidRPr="005B36AC">
        <w:rPr>
          <w:rFonts w:ascii="Palatino Linotype" w:eastAsia="Palatino Linotype" w:hAnsi="Palatino Linotype" w:cs="Palatino Linotype"/>
        </w:rPr>
        <w:t xml:space="preserve"> ante el </w:t>
      </w:r>
      <w:r w:rsidRPr="005B36AC">
        <w:rPr>
          <w:rFonts w:ascii="Palatino Linotype" w:eastAsia="Palatino Linotype" w:hAnsi="Palatino Linotype" w:cs="Palatino Linotype"/>
          <w:b/>
        </w:rPr>
        <w:t>Sujeto Obligado</w:t>
      </w:r>
      <w:r w:rsidRPr="005B36AC">
        <w:rPr>
          <w:rFonts w:ascii="Palatino Linotype" w:eastAsia="Palatino Linotype" w:hAnsi="Palatino Linotype" w:cs="Palatino Linotype"/>
        </w:rPr>
        <w:t xml:space="preserve">, la solicitud de acceso a la información pública, mediante la cual requirió la información siguiente: </w:t>
      </w:r>
    </w:p>
    <w:p w14:paraId="12FAAF31" w14:textId="77777777" w:rsidR="005801F9" w:rsidRPr="005B36AC" w:rsidRDefault="00CB497F">
      <w:pPr>
        <w:spacing w:before="120" w:after="120"/>
        <w:ind w:left="851" w:right="902"/>
        <w:jc w:val="both"/>
        <w:rPr>
          <w:rFonts w:ascii="Palatino Linotype" w:eastAsia="Palatino Linotype" w:hAnsi="Palatino Linotype" w:cs="Palatino Linotype"/>
          <w:b/>
          <w:i/>
          <w:sz w:val="22"/>
          <w:szCs w:val="22"/>
        </w:rPr>
      </w:pPr>
      <w:bookmarkStart w:id="2" w:name="_heading=h.gjdgxs" w:colFirst="0" w:colLast="0"/>
      <w:bookmarkEnd w:id="2"/>
      <w:r w:rsidRPr="005B36AC">
        <w:rPr>
          <w:rFonts w:ascii="Palatino Linotype" w:eastAsia="Palatino Linotype" w:hAnsi="Palatino Linotype" w:cs="Palatino Linotype"/>
          <w:i/>
          <w:sz w:val="22"/>
          <w:szCs w:val="22"/>
        </w:rPr>
        <w:t xml:space="preserve">“Con fundamento en lo dispuesto en los artículos 4, 7, 15, 23 fracción IV, 150, 152, 155 y 160 de la Ley de Transparencia y Acceso a la Información Pública del Estado de México y Municipios y demás disposiciones relativas y aplicables, solicito se me proporcione vía SAIMEX </w:t>
      </w:r>
      <w:r w:rsidRPr="005B36AC">
        <w:rPr>
          <w:rFonts w:ascii="Palatino Linotype" w:eastAsia="Palatino Linotype" w:hAnsi="Palatino Linotype" w:cs="Palatino Linotype"/>
          <w:b/>
          <w:i/>
          <w:sz w:val="22"/>
          <w:szCs w:val="22"/>
          <w:u w:val="single"/>
        </w:rPr>
        <w:t>la versión pública del oficio número D.J.M./22/2024 de fecha dieciocho (18) de junio del año dos mil veinticuatro (2024) y suscrito por el Director Jurídico del Ayuntamiento de Jiquipilco</w:t>
      </w:r>
      <w:r w:rsidR="003D6A59" w:rsidRPr="005B36AC">
        <w:rPr>
          <w:rFonts w:ascii="Palatino Linotype" w:eastAsia="Palatino Linotype" w:hAnsi="Palatino Linotype" w:cs="Palatino Linotype"/>
          <w:b/>
          <w:i/>
          <w:sz w:val="22"/>
          <w:szCs w:val="22"/>
        </w:rPr>
        <w:t>”</w:t>
      </w:r>
      <w:r w:rsidR="003D6A59" w:rsidRPr="005B36AC">
        <w:rPr>
          <w:rFonts w:ascii="Palatino Linotype" w:eastAsia="Palatino Linotype" w:hAnsi="Palatino Linotype" w:cs="Palatino Linotype"/>
          <w:i/>
          <w:sz w:val="22"/>
          <w:szCs w:val="22"/>
        </w:rPr>
        <w:t xml:space="preserve"> (sic) </w:t>
      </w:r>
    </w:p>
    <w:p w14:paraId="361FB428" w14:textId="77777777" w:rsidR="005801F9" w:rsidRPr="005B36AC" w:rsidRDefault="003D6A59">
      <w:pPr>
        <w:spacing w:before="240" w:after="240" w:line="360" w:lineRule="auto"/>
        <w:jc w:val="both"/>
        <w:rPr>
          <w:rFonts w:ascii="Palatino Linotype" w:eastAsia="Palatino Linotype" w:hAnsi="Palatino Linotype" w:cs="Palatino Linotype"/>
        </w:rPr>
      </w:pPr>
      <w:bookmarkStart w:id="3" w:name="_heading=h.3dy6vkm" w:colFirst="0" w:colLast="0"/>
      <w:bookmarkEnd w:id="3"/>
      <w:r w:rsidRPr="005B36AC">
        <w:rPr>
          <w:rFonts w:ascii="Palatino Linotype" w:eastAsia="Palatino Linotype" w:hAnsi="Palatino Linotype" w:cs="Palatino Linotype"/>
          <w:b/>
        </w:rPr>
        <w:t>Modalidad de Entrega:</w:t>
      </w:r>
      <w:r w:rsidRPr="005B36AC">
        <w:rPr>
          <w:rFonts w:ascii="Palatino Linotype" w:eastAsia="Palatino Linotype" w:hAnsi="Palatino Linotype" w:cs="Palatino Linotype"/>
        </w:rPr>
        <w:t xml:space="preserve"> a través del</w:t>
      </w:r>
      <w:r w:rsidRPr="005B36AC">
        <w:rPr>
          <w:rFonts w:ascii="Palatino Linotype" w:eastAsia="Palatino Linotype" w:hAnsi="Palatino Linotype" w:cs="Palatino Linotype"/>
          <w:b/>
        </w:rPr>
        <w:t xml:space="preserve"> SAIMEX.</w:t>
      </w:r>
    </w:p>
    <w:p w14:paraId="794F35B3" w14:textId="77777777" w:rsidR="005801F9" w:rsidRPr="005B36AC" w:rsidRDefault="005801F9">
      <w:pPr>
        <w:spacing w:before="240" w:after="240" w:line="360" w:lineRule="auto"/>
        <w:jc w:val="both"/>
        <w:rPr>
          <w:rFonts w:ascii="Palatino Linotype" w:eastAsia="Palatino Linotype" w:hAnsi="Palatino Linotype" w:cs="Palatino Linotype"/>
        </w:rPr>
      </w:pPr>
    </w:p>
    <w:p w14:paraId="6ECC05B1" w14:textId="77777777" w:rsidR="005801F9" w:rsidRPr="005B36AC" w:rsidRDefault="003D6A59">
      <w:pPr>
        <w:spacing w:before="240" w:after="240" w:line="360" w:lineRule="auto"/>
        <w:jc w:val="both"/>
        <w:rPr>
          <w:rFonts w:ascii="Palatino Linotype" w:eastAsia="Palatino Linotype" w:hAnsi="Palatino Linotype" w:cs="Palatino Linotype"/>
        </w:rPr>
      </w:pPr>
      <w:r w:rsidRPr="005B36AC">
        <w:rPr>
          <w:rFonts w:ascii="Palatino Linotype" w:eastAsia="Palatino Linotype" w:hAnsi="Palatino Linotype" w:cs="Palatino Linotype"/>
          <w:b/>
        </w:rPr>
        <w:t xml:space="preserve">2. Respuesta. </w:t>
      </w:r>
      <w:r w:rsidRPr="005B36AC">
        <w:rPr>
          <w:rFonts w:ascii="Palatino Linotype" w:eastAsia="Palatino Linotype" w:hAnsi="Palatino Linotype" w:cs="Palatino Linotype"/>
        </w:rPr>
        <w:t xml:space="preserve">El </w:t>
      </w:r>
      <w:r w:rsidRPr="005B36AC">
        <w:rPr>
          <w:rFonts w:ascii="Palatino Linotype" w:eastAsia="Palatino Linotype" w:hAnsi="Palatino Linotype" w:cs="Palatino Linotype"/>
          <w:b/>
        </w:rPr>
        <w:t>treinta de enero de dos mil veinticinco,</w:t>
      </w:r>
      <w:r w:rsidRPr="005B36AC">
        <w:rPr>
          <w:rFonts w:ascii="Palatino Linotype" w:eastAsia="Palatino Linotype" w:hAnsi="Palatino Linotype" w:cs="Palatino Linotype"/>
        </w:rPr>
        <w:t xml:space="preserve"> el </w:t>
      </w:r>
      <w:r w:rsidRPr="005B36AC">
        <w:rPr>
          <w:rFonts w:ascii="Palatino Linotype" w:eastAsia="Palatino Linotype" w:hAnsi="Palatino Linotype" w:cs="Palatino Linotype"/>
          <w:b/>
        </w:rPr>
        <w:t xml:space="preserve">Sujeto Obligado </w:t>
      </w:r>
      <w:r w:rsidRPr="005B36AC">
        <w:rPr>
          <w:rFonts w:ascii="Palatino Linotype" w:eastAsia="Palatino Linotype" w:hAnsi="Palatino Linotype" w:cs="Palatino Linotype"/>
        </w:rPr>
        <w:t xml:space="preserve">envió su respuesta a la solicitud de acceso a la información a través de SAIMEX, sustancialmente en los términos siguientes:   </w:t>
      </w:r>
    </w:p>
    <w:p w14:paraId="24034646" w14:textId="77777777" w:rsidR="005801F9" w:rsidRPr="005B36AC" w:rsidRDefault="003D6A59">
      <w:pPr>
        <w:spacing w:before="240" w:after="240"/>
        <w:ind w:left="851" w:right="902"/>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i/>
          <w:sz w:val="22"/>
          <w:szCs w:val="22"/>
        </w:rPr>
        <w:t>“…</w:t>
      </w:r>
      <w:r w:rsidR="00CB497F" w:rsidRPr="005B36AC">
        <w:rPr>
          <w:rFonts w:ascii="Palatino Linotype" w:eastAsia="Palatino Linotype" w:hAnsi="Palatino Linotype" w:cs="Palatino Linotype"/>
          <w:i/>
          <w:sz w:val="22"/>
          <w:szCs w:val="22"/>
        </w:rPr>
        <w:t>SE REMITE LA RESPUESTA ENTREGADA POR PARTE DEL ÁREA CORRESPONDIERE DEL RESGUARDO DE AL INFORMACIÓN.</w:t>
      </w:r>
      <w:r w:rsidRPr="005B36AC">
        <w:rPr>
          <w:rFonts w:ascii="Palatino Linotype" w:eastAsia="Palatino Linotype" w:hAnsi="Palatino Linotype" w:cs="Palatino Linotype"/>
          <w:i/>
          <w:sz w:val="22"/>
          <w:szCs w:val="22"/>
        </w:rPr>
        <w:t>..” (sic)</w:t>
      </w:r>
    </w:p>
    <w:p w14:paraId="2CAB9F5B" w14:textId="77777777" w:rsidR="005801F9" w:rsidRPr="005B36AC" w:rsidRDefault="003D6A59">
      <w:pPr>
        <w:spacing w:before="240" w:after="240" w:line="360" w:lineRule="auto"/>
        <w:ind w:right="49"/>
        <w:jc w:val="both"/>
        <w:rPr>
          <w:rFonts w:ascii="Palatino Linotype" w:eastAsia="Palatino Linotype" w:hAnsi="Palatino Linotype" w:cs="Palatino Linotype"/>
        </w:rPr>
      </w:pPr>
      <w:r w:rsidRPr="005B36AC">
        <w:rPr>
          <w:rFonts w:ascii="Palatino Linotype" w:eastAsia="Palatino Linotype" w:hAnsi="Palatino Linotype" w:cs="Palatino Linotype"/>
        </w:rPr>
        <w:t xml:space="preserve">El </w:t>
      </w:r>
      <w:r w:rsidRPr="005B36AC">
        <w:rPr>
          <w:rFonts w:ascii="Palatino Linotype" w:eastAsia="Palatino Linotype" w:hAnsi="Palatino Linotype" w:cs="Palatino Linotype"/>
          <w:b/>
        </w:rPr>
        <w:t xml:space="preserve">Sujeto Obligado </w:t>
      </w:r>
      <w:r w:rsidRPr="005B36AC">
        <w:rPr>
          <w:rFonts w:ascii="Palatino Linotype" w:eastAsia="Palatino Linotype" w:hAnsi="Palatino Linotype" w:cs="Palatino Linotype"/>
        </w:rPr>
        <w:t xml:space="preserve">adjuntó lo siguiente: </w:t>
      </w:r>
    </w:p>
    <w:p w14:paraId="4F0D3B2D" w14:textId="77777777" w:rsidR="00CB497F" w:rsidRPr="005B36AC" w:rsidRDefault="003D6A59" w:rsidP="00650A74">
      <w:pPr>
        <w:spacing w:before="240" w:after="240" w:line="360" w:lineRule="auto"/>
        <w:ind w:left="284" w:right="49"/>
        <w:jc w:val="both"/>
        <w:rPr>
          <w:rFonts w:ascii="Palatino Linotype" w:eastAsia="Palatino Linotype" w:hAnsi="Palatino Linotype" w:cs="Palatino Linotype"/>
        </w:rPr>
      </w:pPr>
      <w:r w:rsidRPr="005B36AC">
        <w:rPr>
          <w:rFonts w:ascii="Palatino Linotype" w:eastAsia="Palatino Linotype" w:hAnsi="Palatino Linotype" w:cs="Palatino Linotype"/>
        </w:rPr>
        <w:t xml:space="preserve">- Oficio número </w:t>
      </w:r>
      <w:r w:rsidR="00CB497F" w:rsidRPr="005B36AC">
        <w:rPr>
          <w:rFonts w:ascii="Palatino Linotype" w:eastAsia="Palatino Linotype" w:hAnsi="Palatino Linotype" w:cs="Palatino Linotype"/>
        </w:rPr>
        <w:t>D.J/11/2025, del veintidós</w:t>
      </w:r>
      <w:r w:rsidRPr="005B36AC">
        <w:rPr>
          <w:rFonts w:ascii="Palatino Linotype" w:eastAsia="Palatino Linotype" w:hAnsi="Palatino Linotype" w:cs="Palatino Linotype"/>
        </w:rPr>
        <w:t xml:space="preserve"> de enero de dos mil veinticinco, mediante el cual la </w:t>
      </w:r>
      <w:r w:rsidR="00CB497F" w:rsidRPr="005B36AC">
        <w:rPr>
          <w:rFonts w:ascii="Palatino Linotype" w:eastAsia="Palatino Linotype" w:hAnsi="Palatino Linotype" w:cs="Palatino Linotype"/>
        </w:rPr>
        <w:t>Directora Jurídica refirió que adjuntaba copia simple de la información  solicitada.</w:t>
      </w:r>
    </w:p>
    <w:p w14:paraId="49A41460" w14:textId="77777777" w:rsidR="00CB497F" w:rsidRPr="005B36AC" w:rsidRDefault="00CB497F" w:rsidP="007213B6">
      <w:pPr>
        <w:spacing w:before="240" w:after="240" w:line="360" w:lineRule="auto"/>
        <w:ind w:right="49"/>
        <w:jc w:val="both"/>
        <w:rPr>
          <w:rFonts w:ascii="Palatino Linotype" w:eastAsia="Palatino Linotype" w:hAnsi="Palatino Linotype" w:cs="Palatino Linotype"/>
        </w:rPr>
      </w:pPr>
      <w:r w:rsidRPr="005B36AC">
        <w:rPr>
          <w:rFonts w:ascii="Palatino Linotype" w:eastAsia="Palatino Linotype" w:hAnsi="Palatino Linotype" w:cs="Palatino Linotype"/>
        </w:rPr>
        <w:t xml:space="preserve">- </w:t>
      </w:r>
      <w:r w:rsidRPr="005B36AC">
        <w:rPr>
          <w:rFonts w:ascii="Palatino Linotype" w:eastAsia="Palatino Linotype" w:hAnsi="Palatino Linotype" w:cs="Palatino Linotype"/>
          <w:b/>
          <w:u w:val="single"/>
        </w:rPr>
        <w:t xml:space="preserve">Oficio número </w:t>
      </w:r>
      <w:r w:rsidRPr="005B36AC">
        <w:rPr>
          <w:rFonts w:ascii="Palatino Linotype" w:hAnsi="Palatino Linotype"/>
          <w:b/>
          <w:u w:val="single"/>
        </w:rPr>
        <w:t>D.J.M/22/2024</w:t>
      </w:r>
      <w:r w:rsidRPr="005B36AC">
        <w:rPr>
          <w:rFonts w:ascii="Palatino Linotype" w:hAnsi="Palatino Linotype"/>
        </w:rPr>
        <w:t>, del dieciocho de junio de dos mil veinticuatro, signado por el Director Jurídico</w:t>
      </w:r>
      <w:r w:rsidR="007213B6" w:rsidRPr="005B36AC">
        <w:rPr>
          <w:rFonts w:ascii="Palatino Linotype" w:hAnsi="Palatino Linotype"/>
        </w:rPr>
        <w:t xml:space="preserve">, </w:t>
      </w:r>
      <w:r w:rsidR="007213B6" w:rsidRPr="005B36AC">
        <w:rPr>
          <w:rFonts w:ascii="Palatino Linotype" w:eastAsia="Palatino Linotype" w:hAnsi="Palatino Linotype" w:cs="Palatino Linotype"/>
        </w:rPr>
        <w:t>testado.</w:t>
      </w:r>
    </w:p>
    <w:p w14:paraId="36AE7759" w14:textId="77777777" w:rsidR="005801F9" w:rsidRPr="005B36AC" w:rsidRDefault="003D6A59">
      <w:pPr>
        <w:spacing w:before="240" w:after="240" w:line="360" w:lineRule="auto"/>
        <w:ind w:right="49"/>
        <w:jc w:val="both"/>
        <w:rPr>
          <w:rFonts w:ascii="Palatino Linotype" w:eastAsia="Palatino Linotype" w:hAnsi="Palatino Linotype" w:cs="Palatino Linotype"/>
        </w:rPr>
      </w:pPr>
      <w:r w:rsidRPr="005B36AC">
        <w:rPr>
          <w:rFonts w:ascii="Palatino Linotype" w:eastAsia="Palatino Linotype" w:hAnsi="Palatino Linotype" w:cs="Palatino Linotype"/>
          <w:b/>
        </w:rPr>
        <w:t xml:space="preserve">3. Interposición del recurso de revisión. </w:t>
      </w:r>
      <w:r w:rsidRPr="005B36AC">
        <w:rPr>
          <w:rFonts w:ascii="Palatino Linotype" w:eastAsia="Palatino Linotype" w:hAnsi="Palatino Linotype" w:cs="Palatino Linotype"/>
        </w:rPr>
        <w:t xml:space="preserve">Inconforme con los términos de la respuesta emitida por parte del </w:t>
      </w:r>
      <w:r w:rsidRPr="005B36AC">
        <w:rPr>
          <w:rFonts w:ascii="Palatino Linotype" w:eastAsia="Palatino Linotype" w:hAnsi="Palatino Linotype" w:cs="Palatino Linotype"/>
          <w:b/>
        </w:rPr>
        <w:t>Sujeto Obligado</w:t>
      </w:r>
      <w:r w:rsidRPr="005B36AC">
        <w:rPr>
          <w:rFonts w:ascii="Palatino Linotype" w:eastAsia="Palatino Linotype" w:hAnsi="Palatino Linotype" w:cs="Palatino Linotype"/>
        </w:rPr>
        <w:t xml:space="preserve">, el </w:t>
      </w:r>
      <w:r w:rsidR="00650A74" w:rsidRPr="005B36AC">
        <w:rPr>
          <w:rFonts w:ascii="Palatino Linotype" w:eastAsia="Palatino Linotype" w:hAnsi="Palatino Linotype" w:cs="Palatino Linotype"/>
          <w:b/>
        </w:rPr>
        <w:t>diez</w:t>
      </w:r>
      <w:r w:rsidRPr="005B36AC">
        <w:rPr>
          <w:rFonts w:ascii="Palatino Linotype" w:eastAsia="Palatino Linotype" w:hAnsi="Palatino Linotype" w:cs="Palatino Linotype"/>
          <w:b/>
        </w:rPr>
        <w:t xml:space="preserve"> de febrero de dos mil veinticinco, </w:t>
      </w:r>
      <w:r w:rsidRPr="005B36AC">
        <w:rPr>
          <w:rFonts w:ascii="Palatino Linotype" w:eastAsia="Palatino Linotype" w:hAnsi="Palatino Linotype" w:cs="Palatino Linotype"/>
        </w:rPr>
        <w:t xml:space="preserve">la parte </w:t>
      </w:r>
      <w:r w:rsidRPr="005B36AC">
        <w:rPr>
          <w:rFonts w:ascii="Palatino Linotype" w:eastAsia="Palatino Linotype" w:hAnsi="Palatino Linotype" w:cs="Palatino Linotype"/>
          <w:b/>
        </w:rPr>
        <w:t>Recurrente</w:t>
      </w:r>
      <w:r w:rsidRPr="005B36AC">
        <w:rPr>
          <w:rFonts w:ascii="Palatino Linotype" w:eastAsia="Palatino Linotype" w:hAnsi="Palatino Linotype" w:cs="Palatino Linotype"/>
        </w:rPr>
        <w:t xml:space="preserve"> interpuso el recurso de revisión a través de </w:t>
      </w:r>
      <w:r w:rsidRPr="005B36AC">
        <w:rPr>
          <w:rFonts w:ascii="Palatino Linotype" w:eastAsia="Palatino Linotype" w:hAnsi="Palatino Linotype" w:cs="Palatino Linotype"/>
          <w:b/>
        </w:rPr>
        <w:t xml:space="preserve">SAIMEX, </w:t>
      </w:r>
      <w:r w:rsidRPr="005B36AC">
        <w:rPr>
          <w:rFonts w:ascii="Palatino Linotype" w:eastAsia="Palatino Linotype" w:hAnsi="Palatino Linotype" w:cs="Palatino Linotype"/>
        </w:rPr>
        <w:t>en donde se manifestó de la siguiente manera:</w:t>
      </w:r>
    </w:p>
    <w:p w14:paraId="5E256E51" w14:textId="77777777" w:rsidR="005801F9" w:rsidRPr="005B36AC" w:rsidRDefault="003D6A59">
      <w:pPr>
        <w:tabs>
          <w:tab w:val="left" w:pos="2745"/>
        </w:tabs>
        <w:spacing w:before="240" w:after="240" w:line="360" w:lineRule="auto"/>
        <w:jc w:val="both"/>
        <w:rPr>
          <w:rFonts w:ascii="Palatino Linotype" w:eastAsia="Palatino Linotype" w:hAnsi="Palatino Linotype" w:cs="Palatino Linotype"/>
          <w:b/>
        </w:rPr>
      </w:pPr>
      <w:r w:rsidRPr="005B36AC">
        <w:rPr>
          <w:rFonts w:ascii="Palatino Linotype" w:eastAsia="Palatino Linotype" w:hAnsi="Palatino Linotype" w:cs="Palatino Linotype"/>
          <w:b/>
        </w:rPr>
        <w:t xml:space="preserve">Acto impugnado: </w:t>
      </w:r>
    </w:p>
    <w:p w14:paraId="5D060339" w14:textId="77777777" w:rsidR="005801F9" w:rsidRPr="005B36AC" w:rsidRDefault="003D6A59">
      <w:pPr>
        <w:tabs>
          <w:tab w:val="left" w:pos="2745"/>
        </w:tabs>
        <w:spacing w:before="240" w:after="240"/>
        <w:ind w:left="851" w:right="900"/>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i/>
          <w:sz w:val="22"/>
          <w:szCs w:val="22"/>
        </w:rPr>
        <w:t>“</w:t>
      </w:r>
      <w:r w:rsidR="00650A74" w:rsidRPr="005B36AC">
        <w:rPr>
          <w:rFonts w:ascii="Palatino Linotype" w:eastAsia="Palatino Linotype" w:hAnsi="Palatino Linotype" w:cs="Palatino Linotype"/>
          <w:i/>
          <w:sz w:val="22"/>
          <w:szCs w:val="22"/>
        </w:rPr>
        <w:t>EL OFICIO MARCADO CON EL NÚMERO D.J/11/2025 DE FECHA 22 (VEINTIDÓS) DE ENERO DEL AÑO 2025 (DOS MIL VEINTICINCO) Y SUSCRITO POR LA DRA. EN DERECHO ANA ISABEL NAVARRO ISIDORO EN SU CARÁCTER DE DIRECTORA JURÍDICA DEL H. AYUNTAMIENTO DE JIQUIPILCO, ESTADO DE MÉXICO.</w:t>
      </w:r>
      <w:r w:rsidRPr="005B36AC">
        <w:rPr>
          <w:rFonts w:ascii="Palatino Linotype" w:eastAsia="Palatino Linotype" w:hAnsi="Palatino Linotype" w:cs="Palatino Linotype"/>
          <w:i/>
          <w:sz w:val="22"/>
          <w:szCs w:val="22"/>
        </w:rPr>
        <w:t>” (sic)</w:t>
      </w:r>
    </w:p>
    <w:p w14:paraId="4AB68DD4" w14:textId="77777777" w:rsidR="005801F9" w:rsidRPr="005B36AC" w:rsidRDefault="003D6A59">
      <w:pPr>
        <w:spacing w:line="360" w:lineRule="auto"/>
        <w:jc w:val="both"/>
        <w:rPr>
          <w:rFonts w:ascii="Palatino Linotype" w:eastAsia="Palatino Linotype" w:hAnsi="Palatino Linotype" w:cs="Palatino Linotype"/>
        </w:rPr>
      </w:pPr>
      <w:bookmarkStart w:id="4" w:name="_heading=h.30j0zll" w:colFirst="0" w:colLast="0"/>
      <w:bookmarkEnd w:id="4"/>
      <w:r w:rsidRPr="005B36AC">
        <w:rPr>
          <w:rFonts w:ascii="Palatino Linotype" w:eastAsia="Palatino Linotype" w:hAnsi="Palatino Linotype" w:cs="Palatino Linotype"/>
          <w:b/>
        </w:rPr>
        <w:t>Y, Razones o motivos de inconformidad</w:t>
      </w:r>
      <w:r w:rsidRPr="005B36AC">
        <w:rPr>
          <w:rFonts w:ascii="Palatino Linotype" w:eastAsia="Palatino Linotype" w:hAnsi="Palatino Linotype" w:cs="Palatino Linotype"/>
        </w:rPr>
        <w:t>:</w:t>
      </w:r>
    </w:p>
    <w:p w14:paraId="586BDBF9" w14:textId="77777777" w:rsidR="005801F9" w:rsidRPr="005B36AC" w:rsidRDefault="003D6A59">
      <w:pPr>
        <w:tabs>
          <w:tab w:val="left" w:pos="2745"/>
        </w:tabs>
        <w:spacing w:before="240" w:after="240"/>
        <w:ind w:left="851" w:right="900"/>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i/>
          <w:sz w:val="22"/>
          <w:szCs w:val="22"/>
        </w:rPr>
        <w:lastRenderedPageBreak/>
        <w:t>“</w:t>
      </w:r>
      <w:r w:rsidR="00650A74" w:rsidRPr="005B36AC">
        <w:rPr>
          <w:rFonts w:ascii="Palatino Linotype" w:eastAsia="Palatino Linotype" w:hAnsi="Palatino Linotype" w:cs="Palatino Linotype"/>
          <w:i/>
          <w:sz w:val="22"/>
          <w:szCs w:val="22"/>
        </w:rPr>
        <w:t>EL SUJETO OBLIGADO OMITE FUNDAR Y MOTIVAR LA CLASIFICACIÓN DE LA INFORMACIÓN CONTENIDA EN EL ANEXO DEL DOCUMENTO SEÑALADO COMO ACTO IMPUGNADO AL OBSERVARSE LA EXISTENCIA DE INFORMACIÓN TESTADA.</w:t>
      </w:r>
      <w:r w:rsidRPr="005B36AC">
        <w:rPr>
          <w:rFonts w:ascii="Palatino Linotype" w:eastAsia="Palatino Linotype" w:hAnsi="Palatino Linotype" w:cs="Palatino Linotype"/>
          <w:i/>
          <w:sz w:val="22"/>
          <w:szCs w:val="22"/>
        </w:rPr>
        <w:t>” (sic)</w:t>
      </w:r>
    </w:p>
    <w:p w14:paraId="3CE2D71E" w14:textId="77777777" w:rsidR="005801F9" w:rsidRPr="005B36AC" w:rsidRDefault="003D6A59">
      <w:pPr>
        <w:spacing w:line="360" w:lineRule="auto"/>
        <w:jc w:val="both"/>
        <w:rPr>
          <w:rFonts w:ascii="Palatino Linotype" w:eastAsia="Palatino Linotype" w:hAnsi="Palatino Linotype" w:cs="Palatino Linotype"/>
        </w:rPr>
      </w:pPr>
      <w:r w:rsidRPr="005B36AC">
        <w:rPr>
          <w:rFonts w:ascii="Palatino Linotype" w:eastAsia="Palatino Linotype" w:hAnsi="Palatino Linotype" w:cs="Palatino Linotype"/>
          <w:b/>
        </w:rPr>
        <w:t xml:space="preserve">4. Turno. </w:t>
      </w:r>
      <w:r w:rsidRPr="005B36AC">
        <w:rPr>
          <w:rFonts w:ascii="Palatino Linotype" w:eastAsia="Palatino Linotype" w:hAnsi="Palatino Linotype" w:cs="Palatino Linotype"/>
        </w:rPr>
        <w:t xml:space="preserve">De conformidad con el artículo 185 fracción I de la Ley de Transparencia y Acceso a la Información Pública del Estado de México y Municipios vigente, el presente recurso de revisión se turnó por el sistema electrónico del Instituto de Transparencia, Acceso a la Información Pública y Protección de Datos Personales del Estado de México y Municipios, a la Comisionada </w:t>
      </w:r>
      <w:r w:rsidRPr="005B36AC">
        <w:rPr>
          <w:rFonts w:ascii="Palatino Linotype" w:eastAsia="Palatino Linotype" w:hAnsi="Palatino Linotype" w:cs="Palatino Linotype"/>
          <w:b/>
        </w:rPr>
        <w:t xml:space="preserve">Guadalupe Ramírez Peña, </w:t>
      </w:r>
      <w:r w:rsidRPr="005B36AC">
        <w:rPr>
          <w:rFonts w:ascii="Palatino Linotype" w:eastAsia="Palatino Linotype" w:hAnsi="Palatino Linotype" w:cs="Palatino Linotype"/>
        </w:rPr>
        <w:t>a efecto de que analizara sobre su admisión o su desechamiento.</w:t>
      </w:r>
    </w:p>
    <w:p w14:paraId="656376CF" w14:textId="77777777" w:rsidR="005801F9" w:rsidRPr="005B36AC" w:rsidRDefault="003D6A59">
      <w:pPr>
        <w:spacing w:before="240" w:after="240" w:line="360" w:lineRule="auto"/>
        <w:jc w:val="both"/>
        <w:rPr>
          <w:rFonts w:ascii="Palatino Linotype" w:eastAsia="Palatino Linotype" w:hAnsi="Palatino Linotype" w:cs="Palatino Linotype"/>
        </w:rPr>
      </w:pPr>
      <w:r w:rsidRPr="005B36AC">
        <w:rPr>
          <w:rFonts w:ascii="Palatino Linotype" w:eastAsia="Palatino Linotype" w:hAnsi="Palatino Linotype" w:cs="Palatino Linotype"/>
          <w:b/>
        </w:rPr>
        <w:t>5. Admisión del Recurso de revisión.</w:t>
      </w:r>
      <w:r w:rsidRPr="005B36AC">
        <w:rPr>
          <w:rFonts w:ascii="Palatino Linotype" w:eastAsia="Palatino Linotype" w:hAnsi="Palatino Linotype" w:cs="Palatino Linotype"/>
        </w:rPr>
        <w:t xml:space="preserve"> El</w:t>
      </w:r>
      <w:r w:rsidR="00650A74" w:rsidRPr="005B36AC">
        <w:rPr>
          <w:rFonts w:ascii="Palatino Linotype" w:eastAsia="Palatino Linotype" w:hAnsi="Palatino Linotype" w:cs="Palatino Linotype"/>
          <w:b/>
        </w:rPr>
        <w:t xml:space="preserve"> trece</w:t>
      </w:r>
      <w:r w:rsidRPr="005B36AC">
        <w:rPr>
          <w:rFonts w:ascii="Palatino Linotype" w:eastAsia="Palatino Linotype" w:hAnsi="Palatino Linotype" w:cs="Palatino Linotype"/>
          <w:b/>
        </w:rPr>
        <w:t xml:space="preserve"> de febrero de dos mil veinticinco, </w:t>
      </w:r>
      <w:r w:rsidRPr="005B36AC">
        <w:rPr>
          <w:rFonts w:ascii="Palatino Linotype" w:eastAsia="Palatino Linotype" w:hAnsi="Palatino Linotype" w:cs="Palatino Linotype"/>
        </w:rPr>
        <w:t xml:space="preserve">este Instituto de Transparencia, Acceso a la Información Pública y Protección de Datos Personales del Estado de México y Municipios, admitió a trámite el recurso de revisión que ahora se resuelve, dando un plazo máximo de siete días hábiles para que las partes manifestaran lo que a su derecho resultara conveniente, ofrecieran pruebas, formularan alegatos y el </w:t>
      </w:r>
      <w:r w:rsidRPr="005B36AC">
        <w:rPr>
          <w:rFonts w:ascii="Palatino Linotype" w:eastAsia="Palatino Linotype" w:hAnsi="Palatino Linotype" w:cs="Palatino Linotype"/>
          <w:b/>
        </w:rPr>
        <w:t xml:space="preserve">Sujeto Obligado </w:t>
      </w:r>
      <w:r w:rsidRPr="005B36AC">
        <w:rPr>
          <w:rFonts w:ascii="Palatino Linotype" w:eastAsia="Palatino Linotype" w:hAnsi="Palatino Linotype" w:cs="Palatino Linotype"/>
        </w:rPr>
        <w:t>presentara su informe justificado.</w:t>
      </w:r>
    </w:p>
    <w:p w14:paraId="33D1C608" w14:textId="77777777" w:rsidR="005801F9" w:rsidRPr="005B36AC" w:rsidRDefault="003D6A59">
      <w:pPr>
        <w:spacing w:before="240" w:after="240" w:line="360" w:lineRule="auto"/>
        <w:jc w:val="both"/>
        <w:rPr>
          <w:rFonts w:ascii="Palatino Linotype" w:eastAsia="Palatino Linotype" w:hAnsi="Palatino Linotype" w:cs="Palatino Linotype"/>
        </w:rPr>
      </w:pPr>
      <w:bookmarkStart w:id="5" w:name="_heading=h.2s8eyo1" w:colFirst="0" w:colLast="0"/>
      <w:bookmarkEnd w:id="5"/>
      <w:r w:rsidRPr="005B36AC">
        <w:rPr>
          <w:rFonts w:ascii="Palatino Linotype" w:eastAsia="Palatino Linotype" w:hAnsi="Palatino Linotype" w:cs="Palatino Linotype"/>
          <w:b/>
        </w:rPr>
        <w:t>6. Manifestaciones</w:t>
      </w:r>
      <w:r w:rsidRPr="005B36AC">
        <w:rPr>
          <w:rFonts w:ascii="Palatino Linotype" w:eastAsia="Palatino Linotype" w:hAnsi="Palatino Linotype" w:cs="Palatino Linotype"/>
        </w:rPr>
        <w:t xml:space="preserve">. De las constancias que obran en el expediente electrónico del SAIMEX se desprende que el </w:t>
      </w:r>
      <w:r w:rsidRPr="005B36AC">
        <w:rPr>
          <w:rFonts w:ascii="Palatino Linotype" w:eastAsia="Palatino Linotype" w:hAnsi="Palatino Linotype" w:cs="Palatino Linotype"/>
          <w:b/>
        </w:rPr>
        <w:t>Sujeto Obligado</w:t>
      </w:r>
      <w:r w:rsidRPr="005B36AC">
        <w:rPr>
          <w:rFonts w:ascii="Palatino Linotype" w:eastAsia="Palatino Linotype" w:hAnsi="Palatino Linotype" w:cs="Palatino Linotype"/>
        </w:rPr>
        <w:t xml:space="preserve"> no rindió su Informe Justificado, del mismo modo la parte</w:t>
      </w:r>
      <w:r w:rsidRPr="005B36AC">
        <w:rPr>
          <w:rFonts w:ascii="Palatino Linotype" w:eastAsia="Palatino Linotype" w:hAnsi="Palatino Linotype" w:cs="Palatino Linotype"/>
          <w:b/>
        </w:rPr>
        <w:t xml:space="preserve"> Recurrente</w:t>
      </w:r>
      <w:r w:rsidRPr="005B36AC">
        <w:rPr>
          <w:rFonts w:ascii="Palatino Linotype" w:eastAsia="Palatino Linotype" w:hAnsi="Palatino Linotype" w:cs="Palatino Linotype"/>
        </w:rPr>
        <w:t xml:space="preserve"> omitió realizar manifestaciones, como se observa a continuación:</w:t>
      </w:r>
    </w:p>
    <w:p w14:paraId="11A6EACA" w14:textId="77777777" w:rsidR="005801F9" w:rsidRPr="005B36AC" w:rsidRDefault="00650A74" w:rsidP="00650A74">
      <w:pPr>
        <w:spacing w:before="240" w:after="240" w:line="360" w:lineRule="auto"/>
        <w:jc w:val="center"/>
        <w:rPr>
          <w:rFonts w:ascii="Palatino Linotype" w:eastAsia="Palatino Linotype" w:hAnsi="Palatino Linotype" w:cs="Palatino Linotype"/>
        </w:rPr>
      </w:pPr>
      <w:r w:rsidRPr="005B36AC">
        <w:rPr>
          <w:rFonts w:ascii="Palatino Linotype" w:eastAsia="Palatino Linotype" w:hAnsi="Palatino Linotype" w:cs="Palatino Linotype"/>
          <w:noProof/>
        </w:rPr>
        <w:lastRenderedPageBreak/>
        <w:drawing>
          <wp:inline distT="0" distB="0" distL="0" distR="0" wp14:anchorId="76436C38" wp14:editId="139B91B7">
            <wp:extent cx="4860000" cy="1691487"/>
            <wp:effectExtent l="0" t="0" r="0" b="444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4860000" cy="1691487"/>
                    </a:xfrm>
                    <a:prstGeom prst="rect">
                      <a:avLst/>
                    </a:prstGeom>
                  </pic:spPr>
                </pic:pic>
              </a:graphicData>
            </a:graphic>
          </wp:inline>
        </w:drawing>
      </w:r>
    </w:p>
    <w:p w14:paraId="4B89FE9B" w14:textId="77777777" w:rsidR="005801F9" w:rsidRPr="005B36AC" w:rsidRDefault="003D6A59">
      <w:pPr>
        <w:spacing w:before="240" w:after="240" w:line="360" w:lineRule="auto"/>
        <w:jc w:val="both"/>
        <w:rPr>
          <w:rFonts w:ascii="Palatino Linotype" w:eastAsia="Palatino Linotype" w:hAnsi="Palatino Linotype" w:cs="Palatino Linotype"/>
        </w:rPr>
      </w:pPr>
      <w:r w:rsidRPr="005B36AC">
        <w:rPr>
          <w:rFonts w:ascii="Palatino Linotype" w:eastAsia="Palatino Linotype" w:hAnsi="Palatino Linotype" w:cs="Palatino Linotype"/>
          <w:b/>
        </w:rPr>
        <w:t xml:space="preserve">7. Cierre de instrucción. </w:t>
      </w:r>
      <w:r w:rsidRPr="005B36AC">
        <w:rPr>
          <w:rFonts w:ascii="Palatino Linotype" w:eastAsia="Palatino Linotype" w:hAnsi="Palatino Linotype" w:cs="Palatino Linotype"/>
        </w:rPr>
        <w:t xml:space="preserve">Una vez transcurrido el periodo otorgado a las partes para realizar sus manifestaciones y no habiendo documentos que integrar al expediente, el </w:t>
      </w:r>
      <w:r w:rsidR="00650A74" w:rsidRPr="005B36AC">
        <w:rPr>
          <w:rFonts w:ascii="Palatino Linotype" w:eastAsia="Palatino Linotype" w:hAnsi="Palatino Linotype" w:cs="Palatino Linotype"/>
          <w:b/>
        </w:rPr>
        <w:t xml:space="preserve">veintiséis </w:t>
      </w:r>
      <w:r w:rsidRPr="005B36AC">
        <w:rPr>
          <w:rFonts w:ascii="Palatino Linotype" w:eastAsia="Palatino Linotype" w:hAnsi="Palatino Linotype" w:cs="Palatino Linotype"/>
          <w:b/>
        </w:rPr>
        <w:t>de febrero de dos mil veinticinco</w:t>
      </w:r>
      <w:r w:rsidRPr="005B36AC">
        <w:rPr>
          <w:rFonts w:ascii="Palatino Linotype" w:eastAsia="Palatino Linotype" w:hAnsi="Palatino Linotype" w:cs="Palatino Linotype"/>
        </w:rPr>
        <w:t>, la Comisionada Ponente determinó el cierre de instrucción en términos de la fracción VI del artículo 185 de la Ley de Transparencia y Acceso a la Información Pública del Estado de México y Municipios.</w:t>
      </w:r>
    </w:p>
    <w:p w14:paraId="07F95522" w14:textId="77777777" w:rsidR="005801F9" w:rsidRPr="005B36AC" w:rsidRDefault="003D6A59">
      <w:pPr>
        <w:spacing w:before="240" w:after="240" w:line="360" w:lineRule="auto"/>
        <w:jc w:val="both"/>
        <w:rPr>
          <w:rFonts w:ascii="Palatino Linotype" w:eastAsia="Palatino Linotype" w:hAnsi="Palatino Linotype" w:cs="Palatino Linotype"/>
        </w:rPr>
      </w:pPr>
      <w:r w:rsidRPr="005B36AC">
        <w:rPr>
          <w:rFonts w:ascii="Palatino Linotype" w:eastAsia="Palatino Linotype" w:hAnsi="Palatino Linotype" w:cs="Palatino Linotype"/>
        </w:rPr>
        <w:t xml:space="preserve">En razón de que fue debidamente sustanciado el expediente electrónico y no existe diligencia pendiente de desahogo, se emite la Resolución que conforme a Derecho proceda, de acuerdo con los siguientes: </w:t>
      </w:r>
    </w:p>
    <w:p w14:paraId="03439E25" w14:textId="77777777" w:rsidR="005801F9" w:rsidRPr="005B36AC" w:rsidRDefault="003D6A59">
      <w:pPr>
        <w:widowControl w:val="0"/>
        <w:spacing w:before="240" w:after="240" w:line="360" w:lineRule="auto"/>
        <w:jc w:val="center"/>
        <w:rPr>
          <w:rFonts w:ascii="Palatino Linotype" w:eastAsia="Palatino Linotype" w:hAnsi="Palatino Linotype" w:cs="Palatino Linotype"/>
          <w:b/>
        </w:rPr>
      </w:pPr>
      <w:r w:rsidRPr="005B36AC">
        <w:rPr>
          <w:rFonts w:ascii="Palatino Linotype" w:eastAsia="Palatino Linotype" w:hAnsi="Palatino Linotype" w:cs="Palatino Linotype"/>
          <w:b/>
        </w:rPr>
        <w:t>II. C O N S I D E R A N D O S</w:t>
      </w:r>
    </w:p>
    <w:p w14:paraId="5416AC09" w14:textId="77777777" w:rsidR="005801F9" w:rsidRPr="005B36AC" w:rsidRDefault="003D6A59">
      <w:pPr>
        <w:spacing w:before="240" w:after="240" w:line="360" w:lineRule="auto"/>
        <w:jc w:val="both"/>
        <w:rPr>
          <w:rFonts w:ascii="Palatino Linotype" w:eastAsia="Palatino Linotype" w:hAnsi="Palatino Linotype" w:cs="Palatino Linotype"/>
        </w:rPr>
      </w:pPr>
      <w:r w:rsidRPr="005B36AC">
        <w:rPr>
          <w:rFonts w:ascii="Palatino Linotype" w:eastAsia="Palatino Linotype" w:hAnsi="Palatino Linotype" w:cs="Palatino Linotype"/>
          <w:b/>
        </w:rPr>
        <w:t>Primero. Competencia.</w:t>
      </w:r>
      <w:r w:rsidRPr="005B36AC">
        <w:rPr>
          <w:rFonts w:ascii="Palatino Linotype" w:eastAsia="Palatino Linotype" w:hAnsi="Palatino Linotype" w:cs="Palatino Linotype"/>
        </w:rPr>
        <w:t xml:space="preserve"> El Instituto de Transparencia, Acceso a la Información Pública y Protección de Datos Personales del Estado de México y Municipios, es competente para conocer y resolver el presente recurso de revisión interpuesto por la parte recurrente, conforme a lo dispuesto en los artículos 6, apartado A de la Constitución Política de los Estados Unidos Mexicanos; 5 párrafos trigésimo tercero, trigésimo cuarto y trigésimo quinto, fracciones IV y V de la Constitución Política del Estado Libre y Soberano de México; 2, fracción II; 29, 36 fracciones I y II; 176, 178, 181, 185, fracción I, 186 y 188 de la Ley Transparencia y Acceso a la Información </w:t>
      </w:r>
      <w:r w:rsidRPr="005B36AC">
        <w:rPr>
          <w:rFonts w:ascii="Palatino Linotype" w:eastAsia="Palatino Linotype" w:hAnsi="Palatino Linotype" w:cs="Palatino Linotype"/>
        </w:rPr>
        <w:lastRenderedPageBreak/>
        <w:t>Pública del Estado de México y Municipios; 9, fracciones I y XXIII y 11 del Reglamento Interior del Instituto de Transparencia, Acceso a la Información Pública y Protección de Datos Personales del Estado de México y Municipios.</w:t>
      </w:r>
    </w:p>
    <w:p w14:paraId="04D2B0C3" w14:textId="77777777" w:rsidR="005801F9" w:rsidRPr="005B36AC" w:rsidRDefault="003D6A59">
      <w:pPr>
        <w:spacing w:before="240" w:after="240" w:line="360" w:lineRule="auto"/>
        <w:jc w:val="both"/>
        <w:rPr>
          <w:rFonts w:ascii="Palatino Linotype" w:eastAsia="Palatino Linotype" w:hAnsi="Palatino Linotype" w:cs="Palatino Linotype"/>
        </w:rPr>
      </w:pPr>
      <w:bookmarkStart w:id="6" w:name="_heading=h.tyjcwt" w:colFirst="0" w:colLast="0"/>
      <w:bookmarkEnd w:id="6"/>
      <w:r w:rsidRPr="005B36AC">
        <w:rPr>
          <w:rFonts w:ascii="Palatino Linotype" w:eastAsia="Palatino Linotype" w:hAnsi="Palatino Linotype" w:cs="Palatino Linotype"/>
          <w:b/>
        </w:rPr>
        <w:t>Segundo. Oportunidad y Procedibilidad del Recurso de Revisión</w:t>
      </w:r>
      <w:r w:rsidRPr="005B36AC">
        <w:rPr>
          <w:rFonts w:ascii="Palatino Linotype" w:eastAsia="Palatino Linotype" w:hAnsi="Palatino Linotype" w:cs="Palatino Linotype"/>
        </w:rPr>
        <w:t>. Previo al estudio del fondo del asunto, se procede a analizar los requisitos de oportunidad y procedibilidad que debe reunir el recurso de revisión interpuesto, previstos en los artículos 178 y 180 de la Ley de Transparencia y Acceso a la Información Pública del Estado de México y Municipios.</w:t>
      </w:r>
    </w:p>
    <w:p w14:paraId="21D3EB01" w14:textId="77777777" w:rsidR="005801F9" w:rsidRPr="005B36AC" w:rsidRDefault="003D6A59">
      <w:pPr>
        <w:spacing w:before="240" w:after="240" w:line="360" w:lineRule="auto"/>
        <w:jc w:val="both"/>
        <w:rPr>
          <w:rFonts w:ascii="Palatino Linotype" w:eastAsia="Palatino Linotype" w:hAnsi="Palatino Linotype" w:cs="Palatino Linotype"/>
        </w:rPr>
      </w:pPr>
      <w:r w:rsidRPr="005B36AC">
        <w:rPr>
          <w:rFonts w:ascii="Palatino Linotype" w:eastAsia="Palatino Linotype" w:hAnsi="Palatino Linotype" w:cs="Palatino Linotype"/>
        </w:rPr>
        <w:t xml:space="preserve">El recurso de revisión fue interpuesto dentro del plazo de quince días hábiles, previsto en el artículo 178 de la Ley de Transparencia y Acceso a la Información Pública del Estado de México y Municipios, toda vez que el </w:t>
      </w:r>
      <w:r w:rsidRPr="005B36AC">
        <w:rPr>
          <w:rFonts w:ascii="Palatino Linotype" w:eastAsia="Palatino Linotype" w:hAnsi="Palatino Linotype" w:cs="Palatino Linotype"/>
          <w:b/>
        </w:rPr>
        <w:t xml:space="preserve">Sujeto Obligado </w:t>
      </w:r>
      <w:r w:rsidRPr="005B36AC">
        <w:rPr>
          <w:rFonts w:ascii="Palatino Linotype" w:eastAsia="Palatino Linotype" w:hAnsi="Palatino Linotype" w:cs="Palatino Linotype"/>
        </w:rPr>
        <w:t xml:space="preserve">remitió la respuesta a la solicitud de información el día </w:t>
      </w:r>
      <w:r w:rsidRPr="005B36AC">
        <w:rPr>
          <w:rFonts w:ascii="Palatino Linotype" w:eastAsia="Palatino Linotype" w:hAnsi="Palatino Linotype" w:cs="Palatino Linotype"/>
          <w:b/>
        </w:rPr>
        <w:t xml:space="preserve">treinta de enero de dos mil veinticinco, </w:t>
      </w:r>
      <w:r w:rsidRPr="005B36AC">
        <w:rPr>
          <w:rFonts w:ascii="Palatino Linotype" w:eastAsia="Palatino Linotype" w:hAnsi="Palatino Linotype" w:cs="Palatino Linotype"/>
        </w:rPr>
        <w:t xml:space="preserve">mientras que el recurso de revisión interpuesto por la parte </w:t>
      </w:r>
      <w:r w:rsidRPr="005B36AC">
        <w:rPr>
          <w:rFonts w:ascii="Palatino Linotype" w:eastAsia="Palatino Linotype" w:hAnsi="Palatino Linotype" w:cs="Palatino Linotype"/>
          <w:b/>
        </w:rPr>
        <w:t xml:space="preserve">Recurrente, </w:t>
      </w:r>
      <w:r w:rsidRPr="005B36AC">
        <w:rPr>
          <w:rFonts w:ascii="Palatino Linotype" w:eastAsia="Palatino Linotype" w:hAnsi="Palatino Linotype" w:cs="Palatino Linotype"/>
        </w:rPr>
        <w:t>se tuvo por presentado el día</w:t>
      </w:r>
      <w:r w:rsidRPr="005B36AC">
        <w:rPr>
          <w:rFonts w:ascii="Palatino Linotype" w:eastAsia="Palatino Linotype" w:hAnsi="Palatino Linotype" w:cs="Palatino Linotype"/>
          <w:b/>
        </w:rPr>
        <w:t xml:space="preserve"> </w:t>
      </w:r>
      <w:r w:rsidR="00650A74" w:rsidRPr="005B36AC">
        <w:rPr>
          <w:rFonts w:ascii="Palatino Linotype" w:eastAsia="Palatino Linotype" w:hAnsi="Palatino Linotype" w:cs="Palatino Linotype"/>
          <w:b/>
        </w:rPr>
        <w:t>diez</w:t>
      </w:r>
      <w:r w:rsidRPr="005B36AC">
        <w:rPr>
          <w:rFonts w:ascii="Palatino Linotype" w:eastAsia="Palatino Linotype" w:hAnsi="Palatino Linotype" w:cs="Palatino Linotype"/>
          <w:b/>
        </w:rPr>
        <w:t xml:space="preserve"> de febrero de dos mil veinticinco, </w:t>
      </w:r>
      <w:r w:rsidRPr="005B36AC">
        <w:rPr>
          <w:rFonts w:ascii="Palatino Linotype" w:eastAsia="Palatino Linotype" w:hAnsi="Palatino Linotype" w:cs="Palatino Linotype"/>
        </w:rPr>
        <w:t xml:space="preserve">esto es al </w:t>
      </w:r>
      <w:r w:rsidR="00650A74" w:rsidRPr="005B36AC">
        <w:rPr>
          <w:rFonts w:ascii="Palatino Linotype" w:eastAsia="Palatino Linotype" w:hAnsi="Palatino Linotype" w:cs="Palatino Linotype"/>
        </w:rPr>
        <w:t>sexto</w:t>
      </w:r>
      <w:r w:rsidRPr="005B36AC">
        <w:rPr>
          <w:rFonts w:ascii="Palatino Linotype" w:eastAsia="Palatino Linotype" w:hAnsi="Palatino Linotype" w:cs="Palatino Linotype"/>
        </w:rPr>
        <w:t xml:space="preserve"> día hábil posterior a aquel en el que tuvo conocimiento de la respuesta impugnada. En este sentido, se concluye que el presente recurso de revisión se encuentra dentro de los márgenes temporales previstos en las disposiciones legales referidas.</w:t>
      </w:r>
    </w:p>
    <w:p w14:paraId="59EB47C0" w14:textId="77777777" w:rsidR="005801F9" w:rsidRPr="005B36AC" w:rsidRDefault="003D6A59">
      <w:pPr>
        <w:tabs>
          <w:tab w:val="left" w:pos="7938"/>
        </w:tabs>
        <w:spacing w:before="240" w:after="240" w:line="360" w:lineRule="auto"/>
        <w:jc w:val="both"/>
        <w:rPr>
          <w:rFonts w:ascii="Palatino Linotype" w:eastAsia="Palatino Linotype" w:hAnsi="Palatino Linotype" w:cs="Palatino Linotype"/>
        </w:rPr>
      </w:pPr>
      <w:bookmarkStart w:id="7" w:name="_heading=h.3znysh7" w:colFirst="0" w:colLast="0"/>
      <w:bookmarkEnd w:id="7"/>
      <w:r w:rsidRPr="005B36AC">
        <w:rPr>
          <w:rFonts w:ascii="Palatino Linotype" w:eastAsia="Palatino Linotype" w:hAnsi="Palatino Linotype" w:cs="Palatino Linotype"/>
        </w:rPr>
        <w:t>Al mismo tiempo, por cuanto hace a la procedibilidad del recurso de revisión, una vez realizado el análisis del formato de interposición del recurso, se concluye la acreditación plena de los elementos formales precisados por el artículo 180 de la Ley de Transparencia y Acceso a la Información Pública del Estado de México y Municipios, en atención a que fue presentado mediante el formato visible en el SAIMEX.</w:t>
      </w:r>
    </w:p>
    <w:p w14:paraId="322C680B" w14:textId="77777777" w:rsidR="005801F9" w:rsidRPr="005B36AC" w:rsidRDefault="003D6A59">
      <w:pPr>
        <w:spacing w:before="240" w:after="240" w:line="360" w:lineRule="auto"/>
        <w:jc w:val="both"/>
        <w:rPr>
          <w:rFonts w:ascii="Palatino Linotype" w:eastAsia="Palatino Linotype" w:hAnsi="Palatino Linotype" w:cs="Palatino Linotype"/>
        </w:rPr>
      </w:pPr>
      <w:r w:rsidRPr="005B36AC">
        <w:rPr>
          <w:rFonts w:ascii="Palatino Linotype" w:eastAsia="Palatino Linotype" w:hAnsi="Palatino Linotype" w:cs="Palatino Linotype"/>
        </w:rPr>
        <w:lastRenderedPageBreak/>
        <w:t xml:space="preserve">Finalmente, se advierte que resulta procedente la interposición del recurso, según lo manifestado por la parte </w:t>
      </w:r>
      <w:r w:rsidRPr="005B36AC">
        <w:rPr>
          <w:rFonts w:ascii="Palatino Linotype" w:eastAsia="Palatino Linotype" w:hAnsi="Palatino Linotype" w:cs="Palatino Linotype"/>
          <w:b/>
        </w:rPr>
        <w:t>Recurrente</w:t>
      </w:r>
      <w:r w:rsidRPr="005B36AC">
        <w:rPr>
          <w:rFonts w:ascii="Palatino Linotype" w:eastAsia="Palatino Linotype" w:hAnsi="Palatino Linotype" w:cs="Palatino Linotype"/>
        </w:rPr>
        <w:t xml:space="preserve"> en sus motivos de inconformidad, de </w:t>
      </w:r>
      <w:r w:rsidR="009D5003" w:rsidRPr="005B36AC">
        <w:rPr>
          <w:rFonts w:ascii="Palatino Linotype" w:eastAsia="Palatino Linotype" w:hAnsi="Palatino Linotype" w:cs="Palatino Linotype"/>
        </w:rPr>
        <w:t>acuerdo al artículo 179, fracciones</w:t>
      </w:r>
      <w:r w:rsidRPr="005B36AC">
        <w:rPr>
          <w:rFonts w:ascii="Palatino Linotype" w:eastAsia="Palatino Linotype" w:hAnsi="Palatino Linotype" w:cs="Palatino Linotype"/>
        </w:rPr>
        <w:t xml:space="preserve"> </w:t>
      </w:r>
      <w:r w:rsidR="009D5003" w:rsidRPr="005B36AC">
        <w:rPr>
          <w:rFonts w:ascii="Palatino Linotype" w:eastAsia="Palatino Linotype" w:hAnsi="Palatino Linotype" w:cs="Palatino Linotype"/>
        </w:rPr>
        <w:t xml:space="preserve">II y XIII </w:t>
      </w:r>
      <w:r w:rsidRPr="005B36AC">
        <w:rPr>
          <w:rFonts w:ascii="Palatino Linotype" w:eastAsia="Palatino Linotype" w:hAnsi="Palatino Linotype" w:cs="Palatino Linotype"/>
        </w:rPr>
        <w:t>del ordenamiento legal citado, que a la letra dice: </w:t>
      </w:r>
    </w:p>
    <w:p w14:paraId="6CA038EC" w14:textId="77777777" w:rsidR="005801F9" w:rsidRPr="005B36AC" w:rsidRDefault="003D6A59">
      <w:pPr>
        <w:tabs>
          <w:tab w:val="left" w:pos="7938"/>
        </w:tabs>
        <w:spacing w:before="120" w:after="120"/>
        <w:ind w:left="851" w:right="902"/>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i/>
          <w:sz w:val="22"/>
          <w:szCs w:val="22"/>
        </w:rPr>
        <w:t>“</w:t>
      </w:r>
      <w:r w:rsidRPr="005B36AC">
        <w:rPr>
          <w:rFonts w:ascii="Palatino Linotype" w:eastAsia="Palatino Linotype" w:hAnsi="Palatino Linotype" w:cs="Palatino Linotype"/>
          <w:b/>
          <w:i/>
          <w:sz w:val="22"/>
          <w:szCs w:val="22"/>
        </w:rPr>
        <w:t>Artículo 179.</w:t>
      </w:r>
      <w:r w:rsidRPr="005B36AC">
        <w:rPr>
          <w:rFonts w:ascii="Palatino Linotype" w:eastAsia="Palatino Linotype" w:hAnsi="Palatino Linotype" w:cs="Palatino Linotype"/>
          <w:i/>
          <w:sz w:val="22"/>
          <w:szCs w:val="22"/>
        </w:rPr>
        <w:t xml:space="preserve"> El recurso de revisión es un medio de protección que la Ley otorga a los particulares, para hacer valer su derecho de acceso a la información pública, y procederá en contra de las siguientes causas:</w:t>
      </w:r>
    </w:p>
    <w:p w14:paraId="59B4A826" w14:textId="77777777" w:rsidR="005801F9" w:rsidRPr="005B36AC" w:rsidRDefault="003D6A59">
      <w:pPr>
        <w:tabs>
          <w:tab w:val="left" w:pos="7938"/>
        </w:tabs>
        <w:spacing w:before="120" w:after="120"/>
        <w:ind w:left="1134" w:right="900"/>
        <w:jc w:val="both"/>
        <w:rPr>
          <w:rFonts w:ascii="Palatino Linotype" w:eastAsia="Palatino Linotype" w:hAnsi="Palatino Linotype" w:cs="Palatino Linotype"/>
          <w:b/>
          <w:i/>
          <w:sz w:val="22"/>
          <w:szCs w:val="22"/>
        </w:rPr>
      </w:pPr>
      <w:r w:rsidRPr="005B36AC">
        <w:rPr>
          <w:rFonts w:ascii="Palatino Linotype" w:eastAsia="Palatino Linotype" w:hAnsi="Palatino Linotype" w:cs="Palatino Linotype"/>
          <w:b/>
          <w:i/>
          <w:sz w:val="22"/>
          <w:szCs w:val="22"/>
        </w:rPr>
        <w:t>…</w:t>
      </w:r>
    </w:p>
    <w:p w14:paraId="02A3A1BC" w14:textId="77777777" w:rsidR="009D5003" w:rsidRPr="005B36AC" w:rsidRDefault="009D5003">
      <w:pPr>
        <w:tabs>
          <w:tab w:val="left" w:pos="7938"/>
        </w:tabs>
        <w:spacing w:before="120" w:after="120"/>
        <w:ind w:left="1134" w:right="900"/>
        <w:jc w:val="both"/>
        <w:rPr>
          <w:rFonts w:ascii="Palatino Linotype" w:eastAsia="Palatino Linotype" w:hAnsi="Palatino Linotype" w:cs="Palatino Linotype"/>
          <w:b/>
          <w:i/>
          <w:sz w:val="22"/>
          <w:szCs w:val="22"/>
        </w:rPr>
      </w:pPr>
      <w:r w:rsidRPr="005B36AC">
        <w:rPr>
          <w:rFonts w:ascii="Palatino Linotype" w:eastAsia="Palatino Linotype" w:hAnsi="Palatino Linotype" w:cs="Palatino Linotype"/>
          <w:b/>
          <w:i/>
          <w:sz w:val="22"/>
          <w:szCs w:val="22"/>
        </w:rPr>
        <w:t xml:space="preserve">II. </w:t>
      </w:r>
      <w:r w:rsidRPr="005B36AC">
        <w:rPr>
          <w:rFonts w:ascii="Palatino Linotype" w:eastAsia="Palatino Linotype" w:hAnsi="Palatino Linotype" w:cs="Palatino Linotype"/>
          <w:i/>
          <w:sz w:val="22"/>
          <w:szCs w:val="22"/>
        </w:rPr>
        <w:t>La clasificación de la información</w:t>
      </w:r>
      <w:r w:rsidRPr="005B36AC">
        <w:rPr>
          <w:rFonts w:ascii="Palatino Linotype" w:eastAsia="Palatino Linotype" w:hAnsi="Palatino Linotype" w:cs="Palatino Linotype"/>
          <w:b/>
          <w:i/>
          <w:sz w:val="22"/>
          <w:szCs w:val="22"/>
        </w:rPr>
        <w:t>;</w:t>
      </w:r>
    </w:p>
    <w:p w14:paraId="5A805A4C" w14:textId="77777777" w:rsidR="009D5003" w:rsidRPr="005B36AC" w:rsidRDefault="009D5003">
      <w:pPr>
        <w:tabs>
          <w:tab w:val="left" w:pos="7938"/>
        </w:tabs>
        <w:spacing w:before="120" w:after="120"/>
        <w:ind w:left="1134" w:right="900"/>
        <w:jc w:val="both"/>
        <w:rPr>
          <w:rFonts w:ascii="Palatino Linotype" w:eastAsia="Palatino Linotype" w:hAnsi="Palatino Linotype" w:cs="Palatino Linotype"/>
          <w:b/>
          <w:i/>
          <w:sz w:val="22"/>
          <w:szCs w:val="22"/>
        </w:rPr>
      </w:pPr>
      <w:r w:rsidRPr="005B36AC">
        <w:rPr>
          <w:rFonts w:ascii="Palatino Linotype" w:eastAsia="Palatino Linotype" w:hAnsi="Palatino Linotype" w:cs="Palatino Linotype"/>
          <w:b/>
          <w:i/>
          <w:sz w:val="22"/>
          <w:szCs w:val="22"/>
        </w:rPr>
        <w:t>...</w:t>
      </w:r>
    </w:p>
    <w:p w14:paraId="09150DE0" w14:textId="77777777" w:rsidR="005801F9" w:rsidRPr="005B36AC" w:rsidRDefault="009D5003">
      <w:pPr>
        <w:tabs>
          <w:tab w:val="left" w:pos="7938"/>
        </w:tabs>
        <w:spacing w:before="120" w:after="120"/>
        <w:ind w:left="1134" w:right="900"/>
        <w:jc w:val="both"/>
        <w:rPr>
          <w:rFonts w:ascii="Palatino Linotype" w:eastAsia="Palatino Linotype" w:hAnsi="Palatino Linotype" w:cs="Palatino Linotype"/>
          <w:i/>
          <w:sz w:val="22"/>
          <w:szCs w:val="22"/>
        </w:rPr>
      </w:pPr>
      <w:r w:rsidRPr="005B36AC">
        <w:rPr>
          <w:rFonts w:ascii="Palatino Linotype" w:hAnsi="Palatino Linotype"/>
          <w:b/>
          <w:i/>
          <w:sz w:val="22"/>
          <w:szCs w:val="22"/>
        </w:rPr>
        <w:t>XIII.</w:t>
      </w:r>
      <w:r w:rsidRPr="005B36AC">
        <w:rPr>
          <w:rFonts w:ascii="Palatino Linotype" w:hAnsi="Palatino Linotype"/>
          <w:i/>
          <w:sz w:val="22"/>
          <w:szCs w:val="22"/>
        </w:rPr>
        <w:t xml:space="preserve"> La falta, deficiencia o insuficiencia de la fundamentación y/o motivación en la respuesta; y </w:t>
      </w:r>
    </w:p>
    <w:p w14:paraId="07C202F3" w14:textId="77777777" w:rsidR="005801F9" w:rsidRPr="005B36AC" w:rsidRDefault="003D6A59">
      <w:pPr>
        <w:spacing w:before="240" w:after="240" w:line="360" w:lineRule="auto"/>
        <w:jc w:val="both"/>
        <w:rPr>
          <w:rFonts w:ascii="Palatino Linotype" w:eastAsia="Palatino Linotype" w:hAnsi="Palatino Linotype" w:cs="Palatino Linotype"/>
          <w:b/>
        </w:rPr>
      </w:pPr>
      <w:r w:rsidRPr="005B36AC">
        <w:rPr>
          <w:rFonts w:ascii="Palatino Linotype" w:eastAsia="Palatino Linotype" w:hAnsi="Palatino Linotype" w:cs="Palatino Linotype"/>
          <w:b/>
        </w:rPr>
        <w:t xml:space="preserve">Tercero. Materia de la revisión. </w:t>
      </w:r>
      <w:r w:rsidRPr="005B36AC">
        <w:rPr>
          <w:rFonts w:ascii="Palatino Linotype" w:eastAsia="Palatino Linotype" w:hAnsi="Palatino Linotype" w:cs="Palatino Linotype"/>
        </w:rPr>
        <w:t xml:space="preserve">De la revisión a las constancias y documentos que obran en el expediente electrónico se advierte, que el tema sobre el que este Organismo Garante de Transparencia y Acceso a la Información se pronunciará será: </w:t>
      </w:r>
      <w:r w:rsidRPr="005B36AC">
        <w:rPr>
          <w:rFonts w:ascii="Palatino Linotype" w:eastAsia="Palatino Linotype" w:hAnsi="Palatino Linotype" w:cs="Palatino Linotype"/>
          <w:b/>
        </w:rPr>
        <w:t xml:space="preserve">verificar si la información proporcionada por el Sujeto Obligado es adecuada y suficiente para satisfacer el derecho de acceso a la información pública </w:t>
      </w:r>
      <w:r w:rsidRPr="005B36AC">
        <w:rPr>
          <w:rFonts w:ascii="Palatino Linotype" w:eastAsia="Palatino Linotype" w:hAnsi="Palatino Linotype" w:cs="Palatino Linotype"/>
        </w:rPr>
        <w:t xml:space="preserve">de la parte </w:t>
      </w:r>
      <w:r w:rsidRPr="005B36AC">
        <w:rPr>
          <w:rFonts w:ascii="Palatino Linotype" w:eastAsia="Palatino Linotype" w:hAnsi="Palatino Linotype" w:cs="Palatino Linotype"/>
          <w:b/>
        </w:rPr>
        <w:t>Recurrente</w:t>
      </w:r>
      <w:r w:rsidRPr="005B36AC">
        <w:rPr>
          <w:rFonts w:ascii="Palatino Linotype" w:eastAsia="Palatino Linotype" w:hAnsi="Palatino Linotype" w:cs="Palatino Linotype"/>
        </w:rPr>
        <w:t>, o en su defecto, en caso de ser procedente, ordenar la entrega de información.</w:t>
      </w:r>
    </w:p>
    <w:p w14:paraId="38F7DD13" w14:textId="77777777" w:rsidR="005801F9" w:rsidRPr="005B36AC" w:rsidRDefault="003D6A59">
      <w:pPr>
        <w:spacing w:before="240" w:after="240" w:line="360" w:lineRule="auto"/>
        <w:jc w:val="both"/>
        <w:rPr>
          <w:rFonts w:ascii="Palatino Linotype" w:eastAsia="Palatino Linotype" w:hAnsi="Palatino Linotype" w:cs="Palatino Linotype"/>
        </w:rPr>
      </w:pPr>
      <w:bookmarkStart w:id="8" w:name="_heading=h.2et92p0" w:colFirst="0" w:colLast="0"/>
      <w:bookmarkEnd w:id="8"/>
      <w:r w:rsidRPr="005B36AC">
        <w:rPr>
          <w:rFonts w:ascii="Palatino Linotype" w:eastAsia="Palatino Linotype" w:hAnsi="Palatino Linotype" w:cs="Palatino Linotype"/>
          <w:b/>
        </w:rPr>
        <w:t xml:space="preserve">Cuarto. Estudio del asunto. </w:t>
      </w:r>
      <w:r w:rsidRPr="005B36AC">
        <w:rPr>
          <w:rFonts w:ascii="Palatino Linotype" w:eastAsia="Palatino Linotype" w:hAnsi="Palatino Linotype" w:cs="Palatino Linotype"/>
        </w:rPr>
        <w:t>En primer lugar, es conveniente mencionar que de conformidad con el artículo 4 de la Ley de Transparencia y Acceso a la Información Pública del Estado de México y Municipios toda la información generada, obtenida, adquirida, transformada, administrada o en posesión de los sujetos obligados es pública y accesible de manera permanente a cualquier persona, privilegiando el principio de máxima publicidad, como así lo establece dicha determinación, que a continuación se transcribe para un mejor entendimiento:</w:t>
      </w:r>
    </w:p>
    <w:p w14:paraId="17E8EF9B" w14:textId="77777777" w:rsidR="005801F9" w:rsidRPr="005B36AC" w:rsidRDefault="003D6A59">
      <w:pPr>
        <w:spacing w:before="120" w:after="120"/>
        <w:ind w:left="851" w:right="902"/>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i/>
          <w:sz w:val="22"/>
          <w:szCs w:val="22"/>
        </w:rPr>
        <w:lastRenderedPageBreak/>
        <w:t>“</w:t>
      </w:r>
      <w:r w:rsidRPr="005B36AC">
        <w:rPr>
          <w:rFonts w:ascii="Palatino Linotype" w:eastAsia="Palatino Linotype" w:hAnsi="Palatino Linotype" w:cs="Palatino Linotype"/>
          <w:b/>
          <w:i/>
          <w:sz w:val="22"/>
          <w:szCs w:val="22"/>
        </w:rPr>
        <w:t>Artículo 4</w:t>
      </w:r>
      <w:r w:rsidRPr="005B36AC">
        <w:rPr>
          <w:rFonts w:ascii="Palatino Linotype" w:eastAsia="Palatino Linotype" w:hAnsi="Palatino Linotype" w:cs="Palatino Linotype"/>
          <w:i/>
          <w:sz w:val="22"/>
          <w:szCs w:val="22"/>
        </w:rPr>
        <w:t xml:space="preserve">. El derecho humano de acceso a la información pública es la prerrogativa de las personas para buscar, difundir, investigar, recabar, recibir y solicitar información pública, sin necesidad de acreditar personalidad ni interés jurídico. </w:t>
      </w:r>
    </w:p>
    <w:p w14:paraId="5E3CCEA5" w14:textId="77777777" w:rsidR="005801F9" w:rsidRPr="005B36AC" w:rsidRDefault="003D6A59">
      <w:pPr>
        <w:spacing w:before="120" w:after="120"/>
        <w:ind w:left="851" w:right="902"/>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b/>
          <w:i/>
          <w:sz w:val="22"/>
          <w:szCs w:val="22"/>
        </w:rPr>
        <w:t>Toda la información generada, obtenida, adquirida, transformada, administrada o en posesión de los sujetos obligados es pública y accesible de manera permanente a cualquier persona</w:t>
      </w:r>
      <w:r w:rsidRPr="005B36AC">
        <w:rPr>
          <w:rFonts w:ascii="Palatino Linotype" w:eastAsia="Palatino Linotype" w:hAnsi="Palatino Linotype" w:cs="Palatino Linotype"/>
          <w:i/>
          <w:sz w:val="22"/>
          <w:szCs w:val="22"/>
        </w:rPr>
        <w:t>, en los términos y condiciones que se establezcan en los tratados internacionales de los que el Estado mexicano sea parte, en la Ley General, la presente Ley y demás disposiciones de la materia, privilegiando el principio de máxima publicidad de la información. Solo podrá ser clasificada excepcionalmente Ley de Transparencia y Acceso a la Información Pública del Estado de México y Municipios 29 como reservada temporalmente por razones de interés público, en los términos de las causas legítimas y estrictamente necesarias previstas por esta Ley.</w:t>
      </w:r>
    </w:p>
    <w:p w14:paraId="5DD078C4" w14:textId="77777777" w:rsidR="005801F9" w:rsidRPr="005B36AC" w:rsidRDefault="003D6A59">
      <w:pPr>
        <w:spacing w:before="120" w:after="120"/>
        <w:ind w:left="851" w:right="902"/>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b/>
          <w:i/>
          <w:sz w:val="22"/>
          <w:szCs w:val="22"/>
        </w:rPr>
        <w:t>Los sujetos obligados deben poner en práctica, políticas y programas de acceso a la información que se apeguen a criterios de publicidad, veracidad, oportunidad, precisión y suficiencia en beneficio de los solicitantes</w:t>
      </w:r>
      <w:r w:rsidRPr="005B36AC">
        <w:rPr>
          <w:rFonts w:ascii="Palatino Linotype" w:eastAsia="Palatino Linotype" w:hAnsi="Palatino Linotype" w:cs="Palatino Linotype"/>
          <w:i/>
          <w:sz w:val="22"/>
          <w:szCs w:val="22"/>
        </w:rPr>
        <w:t>.”</w:t>
      </w:r>
    </w:p>
    <w:p w14:paraId="21B5D577" w14:textId="77777777" w:rsidR="005801F9" w:rsidRPr="005B36AC" w:rsidRDefault="003D6A59">
      <w:pPr>
        <w:spacing w:before="240" w:after="240" w:line="360" w:lineRule="auto"/>
        <w:jc w:val="both"/>
        <w:rPr>
          <w:rFonts w:ascii="Palatino Linotype" w:eastAsia="Palatino Linotype" w:hAnsi="Palatino Linotype" w:cs="Palatino Linotype"/>
        </w:rPr>
      </w:pPr>
      <w:r w:rsidRPr="005B36AC">
        <w:rPr>
          <w:rFonts w:ascii="Palatino Linotype" w:eastAsia="Palatino Linotype" w:hAnsi="Palatino Linotype" w:cs="Palatino Linotype"/>
        </w:rPr>
        <w:t>Esto es, que los Sujetos Obligados tiene la obligación o deber de atender las solicitudes de acceso a la información pública que se les hagan de su conocimiento y proporcionar la información pública que obren en su poder conforme el estado que se encuentra y no hacer un procesamiento de la misma, ni presentarla conforme al interés del solicitante; como así lo establece el artículo 12 de la Ley de Transparencia y Acceso a la Información Pública del Estado de México y Municipios, que a la letra dice:</w:t>
      </w:r>
    </w:p>
    <w:p w14:paraId="57CAFD09" w14:textId="77777777" w:rsidR="005801F9" w:rsidRPr="005B36AC" w:rsidRDefault="003D6A59">
      <w:pPr>
        <w:spacing w:before="120" w:after="120"/>
        <w:ind w:left="851" w:right="902"/>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b/>
          <w:i/>
          <w:sz w:val="22"/>
          <w:szCs w:val="22"/>
        </w:rPr>
        <w:t>“Artículo 12.-</w:t>
      </w:r>
      <w:r w:rsidRPr="005B36AC">
        <w:rPr>
          <w:rFonts w:ascii="Palatino Linotype" w:eastAsia="Palatino Linotype" w:hAnsi="Palatino Linotype" w:cs="Palatino Linotype"/>
          <w:i/>
          <w:sz w:val="22"/>
          <w:szCs w:val="22"/>
        </w:rPr>
        <w:t xml:space="preserve"> Quienes generen, recopilen, administren, manejen, procesen, archiven o conserven información pública serán responsables de la misma en los términos de las disposiciones jurídicas aplicables. </w:t>
      </w:r>
    </w:p>
    <w:p w14:paraId="215A3510" w14:textId="77777777" w:rsidR="005801F9" w:rsidRPr="005B36AC" w:rsidRDefault="003D6A59">
      <w:pPr>
        <w:spacing w:before="120" w:after="120"/>
        <w:ind w:left="851" w:right="902"/>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b/>
          <w:i/>
          <w:sz w:val="22"/>
          <w:szCs w:val="22"/>
        </w:rPr>
        <w:t>Los sujetos obligados sólo proporcionarán la información pública que se les requiera y que obre en sus archivos y en el estado en que ésta se encuentre</w:t>
      </w:r>
      <w:r w:rsidRPr="005B36AC">
        <w:rPr>
          <w:rFonts w:ascii="Palatino Linotype" w:eastAsia="Palatino Linotype" w:hAnsi="Palatino Linotype" w:cs="Palatino Linotype"/>
          <w:i/>
          <w:sz w:val="22"/>
          <w:szCs w:val="22"/>
        </w:rPr>
        <w:t xml:space="preserve">. </w:t>
      </w:r>
      <w:r w:rsidRPr="005B36AC">
        <w:rPr>
          <w:rFonts w:ascii="Palatino Linotype" w:eastAsia="Palatino Linotype" w:hAnsi="Palatino Linotype" w:cs="Palatino Linotype"/>
          <w:b/>
          <w:i/>
          <w:sz w:val="22"/>
          <w:szCs w:val="22"/>
        </w:rPr>
        <w:t xml:space="preserve">La obligación de proporcionar información no comprende el procesamiento de la misma, ni el presentarla conforme al interés del </w:t>
      </w:r>
      <w:r w:rsidRPr="005B36AC">
        <w:rPr>
          <w:rFonts w:ascii="Palatino Linotype" w:eastAsia="Palatino Linotype" w:hAnsi="Palatino Linotype" w:cs="Palatino Linotype"/>
          <w:b/>
          <w:i/>
          <w:sz w:val="22"/>
          <w:szCs w:val="22"/>
        </w:rPr>
        <w:lastRenderedPageBreak/>
        <w:t>solicitante; no estarán obligados a generarla, resumirla, efectuar cálculos o practicar investigaciones.”</w:t>
      </w:r>
    </w:p>
    <w:p w14:paraId="1CB264C8" w14:textId="77777777" w:rsidR="005801F9" w:rsidRPr="005B36AC" w:rsidRDefault="003D6A59">
      <w:pPr>
        <w:spacing w:before="240" w:after="240" w:line="360" w:lineRule="auto"/>
        <w:ind w:right="-93"/>
        <w:jc w:val="both"/>
        <w:rPr>
          <w:rFonts w:ascii="Palatino Linotype" w:eastAsia="Palatino Linotype" w:hAnsi="Palatino Linotype" w:cs="Palatino Linotype"/>
        </w:rPr>
      </w:pPr>
      <w:r w:rsidRPr="005B36AC">
        <w:rPr>
          <w:rFonts w:ascii="Palatino Linotype" w:eastAsia="Palatino Linotype" w:hAnsi="Palatino Linotype" w:cs="Palatino Linotype"/>
        </w:rPr>
        <w:t>Es decir, que todo sujeto obligado que genere, recopile, administre, procese, archive, posea o conserven, son responsables de la misma teniendo a su vez la obligación de proporcionar la información que se les requiera sin necesidad de resumirla, efectuar procedimientos para obtenerla, calcular y practicar investigaciones; en otras palabras, que los Sujetos Obligados sólo se concretaran a proporcionar la información solicitada que tengan en su poder en el estado que se encuentran, sin necesidad de concretarse al interés o términos específicos del solicitante.</w:t>
      </w:r>
    </w:p>
    <w:p w14:paraId="02D10874" w14:textId="77777777" w:rsidR="005801F9" w:rsidRPr="005B36AC" w:rsidRDefault="003D6A59">
      <w:pPr>
        <w:spacing w:before="240" w:after="240" w:line="360" w:lineRule="auto"/>
        <w:jc w:val="both"/>
        <w:rPr>
          <w:rFonts w:ascii="Palatino Linotype" w:eastAsia="Palatino Linotype" w:hAnsi="Palatino Linotype" w:cs="Palatino Linotype"/>
          <w:b/>
        </w:rPr>
      </w:pPr>
      <w:r w:rsidRPr="005B36AC">
        <w:rPr>
          <w:rFonts w:ascii="Palatino Linotype" w:eastAsia="Palatino Linotype" w:hAnsi="Palatino Linotype" w:cs="Palatino Linotype"/>
        </w:rPr>
        <w:t>Sirve de apoyo a lo anterior, el criterio 03/17, emitido por el Instituto Nacional de Transparencia, Acceso a la Información y Protección de Datos Personales, que por rubro y texto, dispone lo siguiente:</w:t>
      </w:r>
      <w:r w:rsidRPr="005B36AC">
        <w:rPr>
          <w:rFonts w:ascii="Palatino Linotype" w:eastAsia="Palatino Linotype" w:hAnsi="Palatino Linotype" w:cs="Palatino Linotype"/>
          <w:b/>
        </w:rPr>
        <w:t xml:space="preserve"> </w:t>
      </w:r>
    </w:p>
    <w:p w14:paraId="283DFBAC" w14:textId="77777777" w:rsidR="005801F9" w:rsidRPr="005B36AC" w:rsidRDefault="003D6A59">
      <w:pPr>
        <w:spacing w:before="120" w:after="120"/>
        <w:ind w:left="1134" w:right="902"/>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i/>
          <w:sz w:val="22"/>
          <w:szCs w:val="22"/>
        </w:rPr>
        <w:t>“</w:t>
      </w:r>
      <w:r w:rsidRPr="005B36AC">
        <w:rPr>
          <w:rFonts w:ascii="Palatino Linotype" w:eastAsia="Palatino Linotype" w:hAnsi="Palatino Linotype" w:cs="Palatino Linotype"/>
          <w:b/>
          <w:i/>
          <w:sz w:val="22"/>
          <w:szCs w:val="22"/>
        </w:rPr>
        <w:t>No existe obligación de elaborar documentos ad hoc para atender las solicitudes de acceso a la información.</w:t>
      </w:r>
      <w:r w:rsidRPr="005B36AC">
        <w:rPr>
          <w:rFonts w:ascii="Palatino Linotype" w:eastAsia="Palatino Linotype" w:hAnsi="Palatino Linotype" w:cs="Palatino Linotype"/>
          <w:i/>
          <w:sz w:val="22"/>
          <w:szCs w:val="22"/>
        </w:rPr>
        <w:t xml:space="preserve"> Los artículos 129 de la Ley General de Transparencia y Acceso a la Información Pública y 130, párrafo cuarto, de la Ley Federal de Transparencia y Acceso a la Información Pública, señalan que los sujetos obligados deberán otorgar acceso a los documentos que se encuentren en sus archivos o que estén obligados a documentar, de acuerdo con sus facultades, competencias o funciones, conforme a las características físicas de la información o del lugar donde se encuentre. Por lo anterior, los sujetos obligados deben garantizar el derecho de acceso a la información del particular, proporcionando la información con la que cuentan en el formato en que la misma obre en sus archivos; sin necesidad de elaborar documentos ad hoc para atender las solicitudes de información.” (Sic)</w:t>
      </w:r>
    </w:p>
    <w:p w14:paraId="6CECAB6F" w14:textId="77777777" w:rsidR="005801F9" w:rsidRPr="005B36AC" w:rsidRDefault="003D6A59">
      <w:pPr>
        <w:spacing w:before="120" w:after="120" w:line="360" w:lineRule="auto"/>
        <w:jc w:val="both"/>
        <w:rPr>
          <w:rFonts w:ascii="Palatino Linotype" w:eastAsia="Palatino Linotype" w:hAnsi="Palatino Linotype" w:cs="Palatino Linotype"/>
        </w:rPr>
      </w:pPr>
      <w:r w:rsidRPr="005B36AC">
        <w:rPr>
          <w:rFonts w:ascii="Palatino Linotype" w:eastAsia="Palatino Linotype" w:hAnsi="Palatino Linotype" w:cs="Palatino Linotype"/>
        </w:rPr>
        <w:t xml:space="preserve">En esa tesitura, el artículo 24 en su último párrafo de la Ley de la Materia, dispone que los Sujetos Obligados sólo proporcionarán la información pública que generen, administren o posean en el ejercicio de sus atribuciones; por consiguiente, la información pública se encuentra a disposición de cualquier persona, lo que implica </w:t>
      </w:r>
      <w:r w:rsidRPr="005B36AC">
        <w:rPr>
          <w:rFonts w:ascii="Palatino Linotype" w:eastAsia="Palatino Linotype" w:hAnsi="Palatino Linotype" w:cs="Palatino Linotype"/>
        </w:rPr>
        <w:lastRenderedPageBreak/>
        <w:t>que es deber de los Sujetos Obligados, garantizar el Derecho de Acceso a la Información Pública.</w:t>
      </w:r>
    </w:p>
    <w:p w14:paraId="4E79A9C6" w14:textId="77777777" w:rsidR="005801F9" w:rsidRPr="005B36AC" w:rsidRDefault="003D6A59">
      <w:pPr>
        <w:spacing w:before="120" w:after="120" w:line="360" w:lineRule="auto"/>
        <w:jc w:val="both"/>
        <w:rPr>
          <w:rFonts w:ascii="Palatino Linotype" w:eastAsia="Palatino Linotype" w:hAnsi="Palatino Linotype" w:cs="Palatino Linotype"/>
        </w:rPr>
      </w:pPr>
      <w:r w:rsidRPr="005B36AC">
        <w:rPr>
          <w:rFonts w:ascii="Palatino Linotype" w:eastAsia="Palatino Linotype" w:hAnsi="Palatino Linotype" w:cs="Palatino Linotype"/>
        </w:rPr>
        <w:t xml:space="preserve">En conclusión, el derecho de acceso a la información pública, consiste en que la información solicitada conste en un documento en cualquiera de sus formas, a saber: expedientes, reportes, estudios, actas, resoluciones, oficios, correspondencia, acuerdos, directivas, directrices, circulares, contratos, convenios, instructivos, notas, memorandos, estadísticas o bien, cualquier otro registro que documente el ejercicio de las facultades, funciones y competencias de los Sujetos Obligados; los que, podrán estar en cualquier medio, sea escrito, impreso, sonoro, visual, electrónico, informático u holográfico de conformidad con el artículo 3, fracción XI de la Ley de la materia, el cual señala lo siguiente: </w:t>
      </w:r>
    </w:p>
    <w:p w14:paraId="2C72F2DD" w14:textId="77777777" w:rsidR="005801F9" w:rsidRPr="005B36AC" w:rsidRDefault="003D6A59">
      <w:pPr>
        <w:spacing w:before="120" w:after="120"/>
        <w:ind w:left="851" w:right="902"/>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i/>
          <w:sz w:val="22"/>
          <w:szCs w:val="22"/>
        </w:rPr>
        <w:t>“</w:t>
      </w:r>
      <w:r w:rsidRPr="005B36AC">
        <w:rPr>
          <w:rFonts w:ascii="Palatino Linotype" w:eastAsia="Palatino Linotype" w:hAnsi="Palatino Linotype" w:cs="Palatino Linotype"/>
          <w:b/>
          <w:i/>
          <w:sz w:val="22"/>
          <w:szCs w:val="22"/>
        </w:rPr>
        <w:t xml:space="preserve">Artículo 3. </w:t>
      </w:r>
      <w:r w:rsidRPr="005B36AC">
        <w:rPr>
          <w:rFonts w:ascii="Palatino Linotype" w:eastAsia="Palatino Linotype" w:hAnsi="Palatino Linotype" w:cs="Palatino Linotype"/>
          <w:i/>
          <w:sz w:val="22"/>
          <w:szCs w:val="22"/>
        </w:rPr>
        <w:t>Para los efectos de la presente Ley se entenderá por:</w:t>
      </w:r>
    </w:p>
    <w:p w14:paraId="50DBCB45" w14:textId="77777777" w:rsidR="005801F9" w:rsidRPr="005B36AC" w:rsidRDefault="003D6A59">
      <w:pPr>
        <w:spacing w:before="120" w:after="120"/>
        <w:ind w:left="1134" w:right="902"/>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i/>
          <w:sz w:val="22"/>
          <w:szCs w:val="22"/>
        </w:rPr>
        <w:t>…</w:t>
      </w:r>
    </w:p>
    <w:p w14:paraId="1B11FEBE" w14:textId="77777777" w:rsidR="005801F9" w:rsidRPr="005B36AC" w:rsidRDefault="003D6A59">
      <w:pPr>
        <w:spacing w:before="120" w:after="120"/>
        <w:ind w:left="1134" w:right="902"/>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b/>
          <w:i/>
          <w:sz w:val="22"/>
          <w:szCs w:val="22"/>
        </w:rPr>
        <w:t>XI. Documento:</w:t>
      </w:r>
      <w:r w:rsidRPr="005B36AC">
        <w:rPr>
          <w:rFonts w:ascii="Palatino Linotype" w:eastAsia="Palatino Linotype" w:hAnsi="Palatino Linotype" w:cs="Palatino Linotype"/>
          <w:i/>
          <w:sz w:val="22"/>
          <w:szCs w:val="22"/>
        </w:rPr>
        <w:t xml:space="preserve"> Los expedientes, reportes, estudios, actas</w:t>
      </w:r>
      <w:r w:rsidRPr="005B36AC">
        <w:rPr>
          <w:rFonts w:ascii="Palatino Linotype" w:eastAsia="Palatino Linotype" w:hAnsi="Palatino Linotype" w:cs="Palatino Linotype"/>
          <w:b/>
          <w:i/>
          <w:sz w:val="22"/>
          <w:szCs w:val="22"/>
        </w:rPr>
        <w:t>,</w:t>
      </w:r>
      <w:r w:rsidRPr="005B36AC">
        <w:rPr>
          <w:rFonts w:ascii="Palatino Linotype" w:eastAsia="Palatino Linotype" w:hAnsi="Palatino Linotype" w:cs="Palatino Linotype"/>
          <w:i/>
          <w:sz w:val="22"/>
          <w:szCs w:val="22"/>
        </w:rPr>
        <w:t xml:space="preserve"> resoluciones, oficios, correspondencia, acuerdos, directivas, directrices, circulares, contratos, convenios, instructivos, notas, memorandos, estadísticas o bien, cualquier otro registro que documente el ejercicio de las facultades, funciones y competencias de los sujetos obligados, sus servidores públicos e integrantes, sin importar su fuente o fecha de elaboración. Los documentos podrán estar en cualquier medio, sea escrito, impreso, sonoro, visual, electrónico, informático u holográfico…” </w:t>
      </w:r>
    </w:p>
    <w:p w14:paraId="1C668F59" w14:textId="77777777" w:rsidR="005801F9" w:rsidRPr="005B36AC" w:rsidRDefault="003D6A59">
      <w:pPr>
        <w:spacing w:before="240" w:after="240" w:line="360" w:lineRule="auto"/>
        <w:jc w:val="both"/>
        <w:rPr>
          <w:rFonts w:ascii="Palatino Linotype" w:eastAsia="Palatino Linotype" w:hAnsi="Palatino Linotype" w:cs="Palatino Linotype"/>
        </w:rPr>
      </w:pPr>
      <w:r w:rsidRPr="005B36AC">
        <w:rPr>
          <w:rFonts w:ascii="Palatino Linotype" w:eastAsia="Palatino Linotype" w:hAnsi="Palatino Linotype" w:cs="Palatino Linotype"/>
        </w:rPr>
        <w:t>Es aplicable, el Criterio de interpretación en el orden administrativo número 0002-11, emitido por Acuerdo del Pleno del Instituto de Transparencia y Acceso a la Información Pública del Estado de México y Municipios; publicado en el Periódico Oficial del Gobierno del Estado Libre y Soberano de México “Gaceta del Gobierno”, el diecinueve de octubre de dos mil once, cuyo rubro y texto refieren lo siguiente:</w:t>
      </w:r>
    </w:p>
    <w:p w14:paraId="25961862" w14:textId="77777777" w:rsidR="005801F9" w:rsidRPr="005B36AC" w:rsidRDefault="003D6A59">
      <w:pPr>
        <w:spacing w:before="120" w:after="120"/>
        <w:ind w:left="851" w:right="902"/>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b/>
          <w:sz w:val="22"/>
          <w:szCs w:val="22"/>
        </w:rPr>
        <w:lastRenderedPageBreak/>
        <w:t>“</w:t>
      </w:r>
      <w:r w:rsidRPr="005B36AC">
        <w:rPr>
          <w:rFonts w:ascii="Palatino Linotype" w:eastAsia="Palatino Linotype" w:hAnsi="Palatino Linotype" w:cs="Palatino Linotype"/>
          <w:b/>
          <w:i/>
          <w:sz w:val="22"/>
          <w:szCs w:val="22"/>
        </w:rPr>
        <w:t>INFORMACIÓN PÚBLICA, CONCEPTO DE, EN MATERIA DE TRANSPARENCIA. INTERPRETACIÓN SISTEMÁTICA DE LOS ARTÍCULOS 2°, FRACCIÓN V, XV, Y XVI, 3°, 4°, 11 Y 41.</w:t>
      </w:r>
      <w:r w:rsidRPr="005B36AC">
        <w:rPr>
          <w:rFonts w:ascii="Palatino Linotype" w:eastAsia="Palatino Linotype" w:hAnsi="Palatino Linotype" w:cs="Palatino Linotype"/>
          <w:i/>
          <w:sz w:val="22"/>
          <w:szCs w:val="22"/>
        </w:rPr>
        <w:t xml:space="preserve"> De conformidad con los artículos antes referidos, el derecho de acceso a la información pública, se define en cuanto a su alcance y resultado material, el acceso a los archivos, registros y documentos públicos, administrados, generados o en posesión de los órganos u organismos públicos, en virtud del ejercicio de sus funciones de derecho público, sin importar su fuente, soporte o fecha de elaboración.</w:t>
      </w:r>
    </w:p>
    <w:p w14:paraId="0A323348" w14:textId="77777777" w:rsidR="005801F9" w:rsidRPr="005B36AC" w:rsidRDefault="003D6A59">
      <w:pPr>
        <w:spacing w:before="120" w:after="120"/>
        <w:ind w:left="851" w:right="902"/>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i/>
          <w:sz w:val="22"/>
          <w:szCs w:val="22"/>
        </w:rPr>
        <w:t>En consecuencia el acceso a la información se refiere a que se cumplan cualquiera de los siguientes tres supuestos:</w:t>
      </w:r>
    </w:p>
    <w:p w14:paraId="42E6162A" w14:textId="77777777" w:rsidR="005801F9" w:rsidRPr="005B36AC" w:rsidRDefault="003D6A59">
      <w:pPr>
        <w:spacing w:before="120" w:after="120"/>
        <w:ind w:left="1134" w:right="902"/>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i/>
          <w:sz w:val="22"/>
          <w:szCs w:val="22"/>
        </w:rPr>
        <w:t>1) Que se trate de información registrada en cualquier soporte documental, que en ejercicio de las atribuciones conferidas, sea generada por los Sujetos Obligados;</w:t>
      </w:r>
    </w:p>
    <w:p w14:paraId="0FED2E44" w14:textId="77777777" w:rsidR="005801F9" w:rsidRPr="005B36AC" w:rsidRDefault="003D6A59">
      <w:pPr>
        <w:spacing w:before="120" w:after="120"/>
        <w:ind w:left="1134" w:right="902"/>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i/>
          <w:sz w:val="22"/>
          <w:szCs w:val="22"/>
        </w:rPr>
        <w:t>2) Que se trate de información registrada en cualquier soporte documental, que en ejercicio de las atribuciones conferidas, sea administrada por los Sujetos Obligados, y</w:t>
      </w:r>
    </w:p>
    <w:p w14:paraId="1914947D" w14:textId="77777777" w:rsidR="005801F9" w:rsidRPr="005B36AC" w:rsidRDefault="003D6A59">
      <w:pPr>
        <w:spacing w:before="120" w:after="120"/>
        <w:ind w:left="1134" w:right="902"/>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i/>
          <w:sz w:val="22"/>
          <w:szCs w:val="22"/>
        </w:rPr>
        <w:t>3) Que se trate de información registrada en cualquier soporte documental, que en ejercicio de las atribuciones conferidas, se encuentre en posesión de los Sujetos Obligados.”</w:t>
      </w:r>
    </w:p>
    <w:p w14:paraId="45913236" w14:textId="77777777" w:rsidR="005801F9" w:rsidRPr="005B36AC" w:rsidRDefault="003D6A59">
      <w:pPr>
        <w:spacing w:before="240" w:after="240" w:line="360" w:lineRule="auto"/>
        <w:ind w:right="51"/>
        <w:jc w:val="both"/>
        <w:rPr>
          <w:rFonts w:ascii="Palatino Linotype" w:eastAsia="Palatino Linotype" w:hAnsi="Palatino Linotype" w:cs="Palatino Linotype"/>
        </w:rPr>
      </w:pPr>
      <w:r w:rsidRPr="005B36AC">
        <w:rPr>
          <w:rFonts w:ascii="Palatino Linotype" w:eastAsia="Palatino Linotype" w:hAnsi="Palatino Linotype" w:cs="Palatino Linotype"/>
        </w:rPr>
        <w:t>Lo anterior, siempre y cuando no se trate de información clasificada como reservada o confidencial, cuya difusión pueda lesionar el interés jurídicamente protegido por la Ley, producir un daño mayor que el interés de conocerse, o bien, generar un daño en los derechos de las personas, debiendo tener audacia los Sujetos Obligados para cuidar esta información a través del acuerdo clasificatorio del comité de transparencia y la versión pública que emita el servidor público habilitado de cada Sujeto Obligado; como así se establece en la Ley de Transparencia y Acceso a la Información Pública del Estado de México y Municipios.</w:t>
      </w:r>
    </w:p>
    <w:p w14:paraId="6E40214C" w14:textId="77777777" w:rsidR="005801F9" w:rsidRPr="005B36AC" w:rsidRDefault="003D6A59">
      <w:pPr>
        <w:spacing w:before="240" w:after="240" w:line="360" w:lineRule="auto"/>
        <w:jc w:val="both"/>
        <w:rPr>
          <w:rFonts w:ascii="Palatino Linotype" w:eastAsia="Palatino Linotype" w:hAnsi="Palatino Linotype" w:cs="Palatino Linotype"/>
        </w:rPr>
      </w:pPr>
      <w:r w:rsidRPr="005B36AC">
        <w:rPr>
          <w:rFonts w:ascii="Palatino Linotype" w:eastAsia="Palatino Linotype" w:hAnsi="Palatino Linotype" w:cs="Palatino Linotype"/>
        </w:rPr>
        <w:t xml:space="preserve">En el mismo tenor, los artículos 6, apartado A, fracción I, de la Constitución Política de los Estados Unidos Mexicanos y 5, fracción I, de la Constitución Política del Estado Libre y Soberano de México, establecen que toda la información en posesión </w:t>
      </w:r>
      <w:r w:rsidRPr="005B36AC">
        <w:rPr>
          <w:rFonts w:ascii="Palatino Linotype" w:eastAsia="Palatino Linotype" w:hAnsi="Palatino Linotype" w:cs="Palatino Linotype"/>
        </w:rPr>
        <w:lastRenderedPageBreak/>
        <w:t>de cualquier autoridad, entidad, órgano y organismos de los Poderes Ejecutivo, Legislativo y Judicial, órganos autónomos, partidos políticos, fideicomisos y fondos públicos estatales y municipales, así como del gobierno y de la administración pública municipal y sus organismos descentralizados, asimismo de cualquier persona física, jurídica colectiva o sindicato que reciba y ejerza recursos públicos o realice actos de autoridad en el ámbito estatal y municipal, es pública y sólo podrá ser reservada temporalmente por las razones previstas en la Constitución Federal por interés público y seguridad, en los términos que fijen las leyes de la materia.</w:t>
      </w:r>
    </w:p>
    <w:p w14:paraId="2D4A5F17" w14:textId="77777777" w:rsidR="005801F9" w:rsidRPr="005B36AC" w:rsidRDefault="003D6A59">
      <w:pPr>
        <w:spacing w:before="240" w:after="240" w:line="360" w:lineRule="auto"/>
        <w:ind w:right="51"/>
        <w:jc w:val="both"/>
        <w:rPr>
          <w:rFonts w:ascii="Palatino Linotype" w:eastAsia="Palatino Linotype" w:hAnsi="Palatino Linotype" w:cs="Palatino Linotype"/>
        </w:rPr>
      </w:pPr>
      <w:r w:rsidRPr="005B36AC">
        <w:rPr>
          <w:rFonts w:ascii="Palatino Linotype" w:eastAsia="Palatino Linotype" w:hAnsi="Palatino Linotype" w:cs="Palatino Linotype"/>
        </w:rPr>
        <w:t xml:space="preserve">Ahora bien, del análisis de la solicitud de información, motivo del recurso de revisión que ahora se resuelve, se advierte que la parte </w:t>
      </w:r>
      <w:r w:rsidRPr="005B36AC">
        <w:rPr>
          <w:rFonts w:ascii="Palatino Linotype" w:eastAsia="Palatino Linotype" w:hAnsi="Palatino Linotype" w:cs="Palatino Linotype"/>
          <w:b/>
        </w:rPr>
        <w:t>Recurrente</w:t>
      </w:r>
      <w:r w:rsidRPr="005B36AC">
        <w:rPr>
          <w:rFonts w:ascii="Palatino Linotype" w:eastAsia="Palatino Linotype" w:hAnsi="Palatino Linotype" w:cs="Palatino Linotype"/>
        </w:rPr>
        <w:t xml:space="preserve"> requirió al </w:t>
      </w:r>
      <w:r w:rsidRPr="005B36AC">
        <w:rPr>
          <w:rFonts w:ascii="Palatino Linotype" w:eastAsia="Palatino Linotype" w:hAnsi="Palatino Linotype" w:cs="Palatino Linotype"/>
          <w:b/>
        </w:rPr>
        <w:t xml:space="preserve">Sujeto Obligado </w:t>
      </w:r>
      <w:r w:rsidRPr="005B36AC">
        <w:rPr>
          <w:rFonts w:ascii="Palatino Linotype" w:eastAsia="Palatino Linotype" w:hAnsi="Palatino Linotype" w:cs="Palatino Linotype"/>
        </w:rPr>
        <w:t>le proporcione, información consistente en lo siguiente:</w:t>
      </w:r>
    </w:p>
    <w:p w14:paraId="192EC036" w14:textId="77777777" w:rsidR="005801F9" w:rsidRPr="005B36AC" w:rsidRDefault="003D6A59" w:rsidP="009D5003">
      <w:pPr>
        <w:spacing w:before="240" w:after="240" w:line="360" w:lineRule="auto"/>
        <w:ind w:left="284" w:right="51"/>
        <w:jc w:val="both"/>
        <w:rPr>
          <w:rFonts w:ascii="Palatino Linotype" w:eastAsia="Palatino Linotype" w:hAnsi="Palatino Linotype" w:cs="Palatino Linotype"/>
        </w:rPr>
      </w:pPr>
      <w:r w:rsidRPr="005B36AC">
        <w:rPr>
          <w:rFonts w:ascii="Palatino Linotype" w:eastAsia="Palatino Linotype" w:hAnsi="Palatino Linotype" w:cs="Palatino Linotype"/>
        </w:rPr>
        <w:t xml:space="preserve">1. </w:t>
      </w:r>
      <w:r w:rsidR="009D5003" w:rsidRPr="005B36AC">
        <w:rPr>
          <w:rFonts w:ascii="Palatino Linotype" w:eastAsia="Palatino Linotype" w:hAnsi="Palatino Linotype" w:cs="Palatino Linotype"/>
        </w:rPr>
        <w:t>El oficio número D.J.M./22/2024, del dieciocho de junio de dos mil veinticuatro, suscrito por el Director Jurídico del Ayuntamiento, en versión pública.</w:t>
      </w:r>
    </w:p>
    <w:p w14:paraId="31909CB4" w14:textId="77777777" w:rsidR="007213B6" w:rsidRPr="005B36AC" w:rsidRDefault="003D6A59" w:rsidP="007213B6">
      <w:pPr>
        <w:spacing w:before="240" w:after="240" w:line="360" w:lineRule="auto"/>
        <w:ind w:right="49"/>
        <w:jc w:val="both"/>
        <w:rPr>
          <w:rFonts w:ascii="Palatino Linotype" w:eastAsia="Palatino Linotype" w:hAnsi="Palatino Linotype" w:cs="Palatino Linotype"/>
        </w:rPr>
      </w:pPr>
      <w:r w:rsidRPr="005B36AC">
        <w:rPr>
          <w:rFonts w:ascii="Palatino Linotype" w:eastAsia="Palatino Linotype" w:hAnsi="Palatino Linotype" w:cs="Palatino Linotype"/>
        </w:rPr>
        <w:t xml:space="preserve">El </w:t>
      </w:r>
      <w:r w:rsidRPr="005B36AC">
        <w:rPr>
          <w:rFonts w:ascii="Palatino Linotype" w:eastAsia="Palatino Linotype" w:hAnsi="Palatino Linotype" w:cs="Palatino Linotype"/>
          <w:b/>
        </w:rPr>
        <w:t xml:space="preserve">Sujeto Obligado, </w:t>
      </w:r>
      <w:r w:rsidRPr="005B36AC">
        <w:rPr>
          <w:rFonts w:ascii="Palatino Linotype" w:eastAsia="Palatino Linotype" w:hAnsi="Palatino Linotype" w:cs="Palatino Linotype"/>
        </w:rPr>
        <w:t>por conducto de la Unidad de Transparencia</w:t>
      </w:r>
      <w:r w:rsidR="009D5003" w:rsidRPr="005B36AC">
        <w:rPr>
          <w:rFonts w:ascii="Palatino Linotype" w:eastAsia="Palatino Linotype" w:hAnsi="Palatino Linotype" w:cs="Palatino Linotype"/>
        </w:rPr>
        <w:t xml:space="preserve"> y la Directora Jurídica en funciones </w:t>
      </w:r>
      <w:r w:rsidRPr="005B36AC">
        <w:rPr>
          <w:rFonts w:ascii="Palatino Linotype" w:eastAsia="Palatino Linotype" w:hAnsi="Palatino Linotype" w:cs="Palatino Linotype"/>
        </w:rPr>
        <w:t xml:space="preserve">hizo </w:t>
      </w:r>
      <w:r w:rsidR="009D5003" w:rsidRPr="005B36AC">
        <w:rPr>
          <w:rFonts w:ascii="Palatino Linotype" w:eastAsia="Palatino Linotype" w:hAnsi="Palatino Linotype" w:cs="Palatino Linotype"/>
        </w:rPr>
        <w:t>entrega del oficio número D.J.M./22/2024</w:t>
      </w:r>
      <w:r w:rsidR="007213B6" w:rsidRPr="005B36AC">
        <w:rPr>
          <w:rFonts w:ascii="Palatino Linotype" w:eastAsia="Palatino Linotype" w:hAnsi="Palatino Linotype" w:cs="Palatino Linotype"/>
        </w:rPr>
        <w:t xml:space="preserve"> testado, sin embargo, al haber omitido hacer entrega del acuerdo mediante el cual el Comité de Transparencia aprobara la eliminación de datos, la persona solicitante interpuso el recurso de revisión que nos ocupa, donde señaló como motivo de inconformidad que no se fundó ni motivó la clasificación de la información, al observar la existencia de información testada en el documento mediante el cual se dio respuesta.</w:t>
      </w:r>
    </w:p>
    <w:p w14:paraId="13D86B01" w14:textId="77777777" w:rsidR="005801F9" w:rsidRPr="005B36AC" w:rsidRDefault="00A757A2">
      <w:pPr>
        <w:pBdr>
          <w:top w:val="nil"/>
          <w:left w:val="nil"/>
          <w:bottom w:val="nil"/>
          <w:right w:val="nil"/>
          <w:between w:val="nil"/>
        </w:pBdr>
        <w:spacing w:before="240" w:after="240" w:line="360" w:lineRule="auto"/>
        <w:jc w:val="both"/>
        <w:rPr>
          <w:rFonts w:ascii="Palatino Linotype" w:eastAsia="Palatino Linotype" w:hAnsi="Palatino Linotype" w:cs="Palatino Linotype"/>
        </w:rPr>
      </w:pPr>
      <w:r w:rsidRPr="005B36AC">
        <w:rPr>
          <w:rFonts w:ascii="Palatino Linotype" w:eastAsia="Palatino Linotype" w:hAnsi="Palatino Linotype" w:cs="Palatino Linotype"/>
        </w:rPr>
        <w:t>D</w:t>
      </w:r>
      <w:r w:rsidR="003D6A59" w:rsidRPr="005B36AC">
        <w:rPr>
          <w:rFonts w:ascii="Palatino Linotype" w:eastAsia="Palatino Linotype" w:hAnsi="Palatino Linotype" w:cs="Palatino Linotype"/>
        </w:rPr>
        <w:t xml:space="preserve">urante el periodo de manifestaciones el </w:t>
      </w:r>
      <w:r w:rsidR="003D6A59" w:rsidRPr="005B36AC">
        <w:rPr>
          <w:rFonts w:ascii="Palatino Linotype" w:eastAsia="Palatino Linotype" w:hAnsi="Palatino Linotype" w:cs="Palatino Linotype"/>
          <w:b/>
        </w:rPr>
        <w:t xml:space="preserve">Sujeto Obligado </w:t>
      </w:r>
      <w:r w:rsidR="003D6A59" w:rsidRPr="005B36AC">
        <w:rPr>
          <w:rFonts w:ascii="Palatino Linotype" w:eastAsia="Palatino Linotype" w:hAnsi="Palatino Linotype" w:cs="Palatino Linotype"/>
        </w:rPr>
        <w:t xml:space="preserve">fue omiso en rendir su informe justificado, y la parte </w:t>
      </w:r>
      <w:r w:rsidR="003D6A59" w:rsidRPr="005B36AC">
        <w:rPr>
          <w:rFonts w:ascii="Palatino Linotype" w:eastAsia="Palatino Linotype" w:hAnsi="Palatino Linotype" w:cs="Palatino Linotype"/>
          <w:b/>
        </w:rPr>
        <w:t xml:space="preserve">Recurrente </w:t>
      </w:r>
      <w:r w:rsidR="003D6A59" w:rsidRPr="005B36AC">
        <w:rPr>
          <w:rFonts w:ascii="Palatino Linotype" w:eastAsia="Palatino Linotype" w:hAnsi="Palatino Linotype" w:cs="Palatino Linotype"/>
        </w:rPr>
        <w:t xml:space="preserve">fue omisa en hacer valer manifestaciones </w:t>
      </w:r>
      <w:r w:rsidR="003D6A59" w:rsidRPr="005B36AC">
        <w:rPr>
          <w:rFonts w:ascii="Palatino Linotype" w:eastAsia="Palatino Linotype" w:hAnsi="Palatino Linotype" w:cs="Palatino Linotype"/>
        </w:rPr>
        <w:lastRenderedPageBreak/>
        <w:t>o rendir alegatos que conforme a derecho resultaran procedentes, por lo tanto se tiene por precluido su derecho.</w:t>
      </w:r>
    </w:p>
    <w:p w14:paraId="708DAF05" w14:textId="77777777" w:rsidR="005801F9" w:rsidRPr="005B36AC" w:rsidRDefault="003D6A59">
      <w:pPr>
        <w:spacing w:before="280" w:after="280" w:line="360" w:lineRule="auto"/>
        <w:jc w:val="both"/>
        <w:rPr>
          <w:rFonts w:ascii="Palatino Linotype" w:eastAsia="Palatino Linotype" w:hAnsi="Palatino Linotype" w:cs="Palatino Linotype"/>
        </w:rPr>
      </w:pPr>
      <w:r w:rsidRPr="005B36AC">
        <w:rPr>
          <w:rFonts w:ascii="Palatino Linotype" w:eastAsia="Palatino Linotype" w:hAnsi="Palatino Linotype" w:cs="Palatino Linotype"/>
        </w:rPr>
        <w:t xml:space="preserve">Una vez establecidas las posturas de las partes, se procede al análisis del requerimiento de información combatido, así como la información proporcionada por el </w:t>
      </w:r>
      <w:r w:rsidRPr="005B36AC">
        <w:rPr>
          <w:rFonts w:ascii="Palatino Linotype" w:eastAsia="Palatino Linotype" w:hAnsi="Palatino Linotype" w:cs="Palatino Linotype"/>
          <w:b/>
        </w:rPr>
        <w:t xml:space="preserve">Sujeto Obligado, </w:t>
      </w:r>
      <w:r w:rsidRPr="005B36AC">
        <w:rPr>
          <w:rFonts w:ascii="Palatino Linotype" w:eastAsia="Palatino Linotype" w:hAnsi="Palatino Linotype" w:cs="Palatino Linotype"/>
        </w:rPr>
        <w:t xml:space="preserve">en contraposición con el motivo de inconformidad alegado por la parte </w:t>
      </w:r>
      <w:r w:rsidRPr="005B36AC">
        <w:rPr>
          <w:rFonts w:ascii="Palatino Linotype" w:eastAsia="Palatino Linotype" w:hAnsi="Palatino Linotype" w:cs="Palatino Linotype"/>
          <w:b/>
        </w:rPr>
        <w:t xml:space="preserve">Recurrente, </w:t>
      </w:r>
      <w:r w:rsidRPr="005B36AC">
        <w:rPr>
          <w:rFonts w:ascii="Palatino Linotype" w:eastAsia="Palatino Linotype" w:hAnsi="Palatino Linotype" w:cs="Palatino Linotype"/>
        </w:rPr>
        <w:t>con la finalidad de determinar si el Derecho de acceso de esta se satisfizo, o en su defecto, señalar los documentos que en el ejercicio de sus atribuciones pudo haber generado, y que, de manera enunciativa más no limitativa, pudieran colmar dicho derecho, en caso de ser procedente.</w:t>
      </w:r>
    </w:p>
    <w:p w14:paraId="068052B9" w14:textId="77777777" w:rsidR="00003A63" w:rsidRPr="005B36AC" w:rsidRDefault="003D6A59">
      <w:pPr>
        <w:spacing w:before="240" w:after="240" w:line="360" w:lineRule="auto"/>
        <w:ind w:right="49"/>
        <w:jc w:val="both"/>
        <w:rPr>
          <w:rFonts w:ascii="Palatino Linotype" w:eastAsia="Palatino Linotype" w:hAnsi="Palatino Linotype" w:cs="Palatino Linotype"/>
        </w:rPr>
      </w:pPr>
      <w:r w:rsidRPr="005B36AC">
        <w:rPr>
          <w:rFonts w:ascii="Palatino Linotype" w:eastAsia="Palatino Linotype" w:hAnsi="Palatino Linotype" w:cs="Palatino Linotype"/>
        </w:rPr>
        <w:t>En este tenor, en principio es imprescindible mencionar que</w:t>
      </w:r>
      <w:r w:rsidR="002400B7" w:rsidRPr="005B36AC">
        <w:rPr>
          <w:rFonts w:ascii="Palatino Linotype" w:eastAsia="Palatino Linotype" w:hAnsi="Palatino Linotype" w:cs="Palatino Linotype"/>
        </w:rPr>
        <w:t xml:space="preserve"> de la lectura de los motivos de inconformidad de la parte </w:t>
      </w:r>
      <w:r w:rsidR="002400B7" w:rsidRPr="005B36AC">
        <w:rPr>
          <w:rFonts w:ascii="Palatino Linotype" w:eastAsia="Palatino Linotype" w:hAnsi="Palatino Linotype" w:cs="Palatino Linotype"/>
          <w:b/>
        </w:rPr>
        <w:t xml:space="preserve">Recurrente, </w:t>
      </w:r>
      <w:r w:rsidR="002400B7" w:rsidRPr="005B36AC">
        <w:rPr>
          <w:rFonts w:ascii="Palatino Linotype" w:eastAsia="Palatino Linotype" w:hAnsi="Palatino Linotype" w:cs="Palatino Linotype"/>
        </w:rPr>
        <w:t xml:space="preserve">no se advierte que esta se inconforme respecto del documento entregado, esto es el </w:t>
      </w:r>
      <w:r w:rsidR="002400B7" w:rsidRPr="005B36AC">
        <w:rPr>
          <w:rFonts w:ascii="Palatino Linotype" w:eastAsia="Palatino Linotype" w:hAnsi="Palatino Linotype" w:cs="Palatino Linotype"/>
          <w:b/>
          <w:u w:val="single"/>
        </w:rPr>
        <w:t xml:space="preserve">oficio número </w:t>
      </w:r>
      <w:r w:rsidR="002400B7" w:rsidRPr="005B36AC">
        <w:rPr>
          <w:rFonts w:ascii="Palatino Linotype" w:hAnsi="Palatino Linotype"/>
          <w:b/>
          <w:u w:val="single"/>
        </w:rPr>
        <w:t>D.J.M/22/2024</w:t>
      </w:r>
      <w:r w:rsidR="002400B7" w:rsidRPr="005B36AC">
        <w:rPr>
          <w:rFonts w:ascii="Palatino Linotype" w:eastAsia="Palatino Linotype" w:hAnsi="Palatino Linotype" w:cs="Palatino Linotype"/>
        </w:rPr>
        <w:t xml:space="preserve">, del </w:t>
      </w:r>
      <w:r w:rsidR="002400B7" w:rsidRPr="005B36AC">
        <w:rPr>
          <w:rFonts w:ascii="Palatino Linotype" w:hAnsi="Palatino Linotype"/>
        </w:rPr>
        <w:t xml:space="preserve">dieciocho de junio de dos mil veinticuatro, signado por el Director Jurídico, </w:t>
      </w:r>
      <w:r w:rsidR="002400B7" w:rsidRPr="005B36AC">
        <w:rPr>
          <w:rFonts w:ascii="Palatino Linotype" w:hAnsi="Palatino Linotype"/>
          <w:b/>
          <w:u w:val="single"/>
        </w:rPr>
        <w:t>al corresponder con lo solicitado</w:t>
      </w:r>
      <w:r w:rsidR="002400B7" w:rsidRPr="005B36AC">
        <w:rPr>
          <w:rFonts w:ascii="Palatino Linotype" w:hAnsi="Palatino Linotype"/>
        </w:rPr>
        <w:t xml:space="preserve">, como se </w:t>
      </w:r>
      <w:r w:rsidR="00003A63" w:rsidRPr="005B36AC">
        <w:rPr>
          <w:rFonts w:ascii="Palatino Linotype" w:hAnsi="Palatino Linotype"/>
        </w:rPr>
        <w:t xml:space="preserve">desprende de los antecedentes </w:t>
      </w:r>
      <w:r w:rsidR="002400B7" w:rsidRPr="005B36AC">
        <w:rPr>
          <w:rFonts w:ascii="Palatino Linotype" w:hAnsi="Palatino Linotype"/>
        </w:rPr>
        <w:t>1</w:t>
      </w:r>
      <w:r w:rsidR="00003A63" w:rsidRPr="005B36AC">
        <w:rPr>
          <w:rFonts w:ascii="Palatino Linotype" w:hAnsi="Palatino Linotype"/>
        </w:rPr>
        <w:t xml:space="preserve"> y 2</w:t>
      </w:r>
      <w:r w:rsidR="002400B7" w:rsidRPr="005B36AC">
        <w:rPr>
          <w:rFonts w:ascii="Palatino Linotype" w:hAnsi="Palatino Linotype"/>
        </w:rPr>
        <w:t xml:space="preserve"> de la presente resolución, sino que </w:t>
      </w:r>
      <w:r w:rsidR="002400B7" w:rsidRPr="005B36AC">
        <w:rPr>
          <w:rFonts w:ascii="Palatino Linotype" w:eastAsia="Palatino Linotype" w:hAnsi="Palatino Linotype" w:cs="Palatino Linotype"/>
        </w:rPr>
        <w:t xml:space="preserve">alega que el </w:t>
      </w:r>
      <w:r w:rsidR="002400B7" w:rsidRPr="005B36AC">
        <w:rPr>
          <w:rFonts w:ascii="Palatino Linotype" w:eastAsia="Palatino Linotype" w:hAnsi="Palatino Linotype" w:cs="Palatino Linotype"/>
          <w:b/>
        </w:rPr>
        <w:t>Sujeto Obligado</w:t>
      </w:r>
      <w:r w:rsidR="002400B7" w:rsidRPr="005B36AC">
        <w:rPr>
          <w:rFonts w:ascii="Palatino Linotype" w:eastAsia="Palatino Linotype" w:hAnsi="Palatino Linotype" w:cs="Palatino Linotype"/>
        </w:rPr>
        <w:t xml:space="preserve"> testó información</w:t>
      </w:r>
      <w:r w:rsidR="00003A63" w:rsidRPr="005B36AC">
        <w:rPr>
          <w:rFonts w:ascii="Palatino Linotype" w:eastAsia="Palatino Linotype" w:hAnsi="Palatino Linotype" w:cs="Palatino Linotype"/>
        </w:rPr>
        <w:t xml:space="preserve"> en dicho documento</w:t>
      </w:r>
      <w:r w:rsidR="002400B7" w:rsidRPr="005B36AC">
        <w:rPr>
          <w:rFonts w:ascii="Palatino Linotype" w:eastAsia="Palatino Linotype" w:hAnsi="Palatino Linotype" w:cs="Palatino Linotype"/>
        </w:rPr>
        <w:t>, sin haber fundado y motivado la clasificación</w:t>
      </w:r>
      <w:r w:rsidR="00003A63" w:rsidRPr="005B36AC">
        <w:rPr>
          <w:rFonts w:ascii="Palatino Linotype" w:eastAsia="Palatino Linotype" w:hAnsi="Palatino Linotype" w:cs="Palatino Linotype"/>
        </w:rPr>
        <w:t>.</w:t>
      </w:r>
    </w:p>
    <w:p w14:paraId="03F23916" w14:textId="77777777" w:rsidR="00003A63" w:rsidRPr="005B36AC" w:rsidRDefault="00003A63" w:rsidP="00003A63">
      <w:pPr>
        <w:spacing w:before="240" w:after="240" w:line="360" w:lineRule="auto"/>
        <w:jc w:val="both"/>
        <w:rPr>
          <w:rFonts w:ascii="Palatino Linotype" w:eastAsia="Palatino Linotype" w:hAnsi="Palatino Linotype" w:cs="Palatino Linotype"/>
        </w:rPr>
      </w:pPr>
      <w:r w:rsidRPr="005B36AC">
        <w:rPr>
          <w:rFonts w:ascii="Palatino Linotype" w:eastAsia="Palatino Linotype" w:hAnsi="Palatino Linotype" w:cs="Palatino Linotype"/>
        </w:rPr>
        <w:t>Por lo que, al no haber realizado manifestaciones de inconformidad respecto al documento entregado en respuesta, se infiere que dicha información satisface la pretensión de la persona solicitante, pues se insiste, únicamente impugnó la clasificación de información, sin la debida motivación y fundamentación.</w:t>
      </w:r>
    </w:p>
    <w:p w14:paraId="7E84A51B" w14:textId="77777777" w:rsidR="00003A63" w:rsidRPr="005B36AC" w:rsidRDefault="00003A63" w:rsidP="00003A63">
      <w:pPr>
        <w:spacing w:before="240" w:after="240" w:line="360" w:lineRule="auto"/>
        <w:jc w:val="both"/>
        <w:rPr>
          <w:rFonts w:ascii="Palatino Linotype" w:eastAsia="Palatino Linotype" w:hAnsi="Palatino Linotype" w:cs="Palatino Linotype"/>
        </w:rPr>
      </w:pPr>
      <w:r w:rsidRPr="005B36AC">
        <w:rPr>
          <w:rFonts w:ascii="Palatino Linotype" w:eastAsia="Palatino Linotype" w:hAnsi="Palatino Linotype" w:cs="Palatino Linotype"/>
        </w:rPr>
        <w:lastRenderedPageBreak/>
        <w:t>Por consiguiente, debe  declararse consentido el documento entregado, ya que al no haber realizado manifestaciones de inconformidad al respecto, no pueden producirse efectos jurídicos tendentes a revocar, confirmar o modificar el acto, y por consiguiente, no es procedente el análisis de fondo en la resolución.</w:t>
      </w:r>
    </w:p>
    <w:p w14:paraId="41BEEBC7" w14:textId="77777777" w:rsidR="00003A63" w:rsidRPr="005B36AC" w:rsidRDefault="00003A63" w:rsidP="00003A63">
      <w:pPr>
        <w:spacing w:before="240" w:after="240" w:line="360" w:lineRule="auto"/>
        <w:jc w:val="both"/>
        <w:rPr>
          <w:rFonts w:ascii="Palatino Linotype" w:eastAsia="Palatino Linotype" w:hAnsi="Palatino Linotype" w:cs="Palatino Linotype"/>
        </w:rPr>
      </w:pPr>
      <w:r w:rsidRPr="005B36AC">
        <w:rPr>
          <w:rFonts w:ascii="Palatino Linotype" w:eastAsia="Palatino Linotype" w:hAnsi="Palatino Linotype" w:cs="Palatino Linotype"/>
        </w:rPr>
        <w:t xml:space="preserve">Sirve de sustento lo plasmado en el Criterio de interpretación con clave de control SO/001/2020, emitido por el Pleno del Instituto Nacional de Transparencia, Acceso a la Información, y Protección de Datos Personales, INAI, que lleva por rubro y texto, lo siguiente: </w:t>
      </w:r>
    </w:p>
    <w:p w14:paraId="54680B95" w14:textId="77777777" w:rsidR="00003A63" w:rsidRPr="005B36AC" w:rsidRDefault="00003A63" w:rsidP="00003A63">
      <w:pPr>
        <w:pBdr>
          <w:top w:val="nil"/>
          <w:left w:val="nil"/>
          <w:bottom w:val="nil"/>
          <w:right w:val="nil"/>
          <w:between w:val="nil"/>
        </w:pBdr>
        <w:spacing w:before="120" w:after="120"/>
        <w:ind w:left="851" w:right="902"/>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i/>
          <w:sz w:val="22"/>
          <w:szCs w:val="22"/>
        </w:rPr>
        <w:t>“</w:t>
      </w:r>
      <w:r w:rsidRPr="005B36AC">
        <w:rPr>
          <w:rFonts w:ascii="Palatino Linotype" w:eastAsia="Palatino Linotype" w:hAnsi="Palatino Linotype" w:cs="Palatino Linotype"/>
          <w:b/>
          <w:i/>
          <w:sz w:val="22"/>
          <w:szCs w:val="22"/>
        </w:rPr>
        <w:t xml:space="preserve">Actos consentidos tácitamente. Improcedencia de su análisis. </w:t>
      </w:r>
      <w:r w:rsidRPr="005B36AC">
        <w:rPr>
          <w:rFonts w:ascii="Palatino Linotype" w:eastAsia="Palatino Linotype" w:hAnsi="Palatino Linotype" w:cs="Palatino Linotype"/>
          <w:i/>
          <w:sz w:val="22"/>
          <w:szCs w:val="22"/>
        </w:rPr>
        <w:t>Si en su recurso de revisión, la persona recurrente no expresó inconformidad alguna con ciertas partes de la respuesta otorgada, se entienden tácitamente consentidas, por ende, no deben formar parte del estudio de fondo de la resolución que emite el Instituto.”</w:t>
      </w:r>
    </w:p>
    <w:p w14:paraId="36912840" w14:textId="77777777" w:rsidR="00003A63" w:rsidRPr="005B36AC" w:rsidRDefault="00003A63" w:rsidP="00003A63">
      <w:pPr>
        <w:spacing w:before="240" w:after="240" w:line="360" w:lineRule="auto"/>
        <w:jc w:val="both"/>
        <w:rPr>
          <w:rFonts w:ascii="Palatino Linotype" w:eastAsia="Palatino Linotype" w:hAnsi="Palatino Linotype" w:cs="Palatino Linotype"/>
        </w:rPr>
      </w:pPr>
      <w:r w:rsidRPr="005B36AC">
        <w:rPr>
          <w:rFonts w:ascii="Palatino Linotype" w:eastAsia="Palatino Linotype" w:hAnsi="Palatino Linotype" w:cs="Palatino Linotype"/>
        </w:rPr>
        <w:t>Asimismo, resulta aplicable por analogía la tesis jurisprudencial número VI.3o.C. J/60, publicada en el Semanario Judicial de la Federación y su Gaceta bajo el número de registro 176,608 que a la letra dice:</w:t>
      </w:r>
    </w:p>
    <w:p w14:paraId="79C1DFE9" w14:textId="77777777" w:rsidR="00003A63" w:rsidRPr="005B36AC" w:rsidRDefault="00003A63" w:rsidP="00003A63">
      <w:pPr>
        <w:ind w:left="851" w:right="900"/>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b/>
          <w:i/>
          <w:smallCaps/>
          <w:sz w:val="22"/>
          <w:szCs w:val="22"/>
        </w:rPr>
        <w:t xml:space="preserve">“ACTOS CONSENTIDOS. SON LOS QUE NO SE IMPUGNAN MEDIANTE EL RECURSO IDÓNEO. </w:t>
      </w:r>
      <w:r w:rsidRPr="005B36AC">
        <w:rPr>
          <w:rFonts w:ascii="Palatino Linotype" w:eastAsia="Palatino Linotype" w:hAnsi="Palatino Linotype" w:cs="Palatino Linotype"/>
          <w:i/>
          <w:sz w:val="22"/>
          <w:szCs w:val="22"/>
        </w:rPr>
        <w:t>Debe reputarse como consentido el acto que no se impugnó por el medio establecido por la ley, ya que si se hizo uso de otro no previsto por ella o si se hace una simple manifestación de inconformidad, tales actuaciones no producen efectos jurídicos tendientes a revocar, confirmar o modificar el acto reclamado en amparo, lo que significa consentimiento del mismo por falta de impugnación eficaz.”</w:t>
      </w:r>
    </w:p>
    <w:p w14:paraId="1DB7E47C" w14:textId="40C69A03" w:rsidR="00003A63" w:rsidRPr="005B36AC" w:rsidRDefault="00003A63">
      <w:pPr>
        <w:spacing w:before="240" w:after="240" w:line="360" w:lineRule="auto"/>
        <w:ind w:right="49"/>
        <w:jc w:val="both"/>
        <w:rPr>
          <w:rFonts w:ascii="Palatino Linotype" w:eastAsia="Palatino Linotype" w:hAnsi="Palatino Linotype" w:cs="Palatino Linotype"/>
        </w:rPr>
      </w:pPr>
      <w:r w:rsidRPr="005B36AC">
        <w:rPr>
          <w:rFonts w:ascii="Palatino Linotype" w:eastAsia="Palatino Linotype" w:hAnsi="Palatino Linotype" w:cs="Palatino Linotype"/>
        </w:rPr>
        <w:t>En este sentido, la presente resolución se centrará en el análisis de la procedencia o  improcedencia de la clasificación de los datos que fueron eliminados en el documento entregado, y la debida fundamentación y motivación en caso de resultar procedente.</w:t>
      </w:r>
    </w:p>
    <w:p w14:paraId="32C51FD2" w14:textId="1E0F28FA" w:rsidR="00DA424F" w:rsidRPr="005B36AC" w:rsidRDefault="00D76681" w:rsidP="00DA424F">
      <w:pPr>
        <w:spacing w:before="240" w:after="240" w:line="360" w:lineRule="auto"/>
        <w:jc w:val="both"/>
        <w:rPr>
          <w:rFonts w:ascii="Palatino Linotype" w:eastAsiaTheme="minorEastAsia" w:hAnsi="Palatino Linotype" w:cs="Arial"/>
        </w:rPr>
      </w:pPr>
      <w:r w:rsidRPr="005B36AC">
        <w:rPr>
          <w:rFonts w:ascii="Palatino Linotype" w:eastAsia="Palatino Linotype" w:hAnsi="Palatino Linotype" w:cs="Palatino Linotype"/>
        </w:rPr>
        <w:lastRenderedPageBreak/>
        <w:t xml:space="preserve">Atento a lo anterior, </w:t>
      </w:r>
      <w:r w:rsidR="00DA424F" w:rsidRPr="005B36AC">
        <w:rPr>
          <w:rFonts w:ascii="Palatino Linotype" w:eastAsia="Palatino Linotype" w:hAnsi="Palatino Linotype" w:cs="Palatino Linotype"/>
        </w:rPr>
        <w:t xml:space="preserve">es importante mencionar que el </w:t>
      </w:r>
      <w:r w:rsidR="00DA424F" w:rsidRPr="005B36AC">
        <w:rPr>
          <w:rFonts w:ascii="Palatino Linotype" w:eastAsia="Palatino Linotype" w:hAnsi="Palatino Linotype" w:cs="Palatino Linotype"/>
          <w:b/>
        </w:rPr>
        <w:t>Sujeto Obligado</w:t>
      </w:r>
      <w:r w:rsidR="00DA424F" w:rsidRPr="005B36AC">
        <w:rPr>
          <w:rFonts w:ascii="Palatino Linotype" w:eastAsia="Palatino Linotype" w:hAnsi="Palatino Linotype" w:cs="Palatino Linotype"/>
        </w:rPr>
        <w:t xml:space="preserve">, al ser </w:t>
      </w:r>
      <w:r w:rsidR="00DA424F" w:rsidRPr="005B36AC">
        <w:rPr>
          <w:rFonts w:ascii="Palatino Linotype" w:hAnsi="Palatino Linotype"/>
        </w:rPr>
        <w:t xml:space="preserve">un ente que ejerce recursos públicos, tiene la obligación de transparentar sus actuaciones, garantizando el derecho humano de acceso a la información pública, lo cierto es que dicho derecho puede ser restringido de manera </w:t>
      </w:r>
      <w:r w:rsidR="00DA424F" w:rsidRPr="005B36AC">
        <w:rPr>
          <w:rFonts w:ascii="Palatino Linotype" w:hAnsi="Palatino Linotype" w:cs="Arial"/>
        </w:rPr>
        <w:t xml:space="preserve">excepcional por razones de interés público, </w:t>
      </w:r>
      <w:r w:rsidR="00DA424F" w:rsidRPr="005B36AC">
        <w:rPr>
          <w:rFonts w:ascii="Palatino Linotype" w:eastAsiaTheme="minorEastAsia" w:hAnsi="Palatino Linotype" w:cs="Arial"/>
        </w:rPr>
        <w:t>en los términos de las causas legítimas y estrictamente necesarias previstas por la Ley, a través de la clasificación de la información como confidencial o reservada para permitir el acceso, como se desprende del artículo 91 de la Ley de la Materia que es del tenor literal siguiente:</w:t>
      </w:r>
    </w:p>
    <w:p w14:paraId="4F628CA9" w14:textId="77777777" w:rsidR="00DA424F" w:rsidRPr="005B36AC" w:rsidRDefault="00DA424F" w:rsidP="00DA424F">
      <w:pPr>
        <w:autoSpaceDE w:val="0"/>
        <w:autoSpaceDN w:val="0"/>
        <w:adjustRightInd w:val="0"/>
        <w:ind w:left="851" w:right="900"/>
        <w:jc w:val="both"/>
        <w:rPr>
          <w:rFonts w:ascii="Palatino Linotype" w:eastAsiaTheme="minorEastAsia" w:hAnsi="Palatino Linotype" w:cs="Arial"/>
          <w:i/>
          <w:sz w:val="22"/>
          <w:szCs w:val="22"/>
        </w:rPr>
      </w:pPr>
      <w:r w:rsidRPr="005B36AC">
        <w:rPr>
          <w:rFonts w:ascii="Palatino Linotype" w:eastAsiaTheme="minorEastAsia" w:hAnsi="Palatino Linotype" w:cs="Arial"/>
          <w:b/>
          <w:bCs/>
          <w:i/>
          <w:sz w:val="22"/>
          <w:szCs w:val="22"/>
        </w:rPr>
        <w:t xml:space="preserve">“Artículo 91. </w:t>
      </w:r>
      <w:r w:rsidRPr="005B36AC">
        <w:rPr>
          <w:rFonts w:ascii="Palatino Linotype" w:eastAsiaTheme="minorEastAsia" w:hAnsi="Palatino Linotype" w:cs="Arial"/>
          <w:i/>
          <w:sz w:val="22"/>
          <w:szCs w:val="22"/>
        </w:rPr>
        <w:t>El acceso a la información pública será restringido  excepcionalmente, cuando ésta sea clasificada como reservada o confidencial.”</w:t>
      </w:r>
    </w:p>
    <w:p w14:paraId="12BB1347" w14:textId="77777777" w:rsidR="00DA424F" w:rsidRPr="005B36AC" w:rsidRDefault="00DA424F" w:rsidP="00DA424F">
      <w:pPr>
        <w:spacing w:before="240" w:after="240" w:line="360" w:lineRule="auto"/>
        <w:jc w:val="both"/>
        <w:rPr>
          <w:rFonts w:ascii="Palatino Linotype" w:eastAsia="Palatino Linotype" w:hAnsi="Palatino Linotype" w:cs="Palatino Linotype"/>
        </w:rPr>
      </w:pPr>
      <w:r w:rsidRPr="005B36AC">
        <w:rPr>
          <w:rFonts w:ascii="Palatino Linotype" w:eastAsia="Palatino Linotype" w:hAnsi="Palatino Linotype" w:cs="Palatino Linotype"/>
        </w:rPr>
        <w:t>Es importante mencionar que la restricción al derecho de acceso a la información implica necesariamente una clasificación, la cual debe entenderse como el proceso mediante el cual el Sujeto Obligado determina que la información en su poder, actualiza alguno de los supuestos de reserva o confidencialidad, de conformidad con las normas aplicables.</w:t>
      </w:r>
    </w:p>
    <w:p w14:paraId="2DDF4324" w14:textId="77777777" w:rsidR="00DA424F" w:rsidRPr="005B36AC" w:rsidRDefault="00DA424F" w:rsidP="00DA424F">
      <w:pPr>
        <w:spacing w:before="240" w:after="240" w:line="360" w:lineRule="auto"/>
        <w:jc w:val="both"/>
        <w:rPr>
          <w:rFonts w:ascii="Palatino Linotype" w:eastAsia="Palatino Linotype" w:hAnsi="Palatino Linotype" w:cs="Palatino Linotype"/>
          <w:sz w:val="18"/>
          <w:szCs w:val="18"/>
        </w:rPr>
      </w:pPr>
      <w:r w:rsidRPr="005B36AC">
        <w:rPr>
          <w:rFonts w:ascii="Palatino Linotype" w:eastAsia="Palatino Linotype" w:hAnsi="Palatino Linotype" w:cs="Palatino Linotype"/>
        </w:rPr>
        <w:t>Así, se entiende como información reservada aquella que se clasifica de manera temporal cuya divulgación pueda causar algún daño; y como información confidencial, la relacionada con los secretos bancario, fiduciario, industrial, comercial, fiscal, bursátil y postal, cuya titularidad corresponde a particulares, sujetos de derecho internacional o a sujetos obligados cuando no involucren el ejercicio de recursos públicos, así como la información privada contenida en documentos públicos o privados que refiera a la vida privada y/o los datos personales, que no son de acceso público</w:t>
      </w:r>
      <w:r w:rsidRPr="005B36AC">
        <w:rPr>
          <w:rFonts w:ascii="Palatino Linotype" w:eastAsia="Palatino Linotype" w:hAnsi="Palatino Linotype" w:cs="Palatino Linotype"/>
          <w:sz w:val="18"/>
          <w:szCs w:val="18"/>
        </w:rPr>
        <w:t xml:space="preserve">. </w:t>
      </w:r>
    </w:p>
    <w:p w14:paraId="691F8654" w14:textId="77777777" w:rsidR="00DA424F" w:rsidRPr="005B36AC" w:rsidRDefault="00DA424F" w:rsidP="00DA424F">
      <w:pPr>
        <w:spacing w:before="240" w:after="240" w:line="360" w:lineRule="auto"/>
        <w:jc w:val="both"/>
        <w:rPr>
          <w:rFonts w:ascii="Palatino Linotype" w:eastAsia="Palatino Linotype" w:hAnsi="Palatino Linotype" w:cs="Palatino Linotype"/>
        </w:rPr>
      </w:pPr>
      <w:r w:rsidRPr="005B36AC">
        <w:rPr>
          <w:rFonts w:ascii="Palatino Linotype" w:eastAsia="Palatino Linotype" w:hAnsi="Palatino Linotype" w:cs="Palatino Linotype"/>
        </w:rPr>
        <w:lastRenderedPageBreak/>
        <w:t>En lo que concierne a la información clasificada como confidencial, para que el acceso a la información pública pueda ser restringido, se deben actualizar los supuestos establecidos en el artículo 116 de la y Ley General de Transparencia Acceso a la Información Pública y el artículo 143 de la Ley de Transparencia y Acceso a la Información Pública del Estado de México y Municipios, que a la letra señalan lo siguiente:</w:t>
      </w:r>
    </w:p>
    <w:p w14:paraId="797144F1" w14:textId="77777777" w:rsidR="00DA424F" w:rsidRPr="005B36AC" w:rsidRDefault="00DA424F" w:rsidP="00DA424F">
      <w:pPr>
        <w:spacing w:before="120" w:after="120"/>
        <w:ind w:left="851" w:right="902"/>
        <w:jc w:val="both"/>
        <w:rPr>
          <w:rFonts w:ascii="Palatino Linotype" w:hAnsi="Palatino Linotype"/>
          <w:i/>
          <w:sz w:val="22"/>
        </w:rPr>
      </w:pPr>
      <w:r w:rsidRPr="005B36AC">
        <w:rPr>
          <w:rFonts w:ascii="Palatino Linotype" w:eastAsia="Palatino Linotype" w:hAnsi="Palatino Linotype" w:cs="Palatino Linotype"/>
          <w:i/>
          <w:sz w:val="22"/>
        </w:rPr>
        <w:t>“</w:t>
      </w:r>
      <w:r w:rsidRPr="005B36AC">
        <w:rPr>
          <w:rFonts w:ascii="Palatino Linotype" w:hAnsi="Palatino Linotype"/>
          <w:b/>
          <w:i/>
          <w:sz w:val="22"/>
        </w:rPr>
        <w:t>Artículo 116.</w:t>
      </w:r>
      <w:r w:rsidRPr="005B36AC">
        <w:rPr>
          <w:rFonts w:ascii="Palatino Linotype" w:hAnsi="Palatino Linotype"/>
          <w:i/>
          <w:sz w:val="22"/>
        </w:rPr>
        <w:t xml:space="preserve"> Se considera información confidencial la que contiene datos personales concernientes a una persona identificada o identificable. </w:t>
      </w:r>
    </w:p>
    <w:p w14:paraId="096EB822" w14:textId="77777777" w:rsidR="00DA424F" w:rsidRPr="005B36AC" w:rsidRDefault="00DA424F" w:rsidP="00DA424F">
      <w:pPr>
        <w:spacing w:before="120" w:after="120"/>
        <w:ind w:left="851" w:right="902"/>
        <w:jc w:val="both"/>
        <w:rPr>
          <w:rFonts w:ascii="Palatino Linotype" w:hAnsi="Palatino Linotype"/>
          <w:i/>
          <w:sz w:val="22"/>
        </w:rPr>
      </w:pPr>
      <w:r w:rsidRPr="005B36AC">
        <w:rPr>
          <w:rFonts w:ascii="Palatino Linotype" w:hAnsi="Palatino Linotype"/>
          <w:i/>
          <w:sz w:val="22"/>
        </w:rPr>
        <w:t xml:space="preserve">La información confidencial no estará sujeta a temporalidad alguna y sólo podrán tener acceso a ella los titulares de la misma, sus representantes y los Servidores Públicos facultados para ello. </w:t>
      </w:r>
    </w:p>
    <w:p w14:paraId="779A9716" w14:textId="77777777" w:rsidR="00DA424F" w:rsidRPr="005B36AC" w:rsidRDefault="00DA424F" w:rsidP="00DA424F">
      <w:pPr>
        <w:spacing w:before="120" w:after="120"/>
        <w:ind w:left="851" w:right="902"/>
        <w:jc w:val="both"/>
        <w:rPr>
          <w:rFonts w:ascii="Palatino Linotype" w:hAnsi="Palatino Linotype"/>
          <w:i/>
          <w:sz w:val="22"/>
        </w:rPr>
      </w:pPr>
      <w:r w:rsidRPr="005B36AC">
        <w:rPr>
          <w:rFonts w:ascii="Palatino Linotype" w:hAnsi="Palatino Linotype"/>
          <w:i/>
          <w:sz w:val="22"/>
        </w:rPr>
        <w:t xml:space="preserve">Se considera como información confidencial: los secretos bancario, fiduciario, industrial, comercial, fiscal, bursátil y postal, cuya titularidad corresponda a particulares, sujetos de derecho internacional o a sujetos obligados cuando no involucren el ejercicio de recursos públicos. </w:t>
      </w:r>
    </w:p>
    <w:p w14:paraId="00A323AD" w14:textId="77777777" w:rsidR="00DA424F" w:rsidRPr="005B36AC" w:rsidRDefault="00DA424F" w:rsidP="00DA424F">
      <w:pPr>
        <w:spacing w:before="120" w:after="120"/>
        <w:ind w:left="851" w:right="902"/>
        <w:jc w:val="both"/>
        <w:rPr>
          <w:rFonts w:ascii="Palatino Linotype" w:hAnsi="Palatino Linotype"/>
          <w:i/>
          <w:sz w:val="22"/>
        </w:rPr>
      </w:pPr>
      <w:r w:rsidRPr="005B36AC">
        <w:rPr>
          <w:rFonts w:ascii="Palatino Linotype" w:hAnsi="Palatino Linotype"/>
          <w:i/>
          <w:sz w:val="22"/>
        </w:rPr>
        <w:t>Asimismo, será información confidencial aquella que presenten los particulares a los sujetos obligados, siempre que tengan el derecho a ello, de conformidad con lo dispuesto por las leyes o los tratados internacionales.”</w:t>
      </w:r>
    </w:p>
    <w:p w14:paraId="0D9C60EB" w14:textId="77777777" w:rsidR="00DA424F" w:rsidRPr="005B36AC" w:rsidRDefault="00DA424F" w:rsidP="00DA424F">
      <w:pPr>
        <w:spacing w:before="120" w:after="120"/>
        <w:ind w:left="851" w:right="902"/>
        <w:jc w:val="both"/>
        <w:rPr>
          <w:rFonts w:ascii="Palatino Linotype" w:hAnsi="Palatino Linotype"/>
          <w:i/>
          <w:sz w:val="22"/>
        </w:rPr>
      </w:pPr>
      <w:r w:rsidRPr="005B36AC">
        <w:rPr>
          <w:rFonts w:ascii="Palatino Linotype" w:hAnsi="Palatino Linotype"/>
          <w:i/>
          <w:sz w:val="22"/>
        </w:rPr>
        <w:t>“</w:t>
      </w:r>
      <w:r w:rsidRPr="005B36AC">
        <w:rPr>
          <w:rFonts w:ascii="Palatino Linotype" w:hAnsi="Palatino Linotype"/>
          <w:b/>
          <w:i/>
          <w:sz w:val="22"/>
        </w:rPr>
        <w:t>Artículo 143.</w:t>
      </w:r>
      <w:r w:rsidRPr="005B36AC">
        <w:rPr>
          <w:rFonts w:ascii="Palatino Linotype" w:hAnsi="Palatino Linotype"/>
          <w:i/>
          <w:sz w:val="22"/>
        </w:rPr>
        <w:t xml:space="preserve"> Para los efectos de esta Ley se considera información confidencial, la clasificada como tal, de manera permanente, por su naturaleza, cuando: </w:t>
      </w:r>
    </w:p>
    <w:p w14:paraId="433ECC46" w14:textId="77777777" w:rsidR="00DA424F" w:rsidRPr="005B36AC" w:rsidRDefault="00DA424F" w:rsidP="00DA424F">
      <w:pPr>
        <w:spacing w:before="120" w:after="120"/>
        <w:ind w:left="1134" w:right="902"/>
        <w:jc w:val="both"/>
        <w:rPr>
          <w:rFonts w:ascii="Palatino Linotype" w:hAnsi="Palatino Linotype"/>
          <w:i/>
          <w:sz w:val="22"/>
        </w:rPr>
      </w:pPr>
      <w:r w:rsidRPr="005B36AC">
        <w:rPr>
          <w:rFonts w:ascii="Palatino Linotype" w:hAnsi="Palatino Linotype"/>
          <w:b/>
          <w:i/>
          <w:sz w:val="22"/>
        </w:rPr>
        <w:t>I</w:t>
      </w:r>
      <w:r w:rsidRPr="005B36AC">
        <w:rPr>
          <w:rFonts w:ascii="Palatino Linotype" w:hAnsi="Palatino Linotype"/>
          <w:i/>
          <w:sz w:val="22"/>
        </w:rPr>
        <w:t xml:space="preserve">. Se refiera a la información privada y los datos personales concernientes a una persona física o jurídico colectiva identificada o identificable; </w:t>
      </w:r>
    </w:p>
    <w:p w14:paraId="5B2F618C" w14:textId="77777777" w:rsidR="00DA424F" w:rsidRPr="005B36AC" w:rsidRDefault="00DA424F" w:rsidP="00DA424F">
      <w:pPr>
        <w:spacing w:before="120" w:after="120"/>
        <w:ind w:left="1134" w:right="902"/>
        <w:jc w:val="both"/>
        <w:rPr>
          <w:rFonts w:ascii="Palatino Linotype" w:hAnsi="Palatino Linotype"/>
          <w:i/>
          <w:sz w:val="22"/>
        </w:rPr>
      </w:pPr>
      <w:r w:rsidRPr="005B36AC">
        <w:rPr>
          <w:rFonts w:ascii="Palatino Linotype" w:hAnsi="Palatino Linotype"/>
          <w:b/>
          <w:i/>
          <w:sz w:val="22"/>
        </w:rPr>
        <w:t>II.</w:t>
      </w:r>
      <w:r w:rsidRPr="005B36AC">
        <w:rPr>
          <w:rFonts w:ascii="Palatino Linotype" w:hAnsi="Palatino Linotype"/>
          <w:i/>
          <w:sz w:val="22"/>
        </w:rPr>
        <w:t xml:space="preserve"> Los secretos bancario, fiduciario, industrial, comercial, fiscal, bursátil y postal, cuya titularidad corresponda a particulares, sujetos de derecho internacional o a sujetos obligados cuando no involucren el ejercicio de recursos públicos; y </w:t>
      </w:r>
    </w:p>
    <w:p w14:paraId="43BE1E5D" w14:textId="77777777" w:rsidR="00DA424F" w:rsidRPr="005B36AC" w:rsidRDefault="00DA424F" w:rsidP="00DA424F">
      <w:pPr>
        <w:spacing w:before="120" w:after="120"/>
        <w:ind w:left="1134" w:right="902"/>
        <w:jc w:val="both"/>
        <w:rPr>
          <w:rFonts w:ascii="Palatino Linotype" w:hAnsi="Palatino Linotype"/>
          <w:i/>
          <w:sz w:val="22"/>
        </w:rPr>
      </w:pPr>
      <w:r w:rsidRPr="005B36AC">
        <w:rPr>
          <w:rFonts w:ascii="Palatino Linotype" w:hAnsi="Palatino Linotype"/>
          <w:b/>
          <w:i/>
          <w:sz w:val="22"/>
        </w:rPr>
        <w:t>III.</w:t>
      </w:r>
      <w:r w:rsidRPr="005B36AC">
        <w:rPr>
          <w:rFonts w:ascii="Palatino Linotype" w:hAnsi="Palatino Linotype"/>
          <w:i/>
          <w:sz w:val="22"/>
        </w:rPr>
        <w:t xml:space="preserve"> La que presenten los particulares a los sujetos obligados, de conformidad con lo dispuesto por las leyes o los tratados internacionales. </w:t>
      </w:r>
    </w:p>
    <w:p w14:paraId="6F9F9BD7" w14:textId="77777777" w:rsidR="00DA424F" w:rsidRPr="005B36AC" w:rsidRDefault="00DA424F" w:rsidP="00DA424F">
      <w:pPr>
        <w:spacing w:before="120" w:after="120"/>
        <w:ind w:left="851" w:right="902"/>
        <w:jc w:val="both"/>
        <w:rPr>
          <w:rFonts w:ascii="Palatino Linotype" w:hAnsi="Palatino Linotype"/>
          <w:i/>
          <w:sz w:val="22"/>
        </w:rPr>
      </w:pPr>
      <w:r w:rsidRPr="005B36AC">
        <w:rPr>
          <w:rFonts w:ascii="Palatino Linotype" w:hAnsi="Palatino Linotype"/>
          <w:i/>
          <w:sz w:val="22"/>
        </w:rPr>
        <w:t xml:space="preserve">La información confidencial no estará sujeta a temporalidad alguna y sólo podrán tener acceso a ella los titulares de la misma, sus representantes y los servidores públicos facultados para ello. </w:t>
      </w:r>
    </w:p>
    <w:p w14:paraId="592A80F0" w14:textId="77777777" w:rsidR="00DA424F" w:rsidRPr="005B36AC" w:rsidRDefault="00DA424F" w:rsidP="00DA424F">
      <w:pPr>
        <w:spacing w:before="120" w:after="120"/>
        <w:ind w:left="851" w:right="902"/>
        <w:jc w:val="both"/>
        <w:rPr>
          <w:rFonts w:ascii="Palatino Linotype" w:eastAsia="Palatino Linotype" w:hAnsi="Palatino Linotype" w:cs="Palatino Linotype"/>
          <w:i/>
          <w:sz w:val="22"/>
        </w:rPr>
      </w:pPr>
      <w:r w:rsidRPr="005B36AC">
        <w:rPr>
          <w:rFonts w:ascii="Palatino Linotype" w:hAnsi="Palatino Linotype"/>
          <w:i/>
          <w:sz w:val="22"/>
        </w:rPr>
        <w:lastRenderedPageBreak/>
        <w:t>No se considerará confidencial la información que se encuentre en los registros públicos o en fuentes de acceso público, ni tampoco la que sea considerada por la presente ley como información pública.”</w:t>
      </w:r>
    </w:p>
    <w:p w14:paraId="4EA15E83" w14:textId="77777777" w:rsidR="00DA424F" w:rsidRPr="005B36AC" w:rsidRDefault="00DA424F" w:rsidP="00DA424F">
      <w:pPr>
        <w:spacing w:before="280" w:after="280" w:line="360" w:lineRule="auto"/>
        <w:jc w:val="both"/>
        <w:rPr>
          <w:rFonts w:ascii="Palatino Linotype" w:eastAsia="Palatino Linotype" w:hAnsi="Palatino Linotype" w:cs="Palatino Linotype"/>
        </w:rPr>
      </w:pPr>
      <w:r w:rsidRPr="005B36AC">
        <w:rPr>
          <w:rFonts w:ascii="Palatino Linotype" w:eastAsia="Palatino Linotype" w:hAnsi="Palatino Linotype" w:cs="Palatino Linotype"/>
        </w:rPr>
        <w:t>De este modo, conforme al artículo 132 de la Ley en la Materia Local, para clasificar la información se debe de atender a lo dispuesto por la normativa y aplicar, de manera estricta, las excepciones del derecho de acceso a la información y sólo podrán invocarlas cuando acrediten su procedencia, debiendo clasificar la información en el momento en que:</w:t>
      </w:r>
    </w:p>
    <w:p w14:paraId="1FB3B3F0" w14:textId="77777777" w:rsidR="00DA424F" w:rsidRPr="005B36AC" w:rsidRDefault="00DA424F" w:rsidP="00DA424F">
      <w:pPr>
        <w:numPr>
          <w:ilvl w:val="0"/>
          <w:numId w:val="2"/>
        </w:numPr>
        <w:tabs>
          <w:tab w:val="left" w:pos="851"/>
        </w:tabs>
        <w:spacing w:before="280" w:line="360" w:lineRule="auto"/>
        <w:ind w:left="567" w:firstLine="0"/>
        <w:jc w:val="both"/>
        <w:rPr>
          <w:rFonts w:ascii="Palatino Linotype" w:eastAsia="Palatino Linotype" w:hAnsi="Palatino Linotype" w:cs="Palatino Linotype"/>
        </w:rPr>
      </w:pPr>
      <w:r w:rsidRPr="005B36AC">
        <w:rPr>
          <w:rFonts w:ascii="Palatino Linotype" w:eastAsia="Palatino Linotype" w:hAnsi="Palatino Linotype" w:cs="Palatino Linotype"/>
        </w:rPr>
        <w:t>Se reciba una solicitud de acceso a la información;</w:t>
      </w:r>
    </w:p>
    <w:p w14:paraId="4C0ACAB0" w14:textId="77777777" w:rsidR="00DA424F" w:rsidRPr="005B36AC" w:rsidRDefault="00DA424F" w:rsidP="00DA424F">
      <w:pPr>
        <w:numPr>
          <w:ilvl w:val="0"/>
          <w:numId w:val="2"/>
        </w:numPr>
        <w:tabs>
          <w:tab w:val="left" w:pos="851"/>
        </w:tabs>
        <w:spacing w:line="360" w:lineRule="auto"/>
        <w:ind w:left="567" w:firstLine="0"/>
        <w:jc w:val="both"/>
        <w:rPr>
          <w:rFonts w:ascii="Palatino Linotype" w:eastAsia="Palatino Linotype" w:hAnsi="Palatino Linotype" w:cs="Palatino Linotype"/>
        </w:rPr>
      </w:pPr>
      <w:r w:rsidRPr="005B36AC">
        <w:rPr>
          <w:rFonts w:ascii="Palatino Linotype" w:eastAsia="Palatino Linotype" w:hAnsi="Palatino Linotype" w:cs="Palatino Linotype"/>
        </w:rPr>
        <w:t>Se determine mediante resolución de autoridad competente; y/o</w:t>
      </w:r>
    </w:p>
    <w:p w14:paraId="550EAD3C" w14:textId="77777777" w:rsidR="00DA424F" w:rsidRPr="005B36AC" w:rsidRDefault="00DA424F" w:rsidP="00DA424F">
      <w:pPr>
        <w:numPr>
          <w:ilvl w:val="0"/>
          <w:numId w:val="2"/>
        </w:numPr>
        <w:tabs>
          <w:tab w:val="left" w:pos="851"/>
        </w:tabs>
        <w:spacing w:after="280" w:line="360" w:lineRule="auto"/>
        <w:ind w:left="567" w:firstLine="0"/>
        <w:jc w:val="both"/>
        <w:rPr>
          <w:rFonts w:ascii="Palatino Linotype" w:eastAsia="Palatino Linotype" w:hAnsi="Palatino Linotype" w:cs="Palatino Linotype"/>
        </w:rPr>
      </w:pPr>
      <w:r w:rsidRPr="005B36AC">
        <w:rPr>
          <w:rFonts w:ascii="Palatino Linotype" w:eastAsia="Palatino Linotype" w:hAnsi="Palatino Linotype" w:cs="Palatino Linotype"/>
        </w:rPr>
        <w:t>Se generen versiones públicas para dar cumplimiento a las obligaciones de transparencia previstas en la Ley.</w:t>
      </w:r>
    </w:p>
    <w:p w14:paraId="2F18B4D5" w14:textId="77777777" w:rsidR="00DA424F" w:rsidRPr="005B36AC" w:rsidRDefault="00DA424F" w:rsidP="00DA424F">
      <w:pPr>
        <w:spacing w:before="280" w:after="280" w:line="360" w:lineRule="auto"/>
        <w:ind w:right="51"/>
        <w:jc w:val="both"/>
        <w:rPr>
          <w:rFonts w:ascii="Palatino Linotype" w:eastAsia="Palatino Linotype" w:hAnsi="Palatino Linotype" w:cs="Palatino Linotype"/>
        </w:rPr>
      </w:pPr>
      <w:r w:rsidRPr="005B36AC">
        <w:rPr>
          <w:rFonts w:ascii="Palatino Linotype" w:eastAsia="Palatino Linotype" w:hAnsi="Palatino Linotype" w:cs="Palatino Linotype"/>
        </w:rPr>
        <w:t xml:space="preserve">En ese sentido, es de precisar que la clasificación de la información no se da por el simple mandato de la Ley, sino que es necesario que el </w:t>
      </w:r>
      <w:r w:rsidRPr="005B36AC">
        <w:rPr>
          <w:rFonts w:ascii="Palatino Linotype" w:eastAsia="Palatino Linotype" w:hAnsi="Palatino Linotype" w:cs="Palatino Linotype"/>
          <w:b/>
        </w:rPr>
        <w:t>Sujeto Obligado,</w:t>
      </w:r>
      <w:r w:rsidRPr="005B36AC">
        <w:rPr>
          <w:rFonts w:ascii="Palatino Linotype" w:eastAsia="Palatino Linotype" w:hAnsi="Palatino Linotype" w:cs="Palatino Linotype"/>
        </w:rPr>
        <w:t xml:space="preserve"> cuando clasifique algún documento o información, ya sea todo o en parte, atienda lo dispuesto por la Ley de la materia, siendo que dicha clasificación es un trabajo en conjunto tanto de los Servidores Públicos Habilitados, de las Unidades de Transparencia y del Comité de Transparencia del </w:t>
      </w:r>
      <w:r w:rsidRPr="005B36AC">
        <w:rPr>
          <w:rFonts w:ascii="Palatino Linotype" w:eastAsia="Palatino Linotype" w:hAnsi="Palatino Linotype" w:cs="Palatino Linotype"/>
          <w:b/>
        </w:rPr>
        <w:t>Sujeto Obligado</w:t>
      </w:r>
      <w:r w:rsidRPr="005B36AC">
        <w:rPr>
          <w:rFonts w:ascii="Palatino Linotype" w:eastAsia="Palatino Linotype" w:hAnsi="Palatino Linotype" w:cs="Palatino Linotype"/>
        </w:rPr>
        <w:t xml:space="preserve">, teniendo el deber los primeros de ellos de presentar ante la Unidad de Transparencia la propuesta de la clasificación de la información, para que luego esta se presente ante al Comité de Transparencia de así resultar procedente el proyecto de clasificación de la información y que finalmente sea este último quien apruebe, modifique o </w:t>
      </w:r>
      <w:r w:rsidRPr="005B36AC">
        <w:rPr>
          <w:rFonts w:ascii="Palatino Linotype" w:eastAsia="Palatino Linotype" w:hAnsi="Palatino Linotype" w:cs="Palatino Linotype"/>
        </w:rPr>
        <w:lastRenderedPageBreak/>
        <w:t>revoque la misma, como se desprende de los artículos 59 fracción V</w:t>
      </w:r>
      <w:r w:rsidRPr="005B36AC">
        <w:rPr>
          <w:rFonts w:ascii="Palatino Linotype" w:eastAsia="Palatino Linotype" w:hAnsi="Palatino Linotype" w:cs="Palatino Linotype"/>
          <w:vertAlign w:val="superscript"/>
        </w:rPr>
        <w:footnoteReference w:id="1"/>
      </w:r>
      <w:r w:rsidRPr="005B36AC">
        <w:rPr>
          <w:rFonts w:ascii="Palatino Linotype" w:eastAsia="Palatino Linotype" w:hAnsi="Palatino Linotype" w:cs="Palatino Linotype"/>
        </w:rPr>
        <w:t>, 53 fracción X</w:t>
      </w:r>
      <w:r w:rsidRPr="005B36AC">
        <w:rPr>
          <w:rFonts w:ascii="Palatino Linotype" w:eastAsia="Palatino Linotype" w:hAnsi="Palatino Linotype" w:cs="Palatino Linotype"/>
          <w:vertAlign w:val="superscript"/>
        </w:rPr>
        <w:footnoteReference w:id="2"/>
      </w:r>
      <w:r w:rsidRPr="005B36AC">
        <w:rPr>
          <w:rFonts w:ascii="Palatino Linotype" w:eastAsia="Palatino Linotype" w:hAnsi="Palatino Linotype" w:cs="Palatino Linotype"/>
        </w:rPr>
        <w:t>, y 49 fracciones II y VIII</w:t>
      </w:r>
      <w:r w:rsidRPr="005B36AC">
        <w:rPr>
          <w:rFonts w:ascii="Palatino Linotype" w:eastAsia="Palatino Linotype" w:hAnsi="Palatino Linotype" w:cs="Palatino Linotype"/>
          <w:vertAlign w:val="superscript"/>
        </w:rPr>
        <w:footnoteReference w:id="3"/>
      </w:r>
      <w:r w:rsidRPr="005B36AC">
        <w:rPr>
          <w:rFonts w:ascii="Palatino Linotype" w:eastAsia="Palatino Linotype" w:hAnsi="Palatino Linotype" w:cs="Palatino Linotype"/>
        </w:rPr>
        <w:t xml:space="preserve"> de la Ley de Transparencia y Acceso a la Información Pública del Estado de México y Municipios.</w:t>
      </w:r>
    </w:p>
    <w:p w14:paraId="61DE27A5" w14:textId="77777777" w:rsidR="00DA424F" w:rsidRPr="005B36AC" w:rsidRDefault="00DA424F" w:rsidP="00DA424F">
      <w:pPr>
        <w:spacing w:before="240" w:after="240" w:line="360" w:lineRule="auto"/>
        <w:jc w:val="both"/>
        <w:rPr>
          <w:rFonts w:ascii="Palatino Linotype" w:eastAsia="Palatino Linotype" w:hAnsi="Palatino Linotype" w:cs="Palatino Linotype"/>
        </w:rPr>
      </w:pPr>
      <w:r w:rsidRPr="005B36AC">
        <w:rPr>
          <w:rFonts w:ascii="Palatino Linotype" w:eastAsia="Palatino Linotype" w:hAnsi="Palatino Linotype" w:cs="Palatino Linotype"/>
        </w:rPr>
        <w:t>Respecto a la  elaboración de versiones públicas de documentos que contengan datos personales, los Sujetos Obligados deben observar, además, lo dispuesto en los Lineamientos Generales en Materia de Clasificación y Desclasificación de la Información, así como para la elaboración de Versiones Públicas, emitidos por el Consejo Nacional del Sistema Nacional de Transparencia, Acceso a la Información Pública y Protección de Datos Personales, que tienen por objeto establecer los criterios con base en los cuales los sujetos obligados clasificarán como reservada o confidencial la información que posean, desclasificarán y generarán, en su caso, versiones públicas de expedientes o documentos que contengan partes o secciones clasificadas.</w:t>
      </w:r>
    </w:p>
    <w:p w14:paraId="22A3BDBC" w14:textId="77777777" w:rsidR="00DA424F" w:rsidRPr="005B36AC" w:rsidRDefault="00DA424F" w:rsidP="00DA424F">
      <w:pPr>
        <w:spacing w:line="360" w:lineRule="auto"/>
        <w:jc w:val="both"/>
        <w:rPr>
          <w:rFonts w:ascii="Palatino Linotype" w:eastAsia="Palatino Linotype" w:hAnsi="Palatino Linotype" w:cs="Palatino Linotype"/>
        </w:rPr>
      </w:pPr>
      <w:r w:rsidRPr="005B36AC">
        <w:rPr>
          <w:rFonts w:ascii="Palatino Linotype" w:eastAsia="Palatino Linotype" w:hAnsi="Palatino Linotype" w:cs="Palatino Linotype"/>
        </w:rPr>
        <w:t xml:space="preserve">En este tenor, los Lineamientos Quincuagésimo, Quincuagésimo primero, Quincuagésimo segundo, de los Lineamientos Generales en Materia de Clasificación y Desclasificación señalan las formalidades que deberá llevar el acuerdo de clasificación que deberá emitir el </w:t>
      </w:r>
      <w:r w:rsidRPr="005B36AC">
        <w:rPr>
          <w:rFonts w:ascii="Palatino Linotype" w:eastAsia="Palatino Linotype" w:hAnsi="Palatino Linotype" w:cs="Palatino Linotype"/>
          <w:b/>
        </w:rPr>
        <w:t>Sujeto Obligado</w:t>
      </w:r>
      <w:r w:rsidRPr="005B36AC">
        <w:rPr>
          <w:rFonts w:ascii="Palatino Linotype" w:eastAsia="Palatino Linotype" w:hAnsi="Palatino Linotype" w:cs="Palatino Linotype"/>
        </w:rPr>
        <w:t>, siendo estas las siguientes:</w:t>
      </w:r>
    </w:p>
    <w:p w14:paraId="7EB29223" w14:textId="77777777" w:rsidR="00DA424F" w:rsidRPr="005B36AC" w:rsidRDefault="00DA424F" w:rsidP="00DA424F">
      <w:pPr>
        <w:spacing w:before="120" w:after="120"/>
        <w:ind w:left="851" w:right="902"/>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b/>
          <w:i/>
          <w:sz w:val="22"/>
          <w:szCs w:val="22"/>
        </w:rPr>
        <w:t xml:space="preserve"> “Quincuagésimo. </w:t>
      </w:r>
      <w:r w:rsidRPr="005B36AC">
        <w:rPr>
          <w:rFonts w:ascii="Palatino Linotype" w:eastAsia="Palatino Linotype" w:hAnsi="Palatino Linotype" w:cs="Palatino Linotype"/>
          <w:i/>
          <w:sz w:val="22"/>
          <w:szCs w:val="22"/>
        </w:rPr>
        <w:t xml:space="preserve">Los titulares de las áreas de los sujetos obligados podrán establecer sus propios modelos o formatos para la elaboración de versiones </w:t>
      </w:r>
      <w:r w:rsidRPr="005B36AC">
        <w:rPr>
          <w:rFonts w:ascii="Palatino Linotype" w:eastAsia="Palatino Linotype" w:hAnsi="Palatino Linotype" w:cs="Palatino Linotype"/>
          <w:i/>
          <w:sz w:val="22"/>
          <w:szCs w:val="22"/>
        </w:rPr>
        <w:lastRenderedPageBreak/>
        <w:t xml:space="preserve">públicas de documentos o expedientes, siempre y cuando cumplan lo establecido en los presentes Lineamientos, así como en las correspondientes Leyes Generales. </w:t>
      </w:r>
    </w:p>
    <w:p w14:paraId="239D3570" w14:textId="77777777" w:rsidR="00DA424F" w:rsidRPr="005B36AC" w:rsidRDefault="00DA424F" w:rsidP="00DA424F">
      <w:pPr>
        <w:pBdr>
          <w:top w:val="nil"/>
          <w:left w:val="nil"/>
          <w:bottom w:val="nil"/>
          <w:right w:val="nil"/>
          <w:between w:val="nil"/>
        </w:pBdr>
        <w:spacing w:before="120" w:after="120"/>
        <w:ind w:left="851" w:right="902"/>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b/>
          <w:i/>
          <w:sz w:val="22"/>
          <w:szCs w:val="22"/>
        </w:rPr>
        <w:t xml:space="preserve">Quincuagésimo primero. </w:t>
      </w:r>
      <w:r w:rsidRPr="005B36AC">
        <w:rPr>
          <w:rFonts w:ascii="Palatino Linotype" w:eastAsia="Palatino Linotype" w:hAnsi="Palatino Linotype" w:cs="Palatino Linotype"/>
          <w:i/>
          <w:sz w:val="22"/>
          <w:szCs w:val="22"/>
        </w:rPr>
        <w:t xml:space="preserve">Toda acta del Comité de Transparencia deberá contener: </w:t>
      </w:r>
    </w:p>
    <w:p w14:paraId="6117D2BE" w14:textId="77777777" w:rsidR="00DA424F" w:rsidRPr="005B36AC" w:rsidRDefault="00DA424F" w:rsidP="00DA424F">
      <w:pPr>
        <w:pBdr>
          <w:top w:val="nil"/>
          <w:left w:val="nil"/>
          <w:bottom w:val="nil"/>
          <w:right w:val="nil"/>
          <w:between w:val="nil"/>
        </w:pBdr>
        <w:spacing w:before="120" w:after="120"/>
        <w:ind w:left="1134" w:right="902"/>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b/>
          <w:i/>
          <w:sz w:val="22"/>
          <w:szCs w:val="22"/>
        </w:rPr>
        <w:t>I.</w:t>
      </w:r>
      <w:r w:rsidRPr="005B36AC">
        <w:rPr>
          <w:rFonts w:ascii="Palatino Linotype" w:eastAsia="Palatino Linotype" w:hAnsi="Palatino Linotype" w:cs="Palatino Linotype"/>
          <w:i/>
          <w:sz w:val="22"/>
          <w:szCs w:val="22"/>
        </w:rPr>
        <w:t xml:space="preserve"> El número de sesión y fecha; </w:t>
      </w:r>
    </w:p>
    <w:p w14:paraId="69FCA0AE" w14:textId="77777777" w:rsidR="00DA424F" w:rsidRPr="005B36AC" w:rsidRDefault="00DA424F" w:rsidP="00DA424F">
      <w:pPr>
        <w:pBdr>
          <w:top w:val="nil"/>
          <w:left w:val="nil"/>
          <w:bottom w:val="nil"/>
          <w:right w:val="nil"/>
          <w:between w:val="nil"/>
        </w:pBdr>
        <w:spacing w:before="120" w:after="120"/>
        <w:ind w:left="1134" w:right="902"/>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b/>
          <w:i/>
          <w:sz w:val="22"/>
          <w:szCs w:val="22"/>
        </w:rPr>
        <w:t>II</w:t>
      </w:r>
      <w:r w:rsidRPr="005B36AC">
        <w:rPr>
          <w:rFonts w:ascii="Palatino Linotype" w:eastAsia="Palatino Linotype" w:hAnsi="Palatino Linotype" w:cs="Palatino Linotype"/>
          <w:i/>
          <w:sz w:val="22"/>
          <w:szCs w:val="22"/>
        </w:rPr>
        <w:t xml:space="preserve">. El nombre del área que solicitó la clasificación de información; </w:t>
      </w:r>
    </w:p>
    <w:p w14:paraId="1BAD355D" w14:textId="77777777" w:rsidR="00DA424F" w:rsidRPr="005B36AC" w:rsidRDefault="00DA424F" w:rsidP="00DA424F">
      <w:pPr>
        <w:pBdr>
          <w:top w:val="nil"/>
          <w:left w:val="nil"/>
          <w:bottom w:val="nil"/>
          <w:right w:val="nil"/>
          <w:between w:val="nil"/>
        </w:pBdr>
        <w:spacing w:before="120" w:after="120"/>
        <w:ind w:left="1134" w:right="902"/>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b/>
          <w:i/>
          <w:sz w:val="22"/>
          <w:szCs w:val="22"/>
        </w:rPr>
        <w:t>III</w:t>
      </w:r>
      <w:r w:rsidRPr="005B36AC">
        <w:rPr>
          <w:rFonts w:ascii="Palatino Linotype" w:eastAsia="Palatino Linotype" w:hAnsi="Palatino Linotype" w:cs="Palatino Linotype"/>
          <w:i/>
          <w:sz w:val="22"/>
          <w:szCs w:val="22"/>
        </w:rPr>
        <w:t xml:space="preserve">. La fundamentación legal y motivación correspondiente; </w:t>
      </w:r>
    </w:p>
    <w:p w14:paraId="5EE4F7D1" w14:textId="77777777" w:rsidR="00DA424F" w:rsidRPr="005B36AC" w:rsidRDefault="00DA424F" w:rsidP="00DA424F">
      <w:pPr>
        <w:pBdr>
          <w:top w:val="nil"/>
          <w:left w:val="nil"/>
          <w:bottom w:val="nil"/>
          <w:right w:val="nil"/>
          <w:between w:val="nil"/>
        </w:pBdr>
        <w:spacing w:before="120" w:after="120"/>
        <w:ind w:left="1134" w:right="902"/>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b/>
          <w:i/>
          <w:sz w:val="22"/>
          <w:szCs w:val="22"/>
        </w:rPr>
        <w:t>IV</w:t>
      </w:r>
      <w:r w:rsidRPr="005B36AC">
        <w:rPr>
          <w:rFonts w:ascii="Palatino Linotype" w:eastAsia="Palatino Linotype" w:hAnsi="Palatino Linotype" w:cs="Palatino Linotype"/>
          <w:i/>
          <w:sz w:val="22"/>
          <w:szCs w:val="22"/>
        </w:rPr>
        <w:t xml:space="preserve">. La resolución o resoluciones aprobadas; y </w:t>
      </w:r>
    </w:p>
    <w:p w14:paraId="1103EE43" w14:textId="77777777" w:rsidR="00DA424F" w:rsidRPr="005B36AC" w:rsidRDefault="00DA424F" w:rsidP="00DA424F">
      <w:pPr>
        <w:pBdr>
          <w:top w:val="nil"/>
          <w:left w:val="nil"/>
          <w:bottom w:val="nil"/>
          <w:right w:val="nil"/>
          <w:between w:val="nil"/>
        </w:pBdr>
        <w:spacing w:before="120" w:after="120"/>
        <w:ind w:left="1134" w:right="902"/>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b/>
          <w:i/>
          <w:sz w:val="22"/>
          <w:szCs w:val="22"/>
        </w:rPr>
        <w:t>V</w:t>
      </w:r>
      <w:r w:rsidRPr="005B36AC">
        <w:rPr>
          <w:rFonts w:ascii="Palatino Linotype" w:eastAsia="Palatino Linotype" w:hAnsi="Palatino Linotype" w:cs="Palatino Linotype"/>
          <w:i/>
          <w:sz w:val="22"/>
          <w:szCs w:val="22"/>
        </w:rPr>
        <w:t xml:space="preserve">. La rúbrica o firma digital de cada integrante del Comité de Transparencia. </w:t>
      </w:r>
    </w:p>
    <w:p w14:paraId="5ED831F1" w14:textId="77777777" w:rsidR="00DA424F" w:rsidRPr="005B36AC" w:rsidRDefault="00DA424F" w:rsidP="00DA424F">
      <w:pPr>
        <w:pBdr>
          <w:top w:val="nil"/>
          <w:left w:val="nil"/>
          <w:bottom w:val="nil"/>
          <w:right w:val="nil"/>
          <w:between w:val="nil"/>
        </w:pBdr>
        <w:spacing w:before="120" w:after="120"/>
        <w:ind w:left="851" w:right="902"/>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i/>
          <w:sz w:val="22"/>
          <w:szCs w:val="22"/>
        </w:rPr>
        <w:t xml:space="preserve">Las resoluciones del Comité en las que se haya determinado confirmar o modificar la clasificación de información pública como reservada, deberán incluir, cuando menos: </w:t>
      </w:r>
    </w:p>
    <w:p w14:paraId="2700CDD5" w14:textId="77777777" w:rsidR="00DA424F" w:rsidRPr="005B36AC" w:rsidRDefault="00DA424F" w:rsidP="00DA424F">
      <w:pPr>
        <w:pBdr>
          <w:top w:val="nil"/>
          <w:left w:val="nil"/>
          <w:bottom w:val="nil"/>
          <w:right w:val="nil"/>
          <w:between w:val="nil"/>
        </w:pBdr>
        <w:spacing w:before="120" w:after="120"/>
        <w:ind w:left="1134" w:right="902"/>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b/>
          <w:i/>
          <w:sz w:val="22"/>
          <w:szCs w:val="22"/>
        </w:rPr>
        <w:t>I.</w:t>
      </w:r>
      <w:r w:rsidRPr="005B36AC">
        <w:rPr>
          <w:rFonts w:ascii="Palatino Linotype" w:eastAsia="Palatino Linotype" w:hAnsi="Palatino Linotype" w:cs="Palatino Linotype"/>
          <w:i/>
          <w:sz w:val="22"/>
          <w:szCs w:val="22"/>
        </w:rPr>
        <w:t xml:space="preserve"> Los motivos y razonamientos que sustenten la confirmación o modificación de la prueba de daño;</w:t>
      </w:r>
    </w:p>
    <w:p w14:paraId="64E531B4" w14:textId="77777777" w:rsidR="00DA424F" w:rsidRPr="005B36AC" w:rsidRDefault="00DA424F" w:rsidP="00DA424F">
      <w:pPr>
        <w:pBdr>
          <w:top w:val="nil"/>
          <w:left w:val="nil"/>
          <w:bottom w:val="nil"/>
          <w:right w:val="nil"/>
          <w:between w:val="nil"/>
        </w:pBdr>
        <w:spacing w:before="120" w:after="120"/>
        <w:ind w:left="1134" w:right="902"/>
        <w:jc w:val="both"/>
        <w:rPr>
          <w:rFonts w:ascii="Palatino Linotype" w:eastAsia="Palatino Linotype" w:hAnsi="Palatino Linotype" w:cs="Palatino Linotype"/>
          <w:b/>
          <w:i/>
          <w:sz w:val="22"/>
          <w:szCs w:val="22"/>
        </w:rPr>
      </w:pPr>
      <w:r w:rsidRPr="005B36AC">
        <w:rPr>
          <w:rFonts w:ascii="Palatino Linotype" w:eastAsia="Palatino Linotype" w:hAnsi="Palatino Linotype" w:cs="Palatino Linotype"/>
          <w:b/>
          <w:i/>
          <w:sz w:val="22"/>
          <w:szCs w:val="22"/>
        </w:rPr>
        <w:t>II</w:t>
      </w:r>
      <w:r w:rsidRPr="005B36AC">
        <w:rPr>
          <w:rFonts w:ascii="Palatino Linotype" w:eastAsia="Palatino Linotype" w:hAnsi="Palatino Linotype" w:cs="Palatino Linotype"/>
          <w:i/>
          <w:sz w:val="22"/>
          <w:szCs w:val="22"/>
        </w:rPr>
        <w:t>. Descripción de las partes o secciones reservadas, en caso de clasificación parcial</w:t>
      </w:r>
      <w:r w:rsidRPr="005B36AC">
        <w:rPr>
          <w:rFonts w:ascii="Palatino Linotype" w:eastAsia="Palatino Linotype" w:hAnsi="Palatino Linotype" w:cs="Palatino Linotype"/>
          <w:b/>
          <w:i/>
          <w:sz w:val="22"/>
          <w:szCs w:val="22"/>
        </w:rPr>
        <w:t xml:space="preserve">; </w:t>
      </w:r>
    </w:p>
    <w:p w14:paraId="47B0B19D" w14:textId="77777777" w:rsidR="00DA424F" w:rsidRPr="005B36AC" w:rsidRDefault="00DA424F" w:rsidP="00DA424F">
      <w:pPr>
        <w:pBdr>
          <w:top w:val="nil"/>
          <w:left w:val="nil"/>
          <w:bottom w:val="nil"/>
          <w:right w:val="nil"/>
          <w:between w:val="nil"/>
        </w:pBdr>
        <w:spacing w:before="120" w:after="120"/>
        <w:ind w:left="1134" w:right="902"/>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b/>
          <w:i/>
          <w:sz w:val="22"/>
          <w:szCs w:val="22"/>
        </w:rPr>
        <w:t>III.</w:t>
      </w:r>
      <w:r w:rsidRPr="005B36AC">
        <w:rPr>
          <w:rFonts w:ascii="Palatino Linotype" w:eastAsia="Palatino Linotype" w:hAnsi="Palatino Linotype" w:cs="Palatino Linotype"/>
          <w:i/>
          <w:sz w:val="22"/>
          <w:szCs w:val="22"/>
        </w:rPr>
        <w:t xml:space="preserve"> El periodo por el que mantendrá su clasificación y fecha de expiración; y </w:t>
      </w:r>
    </w:p>
    <w:p w14:paraId="609AAB1A" w14:textId="77777777" w:rsidR="00DA424F" w:rsidRPr="005B36AC" w:rsidRDefault="00DA424F" w:rsidP="00DA424F">
      <w:pPr>
        <w:pBdr>
          <w:top w:val="nil"/>
          <w:left w:val="nil"/>
          <w:bottom w:val="nil"/>
          <w:right w:val="nil"/>
          <w:between w:val="nil"/>
        </w:pBdr>
        <w:spacing w:before="120" w:after="120"/>
        <w:ind w:left="1134" w:right="902"/>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b/>
          <w:i/>
          <w:sz w:val="22"/>
          <w:szCs w:val="22"/>
        </w:rPr>
        <w:t>IV.</w:t>
      </w:r>
      <w:r w:rsidRPr="005B36AC">
        <w:rPr>
          <w:rFonts w:ascii="Palatino Linotype" w:eastAsia="Palatino Linotype" w:hAnsi="Palatino Linotype" w:cs="Palatino Linotype"/>
          <w:i/>
          <w:sz w:val="22"/>
          <w:szCs w:val="22"/>
        </w:rPr>
        <w:t xml:space="preserve"> El nombre del titular y área encargada de realizar la versión pública del documento, en su caso. </w:t>
      </w:r>
    </w:p>
    <w:p w14:paraId="28A2E0D5" w14:textId="77777777" w:rsidR="00DA424F" w:rsidRPr="005B36AC" w:rsidRDefault="00DA424F" w:rsidP="00DA424F">
      <w:pPr>
        <w:pBdr>
          <w:top w:val="nil"/>
          <w:left w:val="nil"/>
          <w:bottom w:val="nil"/>
          <w:right w:val="nil"/>
          <w:between w:val="nil"/>
        </w:pBdr>
        <w:spacing w:before="120" w:after="120"/>
        <w:ind w:left="851" w:right="902"/>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i/>
          <w:sz w:val="22"/>
          <w:szCs w:val="22"/>
        </w:rPr>
        <w:t xml:space="preserve">En los casos en que se clasifique la información como reservada siempre se entregará o anexará la prueba de daño con la respuesta al solicitante. </w:t>
      </w:r>
    </w:p>
    <w:p w14:paraId="0B9823CC" w14:textId="77777777" w:rsidR="00DA424F" w:rsidRPr="005B36AC" w:rsidRDefault="00DA424F" w:rsidP="00DA424F">
      <w:pPr>
        <w:pBdr>
          <w:top w:val="nil"/>
          <w:left w:val="nil"/>
          <w:bottom w:val="nil"/>
          <w:right w:val="nil"/>
          <w:between w:val="nil"/>
        </w:pBdr>
        <w:spacing w:before="120" w:after="120"/>
        <w:ind w:left="851" w:right="902"/>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i/>
          <w:sz w:val="22"/>
          <w:szCs w:val="22"/>
        </w:rPr>
        <w:t>En los casos de resoluciones del Comité de Transparencia en las que se confirme la clasificación de información confidencial solo se deberán de identificar los tipos de datos protegidos, de conformidad con el lineamiento trigésimo octavo.</w:t>
      </w:r>
    </w:p>
    <w:p w14:paraId="66A20979" w14:textId="77777777" w:rsidR="00DA424F" w:rsidRPr="005B36AC" w:rsidRDefault="00DA424F" w:rsidP="00DA424F">
      <w:pPr>
        <w:spacing w:before="120" w:after="120"/>
        <w:ind w:left="851" w:right="900"/>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b/>
          <w:i/>
          <w:sz w:val="22"/>
          <w:szCs w:val="22"/>
        </w:rPr>
        <w:t>Quincuagésimo segundo</w:t>
      </w:r>
      <w:r w:rsidRPr="005B36AC">
        <w:rPr>
          <w:rFonts w:ascii="Palatino Linotype" w:eastAsia="Palatino Linotype" w:hAnsi="Palatino Linotype" w:cs="Palatino Linotype"/>
          <w:i/>
          <w:sz w:val="22"/>
          <w:szCs w:val="22"/>
        </w:rPr>
        <w:t>. Para la clasificación y elaboración de versiones públicas de documentos que contengan información clasificada como reservada o confidencial, las áreas de los sujetos obligados deberán tomar las medidas pertinentes tendientes a asegurar que el espacio utilizado para testar la información no podrá ser empleado para la sobreposición de contenido distinto al autorizado por el Comité.</w:t>
      </w:r>
    </w:p>
    <w:p w14:paraId="715241EB" w14:textId="77777777" w:rsidR="00DA424F" w:rsidRPr="005B36AC" w:rsidRDefault="00DA424F" w:rsidP="00DA424F">
      <w:pPr>
        <w:spacing w:before="120" w:after="120"/>
        <w:ind w:left="851" w:right="900"/>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i/>
          <w:sz w:val="22"/>
          <w:szCs w:val="22"/>
        </w:rPr>
        <w:t xml:space="preserve">En el caso </w:t>
      </w:r>
      <w:proofErr w:type="spellStart"/>
      <w:r w:rsidRPr="005B36AC">
        <w:rPr>
          <w:rFonts w:ascii="Palatino Linotype" w:eastAsia="Palatino Linotype" w:hAnsi="Palatino Linotype" w:cs="Palatino Linotype"/>
          <w:i/>
          <w:sz w:val="22"/>
          <w:szCs w:val="22"/>
        </w:rPr>
        <w:t>especifico</w:t>
      </w:r>
      <w:proofErr w:type="spellEnd"/>
      <w:r w:rsidRPr="005B36AC">
        <w:rPr>
          <w:rFonts w:ascii="Palatino Linotype" w:eastAsia="Palatino Linotype" w:hAnsi="Palatino Linotype" w:cs="Palatino Linotype"/>
          <w:i/>
          <w:sz w:val="22"/>
          <w:szCs w:val="22"/>
        </w:rPr>
        <w:t xml:space="preserve"> de la clasificación y elaboración de versiones públicas de documentos que contengan información confidencial, las áreas de los sujetos obligados deberán: </w:t>
      </w:r>
    </w:p>
    <w:p w14:paraId="7BB7C1D7" w14:textId="77777777" w:rsidR="00DA424F" w:rsidRPr="005B36AC" w:rsidRDefault="00DA424F" w:rsidP="00DA424F">
      <w:pPr>
        <w:spacing w:before="120" w:after="120"/>
        <w:ind w:left="1134" w:right="900"/>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b/>
          <w:i/>
          <w:sz w:val="22"/>
          <w:szCs w:val="22"/>
        </w:rPr>
        <w:lastRenderedPageBreak/>
        <w:t>I.</w:t>
      </w:r>
      <w:r w:rsidRPr="005B36AC">
        <w:rPr>
          <w:rFonts w:ascii="Palatino Linotype" w:eastAsia="Palatino Linotype" w:hAnsi="Palatino Linotype" w:cs="Palatino Linotype"/>
          <w:i/>
          <w:sz w:val="22"/>
          <w:szCs w:val="22"/>
        </w:rPr>
        <w:t xml:space="preserve"> Fijar la fecha en que se elaboró la versión pública y la fecha en la cual el Comité de Transparencia confirmó dicha versión;</w:t>
      </w:r>
    </w:p>
    <w:p w14:paraId="53943D7B" w14:textId="77777777" w:rsidR="00DA424F" w:rsidRPr="005B36AC" w:rsidRDefault="00DA424F" w:rsidP="00DA424F">
      <w:pPr>
        <w:spacing w:before="120" w:after="120"/>
        <w:ind w:left="1134" w:right="900"/>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b/>
          <w:i/>
          <w:sz w:val="22"/>
          <w:szCs w:val="22"/>
        </w:rPr>
        <w:t>II.</w:t>
      </w:r>
      <w:r w:rsidRPr="005B36AC">
        <w:rPr>
          <w:rFonts w:ascii="Palatino Linotype" w:eastAsia="Palatino Linotype" w:hAnsi="Palatino Linotype" w:cs="Palatino Linotype"/>
          <w:i/>
          <w:sz w:val="22"/>
          <w:szCs w:val="22"/>
        </w:rPr>
        <w:t xml:space="preserve"> Señalar dentro del documento el tipo de información confidencial que fue testada en cada caso específico, de conformidad con el lineamiento trigésimo octavo; y</w:t>
      </w:r>
    </w:p>
    <w:p w14:paraId="79077292" w14:textId="77777777" w:rsidR="00DA424F" w:rsidRPr="005B36AC" w:rsidRDefault="00DA424F" w:rsidP="00DA424F">
      <w:pPr>
        <w:spacing w:before="120" w:after="120"/>
        <w:ind w:left="1134" w:right="900"/>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b/>
          <w:i/>
          <w:sz w:val="22"/>
          <w:szCs w:val="22"/>
        </w:rPr>
        <w:t>III.</w:t>
      </w:r>
      <w:r w:rsidRPr="005B36AC">
        <w:rPr>
          <w:rFonts w:ascii="Palatino Linotype" w:eastAsia="Palatino Linotype" w:hAnsi="Palatino Linotype" w:cs="Palatino Linotype"/>
          <w:i/>
          <w:sz w:val="22"/>
          <w:szCs w:val="22"/>
        </w:rPr>
        <w:t xml:space="preserve"> Señalar las personas o instancias autorizadas a acceder a la información clasificada.</w:t>
      </w:r>
    </w:p>
    <w:p w14:paraId="2DC3318B" w14:textId="77777777" w:rsidR="00DA424F" w:rsidRPr="005B36AC" w:rsidRDefault="00DA424F" w:rsidP="00DA424F">
      <w:pPr>
        <w:spacing w:before="120" w:after="120"/>
        <w:ind w:left="851" w:right="900"/>
        <w:jc w:val="both"/>
        <w:rPr>
          <w:rFonts w:ascii="Palatino Linotype" w:eastAsia="Palatino Linotype" w:hAnsi="Palatino Linotype" w:cs="Palatino Linotype"/>
          <w:i/>
          <w:sz w:val="22"/>
          <w:szCs w:val="22"/>
        </w:rPr>
      </w:pPr>
      <w:r w:rsidRPr="005B36AC">
        <w:rPr>
          <w:rFonts w:ascii="Palatino Linotype" w:eastAsia="Palatino Linotype" w:hAnsi="Palatino Linotype" w:cs="Palatino Linotype"/>
          <w:i/>
          <w:sz w:val="22"/>
          <w:szCs w:val="22"/>
        </w:rPr>
        <w:t>En los documentos de difusión electrónica, señalar en la primera hoja y en el nombre del archivo, que la versión pública corresponde a un documento que contiene información confidencial.”</w:t>
      </w:r>
    </w:p>
    <w:p w14:paraId="3450678E" w14:textId="77777777" w:rsidR="00DA424F" w:rsidRPr="005B36AC" w:rsidRDefault="00DA424F" w:rsidP="00DA424F">
      <w:pPr>
        <w:spacing w:before="240" w:after="240" w:line="360" w:lineRule="auto"/>
        <w:jc w:val="both"/>
        <w:rPr>
          <w:rFonts w:ascii="Palatino Linotype" w:eastAsia="Palatino Linotype" w:hAnsi="Palatino Linotype" w:cs="Palatino Linotype"/>
        </w:rPr>
      </w:pPr>
      <w:r w:rsidRPr="005B36AC">
        <w:rPr>
          <w:rFonts w:ascii="Palatino Linotype" w:eastAsia="Palatino Linotype" w:hAnsi="Palatino Linotype" w:cs="Palatino Linotype"/>
        </w:rPr>
        <w:t>Asimismo, los Lineamientos Quincuagésimo cuarto, Quincuagésimo quinto, Quincuagésimo sexto, Quincuagésimo séptimo y Quincuagésimo octavo, de los Lineamientos Generales en Materia de Clasificación y Desclasificación, establecen lo siguiente:</w:t>
      </w:r>
    </w:p>
    <w:p w14:paraId="0BA1860F" w14:textId="77777777" w:rsidR="00DA424F" w:rsidRPr="005B36AC" w:rsidRDefault="00DA424F" w:rsidP="00DA424F">
      <w:pPr>
        <w:pBdr>
          <w:top w:val="nil"/>
          <w:left w:val="nil"/>
          <w:bottom w:val="nil"/>
          <w:right w:val="nil"/>
          <w:between w:val="nil"/>
        </w:pBdr>
        <w:spacing w:before="120" w:after="120"/>
        <w:ind w:left="851" w:right="900"/>
        <w:jc w:val="both"/>
        <w:rPr>
          <w:rFonts w:ascii="Palatino Linotype" w:eastAsia="Palatino Linotype" w:hAnsi="Palatino Linotype" w:cs="Palatino Linotype"/>
          <w:b/>
          <w:i/>
          <w:sz w:val="22"/>
          <w:szCs w:val="22"/>
        </w:rPr>
      </w:pPr>
      <w:r w:rsidRPr="005B36AC">
        <w:rPr>
          <w:rFonts w:ascii="Palatino Linotype" w:hAnsi="Palatino Linotype"/>
          <w:i/>
          <w:iCs/>
          <w:sz w:val="22"/>
          <w:szCs w:val="22"/>
        </w:rPr>
        <w:t>“</w:t>
      </w:r>
      <w:r w:rsidRPr="005B36AC">
        <w:rPr>
          <w:rFonts w:ascii="Palatino Linotype" w:eastAsia="Palatino Linotype" w:hAnsi="Palatino Linotype" w:cs="Palatino Linotype"/>
          <w:b/>
          <w:i/>
          <w:sz w:val="22"/>
          <w:szCs w:val="22"/>
        </w:rPr>
        <w:t xml:space="preserve">Quincuagésimo cuarto. </w:t>
      </w:r>
      <w:r w:rsidRPr="005B36AC">
        <w:rPr>
          <w:rFonts w:ascii="Palatino Linotype" w:eastAsia="Palatino Linotype" w:hAnsi="Palatino Linotype" w:cs="Palatino Linotype"/>
          <w:i/>
          <w:sz w:val="22"/>
          <w:szCs w:val="22"/>
        </w:rPr>
        <w:t>Cuando el Comité de Transparencia confirme la clasificación de documentos reservados y/o confidenciales, sea total o parcialmente; se deberá anexar al expediente la resolución que determinó la clasificación o, en su defecto, identificar en la carátula del expediente del cual formen parte, la fecha y sesión del Comité de Transparencia en la que se confirmó dicha clasificación.</w:t>
      </w:r>
      <w:r w:rsidRPr="005B36AC">
        <w:rPr>
          <w:rFonts w:ascii="Palatino Linotype" w:eastAsia="Palatino Linotype" w:hAnsi="Palatino Linotype" w:cs="Palatino Linotype"/>
          <w:b/>
          <w:i/>
          <w:sz w:val="22"/>
          <w:szCs w:val="22"/>
        </w:rPr>
        <w:t xml:space="preserve"> </w:t>
      </w:r>
    </w:p>
    <w:p w14:paraId="4EA0AE43" w14:textId="77777777" w:rsidR="00DA424F" w:rsidRPr="005B36AC" w:rsidRDefault="00DA424F" w:rsidP="00DA424F">
      <w:pPr>
        <w:spacing w:before="120" w:after="120"/>
        <w:ind w:left="851" w:right="902"/>
        <w:jc w:val="both"/>
        <w:rPr>
          <w:rFonts w:ascii="Palatino Linotype" w:hAnsi="Palatino Linotype"/>
          <w:i/>
          <w:iCs/>
          <w:sz w:val="22"/>
          <w:szCs w:val="22"/>
        </w:rPr>
      </w:pPr>
      <w:r w:rsidRPr="005B36AC">
        <w:rPr>
          <w:rFonts w:ascii="Palatino Linotype" w:eastAsia="Palatino Linotype" w:hAnsi="Palatino Linotype" w:cs="Palatino Linotype"/>
          <w:b/>
          <w:i/>
          <w:sz w:val="22"/>
          <w:szCs w:val="22"/>
        </w:rPr>
        <w:t xml:space="preserve">Quincuagésimo quinto. </w:t>
      </w:r>
      <w:r w:rsidRPr="005B36AC">
        <w:rPr>
          <w:rFonts w:ascii="Palatino Linotype" w:eastAsia="Palatino Linotype" w:hAnsi="Palatino Linotype" w:cs="Palatino Linotype"/>
          <w:i/>
          <w:sz w:val="22"/>
          <w:szCs w:val="22"/>
        </w:rPr>
        <w:t xml:space="preserve">Cada área del sujeto obligado podrá designar formalmente a una o más personas como responsables del </w:t>
      </w:r>
      <w:proofErr w:type="spellStart"/>
      <w:r w:rsidRPr="005B36AC">
        <w:rPr>
          <w:rFonts w:ascii="Palatino Linotype" w:eastAsia="Palatino Linotype" w:hAnsi="Palatino Linotype" w:cs="Palatino Linotype"/>
          <w:i/>
          <w:sz w:val="22"/>
          <w:szCs w:val="22"/>
        </w:rPr>
        <w:t>testado</w:t>
      </w:r>
      <w:proofErr w:type="spellEnd"/>
      <w:r w:rsidRPr="005B36AC">
        <w:rPr>
          <w:rFonts w:ascii="Palatino Linotype" w:eastAsia="Palatino Linotype" w:hAnsi="Palatino Linotype" w:cs="Palatino Linotype"/>
          <w:i/>
          <w:sz w:val="22"/>
          <w:szCs w:val="22"/>
        </w:rPr>
        <w:t>, que sean encargadas de la adecuada elaboración o supervisión de las versiones públicas de los documentos o expedientes, verificando que cumplan con los requisitos señalados en las Leyes Generales, los presentes Lineamientos y demás normativa aplicable antes de su confirmación por el Comité de Transparencia.</w:t>
      </w:r>
    </w:p>
    <w:p w14:paraId="054A1EC1" w14:textId="77777777" w:rsidR="00DA424F" w:rsidRPr="005B36AC" w:rsidRDefault="00DA424F" w:rsidP="00DA424F">
      <w:pPr>
        <w:spacing w:before="120" w:after="120"/>
        <w:ind w:left="851" w:right="902"/>
        <w:jc w:val="both"/>
        <w:rPr>
          <w:rFonts w:ascii="Palatino Linotype" w:hAnsi="Palatino Linotype"/>
          <w:b/>
          <w:i/>
          <w:iCs/>
          <w:sz w:val="22"/>
          <w:szCs w:val="22"/>
        </w:rPr>
      </w:pPr>
      <w:r w:rsidRPr="005B36AC">
        <w:rPr>
          <w:rFonts w:ascii="Palatino Linotype" w:hAnsi="Palatino Linotype"/>
          <w:b/>
          <w:bCs/>
          <w:i/>
          <w:iCs/>
          <w:sz w:val="22"/>
          <w:szCs w:val="22"/>
        </w:rPr>
        <w:t>..</w:t>
      </w:r>
      <w:r w:rsidRPr="005B36AC">
        <w:rPr>
          <w:rFonts w:ascii="Palatino Linotype" w:hAnsi="Palatino Linotype"/>
          <w:b/>
          <w:i/>
          <w:iCs/>
          <w:sz w:val="22"/>
          <w:szCs w:val="22"/>
        </w:rPr>
        <w:t>.</w:t>
      </w:r>
    </w:p>
    <w:p w14:paraId="078A807F" w14:textId="77777777" w:rsidR="00DA424F" w:rsidRPr="005B36AC" w:rsidRDefault="00DA424F" w:rsidP="00DA424F">
      <w:pPr>
        <w:spacing w:before="120" w:after="120"/>
        <w:ind w:left="851" w:right="902"/>
        <w:jc w:val="both"/>
        <w:rPr>
          <w:rFonts w:ascii="Palatino Linotype" w:hAnsi="Palatino Linotype"/>
          <w:i/>
          <w:iCs/>
          <w:sz w:val="22"/>
          <w:szCs w:val="22"/>
        </w:rPr>
      </w:pPr>
      <w:r w:rsidRPr="005B36AC">
        <w:rPr>
          <w:rFonts w:ascii="Palatino Linotype" w:hAnsi="Palatino Linotype"/>
          <w:b/>
          <w:bCs/>
          <w:i/>
          <w:iCs/>
          <w:sz w:val="22"/>
          <w:szCs w:val="22"/>
        </w:rPr>
        <w:t>Quincuagésimo séptimo</w:t>
      </w:r>
      <w:r w:rsidRPr="005B36AC">
        <w:rPr>
          <w:rFonts w:ascii="Palatino Linotype" w:hAnsi="Palatino Linotype"/>
          <w:i/>
          <w:iCs/>
          <w:sz w:val="22"/>
          <w:szCs w:val="22"/>
        </w:rPr>
        <w:t xml:space="preserve">. Se considera, en principio, como información pública y no podrá omitirse de las versiones públicas la siguiente: </w:t>
      </w:r>
    </w:p>
    <w:p w14:paraId="67704C52" w14:textId="77777777" w:rsidR="00DA424F" w:rsidRPr="005B36AC" w:rsidRDefault="00DA424F" w:rsidP="00DA424F">
      <w:pPr>
        <w:spacing w:before="120" w:after="120"/>
        <w:ind w:left="1134" w:right="902"/>
        <w:jc w:val="both"/>
        <w:rPr>
          <w:rFonts w:ascii="Palatino Linotype" w:hAnsi="Palatino Linotype"/>
          <w:i/>
          <w:iCs/>
          <w:sz w:val="22"/>
          <w:szCs w:val="22"/>
        </w:rPr>
      </w:pPr>
      <w:r w:rsidRPr="005B36AC">
        <w:rPr>
          <w:rFonts w:ascii="Palatino Linotype" w:hAnsi="Palatino Linotype"/>
          <w:b/>
          <w:bCs/>
          <w:i/>
          <w:iCs/>
          <w:sz w:val="22"/>
          <w:szCs w:val="22"/>
        </w:rPr>
        <w:t>I</w:t>
      </w:r>
      <w:r w:rsidRPr="005B36AC">
        <w:rPr>
          <w:rFonts w:ascii="Palatino Linotype" w:hAnsi="Palatino Linotype"/>
          <w:i/>
          <w:iCs/>
          <w:sz w:val="22"/>
          <w:szCs w:val="22"/>
        </w:rPr>
        <w:t xml:space="preserve">. La relativa a las Obligaciones de Transparencia que contempla el Título V de la Ley General y las demás disposiciones legales aplicables; </w:t>
      </w:r>
    </w:p>
    <w:p w14:paraId="5A2CCADE" w14:textId="77777777" w:rsidR="00DA424F" w:rsidRPr="005B36AC" w:rsidRDefault="00DA424F" w:rsidP="00DA424F">
      <w:pPr>
        <w:spacing w:before="120" w:after="120"/>
        <w:ind w:left="1134" w:right="902"/>
        <w:jc w:val="both"/>
        <w:rPr>
          <w:rFonts w:ascii="Palatino Linotype" w:eastAsia="Palatino Linotype" w:hAnsi="Palatino Linotype" w:cs="Palatino Linotype"/>
          <w:i/>
          <w:iCs/>
          <w:sz w:val="22"/>
          <w:szCs w:val="22"/>
        </w:rPr>
      </w:pPr>
      <w:r w:rsidRPr="005B36AC">
        <w:rPr>
          <w:rFonts w:ascii="Palatino Linotype" w:hAnsi="Palatino Linotype"/>
          <w:b/>
          <w:bCs/>
          <w:i/>
          <w:iCs/>
          <w:sz w:val="22"/>
          <w:szCs w:val="22"/>
        </w:rPr>
        <w:lastRenderedPageBreak/>
        <w:t>II.</w:t>
      </w:r>
      <w:r w:rsidRPr="005B36AC">
        <w:rPr>
          <w:rFonts w:ascii="Palatino Linotype" w:hAnsi="Palatino Linotype"/>
          <w:i/>
          <w:iCs/>
          <w:sz w:val="22"/>
          <w:szCs w:val="22"/>
        </w:rPr>
        <w:t xml:space="preserve"> El nombre de los integrantes de los sujetos obligados en los documentos, y sus firmas autógrafas o digitales, cuando sean utilizados en el ejercicio de las facultades conferidas para el desempeño del servicio público, y</w:t>
      </w:r>
    </w:p>
    <w:p w14:paraId="036F81C4" w14:textId="77777777" w:rsidR="00DA424F" w:rsidRPr="005B36AC" w:rsidRDefault="00DA424F" w:rsidP="00DA424F">
      <w:pPr>
        <w:spacing w:before="120" w:after="120"/>
        <w:ind w:left="1134" w:right="902"/>
        <w:jc w:val="both"/>
        <w:rPr>
          <w:rFonts w:ascii="Palatino Linotype" w:hAnsi="Palatino Linotype"/>
          <w:i/>
          <w:iCs/>
          <w:sz w:val="22"/>
          <w:szCs w:val="22"/>
        </w:rPr>
      </w:pPr>
      <w:r w:rsidRPr="005B36AC">
        <w:rPr>
          <w:rFonts w:ascii="Palatino Linotype" w:hAnsi="Palatino Linotype"/>
          <w:b/>
          <w:bCs/>
          <w:i/>
          <w:iCs/>
          <w:sz w:val="22"/>
          <w:szCs w:val="22"/>
        </w:rPr>
        <w:t>III</w:t>
      </w:r>
      <w:r w:rsidRPr="005B36AC">
        <w:rPr>
          <w:rFonts w:ascii="Palatino Linotype" w:hAnsi="Palatino Linotype"/>
          <w:i/>
          <w:iCs/>
          <w:sz w:val="22"/>
          <w:szCs w:val="22"/>
        </w:rPr>
        <w:t xml:space="preserve">. La información que documente decisiones y los actos de autoridad concluidos de los sujetos obligados, así como el ejercicio de las facultades o actividades de los servidores públicos, de manera que se pueda valorar el desempeño de los mismos. </w:t>
      </w:r>
    </w:p>
    <w:p w14:paraId="67D1EAE2" w14:textId="77777777" w:rsidR="00DA424F" w:rsidRPr="005B36AC" w:rsidRDefault="00DA424F" w:rsidP="00DA424F">
      <w:pPr>
        <w:spacing w:before="120" w:after="120"/>
        <w:ind w:left="851" w:right="902"/>
        <w:jc w:val="both"/>
        <w:rPr>
          <w:rFonts w:ascii="Palatino Linotype" w:eastAsia="Palatino Linotype" w:hAnsi="Palatino Linotype" w:cs="Palatino Linotype"/>
          <w:i/>
          <w:iCs/>
          <w:sz w:val="22"/>
          <w:szCs w:val="22"/>
        </w:rPr>
      </w:pPr>
      <w:r w:rsidRPr="005B36AC">
        <w:rPr>
          <w:rFonts w:ascii="Palatino Linotype" w:hAnsi="Palatino Linotype"/>
          <w:i/>
          <w:iCs/>
          <w:sz w:val="22"/>
          <w:szCs w:val="22"/>
        </w:rPr>
        <w:t xml:space="preserve">Lo anterior, siempre y cuando no se acredite alguna causal de clasificación, prevista en las leyes o en los tratados internacionales suscritas por el Estado mexicano. </w:t>
      </w:r>
      <w:r w:rsidRPr="005B36AC">
        <w:rPr>
          <w:rFonts w:ascii="Palatino Linotype" w:eastAsia="Palatino Linotype" w:hAnsi="Palatino Linotype" w:cs="Palatino Linotype"/>
          <w:i/>
          <w:iCs/>
          <w:sz w:val="22"/>
          <w:szCs w:val="22"/>
        </w:rPr>
        <w:t xml:space="preserve"> </w:t>
      </w:r>
    </w:p>
    <w:p w14:paraId="7B2CC028" w14:textId="77777777" w:rsidR="00DA424F" w:rsidRPr="005B36AC" w:rsidRDefault="00DA424F" w:rsidP="00DA424F">
      <w:pPr>
        <w:spacing w:before="120" w:after="120"/>
        <w:ind w:left="851" w:right="902"/>
        <w:jc w:val="both"/>
        <w:rPr>
          <w:rFonts w:ascii="Palatino Linotype" w:eastAsia="Palatino Linotype" w:hAnsi="Palatino Linotype" w:cs="Palatino Linotype"/>
          <w:i/>
          <w:iCs/>
          <w:sz w:val="22"/>
          <w:szCs w:val="22"/>
        </w:rPr>
      </w:pPr>
      <w:r w:rsidRPr="005B36AC">
        <w:rPr>
          <w:rFonts w:ascii="Palatino Linotype" w:hAnsi="Palatino Linotype"/>
          <w:b/>
          <w:bCs/>
          <w:i/>
          <w:iCs/>
          <w:sz w:val="22"/>
          <w:szCs w:val="22"/>
        </w:rPr>
        <w:t>Quincuagésimo octavo</w:t>
      </w:r>
      <w:r w:rsidRPr="005B36AC">
        <w:rPr>
          <w:rFonts w:ascii="Palatino Linotype" w:hAnsi="Palatino Linotype"/>
          <w:i/>
          <w:iCs/>
          <w:sz w:val="22"/>
          <w:szCs w:val="22"/>
        </w:rPr>
        <w:t>. Los sujetos obligados garantizarán que los sistemas o medios empleados para eliminar la información en las versiones públicas sean irreversibles, de tal forma que no permitan su recuperación o la visualización de la misma.”</w:t>
      </w:r>
    </w:p>
    <w:p w14:paraId="7ED4B97C" w14:textId="77777777" w:rsidR="00DA424F" w:rsidRPr="005B36AC" w:rsidRDefault="00DA424F" w:rsidP="00DA424F">
      <w:pPr>
        <w:spacing w:before="240" w:after="240" w:line="360" w:lineRule="auto"/>
        <w:jc w:val="both"/>
        <w:rPr>
          <w:rFonts w:ascii="Palatino Linotype" w:eastAsia="Palatino Linotype" w:hAnsi="Palatino Linotype" w:cs="Palatino Linotype"/>
        </w:rPr>
      </w:pPr>
      <w:r w:rsidRPr="005B36AC">
        <w:rPr>
          <w:rFonts w:ascii="Palatino Linotype" w:eastAsia="Palatino Linotype" w:hAnsi="Palatino Linotype" w:cs="Palatino Linotype"/>
        </w:rPr>
        <w:t xml:space="preserve">Por lo tanto, la entrega de documentos en su versión pública </w:t>
      </w:r>
      <w:r w:rsidRPr="005B36AC">
        <w:rPr>
          <w:rFonts w:ascii="Palatino Linotype" w:eastAsia="Palatino Linotype" w:hAnsi="Palatino Linotype" w:cs="Palatino Linotype"/>
          <w:b/>
          <w:u w:val="single"/>
        </w:rPr>
        <w:t>debe acompañarse necesariamente del Acuerdo del Comité de Transparencia</w:t>
      </w:r>
      <w:r w:rsidRPr="005B36AC">
        <w:rPr>
          <w:rFonts w:ascii="Palatino Linotype" w:eastAsia="Palatino Linotype" w:hAnsi="Palatino Linotype" w:cs="Palatino Linotype"/>
        </w:rPr>
        <w:t xml:space="preserve"> que la sustente, el cual debe estar debidamente fundado y motivado, en el que se expongan los fundamentos y razonamientos que llevaron al </w:t>
      </w:r>
      <w:r w:rsidRPr="005B36AC">
        <w:rPr>
          <w:rFonts w:ascii="Palatino Linotype" w:eastAsia="Palatino Linotype" w:hAnsi="Palatino Linotype" w:cs="Palatino Linotype"/>
          <w:b/>
        </w:rPr>
        <w:t>Sujeto Obligado</w:t>
      </w:r>
      <w:r w:rsidRPr="005B36AC">
        <w:rPr>
          <w:rFonts w:ascii="Palatino Linotype" w:eastAsia="Palatino Linotype" w:hAnsi="Palatino Linotype" w:cs="Palatino Linotype"/>
        </w:rPr>
        <w:t xml:space="preserve"> a testar, suprimir o eliminar datos de dicho soporte documental, ya que no hacerlo, se reitera que lo entregado no tendría un sustento jurídico ni resultaría ser una versión pública, sino más bien una documentación ilegible, incompleta o tachada; ya que el no justificar las causas o motivos por las que no se aprecian determinados datos -ya sea porque se testan o suprimen- deja al solicitante en estado de incertidumbre, al no conocer o comprender porque no aparecen en la documentación respectiva.</w:t>
      </w:r>
    </w:p>
    <w:p w14:paraId="41DCCD19" w14:textId="77777777" w:rsidR="00DA424F" w:rsidRPr="005B36AC" w:rsidRDefault="00DA424F" w:rsidP="00DA424F">
      <w:pPr>
        <w:spacing w:before="240" w:after="240" w:line="360" w:lineRule="auto"/>
        <w:jc w:val="both"/>
        <w:rPr>
          <w:rFonts w:ascii="Palatino Linotype" w:eastAsia="Palatino Linotype" w:hAnsi="Palatino Linotype" w:cs="Palatino Linotype"/>
        </w:rPr>
      </w:pPr>
      <w:r w:rsidRPr="005B36AC">
        <w:rPr>
          <w:rFonts w:ascii="Palatino Linotype" w:eastAsia="Palatino Linotype" w:hAnsi="Palatino Linotype" w:cs="Palatino Linotype"/>
        </w:rPr>
        <w:t xml:space="preserve">En el caso que se analiza, como se adelantó, el </w:t>
      </w:r>
      <w:r w:rsidRPr="005B36AC">
        <w:rPr>
          <w:rFonts w:ascii="Palatino Linotype" w:eastAsia="Palatino Linotype" w:hAnsi="Palatino Linotype" w:cs="Palatino Linotype"/>
          <w:b/>
        </w:rPr>
        <w:t>Sujeto Obligado</w:t>
      </w:r>
      <w:r w:rsidR="00BA3ED2" w:rsidRPr="005B36AC">
        <w:rPr>
          <w:rFonts w:ascii="Palatino Linotype" w:eastAsia="Palatino Linotype" w:hAnsi="Palatino Linotype" w:cs="Palatino Linotype"/>
          <w:b/>
        </w:rPr>
        <w:t xml:space="preserve"> </w:t>
      </w:r>
      <w:r w:rsidR="00BA3ED2" w:rsidRPr="005B36AC">
        <w:rPr>
          <w:rFonts w:ascii="Palatino Linotype" w:eastAsia="Palatino Linotype" w:hAnsi="Palatino Linotype" w:cs="Palatino Linotype"/>
        </w:rPr>
        <w:t>proporcionó</w:t>
      </w:r>
      <w:r w:rsidR="00BA3ED2" w:rsidRPr="005B36AC">
        <w:rPr>
          <w:rFonts w:ascii="Palatino Linotype" w:eastAsia="Palatino Linotype" w:hAnsi="Palatino Linotype" w:cs="Palatino Linotype"/>
          <w:b/>
        </w:rPr>
        <w:t xml:space="preserve"> </w:t>
      </w:r>
      <w:r w:rsidRPr="005B36AC">
        <w:rPr>
          <w:rFonts w:ascii="Palatino Linotype" w:eastAsia="Palatino Linotype" w:hAnsi="Palatino Linotype" w:cs="Palatino Linotype"/>
        </w:rPr>
        <w:t>el oficio número D.J.M/22/2024</w:t>
      </w:r>
      <w:r w:rsidR="00BA3ED2" w:rsidRPr="005B36AC">
        <w:rPr>
          <w:rFonts w:ascii="Palatino Linotype" w:eastAsia="Palatino Linotype" w:hAnsi="Palatino Linotype" w:cs="Palatino Linotype"/>
        </w:rPr>
        <w:t xml:space="preserve">, el cual corresponde con la solicitud del titular de la Dirección Jurídica al titular de la Dirección de Obras Públicas del ayuntamiento, sobre el informe de la entrega y terminación de la obra </w:t>
      </w:r>
      <w:r w:rsidR="00BA3ED2" w:rsidRPr="005B36AC">
        <w:rPr>
          <w:rFonts w:ascii="Palatino Linotype" w:hAnsi="Palatino Linotype"/>
        </w:rPr>
        <w:t xml:space="preserve">denominada "Rehabilitación de la </w:t>
      </w:r>
      <w:r w:rsidR="00BA3ED2" w:rsidRPr="005B36AC">
        <w:rPr>
          <w:rFonts w:ascii="Palatino Linotype" w:hAnsi="Palatino Linotype"/>
        </w:rPr>
        <w:lastRenderedPageBreak/>
        <w:t xml:space="preserve">barda perimetral lado oriente del panteón municipal, Manzana Segunda de la Comunidad de Santa Cruz Tepexpan, Jiquipilco, México"; con la finalidad de acreditar el cumplimiento del convenio que </w:t>
      </w:r>
      <w:r w:rsidR="00BA3ED2" w:rsidRPr="005B36AC">
        <w:rPr>
          <w:rFonts w:ascii="Palatino Linotype" w:hAnsi="Palatino Linotype"/>
          <w:b/>
          <w:u w:val="single"/>
        </w:rPr>
        <w:t>derivó del juicio administrativo número 195/2021</w:t>
      </w:r>
      <w:r w:rsidR="00BA3ED2" w:rsidRPr="005B36AC">
        <w:rPr>
          <w:rFonts w:ascii="Palatino Linotype" w:hAnsi="Palatino Linotype"/>
        </w:rPr>
        <w:t xml:space="preserve">, radicado ante el Tribunal de Justicia Administrativa del Estado de México, </w:t>
      </w:r>
      <w:r w:rsidR="00BA3ED2" w:rsidRPr="005B36AC">
        <w:rPr>
          <w:rFonts w:ascii="Palatino Linotype" w:hAnsi="Palatino Linotype"/>
          <w:b/>
          <w:u w:val="single"/>
        </w:rPr>
        <w:t>que fuera promovido por un</w:t>
      </w:r>
      <w:r w:rsidR="00E017F9" w:rsidRPr="005B36AC">
        <w:rPr>
          <w:rFonts w:ascii="Palatino Linotype" w:hAnsi="Palatino Linotype"/>
          <w:b/>
          <w:u w:val="single"/>
        </w:rPr>
        <w:t xml:space="preserve">a persona </w:t>
      </w:r>
      <w:r w:rsidR="00BA3ED2" w:rsidRPr="005B36AC">
        <w:rPr>
          <w:rFonts w:ascii="Palatino Linotype" w:hAnsi="Palatino Linotype"/>
          <w:b/>
          <w:u w:val="single"/>
        </w:rPr>
        <w:t>cuyo nombre fue testado</w:t>
      </w:r>
      <w:r w:rsidR="00703368" w:rsidRPr="005B36AC">
        <w:rPr>
          <w:rFonts w:ascii="Palatino Linotype" w:hAnsi="Palatino Linotype"/>
          <w:b/>
          <w:u w:val="single"/>
        </w:rPr>
        <w:t xml:space="preserve"> en dicho documento</w:t>
      </w:r>
      <w:r w:rsidR="00BA3ED2" w:rsidRPr="005B36AC">
        <w:rPr>
          <w:rFonts w:ascii="Palatino Linotype" w:hAnsi="Palatino Linotype"/>
        </w:rPr>
        <w:t>,</w:t>
      </w:r>
      <w:r w:rsidRPr="005B36AC">
        <w:rPr>
          <w:rFonts w:ascii="Palatino Linotype" w:eastAsia="Palatino Linotype" w:hAnsi="Palatino Linotype" w:cs="Palatino Linotype"/>
        </w:rPr>
        <w:t xml:space="preserve"> sin embargo, </w:t>
      </w:r>
      <w:r w:rsidRPr="005B36AC">
        <w:rPr>
          <w:rFonts w:ascii="Palatino Linotype" w:eastAsia="Palatino Linotype" w:hAnsi="Palatino Linotype" w:cs="Palatino Linotype"/>
          <w:b/>
          <w:u w:val="single"/>
        </w:rPr>
        <w:t>omitió remitir el acuerdo que sustente de manera fundada y motivada la versión pública de dicho documento</w:t>
      </w:r>
      <w:r w:rsidRPr="005B36AC">
        <w:rPr>
          <w:rFonts w:ascii="Palatino Linotype" w:eastAsia="Palatino Linotype" w:hAnsi="Palatino Linotype" w:cs="Palatino Linotype"/>
        </w:rPr>
        <w:t xml:space="preserve">, por lo tanto, es evidente que no puede tenerse por satisfecho el Derecho humano de acceso de la persona solicitante, con base en los argumentos </w:t>
      </w:r>
      <w:r w:rsidR="00C36EB0" w:rsidRPr="005B36AC">
        <w:rPr>
          <w:rFonts w:ascii="Palatino Linotype" w:eastAsia="Palatino Linotype" w:hAnsi="Palatino Linotype" w:cs="Palatino Linotype"/>
        </w:rPr>
        <w:t xml:space="preserve">previamente </w:t>
      </w:r>
      <w:r w:rsidRPr="005B36AC">
        <w:rPr>
          <w:rFonts w:ascii="Palatino Linotype" w:eastAsia="Palatino Linotype" w:hAnsi="Palatino Linotype" w:cs="Palatino Linotype"/>
        </w:rPr>
        <w:t>expuestos.</w:t>
      </w:r>
    </w:p>
    <w:p w14:paraId="4EB50615" w14:textId="77777777" w:rsidR="00AB3A85" w:rsidRPr="005B36AC" w:rsidRDefault="00C36EB0" w:rsidP="00AB3A85">
      <w:pPr>
        <w:spacing w:before="240" w:after="240" w:line="360" w:lineRule="auto"/>
        <w:jc w:val="both"/>
        <w:rPr>
          <w:rFonts w:ascii="Palatino Linotype" w:eastAsia="Calibri" w:hAnsi="Palatino Linotype" w:cs="Tahoma"/>
          <w:bCs/>
          <w:iCs/>
          <w:lang w:eastAsia="es-ES_tradnl"/>
        </w:rPr>
      </w:pPr>
      <w:r w:rsidRPr="005B36AC">
        <w:rPr>
          <w:rFonts w:ascii="Palatino Linotype" w:eastAsia="Palatino Linotype" w:hAnsi="Palatino Linotype" w:cs="Palatino Linotype"/>
        </w:rPr>
        <w:t xml:space="preserve">En este tenor, es imprescindible mencionar que se coincide con el </w:t>
      </w:r>
      <w:r w:rsidRPr="005B36AC">
        <w:rPr>
          <w:rFonts w:ascii="Palatino Linotype" w:eastAsia="Palatino Linotype" w:hAnsi="Palatino Linotype" w:cs="Palatino Linotype"/>
          <w:b/>
        </w:rPr>
        <w:t xml:space="preserve">Sujeto Obligado </w:t>
      </w:r>
      <w:r w:rsidRPr="005B36AC">
        <w:rPr>
          <w:rFonts w:ascii="Palatino Linotype" w:eastAsia="Palatino Linotype" w:hAnsi="Palatino Linotype" w:cs="Palatino Linotype"/>
        </w:rPr>
        <w:t>respecto de la clasificación del nombre de la persona promovente</w:t>
      </w:r>
      <w:r w:rsidR="00310E2C" w:rsidRPr="005B36AC">
        <w:rPr>
          <w:rFonts w:ascii="Palatino Linotype" w:eastAsia="Palatino Linotype" w:hAnsi="Palatino Linotype" w:cs="Palatino Linotype"/>
        </w:rPr>
        <w:t xml:space="preserve"> </w:t>
      </w:r>
      <w:r w:rsidR="00E017F9" w:rsidRPr="005B36AC">
        <w:rPr>
          <w:rFonts w:ascii="Palatino Linotype" w:eastAsia="Palatino Linotype" w:hAnsi="Palatino Linotype" w:cs="Palatino Linotype"/>
        </w:rPr>
        <w:t xml:space="preserve">o actora </w:t>
      </w:r>
      <w:r w:rsidRPr="005B36AC">
        <w:rPr>
          <w:rFonts w:ascii="Palatino Linotype" w:eastAsia="Palatino Linotype" w:hAnsi="Palatino Linotype" w:cs="Palatino Linotype"/>
        </w:rPr>
        <w:t xml:space="preserve">del juicio administrativo número 195/2021, </w:t>
      </w:r>
      <w:r w:rsidR="00310E2C" w:rsidRPr="005B36AC">
        <w:rPr>
          <w:rFonts w:ascii="Palatino Linotype" w:eastAsia="Palatino Linotype" w:hAnsi="Palatino Linotype" w:cs="Palatino Linotype"/>
        </w:rPr>
        <w:t xml:space="preserve">toda vez que dicho dato, </w:t>
      </w:r>
      <w:r w:rsidR="00AB3A85" w:rsidRPr="005B36AC">
        <w:rPr>
          <w:rFonts w:ascii="Palatino Linotype" w:eastAsia="Palatino Linotype" w:hAnsi="Palatino Linotype"/>
        </w:rPr>
        <w:t>al ser uno de los atributos de la personalidad y la manifestación principal del derecho subjetivo a la identidad, ya que</w:t>
      </w:r>
      <w:r w:rsidR="00860FB9" w:rsidRPr="005B36AC">
        <w:rPr>
          <w:rFonts w:ascii="Palatino Linotype" w:eastAsia="Palatino Linotype" w:hAnsi="Palatino Linotype"/>
        </w:rPr>
        <w:t>,</w:t>
      </w:r>
      <w:r w:rsidR="00AB3A85" w:rsidRPr="005B36AC">
        <w:rPr>
          <w:rFonts w:ascii="Palatino Linotype" w:eastAsia="Palatino Linotype" w:hAnsi="Palatino Linotype"/>
        </w:rPr>
        <w:t xml:space="preserve"> por sí solo es un elemento que hace a una persona física identificada o identificable, por lo que dar publicidad al mismo vulneraría su ámbito de privacidad, por regla general, debe considerarse como un dato confidencial </w:t>
      </w:r>
      <w:r w:rsidR="00AB3A85" w:rsidRPr="005B36AC">
        <w:rPr>
          <w:rFonts w:ascii="Palatino Linotype" w:eastAsia="Calibri" w:hAnsi="Palatino Linotype" w:cs="Tahoma"/>
          <w:bCs/>
          <w:iCs/>
          <w:lang w:eastAsia="es-ES_tradnl"/>
        </w:rPr>
        <w:t xml:space="preserve">en términos del artículo 143, fracción I de la Ley de Transparencia y Acceso a la Información Pública del Estado de México y Municipios, cuando se trate de personas físicas que no se desempeñan en la función pública, como </w:t>
      </w:r>
      <w:r w:rsidR="00E017F9" w:rsidRPr="005B36AC">
        <w:rPr>
          <w:rFonts w:ascii="Palatino Linotype" w:eastAsia="Calibri" w:hAnsi="Palatino Linotype" w:cs="Tahoma"/>
          <w:bCs/>
          <w:iCs/>
          <w:lang w:eastAsia="es-ES_tradnl"/>
        </w:rPr>
        <w:t>acontece en</w:t>
      </w:r>
      <w:r w:rsidR="00AB3A85" w:rsidRPr="005B36AC">
        <w:rPr>
          <w:rFonts w:ascii="Palatino Linotype" w:eastAsia="Calibri" w:hAnsi="Palatino Linotype" w:cs="Tahoma"/>
          <w:bCs/>
          <w:iCs/>
          <w:lang w:eastAsia="es-ES_tradnl"/>
        </w:rPr>
        <w:t xml:space="preserve"> el presente caso.</w:t>
      </w:r>
    </w:p>
    <w:p w14:paraId="11B730D8" w14:textId="6FBF98A2" w:rsidR="00721208" w:rsidRPr="005B36AC" w:rsidRDefault="00E017F9" w:rsidP="00721208">
      <w:pPr>
        <w:spacing w:before="240" w:after="240" w:line="360" w:lineRule="auto"/>
        <w:jc w:val="both"/>
        <w:rPr>
          <w:rFonts w:ascii="Palatino Linotype" w:hAnsi="Palatino Linotype"/>
        </w:rPr>
      </w:pPr>
      <w:r w:rsidRPr="005B36AC">
        <w:rPr>
          <w:rFonts w:ascii="Palatino Linotype" w:eastAsia="Calibri" w:hAnsi="Palatino Linotype" w:cs="Tahoma"/>
          <w:bCs/>
          <w:iCs/>
          <w:lang w:eastAsia="es-ES_tradnl"/>
        </w:rPr>
        <w:t xml:space="preserve">Como sustento a lo anterior, no obsta mencionar que el </w:t>
      </w:r>
      <w:r w:rsidRPr="005B36AC">
        <w:rPr>
          <w:rFonts w:ascii="Palatino Linotype" w:eastAsia="Palatino Linotype" w:hAnsi="Palatino Linotype" w:cs="Palatino Linotype"/>
        </w:rPr>
        <w:t xml:space="preserve">juicio administrativo número 195/2021 radicado en la Primera Sala Regional de Jurisdicción Ordinaria del Tribunal de Justicia </w:t>
      </w:r>
      <w:r w:rsidR="00721208" w:rsidRPr="005B36AC">
        <w:rPr>
          <w:rFonts w:ascii="Palatino Linotype" w:eastAsia="Palatino Linotype" w:hAnsi="Palatino Linotype" w:cs="Palatino Linotype"/>
        </w:rPr>
        <w:t>Administrativa del Estado de México</w:t>
      </w:r>
      <w:r w:rsidRPr="005B36AC">
        <w:rPr>
          <w:rFonts w:ascii="Palatino Linotype" w:eastAsia="Palatino Linotype" w:hAnsi="Palatino Linotype" w:cs="Palatino Linotype"/>
        </w:rPr>
        <w:t xml:space="preserve">, derivó de la negativa ficta del ayuntamiento recaída en el escrito de petición presentado por la parte actora, ante </w:t>
      </w:r>
      <w:r w:rsidRPr="005B36AC">
        <w:rPr>
          <w:rFonts w:ascii="Palatino Linotype" w:eastAsia="Palatino Linotype" w:hAnsi="Palatino Linotype" w:cs="Palatino Linotype"/>
        </w:rPr>
        <w:lastRenderedPageBreak/>
        <w:t xml:space="preserve">la </w:t>
      </w:r>
      <w:r w:rsidRPr="005B36AC">
        <w:rPr>
          <w:rFonts w:ascii="Palatino Linotype" w:hAnsi="Palatino Linotype"/>
        </w:rPr>
        <w:t xml:space="preserve">Oficialía de Partes del Ayuntamiento de Jiquipilco, </w:t>
      </w:r>
      <w:r w:rsidR="00721208" w:rsidRPr="005B36AC">
        <w:rPr>
          <w:rFonts w:ascii="Palatino Linotype" w:hAnsi="Palatino Linotype"/>
        </w:rPr>
        <w:t xml:space="preserve">mismo que versa sobre la solicitud realizada a la Presidenta Municipal Constitucional para que gire instrucciones a quien corresponda, a efecto de iniciar con los trámites y procedimientos administrativos correspondientes para la implementación del programa y/o proyecto correspondiente para rehabilitación de la barda perimetral del panteón municipal en la Comunidad de Santa Cruz Tepexpan, según se lee en la sentencia emitida por la </w:t>
      </w:r>
      <w:r w:rsidR="00721208" w:rsidRPr="005B36AC">
        <w:rPr>
          <w:rFonts w:ascii="Palatino Linotype" w:eastAsia="Palatino Linotype" w:hAnsi="Palatino Linotype" w:cs="Palatino Linotype"/>
        </w:rPr>
        <w:t xml:space="preserve">Primera Sala Regional, </w:t>
      </w:r>
      <w:r w:rsidR="00D7364A" w:rsidRPr="005B36AC">
        <w:rPr>
          <w:rFonts w:ascii="Palatino Linotype" w:eastAsia="Palatino Linotype" w:hAnsi="Palatino Linotype" w:cs="Palatino Linotype"/>
        </w:rPr>
        <w:t xml:space="preserve">cuya versión pública se encuentra </w:t>
      </w:r>
      <w:r w:rsidR="00721208" w:rsidRPr="005B36AC">
        <w:rPr>
          <w:rFonts w:ascii="Palatino Linotype" w:eastAsia="Palatino Linotype" w:hAnsi="Palatino Linotype" w:cs="Palatino Linotype"/>
        </w:rPr>
        <w:t>disponible en el Portal de Sentencias</w:t>
      </w:r>
      <w:r w:rsidR="00D7364A" w:rsidRPr="005B36AC">
        <w:rPr>
          <w:rStyle w:val="Refdenotaalpie"/>
          <w:rFonts w:ascii="Palatino Linotype" w:eastAsia="Palatino Linotype" w:hAnsi="Palatino Linotype" w:cs="Palatino Linotype"/>
        </w:rPr>
        <w:footnoteReference w:id="4"/>
      </w:r>
      <w:r w:rsidR="00721208" w:rsidRPr="005B36AC">
        <w:rPr>
          <w:rFonts w:ascii="Palatino Linotype" w:eastAsia="Palatino Linotype" w:hAnsi="Palatino Linotype" w:cs="Palatino Linotype"/>
        </w:rPr>
        <w:t xml:space="preserve"> del Tribunal de Justicia </w:t>
      </w:r>
      <w:r w:rsidR="00860FB9" w:rsidRPr="005B36AC">
        <w:rPr>
          <w:rFonts w:ascii="Palatino Linotype" w:eastAsia="Palatino Linotype" w:hAnsi="Palatino Linotype" w:cs="Palatino Linotype"/>
        </w:rPr>
        <w:t>Administrativa</w:t>
      </w:r>
      <w:r w:rsidR="00721208" w:rsidRPr="005B36AC">
        <w:rPr>
          <w:rFonts w:ascii="Palatino Linotype" w:eastAsia="Palatino Linotype" w:hAnsi="Palatino Linotype" w:cs="Palatino Linotype"/>
        </w:rPr>
        <w:t>.</w:t>
      </w:r>
    </w:p>
    <w:p w14:paraId="3BD98072" w14:textId="77777777" w:rsidR="00310E2C" w:rsidRPr="005B36AC" w:rsidRDefault="00703368" w:rsidP="00DA424F">
      <w:pPr>
        <w:spacing w:before="240" w:after="240" w:line="360" w:lineRule="auto"/>
        <w:jc w:val="both"/>
        <w:rPr>
          <w:rFonts w:ascii="Palatino Linotype" w:eastAsia="Palatino Linotype" w:hAnsi="Palatino Linotype" w:cs="Palatino Linotype"/>
        </w:rPr>
      </w:pPr>
      <w:r w:rsidRPr="005B36AC">
        <w:rPr>
          <w:rFonts w:ascii="Palatino Linotype" w:eastAsia="Palatino Linotype" w:hAnsi="Palatino Linotype" w:cs="Palatino Linotype"/>
        </w:rPr>
        <w:t xml:space="preserve">Bajo tales consideraciones, se concluye que los motivos de inconformidad de la parte </w:t>
      </w:r>
      <w:r w:rsidRPr="005B36AC">
        <w:rPr>
          <w:rFonts w:ascii="Palatino Linotype" w:eastAsia="Palatino Linotype" w:hAnsi="Palatino Linotype" w:cs="Palatino Linotype"/>
          <w:b/>
        </w:rPr>
        <w:t xml:space="preserve">Recurrente </w:t>
      </w:r>
      <w:r w:rsidRPr="005B36AC">
        <w:rPr>
          <w:rFonts w:ascii="Palatino Linotype" w:eastAsia="Palatino Linotype" w:hAnsi="Palatino Linotype" w:cs="Palatino Linotype"/>
        </w:rPr>
        <w:t xml:space="preserve">en el recurso de revisión </w:t>
      </w:r>
      <w:r w:rsidRPr="005B36AC">
        <w:rPr>
          <w:rFonts w:ascii="Palatino Linotype" w:eastAsia="Palatino Linotype" w:hAnsi="Palatino Linotype" w:cs="Palatino Linotype"/>
          <w:b/>
        </w:rPr>
        <w:t xml:space="preserve">00979/INFOEM/IP/RR/2025 </w:t>
      </w:r>
      <w:r w:rsidRPr="005B36AC">
        <w:rPr>
          <w:rFonts w:ascii="Palatino Linotype" w:eastAsia="Palatino Linotype" w:hAnsi="Palatino Linotype" w:cs="Palatino Linotype"/>
        </w:rPr>
        <w:t xml:space="preserve">devienen fundados, siendo procedente </w:t>
      </w:r>
      <w:r w:rsidRPr="005B36AC">
        <w:rPr>
          <w:rFonts w:ascii="Palatino Linotype" w:eastAsia="Palatino Linotype" w:hAnsi="Palatino Linotype" w:cs="Palatino Linotype"/>
          <w:i/>
        </w:rPr>
        <w:t xml:space="preserve">Modificar </w:t>
      </w:r>
      <w:r w:rsidRPr="005B36AC">
        <w:rPr>
          <w:rFonts w:ascii="Palatino Linotype" w:eastAsia="Palatino Linotype" w:hAnsi="Palatino Linotype" w:cs="Palatino Linotype"/>
        </w:rPr>
        <w:t xml:space="preserve">la respuesta proporcionada por el </w:t>
      </w:r>
      <w:r w:rsidRPr="005B36AC">
        <w:rPr>
          <w:rFonts w:ascii="Palatino Linotype" w:eastAsia="Palatino Linotype" w:hAnsi="Palatino Linotype" w:cs="Palatino Linotype"/>
          <w:b/>
        </w:rPr>
        <w:t xml:space="preserve">Sujeto Obligado </w:t>
      </w:r>
      <w:r w:rsidRPr="005B36AC">
        <w:rPr>
          <w:rFonts w:ascii="Palatino Linotype" w:eastAsia="Palatino Linotype" w:hAnsi="Palatino Linotype" w:cs="Palatino Linotype"/>
        </w:rPr>
        <w:t>en términos del artículo 186 fracción III de la Ley de Transparencia y Acceso a la Información Pública del Estado de México y Municipios, por lo que para tener por colmado del Derecho de acceso, se estima dable ordenar la entrega del acuerdo de clasificación que para tal efecto emita el Comité de Transparencia, en los términos precisados con anterioridad, mediante el cual de manera fundada y motivada exponga las razones que justifican la eliminación del dato que fue testado del documento entregado en respuesta.</w:t>
      </w:r>
    </w:p>
    <w:p w14:paraId="2221752D" w14:textId="77777777" w:rsidR="005801F9" w:rsidRPr="005B36AC" w:rsidRDefault="003D6A59">
      <w:pPr>
        <w:spacing w:before="240" w:after="240" w:line="360" w:lineRule="auto"/>
        <w:jc w:val="both"/>
        <w:rPr>
          <w:rFonts w:ascii="Palatino Linotype" w:eastAsia="Palatino Linotype" w:hAnsi="Palatino Linotype" w:cs="Palatino Linotype"/>
        </w:rPr>
      </w:pPr>
      <w:r w:rsidRPr="005B36AC">
        <w:rPr>
          <w:rFonts w:ascii="Palatino Linotype" w:eastAsia="Palatino Linotype" w:hAnsi="Palatino Linotype" w:cs="Palatino Linotype"/>
        </w:rPr>
        <w:t xml:space="preserve">Así, con fundamento en lo prescrito en los artículos 5 párrafos trigésimo tercero, trigésimo cuarto y trigésimo quinto de la Constitución Política del Estado Libre y Soberano de México; 2, fracción II; 29, 36 fracciones I y II; 176, 178, 181, 185 y 186 </w:t>
      </w:r>
      <w:r w:rsidRPr="005B36AC">
        <w:rPr>
          <w:rFonts w:ascii="Palatino Linotype" w:eastAsia="Palatino Linotype" w:hAnsi="Palatino Linotype" w:cs="Palatino Linotype"/>
        </w:rPr>
        <w:lastRenderedPageBreak/>
        <w:t>fracción II de la Ley de Transparencia y Acceso a la Información Pública del Estado de México y Municipios, este Pleno:</w:t>
      </w:r>
    </w:p>
    <w:p w14:paraId="7898F811" w14:textId="77777777" w:rsidR="005801F9" w:rsidRPr="005B36AC" w:rsidRDefault="003D6A59">
      <w:pPr>
        <w:pBdr>
          <w:top w:val="nil"/>
          <w:left w:val="nil"/>
          <w:bottom w:val="nil"/>
          <w:right w:val="nil"/>
          <w:between w:val="nil"/>
        </w:pBdr>
        <w:spacing w:before="240" w:after="240" w:line="360" w:lineRule="auto"/>
        <w:jc w:val="center"/>
        <w:rPr>
          <w:rFonts w:ascii="Palatino Linotype" w:eastAsia="Palatino Linotype" w:hAnsi="Palatino Linotype" w:cs="Palatino Linotype"/>
          <w:b/>
        </w:rPr>
      </w:pPr>
      <w:r w:rsidRPr="005B36AC">
        <w:rPr>
          <w:rFonts w:ascii="Palatino Linotype" w:eastAsia="Palatino Linotype" w:hAnsi="Palatino Linotype" w:cs="Palatino Linotype"/>
          <w:b/>
        </w:rPr>
        <w:t>III. R E S U E L V E</w:t>
      </w:r>
    </w:p>
    <w:p w14:paraId="1F719146" w14:textId="77777777" w:rsidR="005801F9" w:rsidRPr="005B36AC" w:rsidRDefault="003D6A59">
      <w:pPr>
        <w:spacing w:before="240" w:after="240" w:line="360" w:lineRule="auto"/>
        <w:jc w:val="both"/>
        <w:rPr>
          <w:rFonts w:ascii="Palatino Linotype" w:eastAsia="Palatino Linotype" w:hAnsi="Palatino Linotype" w:cs="Palatino Linotype"/>
        </w:rPr>
      </w:pPr>
      <w:bookmarkStart w:id="9" w:name="_heading=h.1t3h5sf" w:colFirst="0" w:colLast="0"/>
      <w:bookmarkEnd w:id="9"/>
      <w:r w:rsidRPr="005B36AC">
        <w:rPr>
          <w:rFonts w:ascii="Palatino Linotype" w:eastAsia="Palatino Linotype" w:hAnsi="Palatino Linotype" w:cs="Palatino Linotype"/>
          <w:b/>
        </w:rPr>
        <w:t xml:space="preserve">Primero. </w:t>
      </w:r>
      <w:r w:rsidRPr="005B36AC">
        <w:rPr>
          <w:rFonts w:ascii="Palatino Linotype" w:eastAsia="Palatino Linotype" w:hAnsi="Palatino Linotype" w:cs="Palatino Linotype"/>
        </w:rPr>
        <w:t>Resultan</w:t>
      </w:r>
      <w:r w:rsidRPr="005B36AC">
        <w:rPr>
          <w:rFonts w:ascii="Palatino Linotype" w:eastAsia="Palatino Linotype" w:hAnsi="Palatino Linotype" w:cs="Palatino Linotype"/>
          <w:b/>
        </w:rPr>
        <w:t xml:space="preserve"> fundadas</w:t>
      </w:r>
      <w:r w:rsidRPr="005B36AC">
        <w:rPr>
          <w:rFonts w:ascii="Palatino Linotype" w:eastAsia="Palatino Linotype" w:hAnsi="Palatino Linotype" w:cs="Palatino Linotype"/>
        </w:rPr>
        <w:t xml:space="preserve"> las razones o motivos de inconformidad hechos valer por la parte</w:t>
      </w:r>
      <w:r w:rsidRPr="005B36AC">
        <w:rPr>
          <w:rFonts w:ascii="Palatino Linotype" w:eastAsia="Palatino Linotype" w:hAnsi="Palatino Linotype" w:cs="Palatino Linotype"/>
          <w:b/>
        </w:rPr>
        <w:t xml:space="preserve"> Recurrente</w:t>
      </w:r>
      <w:r w:rsidRPr="005B36AC">
        <w:rPr>
          <w:rFonts w:ascii="Palatino Linotype" w:eastAsia="Palatino Linotype" w:hAnsi="Palatino Linotype" w:cs="Palatino Linotype"/>
        </w:rPr>
        <w:t xml:space="preserve"> en el recurso de revisión </w:t>
      </w:r>
      <w:r w:rsidRPr="005B36AC">
        <w:rPr>
          <w:rFonts w:ascii="Palatino Linotype" w:eastAsia="Palatino Linotype" w:hAnsi="Palatino Linotype" w:cs="Palatino Linotype"/>
          <w:b/>
        </w:rPr>
        <w:t>00</w:t>
      </w:r>
      <w:r w:rsidR="00703368" w:rsidRPr="005B36AC">
        <w:rPr>
          <w:rFonts w:ascii="Palatino Linotype" w:eastAsia="Palatino Linotype" w:hAnsi="Palatino Linotype" w:cs="Palatino Linotype"/>
          <w:b/>
        </w:rPr>
        <w:t>979</w:t>
      </w:r>
      <w:r w:rsidRPr="005B36AC">
        <w:rPr>
          <w:rFonts w:ascii="Palatino Linotype" w:eastAsia="Palatino Linotype" w:hAnsi="Palatino Linotype" w:cs="Palatino Linotype"/>
          <w:b/>
        </w:rPr>
        <w:t>/INFOEM/IP/RR/2025</w:t>
      </w:r>
      <w:r w:rsidRPr="005B36AC">
        <w:rPr>
          <w:rFonts w:ascii="Palatino Linotype" w:eastAsia="Palatino Linotype" w:hAnsi="Palatino Linotype" w:cs="Palatino Linotype"/>
        </w:rPr>
        <w:t xml:space="preserve">; por lo que, en términos del </w:t>
      </w:r>
      <w:r w:rsidRPr="005B36AC">
        <w:rPr>
          <w:rFonts w:ascii="Palatino Linotype" w:eastAsia="Palatino Linotype" w:hAnsi="Palatino Linotype" w:cs="Palatino Linotype"/>
          <w:b/>
        </w:rPr>
        <w:t>Considerando</w:t>
      </w:r>
      <w:r w:rsidRPr="005B36AC">
        <w:rPr>
          <w:rFonts w:ascii="Palatino Linotype" w:eastAsia="Palatino Linotype" w:hAnsi="Palatino Linotype" w:cs="Palatino Linotype"/>
        </w:rPr>
        <w:t xml:space="preserve"> </w:t>
      </w:r>
      <w:r w:rsidRPr="005B36AC">
        <w:rPr>
          <w:rFonts w:ascii="Palatino Linotype" w:eastAsia="Palatino Linotype" w:hAnsi="Palatino Linotype" w:cs="Palatino Linotype"/>
          <w:b/>
        </w:rPr>
        <w:t xml:space="preserve">Cuarto </w:t>
      </w:r>
      <w:r w:rsidRPr="005B36AC">
        <w:rPr>
          <w:rFonts w:ascii="Palatino Linotype" w:eastAsia="Palatino Linotype" w:hAnsi="Palatino Linotype" w:cs="Palatino Linotype"/>
        </w:rPr>
        <w:t xml:space="preserve">de esta resolución, se </w:t>
      </w:r>
      <w:r w:rsidRPr="005B36AC">
        <w:rPr>
          <w:rFonts w:ascii="Palatino Linotype" w:eastAsia="Palatino Linotype" w:hAnsi="Palatino Linotype" w:cs="Palatino Linotype"/>
          <w:b/>
        </w:rPr>
        <w:t>Modifica</w:t>
      </w:r>
      <w:r w:rsidRPr="005B36AC">
        <w:rPr>
          <w:rFonts w:ascii="Palatino Linotype" w:eastAsia="Palatino Linotype" w:hAnsi="Palatino Linotype" w:cs="Palatino Linotype"/>
        </w:rPr>
        <w:t xml:space="preserve"> la respuesta emitida por el </w:t>
      </w:r>
      <w:r w:rsidRPr="005B36AC">
        <w:rPr>
          <w:rFonts w:ascii="Palatino Linotype" w:eastAsia="Palatino Linotype" w:hAnsi="Palatino Linotype" w:cs="Palatino Linotype"/>
          <w:b/>
        </w:rPr>
        <w:t xml:space="preserve">Sujeto Obligado. </w:t>
      </w:r>
    </w:p>
    <w:p w14:paraId="62DEEFE3" w14:textId="77777777" w:rsidR="005801F9" w:rsidRPr="005B36AC" w:rsidRDefault="003D6A59">
      <w:pPr>
        <w:spacing w:before="240" w:after="240" w:line="360" w:lineRule="auto"/>
        <w:ind w:right="49"/>
        <w:jc w:val="both"/>
        <w:rPr>
          <w:rFonts w:ascii="Palatino Linotype" w:eastAsia="Palatino Linotype" w:hAnsi="Palatino Linotype" w:cs="Palatino Linotype"/>
        </w:rPr>
      </w:pPr>
      <w:r w:rsidRPr="005B36AC">
        <w:rPr>
          <w:rFonts w:ascii="Palatino Linotype" w:eastAsia="Palatino Linotype" w:hAnsi="Palatino Linotype" w:cs="Palatino Linotype"/>
          <w:b/>
        </w:rPr>
        <w:t xml:space="preserve">Segundo. </w:t>
      </w:r>
      <w:r w:rsidRPr="005B36AC">
        <w:rPr>
          <w:rFonts w:ascii="Palatino Linotype" w:eastAsia="Palatino Linotype" w:hAnsi="Palatino Linotype" w:cs="Palatino Linotype"/>
        </w:rPr>
        <w:t xml:space="preserve">Se </w:t>
      </w:r>
      <w:r w:rsidRPr="005B36AC">
        <w:rPr>
          <w:rFonts w:ascii="Palatino Linotype" w:eastAsia="Palatino Linotype" w:hAnsi="Palatino Linotype" w:cs="Palatino Linotype"/>
          <w:b/>
        </w:rPr>
        <w:t xml:space="preserve">Ordena </w:t>
      </w:r>
      <w:r w:rsidRPr="005B36AC">
        <w:rPr>
          <w:rFonts w:ascii="Palatino Linotype" w:eastAsia="Palatino Linotype" w:hAnsi="Palatino Linotype" w:cs="Palatino Linotype"/>
        </w:rPr>
        <w:t xml:space="preserve">al </w:t>
      </w:r>
      <w:r w:rsidRPr="005B36AC">
        <w:rPr>
          <w:rFonts w:ascii="Palatino Linotype" w:eastAsia="Palatino Linotype" w:hAnsi="Palatino Linotype" w:cs="Palatino Linotype"/>
          <w:b/>
        </w:rPr>
        <w:t xml:space="preserve">Sujeto Obligado, </w:t>
      </w:r>
      <w:r w:rsidR="00703368" w:rsidRPr="005B36AC">
        <w:rPr>
          <w:rFonts w:ascii="Palatino Linotype" w:eastAsia="Palatino Linotype" w:hAnsi="Palatino Linotype" w:cs="Palatino Linotype"/>
        </w:rPr>
        <w:t>en términos del</w:t>
      </w:r>
      <w:r w:rsidRPr="005B36AC">
        <w:rPr>
          <w:rFonts w:ascii="Palatino Linotype" w:eastAsia="Palatino Linotype" w:hAnsi="Palatino Linotype" w:cs="Palatino Linotype"/>
        </w:rPr>
        <w:t xml:space="preserve"> </w:t>
      </w:r>
      <w:r w:rsidRPr="005B36AC">
        <w:rPr>
          <w:rFonts w:ascii="Palatino Linotype" w:eastAsia="Palatino Linotype" w:hAnsi="Palatino Linotype" w:cs="Palatino Linotype"/>
          <w:b/>
        </w:rPr>
        <w:t>Considerando</w:t>
      </w:r>
      <w:r w:rsidRPr="005B36AC">
        <w:rPr>
          <w:rFonts w:ascii="Palatino Linotype" w:eastAsia="Palatino Linotype" w:hAnsi="Palatino Linotype" w:cs="Palatino Linotype"/>
        </w:rPr>
        <w:t xml:space="preserve"> </w:t>
      </w:r>
      <w:r w:rsidRPr="005B36AC">
        <w:rPr>
          <w:rFonts w:ascii="Palatino Linotype" w:eastAsia="Palatino Linotype" w:hAnsi="Palatino Linotype" w:cs="Palatino Linotype"/>
          <w:b/>
        </w:rPr>
        <w:t xml:space="preserve">Cuarto </w:t>
      </w:r>
      <w:r w:rsidR="00703368" w:rsidRPr="005B36AC">
        <w:rPr>
          <w:rFonts w:ascii="Palatino Linotype" w:eastAsia="Palatino Linotype" w:hAnsi="Palatino Linotype" w:cs="Palatino Linotype"/>
        </w:rPr>
        <w:t>de</w:t>
      </w:r>
      <w:r w:rsidRPr="005B36AC">
        <w:rPr>
          <w:rFonts w:ascii="Palatino Linotype" w:eastAsia="Palatino Linotype" w:hAnsi="Palatino Linotype" w:cs="Palatino Linotype"/>
        </w:rPr>
        <w:t xml:space="preserve"> esta resolución, haga entrega, vía </w:t>
      </w:r>
      <w:r w:rsidRPr="005B36AC">
        <w:rPr>
          <w:rFonts w:ascii="Palatino Linotype" w:eastAsia="Palatino Linotype" w:hAnsi="Palatino Linotype" w:cs="Palatino Linotype"/>
          <w:b/>
        </w:rPr>
        <w:t>SAIMEX</w:t>
      </w:r>
      <w:r w:rsidR="00703368" w:rsidRPr="005B36AC">
        <w:rPr>
          <w:rFonts w:ascii="Palatino Linotype" w:eastAsia="Palatino Linotype" w:hAnsi="Palatino Linotype" w:cs="Palatino Linotype"/>
        </w:rPr>
        <w:t>,</w:t>
      </w:r>
      <w:r w:rsidRPr="005B36AC">
        <w:rPr>
          <w:rFonts w:ascii="Palatino Linotype" w:eastAsia="Palatino Linotype" w:hAnsi="Palatino Linotype" w:cs="Palatino Linotype"/>
        </w:rPr>
        <w:t xml:space="preserve"> de lo siguiente:</w:t>
      </w:r>
    </w:p>
    <w:p w14:paraId="1DA5BFEB" w14:textId="77777777" w:rsidR="005801F9" w:rsidRPr="005B36AC" w:rsidRDefault="003D6A59">
      <w:pPr>
        <w:spacing w:before="240" w:after="240" w:line="360" w:lineRule="auto"/>
        <w:ind w:left="426" w:right="49"/>
        <w:jc w:val="both"/>
        <w:rPr>
          <w:rFonts w:ascii="Palatino Linotype" w:eastAsia="Palatino Linotype" w:hAnsi="Palatino Linotype" w:cs="Palatino Linotype"/>
        </w:rPr>
      </w:pPr>
      <w:r w:rsidRPr="005B36AC">
        <w:rPr>
          <w:rFonts w:ascii="Palatino Linotype" w:eastAsia="Palatino Linotype" w:hAnsi="Palatino Linotype" w:cs="Palatino Linotype"/>
        </w:rPr>
        <w:t xml:space="preserve">1. </w:t>
      </w:r>
      <w:r w:rsidR="00703368" w:rsidRPr="005B36AC">
        <w:rPr>
          <w:rFonts w:ascii="Palatino Linotype" w:eastAsia="Palatino Linotype" w:hAnsi="Palatino Linotype" w:cs="Palatino Linotype"/>
        </w:rPr>
        <w:t>Acuerdo del Comité de Transparencia en términos de la Ley de Transparencia y Acceso a la Información Pública del Estado de México y Municipios, mediante el cual se sustente la versi</w:t>
      </w:r>
      <w:r w:rsidR="000109DA" w:rsidRPr="005B36AC">
        <w:rPr>
          <w:rFonts w:ascii="Palatino Linotype" w:eastAsia="Palatino Linotype" w:hAnsi="Palatino Linotype" w:cs="Palatino Linotype"/>
        </w:rPr>
        <w:t>ón pública del documento remitido en respuesta.</w:t>
      </w:r>
    </w:p>
    <w:p w14:paraId="7AC055C9" w14:textId="77777777" w:rsidR="005801F9" w:rsidRPr="005B36AC" w:rsidRDefault="003D6A59">
      <w:pPr>
        <w:spacing w:before="240" w:after="240" w:line="360" w:lineRule="auto"/>
        <w:jc w:val="both"/>
        <w:rPr>
          <w:rFonts w:ascii="Palatino Linotype" w:eastAsia="Palatino Linotype" w:hAnsi="Palatino Linotype" w:cs="Palatino Linotype"/>
        </w:rPr>
      </w:pPr>
      <w:r w:rsidRPr="005B36AC">
        <w:rPr>
          <w:rFonts w:ascii="Palatino Linotype" w:eastAsia="Palatino Linotype" w:hAnsi="Palatino Linotype" w:cs="Palatino Linotype"/>
          <w:b/>
        </w:rPr>
        <w:t xml:space="preserve">Tercero. Notifíquese, </w:t>
      </w:r>
      <w:r w:rsidRPr="005B36AC">
        <w:rPr>
          <w:rFonts w:ascii="Palatino Linotype" w:eastAsia="Palatino Linotype" w:hAnsi="Palatino Linotype" w:cs="Palatino Linotype"/>
        </w:rPr>
        <w:t xml:space="preserve">vía </w:t>
      </w:r>
      <w:r w:rsidRPr="005B36AC">
        <w:rPr>
          <w:rFonts w:ascii="Palatino Linotype" w:eastAsia="Palatino Linotype" w:hAnsi="Palatino Linotype" w:cs="Palatino Linotype"/>
          <w:b/>
        </w:rPr>
        <w:t>SAIMEX</w:t>
      </w:r>
      <w:r w:rsidRPr="005B36AC">
        <w:rPr>
          <w:rFonts w:ascii="Palatino Linotype" w:eastAsia="Palatino Linotype" w:hAnsi="Palatino Linotype" w:cs="Palatino Linotype"/>
        </w:rPr>
        <w:t xml:space="preserve">, al Titular de la Unidad de Transparencia del </w:t>
      </w:r>
      <w:r w:rsidRPr="005B36AC">
        <w:rPr>
          <w:rFonts w:ascii="Palatino Linotype" w:eastAsia="Palatino Linotype" w:hAnsi="Palatino Linotype" w:cs="Palatino Linotype"/>
          <w:b/>
        </w:rPr>
        <w:t>Sujeto Obligado,</w:t>
      </w:r>
      <w:r w:rsidRPr="005B36AC">
        <w:rPr>
          <w:rFonts w:ascii="Palatino Linotype" w:eastAsia="Palatino Linotype" w:hAnsi="Palatino Linotype" w:cs="Palatino Linotype"/>
        </w:rPr>
        <w:t xml:space="preserve"> la presente resolución para que conforme a los artículos 186, último párrafo y 189, párrafo segundo y 194 de la Ley de Transparencia y Acceso a la Información Pública del Estado de México y Municipios;  dé cumplimiento a lo ordenado dentro del plazo de diez días hábiles, e informe a este Instituto en un plazo 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p>
    <w:p w14:paraId="3FA801CC" w14:textId="77777777" w:rsidR="005801F9" w:rsidRPr="005B36AC" w:rsidRDefault="003D6A59">
      <w:pPr>
        <w:spacing w:before="240" w:after="240" w:line="360" w:lineRule="auto"/>
        <w:jc w:val="both"/>
        <w:rPr>
          <w:rFonts w:ascii="Palatino Linotype" w:eastAsia="Palatino Linotype" w:hAnsi="Palatino Linotype" w:cs="Palatino Linotype"/>
        </w:rPr>
      </w:pPr>
      <w:r w:rsidRPr="005B36AC">
        <w:rPr>
          <w:rFonts w:ascii="Palatino Linotype" w:eastAsia="Palatino Linotype" w:hAnsi="Palatino Linotype" w:cs="Palatino Linotype"/>
        </w:rPr>
        <w:lastRenderedPageBreak/>
        <w:t xml:space="preserve">De conformidad con el artículo 198 de la Ley de Transparencia y Acceso a la Información Pública del Estado de México y Municipios, de considerarlo procedente, el </w:t>
      </w:r>
      <w:r w:rsidRPr="005B36AC">
        <w:rPr>
          <w:rFonts w:ascii="Palatino Linotype" w:eastAsia="Palatino Linotype" w:hAnsi="Palatino Linotype" w:cs="Palatino Linotype"/>
          <w:b/>
        </w:rPr>
        <w:t>Sujeto Obligado</w:t>
      </w:r>
      <w:r w:rsidRPr="005B36AC">
        <w:rPr>
          <w:rFonts w:ascii="Palatino Linotype" w:eastAsia="Palatino Linotype" w:hAnsi="Palatino Linotype" w:cs="Palatino Linotype"/>
        </w:rPr>
        <w:t xml:space="preserve"> de manera fundada y motivada, podrá solicitar una ampliación de plazo para el cumplimiento de la presente resolución.</w:t>
      </w:r>
    </w:p>
    <w:p w14:paraId="2B59B9AA" w14:textId="77777777" w:rsidR="005801F9" w:rsidRPr="005B36AC" w:rsidRDefault="003D6A59">
      <w:pPr>
        <w:spacing w:before="240" w:after="240" w:line="360" w:lineRule="auto"/>
        <w:jc w:val="both"/>
        <w:rPr>
          <w:rFonts w:ascii="Palatino Linotype" w:eastAsia="Palatino Linotype" w:hAnsi="Palatino Linotype" w:cs="Palatino Linotype"/>
        </w:rPr>
      </w:pPr>
      <w:bookmarkStart w:id="10" w:name="_heading=h.ot3qq6vxa08f" w:colFirst="0" w:colLast="0"/>
      <w:bookmarkEnd w:id="10"/>
      <w:r w:rsidRPr="005B36AC">
        <w:rPr>
          <w:rFonts w:ascii="Palatino Linotype" w:eastAsia="Palatino Linotype" w:hAnsi="Palatino Linotype" w:cs="Palatino Linotype"/>
          <w:b/>
        </w:rPr>
        <w:t xml:space="preserve">Cuarto.  Notifíquese, </w:t>
      </w:r>
      <w:r w:rsidRPr="005B36AC">
        <w:rPr>
          <w:rFonts w:ascii="Palatino Linotype" w:eastAsia="Palatino Linotype" w:hAnsi="Palatino Linotype" w:cs="Palatino Linotype"/>
        </w:rPr>
        <w:t xml:space="preserve">vía </w:t>
      </w:r>
      <w:r w:rsidRPr="005B36AC">
        <w:rPr>
          <w:rFonts w:ascii="Palatino Linotype" w:eastAsia="Palatino Linotype" w:hAnsi="Palatino Linotype" w:cs="Palatino Linotype"/>
          <w:b/>
        </w:rPr>
        <w:t>SAIMEX</w:t>
      </w:r>
      <w:r w:rsidRPr="005B36AC">
        <w:rPr>
          <w:rFonts w:ascii="Palatino Linotype" w:eastAsia="Palatino Linotype" w:hAnsi="Palatino Linotype" w:cs="Palatino Linotype"/>
        </w:rPr>
        <w:t xml:space="preserve"> a la parte </w:t>
      </w:r>
      <w:r w:rsidRPr="005B36AC">
        <w:rPr>
          <w:rFonts w:ascii="Palatino Linotype" w:eastAsia="Palatino Linotype" w:hAnsi="Palatino Linotype" w:cs="Palatino Linotype"/>
          <w:b/>
        </w:rPr>
        <w:t>Recurrente</w:t>
      </w:r>
      <w:r w:rsidRPr="005B36AC">
        <w:rPr>
          <w:rFonts w:ascii="Palatino Linotype" w:eastAsia="Palatino Linotype" w:hAnsi="Palatino Linotype" w:cs="Palatino Linotype"/>
        </w:rPr>
        <w:t xml:space="preserve"> la presente resolución, así como, que de conformidad con lo establecido en el artículo 196 de la Ley de Transparencia y Acceso a la Información Pública del Estado de México y Municipios, podrá impugnarla vía Juicio de Amparo en los términos de las leyes aplicables.</w:t>
      </w:r>
    </w:p>
    <w:p w14:paraId="2C347E55" w14:textId="77777777" w:rsidR="005801F9" w:rsidRPr="005B36AC" w:rsidRDefault="003D6A59">
      <w:pPr>
        <w:tabs>
          <w:tab w:val="left" w:pos="8647"/>
        </w:tabs>
        <w:spacing w:before="240" w:after="240" w:line="360" w:lineRule="auto"/>
        <w:ind w:right="51"/>
        <w:jc w:val="both"/>
        <w:rPr>
          <w:rFonts w:ascii="Palatino Linotype" w:eastAsia="Palatino Linotype" w:hAnsi="Palatino Linotype" w:cs="Palatino Linotype"/>
        </w:rPr>
      </w:pPr>
      <w:r w:rsidRPr="005B36AC">
        <w:rPr>
          <w:rFonts w:ascii="Palatino Linotype" w:eastAsia="Palatino Linotype" w:hAnsi="Palatino Linotype" w:cs="Palatino Linotype"/>
        </w:rPr>
        <w:t>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w:t>
      </w:r>
      <w:r w:rsidR="00CB497F" w:rsidRPr="005B36AC">
        <w:rPr>
          <w:rFonts w:ascii="Palatino Linotype" w:eastAsia="Palatino Linotype" w:hAnsi="Palatino Linotype" w:cs="Palatino Linotype"/>
        </w:rPr>
        <w:t>RIEGA, Y GUADALUPE RAMÍREZ PEÑA</w:t>
      </w:r>
      <w:r w:rsidR="00E43966" w:rsidRPr="005B36AC">
        <w:rPr>
          <w:rFonts w:ascii="Palatino Linotype" w:eastAsia="Palatino Linotype" w:hAnsi="Palatino Linotype" w:cs="Palatino Linotype"/>
        </w:rPr>
        <w:t>;</w:t>
      </w:r>
      <w:r w:rsidRPr="005B36AC">
        <w:rPr>
          <w:rFonts w:ascii="Palatino Linotype" w:eastAsia="Palatino Linotype" w:hAnsi="Palatino Linotype" w:cs="Palatino Linotype"/>
        </w:rPr>
        <w:t xml:space="preserve"> EN LA </w:t>
      </w:r>
      <w:r w:rsidR="00CB497F" w:rsidRPr="005B36AC">
        <w:rPr>
          <w:rFonts w:ascii="Palatino Linotype" w:eastAsia="Palatino Linotype" w:hAnsi="Palatino Linotype" w:cs="Palatino Linotype"/>
        </w:rPr>
        <w:t xml:space="preserve">NOVENA </w:t>
      </w:r>
      <w:r w:rsidRPr="005B36AC">
        <w:rPr>
          <w:rFonts w:ascii="Palatino Linotype" w:eastAsia="Palatino Linotype" w:hAnsi="Palatino Linotype" w:cs="Palatino Linotype"/>
        </w:rPr>
        <w:t xml:space="preserve">SESIÓN ORDINARIA CELEBRADA EL </w:t>
      </w:r>
      <w:r w:rsidR="00CB497F" w:rsidRPr="005B36AC">
        <w:rPr>
          <w:rFonts w:ascii="Palatino Linotype" w:eastAsia="Palatino Linotype" w:hAnsi="Palatino Linotype" w:cs="Palatino Linotype"/>
        </w:rPr>
        <w:t>DOCE DE MARZO</w:t>
      </w:r>
      <w:r w:rsidRPr="005B36AC">
        <w:rPr>
          <w:rFonts w:ascii="Palatino Linotype" w:eastAsia="Palatino Linotype" w:hAnsi="Palatino Linotype" w:cs="Palatino Linotype"/>
        </w:rPr>
        <w:t xml:space="preserve"> DE DOS MIL VEINTICINCO, ANTE EL SECRETARIO TÉCNICO DEL PLENO ALEXIS TAPIA RAMÍREZ.</w:t>
      </w:r>
    </w:p>
    <w:p w14:paraId="74DF58F8" w14:textId="77777777" w:rsidR="005801F9" w:rsidRPr="005B36AC" w:rsidRDefault="005801F9">
      <w:pPr>
        <w:spacing w:line="360" w:lineRule="auto"/>
        <w:jc w:val="both"/>
        <w:rPr>
          <w:rFonts w:ascii="Palatino Linotype" w:eastAsia="Palatino Linotype" w:hAnsi="Palatino Linotype" w:cs="Palatino Linotype"/>
        </w:rPr>
      </w:pPr>
    </w:p>
    <w:p w14:paraId="376516FC" w14:textId="77777777" w:rsidR="005801F9" w:rsidRPr="005B36AC" w:rsidRDefault="005801F9">
      <w:pPr>
        <w:spacing w:line="360" w:lineRule="auto"/>
        <w:jc w:val="both"/>
        <w:rPr>
          <w:rFonts w:ascii="Palatino Linotype" w:eastAsia="Palatino Linotype" w:hAnsi="Palatino Linotype" w:cs="Palatino Linotype"/>
        </w:rPr>
      </w:pPr>
    </w:p>
    <w:p w14:paraId="3C2F82CF" w14:textId="77777777" w:rsidR="005801F9" w:rsidRPr="005B36AC" w:rsidRDefault="005801F9">
      <w:pPr>
        <w:spacing w:line="360" w:lineRule="auto"/>
        <w:jc w:val="both"/>
        <w:rPr>
          <w:rFonts w:ascii="Palatino Linotype" w:eastAsia="Palatino Linotype" w:hAnsi="Palatino Linotype" w:cs="Palatino Linotype"/>
        </w:rPr>
      </w:pPr>
    </w:p>
    <w:p w14:paraId="05BA210F" w14:textId="77777777" w:rsidR="005801F9" w:rsidRPr="005B36AC" w:rsidRDefault="005801F9">
      <w:pPr>
        <w:spacing w:line="360" w:lineRule="auto"/>
        <w:jc w:val="both"/>
        <w:rPr>
          <w:rFonts w:ascii="Palatino Linotype" w:eastAsia="Palatino Linotype" w:hAnsi="Palatino Linotype" w:cs="Palatino Linotype"/>
        </w:rPr>
      </w:pPr>
    </w:p>
    <w:p w14:paraId="5092F877" w14:textId="77777777" w:rsidR="005801F9" w:rsidRPr="005B36AC" w:rsidRDefault="005801F9">
      <w:pPr>
        <w:spacing w:line="360" w:lineRule="auto"/>
        <w:jc w:val="both"/>
        <w:rPr>
          <w:rFonts w:ascii="Palatino Linotype" w:eastAsia="Palatino Linotype" w:hAnsi="Palatino Linotype" w:cs="Palatino Linotype"/>
        </w:rPr>
      </w:pPr>
    </w:p>
    <w:p w14:paraId="3152DA07" w14:textId="77777777" w:rsidR="005801F9" w:rsidRPr="005B36AC" w:rsidRDefault="005801F9">
      <w:pPr>
        <w:spacing w:line="360" w:lineRule="auto"/>
        <w:jc w:val="both"/>
        <w:rPr>
          <w:rFonts w:ascii="Palatino Linotype" w:eastAsia="Palatino Linotype" w:hAnsi="Palatino Linotype" w:cs="Palatino Linotype"/>
        </w:rPr>
      </w:pPr>
    </w:p>
    <w:p w14:paraId="52830E7E" w14:textId="77777777" w:rsidR="005801F9" w:rsidRPr="005B36AC" w:rsidRDefault="005801F9">
      <w:pPr>
        <w:spacing w:line="360" w:lineRule="auto"/>
        <w:jc w:val="both"/>
        <w:rPr>
          <w:rFonts w:ascii="Palatino Linotype" w:eastAsia="Palatino Linotype" w:hAnsi="Palatino Linotype" w:cs="Palatino Linotype"/>
        </w:rPr>
      </w:pPr>
    </w:p>
    <w:p w14:paraId="08CFCA59" w14:textId="77777777" w:rsidR="005801F9" w:rsidRPr="005B36AC" w:rsidRDefault="005801F9">
      <w:pPr>
        <w:spacing w:line="360" w:lineRule="auto"/>
        <w:jc w:val="both"/>
        <w:rPr>
          <w:rFonts w:ascii="Palatino Linotype" w:eastAsia="Palatino Linotype" w:hAnsi="Palatino Linotype" w:cs="Palatino Linotype"/>
        </w:rPr>
      </w:pPr>
    </w:p>
    <w:p w14:paraId="26927241" w14:textId="77777777" w:rsidR="005801F9" w:rsidRPr="005B36AC" w:rsidRDefault="005801F9">
      <w:pPr>
        <w:spacing w:line="360" w:lineRule="auto"/>
        <w:jc w:val="both"/>
        <w:rPr>
          <w:rFonts w:ascii="Palatino Linotype" w:eastAsia="Palatino Linotype" w:hAnsi="Palatino Linotype" w:cs="Palatino Linotype"/>
        </w:rPr>
      </w:pPr>
    </w:p>
    <w:p w14:paraId="5B35EABF" w14:textId="77777777" w:rsidR="005801F9" w:rsidRPr="005B36AC" w:rsidRDefault="005801F9">
      <w:pPr>
        <w:spacing w:line="360" w:lineRule="auto"/>
        <w:jc w:val="both"/>
        <w:rPr>
          <w:rFonts w:ascii="Palatino Linotype" w:eastAsia="Palatino Linotype" w:hAnsi="Palatino Linotype" w:cs="Palatino Linotype"/>
        </w:rPr>
      </w:pPr>
    </w:p>
    <w:p w14:paraId="3E7B9800" w14:textId="77777777" w:rsidR="005801F9" w:rsidRPr="005B36AC" w:rsidRDefault="005801F9">
      <w:pPr>
        <w:spacing w:line="360" w:lineRule="auto"/>
        <w:jc w:val="both"/>
        <w:rPr>
          <w:rFonts w:ascii="Palatino Linotype" w:eastAsia="Palatino Linotype" w:hAnsi="Palatino Linotype" w:cs="Palatino Linotype"/>
        </w:rPr>
      </w:pPr>
    </w:p>
    <w:p w14:paraId="26830015" w14:textId="77777777" w:rsidR="005801F9" w:rsidRPr="005B36AC" w:rsidRDefault="005801F9">
      <w:pPr>
        <w:spacing w:line="360" w:lineRule="auto"/>
        <w:jc w:val="both"/>
        <w:rPr>
          <w:rFonts w:ascii="Palatino Linotype" w:eastAsia="Palatino Linotype" w:hAnsi="Palatino Linotype" w:cs="Palatino Linotype"/>
        </w:rPr>
      </w:pPr>
    </w:p>
    <w:p w14:paraId="0AA6F56E" w14:textId="77777777" w:rsidR="005801F9" w:rsidRPr="005B36AC" w:rsidRDefault="005801F9">
      <w:pPr>
        <w:spacing w:line="360" w:lineRule="auto"/>
        <w:jc w:val="both"/>
        <w:rPr>
          <w:rFonts w:ascii="Palatino Linotype" w:eastAsia="Palatino Linotype" w:hAnsi="Palatino Linotype" w:cs="Palatino Linotype"/>
        </w:rPr>
      </w:pPr>
    </w:p>
    <w:p w14:paraId="42224198" w14:textId="77777777" w:rsidR="005801F9" w:rsidRPr="005B36AC" w:rsidRDefault="005801F9">
      <w:pPr>
        <w:spacing w:line="360" w:lineRule="auto"/>
        <w:jc w:val="both"/>
        <w:rPr>
          <w:rFonts w:ascii="Palatino Linotype" w:eastAsia="Palatino Linotype" w:hAnsi="Palatino Linotype" w:cs="Palatino Linotype"/>
        </w:rPr>
      </w:pPr>
    </w:p>
    <w:p w14:paraId="373B4CBF" w14:textId="77777777" w:rsidR="005801F9" w:rsidRPr="005B36AC" w:rsidRDefault="005801F9">
      <w:pPr>
        <w:spacing w:line="360" w:lineRule="auto"/>
        <w:jc w:val="both"/>
        <w:rPr>
          <w:rFonts w:ascii="Palatino Linotype" w:eastAsia="Palatino Linotype" w:hAnsi="Palatino Linotype" w:cs="Palatino Linotype"/>
        </w:rPr>
      </w:pPr>
    </w:p>
    <w:p w14:paraId="78FBFDC5" w14:textId="77777777" w:rsidR="005801F9" w:rsidRPr="005B36AC" w:rsidRDefault="005801F9">
      <w:pPr>
        <w:spacing w:line="360" w:lineRule="auto"/>
        <w:jc w:val="both"/>
        <w:rPr>
          <w:rFonts w:ascii="Palatino Linotype" w:eastAsia="Palatino Linotype" w:hAnsi="Palatino Linotype" w:cs="Palatino Linotype"/>
        </w:rPr>
      </w:pPr>
    </w:p>
    <w:sectPr w:rsidR="005801F9" w:rsidRPr="005B36AC">
      <w:headerReference w:type="default" r:id="rId10"/>
      <w:footerReference w:type="default" r:id="rId11"/>
      <w:headerReference w:type="first" r:id="rId12"/>
      <w:footerReference w:type="first" r:id="rId13"/>
      <w:pgSz w:w="12240" w:h="15840"/>
      <w:pgMar w:top="1985" w:right="1701" w:bottom="1701" w:left="1701" w:header="709" w:footer="709"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510917" w14:textId="77777777" w:rsidR="00D457BB" w:rsidRDefault="00D457BB">
      <w:r>
        <w:separator/>
      </w:r>
    </w:p>
  </w:endnote>
  <w:endnote w:type="continuationSeparator" w:id="0">
    <w:p w14:paraId="0D93139A" w14:textId="77777777" w:rsidR="00D457BB" w:rsidRDefault="00D457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51112E" w14:textId="77777777" w:rsidR="00E017F9" w:rsidRDefault="00E017F9">
    <w:pPr>
      <w:pBdr>
        <w:top w:val="nil"/>
        <w:left w:val="nil"/>
        <w:bottom w:val="nil"/>
        <w:right w:val="nil"/>
        <w:between w:val="nil"/>
      </w:pBdr>
      <w:tabs>
        <w:tab w:val="center" w:pos="4252"/>
        <w:tab w:val="right" w:pos="8504"/>
      </w:tabs>
      <w:jc w:val="right"/>
      <w:rPr>
        <w:rFonts w:ascii="Palatino Linotype" w:eastAsia="Palatino Linotype" w:hAnsi="Palatino Linotype" w:cs="Palatino Linotype"/>
        <w:color w:val="000000"/>
        <w:sz w:val="20"/>
        <w:szCs w:val="20"/>
      </w:rPr>
    </w:pPr>
    <w:r>
      <w:rPr>
        <w:rFonts w:ascii="Palatino Linotype" w:eastAsia="Palatino Linotype" w:hAnsi="Palatino Linotype" w:cs="Palatino Linotype"/>
        <w:b/>
        <w:color w:val="000000"/>
        <w:sz w:val="20"/>
        <w:szCs w:val="20"/>
      </w:rPr>
      <w:t xml:space="preserve">Página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PAGE</w:instrText>
    </w:r>
    <w:r>
      <w:rPr>
        <w:rFonts w:ascii="Palatino Linotype" w:eastAsia="Palatino Linotype" w:hAnsi="Palatino Linotype" w:cs="Palatino Linotype"/>
        <w:b/>
        <w:color w:val="000000"/>
        <w:sz w:val="20"/>
        <w:szCs w:val="20"/>
      </w:rPr>
      <w:fldChar w:fldCharType="separate"/>
    </w:r>
    <w:r w:rsidR="00815E49">
      <w:rPr>
        <w:rFonts w:ascii="Palatino Linotype" w:eastAsia="Palatino Linotype" w:hAnsi="Palatino Linotype" w:cs="Palatino Linotype"/>
        <w:b/>
        <w:noProof/>
        <w:color w:val="000000"/>
        <w:sz w:val="20"/>
        <w:szCs w:val="20"/>
      </w:rPr>
      <w:t>24</w:t>
    </w:r>
    <w:r>
      <w:rPr>
        <w:rFonts w:ascii="Palatino Linotype" w:eastAsia="Palatino Linotype" w:hAnsi="Palatino Linotype" w:cs="Palatino Linotype"/>
        <w:b/>
        <w:color w:val="000000"/>
        <w:sz w:val="20"/>
        <w:szCs w:val="20"/>
      </w:rPr>
      <w:fldChar w:fldCharType="end"/>
    </w:r>
    <w:r>
      <w:rPr>
        <w:rFonts w:ascii="Palatino Linotype" w:eastAsia="Palatino Linotype" w:hAnsi="Palatino Linotype" w:cs="Palatino Linotype"/>
        <w:color w:val="000000"/>
        <w:sz w:val="20"/>
        <w:szCs w:val="20"/>
      </w:rPr>
      <w:t xml:space="preserve"> de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NUMPAGES</w:instrText>
    </w:r>
    <w:r>
      <w:rPr>
        <w:rFonts w:ascii="Palatino Linotype" w:eastAsia="Palatino Linotype" w:hAnsi="Palatino Linotype" w:cs="Palatino Linotype"/>
        <w:b/>
        <w:color w:val="000000"/>
        <w:sz w:val="20"/>
        <w:szCs w:val="20"/>
      </w:rPr>
      <w:fldChar w:fldCharType="separate"/>
    </w:r>
    <w:r w:rsidR="00815E49">
      <w:rPr>
        <w:rFonts w:ascii="Palatino Linotype" w:eastAsia="Palatino Linotype" w:hAnsi="Palatino Linotype" w:cs="Palatino Linotype"/>
        <w:b/>
        <w:noProof/>
        <w:color w:val="000000"/>
        <w:sz w:val="20"/>
        <w:szCs w:val="20"/>
      </w:rPr>
      <w:t>25</w:t>
    </w:r>
    <w:r>
      <w:rPr>
        <w:rFonts w:ascii="Palatino Linotype" w:eastAsia="Palatino Linotype" w:hAnsi="Palatino Linotype" w:cs="Palatino Linotype"/>
        <w:b/>
        <w:color w:val="000000"/>
        <w:sz w:val="20"/>
        <w:szCs w:val="20"/>
      </w:rPr>
      <w:fldChar w:fldCharType="end"/>
    </w:r>
  </w:p>
  <w:p w14:paraId="590D11C3" w14:textId="77777777" w:rsidR="00E017F9" w:rsidRDefault="00E017F9">
    <w:pPr>
      <w:pBdr>
        <w:top w:val="nil"/>
        <w:left w:val="nil"/>
        <w:bottom w:val="nil"/>
        <w:right w:val="nil"/>
        <w:between w:val="nil"/>
      </w:pBdr>
      <w:tabs>
        <w:tab w:val="center" w:pos="4252"/>
        <w:tab w:val="right" w:pos="8504"/>
      </w:tabs>
      <w:ind w:firstLine="708"/>
      <w:rPr>
        <w:rFonts w:ascii="Cambria" w:eastAsia="Cambria" w:hAnsi="Cambria" w:cs="Cambria"/>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CC379" w14:textId="77777777" w:rsidR="00E017F9" w:rsidRDefault="00E017F9">
    <w:pPr>
      <w:pBdr>
        <w:top w:val="nil"/>
        <w:left w:val="nil"/>
        <w:bottom w:val="nil"/>
        <w:right w:val="nil"/>
        <w:between w:val="nil"/>
      </w:pBdr>
      <w:tabs>
        <w:tab w:val="center" w:pos="4252"/>
        <w:tab w:val="right" w:pos="8504"/>
      </w:tabs>
      <w:jc w:val="right"/>
      <w:rPr>
        <w:rFonts w:ascii="Palatino Linotype" w:eastAsia="Palatino Linotype" w:hAnsi="Palatino Linotype" w:cs="Palatino Linotype"/>
        <w:color w:val="000000"/>
        <w:sz w:val="20"/>
        <w:szCs w:val="20"/>
      </w:rPr>
    </w:pPr>
    <w:r>
      <w:rPr>
        <w:rFonts w:ascii="Palatino Linotype" w:eastAsia="Palatino Linotype" w:hAnsi="Palatino Linotype" w:cs="Palatino Linotype"/>
        <w:b/>
        <w:color w:val="000000"/>
        <w:sz w:val="20"/>
        <w:szCs w:val="20"/>
      </w:rPr>
      <w:t xml:space="preserve">Página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PAGE</w:instrText>
    </w:r>
    <w:r>
      <w:rPr>
        <w:rFonts w:ascii="Palatino Linotype" w:eastAsia="Palatino Linotype" w:hAnsi="Palatino Linotype" w:cs="Palatino Linotype"/>
        <w:b/>
        <w:color w:val="000000"/>
        <w:sz w:val="20"/>
        <w:szCs w:val="20"/>
      </w:rPr>
      <w:fldChar w:fldCharType="separate"/>
    </w:r>
    <w:r w:rsidR="00815E49">
      <w:rPr>
        <w:rFonts w:ascii="Palatino Linotype" w:eastAsia="Palatino Linotype" w:hAnsi="Palatino Linotype" w:cs="Palatino Linotype"/>
        <w:b/>
        <w:noProof/>
        <w:color w:val="000000"/>
        <w:sz w:val="20"/>
        <w:szCs w:val="20"/>
      </w:rPr>
      <w:t>1</w:t>
    </w:r>
    <w:r>
      <w:rPr>
        <w:rFonts w:ascii="Palatino Linotype" w:eastAsia="Palatino Linotype" w:hAnsi="Palatino Linotype" w:cs="Palatino Linotype"/>
        <w:b/>
        <w:color w:val="000000"/>
        <w:sz w:val="20"/>
        <w:szCs w:val="20"/>
      </w:rPr>
      <w:fldChar w:fldCharType="end"/>
    </w:r>
    <w:r>
      <w:rPr>
        <w:rFonts w:ascii="Palatino Linotype" w:eastAsia="Palatino Linotype" w:hAnsi="Palatino Linotype" w:cs="Palatino Linotype"/>
        <w:color w:val="000000"/>
        <w:sz w:val="20"/>
        <w:szCs w:val="20"/>
      </w:rPr>
      <w:t xml:space="preserve"> de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NUMPAGES</w:instrText>
    </w:r>
    <w:r>
      <w:rPr>
        <w:rFonts w:ascii="Palatino Linotype" w:eastAsia="Palatino Linotype" w:hAnsi="Palatino Linotype" w:cs="Palatino Linotype"/>
        <w:b/>
        <w:color w:val="000000"/>
        <w:sz w:val="20"/>
        <w:szCs w:val="20"/>
      </w:rPr>
      <w:fldChar w:fldCharType="separate"/>
    </w:r>
    <w:r w:rsidR="00815E49">
      <w:rPr>
        <w:rFonts w:ascii="Palatino Linotype" w:eastAsia="Palatino Linotype" w:hAnsi="Palatino Linotype" w:cs="Palatino Linotype"/>
        <w:b/>
        <w:noProof/>
        <w:color w:val="000000"/>
        <w:sz w:val="20"/>
        <w:szCs w:val="20"/>
      </w:rPr>
      <w:t>25</w:t>
    </w:r>
    <w:r>
      <w:rPr>
        <w:rFonts w:ascii="Palatino Linotype" w:eastAsia="Palatino Linotype" w:hAnsi="Palatino Linotype" w:cs="Palatino Linotype"/>
        <w:b/>
        <w:color w:val="000000"/>
        <w:sz w:val="20"/>
        <w:szCs w:val="20"/>
      </w:rPr>
      <w:fldChar w:fldCharType="end"/>
    </w:r>
  </w:p>
  <w:p w14:paraId="37F3CC47" w14:textId="77777777" w:rsidR="00E017F9" w:rsidRDefault="00E017F9">
    <w:pPr>
      <w:pBdr>
        <w:top w:val="nil"/>
        <w:left w:val="nil"/>
        <w:bottom w:val="nil"/>
        <w:right w:val="nil"/>
        <w:between w:val="nil"/>
      </w:pBdr>
      <w:tabs>
        <w:tab w:val="center" w:pos="4252"/>
        <w:tab w:val="right" w:pos="8504"/>
      </w:tabs>
      <w:rPr>
        <w:rFonts w:ascii="Cambria" w:eastAsia="Cambria" w:hAnsi="Cambria" w:cs="Cambria"/>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08DCC0" w14:textId="77777777" w:rsidR="00D457BB" w:rsidRDefault="00D457BB">
      <w:r>
        <w:separator/>
      </w:r>
    </w:p>
  </w:footnote>
  <w:footnote w:type="continuationSeparator" w:id="0">
    <w:p w14:paraId="4EFDB45F" w14:textId="77777777" w:rsidR="00D457BB" w:rsidRDefault="00D457BB">
      <w:r>
        <w:continuationSeparator/>
      </w:r>
    </w:p>
  </w:footnote>
  <w:footnote w:id="1">
    <w:p w14:paraId="3EA9A7D5" w14:textId="77777777" w:rsidR="00E017F9" w:rsidRPr="00D7364A" w:rsidRDefault="00E017F9" w:rsidP="00DA424F">
      <w:pPr>
        <w:pBdr>
          <w:top w:val="nil"/>
          <w:left w:val="nil"/>
          <w:bottom w:val="nil"/>
          <w:right w:val="nil"/>
          <w:between w:val="nil"/>
        </w:pBdr>
        <w:jc w:val="both"/>
        <w:rPr>
          <w:rFonts w:ascii="Palatino Linotype" w:eastAsia="Palatino Linotype" w:hAnsi="Palatino Linotype" w:cs="Palatino Linotype"/>
          <w:color w:val="000000"/>
          <w:sz w:val="16"/>
          <w:szCs w:val="16"/>
        </w:rPr>
      </w:pPr>
      <w:r w:rsidRPr="00D7364A">
        <w:rPr>
          <w:rFonts w:ascii="Palatino Linotype" w:hAnsi="Palatino Linotype"/>
          <w:sz w:val="16"/>
          <w:szCs w:val="16"/>
          <w:vertAlign w:val="superscript"/>
        </w:rPr>
        <w:footnoteRef/>
      </w:r>
      <w:r w:rsidRPr="00D7364A">
        <w:rPr>
          <w:rFonts w:ascii="Palatino Linotype" w:eastAsia="Palatino Linotype" w:hAnsi="Palatino Linotype" w:cs="Palatino Linotype"/>
          <w:color w:val="000000"/>
          <w:sz w:val="16"/>
          <w:szCs w:val="16"/>
        </w:rPr>
        <w:t xml:space="preserve"> Artículo 59. Los servidores públicos habilitados tendrán las funciones siguientes:</w:t>
      </w:r>
    </w:p>
    <w:p w14:paraId="0D985E63" w14:textId="77777777" w:rsidR="00E017F9" w:rsidRPr="00D7364A" w:rsidRDefault="00E017F9" w:rsidP="00DA424F">
      <w:pPr>
        <w:pBdr>
          <w:top w:val="nil"/>
          <w:left w:val="nil"/>
          <w:bottom w:val="nil"/>
          <w:right w:val="nil"/>
          <w:between w:val="nil"/>
        </w:pBdr>
        <w:jc w:val="both"/>
        <w:rPr>
          <w:rFonts w:ascii="Palatino Linotype" w:eastAsia="Palatino Linotype" w:hAnsi="Palatino Linotype" w:cs="Palatino Linotype"/>
          <w:color w:val="000000"/>
          <w:sz w:val="16"/>
          <w:szCs w:val="16"/>
        </w:rPr>
      </w:pPr>
      <w:r w:rsidRPr="00D7364A">
        <w:rPr>
          <w:rFonts w:ascii="Palatino Linotype" w:eastAsia="Palatino Linotype" w:hAnsi="Palatino Linotype" w:cs="Palatino Linotype"/>
          <w:color w:val="000000"/>
          <w:sz w:val="16"/>
          <w:szCs w:val="16"/>
        </w:rPr>
        <w:t>V. Integrar y presentar al responsable de la Unidad de Transparencia la propuesta de clasificación de información, la cual tendrá los fundamentos y argumentos en que se basa dicha propuesta;</w:t>
      </w:r>
    </w:p>
  </w:footnote>
  <w:footnote w:id="2">
    <w:p w14:paraId="2969C4CC" w14:textId="77777777" w:rsidR="00E017F9" w:rsidRPr="00D7364A" w:rsidRDefault="00E017F9" w:rsidP="00DA424F">
      <w:pPr>
        <w:pBdr>
          <w:top w:val="nil"/>
          <w:left w:val="nil"/>
          <w:bottom w:val="nil"/>
          <w:right w:val="nil"/>
          <w:between w:val="nil"/>
        </w:pBdr>
        <w:jc w:val="both"/>
        <w:rPr>
          <w:rFonts w:ascii="Palatino Linotype" w:eastAsia="Palatino Linotype" w:hAnsi="Palatino Linotype" w:cs="Palatino Linotype"/>
          <w:color w:val="000000"/>
          <w:sz w:val="16"/>
          <w:szCs w:val="16"/>
        </w:rPr>
      </w:pPr>
      <w:r w:rsidRPr="00D7364A">
        <w:rPr>
          <w:rFonts w:ascii="Palatino Linotype" w:hAnsi="Palatino Linotype"/>
          <w:sz w:val="16"/>
          <w:szCs w:val="16"/>
          <w:vertAlign w:val="superscript"/>
        </w:rPr>
        <w:footnoteRef/>
      </w:r>
      <w:r w:rsidRPr="00D7364A">
        <w:rPr>
          <w:rFonts w:ascii="Palatino Linotype" w:eastAsia="Palatino Linotype" w:hAnsi="Palatino Linotype" w:cs="Palatino Linotype"/>
          <w:color w:val="000000"/>
          <w:sz w:val="16"/>
          <w:szCs w:val="16"/>
        </w:rPr>
        <w:t xml:space="preserve"> Artículo 53. Las Unidades de Transparencia tendrán las siguientes funciones:</w:t>
      </w:r>
    </w:p>
    <w:p w14:paraId="59AF8EDD" w14:textId="77777777" w:rsidR="00E017F9" w:rsidRPr="00D7364A" w:rsidRDefault="00E017F9" w:rsidP="00DA424F">
      <w:pPr>
        <w:pBdr>
          <w:top w:val="nil"/>
          <w:left w:val="nil"/>
          <w:bottom w:val="nil"/>
          <w:right w:val="nil"/>
          <w:between w:val="nil"/>
        </w:pBdr>
        <w:jc w:val="both"/>
        <w:rPr>
          <w:rFonts w:ascii="Palatino Linotype" w:eastAsia="Palatino Linotype" w:hAnsi="Palatino Linotype" w:cs="Palatino Linotype"/>
          <w:color w:val="000000"/>
          <w:sz w:val="16"/>
          <w:szCs w:val="16"/>
        </w:rPr>
      </w:pPr>
      <w:r w:rsidRPr="00D7364A">
        <w:rPr>
          <w:rFonts w:ascii="Palatino Linotype" w:eastAsia="Palatino Linotype" w:hAnsi="Palatino Linotype" w:cs="Palatino Linotype"/>
          <w:color w:val="000000"/>
          <w:sz w:val="16"/>
          <w:szCs w:val="16"/>
        </w:rPr>
        <w:t>X. Presentar ante el Comité, el proyecto de clasificación de información;</w:t>
      </w:r>
    </w:p>
  </w:footnote>
  <w:footnote w:id="3">
    <w:p w14:paraId="3F089C70" w14:textId="77777777" w:rsidR="00E017F9" w:rsidRPr="00D7364A" w:rsidRDefault="00E017F9" w:rsidP="00DA424F">
      <w:pPr>
        <w:pBdr>
          <w:top w:val="nil"/>
          <w:left w:val="nil"/>
          <w:bottom w:val="nil"/>
          <w:right w:val="nil"/>
          <w:between w:val="nil"/>
        </w:pBdr>
        <w:jc w:val="both"/>
        <w:rPr>
          <w:rFonts w:ascii="Palatino Linotype" w:eastAsia="Palatino Linotype" w:hAnsi="Palatino Linotype" w:cs="Palatino Linotype"/>
          <w:color w:val="000000"/>
          <w:sz w:val="16"/>
          <w:szCs w:val="16"/>
        </w:rPr>
      </w:pPr>
      <w:r w:rsidRPr="00D7364A">
        <w:rPr>
          <w:rFonts w:ascii="Palatino Linotype" w:hAnsi="Palatino Linotype"/>
          <w:sz w:val="16"/>
          <w:szCs w:val="16"/>
          <w:vertAlign w:val="superscript"/>
        </w:rPr>
        <w:footnoteRef/>
      </w:r>
      <w:r w:rsidRPr="00D7364A">
        <w:rPr>
          <w:rFonts w:ascii="Palatino Linotype" w:eastAsia="Palatino Linotype" w:hAnsi="Palatino Linotype" w:cs="Palatino Linotype"/>
          <w:color w:val="000000"/>
          <w:sz w:val="16"/>
          <w:szCs w:val="16"/>
        </w:rPr>
        <w:t xml:space="preserve"> Artículo 49. Los Comités de Transparencia tendrán las siguientes atribuciones:</w:t>
      </w:r>
    </w:p>
    <w:p w14:paraId="48663A98" w14:textId="77777777" w:rsidR="00E017F9" w:rsidRPr="00D7364A" w:rsidRDefault="00E017F9" w:rsidP="00DA424F">
      <w:pPr>
        <w:pBdr>
          <w:top w:val="nil"/>
          <w:left w:val="nil"/>
          <w:bottom w:val="nil"/>
          <w:right w:val="nil"/>
          <w:between w:val="nil"/>
        </w:pBdr>
        <w:jc w:val="both"/>
        <w:rPr>
          <w:rFonts w:ascii="Palatino Linotype" w:eastAsia="Palatino Linotype" w:hAnsi="Palatino Linotype" w:cs="Palatino Linotype"/>
          <w:color w:val="000000"/>
          <w:sz w:val="16"/>
          <w:szCs w:val="16"/>
        </w:rPr>
      </w:pPr>
      <w:r w:rsidRPr="00D7364A">
        <w:rPr>
          <w:rFonts w:ascii="Palatino Linotype" w:eastAsia="Palatino Linotype" w:hAnsi="Palatino Linotype" w:cs="Palatino Linotype"/>
          <w:color w:val="000000"/>
          <w:sz w:val="16"/>
          <w:szCs w:val="16"/>
        </w:rPr>
        <w:t>II. Confirmar, modificar o revocar las determinaciones que en materia de ampliación del plazo de respuesta, clasificación de la información y declaración de inexistencia o de incompetencia realicen los titulares de las áreas de los sujetos obligados;</w:t>
      </w:r>
    </w:p>
    <w:p w14:paraId="14E2C51E" w14:textId="77777777" w:rsidR="00E017F9" w:rsidRPr="00D7364A" w:rsidRDefault="00E017F9" w:rsidP="00DA424F">
      <w:pPr>
        <w:pBdr>
          <w:top w:val="nil"/>
          <w:left w:val="nil"/>
          <w:bottom w:val="nil"/>
          <w:right w:val="nil"/>
          <w:between w:val="nil"/>
        </w:pBdr>
        <w:jc w:val="both"/>
        <w:rPr>
          <w:rFonts w:ascii="Palatino Linotype" w:eastAsia="Palatino Linotype" w:hAnsi="Palatino Linotype" w:cs="Palatino Linotype"/>
          <w:color w:val="000000"/>
          <w:sz w:val="16"/>
          <w:szCs w:val="16"/>
        </w:rPr>
      </w:pPr>
      <w:r w:rsidRPr="00D7364A">
        <w:rPr>
          <w:rFonts w:ascii="Palatino Linotype" w:eastAsia="Palatino Linotype" w:hAnsi="Palatino Linotype" w:cs="Palatino Linotype"/>
          <w:color w:val="000000"/>
          <w:sz w:val="16"/>
          <w:szCs w:val="16"/>
        </w:rPr>
        <w:t>VIII. Aprobar, modificar o revocar la clasificación de la información;</w:t>
      </w:r>
    </w:p>
  </w:footnote>
  <w:footnote w:id="4">
    <w:p w14:paraId="244F6A87" w14:textId="0B5ECB21" w:rsidR="00D7364A" w:rsidRPr="00D7364A" w:rsidRDefault="00D7364A">
      <w:pPr>
        <w:pStyle w:val="Textonotapie"/>
        <w:rPr>
          <w:rFonts w:ascii="Palatino Linotype" w:hAnsi="Palatino Linotype"/>
          <w:sz w:val="16"/>
          <w:szCs w:val="16"/>
        </w:rPr>
      </w:pPr>
      <w:r w:rsidRPr="00D7364A">
        <w:rPr>
          <w:rStyle w:val="Refdenotaalpie"/>
          <w:rFonts w:ascii="Palatino Linotype" w:hAnsi="Palatino Linotype"/>
          <w:sz w:val="16"/>
          <w:szCs w:val="16"/>
        </w:rPr>
        <w:footnoteRef/>
      </w:r>
      <w:r w:rsidRPr="00D7364A">
        <w:rPr>
          <w:rFonts w:ascii="Palatino Linotype" w:hAnsi="Palatino Linotype"/>
          <w:sz w:val="16"/>
          <w:szCs w:val="16"/>
        </w:rPr>
        <w:t xml:space="preserve"> Portal de Sentencias TRIJAEM: </w:t>
      </w:r>
      <w:hyperlink r:id="rId1" w:history="1">
        <w:r w:rsidRPr="00D7364A">
          <w:rPr>
            <w:rStyle w:val="Hipervnculo"/>
            <w:rFonts w:ascii="Palatino Linotype" w:hAnsi="Palatino Linotype"/>
            <w:sz w:val="16"/>
            <w:szCs w:val="16"/>
          </w:rPr>
          <w:t>https://trijaem.gob.mx/sentencias/</w:t>
        </w:r>
      </w:hyperlink>
      <w:r w:rsidRPr="00D7364A">
        <w:rPr>
          <w:rFonts w:ascii="Palatino Linotype" w:hAnsi="Palatino Linotype"/>
          <w:sz w:val="16"/>
          <w:szCs w:val="16"/>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88D4DB" w14:textId="77777777" w:rsidR="00E017F9" w:rsidRDefault="00E017F9">
    <w:pPr>
      <w:rPr>
        <w:rFonts w:ascii="Cambria" w:eastAsia="Cambria" w:hAnsi="Cambria" w:cs="Cambria"/>
        <w:color w:val="000000"/>
      </w:rPr>
    </w:pPr>
    <w:r>
      <w:rPr>
        <w:noProof/>
      </w:rPr>
      <w:drawing>
        <wp:anchor distT="0" distB="0" distL="0" distR="0" simplePos="0" relativeHeight="251658240" behindDoc="1" locked="0" layoutInCell="1" hidden="0" allowOverlap="1" wp14:anchorId="19D477F2" wp14:editId="070A4A25">
          <wp:simplePos x="0" y="0"/>
          <wp:positionH relativeFrom="column">
            <wp:posOffset>-1080098</wp:posOffset>
          </wp:positionH>
          <wp:positionV relativeFrom="paragraph">
            <wp:posOffset>-488271</wp:posOffset>
          </wp:positionV>
          <wp:extent cx="7809865" cy="10165715"/>
          <wp:effectExtent l="0" t="0" r="0" b="0"/>
          <wp:wrapNone/>
          <wp:docPr id="208329643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809865" cy="10165715"/>
                  </a:xfrm>
                  <a:prstGeom prst="rect">
                    <a:avLst/>
                  </a:prstGeom>
                  <a:ln/>
                </pic:spPr>
              </pic:pic>
            </a:graphicData>
          </a:graphic>
        </wp:anchor>
      </w:drawing>
    </w:r>
  </w:p>
  <w:tbl>
    <w:tblPr>
      <w:tblStyle w:val="afe"/>
      <w:tblW w:w="5953" w:type="dxa"/>
      <w:tblInd w:w="3261" w:type="dxa"/>
      <w:tblLayout w:type="fixed"/>
      <w:tblLook w:val="0400" w:firstRow="0" w:lastRow="0" w:firstColumn="0" w:lastColumn="0" w:noHBand="0" w:noVBand="1"/>
    </w:tblPr>
    <w:tblGrid>
      <w:gridCol w:w="2489"/>
      <w:gridCol w:w="3464"/>
    </w:tblGrid>
    <w:tr w:rsidR="00E017F9" w14:paraId="211D9EE9" w14:textId="77777777">
      <w:tc>
        <w:tcPr>
          <w:tcW w:w="2489" w:type="dxa"/>
          <w:shd w:val="clear" w:color="auto" w:fill="auto"/>
        </w:tcPr>
        <w:p w14:paraId="795A7BC5" w14:textId="77777777" w:rsidR="00E017F9" w:rsidRDefault="00E017F9">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3464" w:type="dxa"/>
          <w:shd w:val="clear" w:color="auto" w:fill="auto"/>
          <w:vAlign w:val="center"/>
        </w:tcPr>
        <w:p w14:paraId="1F4B26D6" w14:textId="77777777" w:rsidR="00E017F9" w:rsidRDefault="00E017F9" w:rsidP="00CB497F">
          <w:pPr>
            <w:ind w:right="175"/>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00979/INFOEM/IP/RR/2025</w:t>
          </w:r>
        </w:p>
      </w:tc>
    </w:tr>
    <w:tr w:rsidR="00E017F9" w14:paraId="106DBB54" w14:textId="77777777">
      <w:trPr>
        <w:trHeight w:val="228"/>
      </w:trPr>
      <w:tc>
        <w:tcPr>
          <w:tcW w:w="2489" w:type="dxa"/>
          <w:shd w:val="clear" w:color="auto" w:fill="auto"/>
          <w:vAlign w:val="center"/>
        </w:tcPr>
        <w:p w14:paraId="086608D8" w14:textId="77777777" w:rsidR="00E017F9" w:rsidRDefault="00E017F9">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3464" w:type="dxa"/>
          <w:shd w:val="clear" w:color="auto" w:fill="auto"/>
          <w:vAlign w:val="center"/>
        </w:tcPr>
        <w:p w14:paraId="4D6E02C9" w14:textId="77777777" w:rsidR="00E017F9" w:rsidRDefault="00E017F9">
          <w:pPr>
            <w:ind w:left="-45" w:right="176"/>
            <w:jc w:val="both"/>
            <w:rPr>
              <w:rFonts w:ascii="Palatino Linotype" w:eastAsia="Palatino Linotype" w:hAnsi="Palatino Linotype" w:cs="Palatino Linotype"/>
              <w:b/>
              <w:sz w:val="22"/>
              <w:szCs w:val="22"/>
            </w:rPr>
          </w:pPr>
          <w:r w:rsidRPr="00CB497F">
            <w:rPr>
              <w:rFonts w:ascii="Palatino Linotype" w:eastAsia="Palatino Linotype" w:hAnsi="Palatino Linotype" w:cs="Palatino Linotype"/>
              <w:b/>
              <w:sz w:val="22"/>
              <w:szCs w:val="22"/>
            </w:rPr>
            <w:t>Ayuntamiento de Jiquipilco</w:t>
          </w:r>
        </w:p>
      </w:tc>
    </w:tr>
    <w:tr w:rsidR="00E017F9" w14:paraId="0C1100D0" w14:textId="77777777">
      <w:tc>
        <w:tcPr>
          <w:tcW w:w="2489" w:type="dxa"/>
          <w:shd w:val="clear" w:color="auto" w:fill="auto"/>
          <w:vAlign w:val="center"/>
        </w:tcPr>
        <w:p w14:paraId="5CB844FA" w14:textId="77777777" w:rsidR="00E017F9" w:rsidRDefault="00E017F9">
          <w:pPr>
            <w:ind w:right="-108"/>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3464" w:type="dxa"/>
          <w:shd w:val="clear" w:color="auto" w:fill="auto"/>
          <w:vAlign w:val="center"/>
        </w:tcPr>
        <w:p w14:paraId="243B2541" w14:textId="77777777" w:rsidR="00E017F9" w:rsidRDefault="00E017F9">
          <w:pPr>
            <w:ind w:right="175"/>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Guadalupe Ramírez Peña</w:t>
          </w:r>
        </w:p>
      </w:tc>
    </w:tr>
  </w:tbl>
  <w:p w14:paraId="0358E902" w14:textId="77777777" w:rsidR="00E017F9" w:rsidRDefault="00E017F9">
    <w:pPr>
      <w:rPr>
        <w:rFonts w:ascii="Cambria" w:eastAsia="Cambria" w:hAnsi="Cambria" w:cs="Cambria"/>
        <w:color w:val="000000"/>
      </w:rPr>
    </w:pPr>
    <w:r>
      <w:rPr>
        <w:rFonts w:ascii="Cambria" w:eastAsia="Cambria" w:hAnsi="Cambria" w:cs="Cambria"/>
        <w:color w:val="000000"/>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5D6BB0" w14:textId="77777777" w:rsidR="00E017F9" w:rsidRDefault="00E017F9">
    <w:pPr>
      <w:widowControl w:val="0"/>
      <w:pBdr>
        <w:top w:val="nil"/>
        <w:left w:val="nil"/>
        <w:bottom w:val="nil"/>
        <w:right w:val="nil"/>
        <w:between w:val="nil"/>
      </w:pBdr>
      <w:spacing w:line="276" w:lineRule="auto"/>
      <w:rPr>
        <w:rFonts w:ascii="Palatino Linotype" w:eastAsia="Palatino Linotype" w:hAnsi="Palatino Linotype" w:cs="Palatino Linotype"/>
        <w:color w:val="000000"/>
        <w:sz w:val="16"/>
        <w:szCs w:val="16"/>
      </w:rPr>
    </w:pPr>
    <w:r>
      <w:rPr>
        <w:noProof/>
      </w:rPr>
      <w:drawing>
        <wp:anchor distT="0" distB="0" distL="0" distR="0" simplePos="0" relativeHeight="251659264" behindDoc="1" locked="0" layoutInCell="1" hidden="0" allowOverlap="1" wp14:anchorId="30CB2F01" wp14:editId="7DD710BA">
          <wp:simplePos x="0" y="0"/>
          <wp:positionH relativeFrom="column">
            <wp:posOffset>-1080123</wp:posOffset>
          </wp:positionH>
          <wp:positionV relativeFrom="paragraph">
            <wp:posOffset>-369899</wp:posOffset>
          </wp:positionV>
          <wp:extent cx="7809865" cy="10165715"/>
          <wp:effectExtent l="0" t="0" r="0" b="0"/>
          <wp:wrapNone/>
          <wp:docPr id="2083296429"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809865" cy="10165715"/>
                  </a:xfrm>
                  <a:prstGeom prst="rect">
                    <a:avLst/>
                  </a:prstGeom>
                  <a:ln/>
                </pic:spPr>
              </pic:pic>
            </a:graphicData>
          </a:graphic>
        </wp:anchor>
      </w:drawing>
    </w:r>
  </w:p>
  <w:tbl>
    <w:tblPr>
      <w:tblStyle w:val="aff"/>
      <w:tblW w:w="5953" w:type="dxa"/>
      <w:tblInd w:w="3261" w:type="dxa"/>
      <w:tblLayout w:type="fixed"/>
      <w:tblLook w:val="0400" w:firstRow="0" w:lastRow="0" w:firstColumn="0" w:lastColumn="0" w:noHBand="0" w:noVBand="1"/>
    </w:tblPr>
    <w:tblGrid>
      <w:gridCol w:w="2489"/>
      <w:gridCol w:w="3464"/>
    </w:tblGrid>
    <w:tr w:rsidR="00E017F9" w14:paraId="74809423" w14:textId="77777777">
      <w:tc>
        <w:tcPr>
          <w:tcW w:w="2489" w:type="dxa"/>
          <w:shd w:val="clear" w:color="auto" w:fill="auto"/>
        </w:tcPr>
        <w:p w14:paraId="6CF92EA7" w14:textId="77777777" w:rsidR="00E017F9" w:rsidRDefault="00E017F9">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3464" w:type="dxa"/>
          <w:shd w:val="clear" w:color="auto" w:fill="auto"/>
          <w:vAlign w:val="center"/>
        </w:tcPr>
        <w:p w14:paraId="2E7FB647" w14:textId="77777777" w:rsidR="00E017F9" w:rsidRDefault="00E017F9" w:rsidP="00CB497F">
          <w:pPr>
            <w:ind w:right="175"/>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00979/INFOEM/IP/RR/2025</w:t>
          </w:r>
        </w:p>
      </w:tc>
    </w:tr>
    <w:tr w:rsidR="00E017F9" w14:paraId="2B03413B" w14:textId="77777777">
      <w:tc>
        <w:tcPr>
          <w:tcW w:w="2489" w:type="dxa"/>
          <w:shd w:val="clear" w:color="auto" w:fill="auto"/>
        </w:tcPr>
        <w:p w14:paraId="03BFF476" w14:textId="77777777" w:rsidR="00E017F9" w:rsidRDefault="00E017F9">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Recurrente</w:t>
          </w:r>
        </w:p>
      </w:tc>
      <w:tc>
        <w:tcPr>
          <w:tcW w:w="3464" w:type="dxa"/>
          <w:shd w:val="clear" w:color="auto" w:fill="auto"/>
          <w:vAlign w:val="center"/>
        </w:tcPr>
        <w:p w14:paraId="7611FC26" w14:textId="16481F50" w:rsidR="00E017F9" w:rsidRDefault="008E1C42">
          <w:pPr>
            <w:ind w:right="175"/>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XXXX XXXXXX XXXXXXX XXXXXXXXX</w:t>
          </w:r>
        </w:p>
      </w:tc>
    </w:tr>
    <w:tr w:rsidR="00E017F9" w14:paraId="53B34E23" w14:textId="77777777">
      <w:trPr>
        <w:trHeight w:val="228"/>
      </w:trPr>
      <w:tc>
        <w:tcPr>
          <w:tcW w:w="2489" w:type="dxa"/>
          <w:shd w:val="clear" w:color="auto" w:fill="auto"/>
          <w:vAlign w:val="center"/>
        </w:tcPr>
        <w:p w14:paraId="36EA3EFD" w14:textId="77777777" w:rsidR="00E017F9" w:rsidRDefault="00E017F9">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3464" w:type="dxa"/>
          <w:shd w:val="clear" w:color="auto" w:fill="auto"/>
          <w:vAlign w:val="center"/>
        </w:tcPr>
        <w:p w14:paraId="537F3F7C" w14:textId="77777777" w:rsidR="00E017F9" w:rsidRDefault="00E017F9">
          <w:pPr>
            <w:ind w:left="-45" w:right="176"/>
            <w:jc w:val="both"/>
            <w:rPr>
              <w:rFonts w:ascii="Palatino Linotype" w:eastAsia="Palatino Linotype" w:hAnsi="Palatino Linotype" w:cs="Palatino Linotype"/>
              <w:b/>
              <w:sz w:val="22"/>
              <w:szCs w:val="22"/>
            </w:rPr>
          </w:pPr>
          <w:r w:rsidRPr="00CB497F">
            <w:rPr>
              <w:rFonts w:ascii="Palatino Linotype" w:eastAsia="Palatino Linotype" w:hAnsi="Palatino Linotype" w:cs="Palatino Linotype"/>
              <w:b/>
              <w:sz w:val="22"/>
              <w:szCs w:val="22"/>
            </w:rPr>
            <w:t>Ayuntamiento de Jiquipilco</w:t>
          </w:r>
        </w:p>
      </w:tc>
    </w:tr>
    <w:tr w:rsidR="00E017F9" w14:paraId="0DD882E6" w14:textId="77777777">
      <w:tc>
        <w:tcPr>
          <w:tcW w:w="2489" w:type="dxa"/>
          <w:shd w:val="clear" w:color="auto" w:fill="auto"/>
          <w:vAlign w:val="center"/>
        </w:tcPr>
        <w:p w14:paraId="20C9899B" w14:textId="77777777" w:rsidR="00E017F9" w:rsidRDefault="00E017F9">
          <w:pPr>
            <w:ind w:right="-108"/>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3464" w:type="dxa"/>
          <w:shd w:val="clear" w:color="auto" w:fill="auto"/>
          <w:vAlign w:val="center"/>
        </w:tcPr>
        <w:p w14:paraId="6EB0C092" w14:textId="77777777" w:rsidR="00E017F9" w:rsidRDefault="00E017F9">
          <w:pPr>
            <w:ind w:right="175"/>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Guadalupe Ramírez Peña</w:t>
          </w:r>
        </w:p>
      </w:tc>
    </w:tr>
  </w:tbl>
  <w:p w14:paraId="46226DB9" w14:textId="77777777" w:rsidR="00E017F9" w:rsidRDefault="00E017F9"/>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4E1E8B"/>
    <w:multiLevelType w:val="multilevel"/>
    <w:tmpl w:val="C92646D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2A8E4123"/>
    <w:multiLevelType w:val="multilevel"/>
    <w:tmpl w:val="5C34BA94"/>
    <w:lvl w:ilvl="0">
      <w:start w:val="1"/>
      <w:numFmt w:val="decimal"/>
      <w:pStyle w:val="Listaconvietas3"/>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801F9"/>
    <w:rsid w:val="00003A63"/>
    <w:rsid w:val="000109DA"/>
    <w:rsid w:val="000131AC"/>
    <w:rsid w:val="000512C4"/>
    <w:rsid w:val="00116670"/>
    <w:rsid w:val="002400B7"/>
    <w:rsid w:val="00310E2C"/>
    <w:rsid w:val="003D6A59"/>
    <w:rsid w:val="00515DAD"/>
    <w:rsid w:val="005801F9"/>
    <w:rsid w:val="0058633B"/>
    <w:rsid w:val="005B36AC"/>
    <w:rsid w:val="00650A74"/>
    <w:rsid w:val="006B7A6B"/>
    <w:rsid w:val="00703368"/>
    <w:rsid w:val="00721208"/>
    <w:rsid w:val="007213B6"/>
    <w:rsid w:val="00815E49"/>
    <w:rsid w:val="00860FB9"/>
    <w:rsid w:val="008E1C42"/>
    <w:rsid w:val="00903584"/>
    <w:rsid w:val="009D5003"/>
    <w:rsid w:val="00A757A2"/>
    <w:rsid w:val="00AA6F73"/>
    <w:rsid w:val="00AB3A85"/>
    <w:rsid w:val="00AC1942"/>
    <w:rsid w:val="00BA3ED2"/>
    <w:rsid w:val="00BB4FF3"/>
    <w:rsid w:val="00C36EB0"/>
    <w:rsid w:val="00CB497F"/>
    <w:rsid w:val="00D457BB"/>
    <w:rsid w:val="00D7364A"/>
    <w:rsid w:val="00D76681"/>
    <w:rsid w:val="00DA424F"/>
    <w:rsid w:val="00E017F9"/>
    <w:rsid w:val="00E20376"/>
    <w:rsid w:val="00E32B64"/>
    <w:rsid w:val="00E43966"/>
    <w:rsid w:val="00E667D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B2F3C3"/>
  <w15:docId w15:val="{5DB6EAA8-DD6C-4926-8409-0E239F1E94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s-MX"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6F1A"/>
  </w:style>
  <w:style w:type="paragraph" w:styleId="Ttulo1">
    <w:name w:val="heading 1"/>
    <w:basedOn w:val="Normal"/>
    <w:next w:val="Normal"/>
    <w:uiPriority w:val="9"/>
    <w:qFormat/>
    <w:pPr>
      <w:keepNext/>
      <w:keepLines/>
      <w:spacing w:before="240"/>
      <w:outlineLvl w:val="0"/>
    </w:pPr>
    <w:rPr>
      <w:rFonts w:ascii="Calibri" w:eastAsia="Calibri" w:hAnsi="Calibri" w:cs="Calibri"/>
      <w:color w:val="366091"/>
      <w:sz w:val="32"/>
      <w:szCs w:val="32"/>
    </w:rPr>
  </w:style>
  <w:style w:type="paragraph" w:styleId="Ttulo2">
    <w:name w:val="heading 2"/>
    <w:basedOn w:val="Normal"/>
    <w:next w:val="Normal"/>
    <w:uiPriority w:val="9"/>
    <w:semiHidden/>
    <w:unhideWhenUsed/>
    <w:qFormat/>
    <w:pPr>
      <w:keepNext/>
      <w:keepLines/>
      <w:spacing w:before="40"/>
      <w:outlineLvl w:val="1"/>
    </w:pPr>
    <w:rPr>
      <w:rFonts w:ascii="Calibri" w:eastAsia="Calibri" w:hAnsi="Calibri" w:cs="Calibri"/>
      <w:color w:val="366091"/>
      <w:sz w:val="26"/>
      <w:szCs w:val="26"/>
    </w:rPr>
  </w:style>
  <w:style w:type="paragraph" w:styleId="Ttulo3">
    <w:name w:val="heading 3"/>
    <w:basedOn w:val="Normal"/>
    <w:next w:val="Normal"/>
    <w:uiPriority w:val="9"/>
    <w:semiHidden/>
    <w:unhideWhenUsed/>
    <w:qFormat/>
    <w:pPr>
      <w:keepNext/>
      <w:spacing w:before="240" w:after="60"/>
      <w:ind w:left="2160" w:hanging="720"/>
      <w:outlineLvl w:val="2"/>
    </w:pPr>
    <w:rPr>
      <w:rFonts w:ascii="Calibri" w:eastAsia="Calibri" w:hAnsi="Calibri" w:cs="Calibri"/>
      <w:b/>
      <w:sz w:val="26"/>
      <w:szCs w:val="26"/>
    </w:rPr>
  </w:style>
  <w:style w:type="paragraph" w:styleId="Ttulo4">
    <w:name w:val="heading 4"/>
    <w:basedOn w:val="Normal"/>
    <w:next w:val="Normal"/>
    <w:uiPriority w:val="9"/>
    <w:semiHidden/>
    <w:unhideWhenUsed/>
    <w:qFormat/>
    <w:pPr>
      <w:keepNext/>
      <w:spacing w:before="240" w:after="60"/>
      <w:ind w:left="2880" w:hanging="720"/>
      <w:outlineLvl w:val="3"/>
    </w:pPr>
    <w:rPr>
      <w:rFonts w:ascii="Cambria" w:eastAsia="Cambria" w:hAnsi="Cambria" w:cs="Cambria"/>
      <w:b/>
      <w:sz w:val="28"/>
      <w:szCs w:val="28"/>
    </w:rPr>
  </w:style>
  <w:style w:type="paragraph" w:styleId="Ttulo5">
    <w:name w:val="heading 5"/>
    <w:basedOn w:val="Normal"/>
    <w:next w:val="Normal"/>
    <w:uiPriority w:val="9"/>
    <w:semiHidden/>
    <w:unhideWhenUsed/>
    <w:qFormat/>
    <w:pPr>
      <w:spacing w:before="240" w:after="60"/>
      <w:ind w:left="3600" w:hanging="720"/>
      <w:outlineLvl w:val="4"/>
    </w:pPr>
    <w:rPr>
      <w:rFonts w:ascii="Cambria" w:eastAsia="Cambria" w:hAnsi="Cambria" w:cs="Cambria"/>
      <w:b/>
      <w:i/>
      <w:sz w:val="26"/>
      <w:szCs w:val="26"/>
    </w:rPr>
  </w:style>
  <w:style w:type="paragraph" w:styleId="Ttulo6">
    <w:name w:val="heading 6"/>
    <w:basedOn w:val="Normal"/>
    <w:next w:val="Normal"/>
    <w:uiPriority w:val="9"/>
    <w:semiHidden/>
    <w:unhideWhenUsed/>
    <w:qFormat/>
    <w:pPr>
      <w:spacing w:before="240" w:after="60"/>
      <w:ind w:left="4320" w:hanging="720"/>
      <w:outlineLvl w:val="5"/>
    </w:pPr>
    <w:rPr>
      <w:b/>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table" w:customStyle="1" w:styleId="TableNormal3">
    <w:name w:val="Table Normal"/>
    <w:tblPr>
      <w:tblCellMar>
        <w:top w:w="0" w:type="dxa"/>
        <w:left w:w="0" w:type="dxa"/>
        <w:bottom w:w="0" w:type="dxa"/>
        <w:right w:w="0" w:type="dxa"/>
      </w:tblCellMar>
    </w:tblPr>
  </w:style>
  <w:style w:type="table" w:customStyle="1" w:styleId="TableNormal4">
    <w:name w:val="Table Normal"/>
    <w:tblPr>
      <w:tblCellMar>
        <w:top w:w="0" w:type="dxa"/>
        <w:left w:w="0" w:type="dxa"/>
        <w:bottom w:w="0" w:type="dxa"/>
        <w:right w:w="0" w:type="dxa"/>
      </w:tblCellMar>
    </w:tblPr>
  </w:style>
  <w:style w:type="table" w:customStyle="1" w:styleId="TableNormal5">
    <w:name w:val="Table Normal"/>
    <w:tblPr>
      <w:tblCellMar>
        <w:top w:w="0" w:type="dxa"/>
        <w:left w:w="0" w:type="dxa"/>
        <w:bottom w:w="0" w:type="dxa"/>
        <w:right w:w="0" w:type="dxa"/>
      </w:tblCellMar>
    </w:tblPr>
  </w:style>
  <w:style w:type="table" w:customStyle="1" w:styleId="TableNormal6">
    <w:name w:val="Table Normal"/>
    <w:tblPr>
      <w:tblCellMar>
        <w:top w:w="0" w:type="dxa"/>
        <w:left w:w="0" w:type="dxa"/>
        <w:bottom w:w="0" w:type="dxa"/>
        <w:right w:w="0" w:type="dxa"/>
      </w:tblCellMar>
    </w:tblPr>
  </w:style>
  <w:style w:type="table" w:customStyle="1" w:styleId="TableNormal7">
    <w:name w:val="Table Normal"/>
    <w:tblPr>
      <w:tblCellMar>
        <w:top w:w="0" w:type="dxa"/>
        <w:left w:w="0" w:type="dxa"/>
        <w:bottom w:w="0" w:type="dxa"/>
        <w:right w:w="0" w:type="dxa"/>
      </w:tblCellMar>
    </w:tblPr>
  </w:style>
  <w:style w:type="table" w:customStyle="1" w:styleId="TableNormal8">
    <w:name w:val="Table Normal"/>
    <w:tblPr>
      <w:tblCellMar>
        <w:top w:w="0" w:type="dxa"/>
        <w:left w:w="0" w:type="dxa"/>
        <w:bottom w:w="0" w:type="dxa"/>
        <w:right w:w="0" w:type="dxa"/>
      </w:tblCellMar>
    </w:tblPr>
  </w:style>
  <w:style w:type="table" w:customStyle="1" w:styleId="TableNormal9">
    <w:name w:val="Table Normal"/>
    <w:tblPr>
      <w:tblCellMar>
        <w:top w:w="0" w:type="dxa"/>
        <w:left w:w="0" w:type="dxa"/>
        <w:bottom w:w="0" w:type="dxa"/>
        <w:right w:w="0" w:type="dxa"/>
      </w:tblCellMar>
    </w:tblPr>
  </w:style>
  <w:style w:type="table" w:customStyle="1" w:styleId="TableNormala">
    <w:name w:val="Table Normal"/>
    <w:tblPr>
      <w:tblCellMar>
        <w:top w:w="0" w:type="dxa"/>
        <w:left w:w="0" w:type="dxa"/>
        <w:bottom w:w="0" w:type="dxa"/>
        <w:right w:w="0" w:type="dxa"/>
      </w:tblCellMar>
    </w:tblPr>
  </w:style>
  <w:style w:type="table" w:customStyle="1" w:styleId="TableNormalb">
    <w:name w:val="Table Normal"/>
    <w:tblPr>
      <w:tblCellMar>
        <w:top w:w="0" w:type="dxa"/>
        <w:left w:w="0" w:type="dxa"/>
        <w:bottom w:w="0" w:type="dxa"/>
        <w:right w:w="0" w:type="dxa"/>
      </w:tblCellMar>
    </w:tbl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b"/>
    <w:tblPr>
      <w:tblStyleRowBandSize w:val="1"/>
      <w:tblStyleColBandSize w:val="1"/>
      <w:tblCellMar>
        <w:left w:w="115" w:type="dxa"/>
        <w:right w:w="115" w:type="dxa"/>
      </w:tblCellMar>
    </w:tblPr>
  </w:style>
  <w:style w:type="table" w:customStyle="1" w:styleId="a0">
    <w:basedOn w:val="TableNormalb"/>
    <w:tblPr>
      <w:tblStyleRowBandSize w:val="1"/>
      <w:tblStyleColBandSize w:val="1"/>
      <w:tblCellMar>
        <w:left w:w="115" w:type="dxa"/>
        <w:right w:w="115" w:type="dxa"/>
      </w:tblCellMar>
    </w:tblPr>
  </w:style>
  <w:style w:type="paragraph" w:styleId="Encabezado">
    <w:name w:val="header"/>
    <w:basedOn w:val="Normal"/>
    <w:link w:val="EncabezadoCar"/>
    <w:uiPriority w:val="99"/>
    <w:unhideWhenUsed/>
    <w:rsid w:val="000D197B"/>
    <w:pPr>
      <w:tabs>
        <w:tab w:val="center" w:pos="4419"/>
        <w:tab w:val="right" w:pos="8838"/>
      </w:tabs>
    </w:pPr>
  </w:style>
  <w:style w:type="character" w:customStyle="1" w:styleId="EncabezadoCar">
    <w:name w:val="Encabezado Car"/>
    <w:basedOn w:val="Fuentedeprrafopredeter"/>
    <w:link w:val="Encabezado"/>
    <w:uiPriority w:val="99"/>
    <w:rsid w:val="000D197B"/>
  </w:style>
  <w:style w:type="paragraph" w:styleId="Piedepgina">
    <w:name w:val="footer"/>
    <w:basedOn w:val="Normal"/>
    <w:link w:val="PiedepginaCar"/>
    <w:uiPriority w:val="99"/>
    <w:unhideWhenUsed/>
    <w:rsid w:val="000D197B"/>
    <w:pPr>
      <w:tabs>
        <w:tab w:val="center" w:pos="4419"/>
        <w:tab w:val="right" w:pos="8838"/>
      </w:tabs>
    </w:pPr>
  </w:style>
  <w:style w:type="character" w:customStyle="1" w:styleId="PiedepginaCar">
    <w:name w:val="Pie de página Car"/>
    <w:basedOn w:val="Fuentedeprrafopredeter"/>
    <w:link w:val="Piedepgina"/>
    <w:uiPriority w:val="99"/>
    <w:rsid w:val="000D197B"/>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C43334"/>
    <w:pPr>
      <w:ind w:left="720"/>
      <w:contextualSpacing/>
    </w:pPr>
  </w:style>
  <w:style w:type="paragraph" w:styleId="NormalWeb">
    <w:name w:val="Normal (Web)"/>
    <w:basedOn w:val="Normal"/>
    <w:uiPriority w:val="99"/>
    <w:semiHidden/>
    <w:unhideWhenUsed/>
    <w:rsid w:val="00476335"/>
    <w:pPr>
      <w:spacing w:before="100" w:beforeAutospacing="1" w:after="100" w:afterAutospacing="1"/>
    </w:pPr>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qFormat/>
    <w:rsid w:val="00806B5C"/>
    <w:rPr>
      <w:rFonts w:asciiTheme="minorHAnsi" w:eastAsiaTheme="minorHAnsi" w:hAnsiTheme="minorHAnsi" w:cstheme="minorBidi"/>
      <w:sz w:val="20"/>
      <w:szCs w:val="20"/>
      <w:lang w:eastAsia="en-US"/>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qFormat/>
    <w:rsid w:val="00806B5C"/>
    <w:rPr>
      <w:rFonts w:asciiTheme="minorHAnsi" w:eastAsiaTheme="minorHAnsi" w:hAnsiTheme="minorHAnsi" w:cstheme="minorBidi"/>
      <w:sz w:val="20"/>
      <w:szCs w:val="20"/>
      <w:lang w:eastAsia="en-US"/>
    </w:rPr>
  </w:style>
  <w:style w:type="character" w:styleId="Refdenotaalpie">
    <w:name w:val="footnote reference"/>
    <w:aliases w:val="Footnotes refss,Texto de nota al pie,Ref. de nota al pie 2,Appel note de bas de page,referencia nota al pie,BVI fnr,Footnote number,4_G,16 Point,Superscript 6 Point,Texto nota al pie,Footnote Reference Char3,Ref,de nota al pie,註腳內容"/>
    <w:basedOn w:val="Fuentedeprrafopredeter"/>
    <w:uiPriority w:val="99"/>
    <w:unhideWhenUsed/>
    <w:qFormat/>
    <w:rsid w:val="00806B5C"/>
    <w:rPr>
      <w:vertAlign w:val="superscript"/>
    </w:rPr>
  </w:style>
  <w:style w:type="table" w:customStyle="1" w:styleId="a1">
    <w:basedOn w:val="TableNormalb"/>
    <w:tblPr>
      <w:tblStyleRowBandSize w:val="1"/>
      <w:tblStyleColBandSize w:val="1"/>
      <w:tblCellMar>
        <w:left w:w="115" w:type="dxa"/>
        <w:right w:w="115" w:type="dxa"/>
      </w:tblCellMar>
    </w:tblPr>
  </w:style>
  <w:style w:type="table" w:customStyle="1" w:styleId="a2">
    <w:basedOn w:val="TableNormalb"/>
    <w:tblPr>
      <w:tblStyleRowBandSize w:val="1"/>
      <w:tblStyleColBandSize w:val="1"/>
      <w:tblCellMar>
        <w:left w:w="115" w:type="dxa"/>
        <w:right w:w="115" w:type="dxa"/>
      </w:tblCellMar>
    </w:tblPr>
  </w:style>
  <w:style w:type="character" w:styleId="Hipervnculo">
    <w:name w:val="Hyperlink"/>
    <w:basedOn w:val="Fuentedeprrafopredeter"/>
    <w:uiPriority w:val="99"/>
    <w:unhideWhenUsed/>
    <w:rsid w:val="00504D6C"/>
    <w:rPr>
      <w:color w:val="0000FF" w:themeColor="hyperlink"/>
      <w:u w:val="single"/>
    </w:rPr>
  </w:style>
  <w:style w:type="character" w:styleId="Hipervnculovisitado">
    <w:name w:val="FollowedHyperlink"/>
    <w:basedOn w:val="Fuentedeprrafopredeter"/>
    <w:uiPriority w:val="99"/>
    <w:semiHidden/>
    <w:unhideWhenUsed/>
    <w:rsid w:val="00504D6C"/>
    <w:rPr>
      <w:color w:val="800080" w:themeColor="followedHyperlink"/>
      <w:u w:val="single"/>
    </w:rPr>
  </w:style>
  <w:style w:type="table" w:styleId="Tablaconcuadrcula">
    <w:name w:val="Table Grid"/>
    <w:basedOn w:val="Tablanormal"/>
    <w:uiPriority w:val="39"/>
    <w:rsid w:val="00134A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3">
    <w:basedOn w:val="TableNormala"/>
    <w:tblPr>
      <w:tblStyleRowBandSize w:val="1"/>
      <w:tblStyleColBandSize w:val="1"/>
      <w:tblCellMar>
        <w:left w:w="115" w:type="dxa"/>
        <w:right w:w="115" w:type="dxa"/>
      </w:tblCellMar>
    </w:tblPr>
  </w:style>
  <w:style w:type="table" w:customStyle="1" w:styleId="a4">
    <w:basedOn w:val="TableNormala"/>
    <w:tblPr>
      <w:tblStyleRowBandSize w:val="1"/>
      <w:tblStyleColBandSize w:val="1"/>
      <w:tblCellMar>
        <w:left w:w="115" w:type="dxa"/>
        <w:right w:w="115" w:type="dxa"/>
      </w:tblCellMar>
    </w:tblPr>
  </w:style>
  <w:style w:type="paragraph" w:styleId="Listaconvietas3">
    <w:name w:val="List Bullet 3"/>
    <w:basedOn w:val="Normal"/>
    <w:uiPriority w:val="99"/>
    <w:unhideWhenUsed/>
    <w:rsid w:val="005E017B"/>
    <w:pPr>
      <w:numPr>
        <w:numId w:val="1"/>
      </w:numPr>
      <w:contextualSpacing/>
    </w:pPr>
  </w:style>
  <w:style w:type="character" w:customStyle="1" w:styleId="yt-core-attributed-string--link-inherit-color">
    <w:name w:val="yt-core-attributed-string--link-inherit-color"/>
    <w:basedOn w:val="Fuentedeprrafopredeter"/>
    <w:rsid w:val="00EA0BEF"/>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basedOn w:val="Fuentedeprrafopredeter"/>
    <w:link w:val="Prrafodelista"/>
    <w:uiPriority w:val="34"/>
    <w:qFormat/>
    <w:locked/>
    <w:rsid w:val="00452086"/>
  </w:style>
  <w:style w:type="character" w:customStyle="1" w:styleId="Mencinsinresolver1">
    <w:name w:val="Mención sin resolver1"/>
    <w:basedOn w:val="Fuentedeprrafopredeter"/>
    <w:uiPriority w:val="99"/>
    <w:semiHidden/>
    <w:unhideWhenUsed/>
    <w:rsid w:val="00C64B15"/>
    <w:rPr>
      <w:color w:val="605E5C"/>
      <w:shd w:val="clear" w:color="auto" w:fill="E1DFDD"/>
    </w:rPr>
  </w:style>
  <w:style w:type="paragraph" w:customStyle="1" w:styleId="Default">
    <w:name w:val="Default"/>
    <w:rsid w:val="00B92077"/>
    <w:pPr>
      <w:autoSpaceDE w:val="0"/>
      <w:autoSpaceDN w:val="0"/>
      <w:adjustRightInd w:val="0"/>
    </w:pPr>
    <w:rPr>
      <w:rFonts w:ascii="Arial" w:hAnsi="Arial" w:cs="Arial"/>
      <w:color w:val="000000"/>
    </w:rPr>
  </w:style>
  <w:style w:type="character" w:customStyle="1" w:styleId="Mencinsinresolver2">
    <w:name w:val="Mención sin resolver2"/>
    <w:basedOn w:val="Fuentedeprrafopredeter"/>
    <w:uiPriority w:val="99"/>
    <w:semiHidden/>
    <w:unhideWhenUsed/>
    <w:rsid w:val="00251B93"/>
    <w:rPr>
      <w:color w:val="605E5C"/>
      <w:shd w:val="clear" w:color="auto" w:fill="E1DFDD"/>
    </w:rPr>
  </w:style>
  <w:style w:type="paragraph" w:styleId="Textodeglobo">
    <w:name w:val="Balloon Text"/>
    <w:basedOn w:val="Normal"/>
    <w:link w:val="TextodegloboCar"/>
    <w:uiPriority w:val="99"/>
    <w:semiHidden/>
    <w:unhideWhenUsed/>
    <w:rsid w:val="00DD0D64"/>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DD0D64"/>
    <w:rPr>
      <w:rFonts w:ascii="Segoe UI" w:hAnsi="Segoe UI" w:cs="Segoe UI"/>
      <w:sz w:val="18"/>
      <w:szCs w:val="18"/>
    </w:rPr>
  </w:style>
  <w:style w:type="paragraph" w:styleId="Sinespaciado">
    <w:name w:val="No Spacing"/>
    <w:aliases w:val="Francesa"/>
    <w:link w:val="SinespaciadoCar"/>
    <w:uiPriority w:val="1"/>
    <w:qFormat/>
    <w:rsid w:val="000D0148"/>
    <w:rPr>
      <w:rFonts w:asciiTheme="minorHAnsi" w:eastAsiaTheme="minorHAnsi" w:hAnsiTheme="minorHAnsi" w:cstheme="minorBidi"/>
      <w:sz w:val="22"/>
      <w:szCs w:val="22"/>
      <w:lang w:eastAsia="en-US"/>
    </w:rPr>
  </w:style>
  <w:style w:type="character" w:customStyle="1" w:styleId="SinespaciadoCar">
    <w:name w:val="Sin espaciado Car"/>
    <w:aliases w:val="Francesa Car"/>
    <w:link w:val="Sinespaciado"/>
    <w:uiPriority w:val="1"/>
    <w:locked/>
    <w:rsid w:val="000D0148"/>
    <w:rPr>
      <w:rFonts w:asciiTheme="minorHAnsi" w:eastAsiaTheme="minorHAnsi" w:hAnsiTheme="minorHAnsi" w:cstheme="minorBidi"/>
      <w:sz w:val="22"/>
      <w:szCs w:val="22"/>
      <w:lang w:eastAsia="en-US"/>
    </w:rPr>
  </w:style>
  <w:style w:type="paragraph" w:customStyle="1" w:styleId="rtejustify">
    <w:name w:val="rtejustify"/>
    <w:basedOn w:val="Normal"/>
    <w:rsid w:val="00876EB7"/>
    <w:pPr>
      <w:spacing w:before="100" w:beforeAutospacing="1" w:after="100" w:afterAutospacing="1"/>
    </w:pPr>
  </w:style>
  <w:style w:type="table" w:customStyle="1" w:styleId="a5">
    <w:basedOn w:val="TableNormal9"/>
    <w:tblPr>
      <w:tblStyleRowBandSize w:val="1"/>
      <w:tblStyleColBandSize w:val="1"/>
      <w:tblCellMar>
        <w:left w:w="108" w:type="dxa"/>
        <w:right w:w="108" w:type="dxa"/>
      </w:tblCellMar>
    </w:tblPr>
  </w:style>
  <w:style w:type="table" w:customStyle="1" w:styleId="a6">
    <w:basedOn w:val="TableNormal9"/>
    <w:tblPr>
      <w:tblStyleRowBandSize w:val="1"/>
      <w:tblStyleColBandSize w:val="1"/>
      <w:tblCellMar>
        <w:left w:w="108" w:type="dxa"/>
        <w:right w:w="108" w:type="dxa"/>
      </w:tblCellMar>
    </w:tblPr>
  </w:style>
  <w:style w:type="table" w:customStyle="1" w:styleId="a7">
    <w:basedOn w:val="TableNormal9"/>
    <w:tblPr>
      <w:tblStyleRowBandSize w:val="1"/>
      <w:tblStyleColBandSize w:val="1"/>
      <w:tblCellMar>
        <w:left w:w="108" w:type="dxa"/>
        <w:right w:w="108" w:type="dxa"/>
      </w:tblCellMar>
    </w:tblPr>
  </w:style>
  <w:style w:type="table" w:customStyle="1" w:styleId="a8">
    <w:basedOn w:val="TableNormal9"/>
    <w:tblPr>
      <w:tblStyleRowBandSize w:val="1"/>
      <w:tblStyleColBandSize w:val="1"/>
      <w:tblCellMar>
        <w:left w:w="108" w:type="dxa"/>
        <w:right w:w="108" w:type="dxa"/>
      </w:tblCellMar>
    </w:tblPr>
  </w:style>
  <w:style w:type="table" w:customStyle="1" w:styleId="a9">
    <w:basedOn w:val="TableNormal9"/>
    <w:tblPr>
      <w:tblStyleRowBandSize w:val="1"/>
      <w:tblStyleColBandSize w:val="1"/>
      <w:tblCellMar>
        <w:left w:w="108" w:type="dxa"/>
        <w:right w:w="108" w:type="dxa"/>
      </w:tblCellMar>
    </w:tblPr>
  </w:style>
  <w:style w:type="table" w:customStyle="1" w:styleId="aa">
    <w:basedOn w:val="TableNormal9"/>
    <w:tblPr>
      <w:tblStyleRowBandSize w:val="1"/>
      <w:tblStyleColBandSize w:val="1"/>
      <w:tblCellMar>
        <w:left w:w="115" w:type="dxa"/>
        <w:right w:w="115" w:type="dxa"/>
      </w:tblCellMar>
    </w:tblPr>
  </w:style>
  <w:style w:type="table" w:customStyle="1" w:styleId="ab">
    <w:basedOn w:val="TableNormal9"/>
    <w:tblPr>
      <w:tblStyleRowBandSize w:val="1"/>
      <w:tblStyleColBandSize w:val="1"/>
      <w:tblCellMar>
        <w:left w:w="115" w:type="dxa"/>
        <w:right w:w="115" w:type="dxa"/>
      </w:tblCellMar>
    </w:tblPr>
  </w:style>
  <w:style w:type="table" w:customStyle="1" w:styleId="ac">
    <w:basedOn w:val="TableNormal8"/>
    <w:tblPr>
      <w:tblStyleRowBandSize w:val="1"/>
      <w:tblStyleColBandSize w:val="1"/>
      <w:tblCellMar>
        <w:left w:w="108" w:type="dxa"/>
        <w:right w:w="108" w:type="dxa"/>
      </w:tblCellMar>
    </w:tblPr>
  </w:style>
  <w:style w:type="table" w:customStyle="1" w:styleId="ad">
    <w:basedOn w:val="TableNormal8"/>
    <w:tblPr>
      <w:tblStyleRowBandSize w:val="1"/>
      <w:tblStyleColBandSize w:val="1"/>
      <w:tblCellMar>
        <w:left w:w="115" w:type="dxa"/>
        <w:right w:w="115" w:type="dxa"/>
      </w:tblCellMar>
    </w:tblPr>
  </w:style>
  <w:style w:type="table" w:customStyle="1" w:styleId="ae">
    <w:basedOn w:val="TableNormal8"/>
    <w:tblPr>
      <w:tblStyleRowBandSize w:val="1"/>
      <w:tblStyleColBandSize w:val="1"/>
      <w:tblCellMar>
        <w:left w:w="115" w:type="dxa"/>
        <w:right w:w="115" w:type="dxa"/>
      </w:tblCellMar>
    </w:tblPr>
  </w:style>
  <w:style w:type="table" w:customStyle="1" w:styleId="af">
    <w:basedOn w:val="TableNormal7"/>
    <w:tblPr>
      <w:tblStyleRowBandSize w:val="1"/>
      <w:tblStyleColBandSize w:val="1"/>
      <w:tblCellMar>
        <w:left w:w="115" w:type="dxa"/>
        <w:right w:w="115" w:type="dxa"/>
      </w:tblCellMar>
    </w:tblPr>
  </w:style>
  <w:style w:type="table" w:customStyle="1" w:styleId="af0">
    <w:basedOn w:val="TableNormal7"/>
    <w:tblPr>
      <w:tblStyleRowBandSize w:val="1"/>
      <w:tblStyleColBandSize w:val="1"/>
      <w:tblCellMar>
        <w:left w:w="115" w:type="dxa"/>
        <w:right w:w="115" w:type="dxa"/>
      </w:tblCellMar>
    </w:tblPr>
  </w:style>
  <w:style w:type="table" w:customStyle="1" w:styleId="af1">
    <w:basedOn w:val="TableNormal7"/>
    <w:tblPr>
      <w:tblStyleRowBandSize w:val="1"/>
      <w:tblStyleColBandSize w:val="1"/>
      <w:tblCellMar>
        <w:left w:w="115" w:type="dxa"/>
        <w:right w:w="115" w:type="dxa"/>
      </w:tblCellMar>
    </w:tblPr>
  </w:style>
  <w:style w:type="table" w:customStyle="1" w:styleId="af2">
    <w:basedOn w:val="TableNormal6"/>
    <w:tblPr>
      <w:tblStyleRowBandSize w:val="1"/>
      <w:tblStyleColBandSize w:val="1"/>
      <w:tblCellMar>
        <w:left w:w="115" w:type="dxa"/>
        <w:right w:w="115" w:type="dxa"/>
      </w:tblCellMar>
    </w:tblPr>
  </w:style>
  <w:style w:type="table" w:customStyle="1" w:styleId="af3">
    <w:basedOn w:val="TableNormal6"/>
    <w:tblPr>
      <w:tblStyleRowBandSize w:val="1"/>
      <w:tblStyleColBandSize w:val="1"/>
      <w:tblCellMar>
        <w:left w:w="115" w:type="dxa"/>
        <w:right w:w="115" w:type="dxa"/>
      </w:tblCellMar>
    </w:tblPr>
  </w:style>
  <w:style w:type="table" w:customStyle="1" w:styleId="af4">
    <w:basedOn w:val="TableNormal5"/>
    <w:tblPr>
      <w:tblStyleRowBandSize w:val="1"/>
      <w:tblStyleColBandSize w:val="1"/>
      <w:tblCellMar>
        <w:left w:w="115" w:type="dxa"/>
        <w:right w:w="115" w:type="dxa"/>
      </w:tblCellMar>
    </w:tblPr>
  </w:style>
  <w:style w:type="table" w:customStyle="1" w:styleId="af5">
    <w:basedOn w:val="TableNormal5"/>
    <w:tblPr>
      <w:tblStyleRowBandSize w:val="1"/>
      <w:tblStyleColBandSize w:val="1"/>
      <w:tblCellMar>
        <w:left w:w="115" w:type="dxa"/>
        <w:right w:w="115" w:type="dxa"/>
      </w:tblCellMar>
    </w:tblPr>
  </w:style>
  <w:style w:type="table" w:customStyle="1" w:styleId="af6">
    <w:basedOn w:val="TableNormal4"/>
    <w:tblPr>
      <w:tblStyleRowBandSize w:val="1"/>
      <w:tblStyleColBandSize w:val="1"/>
      <w:tblCellMar>
        <w:left w:w="115" w:type="dxa"/>
        <w:right w:w="115" w:type="dxa"/>
      </w:tblCellMar>
    </w:tblPr>
  </w:style>
  <w:style w:type="table" w:customStyle="1" w:styleId="af7">
    <w:basedOn w:val="TableNormal4"/>
    <w:tblPr>
      <w:tblStyleRowBandSize w:val="1"/>
      <w:tblStyleColBandSize w:val="1"/>
      <w:tblCellMar>
        <w:left w:w="115" w:type="dxa"/>
        <w:right w:w="115" w:type="dxa"/>
      </w:tblCellMar>
    </w:tblPr>
  </w:style>
  <w:style w:type="character" w:styleId="Textoennegrita">
    <w:name w:val="Strong"/>
    <w:basedOn w:val="Fuentedeprrafopredeter"/>
    <w:uiPriority w:val="22"/>
    <w:qFormat/>
    <w:rsid w:val="002C02D7"/>
    <w:rPr>
      <w:b/>
      <w:bCs/>
    </w:rPr>
  </w:style>
  <w:style w:type="character" w:customStyle="1" w:styleId="object">
    <w:name w:val="object"/>
    <w:basedOn w:val="Fuentedeprrafopredeter"/>
    <w:rsid w:val="002C02D7"/>
  </w:style>
  <w:style w:type="table" w:customStyle="1" w:styleId="af8">
    <w:basedOn w:val="TableNormal3"/>
    <w:tblPr>
      <w:tblStyleRowBandSize w:val="1"/>
      <w:tblStyleColBandSize w:val="1"/>
      <w:tblCellMar>
        <w:left w:w="115" w:type="dxa"/>
        <w:right w:w="115" w:type="dxa"/>
      </w:tblCellMar>
    </w:tblPr>
  </w:style>
  <w:style w:type="table" w:customStyle="1" w:styleId="af9">
    <w:basedOn w:val="TableNormal3"/>
    <w:tblPr>
      <w:tblStyleRowBandSize w:val="1"/>
      <w:tblStyleColBandSize w:val="1"/>
      <w:tblCellMar>
        <w:left w:w="115" w:type="dxa"/>
        <w:right w:w="115" w:type="dxa"/>
      </w:tblCellMar>
    </w:tblPr>
  </w:style>
  <w:style w:type="table" w:customStyle="1" w:styleId="afa">
    <w:basedOn w:val="TableNormal2"/>
    <w:tblPr>
      <w:tblStyleRowBandSize w:val="1"/>
      <w:tblStyleColBandSize w:val="1"/>
      <w:tblCellMar>
        <w:left w:w="115" w:type="dxa"/>
        <w:right w:w="115" w:type="dxa"/>
      </w:tblCellMar>
    </w:tblPr>
  </w:style>
  <w:style w:type="table" w:customStyle="1" w:styleId="afb">
    <w:basedOn w:val="TableNormal2"/>
    <w:tblPr>
      <w:tblStyleRowBandSize w:val="1"/>
      <w:tblStyleColBandSize w:val="1"/>
      <w:tblCellMar>
        <w:left w:w="115" w:type="dxa"/>
        <w:right w:w="115" w:type="dxa"/>
      </w:tblCellMar>
    </w:tblPr>
  </w:style>
  <w:style w:type="table" w:customStyle="1" w:styleId="afc">
    <w:basedOn w:val="TableNormal1"/>
    <w:tblPr>
      <w:tblStyleRowBandSize w:val="1"/>
      <w:tblStyleColBandSize w:val="1"/>
      <w:tblCellMar>
        <w:left w:w="115" w:type="dxa"/>
        <w:right w:w="115" w:type="dxa"/>
      </w:tblCellMar>
    </w:tblPr>
  </w:style>
  <w:style w:type="table" w:customStyle="1" w:styleId="afd">
    <w:basedOn w:val="TableNormal1"/>
    <w:tblPr>
      <w:tblStyleRowBandSize w:val="1"/>
      <w:tblStyleColBandSize w:val="1"/>
      <w:tblCellMar>
        <w:left w:w="115" w:type="dxa"/>
        <w:right w:w="115" w:type="dxa"/>
      </w:tblCellMar>
    </w:tblPr>
  </w:style>
  <w:style w:type="table" w:customStyle="1" w:styleId="afe">
    <w:basedOn w:val="TableNormal0"/>
    <w:tblPr>
      <w:tblStyleRowBandSize w:val="1"/>
      <w:tblStyleColBandSize w:val="1"/>
      <w:tblCellMar>
        <w:left w:w="115" w:type="dxa"/>
        <w:right w:w="115" w:type="dxa"/>
      </w:tblCellMar>
    </w:tblPr>
  </w:style>
  <w:style w:type="table" w:customStyle="1" w:styleId="aff">
    <w:basedOn w:val="TableNormal0"/>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trijaem.gob.mx/sentencia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hl64rMqIfVd2viLygbINqjchk7w==">CgMxLjAyCWguM3JkY3JqbjIJaC40ZDM0b2c4MghoLmdqZGd4czIJaC4zZHk2dmttMgloLjMwajB6bGwyCWguMnM4ZXlvMTIIaC50eWpjd3QyCWguM3pueXNoNzIJaC4yZXQ5MnAwMgloLjF0M2g1c2YyDmgub3QzcXE2dnhhMDhmOAByITFyNWlzUGFCQjVGcEtFbDh4ZzRMYllrbGpmSTJibFVqUg==</go:docsCustomData>
</go:gDocsCustomXmlDataStorage>
</file>

<file path=customXml/itemProps1.xml><?xml version="1.0" encoding="utf-8"?>
<ds:datastoreItem xmlns:ds="http://schemas.openxmlformats.org/officeDocument/2006/customXml" ds:itemID="{6009EAB5-196F-409F-AF4B-8C1603C4C704}">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25</Pages>
  <Words>6352</Words>
  <Characters>34939</Characters>
  <Application>Microsoft Office Word</Application>
  <DocSecurity>0</DocSecurity>
  <Lines>291</Lines>
  <Paragraphs>82</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41209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Maricela Villagómez Martínez</cp:lastModifiedBy>
  <cp:revision>2</cp:revision>
  <cp:lastPrinted>2025-03-14T16:55:00Z</cp:lastPrinted>
  <dcterms:created xsi:type="dcterms:W3CDTF">2025-04-01T20:02:00Z</dcterms:created>
  <dcterms:modified xsi:type="dcterms:W3CDTF">2025-04-01T20:02:00Z</dcterms:modified>
</cp:coreProperties>
</file>