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56E5" w14:textId="77777777" w:rsidR="00C852C8" w:rsidRDefault="00C852C8" w:rsidP="00CC4FC9">
      <w:pPr>
        <w:widowControl w:val="0"/>
        <w:pBdr>
          <w:top w:val="nil"/>
          <w:left w:val="nil"/>
          <w:bottom w:val="nil"/>
          <w:right w:val="nil"/>
          <w:between w:val="nil"/>
        </w:pBdr>
        <w:spacing w:after="0" w:line="360" w:lineRule="auto"/>
        <w:jc w:val="left"/>
      </w:pPr>
    </w:p>
    <w:p w14:paraId="516E3E78" w14:textId="77777777" w:rsidR="00C852C8" w:rsidRDefault="007A27E3" w:rsidP="00CC4FC9">
      <w:pPr>
        <w:keepNext/>
        <w:keepLines/>
        <w:pBdr>
          <w:top w:val="nil"/>
          <w:left w:val="nil"/>
          <w:bottom w:val="nil"/>
          <w:right w:val="nil"/>
          <w:between w:val="nil"/>
        </w:pBdr>
        <w:spacing w:after="0" w:line="360" w:lineRule="auto"/>
        <w:jc w:val="left"/>
        <w:rPr>
          <w:rFonts w:ascii="Calibri" w:eastAsia="Calibri" w:hAnsi="Calibri" w:cs="Calibri"/>
          <w:color w:val="2F5496"/>
          <w:sz w:val="32"/>
          <w:szCs w:val="32"/>
        </w:rPr>
      </w:pPr>
      <w:r>
        <w:rPr>
          <w:rFonts w:ascii="Calibri" w:eastAsia="Calibri" w:hAnsi="Calibri" w:cs="Calibri"/>
          <w:color w:val="2F5496"/>
          <w:sz w:val="32"/>
          <w:szCs w:val="32"/>
        </w:rPr>
        <w:t>Tabla de contenido</w:t>
      </w:r>
    </w:p>
    <w:sdt>
      <w:sdtPr>
        <w:id w:val="-225020237"/>
        <w:docPartObj>
          <w:docPartGallery w:val="Table of Contents"/>
          <w:docPartUnique/>
        </w:docPartObj>
      </w:sdtPr>
      <w:sdtEndPr/>
      <w:sdtContent>
        <w:p w14:paraId="0D5F730A" w14:textId="77777777" w:rsidR="00C852C8" w:rsidRDefault="007A27E3" w:rsidP="00CC4FC9">
          <w:pPr>
            <w:pBdr>
              <w:top w:val="nil"/>
              <w:left w:val="nil"/>
              <w:bottom w:val="nil"/>
              <w:right w:val="nil"/>
              <w:between w:val="nil"/>
            </w:pBdr>
            <w:tabs>
              <w:tab w:val="right" w:pos="9204"/>
            </w:tabs>
            <w:spacing w:after="0" w:line="360" w:lineRule="auto"/>
            <w:rPr>
              <w:rFonts w:ascii="Calibri" w:eastAsia="Calibri" w:hAnsi="Calibri" w:cs="Calibri"/>
              <w:color w:val="000000"/>
              <w:sz w:val="24"/>
              <w:szCs w:val="24"/>
            </w:rPr>
          </w:pPr>
          <w:r>
            <w:fldChar w:fldCharType="begin"/>
          </w:r>
          <w:r>
            <w:instrText xml:space="preserve"> TOC \h \u \z \t "Heading 1,1,Heading 2,2,Heading 3,3,"</w:instrText>
          </w:r>
          <w:r>
            <w:fldChar w:fldCharType="separate"/>
          </w:r>
          <w:hyperlink w:anchor="_heading=h.1k1d9siyrucq">
            <w:r>
              <w:rPr>
                <w:color w:val="000000"/>
              </w:rPr>
              <w:t>A N T E C E D E N T E S</w:t>
            </w:r>
            <w:r>
              <w:rPr>
                <w:color w:val="000000"/>
              </w:rPr>
              <w:tab/>
              <w:t>2</w:t>
            </w:r>
          </w:hyperlink>
        </w:p>
        <w:p w14:paraId="21CD05B9"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jwv7oi2eb39m">
            <w:r>
              <w:rPr>
                <w:color w:val="000000"/>
              </w:rPr>
              <w:t>I. Presentación de la solicitud de información</w:t>
            </w:r>
            <w:r>
              <w:rPr>
                <w:color w:val="000000"/>
              </w:rPr>
              <w:tab/>
              <w:t>2</w:t>
            </w:r>
          </w:hyperlink>
        </w:p>
        <w:p w14:paraId="516161CC"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8wpjkdb69d8v">
            <w:r>
              <w:rPr>
                <w:color w:val="000000"/>
              </w:rPr>
              <w:t>II. Respuesta del Sujeto Obligado</w:t>
            </w:r>
            <w:r>
              <w:rPr>
                <w:color w:val="000000"/>
              </w:rPr>
              <w:tab/>
              <w:t>3</w:t>
            </w:r>
          </w:hyperlink>
        </w:p>
        <w:p w14:paraId="1FF1B5EA"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rgruugl3zmnf">
            <w:r>
              <w:rPr>
                <w:color w:val="000000"/>
              </w:rPr>
              <w:t>III. Interposición del Recurso de Revisión</w:t>
            </w:r>
            <w:r>
              <w:rPr>
                <w:color w:val="000000"/>
              </w:rPr>
              <w:tab/>
              <w:t>3</w:t>
            </w:r>
          </w:hyperlink>
        </w:p>
        <w:p w14:paraId="16DC8D94"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8cs6kdaeemce">
            <w:r>
              <w:rPr>
                <w:color w:val="000000"/>
              </w:rPr>
              <w:t>IV. Trámite del Recurso de Revisión ante este Instituto</w:t>
            </w:r>
            <w:r>
              <w:rPr>
                <w:color w:val="000000"/>
              </w:rPr>
              <w:tab/>
              <w:t>4</w:t>
            </w:r>
          </w:hyperlink>
        </w:p>
        <w:p w14:paraId="263029C1" w14:textId="77777777" w:rsidR="00C852C8" w:rsidRDefault="007A27E3" w:rsidP="00CC4FC9">
          <w:pPr>
            <w:pBdr>
              <w:top w:val="nil"/>
              <w:left w:val="nil"/>
              <w:bottom w:val="nil"/>
              <w:right w:val="nil"/>
              <w:between w:val="nil"/>
            </w:pBdr>
            <w:tabs>
              <w:tab w:val="right" w:pos="9204"/>
            </w:tabs>
            <w:spacing w:after="0" w:line="360" w:lineRule="auto"/>
            <w:rPr>
              <w:rFonts w:ascii="Calibri" w:eastAsia="Calibri" w:hAnsi="Calibri" w:cs="Calibri"/>
              <w:color w:val="000000"/>
              <w:sz w:val="24"/>
              <w:szCs w:val="24"/>
            </w:rPr>
          </w:pPr>
          <w:hyperlink w:anchor="_heading=h.m1fylfltk2li">
            <w:r>
              <w:rPr>
                <w:color w:val="000000"/>
              </w:rPr>
              <w:t>C O N S I D E R A N D O S</w:t>
            </w:r>
            <w:r>
              <w:rPr>
                <w:color w:val="000000"/>
              </w:rPr>
              <w:tab/>
              <w:t>6</w:t>
            </w:r>
          </w:hyperlink>
        </w:p>
        <w:p w14:paraId="20BE936D"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5rj9ebvyy73w">
            <w:r>
              <w:rPr>
                <w:color w:val="000000"/>
              </w:rPr>
              <w:t>PRIMERO. Competencia</w:t>
            </w:r>
            <w:r>
              <w:rPr>
                <w:color w:val="000000"/>
              </w:rPr>
              <w:tab/>
              <w:t>6</w:t>
            </w:r>
          </w:hyperlink>
        </w:p>
        <w:p w14:paraId="4A2A8CEC"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n2eqkaenvu4k">
            <w:r>
              <w:rPr>
                <w:color w:val="000000"/>
              </w:rPr>
              <w:t>SEGUNDO. Causales de improcedencia y sobreseimiento</w:t>
            </w:r>
            <w:r>
              <w:rPr>
                <w:color w:val="000000"/>
              </w:rPr>
              <w:tab/>
              <w:t>6</w:t>
            </w:r>
          </w:hyperlink>
        </w:p>
        <w:p w14:paraId="5D6D08C8"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oi0zmtpue24w">
            <w:r>
              <w:rPr>
                <w:color w:val="000000"/>
              </w:rPr>
              <w:t>TERCERO. Determinación de la Controversia</w:t>
            </w:r>
            <w:r>
              <w:rPr>
                <w:color w:val="000000"/>
              </w:rPr>
              <w:tab/>
              <w:t>8</w:t>
            </w:r>
          </w:hyperlink>
        </w:p>
        <w:p w14:paraId="3AF6D2B3"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3q9emk6kszpa">
            <w:r>
              <w:rPr>
                <w:color w:val="000000"/>
              </w:rPr>
              <w:t>CUARTO. Marco normativo aplicable en materia de transparencia y acceso a la información pública</w:t>
            </w:r>
            <w:r>
              <w:rPr>
                <w:color w:val="000000"/>
              </w:rPr>
              <w:tab/>
              <w:t>9</w:t>
            </w:r>
          </w:hyperlink>
        </w:p>
        <w:p w14:paraId="29FDE20A"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m0sbrt91roe">
            <w:r>
              <w:rPr>
                <w:smallCaps/>
                <w:color w:val="000000"/>
              </w:rPr>
              <w:t>QUINTO.</w:t>
            </w:r>
          </w:hyperlink>
          <w:hyperlink w:anchor="_heading=h.m0sbrt91roe">
            <w:r>
              <w:rPr>
                <w:color w:val="000000"/>
              </w:rPr>
              <w:t xml:space="preserve"> Estudio de Fondo</w:t>
            </w:r>
            <w:r>
              <w:rPr>
                <w:color w:val="000000"/>
              </w:rPr>
              <w:tab/>
              <w:t>10</w:t>
            </w:r>
          </w:hyperlink>
        </w:p>
        <w:p w14:paraId="0BD55847" w14:textId="77777777" w:rsidR="00C852C8" w:rsidRDefault="007A27E3" w:rsidP="00CC4FC9">
          <w:pPr>
            <w:pBdr>
              <w:top w:val="nil"/>
              <w:left w:val="nil"/>
              <w:bottom w:val="nil"/>
              <w:right w:val="nil"/>
              <w:between w:val="nil"/>
            </w:pBdr>
            <w:tabs>
              <w:tab w:val="right" w:pos="9204"/>
            </w:tabs>
            <w:spacing w:after="0" w:line="360" w:lineRule="auto"/>
            <w:ind w:left="220"/>
            <w:rPr>
              <w:rFonts w:ascii="Calibri" w:eastAsia="Calibri" w:hAnsi="Calibri" w:cs="Calibri"/>
              <w:color w:val="000000"/>
              <w:sz w:val="24"/>
              <w:szCs w:val="24"/>
            </w:rPr>
          </w:pPr>
          <w:hyperlink w:anchor="_heading=h.x6y0rh25j6rw">
            <w:r>
              <w:rPr>
                <w:color w:val="000000"/>
              </w:rPr>
              <w:t>SEXTO. Decisión</w:t>
            </w:r>
            <w:r>
              <w:rPr>
                <w:color w:val="000000"/>
              </w:rPr>
              <w:tab/>
              <w:t>32</w:t>
            </w:r>
          </w:hyperlink>
        </w:p>
        <w:p w14:paraId="12A84994" w14:textId="77777777" w:rsidR="00C852C8" w:rsidRDefault="007A27E3" w:rsidP="00CC4FC9">
          <w:pPr>
            <w:pBdr>
              <w:top w:val="nil"/>
              <w:left w:val="nil"/>
              <w:bottom w:val="nil"/>
              <w:right w:val="nil"/>
              <w:between w:val="nil"/>
            </w:pBdr>
            <w:tabs>
              <w:tab w:val="right" w:pos="9204"/>
            </w:tabs>
            <w:spacing w:after="0" w:line="360" w:lineRule="auto"/>
            <w:rPr>
              <w:rFonts w:ascii="Calibri" w:eastAsia="Calibri" w:hAnsi="Calibri" w:cs="Calibri"/>
              <w:color w:val="000000"/>
              <w:sz w:val="24"/>
              <w:szCs w:val="24"/>
            </w:rPr>
          </w:pPr>
          <w:hyperlink w:anchor="_heading=h.8wfyb7fj7qlm">
            <w:r>
              <w:rPr>
                <w:color w:val="000000"/>
              </w:rPr>
              <w:t>R E S U E L V E</w:t>
            </w:r>
            <w:r>
              <w:rPr>
                <w:color w:val="000000"/>
              </w:rPr>
              <w:tab/>
              <w:t>33</w:t>
            </w:r>
          </w:hyperlink>
        </w:p>
        <w:p w14:paraId="5D1B6591" w14:textId="77777777" w:rsidR="00C852C8" w:rsidRDefault="007A27E3" w:rsidP="00CC4FC9">
          <w:pPr>
            <w:spacing w:after="0" w:line="360" w:lineRule="auto"/>
          </w:pPr>
          <w:r>
            <w:fldChar w:fldCharType="end"/>
          </w:r>
        </w:p>
      </w:sdtContent>
    </w:sdt>
    <w:p w14:paraId="7F144B5B" w14:textId="77777777" w:rsidR="00C852C8" w:rsidRDefault="00C852C8" w:rsidP="00CC4FC9">
      <w:pPr>
        <w:widowControl w:val="0"/>
        <w:pBdr>
          <w:top w:val="nil"/>
          <w:left w:val="nil"/>
          <w:bottom w:val="nil"/>
          <w:right w:val="nil"/>
          <w:between w:val="nil"/>
        </w:pBdr>
        <w:spacing w:after="0" w:line="360" w:lineRule="auto"/>
        <w:jc w:val="left"/>
      </w:pPr>
    </w:p>
    <w:p w14:paraId="489BE08A" w14:textId="77777777" w:rsidR="00C852C8" w:rsidRDefault="007A27E3" w:rsidP="00CC4FC9">
      <w:pPr>
        <w:pStyle w:val="Ttulo2"/>
        <w:spacing w:before="0" w:after="0"/>
      </w:pPr>
      <w:r>
        <w:br w:type="page"/>
      </w:r>
    </w:p>
    <w:p w14:paraId="1F01D8FD" w14:textId="7AB5D1B4" w:rsidR="00C852C8" w:rsidRDefault="007A27E3" w:rsidP="00CC4FC9">
      <w:pPr>
        <w:spacing w:after="0" w:line="360" w:lineRule="auto"/>
      </w:pPr>
      <w:r>
        <w:lastRenderedPageBreak/>
        <w:t xml:space="preserve">Resolución del Pleno del Instituto de Transparencia, Acceso a la Información Pública y Protección de Datos Personales del Estado de México y Municipios, con domicilio en Metepec, </w:t>
      </w:r>
      <w:r w:rsidR="000539C6">
        <w:t>Estado de México, de fecha quince de octubre</w:t>
      </w:r>
      <w:r>
        <w:t xml:space="preserve"> de dos mil veinticinco.</w:t>
      </w:r>
    </w:p>
    <w:p w14:paraId="24EE26FF" w14:textId="77777777" w:rsidR="00C852C8" w:rsidRDefault="00C852C8" w:rsidP="00CC4FC9">
      <w:pPr>
        <w:spacing w:after="0" w:line="360" w:lineRule="auto"/>
        <w:rPr>
          <w:b/>
        </w:rPr>
      </w:pPr>
    </w:p>
    <w:p w14:paraId="5F5ACA3E" w14:textId="00FA470C" w:rsidR="00C852C8" w:rsidRDefault="007A27E3" w:rsidP="00CC4FC9">
      <w:pPr>
        <w:spacing w:after="0" w:line="360" w:lineRule="auto"/>
      </w:pPr>
      <w:r>
        <w:rPr>
          <w:b/>
        </w:rPr>
        <w:t>VISTO</w:t>
      </w:r>
      <w:r>
        <w:t xml:space="preserve"> el expediente conformado con motivo del Recurso de Revisión </w:t>
      </w:r>
      <w:r w:rsidR="006F0AD6" w:rsidRPr="00CC4FC9">
        <w:t>06411/INFOEM/IP/RR/2025</w:t>
      </w:r>
      <w:r w:rsidRPr="00CC4FC9">
        <w:t xml:space="preserve">, interpuesto por </w:t>
      </w:r>
      <w:r w:rsidR="00C973D8">
        <w:t>la persona</w:t>
      </w:r>
      <w:r w:rsidRPr="00CC4FC9">
        <w:t>, Recurrente o Particular, en contra de la respuesta del Sujeto Ob</w:t>
      </w:r>
      <w:r w:rsidR="000539C6" w:rsidRPr="00CC4FC9">
        <w:t xml:space="preserve">ligado, Ayuntamiento de </w:t>
      </w:r>
      <w:r w:rsidR="00CC4FC9" w:rsidRPr="00CC4FC9">
        <w:t>Toluca, a</w:t>
      </w:r>
      <w:r w:rsidR="006609D1" w:rsidRPr="00CC4FC9">
        <w:t xml:space="preserve"> la solicitud de información 02130/TOLUCA/IP/2025,</w:t>
      </w:r>
      <w:r w:rsidR="006609D1">
        <w:rPr>
          <w:bCs/>
        </w:rPr>
        <w:t xml:space="preserve"> </w:t>
      </w:r>
      <w:r w:rsidRPr="00591A5E">
        <w:rPr>
          <w:bCs/>
        </w:rPr>
        <w:t>se emite la presente</w:t>
      </w:r>
      <w:r>
        <w:t xml:space="preserve"> Resolución, con base en los antecedentes y considerandos que se exponen a continuación:</w:t>
      </w:r>
    </w:p>
    <w:p w14:paraId="390DA2E9" w14:textId="77777777" w:rsidR="00C852C8" w:rsidRDefault="00C852C8" w:rsidP="00CC4FC9">
      <w:pPr>
        <w:spacing w:after="0" w:line="360" w:lineRule="auto"/>
      </w:pPr>
    </w:p>
    <w:p w14:paraId="5B2F9E2F" w14:textId="77777777" w:rsidR="00C852C8" w:rsidRDefault="007A27E3" w:rsidP="00CC4FC9">
      <w:pPr>
        <w:pStyle w:val="Ttulo1"/>
        <w:spacing w:before="0" w:after="0"/>
        <w:rPr>
          <w:sz w:val="22"/>
          <w:szCs w:val="22"/>
        </w:rPr>
      </w:pPr>
      <w:bookmarkStart w:id="0" w:name="_heading=h.1k1d9siyrucq" w:colFirst="0" w:colLast="0"/>
      <w:bookmarkEnd w:id="0"/>
      <w:r>
        <w:rPr>
          <w:sz w:val="22"/>
          <w:szCs w:val="22"/>
        </w:rPr>
        <w:t>A N T E C E D E N T E S</w:t>
      </w:r>
    </w:p>
    <w:p w14:paraId="4CD44D3C" w14:textId="77777777" w:rsidR="00C852C8" w:rsidRDefault="00C852C8" w:rsidP="00CC4FC9">
      <w:pPr>
        <w:spacing w:after="0" w:line="360" w:lineRule="auto"/>
      </w:pPr>
      <w:bookmarkStart w:id="1" w:name="_heading=h.gjdgxs" w:colFirst="0" w:colLast="0"/>
      <w:bookmarkEnd w:id="1"/>
    </w:p>
    <w:p w14:paraId="07A3E0AD" w14:textId="77777777" w:rsidR="00C852C8" w:rsidRDefault="007A27E3" w:rsidP="00CC4FC9">
      <w:pPr>
        <w:pStyle w:val="Ttulo2"/>
        <w:spacing w:before="0" w:after="0"/>
      </w:pPr>
      <w:bookmarkStart w:id="2" w:name="_heading=h.jwv7oi2eb39m" w:colFirst="0" w:colLast="0"/>
      <w:bookmarkEnd w:id="2"/>
      <w:r>
        <w:t>I. Presentación de la solicitud de información</w:t>
      </w:r>
    </w:p>
    <w:p w14:paraId="34EEF336" w14:textId="77777777" w:rsidR="00C852C8" w:rsidRDefault="00C852C8" w:rsidP="00CC4FC9">
      <w:pPr>
        <w:tabs>
          <w:tab w:val="left" w:pos="567"/>
        </w:tabs>
        <w:spacing w:after="0" w:line="360" w:lineRule="auto"/>
      </w:pPr>
    </w:p>
    <w:p w14:paraId="4DF53875" w14:textId="5FEDE055" w:rsidR="00C852C8" w:rsidRDefault="007A27E3" w:rsidP="00CC4FC9">
      <w:pPr>
        <w:spacing w:after="0" w:line="360" w:lineRule="auto"/>
      </w:pPr>
      <w:bookmarkStart w:id="3" w:name="_heading=h.7z2hm1dstc2n" w:colFirst="0" w:colLast="0"/>
      <w:bookmarkEnd w:id="3"/>
      <w:r>
        <w:t>Con f</w:t>
      </w:r>
      <w:r w:rsidR="000539C6">
        <w:t>echa diez</w:t>
      </w:r>
      <w:r>
        <w:t xml:space="preserve"> de abril de dos mil veinticinco</w:t>
      </w:r>
      <w:r w:rsidR="000539C6">
        <w:t>, el</w:t>
      </w:r>
      <w:r>
        <w:t xml:space="preserve"> Solicitante presentó una solicitud de acceso a la información pública, a través del Sistema de Acceso a la Información Mexiquense, en lo sucesivo el SAIMEX, </w:t>
      </w:r>
      <w:r w:rsidR="00C91E44">
        <w:t>ante el Ayuntamiento de Toluca</w:t>
      </w:r>
      <w:r>
        <w:t>, en la que requirió lo siguiente:</w:t>
      </w:r>
    </w:p>
    <w:p w14:paraId="5383B22D" w14:textId="77777777" w:rsidR="00C852C8" w:rsidRDefault="00C852C8" w:rsidP="00CC4FC9">
      <w:pPr>
        <w:spacing w:after="0" w:line="360" w:lineRule="auto"/>
      </w:pPr>
    </w:p>
    <w:p w14:paraId="7481BDE2" w14:textId="77777777" w:rsidR="00C852C8" w:rsidRDefault="007A27E3" w:rsidP="00CC4FC9">
      <w:pPr>
        <w:tabs>
          <w:tab w:val="left" w:pos="567"/>
        </w:tabs>
        <w:spacing w:after="0" w:line="360" w:lineRule="auto"/>
        <w:ind w:left="567" w:right="709"/>
        <w:rPr>
          <w:b/>
          <w:sz w:val="20"/>
          <w:szCs w:val="20"/>
        </w:rPr>
      </w:pPr>
      <w:r>
        <w:rPr>
          <w:b/>
          <w:sz w:val="20"/>
          <w:szCs w:val="20"/>
        </w:rPr>
        <w:t>DESCRIPCIÓN CLARA Y PRECISA DE LA INFORMACIÓN SOLICITADA</w:t>
      </w:r>
    </w:p>
    <w:p w14:paraId="305E7938" w14:textId="3C452C07" w:rsidR="00C852C8" w:rsidRDefault="007A27E3" w:rsidP="00CC4FC9">
      <w:pPr>
        <w:tabs>
          <w:tab w:val="left" w:pos="4667"/>
        </w:tabs>
        <w:spacing w:after="0" w:line="360" w:lineRule="auto"/>
        <w:ind w:left="567" w:right="709"/>
        <w:rPr>
          <w:i/>
          <w:sz w:val="20"/>
          <w:szCs w:val="20"/>
        </w:rPr>
      </w:pPr>
      <w:r>
        <w:rPr>
          <w:i/>
          <w:sz w:val="20"/>
          <w:szCs w:val="20"/>
        </w:rPr>
        <w:t>“</w:t>
      </w:r>
      <w:r w:rsidR="00C91E44" w:rsidRPr="00C91E44">
        <w:rPr>
          <w:i/>
          <w:sz w:val="20"/>
          <w:szCs w:val="20"/>
        </w:rPr>
        <w:t>Nomina del personal de la contraloria de enero a octubre 2023</w:t>
      </w:r>
      <w:r>
        <w:rPr>
          <w:i/>
          <w:sz w:val="20"/>
          <w:szCs w:val="20"/>
        </w:rPr>
        <w:t>.” (Sic.)</w:t>
      </w:r>
    </w:p>
    <w:p w14:paraId="335D2566" w14:textId="77777777" w:rsidR="00C852C8" w:rsidRDefault="00C852C8" w:rsidP="00CC4FC9">
      <w:pPr>
        <w:tabs>
          <w:tab w:val="left" w:pos="4667"/>
        </w:tabs>
        <w:spacing w:after="0" w:line="360" w:lineRule="auto"/>
        <w:ind w:left="567" w:right="709"/>
        <w:rPr>
          <w:b/>
          <w:sz w:val="20"/>
          <w:szCs w:val="20"/>
        </w:rPr>
      </w:pPr>
    </w:p>
    <w:p w14:paraId="17707B8B" w14:textId="77777777" w:rsidR="00C852C8" w:rsidRDefault="007A27E3" w:rsidP="00CC4FC9">
      <w:pPr>
        <w:tabs>
          <w:tab w:val="left" w:pos="4667"/>
        </w:tabs>
        <w:spacing w:after="0" w:line="360" w:lineRule="auto"/>
        <w:ind w:left="567" w:right="709"/>
        <w:rPr>
          <w:b/>
          <w:sz w:val="20"/>
          <w:szCs w:val="20"/>
        </w:rPr>
      </w:pPr>
      <w:r>
        <w:rPr>
          <w:b/>
          <w:sz w:val="20"/>
          <w:szCs w:val="20"/>
        </w:rPr>
        <w:t xml:space="preserve">MODALIDAD DE ENTREGA </w:t>
      </w:r>
      <w:r>
        <w:rPr>
          <w:i/>
          <w:sz w:val="20"/>
          <w:szCs w:val="20"/>
        </w:rPr>
        <w:t>“A través del SAIMEX.”</w:t>
      </w:r>
    </w:p>
    <w:p w14:paraId="514053E5" w14:textId="77777777" w:rsidR="00C852C8" w:rsidRDefault="00C852C8" w:rsidP="00CC4FC9">
      <w:pPr>
        <w:tabs>
          <w:tab w:val="left" w:pos="4667"/>
        </w:tabs>
        <w:spacing w:after="0" w:line="360" w:lineRule="auto"/>
        <w:ind w:right="709"/>
        <w:rPr>
          <w:i/>
        </w:rPr>
      </w:pPr>
    </w:p>
    <w:p w14:paraId="2BDF4E36" w14:textId="77777777" w:rsidR="00C852C8" w:rsidRDefault="007A27E3" w:rsidP="00CC4FC9">
      <w:pPr>
        <w:pStyle w:val="Ttulo2"/>
        <w:spacing w:before="0" w:after="0"/>
      </w:pPr>
      <w:bookmarkStart w:id="4" w:name="_heading=h.8wpjkdb69d8v" w:colFirst="0" w:colLast="0"/>
      <w:bookmarkEnd w:id="4"/>
      <w:r>
        <w:t>II. Respuesta del Sujeto Obligado</w:t>
      </w:r>
    </w:p>
    <w:p w14:paraId="30C8352D" w14:textId="77777777" w:rsidR="00C852C8" w:rsidRDefault="00C852C8" w:rsidP="00CC4FC9">
      <w:pPr>
        <w:spacing w:after="0" w:line="360" w:lineRule="auto"/>
      </w:pPr>
    </w:p>
    <w:p w14:paraId="604E4339" w14:textId="42970014" w:rsidR="00C852C8" w:rsidRDefault="007A27E3" w:rsidP="00CC4FC9">
      <w:pPr>
        <w:spacing w:after="0" w:line="360" w:lineRule="auto"/>
      </w:pPr>
      <w:r w:rsidRPr="009E383A">
        <w:lastRenderedPageBreak/>
        <w:t>El trece de mayo de dos mil veinticinco, el Sujeto Obligado a través</w:t>
      </w:r>
      <w:r w:rsidR="009E383A">
        <w:t xml:space="preserve"> de SAIMEX, dio respuesta mediante la remisión del Titular de la Unidad de Transparencia donde </w:t>
      </w:r>
      <w:r w:rsidR="00DC3FCE">
        <w:t xml:space="preserve"> refiere que la Dirección de Recursos Humanos informó que no se encontró registro de la información solicitada.</w:t>
      </w:r>
    </w:p>
    <w:p w14:paraId="35A14D15" w14:textId="77777777" w:rsidR="009E383A" w:rsidRDefault="009E383A" w:rsidP="00CC4FC9">
      <w:pPr>
        <w:pStyle w:val="Ttulo2"/>
        <w:spacing w:before="0" w:after="0"/>
        <w:rPr>
          <w:b w:val="0"/>
        </w:rPr>
      </w:pPr>
      <w:bookmarkStart w:id="5" w:name="_heading=h.rgruugl3zmnf" w:colFirst="0" w:colLast="0"/>
      <w:bookmarkEnd w:id="5"/>
    </w:p>
    <w:p w14:paraId="3575CCDB" w14:textId="77777777" w:rsidR="00C852C8" w:rsidRDefault="007A27E3" w:rsidP="00CC4FC9">
      <w:pPr>
        <w:pStyle w:val="Ttulo2"/>
        <w:spacing w:before="0" w:after="0"/>
      </w:pPr>
      <w:r>
        <w:t>III. Interposición del Recurso de Revisión</w:t>
      </w:r>
    </w:p>
    <w:p w14:paraId="0340BDA9" w14:textId="77777777" w:rsidR="00C852C8" w:rsidRDefault="00C852C8" w:rsidP="00CC4FC9">
      <w:pPr>
        <w:spacing w:after="0" w:line="360" w:lineRule="auto"/>
        <w:rPr>
          <w:b/>
        </w:rPr>
      </w:pPr>
    </w:p>
    <w:p w14:paraId="65B8B689" w14:textId="7E0FE8B3" w:rsidR="00C852C8" w:rsidRDefault="007A27E3" w:rsidP="00CC4FC9">
      <w:pPr>
        <w:spacing w:after="0" w:line="360" w:lineRule="auto"/>
      </w:pPr>
      <w:bookmarkStart w:id="6" w:name="_heading=h.2et92p0" w:colFirst="0" w:colLast="0"/>
      <w:bookmarkEnd w:id="6"/>
      <w:r>
        <w:t>Con fecha dos de junio de dos mil veinticinco, se recibió a través del SAIMEX, el Recurso de Revisión interpuesto por la persona Recurrente, en los siguientes términos:</w:t>
      </w:r>
    </w:p>
    <w:p w14:paraId="7A3FA42C" w14:textId="77777777" w:rsidR="00C852C8" w:rsidRDefault="00C852C8" w:rsidP="00CC4FC9">
      <w:pPr>
        <w:spacing w:after="0" w:line="360" w:lineRule="auto"/>
      </w:pPr>
    </w:p>
    <w:p w14:paraId="768A2D3C" w14:textId="77777777" w:rsidR="00C852C8" w:rsidRDefault="007A27E3" w:rsidP="00CC4FC9">
      <w:pPr>
        <w:spacing w:after="0" w:line="360" w:lineRule="auto"/>
        <w:ind w:left="567" w:right="709"/>
        <w:rPr>
          <w:b/>
          <w:sz w:val="20"/>
          <w:szCs w:val="20"/>
        </w:rPr>
      </w:pPr>
      <w:r>
        <w:rPr>
          <w:b/>
          <w:sz w:val="20"/>
          <w:szCs w:val="20"/>
        </w:rPr>
        <w:t>ACTO IMPUGNADO</w:t>
      </w:r>
      <w:r>
        <w:rPr>
          <w:b/>
          <w:sz w:val="20"/>
          <w:szCs w:val="20"/>
        </w:rPr>
        <w:tab/>
      </w:r>
    </w:p>
    <w:p w14:paraId="2DF63D60" w14:textId="7A282E54" w:rsidR="00C852C8" w:rsidRDefault="007A27E3" w:rsidP="00CC4FC9">
      <w:pPr>
        <w:spacing w:after="0" w:line="360" w:lineRule="auto"/>
        <w:ind w:left="567" w:right="709"/>
        <w:rPr>
          <w:b/>
          <w:sz w:val="20"/>
          <w:szCs w:val="20"/>
        </w:rPr>
      </w:pPr>
      <w:r>
        <w:rPr>
          <w:i/>
          <w:sz w:val="20"/>
          <w:szCs w:val="20"/>
        </w:rPr>
        <w:t>“</w:t>
      </w:r>
      <w:r w:rsidRPr="007A27E3">
        <w:rPr>
          <w:i/>
          <w:sz w:val="20"/>
          <w:szCs w:val="20"/>
        </w:rPr>
        <w:t>EL SUJETO OBLIGADO EL MAS OPACO DE LAS ADMINISTRACIONES DE TOLUCA NIEGA LA INFROMACIÓN QUE DEBEN TENER</w:t>
      </w:r>
      <w:r>
        <w:rPr>
          <w:i/>
          <w:sz w:val="20"/>
          <w:szCs w:val="20"/>
        </w:rPr>
        <w:t>” (Sic)</w:t>
      </w:r>
    </w:p>
    <w:p w14:paraId="5A9D58FA" w14:textId="77777777" w:rsidR="00C852C8" w:rsidRDefault="00C852C8" w:rsidP="00CC4FC9">
      <w:pPr>
        <w:spacing w:after="0" w:line="360" w:lineRule="auto"/>
        <w:ind w:left="567" w:right="709"/>
        <w:rPr>
          <w:sz w:val="20"/>
          <w:szCs w:val="20"/>
        </w:rPr>
      </w:pPr>
    </w:p>
    <w:p w14:paraId="616B4523" w14:textId="77777777" w:rsidR="00C852C8" w:rsidRDefault="007A27E3" w:rsidP="00CC4FC9">
      <w:pPr>
        <w:spacing w:after="0" w:line="360" w:lineRule="auto"/>
        <w:ind w:left="567" w:right="709"/>
        <w:rPr>
          <w:b/>
          <w:sz w:val="20"/>
          <w:szCs w:val="20"/>
        </w:rPr>
      </w:pPr>
      <w:r>
        <w:rPr>
          <w:b/>
          <w:sz w:val="20"/>
          <w:szCs w:val="20"/>
        </w:rPr>
        <w:t>RAZONES O MOTIVOS DE LA INCONFORMIDAD</w:t>
      </w:r>
      <w:r>
        <w:rPr>
          <w:b/>
          <w:sz w:val="20"/>
          <w:szCs w:val="20"/>
        </w:rPr>
        <w:tab/>
      </w:r>
    </w:p>
    <w:p w14:paraId="6B483324" w14:textId="1D8B0AC0" w:rsidR="00C852C8" w:rsidRDefault="007A27E3" w:rsidP="00CC4FC9">
      <w:pPr>
        <w:tabs>
          <w:tab w:val="left" w:pos="4667"/>
        </w:tabs>
        <w:spacing w:after="0" w:line="360" w:lineRule="auto"/>
        <w:ind w:left="567" w:right="709"/>
        <w:rPr>
          <w:i/>
          <w:sz w:val="20"/>
          <w:szCs w:val="20"/>
        </w:rPr>
      </w:pPr>
      <w:r>
        <w:rPr>
          <w:i/>
          <w:sz w:val="20"/>
          <w:szCs w:val="20"/>
        </w:rPr>
        <w:t>“</w:t>
      </w:r>
      <w:r w:rsidR="002E5260">
        <w:rPr>
          <w:i/>
          <w:sz w:val="20"/>
          <w:szCs w:val="20"/>
        </w:rPr>
        <w:t>N</w:t>
      </w:r>
      <w:r w:rsidRPr="007A27E3">
        <w:rPr>
          <w:i/>
          <w:sz w:val="20"/>
          <w:szCs w:val="20"/>
        </w:rPr>
        <w:t>IEGAN LA INFORMAICÓN QUE DEBE ESTAR EN SU PODER O QUE DECLAREN LA INEXISTENCIA</w:t>
      </w:r>
      <w:r>
        <w:rPr>
          <w:i/>
          <w:sz w:val="20"/>
          <w:szCs w:val="20"/>
        </w:rPr>
        <w:t>” (Sic)</w:t>
      </w:r>
    </w:p>
    <w:p w14:paraId="4BDEEDB4" w14:textId="77777777" w:rsidR="00C852C8" w:rsidRDefault="00C852C8" w:rsidP="00CC4FC9">
      <w:pPr>
        <w:tabs>
          <w:tab w:val="left" w:pos="4667"/>
        </w:tabs>
        <w:spacing w:after="0" w:line="360" w:lineRule="auto"/>
      </w:pPr>
    </w:p>
    <w:p w14:paraId="4251F585" w14:textId="77777777" w:rsidR="00C852C8" w:rsidRDefault="007A27E3" w:rsidP="00CC4FC9">
      <w:pPr>
        <w:pStyle w:val="Ttulo2"/>
        <w:spacing w:before="0" w:after="0"/>
      </w:pPr>
      <w:bookmarkStart w:id="7" w:name="_heading=h.8cs6kdaeemce" w:colFirst="0" w:colLast="0"/>
      <w:bookmarkEnd w:id="7"/>
      <w:r>
        <w:t>IV. Trámite del Recurso de Revisión ante este Instituto</w:t>
      </w:r>
    </w:p>
    <w:p w14:paraId="5D44D511" w14:textId="77777777" w:rsidR="00C852C8" w:rsidRDefault="00C852C8" w:rsidP="00CC4FC9">
      <w:pPr>
        <w:spacing w:after="0" w:line="360" w:lineRule="auto"/>
        <w:rPr>
          <w:b/>
        </w:rPr>
      </w:pPr>
    </w:p>
    <w:p w14:paraId="34AEE0A4" w14:textId="1D630484" w:rsidR="00C852C8" w:rsidRDefault="007A27E3" w:rsidP="00CC4FC9">
      <w:pPr>
        <w:spacing w:after="0" w:line="360" w:lineRule="auto"/>
      </w:pPr>
      <w:r>
        <w:rPr>
          <w:b/>
        </w:rPr>
        <w:t>a) Turno del Medio de Impugnación.</w:t>
      </w:r>
      <w:r>
        <w:t xml:space="preserve"> El </w:t>
      </w:r>
      <w:r w:rsidR="002E5260" w:rsidRPr="002E5260">
        <w:t>dos de junio de dos mil veinticinco</w:t>
      </w:r>
      <w:r>
        <w:t>, el SAIMEX, asignó el número de expediente</w:t>
      </w:r>
      <w:r>
        <w:rPr>
          <w:b/>
        </w:rPr>
        <w:t xml:space="preserve"> </w:t>
      </w:r>
      <w:r w:rsidR="006F0AD6" w:rsidRPr="006F0AD6">
        <w:rPr>
          <w:b/>
        </w:rPr>
        <w:t>06411/INFOEM/IP/RR/2025</w:t>
      </w:r>
      <w:r>
        <w:rPr>
          <w:b/>
        </w:rPr>
        <w:t xml:space="preserve">, </w:t>
      </w:r>
      <w:r>
        <w:t>al med</w:t>
      </w:r>
      <w:r w:rsidR="002E5260">
        <w:t>io de impugnación que nos ocupa</w:t>
      </w:r>
      <w:r>
        <w:t>,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33ECC9E6" w14:textId="77777777" w:rsidR="00C852C8" w:rsidRDefault="00C852C8" w:rsidP="00CC4FC9">
      <w:pPr>
        <w:spacing w:after="0" w:line="360" w:lineRule="auto"/>
      </w:pPr>
    </w:p>
    <w:p w14:paraId="1E0A39A0" w14:textId="26E59583" w:rsidR="00C852C8" w:rsidRDefault="007A27E3" w:rsidP="00CC4FC9">
      <w:pPr>
        <w:spacing w:after="0" w:line="360" w:lineRule="auto"/>
      </w:pPr>
      <w:r>
        <w:rPr>
          <w:b/>
        </w:rPr>
        <w:t>b) Admisión del Recurso de Revisión.</w:t>
      </w:r>
      <w:r w:rsidR="002E5260">
        <w:t xml:space="preserve"> El cinco</w:t>
      </w:r>
      <w:r>
        <w:t xml:space="preserve"> de junio de dos mil veinticinco, se acordó la admisión del Recurso de Revisión interpuesto por la persona Recurrente en contra del Sujeto </w:t>
      </w:r>
      <w:r>
        <w:lastRenderedPageBreak/>
        <w:t>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09516407" w14:textId="77777777" w:rsidR="00C852C8" w:rsidRDefault="00C852C8" w:rsidP="00CC4FC9">
      <w:pPr>
        <w:spacing w:after="0" w:line="360" w:lineRule="auto"/>
      </w:pPr>
    </w:p>
    <w:p w14:paraId="12771D2A" w14:textId="3111F130" w:rsidR="00C852C8" w:rsidRDefault="007A27E3" w:rsidP="00CC4FC9">
      <w:pPr>
        <w:spacing w:after="0" w:line="360" w:lineRule="auto"/>
      </w:pPr>
      <w:r>
        <w:rPr>
          <w:b/>
        </w:rPr>
        <w:t xml:space="preserve">c) Informe Justificado. </w:t>
      </w:r>
      <w:r w:rsidR="00D5379A">
        <w:t>En fecha dieciséis</w:t>
      </w:r>
      <w:r>
        <w:t xml:space="preserve"> de junio de dos mil veinticinco, el Sujeto Obligado rindió informe justificado a través de SAIMEX, </w:t>
      </w:r>
      <w:r w:rsidR="00D5379A">
        <w:t>donde ratificó su respuesta.</w:t>
      </w:r>
    </w:p>
    <w:p w14:paraId="0C40C310" w14:textId="77777777" w:rsidR="00D5379A" w:rsidRDefault="00D5379A" w:rsidP="00CC4FC9">
      <w:pPr>
        <w:spacing w:after="0" w:line="360" w:lineRule="auto"/>
      </w:pPr>
    </w:p>
    <w:p w14:paraId="66FB57A2" w14:textId="7BC33E7A" w:rsidR="00C852C8" w:rsidRDefault="00D5379A" w:rsidP="00CC4FC9">
      <w:pPr>
        <w:spacing w:after="0" w:line="360" w:lineRule="auto"/>
      </w:pPr>
      <w:r>
        <w:rPr>
          <w:b/>
        </w:rPr>
        <w:t>d</w:t>
      </w:r>
      <w:r w:rsidR="007A27E3">
        <w:rPr>
          <w:b/>
        </w:rPr>
        <w:t xml:space="preserve">) Manifestaciones de la parte Recurrente. </w:t>
      </w:r>
      <w:r w:rsidR="007A27E3">
        <w:t xml:space="preserve">De las constancias que obran en el SAIMEX, se advierte que la parte Recurrente no añadió manifestaciones. </w:t>
      </w:r>
    </w:p>
    <w:p w14:paraId="535DCD86" w14:textId="77777777" w:rsidR="00C852C8" w:rsidRDefault="00C852C8" w:rsidP="00CC4FC9">
      <w:pPr>
        <w:spacing w:after="0" w:line="360" w:lineRule="auto"/>
      </w:pPr>
    </w:p>
    <w:p w14:paraId="14EACB0C" w14:textId="30B2404B" w:rsidR="00165919" w:rsidRPr="0019462A" w:rsidRDefault="00165919" w:rsidP="00CC4FC9">
      <w:pPr>
        <w:spacing w:after="0" w:line="360" w:lineRule="auto"/>
        <w:rPr>
          <w:lang w:val="es-ES"/>
        </w:rPr>
      </w:pPr>
      <w:r>
        <w:rPr>
          <w:b/>
        </w:rPr>
        <w:t>e</w:t>
      </w:r>
      <w:r w:rsidR="007A27E3">
        <w:rPr>
          <w:b/>
        </w:rPr>
        <w:t>)</w:t>
      </w:r>
      <w:r w:rsidR="007A27E3">
        <w:t xml:space="preserve"> </w:t>
      </w:r>
      <w:r w:rsidR="007A27E3">
        <w:rPr>
          <w:b/>
        </w:rPr>
        <w:t>Ampliación de plazo para resolver</w:t>
      </w:r>
      <w:r w:rsidR="007A27E3">
        <w:t xml:space="preserve">. El </w:t>
      </w:r>
      <w:r w:rsidR="00D5379A">
        <w:t xml:space="preserve">ocho de octubre </w:t>
      </w:r>
      <w:r w:rsidR="007A27E3">
        <w:t>de dos mil veinticinco,</w:t>
      </w:r>
      <w:r w:rsidRPr="0019462A">
        <w:rPr>
          <w:lang w:val="es-ES"/>
        </w:rPr>
        <w:t xml:space="preserve">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0E7C3B3E" w14:textId="77777777" w:rsidR="00165919" w:rsidRPr="0019462A" w:rsidRDefault="00165919" w:rsidP="00CC4FC9">
      <w:pPr>
        <w:spacing w:after="0" w:line="360" w:lineRule="auto"/>
        <w:rPr>
          <w:lang w:val="es-ES"/>
        </w:rPr>
      </w:pPr>
    </w:p>
    <w:p w14:paraId="4179BE51" w14:textId="49D865F0" w:rsidR="00C852C8" w:rsidRDefault="00165919" w:rsidP="00CC4FC9">
      <w:pPr>
        <w:spacing w:after="0" w:line="360" w:lineRule="auto"/>
      </w:pPr>
      <w:r>
        <w:rPr>
          <w:b/>
        </w:rPr>
        <w:t>f</w:t>
      </w:r>
      <w:r w:rsidR="007A27E3">
        <w:rPr>
          <w:b/>
        </w:rPr>
        <w:t>) Cierre de instrucción.</w:t>
      </w:r>
      <w:r w:rsidR="007A27E3">
        <w:t xml:space="preserve"> El </w:t>
      </w:r>
      <w:r w:rsidR="00D5379A">
        <w:t xml:space="preserve">catorce de octubre </w:t>
      </w:r>
      <w:r w:rsidR="007A27E3">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41594E05" w14:textId="77777777" w:rsidR="00165919" w:rsidRDefault="00165919" w:rsidP="00CC4FC9">
      <w:pPr>
        <w:spacing w:after="0" w:line="360" w:lineRule="auto"/>
      </w:pPr>
    </w:p>
    <w:p w14:paraId="3358F311" w14:textId="77777777" w:rsidR="00C852C8" w:rsidRDefault="007A27E3" w:rsidP="00CC4FC9">
      <w:pPr>
        <w:spacing w:after="0" w:line="360" w:lineRule="auto"/>
      </w:pPr>
      <w:r>
        <w:lastRenderedPageBreak/>
        <w:t xml:space="preserve">En razón de que fue debidamente sustanciado e integrado el expediente electrónico y no existir diligencia pendiente de desahogo, se emite la resolución que conforme a Derecho proceda, de acuerdo a los siguientes: </w:t>
      </w:r>
    </w:p>
    <w:p w14:paraId="76719D94" w14:textId="77777777" w:rsidR="00C852C8" w:rsidRDefault="00C852C8" w:rsidP="00CC4FC9">
      <w:pPr>
        <w:spacing w:after="0" w:line="360" w:lineRule="auto"/>
      </w:pPr>
    </w:p>
    <w:p w14:paraId="7FB71EC3" w14:textId="77777777" w:rsidR="00C852C8" w:rsidRDefault="007A27E3" w:rsidP="00CC4FC9">
      <w:pPr>
        <w:pStyle w:val="Ttulo1"/>
        <w:spacing w:before="0" w:after="0"/>
        <w:rPr>
          <w:sz w:val="22"/>
          <w:szCs w:val="22"/>
        </w:rPr>
      </w:pPr>
      <w:bookmarkStart w:id="8" w:name="_heading=h.m1fylfltk2li" w:colFirst="0" w:colLast="0"/>
      <w:bookmarkEnd w:id="8"/>
      <w:r>
        <w:rPr>
          <w:sz w:val="22"/>
          <w:szCs w:val="22"/>
        </w:rPr>
        <w:t>C O N S I D E R A N D O S</w:t>
      </w:r>
    </w:p>
    <w:p w14:paraId="2F24238A" w14:textId="77777777" w:rsidR="00C852C8" w:rsidRDefault="00C852C8" w:rsidP="00CC4FC9">
      <w:pPr>
        <w:spacing w:after="0" w:line="360" w:lineRule="auto"/>
        <w:rPr>
          <w:b/>
        </w:rPr>
      </w:pPr>
    </w:p>
    <w:p w14:paraId="187432FC" w14:textId="77777777" w:rsidR="00C852C8" w:rsidRDefault="007A27E3" w:rsidP="00CC4FC9">
      <w:pPr>
        <w:pStyle w:val="Ttulo2"/>
        <w:spacing w:before="0" w:after="0"/>
      </w:pPr>
      <w:bookmarkStart w:id="9" w:name="_heading=h.5rj9ebvyy73w" w:colFirst="0" w:colLast="0"/>
      <w:bookmarkEnd w:id="9"/>
      <w:r>
        <w:t>PRIMERO. Competencia</w:t>
      </w:r>
    </w:p>
    <w:p w14:paraId="3CD4BCD2" w14:textId="77777777" w:rsidR="00C852C8" w:rsidRDefault="00C852C8" w:rsidP="00CC4FC9">
      <w:pPr>
        <w:spacing w:after="0" w:line="360" w:lineRule="auto"/>
      </w:pPr>
    </w:p>
    <w:p w14:paraId="485CA4DF" w14:textId="793AEF0E" w:rsidR="00C852C8" w:rsidRDefault="007A27E3" w:rsidP="00CC4FC9">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w:t>
      </w:r>
      <w:r w:rsidR="00CC4FC9">
        <w:t>,</w:t>
      </w:r>
      <w:r>
        <w:t xml:space="preserve"> 36, fracciones I y II; 176, 178, 179, 181 párrafo tercero, 185, 188 y 189 de la Ley Transparencia y Acceso a la Información Pública del Estado de México y Municipios</w:t>
      </w:r>
      <w:r w:rsidR="00CC4FC9">
        <w:t>;</w:t>
      </w:r>
      <w:r>
        <w:t xml:space="preserve"> 7°, 9°, fracciones I y XXIII y 11 del Reglamento Interior del Instituto de Transparencia, Acceso a la Información Pública y Protección de Datos Personales del Estado de México y Municipios.</w:t>
      </w:r>
    </w:p>
    <w:p w14:paraId="252DDE06" w14:textId="77777777" w:rsidR="00C852C8" w:rsidRDefault="00C852C8" w:rsidP="00CC4FC9">
      <w:pPr>
        <w:spacing w:after="0" w:line="360" w:lineRule="auto"/>
      </w:pPr>
    </w:p>
    <w:p w14:paraId="6BAB4BF1" w14:textId="77777777" w:rsidR="00C852C8" w:rsidRDefault="007A27E3" w:rsidP="00CC4FC9">
      <w:pPr>
        <w:pStyle w:val="Ttulo2"/>
        <w:spacing w:before="0" w:after="0"/>
      </w:pPr>
      <w:bookmarkStart w:id="10" w:name="_heading=h.n2eqkaenvu4k" w:colFirst="0" w:colLast="0"/>
      <w:bookmarkEnd w:id="10"/>
      <w:r>
        <w:t>SEGUNDO. Causales de improcedencia y sobreseimiento</w:t>
      </w:r>
    </w:p>
    <w:p w14:paraId="258D4C7F" w14:textId="77777777" w:rsidR="00C852C8" w:rsidRDefault="00C852C8" w:rsidP="00CC4FC9">
      <w:pPr>
        <w:spacing w:after="0" w:line="360" w:lineRule="auto"/>
      </w:pPr>
    </w:p>
    <w:p w14:paraId="38BC6600" w14:textId="77777777" w:rsidR="00C852C8" w:rsidRDefault="007A27E3" w:rsidP="00CC4FC9">
      <w:pPr>
        <w:spacing w:after="0" w:line="360" w:lineRule="auto"/>
      </w:pPr>
      <w:r>
        <w:t xml:space="preserve">De las constancias que forman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2EA1DAE1" w14:textId="77777777" w:rsidR="00C852C8" w:rsidRDefault="00C852C8" w:rsidP="00CC4FC9">
      <w:pPr>
        <w:spacing w:after="0" w:line="360" w:lineRule="auto"/>
      </w:pPr>
    </w:p>
    <w:p w14:paraId="1256AB27" w14:textId="77777777" w:rsidR="00C852C8" w:rsidRDefault="007A27E3" w:rsidP="00CC4FC9">
      <w:pPr>
        <w:spacing w:after="0" w:line="360" w:lineRule="auto"/>
        <w:rPr>
          <w:b/>
        </w:rPr>
      </w:pPr>
      <w:r>
        <w:rPr>
          <w:b/>
        </w:rPr>
        <w:t>Causales de improcedencia</w:t>
      </w:r>
    </w:p>
    <w:p w14:paraId="21F0C09A" w14:textId="77777777" w:rsidR="00C852C8" w:rsidRDefault="00C852C8" w:rsidP="00CC4FC9">
      <w:pPr>
        <w:spacing w:after="0" w:line="360" w:lineRule="auto"/>
      </w:pPr>
    </w:p>
    <w:p w14:paraId="2C1987B9" w14:textId="77777777" w:rsidR="00C852C8" w:rsidRDefault="007A27E3" w:rsidP="00CC4FC9">
      <w:pPr>
        <w:spacing w:after="0" w:line="360" w:lineRule="auto"/>
      </w:pPr>
      <w:r>
        <w:lastRenderedPageBreak/>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Pr>
          <w:b/>
        </w:rPr>
        <w:t xml:space="preserve"> </w:t>
      </w:r>
      <w: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6A788B63" w14:textId="77777777" w:rsidR="00C852C8" w:rsidRDefault="00C852C8" w:rsidP="00CC4FC9">
      <w:pPr>
        <w:spacing w:after="0" w:line="360" w:lineRule="auto"/>
      </w:pPr>
    </w:p>
    <w:p w14:paraId="2D88443C" w14:textId="77777777" w:rsidR="00C852C8" w:rsidRDefault="007A27E3" w:rsidP="00CC4FC9">
      <w:pPr>
        <w:spacing w:after="0" w:line="360" w:lineRule="auto"/>
      </w:pPr>
      <w:r>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FAE8185" w14:textId="77777777" w:rsidR="00C852C8" w:rsidRDefault="00C852C8" w:rsidP="00CC4FC9">
      <w:pPr>
        <w:spacing w:after="0" w:line="360" w:lineRule="auto"/>
        <w:rPr>
          <w:b/>
        </w:rPr>
      </w:pPr>
    </w:p>
    <w:p w14:paraId="44ABAF59" w14:textId="77777777" w:rsidR="00C852C8" w:rsidRDefault="007A27E3" w:rsidP="00CC4FC9">
      <w:pPr>
        <w:spacing w:after="0" w:line="360" w:lineRule="auto"/>
        <w:ind w:right="-28"/>
        <w:rPr>
          <w:b/>
        </w:rPr>
      </w:pPr>
      <w:r>
        <w:rPr>
          <w:b/>
        </w:rPr>
        <w:t>Causales de sobreseimiento</w:t>
      </w:r>
    </w:p>
    <w:p w14:paraId="0972AF9E" w14:textId="77777777" w:rsidR="00C852C8" w:rsidRDefault="00C852C8" w:rsidP="00CC4FC9">
      <w:pPr>
        <w:spacing w:after="0" w:line="360" w:lineRule="auto"/>
        <w:ind w:right="-28"/>
      </w:pPr>
    </w:p>
    <w:p w14:paraId="0FC8026A" w14:textId="77777777" w:rsidR="00C852C8" w:rsidRDefault="007A27E3" w:rsidP="00CC4FC9">
      <w:pPr>
        <w:spacing w:after="0" w:line="360" w:lineRule="auto"/>
      </w:pPr>
      <w: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Pr>
          <w:b/>
        </w:rPr>
        <w:t xml:space="preserve"> </w:t>
      </w:r>
      <w:r>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071150F6" w14:textId="77777777" w:rsidR="00C852C8" w:rsidRDefault="00C852C8" w:rsidP="00CC4FC9">
      <w:pPr>
        <w:spacing w:after="0" w:line="360" w:lineRule="auto"/>
      </w:pPr>
    </w:p>
    <w:p w14:paraId="3E5BA68A" w14:textId="77777777" w:rsidR="00C852C8" w:rsidRDefault="007A27E3" w:rsidP="00CC4FC9">
      <w:pPr>
        <w:pStyle w:val="Ttulo2"/>
        <w:spacing w:before="0" w:after="0"/>
      </w:pPr>
      <w:bookmarkStart w:id="11" w:name="_heading=h.oi0zmtpue24w" w:colFirst="0" w:colLast="0"/>
      <w:bookmarkEnd w:id="11"/>
      <w:r>
        <w:lastRenderedPageBreak/>
        <w:t>TERCERO. Determinación de la Controversia</w:t>
      </w:r>
    </w:p>
    <w:p w14:paraId="4D5343CE" w14:textId="77777777" w:rsidR="005D1C24" w:rsidRDefault="005D1C24" w:rsidP="00CC4FC9">
      <w:pPr>
        <w:tabs>
          <w:tab w:val="left" w:pos="4962"/>
        </w:tabs>
        <w:spacing w:after="0" w:line="360" w:lineRule="auto"/>
      </w:pPr>
    </w:p>
    <w:p w14:paraId="2EBAF360" w14:textId="77777777" w:rsidR="00CC4FC9" w:rsidRDefault="005D1C24" w:rsidP="00CC4FC9">
      <w:pPr>
        <w:tabs>
          <w:tab w:val="left" w:pos="4962"/>
        </w:tabs>
        <w:spacing w:after="0" w:line="360" w:lineRule="auto"/>
      </w:pPr>
      <w:r>
        <w:t>De las constancias que obran en el expediente electrónico, puede apreciarse que l</w:t>
      </w:r>
      <w:r w:rsidR="007A27E3">
        <w:t xml:space="preserve">a parte Solicitante requirió </w:t>
      </w:r>
      <w:r>
        <w:t>la n</w:t>
      </w:r>
      <w:r w:rsidRPr="005D1C24">
        <w:t xml:space="preserve">ómina del personal de la </w:t>
      </w:r>
      <w:r>
        <w:t>C</w:t>
      </w:r>
      <w:r w:rsidRPr="005D1C24">
        <w:t>ontraloría</w:t>
      </w:r>
      <w:r>
        <w:t xml:space="preserve"> de enero a octubre de dos mil veintitrés. </w:t>
      </w:r>
    </w:p>
    <w:p w14:paraId="7EC95BD1" w14:textId="77777777" w:rsidR="00CC4FC9" w:rsidRDefault="00CC4FC9" w:rsidP="00CC4FC9">
      <w:pPr>
        <w:tabs>
          <w:tab w:val="left" w:pos="4962"/>
        </w:tabs>
        <w:spacing w:after="0" w:line="360" w:lineRule="auto"/>
      </w:pPr>
    </w:p>
    <w:p w14:paraId="0302E730" w14:textId="3D3A58BF" w:rsidR="00C852C8" w:rsidRDefault="007A27E3" w:rsidP="00CC4FC9">
      <w:pPr>
        <w:tabs>
          <w:tab w:val="left" w:pos="4962"/>
        </w:tabs>
        <w:spacing w:after="0" w:line="360" w:lineRule="auto"/>
      </w:pPr>
      <w:r>
        <w:t>En respuesta,</w:t>
      </w:r>
      <w:r w:rsidR="00F80EC4">
        <w:t xml:space="preserve"> el Sujeto Obligado a través de</w:t>
      </w:r>
      <w:r>
        <w:t xml:space="preserve"> </w:t>
      </w:r>
      <w:r w:rsidR="00F80EC4" w:rsidRPr="00F80EC4">
        <w:t>la Dirección de Recursos Humanos informó que no se encontró regist</w:t>
      </w:r>
      <w:r w:rsidR="00F80EC4">
        <w:t xml:space="preserve">ro de la información solicitada; </w:t>
      </w:r>
      <w:r w:rsidR="00CC4FC9">
        <w:t>ante tal circunstancia</w:t>
      </w:r>
      <w:r w:rsidR="00F80EC4">
        <w:t xml:space="preserve"> el Particular </w:t>
      </w:r>
      <w:r>
        <w:t xml:space="preserve">se inconformó </w:t>
      </w:r>
      <w:r w:rsidR="00F80EC4">
        <w:t xml:space="preserve">de la </w:t>
      </w:r>
      <w:r w:rsidR="00CC4FC9">
        <w:t>inexistencia de la información</w:t>
      </w:r>
      <w:r w:rsidR="00F80EC4">
        <w:t xml:space="preserve">, lo cual </w:t>
      </w:r>
      <w:r>
        <w:t xml:space="preserve">actualiza la causal de procedencia señalada </w:t>
      </w:r>
      <w:r w:rsidR="00F80EC4">
        <w:t>en el artículo 179, fracci</w:t>
      </w:r>
      <w:r w:rsidR="00CC4FC9">
        <w:t>ón</w:t>
      </w:r>
      <w:r w:rsidR="00F80EC4">
        <w:t xml:space="preserve"> </w:t>
      </w:r>
      <w:r w:rsidR="00CC4FC9">
        <w:t>II</w:t>
      </w:r>
      <w:r w:rsidR="00F80EC4">
        <w:t>I</w:t>
      </w:r>
      <w:r>
        <w:t xml:space="preserve"> de la Ley de la materia; </w:t>
      </w:r>
      <w:r w:rsidR="00F80EC4">
        <w:t xml:space="preserve"> </w:t>
      </w:r>
    </w:p>
    <w:p w14:paraId="0FF1373B" w14:textId="77777777" w:rsidR="00F80EC4" w:rsidRDefault="00F80EC4" w:rsidP="00CC4FC9">
      <w:pPr>
        <w:tabs>
          <w:tab w:val="left" w:pos="4962"/>
        </w:tabs>
        <w:spacing w:after="0" w:line="360" w:lineRule="auto"/>
      </w:pPr>
    </w:p>
    <w:p w14:paraId="216BCC78" w14:textId="77777777" w:rsidR="00C852C8" w:rsidRDefault="007A27E3" w:rsidP="00CC4FC9">
      <w:pPr>
        <w:tabs>
          <w:tab w:val="left" w:pos="4962"/>
        </w:tabs>
        <w:spacing w:after="0" w:line="360" w:lineRule="auto"/>
      </w:pPr>
      <w: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F8FDBA2" w14:textId="77777777" w:rsidR="00C852C8" w:rsidRDefault="00C852C8" w:rsidP="00CC4FC9">
      <w:pPr>
        <w:spacing w:after="0" w:line="360" w:lineRule="auto"/>
      </w:pPr>
    </w:p>
    <w:p w14:paraId="0CE99DA3" w14:textId="77777777" w:rsidR="00C852C8" w:rsidRDefault="007A27E3" w:rsidP="00CC4FC9">
      <w:pPr>
        <w:pStyle w:val="Ttulo2"/>
        <w:spacing w:before="0" w:after="0"/>
      </w:pPr>
      <w:bookmarkStart w:id="12" w:name="_heading=h.3q9emk6kszpa" w:colFirst="0" w:colLast="0"/>
      <w:bookmarkEnd w:id="12"/>
      <w:r>
        <w:t>CUARTO. Marco normativo aplicable en materia de transparencia y acceso a la información pública</w:t>
      </w:r>
    </w:p>
    <w:p w14:paraId="79512A23" w14:textId="77777777" w:rsidR="00C852C8" w:rsidRDefault="00C852C8" w:rsidP="00CC4FC9">
      <w:pPr>
        <w:spacing w:after="0" w:line="360" w:lineRule="auto"/>
      </w:pPr>
    </w:p>
    <w:p w14:paraId="39CA7C33" w14:textId="77777777" w:rsidR="00C852C8" w:rsidRDefault="007A27E3" w:rsidP="00CC4FC9">
      <w:pPr>
        <w:spacing w:after="0" w:line="360" w:lineRule="auto"/>
      </w:pPr>
      <w: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80B7131" w14:textId="77777777" w:rsidR="00C852C8" w:rsidRDefault="00C852C8" w:rsidP="00CC4FC9">
      <w:pPr>
        <w:spacing w:after="0" w:line="360" w:lineRule="auto"/>
      </w:pPr>
    </w:p>
    <w:p w14:paraId="5A023546" w14:textId="77777777" w:rsidR="00C852C8" w:rsidRDefault="007A27E3" w:rsidP="00CC4FC9">
      <w:pPr>
        <w:spacing w:after="0" w:line="360" w:lineRule="auto"/>
      </w:pPr>
      <w:r>
        <w:t xml:space="preserve">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w:t>
      </w:r>
      <w:r>
        <w:lastRenderedPageBreak/>
        <w:t>público, así como la información referente a la intimidad de la vida privada y la imagen de las personas, con las excepciones que establezca la ley reglamentaria.</w:t>
      </w:r>
    </w:p>
    <w:p w14:paraId="21C29B6B" w14:textId="77777777" w:rsidR="00C852C8" w:rsidRDefault="00C852C8" w:rsidP="00CC4FC9">
      <w:pPr>
        <w:spacing w:after="0" w:line="360" w:lineRule="auto"/>
      </w:pPr>
    </w:p>
    <w:p w14:paraId="41D11B4F" w14:textId="77777777" w:rsidR="00C852C8" w:rsidRDefault="007A27E3" w:rsidP="00CC4FC9">
      <w:pPr>
        <w:spacing w:after="0" w:line="360" w:lineRule="auto"/>
      </w:pPr>
      <w:r>
        <w:t>Por su parte, la Ley de Transparencia y Acceso a la Información Pública del Estado de México y Municipios (Reglamentaria del artículo 5° de la Constitución Local), establece lo siguiente:</w:t>
      </w:r>
    </w:p>
    <w:p w14:paraId="0E116B76" w14:textId="77777777" w:rsidR="00C852C8" w:rsidRDefault="00C852C8" w:rsidP="00CC4FC9">
      <w:pPr>
        <w:spacing w:after="0" w:line="360" w:lineRule="auto"/>
      </w:pPr>
    </w:p>
    <w:p w14:paraId="4D544577" w14:textId="77777777" w:rsidR="00C852C8" w:rsidRDefault="007A27E3" w:rsidP="00CC4FC9">
      <w:pPr>
        <w:spacing w:after="0" w:line="360" w:lineRule="auto"/>
      </w:pPr>
      <w:r>
        <w:t>El artículo 12 dice que, quienes generen, recopilen, administren, manejen, procesen, archiven o conserven información pública serán responsables de la misma.</w:t>
      </w:r>
    </w:p>
    <w:p w14:paraId="34F9B787" w14:textId="77777777" w:rsidR="00C852C8" w:rsidRDefault="00C852C8" w:rsidP="00CC4FC9">
      <w:pPr>
        <w:spacing w:after="0" w:line="360" w:lineRule="auto"/>
      </w:pPr>
    </w:p>
    <w:p w14:paraId="6B0292F4" w14:textId="77777777" w:rsidR="00C852C8" w:rsidRDefault="007A27E3" w:rsidP="00CC4FC9">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0A044E32" w14:textId="77777777" w:rsidR="00900C96" w:rsidRDefault="00900C96" w:rsidP="00CC4FC9">
      <w:pPr>
        <w:spacing w:after="0" w:line="360" w:lineRule="auto"/>
      </w:pPr>
    </w:p>
    <w:p w14:paraId="2BF654EA" w14:textId="77777777" w:rsidR="00C852C8" w:rsidRDefault="007A27E3" w:rsidP="00CC4FC9">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245333" w14:textId="77777777" w:rsidR="00C852C8" w:rsidRDefault="00C852C8" w:rsidP="00CC4FC9">
      <w:pPr>
        <w:pStyle w:val="Ttulo2"/>
        <w:spacing w:before="0" w:after="0"/>
        <w:rPr>
          <w:smallCaps/>
        </w:rPr>
      </w:pPr>
    </w:p>
    <w:p w14:paraId="20989C3A" w14:textId="77777777" w:rsidR="00C852C8" w:rsidRDefault="007A27E3" w:rsidP="00CC4FC9">
      <w:pPr>
        <w:pStyle w:val="Ttulo2"/>
        <w:spacing w:before="0" w:after="0"/>
      </w:pPr>
      <w:bookmarkStart w:id="13" w:name="_heading=h.m0sbrt91roe" w:colFirst="0" w:colLast="0"/>
      <w:bookmarkEnd w:id="13"/>
      <w:r>
        <w:rPr>
          <w:smallCaps/>
        </w:rPr>
        <w:t>QUINTO.</w:t>
      </w:r>
      <w:r>
        <w:t xml:space="preserve"> Estudio de Fondo</w:t>
      </w:r>
    </w:p>
    <w:p w14:paraId="19AE289A" w14:textId="77777777" w:rsidR="00C852C8" w:rsidRDefault="00C852C8" w:rsidP="00CC4FC9">
      <w:pPr>
        <w:spacing w:after="0" w:line="360" w:lineRule="auto"/>
      </w:pPr>
    </w:p>
    <w:p w14:paraId="49585304" w14:textId="42131854" w:rsidR="00C852C8" w:rsidRDefault="007A27E3" w:rsidP="00CC4FC9">
      <w:pPr>
        <w:spacing w:after="0" w:line="360" w:lineRule="auto"/>
      </w:pPr>
      <w:r>
        <w:t>Una vez expuesto lo anterior, es menester contextualiz</w:t>
      </w:r>
      <w:r w:rsidR="00900C96">
        <w:t>ar la solicitud de información.</w:t>
      </w:r>
    </w:p>
    <w:p w14:paraId="5C75ADB2" w14:textId="77777777" w:rsidR="00C852C8" w:rsidRDefault="00C852C8" w:rsidP="00CC4FC9">
      <w:pPr>
        <w:spacing w:after="0" w:line="360" w:lineRule="auto"/>
      </w:pPr>
    </w:p>
    <w:p w14:paraId="29957F6D" w14:textId="77777777" w:rsidR="00C852C8" w:rsidRDefault="007A27E3" w:rsidP="00CC4FC9">
      <w:pPr>
        <w:spacing w:after="0" w:line="360" w:lineRule="auto"/>
        <w:rPr>
          <w:b/>
          <w:color w:val="000000"/>
        </w:rPr>
      </w:pPr>
      <w:r>
        <w:rPr>
          <w:color w:val="000000"/>
        </w:rP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w:t>
      </w:r>
      <w:r>
        <w:rPr>
          <w:color w:val="000000"/>
        </w:rPr>
        <w:lastRenderedPageBreak/>
        <w:t xml:space="preserve">precisa que son </w:t>
      </w:r>
      <w:r>
        <w:rPr>
          <w:b/>
          <w:color w:val="000000"/>
        </w:rPr>
        <w:t>servidores públicos a todas las personas que desempeñen un empleo, cargo o comisión en los Municipios.</w:t>
      </w:r>
    </w:p>
    <w:p w14:paraId="67463271" w14:textId="77777777" w:rsidR="00C852C8" w:rsidRDefault="00C852C8" w:rsidP="00CC4FC9">
      <w:pPr>
        <w:spacing w:after="0" w:line="360" w:lineRule="auto"/>
        <w:rPr>
          <w:b/>
          <w:color w:val="FF0000"/>
        </w:rPr>
      </w:pPr>
    </w:p>
    <w:p w14:paraId="0B09FB96" w14:textId="77777777" w:rsidR="00C852C8" w:rsidRDefault="007A27E3" w:rsidP="00CC4FC9">
      <w:pPr>
        <w:spacing w:after="0" w:line="360" w:lineRule="auto"/>
        <w:rPr>
          <w:color w:val="000000"/>
        </w:rPr>
      </w:pPr>
      <w:r>
        <w:rPr>
          <w:color w:val="000000"/>
        </w:rPr>
        <w:t xml:space="preserve">Además, el artículo 4°, fracción VI, de la Ley del Trabajo de los servidores públicos del Estado y Municipios, precisa que son </w:t>
      </w:r>
      <w:r>
        <w:rPr>
          <w:b/>
          <w:color w:val="000000"/>
        </w:rPr>
        <w:t>servidores públicos,</w:t>
      </w:r>
      <w:r>
        <w:rPr>
          <w:color w:val="000000"/>
        </w:rPr>
        <w:t xml:space="preserve"> todas las personas físicas que presten a una institución pública un trabajo personal subordinado, mediante el pago de un sueldo.</w:t>
      </w:r>
    </w:p>
    <w:p w14:paraId="19055780" w14:textId="77777777" w:rsidR="00C852C8" w:rsidRDefault="00C852C8" w:rsidP="00CC4FC9">
      <w:pPr>
        <w:widowControl w:val="0"/>
        <w:spacing w:after="0" w:line="360" w:lineRule="auto"/>
        <w:rPr>
          <w:color w:val="FF0000"/>
        </w:rPr>
      </w:pPr>
    </w:p>
    <w:p w14:paraId="7CFA9134" w14:textId="77777777" w:rsidR="00C852C8" w:rsidRDefault="007A27E3" w:rsidP="00CC4FC9">
      <w:pPr>
        <w:widowControl w:val="0"/>
        <w:spacing w:after="0" w:line="360" w:lineRule="auto"/>
        <w:rPr>
          <w:color w:val="000000"/>
        </w:rPr>
      </w:pPr>
      <w:r>
        <w:rPr>
          <w:color w:val="000000"/>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3A17193" w14:textId="77777777" w:rsidR="00C852C8" w:rsidRDefault="00C852C8" w:rsidP="00CC4FC9">
      <w:pPr>
        <w:widowControl w:val="0"/>
        <w:spacing w:after="0" w:line="360" w:lineRule="auto"/>
        <w:rPr>
          <w:color w:val="000000"/>
        </w:rPr>
      </w:pPr>
    </w:p>
    <w:p w14:paraId="538EEDA4" w14:textId="77777777" w:rsidR="00C852C8" w:rsidRDefault="007A27E3" w:rsidP="00CC4FC9">
      <w:pPr>
        <w:widowControl w:val="0"/>
        <w:spacing w:after="0" w:line="360" w:lineRule="auto"/>
        <w:rPr>
          <w:color w:val="000000"/>
        </w:rPr>
      </w:pPr>
      <w:r>
        <w:rPr>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D3F933B" w14:textId="77777777" w:rsidR="00C852C8" w:rsidRDefault="00C852C8" w:rsidP="00CC4FC9">
      <w:pPr>
        <w:widowControl w:val="0"/>
        <w:spacing w:after="0" w:line="360" w:lineRule="auto"/>
        <w:rPr>
          <w:color w:val="FF0000"/>
        </w:rPr>
      </w:pPr>
    </w:p>
    <w:p w14:paraId="7B00126D" w14:textId="77777777" w:rsidR="00C852C8" w:rsidRDefault="007A27E3" w:rsidP="00CC4FC9">
      <w:pPr>
        <w:widowControl w:val="0"/>
        <w:spacing w:after="0" w:line="360" w:lineRule="auto"/>
        <w:rPr>
          <w:b/>
          <w:color w:val="FF0000"/>
        </w:rPr>
      </w:pPr>
      <w:r>
        <w:rPr>
          <w:color w:val="000000"/>
        </w:rPr>
        <w:t>Por otra parte, respecto al documento requerido</w:t>
      </w:r>
      <w:r>
        <w:t>, el Glosario localizado en la página de Transparencia Presupuestaria de la Secretaría de Hacienda y Crédito Público (</w:t>
      </w:r>
      <w:hyperlink r:id="rId8">
        <w:r>
          <w:rPr>
            <w:color w:val="0563C1"/>
            <w:u w:val="single"/>
          </w:rPr>
          <w:t>http://www.transparenciapresupuestaria.gob.mx/es/PTP/Glosario</w:t>
        </w:r>
      </w:hyperlink>
      <w:r>
        <w:t xml:space="preserve">), establece que la </w:t>
      </w:r>
      <w:r>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CCFD130" w14:textId="77777777" w:rsidR="00C852C8" w:rsidRDefault="00C852C8" w:rsidP="00CC4FC9">
      <w:pPr>
        <w:widowControl w:val="0"/>
        <w:spacing w:after="0" w:line="360" w:lineRule="auto"/>
        <w:rPr>
          <w:color w:val="FF0000"/>
        </w:rPr>
      </w:pPr>
    </w:p>
    <w:p w14:paraId="5B99065D" w14:textId="77777777" w:rsidR="00C852C8" w:rsidRDefault="007A27E3" w:rsidP="00CC4FC9">
      <w:pPr>
        <w:widowControl w:val="0"/>
        <w:spacing w:after="0" w:line="360" w:lineRule="auto"/>
        <w:rPr>
          <w:b/>
          <w:color w:val="FF0000"/>
        </w:rPr>
      </w:pPr>
      <w:r>
        <w:lastRenderedPageBreak/>
        <w:t>De la misma manera, el Glosario de términos más usuales en la Administración Pública Federal, emitido por la Secretaría de Hacienda y Crédito Público (</w:t>
      </w:r>
      <w:hyperlink r:id="rId9">
        <w:r>
          <w:rPr>
            <w:color w:val="0563C1"/>
            <w:u w:val="single"/>
          </w:rPr>
          <w:t>https://www.apartados.hacienda.gob.mx/contabilidad/documentos/informe_cuenta/1998/cuenta_publica/Glosario/n.htm</w:t>
        </w:r>
      </w:hyperlink>
      <w:r>
        <w:t xml:space="preserve">),  establece que la </w:t>
      </w:r>
      <w:r>
        <w:rPr>
          <w:b/>
          <w:u w:val="single"/>
        </w:rPr>
        <w:t>nómina es un listado general</w:t>
      </w:r>
      <w:r>
        <w:rPr>
          <w:b/>
        </w:rPr>
        <w:t xml:space="preserve"> de los trabajadores de una institución, en el cual se asientan las percepciones brutas, deducciones y alcance neto de las mismas.</w:t>
      </w:r>
    </w:p>
    <w:p w14:paraId="1895F527" w14:textId="77777777" w:rsidR="00C852C8" w:rsidRDefault="00C852C8" w:rsidP="00CC4FC9">
      <w:pPr>
        <w:widowControl w:val="0"/>
        <w:spacing w:after="0" w:line="360" w:lineRule="auto"/>
        <w:rPr>
          <w:color w:val="FF0000"/>
        </w:rPr>
      </w:pPr>
    </w:p>
    <w:p w14:paraId="4BEAAB10" w14:textId="77777777" w:rsidR="00C852C8" w:rsidRDefault="007A27E3" w:rsidP="00CC4FC9">
      <w:pPr>
        <w:widowControl w:val="0"/>
        <w:spacing w:after="0" w:line="360" w:lineRule="auto"/>
      </w:pPr>
      <w:r>
        <w:t xml:space="preserve">Conforme a lo anterior, se puede advertir que la nómina se puede referir a lo siguiente: </w:t>
      </w:r>
    </w:p>
    <w:p w14:paraId="04B1731C" w14:textId="77777777" w:rsidR="00C852C8" w:rsidRDefault="00C852C8" w:rsidP="00CC4FC9">
      <w:pPr>
        <w:widowControl w:val="0"/>
        <w:spacing w:after="0" w:line="360" w:lineRule="auto"/>
      </w:pPr>
    </w:p>
    <w:p w14:paraId="2699BB09" w14:textId="77777777" w:rsidR="00C852C8" w:rsidRDefault="007A27E3" w:rsidP="00CC4FC9">
      <w:pPr>
        <w:widowControl w:val="0"/>
        <w:numPr>
          <w:ilvl w:val="0"/>
          <w:numId w:val="4"/>
        </w:numPr>
        <w:pBdr>
          <w:top w:val="nil"/>
          <w:left w:val="nil"/>
          <w:bottom w:val="nil"/>
          <w:right w:val="nil"/>
          <w:between w:val="nil"/>
        </w:pBdr>
        <w:spacing w:after="0" w:line="360" w:lineRule="auto"/>
        <w:rPr>
          <w:color w:val="000000"/>
        </w:rPr>
      </w:pPr>
      <w:r>
        <w:rPr>
          <w:color w:val="000000"/>
        </w:rPr>
        <w:t>Relación de trabajadores con las percepciones monetarias de cada uno.</w:t>
      </w:r>
    </w:p>
    <w:p w14:paraId="72A91525" w14:textId="77777777" w:rsidR="00C852C8" w:rsidRDefault="00C852C8" w:rsidP="00CC4FC9">
      <w:pPr>
        <w:widowControl w:val="0"/>
        <w:spacing w:after="0" w:line="360" w:lineRule="auto"/>
      </w:pPr>
    </w:p>
    <w:p w14:paraId="5B9D1437" w14:textId="77777777" w:rsidR="00C852C8" w:rsidRDefault="007A27E3" w:rsidP="00CC4FC9">
      <w:pPr>
        <w:widowControl w:val="0"/>
        <w:numPr>
          <w:ilvl w:val="0"/>
          <w:numId w:val="4"/>
        </w:numPr>
        <w:pBdr>
          <w:top w:val="nil"/>
          <w:left w:val="nil"/>
          <w:bottom w:val="nil"/>
          <w:right w:val="nil"/>
          <w:between w:val="nil"/>
        </w:pBdr>
        <w:spacing w:after="0" w:line="360" w:lineRule="auto"/>
        <w:rPr>
          <w:color w:val="000000"/>
        </w:rPr>
      </w:pPr>
      <w:r>
        <w:rPr>
          <w:color w:val="000000"/>
        </w:rPr>
        <w:t xml:space="preserve">Recibo individual que contiene las prestaciones y deducciones de un trabajador. </w:t>
      </w:r>
    </w:p>
    <w:p w14:paraId="341D71D9" w14:textId="77777777" w:rsidR="00C852C8" w:rsidRDefault="00C852C8" w:rsidP="00CC4FC9">
      <w:pPr>
        <w:widowControl w:val="0"/>
        <w:spacing w:after="0" w:line="360" w:lineRule="auto"/>
      </w:pPr>
    </w:p>
    <w:p w14:paraId="68A572F0" w14:textId="77777777" w:rsidR="00C852C8" w:rsidRDefault="007A27E3" w:rsidP="00CC4FC9">
      <w:pPr>
        <w:widowControl w:val="0"/>
        <w:numPr>
          <w:ilvl w:val="0"/>
          <w:numId w:val="4"/>
        </w:numPr>
        <w:pBdr>
          <w:top w:val="nil"/>
          <w:left w:val="nil"/>
          <w:bottom w:val="nil"/>
          <w:right w:val="nil"/>
          <w:between w:val="nil"/>
        </w:pBdr>
        <w:spacing w:after="0" w:line="360" w:lineRule="auto"/>
        <w:rPr>
          <w:b/>
          <w:color w:val="FF0000"/>
        </w:rPr>
      </w:pPr>
      <w:r>
        <w:rPr>
          <w:b/>
          <w:color w:val="000000"/>
        </w:rPr>
        <w:t>Listado general de los servidores públicos de una institución o dependencia, en el cual se asientan las percepciones brutas, deducciones y alcance neto de las mismas.</w:t>
      </w:r>
    </w:p>
    <w:p w14:paraId="2E374A9D" w14:textId="77777777" w:rsidR="00C852C8" w:rsidRDefault="00C852C8" w:rsidP="00CC4FC9">
      <w:pPr>
        <w:widowControl w:val="0"/>
        <w:spacing w:after="0" w:line="360" w:lineRule="auto"/>
      </w:pPr>
    </w:p>
    <w:p w14:paraId="1A363251" w14:textId="74219817" w:rsidR="00C852C8" w:rsidRDefault="007A27E3" w:rsidP="00CC4FC9">
      <w:pPr>
        <w:widowControl w:val="0"/>
        <w:spacing w:after="0" w:line="360" w:lineRule="auto"/>
      </w:pPr>
      <w:r>
        <w:t xml:space="preserve">En ese contexto,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que se genera de manera </w:t>
      </w:r>
      <w:r w:rsidR="00591A5E">
        <w:t>quincenal.</w:t>
      </w:r>
    </w:p>
    <w:p w14:paraId="2C3519A1" w14:textId="77777777" w:rsidR="00C852C8" w:rsidRDefault="00C852C8" w:rsidP="00CC4FC9">
      <w:pPr>
        <w:spacing w:after="0" w:line="360" w:lineRule="auto"/>
      </w:pPr>
    </w:p>
    <w:p w14:paraId="4789211C" w14:textId="5100202F" w:rsidR="00900C96" w:rsidRDefault="007A27E3" w:rsidP="00CC4FC9">
      <w:pPr>
        <w:spacing w:after="0" w:line="360" w:lineRule="auto"/>
      </w:pPr>
      <w:r>
        <w:t xml:space="preserve">Conforme a lo anterior, se logra vislumbrar que la pretensión del ahora Recurrente es obtener </w:t>
      </w:r>
      <w:r w:rsidR="00900C96">
        <w:t xml:space="preserve">la nómina de los servidores públicos adscritos a la  Contraloría Municipal correspondiente al periodo </w:t>
      </w:r>
      <w:r w:rsidR="00FD0FB5">
        <w:t xml:space="preserve">enero a octubre de dos mil veintitrés. </w:t>
      </w:r>
    </w:p>
    <w:p w14:paraId="51E999DE" w14:textId="79F9103F" w:rsidR="00CC4FC9" w:rsidRPr="00CC4FC9" w:rsidRDefault="00CC4FC9" w:rsidP="00CC4FC9">
      <w:pPr>
        <w:spacing w:after="0" w:line="360" w:lineRule="auto"/>
        <w:rPr>
          <w:color w:val="000000" w:themeColor="text1"/>
        </w:rPr>
      </w:pPr>
      <w:r>
        <w:rPr>
          <w:color w:val="000000"/>
        </w:rPr>
        <w:lastRenderedPageBreak/>
        <w:t xml:space="preserve">Ahora bien, tanto en respuesta, como Informe Justificado, </w:t>
      </w:r>
      <w:r w:rsidRPr="00CC4FC9">
        <w:rPr>
          <w:color w:val="000000"/>
        </w:rPr>
        <w:t xml:space="preserve">el Sujeto Obligado comunicó que posterior a una búsqueda de la información en la </w:t>
      </w:r>
      <w:r w:rsidRPr="00FD0FB5">
        <w:rPr>
          <w:color w:val="000000"/>
        </w:rPr>
        <w:t>Dirección General de Administración</w:t>
      </w:r>
      <w:r w:rsidRPr="00CC4FC9">
        <w:rPr>
          <w:color w:val="000000"/>
        </w:rPr>
        <w:t xml:space="preserve"> no se </w:t>
      </w:r>
      <w:r>
        <w:rPr>
          <w:color w:val="000000"/>
        </w:rPr>
        <w:t>localizó la información solicitada</w:t>
      </w:r>
      <w:r w:rsidRPr="00CC4FC9">
        <w:rPr>
          <w:color w:val="000000"/>
        </w:rPr>
        <w:t xml:space="preserve">, es decir, aludió que la información era inexistente; sobre </w:t>
      </w:r>
      <w:r w:rsidRPr="00CC4FC9">
        <w:rPr>
          <w:color w:val="000000" w:themeColor="text1"/>
        </w:rPr>
        <w:t xml:space="preserve">el tema, el Criterio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09C0BAC2" w14:textId="77777777" w:rsidR="00CC4FC9" w:rsidRPr="00CC4FC9" w:rsidRDefault="00CC4FC9" w:rsidP="00CC4FC9">
      <w:pPr>
        <w:spacing w:after="0" w:line="360" w:lineRule="auto"/>
        <w:rPr>
          <w:color w:val="000000" w:themeColor="text1"/>
        </w:rPr>
      </w:pPr>
    </w:p>
    <w:p w14:paraId="41C9678A" w14:textId="77777777" w:rsidR="00CC4FC9" w:rsidRPr="00CC4FC9" w:rsidRDefault="00CC4FC9" w:rsidP="00CC4FC9">
      <w:pPr>
        <w:spacing w:after="0" w:line="360" w:lineRule="auto"/>
        <w:rPr>
          <w:color w:val="000000" w:themeColor="text1"/>
        </w:rPr>
      </w:pPr>
      <w:r w:rsidRPr="00CC4FC9">
        <w:rPr>
          <w:color w:val="000000" w:themeColor="text1"/>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695E269" w14:textId="77777777" w:rsidR="00CC4FC9" w:rsidRPr="00CC4FC9" w:rsidRDefault="00CC4FC9" w:rsidP="00CC4FC9">
      <w:pPr>
        <w:spacing w:after="0" w:line="360" w:lineRule="auto"/>
        <w:rPr>
          <w:b/>
          <w:color w:val="000000" w:themeColor="text1"/>
        </w:rPr>
      </w:pPr>
    </w:p>
    <w:p w14:paraId="1F1BC8B6" w14:textId="77777777" w:rsidR="00CC4FC9" w:rsidRPr="00CC4FC9" w:rsidRDefault="00CC4FC9" w:rsidP="00CC4FC9">
      <w:pPr>
        <w:spacing w:after="0" w:line="360" w:lineRule="auto"/>
        <w:rPr>
          <w:color w:val="000000" w:themeColor="text1"/>
        </w:rPr>
      </w:pPr>
      <w:r w:rsidRPr="00CC4FC9">
        <w:rPr>
          <w:color w:val="000000" w:themeColor="text1"/>
        </w:rPr>
        <w:t xml:space="preserve">Conforme a lo anterior, la </w:t>
      </w:r>
      <w:r w:rsidRPr="00CC4FC9">
        <w:rPr>
          <w:b/>
          <w:color w:val="000000" w:themeColor="text1"/>
        </w:rPr>
        <w:t>inexistencia</w:t>
      </w:r>
      <w:r w:rsidRPr="00CC4FC9">
        <w:rPr>
          <w:color w:val="000000" w:themeColor="text1"/>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CC4FC9">
        <w:rPr>
          <w:b/>
          <w:color w:val="000000" w:themeColor="text1"/>
        </w:rPr>
        <w:t>primero deben realizar una indagación en todos los archivos de las áreas con funciones para conocer de lo peticionado.</w:t>
      </w:r>
    </w:p>
    <w:p w14:paraId="07EFBD8C" w14:textId="77777777" w:rsidR="00CC4FC9" w:rsidRPr="00CC4FC9" w:rsidRDefault="00CC4FC9" w:rsidP="00CC4FC9">
      <w:pPr>
        <w:spacing w:after="0" w:line="360" w:lineRule="auto"/>
        <w:rPr>
          <w:color w:val="000000" w:themeColor="text1"/>
        </w:rPr>
      </w:pPr>
    </w:p>
    <w:p w14:paraId="134745A8" w14:textId="77777777" w:rsidR="00CC4FC9" w:rsidRPr="00CC4FC9" w:rsidRDefault="00CC4FC9" w:rsidP="00CC4FC9">
      <w:pPr>
        <w:spacing w:after="0" w:line="360" w:lineRule="auto"/>
        <w:rPr>
          <w:b/>
          <w:color w:val="000000" w:themeColor="text1"/>
        </w:rPr>
      </w:pPr>
      <w:r w:rsidRPr="00CC4FC9">
        <w:rPr>
          <w:color w:val="000000" w:themeColor="text1"/>
        </w:rPr>
        <w:t xml:space="preserve">En ese sentido, según Jarquín, Soledad (2019), en el “Diccionario de Transparencia y Acceso a la Información Pública” (p. 68), </w:t>
      </w:r>
      <w:r w:rsidRPr="00CC4FC9">
        <w:rPr>
          <w:b/>
          <w:color w:val="000000" w:themeColor="text1"/>
        </w:rPr>
        <w:t>la búsqueda exhaustiva</w:t>
      </w:r>
      <w:r w:rsidRPr="00CC4FC9">
        <w:rPr>
          <w:color w:val="000000" w:themeColor="text1"/>
        </w:rPr>
        <w:t xml:space="preserve"> es la obligación del área administrativa del Sujeto Obligado que cuenta o puede contar con la información requerida, la cual consiste en localizar toda aquella que atienda la solicitud, </w:t>
      </w:r>
      <w:r w:rsidRPr="00CC4FC9">
        <w:rPr>
          <w:b/>
          <w:color w:val="000000" w:themeColor="text1"/>
        </w:rPr>
        <w:t>hasta agotar por completo las posibilidades de indagación.</w:t>
      </w:r>
    </w:p>
    <w:p w14:paraId="3047EE70" w14:textId="77777777" w:rsidR="00CC4FC9" w:rsidRPr="00CC4FC9" w:rsidRDefault="00CC4FC9" w:rsidP="00CC4FC9">
      <w:pPr>
        <w:spacing w:after="0" w:line="360" w:lineRule="auto"/>
        <w:rPr>
          <w:b/>
          <w:color w:val="000000" w:themeColor="text1"/>
        </w:rPr>
      </w:pPr>
    </w:p>
    <w:p w14:paraId="5292FF33" w14:textId="77777777" w:rsidR="00CC4FC9" w:rsidRPr="00CC4FC9" w:rsidRDefault="00CC4FC9" w:rsidP="00CC4FC9">
      <w:pPr>
        <w:spacing w:after="0" w:line="360" w:lineRule="auto"/>
        <w:rPr>
          <w:b/>
          <w:color w:val="000000" w:themeColor="text1"/>
        </w:rPr>
      </w:pPr>
      <w:r w:rsidRPr="00CC4FC9">
        <w:rPr>
          <w:color w:val="000000" w:themeColor="text1"/>
        </w:rPr>
        <w:t xml:space="preserve">Además, según Calero, Natalia (2016), en la “Ley General de Transparencia y Acceso a la Información Pública Comentada” (p. 408), para que exista una búsqueda exhaustiva y </w:t>
      </w:r>
      <w:r w:rsidRPr="00CC4FC9">
        <w:rPr>
          <w:color w:val="000000" w:themeColor="text1"/>
        </w:rPr>
        <w:lastRenderedPageBreak/>
        <w:t xml:space="preserve">razonable, se debe hacer una </w:t>
      </w:r>
      <w:r w:rsidRPr="00CC4FC9">
        <w:rPr>
          <w:b/>
          <w:color w:val="000000" w:themeColor="text1"/>
        </w:rPr>
        <w:t xml:space="preserve">indagación consiente y minuciosa en sus archivos físicos y electrónicos. </w:t>
      </w:r>
    </w:p>
    <w:p w14:paraId="6C55306D" w14:textId="77777777" w:rsidR="00CC4FC9" w:rsidRPr="00CC4FC9" w:rsidRDefault="00CC4FC9" w:rsidP="00CC4FC9">
      <w:pPr>
        <w:spacing w:after="0" w:line="360" w:lineRule="auto"/>
        <w:rPr>
          <w:b/>
          <w:color w:val="000000" w:themeColor="text1"/>
        </w:rPr>
      </w:pPr>
    </w:p>
    <w:p w14:paraId="1B2FAAD4" w14:textId="77777777" w:rsidR="00CC4FC9" w:rsidRPr="00CC4FC9" w:rsidRDefault="00CC4FC9" w:rsidP="00CC4FC9">
      <w:pPr>
        <w:spacing w:after="0" w:line="360" w:lineRule="auto"/>
        <w:rPr>
          <w:b/>
          <w:color w:val="000000" w:themeColor="text1"/>
        </w:rPr>
      </w:pPr>
      <w:r w:rsidRPr="00CC4FC9">
        <w:rPr>
          <w:color w:val="000000" w:themeColor="text1"/>
        </w:rPr>
        <w:t xml:space="preserve">Conforme a lo anterior, para poder acreditar el carácter exhaustivo de la búsqueda realizada por los Sujetos Obligados, se deben motivar las razones por las que se buscó la información en determinadas áreas, </w:t>
      </w:r>
      <w:r w:rsidRPr="00CC4FC9">
        <w:rPr>
          <w:b/>
          <w:color w:val="000000" w:themeColor="text1"/>
        </w:rPr>
        <w:t>los criterios de búsqueda utilizados y demás circunstancias que fueron tomadas en cuenta.</w:t>
      </w:r>
    </w:p>
    <w:p w14:paraId="0EB949C8" w14:textId="77777777" w:rsidR="00CC4FC9" w:rsidRPr="00CC4FC9" w:rsidRDefault="00CC4FC9" w:rsidP="00CC4FC9">
      <w:pPr>
        <w:spacing w:after="0" w:line="360" w:lineRule="auto"/>
        <w:rPr>
          <w:color w:val="000000" w:themeColor="text1"/>
        </w:rPr>
      </w:pPr>
    </w:p>
    <w:p w14:paraId="75502B0F" w14:textId="77777777" w:rsidR="00CC4FC9" w:rsidRDefault="00CC4FC9" w:rsidP="00CC4FC9">
      <w:pPr>
        <w:spacing w:after="0" w:line="360" w:lineRule="auto"/>
        <w:rPr>
          <w:color w:val="000000" w:themeColor="text1"/>
        </w:rPr>
      </w:pPr>
      <w:r w:rsidRPr="00CC4FC9">
        <w:rPr>
          <w:color w:val="000000" w:themeColor="text1"/>
        </w:rPr>
        <w:t>En ese contexto, de conformidad con los criterios con</w:t>
      </w:r>
      <w:r w:rsidRPr="00CC4FC9">
        <w:rPr>
          <w:color w:val="000000"/>
        </w:rPr>
        <w:t xml:space="preserve"> clave de control SO/012/2010 y SO/004/2019</w:t>
      </w:r>
      <w:r w:rsidRPr="00CC4FC9">
        <w:rPr>
          <w:color w:val="000000" w:themeColor="text1"/>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C71E011" w14:textId="77777777" w:rsidR="00CC4FC9" w:rsidRPr="00CC4FC9" w:rsidRDefault="00CC4FC9" w:rsidP="00CC4FC9">
      <w:pPr>
        <w:spacing w:after="0" w:line="360" w:lineRule="auto"/>
        <w:rPr>
          <w:color w:val="000000" w:themeColor="text1"/>
        </w:rPr>
      </w:pPr>
    </w:p>
    <w:p w14:paraId="1F90E180" w14:textId="77777777" w:rsidR="00CC4FC9" w:rsidRPr="00CC4FC9" w:rsidRDefault="00CC4FC9" w:rsidP="00CC4FC9">
      <w:pPr>
        <w:numPr>
          <w:ilvl w:val="0"/>
          <w:numId w:val="17"/>
        </w:numPr>
        <w:spacing w:after="0" w:line="360" w:lineRule="auto"/>
        <w:rPr>
          <w:color w:val="000000" w:themeColor="text1"/>
        </w:rPr>
      </w:pPr>
      <w:r w:rsidRPr="00CC4FC9">
        <w:rPr>
          <w:color w:val="000000" w:themeColor="text1"/>
        </w:rPr>
        <w:t>Motivación por las que se buscó la información, en determinadas unidades administrativas;</w:t>
      </w:r>
    </w:p>
    <w:p w14:paraId="1427B981" w14:textId="77777777" w:rsidR="00CC4FC9" w:rsidRPr="00CC4FC9" w:rsidRDefault="00CC4FC9" w:rsidP="00CC4FC9">
      <w:pPr>
        <w:numPr>
          <w:ilvl w:val="0"/>
          <w:numId w:val="17"/>
        </w:numPr>
        <w:spacing w:after="0" w:line="360" w:lineRule="auto"/>
        <w:rPr>
          <w:color w:val="000000" w:themeColor="text1"/>
        </w:rPr>
      </w:pPr>
      <w:r w:rsidRPr="00CC4FC9">
        <w:rPr>
          <w:color w:val="000000" w:themeColor="text1"/>
        </w:rPr>
        <w:t>Los criterios de búsqueda utilizados, y</w:t>
      </w:r>
    </w:p>
    <w:p w14:paraId="530440B6" w14:textId="77777777" w:rsidR="00CC4FC9" w:rsidRPr="00CC4FC9" w:rsidRDefault="00CC4FC9" w:rsidP="00CC4FC9">
      <w:pPr>
        <w:numPr>
          <w:ilvl w:val="0"/>
          <w:numId w:val="17"/>
        </w:numPr>
        <w:spacing w:after="0" w:line="360" w:lineRule="auto"/>
        <w:rPr>
          <w:color w:val="000000" w:themeColor="text1"/>
        </w:rPr>
      </w:pPr>
      <w:r w:rsidRPr="00CC4FC9">
        <w:rPr>
          <w:color w:val="000000" w:themeColor="text1"/>
        </w:rPr>
        <w:t>Las circunstancias que fueron tomadas en cuenta.</w:t>
      </w:r>
    </w:p>
    <w:p w14:paraId="65335E75" w14:textId="77777777" w:rsidR="00CC4FC9" w:rsidRPr="00CC4FC9" w:rsidRDefault="00CC4FC9" w:rsidP="00CC4FC9">
      <w:pPr>
        <w:spacing w:after="0" w:line="360" w:lineRule="auto"/>
        <w:rPr>
          <w:color w:val="000000" w:themeColor="text1"/>
        </w:rPr>
      </w:pPr>
    </w:p>
    <w:p w14:paraId="7EBB8E42" w14:textId="77777777" w:rsidR="00CC4FC9" w:rsidRPr="00CC4FC9" w:rsidRDefault="00CC4FC9" w:rsidP="00CC4FC9">
      <w:pPr>
        <w:spacing w:after="0" w:line="360" w:lineRule="auto"/>
        <w:rPr>
          <w:color w:val="000000" w:themeColor="text1"/>
        </w:rPr>
      </w:pPr>
      <w:r w:rsidRPr="00CC4FC9">
        <w:rPr>
          <w:color w:val="000000" w:themeColor="text1"/>
        </w:rPr>
        <w:t>De tales circunstancias, se considera que para que los Sujetos Obligado justifiquen que realizaron una búsqueda exhaustiva y razonable, deben indicar de manera clara, lo siguiente:</w:t>
      </w:r>
    </w:p>
    <w:p w14:paraId="7C4D7F6C" w14:textId="77777777" w:rsidR="00CC4FC9" w:rsidRPr="00CC4FC9" w:rsidRDefault="00CC4FC9" w:rsidP="00CC4FC9">
      <w:pPr>
        <w:spacing w:after="0" w:line="360" w:lineRule="auto"/>
        <w:rPr>
          <w:color w:val="000000" w:themeColor="text1"/>
        </w:rPr>
      </w:pPr>
    </w:p>
    <w:p w14:paraId="441E3F68" w14:textId="77777777" w:rsidR="00CC4FC9" w:rsidRPr="00CC4FC9" w:rsidRDefault="00CC4FC9" w:rsidP="00CC4FC9">
      <w:pPr>
        <w:numPr>
          <w:ilvl w:val="0"/>
          <w:numId w:val="18"/>
        </w:numPr>
        <w:spacing w:after="0" w:line="360" w:lineRule="auto"/>
        <w:rPr>
          <w:color w:val="000000" w:themeColor="text1"/>
        </w:rPr>
      </w:pPr>
      <w:r w:rsidRPr="00CC4FC9">
        <w:rPr>
          <w:color w:val="000000" w:themeColor="text1"/>
        </w:rPr>
        <w:t>Las áreas donde se buscó la información;</w:t>
      </w:r>
    </w:p>
    <w:p w14:paraId="57734548" w14:textId="77777777" w:rsidR="00CC4FC9" w:rsidRPr="00CC4FC9" w:rsidRDefault="00CC4FC9" w:rsidP="00CC4FC9">
      <w:pPr>
        <w:numPr>
          <w:ilvl w:val="0"/>
          <w:numId w:val="18"/>
        </w:numPr>
        <w:spacing w:after="0" w:line="360" w:lineRule="auto"/>
        <w:rPr>
          <w:color w:val="000000" w:themeColor="text1"/>
        </w:rPr>
      </w:pPr>
      <w:r w:rsidRPr="00CC4FC9">
        <w:rPr>
          <w:color w:val="000000" w:themeColor="text1"/>
        </w:rPr>
        <w:t>Tipo de archivos buscados (físicos o electrónicos);</w:t>
      </w:r>
    </w:p>
    <w:p w14:paraId="7C35C673" w14:textId="77777777" w:rsidR="00CC4FC9" w:rsidRPr="00CC4FC9" w:rsidRDefault="00CC4FC9" w:rsidP="00CC4FC9">
      <w:pPr>
        <w:numPr>
          <w:ilvl w:val="0"/>
          <w:numId w:val="18"/>
        </w:numPr>
        <w:spacing w:after="0" w:line="360" w:lineRule="auto"/>
        <w:rPr>
          <w:color w:val="000000" w:themeColor="text1"/>
        </w:rPr>
      </w:pPr>
      <w:r w:rsidRPr="00CC4FC9">
        <w:rPr>
          <w:color w:val="000000" w:themeColor="text1"/>
        </w:rPr>
        <w:t xml:space="preserve">Los criterios de búsqueda utilizados, y </w:t>
      </w:r>
    </w:p>
    <w:p w14:paraId="360B2E2D" w14:textId="77777777" w:rsidR="00CC4FC9" w:rsidRPr="00CC4FC9" w:rsidRDefault="00CC4FC9" w:rsidP="00CC4FC9">
      <w:pPr>
        <w:numPr>
          <w:ilvl w:val="0"/>
          <w:numId w:val="18"/>
        </w:numPr>
        <w:spacing w:after="0" w:line="360" w:lineRule="auto"/>
        <w:rPr>
          <w:color w:val="000000" w:themeColor="text1"/>
        </w:rPr>
      </w:pPr>
      <w:r w:rsidRPr="00CC4FC9">
        <w:rPr>
          <w:color w:val="000000" w:themeColor="text1"/>
        </w:rPr>
        <w:t>Las circunstancias que fueron tomadas en cuenta.</w:t>
      </w:r>
      <w:r w:rsidRPr="00CC4FC9">
        <w:rPr>
          <w:color w:val="000000" w:themeColor="text1"/>
        </w:rPr>
        <w:tab/>
      </w:r>
    </w:p>
    <w:p w14:paraId="65F74CB0" w14:textId="77777777" w:rsidR="00CC4FC9" w:rsidRPr="00CC4FC9" w:rsidRDefault="00CC4FC9" w:rsidP="00CC4FC9">
      <w:pPr>
        <w:spacing w:after="0" w:line="360" w:lineRule="auto"/>
        <w:rPr>
          <w:color w:val="000000"/>
        </w:rPr>
      </w:pPr>
    </w:p>
    <w:p w14:paraId="338ED404" w14:textId="77777777" w:rsidR="00CC4FC9" w:rsidRDefault="00CC4FC9" w:rsidP="00CC4FC9">
      <w:pPr>
        <w:spacing w:after="0" w:line="360" w:lineRule="auto"/>
        <w:rPr>
          <w:color w:val="000000"/>
        </w:rPr>
      </w:pPr>
      <w:r>
        <w:rPr>
          <w:color w:val="000000"/>
        </w:rPr>
        <w:lastRenderedPageBreak/>
        <w:t>Así, con la finalidad de determinar si el Sujeto Obligado cumplió con el procedimiento de búsqueda previamente establecido, es necesario traer a colación el artículo 3.31 fracción IV del Código Reglamentario Municipal d</w:t>
      </w:r>
      <w:r w:rsidRPr="003A7B6E">
        <w:rPr>
          <w:color w:val="000000"/>
        </w:rPr>
        <w:t>e Toluca</w:t>
      </w:r>
      <w:r>
        <w:rPr>
          <w:color w:val="000000"/>
        </w:rPr>
        <w:t>, mismo que establece que l</w:t>
      </w:r>
      <w:r w:rsidRPr="003D7EEC">
        <w:rPr>
          <w:color w:val="000000"/>
        </w:rPr>
        <w:t>a o el titular de la Dirección Gene</w:t>
      </w:r>
      <w:r>
        <w:rPr>
          <w:color w:val="000000"/>
        </w:rPr>
        <w:t>ral de Administración, tiene la  atribución de a</w:t>
      </w:r>
      <w:r w:rsidRPr="003D7EEC">
        <w:rPr>
          <w:color w:val="000000"/>
        </w:rPr>
        <w:t>utorizar la elaboración y distribución oportuna de la nómina al personal que labora en el Ayuntamiento,</w:t>
      </w:r>
      <w:r>
        <w:rPr>
          <w:color w:val="000000"/>
        </w:rPr>
        <w:t xml:space="preserve"> </w:t>
      </w:r>
      <w:r w:rsidRPr="003D7EEC">
        <w:rPr>
          <w:color w:val="000000"/>
        </w:rPr>
        <w:t>apegándose a la normatividad en la materia y al presupuesto autorizado</w:t>
      </w:r>
      <w:r>
        <w:rPr>
          <w:color w:val="000000"/>
        </w:rPr>
        <w:t>. Así mismo el a</w:t>
      </w:r>
      <w:r w:rsidRPr="003A7B6E">
        <w:rPr>
          <w:color w:val="000000"/>
        </w:rPr>
        <w:t>rtículo 3.33.</w:t>
      </w:r>
      <w:r>
        <w:rPr>
          <w:color w:val="000000"/>
        </w:rPr>
        <w:t xml:space="preserve">fracción IV, </w:t>
      </w:r>
      <w:r w:rsidRPr="003A7B6E">
        <w:rPr>
          <w:color w:val="000000"/>
        </w:rPr>
        <w:t xml:space="preserve"> </w:t>
      </w:r>
      <w:r>
        <w:rPr>
          <w:color w:val="000000"/>
        </w:rPr>
        <w:t>refiere que l</w:t>
      </w:r>
      <w:r w:rsidRPr="003A7B6E">
        <w:rPr>
          <w:color w:val="000000"/>
        </w:rPr>
        <w:t>a o el titular de la Dirección de Recursos Humanos</w:t>
      </w:r>
      <w:r>
        <w:rPr>
          <w:color w:val="000000"/>
        </w:rPr>
        <w:t>, que depende de la Dirección General de Administración,  cuenta con la atribución de c</w:t>
      </w:r>
      <w:r w:rsidRPr="003B74FD">
        <w:rPr>
          <w:color w:val="000000"/>
        </w:rPr>
        <w:t>oadyuvar con la Tesorería Municipal en la elaboración y distribución oportuna de la nómina para el</w:t>
      </w:r>
      <w:r>
        <w:rPr>
          <w:color w:val="000000"/>
        </w:rPr>
        <w:t xml:space="preserve"> </w:t>
      </w:r>
      <w:r w:rsidRPr="003B74FD">
        <w:rPr>
          <w:color w:val="000000"/>
        </w:rPr>
        <w:t>pago al personal que labora en el Ayuntamiento, por concepto de sueldos, prestaciones, liquidaciones</w:t>
      </w:r>
      <w:r>
        <w:rPr>
          <w:color w:val="000000"/>
        </w:rPr>
        <w:t xml:space="preserve"> </w:t>
      </w:r>
      <w:r w:rsidRPr="003B74FD">
        <w:rPr>
          <w:color w:val="000000"/>
        </w:rPr>
        <w:t>y finiquitos apegándose al presupuesto autorizado aplicado a través del capítulo 1000; así como en lo</w:t>
      </w:r>
      <w:r>
        <w:rPr>
          <w:color w:val="000000"/>
        </w:rPr>
        <w:t xml:space="preserve"> </w:t>
      </w:r>
      <w:r w:rsidRPr="003B74FD">
        <w:rPr>
          <w:color w:val="000000"/>
        </w:rPr>
        <w:t>relativo a las determinaciones de los impuestos y la emisión de los CFDI correspondientes una vez</w:t>
      </w:r>
      <w:r>
        <w:rPr>
          <w:color w:val="000000"/>
        </w:rPr>
        <w:t xml:space="preserve"> </w:t>
      </w:r>
      <w:r w:rsidRPr="003B74FD">
        <w:rPr>
          <w:color w:val="000000"/>
        </w:rPr>
        <w:t>realizado el pago;</w:t>
      </w:r>
    </w:p>
    <w:p w14:paraId="09687B58" w14:textId="77777777" w:rsidR="00CC4FC9" w:rsidRDefault="00CC4FC9" w:rsidP="00CC4FC9">
      <w:pPr>
        <w:spacing w:after="0" w:line="360" w:lineRule="auto"/>
        <w:rPr>
          <w:color w:val="000000"/>
        </w:rPr>
      </w:pPr>
    </w:p>
    <w:p w14:paraId="085082F0" w14:textId="5A209568" w:rsidR="00CC4FC9" w:rsidRDefault="00CC4FC9" w:rsidP="00CC4FC9">
      <w:pPr>
        <w:spacing w:after="0" w:line="360" w:lineRule="auto"/>
        <w:rPr>
          <w:color w:val="000000"/>
        </w:rPr>
      </w:pPr>
      <w:r>
        <w:rPr>
          <w:color w:val="000000"/>
        </w:rPr>
        <w:t xml:space="preserve">El mismo dispositivo normativo, contempla en su </w:t>
      </w:r>
      <w:r w:rsidRPr="003B74FD">
        <w:rPr>
          <w:color w:val="000000"/>
        </w:rPr>
        <w:t xml:space="preserve">Artículo 3.21. </w:t>
      </w:r>
      <w:r>
        <w:rPr>
          <w:color w:val="000000"/>
        </w:rPr>
        <w:t>fracción XXV que l</w:t>
      </w:r>
      <w:r w:rsidRPr="003B74FD">
        <w:rPr>
          <w:color w:val="000000"/>
        </w:rPr>
        <w:t>a o el titular de l</w:t>
      </w:r>
      <w:r>
        <w:rPr>
          <w:color w:val="000000"/>
        </w:rPr>
        <w:t>a Tesorería Municipal tendrá la</w:t>
      </w:r>
      <w:r w:rsidRPr="003B74FD">
        <w:rPr>
          <w:color w:val="000000"/>
        </w:rPr>
        <w:t xml:space="preserve"> </w:t>
      </w:r>
      <w:r>
        <w:rPr>
          <w:color w:val="000000"/>
        </w:rPr>
        <w:t xml:space="preserve">  atribución de p</w:t>
      </w:r>
      <w:r w:rsidRPr="003B74FD">
        <w:rPr>
          <w:color w:val="000000"/>
        </w:rPr>
        <w:t>agar la nómina mediante depósito bancario o bajo la modalidad convenida por el Sindicato que mayor</w:t>
      </w:r>
      <w:r>
        <w:rPr>
          <w:color w:val="000000"/>
        </w:rPr>
        <w:t xml:space="preserve"> </w:t>
      </w:r>
      <w:r w:rsidRPr="003B74FD">
        <w:rPr>
          <w:color w:val="000000"/>
        </w:rPr>
        <w:t>seguridad brinde a las y los servidores públicos en días y horas hábiles, en el lugar más cercano al centro</w:t>
      </w:r>
      <w:r>
        <w:rPr>
          <w:color w:val="000000"/>
        </w:rPr>
        <w:t xml:space="preserve"> </w:t>
      </w:r>
      <w:r w:rsidRPr="003B74FD">
        <w:rPr>
          <w:color w:val="000000"/>
        </w:rPr>
        <w:t>de trabajo del servidor público los días quince y último de cada mes o el día hábil inmediato anterior, si</w:t>
      </w:r>
      <w:r>
        <w:rPr>
          <w:color w:val="000000"/>
        </w:rPr>
        <w:t xml:space="preserve"> </w:t>
      </w:r>
      <w:r w:rsidRPr="003B74FD">
        <w:rPr>
          <w:color w:val="000000"/>
        </w:rPr>
        <w:t>no fueran laborables esas fechas</w:t>
      </w:r>
      <w:r>
        <w:rPr>
          <w:color w:val="000000"/>
        </w:rPr>
        <w:t>.</w:t>
      </w:r>
    </w:p>
    <w:p w14:paraId="55DD4AE6" w14:textId="77777777" w:rsidR="00CC4FC9" w:rsidRDefault="00CC4FC9" w:rsidP="00CC4FC9">
      <w:pPr>
        <w:spacing w:after="0" w:line="360" w:lineRule="auto"/>
        <w:ind w:right="-93"/>
        <w:rPr>
          <w:color w:val="000000"/>
        </w:rPr>
      </w:pPr>
    </w:p>
    <w:p w14:paraId="78B0FE7B" w14:textId="6FCAC27D" w:rsidR="00CC4FC9" w:rsidRPr="00CC4FC9" w:rsidRDefault="00CC4FC9" w:rsidP="00CC4FC9">
      <w:pPr>
        <w:spacing w:after="0" w:line="360" w:lineRule="auto"/>
        <w:ind w:right="-93"/>
        <w:rPr>
          <w:color w:val="000000"/>
        </w:rPr>
      </w:pPr>
      <w:r>
        <w:rPr>
          <w:color w:val="000000"/>
        </w:rPr>
        <w:t>De tal circunstancia, se logra vislumbrar que el Sujeto Obligado no acredito el primero de los requisitos, pues si bien turno la solicitud de la Dirección General de Administración, omitió hacerlo a la Tesorería Municipal; además, que</w:t>
      </w:r>
      <w:r w:rsidRPr="00CC4FC9">
        <w:rPr>
          <w:color w:val="000000"/>
        </w:rPr>
        <w:t xml:space="preserve"> este Instituto considera que no se cumplieron los requisitos establecidos en los incisos b, c y d, pues si bien señaló que realizó una búsqueda exhaustiva y razonable en sus archivos, no indicó en cuáles buscó; en otras palabras, no fue claro en señalar si realizó la indagación en los archivos con los que contaba, es decir, únicamente de la </w:t>
      </w:r>
      <w:r w:rsidRPr="00CC4FC9">
        <w:rPr>
          <w:color w:val="000000"/>
        </w:rPr>
        <w:lastRenderedPageBreak/>
        <w:t>administración 2025-2027, o si la realizó en los archivos de las administraciones pasadas, por lo que, tampoco estableció las circunstancias tomadas en cuenta.</w:t>
      </w:r>
    </w:p>
    <w:p w14:paraId="391FA082" w14:textId="77777777" w:rsidR="00CC4FC9" w:rsidRPr="00CC4FC9" w:rsidRDefault="00CC4FC9" w:rsidP="00CC4FC9">
      <w:pPr>
        <w:spacing w:after="0" w:line="360" w:lineRule="auto"/>
        <w:rPr>
          <w:color w:val="000000"/>
        </w:rPr>
      </w:pPr>
    </w:p>
    <w:p w14:paraId="0D5D5D64" w14:textId="1BAEF4C5" w:rsidR="00CC4FC9" w:rsidRPr="00CC4FC9" w:rsidRDefault="00CC4FC9" w:rsidP="00CC4FC9">
      <w:pPr>
        <w:spacing w:after="0" w:line="360" w:lineRule="auto"/>
        <w:rPr>
          <w:color w:val="000000"/>
        </w:rPr>
      </w:pPr>
      <w:r w:rsidRPr="00CC4FC9">
        <w:rPr>
          <w:color w:val="000000"/>
        </w:rPr>
        <w:t>Además, que el área en cuestión, tampoco acreditó la búsqueda en los archivos de trámite, ni de concentración que, conforme a la Ley de Archivos y Administración de Documentos del Estado de México y Municipios, debe contar el Sujeto Obligado.</w:t>
      </w:r>
    </w:p>
    <w:p w14:paraId="0B6C8BDA" w14:textId="77777777" w:rsidR="00CC4FC9" w:rsidRDefault="00CC4FC9" w:rsidP="00CC4FC9">
      <w:pPr>
        <w:spacing w:after="0" w:line="360" w:lineRule="auto"/>
        <w:rPr>
          <w:color w:val="000000"/>
        </w:rPr>
      </w:pPr>
    </w:p>
    <w:p w14:paraId="32FA8289" w14:textId="403285D3" w:rsidR="00CC4FC9" w:rsidRDefault="00CC4FC9" w:rsidP="00CC4FC9">
      <w:pPr>
        <w:spacing w:after="0" w:line="360" w:lineRule="auto"/>
        <w:ind w:right="-93"/>
      </w:pPr>
      <w:r>
        <w:rPr>
          <w:color w:val="000000"/>
        </w:rPr>
        <w:t>En otras palabras, el Sujeto Obligado no dio ningún elemento para acreditar que realizó la búsqueda en el archivo municipal, es decir, en los archivos de administraciones pasadas</w:t>
      </w:r>
      <w:r w:rsidR="007F75E2">
        <w:rPr>
          <w:color w:val="000000"/>
        </w:rPr>
        <w:t xml:space="preserve">, lo cual da como resultado que el agravio sea </w:t>
      </w:r>
      <w:r w:rsidR="007F75E2">
        <w:rPr>
          <w:b/>
          <w:bCs/>
          <w:color w:val="000000"/>
        </w:rPr>
        <w:t>FUNDADO</w:t>
      </w:r>
      <w:r>
        <w:rPr>
          <w:color w:val="000000"/>
        </w:rPr>
        <w:t xml:space="preserve">; por lo que, </w:t>
      </w:r>
      <w:r>
        <w:t xml:space="preserve">el Sujeto Obligado deberá realizar una búsqueda exhaustiva y razonable en los archivos, a efecto de que proporcione </w:t>
      </w:r>
      <w:r w:rsidR="007F75E2">
        <w:rPr>
          <w:color w:val="000000"/>
        </w:rPr>
        <w:t>los documentos donde  conste la nómina pagada al personal adscrito a la Contraloría Municipal, de la primera quincena de enero a la segunda de octubre de dos mil veintitrés</w:t>
      </w:r>
      <w:r>
        <w:rPr>
          <w:color w:val="000000"/>
        </w:rPr>
        <w:t xml:space="preserve">; </w:t>
      </w:r>
      <w: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A45331" w14:textId="77777777" w:rsidR="00CC4FC9" w:rsidRDefault="00CC4FC9" w:rsidP="00CC4FC9">
      <w:pPr>
        <w:spacing w:after="0" w:line="360" w:lineRule="auto"/>
        <w:rPr>
          <w:color w:val="000000"/>
        </w:rPr>
      </w:pPr>
    </w:p>
    <w:p w14:paraId="6B848156" w14:textId="77777777" w:rsidR="00C852C8" w:rsidRDefault="007A27E3" w:rsidP="00CC4FC9">
      <w:pPr>
        <w:spacing w:after="0" w:line="360" w:lineRule="auto"/>
      </w:pPr>
      <w:r>
        <w:t>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w:t>
      </w:r>
    </w:p>
    <w:p w14:paraId="5562A300" w14:textId="77777777" w:rsidR="00C852C8" w:rsidRDefault="00C852C8" w:rsidP="00CC4FC9">
      <w:pPr>
        <w:spacing w:after="0" w:line="360" w:lineRule="auto"/>
      </w:pPr>
    </w:p>
    <w:p w14:paraId="441410FD" w14:textId="74F50DA8" w:rsidR="00C852C8" w:rsidRDefault="007A27E3" w:rsidP="00CC4FC9">
      <w:pPr>
        <w:spacing w:after="0" w:line="360" w:lineRule="auto"/>
      </w:pPr>
      <w: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información solicitada</w:t>
      </w:r>
      <w:r w:rsidR="005546CE">
        <w:t>.</w:t>
      </w:r>
    </w:p>
    <w:p w14:paraId="000B9CA0" w14:textId="77777777" w:rsidR="00241BD3" w:rsidRDefault="00241BD3" w:rsidP="00CC4FC9">
      <w:pPr>
        <w:spacing w:after="0" w:line="360" w:lineRule="auto"/>
      </w:pPr>
    </w:p>
    <w:p w14:paraId="4B87EF45" w14:textId="77777777" w:rsidR="007F75E2" w:rsidRPr="007F75E2" w:rsidRDefault="007F75E2" w:rsidP="007F75E2">
      <w:pPr>
        <w:spacing w:after="0" w:line="360" w:lineRule="auto"/>
        <w:rPr>
          <w:color w:val="000000"/>
        </w:rPr>
      </w:pPr>
      <w:r>
        <w:t xml:space="preserve">Ahora bien, para el caso de que no localice la información y toda vez que debió ser generada, deberá </w:t>
      </w:r>
      <w:r w:rsidRPr="007F75E2">
        <w:rPr>
          <w:color w:val="000000"/>
        </w:rPr>
        <w:t xml:space="preserve">proporcionar el acta del Comité de Transparencia, donde confirme la inexistencia de la información. 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14:paraId="38F2FA17" w14:textId="77777777" w:rsidR="007F75E2" w:rsidRPr="007F75E2" w:rsidRDefault="007F75E2" w:rsidP="007F75E2">
      <w:pPr>
        <w:spacing w:after="0" w:line="360" w:lineRule="auto"/>
        <w:rPr>
          <w:color w:val="000000"/>
        </w:rPr>
      </w:pPr>
    </w:p>
    <w:p w14:paraId="5C711DE5" w14:textId="77777777" w:rsidR="007F75E2" w:rsidRPr="007F75E2" w:rsidRDefault="007F75E2" w:rsidP="007F75E2">
      <w:pPr>
        <w:spacing w:after="0" w:line="360" w:lineRule="auto"/>
        <w:rPr>
          <w:color w:val="000000"/>
        </w:rPr>
      </w:pPr>
      <w:r w:rsidRPr="007F75E2">
        <w:rPr>
          <w:color w:val="000000"/>
        </w:rP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7A94B65A" w14:textId="77777777" w:rsidR="007F75E2" w:rsidRPr="007F75E2" w:rsidRDefault="007F75E2" w:rsidP="007F75E2">
      <w:pPr>
        <w:spacing w:after="0" w:line="360" w:lineRule="auto"/>
        <w:ind w:left="567" w:right="567"/>
        <w:rPr>
          <w:color w:val="000000"/>
        </w:rPr>
      </w:pPr>
    </w:p>
    <w:p w14:paraId="36248492" w14:textId="77777777" w:rsidR="007F75E2" w:rsidRPr="007F75E2" w:rsidRDefault="007F75E2" w:rsidP="007F75E2">
      <w:pPr>
        <w:spacing w:after="0" w:line="360" w:lineRule="auto"/>
        <w:rPr>
          <w:color w:val="000000"/>
        </w:rPr>
      </w:pPr>
      <w:r w:rsidRPr="007F75E2">
        <w:rPr>
          <w:color w:val="000000"/>
        </w:rPr>
        <w:t>En ese orden de ideas, el Criterio de interpretación, de la Primera Época, con clave de control SO/012/2010, emitido por el Pleno del Instituto Nacional de Transparencia, Acceso a la Información y Protección de Datos Personales, mismo que se cita por analogía, establece lo siguiente:</w:t>
      </w:r>
    </w:p>
    <w:p w14:paraId="31FEA1D7" w14:textId="77777777" w:rsidR="007F75E2" w:rsidRPr="007F75E2" w:rsidRDefault="007F75E2" w:rsidP="007F75E2">
      <w:pPr>
        <w:tabs>
          <w:tab w:val="left" w:pos="4667"/>
        </w:tabs>
        <w:spacing w:after="0" w:line="360" w:lineRule="auto"/>
        <w:rPr>
          <w:color w:val="000000"/>
        </w:rPr>
      </w:pPr>
    </w:p>
    <w:p w14:paraId="109395EB" w14:textId="77777777" w:rsidR="007F75E2" w:rsidRPr="007F75E2" w:rsidRDefault="007F75E2" w:rsidP="007F75E2">
      <w:pPr>
        <w:tabs>
          <w:tab w:val="left" w:pos="4253"/>
        </w:tabs>
        <w:spacing w:after="0" w:line="360" w:lineRule="auto"/>
        <w:ind w:left="567" w:right="559"/>
        <w:rPr>
          <w:b/>
          <w:i/>
          <w:color w:val="000000"/>
          <w:sz w:val="20"/>
          <w:szCs w:val="20"/>
        </w:rPr>
      </w:pPr>
      <w:r w:rsidRPr="007F75E2">
        <w:rPr>
          <w:b/>
          <w:i/>
          <w:color w:val="000000"/>
          <w:sz w:val="20"/>
          <w:szCs w:val="20"/>
        </w:rPr>
        <w:t xml:space="preserve">“Propósito de la declaración formal de inexistencia. </w:t>
      </w:r>
      <w:r w:rsidRPr="007F75E2">
        <w:rPr>
          <w:i/>
          <w:color w:val="000000"/>
          <w:sz w:val="20"/>
          <w:szCs w:val="20"/>
        </w:rPr>
        <w:t xml:space="preserve">Atendiendo a lo dispuesto por los artículos 43, 46 de la Ley Federal de Transparencia y Acceso a la Información Pública Gubernamental y 70 de su Reglamento, en los que se prevé el procedimiento a seguir para declarar la inexistencia de la </w:t>
      </w:r>
      <w:r w:rsidRPr="007F75E2">
        <w:rPr>
          <w:i/>
          <w:color w:val="000000"/>
          <w:sz w:val="20"/>
          <w:szCs w:val="20"/>
        </w:rPr>
        <w:lastRenderedPageBreak/>
        <w:t xml:space="preserve">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7F75E2">
        <w:rPr>
          <w:b/>
          <w:i/>
          <w:color w:val="000000"/>
          <w:sz w:val="20"/>
          <w:szCs w:val="20"/>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08EAFF90" w14:textId="77777777" w:rsidR="007F75E2" w:rsidRPr="007F75E2" w:rsidRDefault="007F75E2" w:rsidP="007F75E2">
      <w:pPr>
        <w:tabs>
          <w:tab w:val="left" w:pos="4667"/>
        </w:tabs>
        <w:spacing w:after="0" w:line="360" w:lineRule="auto"/>
        <w:rPr>
          <w:color w:val="000000"/>
        </w:rPr>
      </w:pPr>
    </w:p>
    <w:p w14:paraId="3A5AEAB7" w14:textId="77777777" w:rsidR="007F75E2" w:rsidRPr="007F75E2" w:rsidRDefault="007F75E2" w:rsidP="007F75E2">
      <w:pPr>
        <w:spacing w:after="0" w:line="360" w:lineRule="auto"/>
        <w:rPr>
          <w:color w:val="000000"/>
        </w:rPr>
      </w:pPr>
      <w:r w:rsidRPr="007F75E2">
        <w:rPr>
          <w:color w:val="000000"/>
        </w:rPr>
        <w:t xml:space="preserve">De la misma manera, el Criterio de interpretación, de la Segunda Época, con clave de control SO/004/2019, emitido por el del Instituto Nacional de Transparencia, Acceso a la Información y Protección de Datos Personales, cuyo texto y rubro son los siguientes: </w:t>
      </w:r>
    </w:p>
    <w:p w14:paraId="4CEB392F" w14:textId="77777777" w:rsidR="007F75E2" w:rsidRPr="007F75E2" w:rsidRDefault="007F75E2" w:rsidP="007F75E2">
      <w:pPr>
        <w:tabs>
          <w:tab w:val="left" w:pos="4667"/>
        </w:tabs>
        <w:spacing w:after="0" w:line="360" w:lineRule="auto"/>
        <w:rPr>
          <w:color w:val="000000"/>
        </w:rPr>
      </w:pPr>
    </w:p>
    <w:p w14:paraId="76FD9D95" w14:textId="77777777" w:rsidR="007F75E2" w:rsidRPr="007F75E2" w:rsidRDefault="007F75E2" w:rsidP="007F75E2">
      <w:pPr>
        <w:tabs>
          <w:tab w:val="left" w:pos="4667"/>
        </w:tabs>
        <w:spacing w:after="0" w:line="360" w:lineRule="auto"/>
        <w:ind w:left="567" w:right="567"/>
        <w:rPr>
          <w:i/>
          <w:color w:val="000000"/>
          <w:sz w:val="20"/>
          <w:szCs w:val="20"/>
        </w:rPr>
      </w:pPr>
      <w:r w:rsidRPr="007F75E2">
        <w:rPr>
          <w:b/>
          <w:i/>
          <w:color w:val="000000"/>
          <w:sz w:val="20"/>
          <w:szCs w:val="20"/>
        </w:rPr>
        <w:t>“Propósito de la declaración formal de inexistencia.</w:t>
      </w:r>
      <w:r w:rsidRPr="007F75E2">
        <w:rPr>
          <w:i/>
          <w:color w:val="000000"/>
          <w:sz w:val="20"/>
          <w:szCs w:val="20"/>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7A935157" w14:textId="77777777" w:rsidR="007F75E2" w:rsidRPr="007F75E2" w:rsidRDefault="007F75E2" w:rsidP="007F75E2">
      <w:pPr>
        <w:tabs>
          <w:tab w:val="left" w:pos="4667"/>
        </w:tabs>
        <w:spacing w:after="0" w:line="360" w:lineRule="auto"/>
        <w:rPr>
          <w:color w:val="000000"/>
        </w:rPr>
      </w:pPr>
    </w:p>
    <w:p w14:paraId="00A46C52" w14:textId="77777777" w:rsidR="007F75E2" w:rsidRPr="007F75E2" w:rsidRDefault="007F75E2" w:rsidP="007F75E2">
      <w:pPr>
        <w:tabs>
          <w:tab w:val="left" w:pos="4667"/>
        </w:tabs>
        <w:spacing w:after="0" w:line="360" w:lineRule="auto"/>
        <w:rPr>
          <w:color w:val="000000"/>
        </w:rPr>
      </w:pPr>
      <w:r w:rsidRPr="007F75E2">
        <w:rPr>
          <w:color w:val="000000"/>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w:t>
      </w:r>
      <w:r w:rsidRPr="007F75E2">
        <w:rPr>
          <w:color w:val="000000"/>
        </w:rPr>
        <w:lastRenderedPageBreak/>
        <w:t>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14:paraId="3EDC470D" w14:textId="77777777" w:rsidR="007F75E2" w:rsidRPr="007F75E2" w:rsidRDefault="007F75E2" w:rsidP="007F75E2">
      <w:pPr>
        <w:spacing w:after="0" w:line="360" w:lineRule="auto"/>
        <w:ind w:right="-93"/>
        <w:rPr>
          <w:color w:val="000000"/>
        </w:rPr>
      </w:pPr>
    </w:p>
    <w:p w14:paraId="239E9F95" w14:textId="77777777" w:rsidR="007F75E2" w:rsidRPr="007F75E2" w:rsidRDefault="007F75E2" w:rsidP="007F75E2">
      <w:pPr>
        <w:numPr>
          <w:ilvl w:val="0"/>
          <w:numId w:val="19"/>
        </w:numPr>
        <w:spacing w:after="0" w:line="360" w:lineRule="auto"/>
        <w:ind w:right="-93"/>
        <w:rPr>
          <w:b/>
          <w:color w:val="000000"/>
        </w:rPr>
      </w:pPr>
      <w:r w:rsidRPr="007F75E2">
        <w:rPr>
          <w:b/>
          <w:color w:val="000000"/>
        </w:rPr>
        <w:t>Los elementos que le permitan a los solicitantes tener certeza de que el Sujeto Obligado utilizó un criterio de búsqueda exhaustivo:</w:t>
      </w:r>
      <w:r w:rsidRPr="007F75E2">
        <w:rPr>
          <w:color w:val="000000"/>
        </w:rPr>
        <w:t xml:space="preserve"> Para atender dicho supuesto, se debe precisar en qué unidades administrativas buscó, así como en el tipo de archivos y la manera en que realizó la indagación;</w:t>
      </w:r>
    </w:p>
    <w:p w14:paraId="175CDE9D" w14:textId="77777777" w:rsidR="007F75E2" w:rsidRPr="007F75E2" w:rsidRDefault="007F75E2" w:rsidP="007F75E2">
      <w:pPr>
        <w:spacing w:after="0" w:line="360" w:lineRule="auto"/>
        <w:ind w:left="720" w:right="-93"/>
        <w:rPr>
          <w:b/>
          <w:color w:val="000000"/>
        </w:rPr>
      </w:pPr>
    </w:p>
    <w:p w14:paraId="60D4EB73" w14:textId="77777777" w:rsidR="007F75E2" w:rsidRPr="007F75E2" w:rsidRDefault="007F75E2" w:rsidP="007F75E2">
      <w:pPr>
        <w:numPr>
          <w:ilvl w:val="0"/>
          <w:numId w:val="19"/>
        </w:numPr>
        <w:spacing w:after="0" w:line="360" w:lineRule="auto"/>
        <w:ind w:right="-93"/>
        <w:rPr>
          <w:b/>
          <w:color w:val="000000"/>
        </w:rPr>
      </w:pPr>
      <w:r w:rsidRPr="007F75E2">
        <w:rPr>
          <w:b/>
          <w:color w:val="000000"/>
        </w:rPr>
        <w:t xml:space="preserve">Las circunstancias de tiempo, modo y lugar que motiven las razones por las cuales la información es inexistente: </w:t>
      </w:r>
      <w:r w:rsidRPr="007F75E2">
        <w:rPr>
          <w:color w:val="000000"/>
        </w:rPr>
        <w:t>Al respecto, los sujetos obligados para acreditar dicho punto, deberán proveer la mayor cantidad de elementos posibles que permitan evidencia las razones por las cuales la información requerida no existe</w:t>
      </w:r>
      <w:r w:rsidRPr="007F75E2">
        <w:rPr>
          <w:b/>
          <w:color w:val="000000"/>
        </w:rPr>
        <w:t>,</w:t>
      </w:r>
      <w:r w:rsidRPr="007F75E2">
        <w:rPr>
          <w:color w:val="000000"/>
        </w:rPr>
        <w:t xml:space="preserve"> y</w:t>
      </w:r>
    </w:p>
    <w:p w14:paraId="63598061" w14:textId="77777777" w:rsidR="007F75E2" w:rsidRPr="007F75E2" w:rsidRDefault="007F75E2" w:rsidP="007F75E2">
      <w:pPr>
        <w:spacing w:after="0" w:line="360" w:lineRule="auto"/>
        <w:ind w:right="-93"/>
        <w:rPr>
          <w:b/>
          <w:color w:val="000000"/>
        </w:rPr>
      </w:pPr>
    </w:p>
    <w:p w14:paraId="7B9EEEC3" w14:textId="77777777" w:rsidR="007F75E2" w:rsidRPr="007F75E2" w:rsidRDefault="007F75E2" w:rsidP="007F75E2">
      <w:pPr>
        <w:numPr>
          <w:ilvl w:val="0"/>
          <w:numId w:val="19"/>
        </w:numPr>
        <w:spacing w:after="0" w:line="360" w:lineRule="auto"/>
        <w:ind w:right="-93"/>
        <w:rPr>
          <w:b/>
          <w:color w:val="000000"/>
        </w:rPr>
      </w:pPr>
      <w:r w:rsidRPr="007F75E2">
        <w:rPr>
          <w:b/>
          <w:color w:val="000000"/>
        </w:rPr>
        <w:t>El servidor público responsable de contar con ésta</w:t>
      </w:r>
      <w:r w:rsidRPr="007F75E2">
        <w:rPr>
          <w:color w:val="000000"/>
        </w:rPr>
        <w:t>: Es importante indicar, el cargo y las razones jurídicas por las cuales debió generar la información, es decir, que con base a la normatividad interna las facultades por las cuales tuvo que elaborar el documento requerido.</w:t>
      </w:r>
    </w:p>
    <w:p w14:paraId="1B3AB3C4" w14:textId="77777777" w:rsidR="007F75E2" w:rsidRPr="007F75E2" w:rsidRDefault="007F75E2" w:rsidP="007F75E2">
      <w:pPr>
        <w:spacing w:after="0" w:line="360" w:lineRule="auto"/>
        <w:ind w:right="-93"/>
        <w:rPr>
          <w:color w:val="000000"/>
        </w:rPr>
      </w:pPr>
    </w:p>
    <w:p w14:paraId="360F22AC" w14:textId="5530EFB2" w:rsidR="007F75E2" w:rsidRPr="007F75E2" w:rsidRDefault="007F75E2" w:rsidP="007F75E2">
      <w:pPr>
        <w:spacing w:after="0" w:line="360" w:lineRule="auto"/>
        <w:rPr>
          <w:color w:val="000000"/>
        </w:rPr>
      </w:pPr>
      <w:r w:rsidRPr="007F75E2">
        <w:rPr>
          <w:color w:val="000000"/>
        </w:rPr>
        <w:t xml:space="preserve">Conforme a lo citado, se considera que es necesario que el Ayuntamiento de Toluca, </w:t>
      </w:r>
      <w:r w:rsidRPr="007F75E2">
        <w:rPr>
          <w:b/>
          <w:color w:val="000000"/>
        </w:rPr>
        <w:t xml:space="preserve">declare por medio de su Comité de Transparencia, la inexistencia </w:t>
      </w:r>
      <w:r>
        <w:rPr>
          <w:b/>
          <w:color w:val="000000"/>
        </w:rPr>
        <w:t>de la nómina pagada al personal de la Contraloría Municipal</w:t>
      </w:r>
      <w:r w:rsidRPr="007F75E2">
        <w:rPr>
          <w:b/>
          <w:color w:val="000000"/>
        </w:rPr>
        <w:t xml:space="preserve">; </w:t>
      </w:r>
      <w:r w:rsidRPr="007F75E2">
        <w:rPr>
          <w:color w:val="000000"/>
        </w:rPr>
        <w:t>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7DB1EA5C" w14:textId="77777777" w:rsidR="007F75E2" w:rsidRPr="007F75E2" w:rsidRDefault="007F75E2" w:rsidP="007F75E2">
      <w:pPr>
        <w:spacing w:after="0" w:line="360" w:lineRule="auto"/>
        <w:rPr>
          <w:color w:val="000000"/>
        </w:rPr>
      </w:pPr>
    </w:p>
    <w:p w14:paraId="2D78CF5F" w14:textId="77777777" w:rsidR="007F75E2" w:rsidRPr="007F75E2" w:rsidRDefault="007F75E2" w:rsidP="007F75E2">
      <w:pPr>
        <w:numPr>
          <w:ilvl w:val="0"/>
          <w:numId w:val="20"/>
        </w:numPr>
        <w:spacing w:after="0" w:line="360" w:lineRule="auto"/>
        <w:jc w:val="left"/>
        <w:rPr>
          <w:color w:val="000000"/>
        </w:rPr>
      </w:pPr>
      <w:r w:rsidRPr="007F75E2">
        <w:rPr>
          <w:color w:val="000000"/>
        </w:rPr>
        <w:lastRenderedPageBreak/>
        <w:t>Analizar el caso y tomar las medidas necesarias para localizar la información;</w:t>
      </w:r>
    </w:p>
    <w:p w14:paraId="0EB84469" w14:textId="77777777" w:rsidR="007F75E2" w:rsidRPr="007F75E2" w:rsidRDefault="007F75E2" w:rsidP="007F75E2">
      <w:pPr>
        <w:spacing w:after="0" w:line="360" w:lineRule="auto"/>
        <w:ind w:left="720"/>
        <w:jc w:val="left"/>
        <w:rPr>
          <w:color w:val="000000"/>
        </w:rPr>
      </w:pPr>
    </w:p>
    <w:p w14:paraId="4E251BE7" w14:textId="77777777" w:rsidR="007F75E2" w:rsidRPr="007F75E2" w:rsidRDefault="007F75E2" w:rsidP="007F75E2">
      <w:pPr>
        <w:numPr>
          <w:ilvl w:val="0"/>
          <w:numId w:val="20"/>
        </w:numPr>
        <w:spacing w:after="0" w:line="360" w:lineRule="auto"/>
        <w:rPr>
          <w:color w:val="000000"/>
        </w:rPr>
      </w:pPr>
      <w:r w:rsidRPr="007F75E2">
        <w:rPr>
          <w:color w:val="000000"/>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00AC49C2" w14:textId="77777777" w:rsidR="007F75E2" w:rsidRPr="007F75E2" w:rsidRDefault="007F75E2" w:rsidP="007F75E2">
      <w:pPr>
        <w:spacing w:after="0" w:line="360" w:lineRule="auto"/>
        <w:jc w:val="left"/>
        <w:rPr>
          <w:color w:val="000000"/>
        </w:rPr>
      </w:pPr>
    </w:p>
    <w:p w14:paraId="6C964CF9" w14:textId="77777777" w:rsidR="007F75E2" w:rsidRPr="007F75E2" w:rsidRDefault="007F75E2" w:rsidP="007F75E2">
      <w:pPr>
        <w:numPr>
          <w:ilvl w:val="0"/>
          <w:numId w:val="20"/>
        </w:numPr>
        <w:spacing w:after="0" w:line="360" w:lineRule="auto"/>
        <w:rPr>
          <w:color w:val="000000"/>
        </w:rPr>
      </w:pPr>
      <w:r w:rsidRPr="007F75E2">
        <w:rPr>
          <w:color w:val="000000"/>
        </w:rPr>
        <w:t>Ordenar, siempre que sea materialmente posible, que se genere o reponga la información en caso que ésta tuviera que existir o previa acreditación de la imposibilidad de su generación, exponga de forma fundada y motivada las razones de dicha situación.</w:t>
      </w:r>
    </w:p>
    <w:p w14:paraId="5D13E0D2" w14:textId="77777777" w:rsidR="007F75E2" w:rsidRPr="007F75E2" w:rsidRDefault="007F75E2" w:rsidP="007F75E2">
      <w:pPr>
        <w:spacing w:after="0" w:line="360" w:lineRule="auto"/>
        <w:ind w:right="-93"/>
        <w:rPr>
          <w:color w:val="000000"/>
        </w:rPr>
      </w:pPr>
    </w:p>
    <w:p w14:paraId="5EA4C11D" w14:textId="77777777" w:rsidR="007F75E2" w:rsidRPr="007F75E2" w:rsidRDefault="007F75E2" w:rsidP="007F75E2">
      <w:pPr>
        <w:spacing w:after="0" w:line="360" w:lineRule="auto"/>
        <w:rPr>
          <w:color w:val="000000"/>
        </w:rPr>
      </w:pPr>
      <w:r w:rsidRPr="007F75E2">
        <w:rPr>
          <w:color w:val="000000"/>
        </w:rPr>
        <w:t xml:space="preserve">Conforme a lo anterior, en el presente caso, se considera que es necesario que el Ayuntamiento de Capulhuac, </w:t>
      </w:r>
      <w:r w:rsidRPr="007F75E2">
        <w:rPr>
          <w:b/>
          <w:color w:val="000000"/>
        </w:rPr>
        <w:t xml:space="preserve">declare por medio de su Comité de Transparencia, la inexistencia de las Actas que no localice, </w:t>
      </w:r>
      <w:r w:rsidRPr="007F75E2">
        <w:rPr>
          <w:color w:val="000000"/>
        </w:rPr>
        <w:t>con el fin de dar cumplimiento al tercer párrafo, del artículo 19 de la Ley de Transparencia y Acceso a la Información Pública del Estado de México y Municipios.</w:t>
      </w:r>
    </w:p>
    <w:p w14:paraId="2D143212" w14:textId="719153CB" w:rsidR="007F75E2" w:rsidRDefault="007F75E2" w:rsidP="00CC4FC9">
      <w:pPr>
        <w:spacing w:after="0" w:line="360" w:lineRule="auto"/>
      </w:pPr>
    </w:p>
    <w:p w14:paraId="39FA5477" w14:textId="77777777" w:rsidR="00C852C8" w:rsidRDefault="007A27E3" w:rsidP="00CC4FC9">
      <w:pPr>
        <w:spacing w:after="0" w:line="360" w:lineRule="auto"/>
        <w:rPr>
          <w:color w:val="000000"/>
        </w:rPr>
      </w:pPr>
      <w:r>
        <w:rPr>
          <w:color w:val="000000"/>
        </w:rPr>
        <w:t>Ahora bien, no pasa desapercibido que los documentos que den cuenta de lo solicitado pudieran contener de manera enunciativa más no limitativa los siguientes datos:</w:t>
      </w:r>
    </w:p>
    <w:p w14:paraId="53872834" w14:textId="77777777" w:rsidR="00C852C8" w:rsidRDefault="00C852C8" w:rsidP="00CC4FC9">
      <w:pPr>
        <w:spacing w:after="0" w:line="360" w:lineRule="auto"/>
        <w:rPr>
          <w:color w:val="000000"/>
        </w:rPr>
      </w:pPr>
    </w:p>
    <w:p w14:paraId="031E3DF8" w14:textId="77777777" w:rsidR="00C852C8" w:rsidRDefault="007A27E3" w:rsidP="00CC4FC9">
      <w:pPr>
        <w:numPr>
          <w:ilvl w:val="0"/>
          <w:numId w:val="5"/>
        </w:numPr>
        <w:spacing w:after="0" w:line="360" w:lineRule="auto"/>
        <w:rPr>
          <w:color w:val="000000"/>
        </w:rPr>
      </w:pPr>
      <w:bookmarkStart w:id="14" w:name="_heading=h.htxo5f8qb84d" w:colFirst="0" w:colLast="0"/>
      <w:bookmarkEnd w:id="14"/>
      <w:r>
        <w:rPr>
          <w:color w:val="000000"/>
        </w:rPr>
        <w:t>Clave Única de Registro de Población (CURP);</w:t>
      </w:r>
    </w:p>
    <w:p w14:paraId="3A3BF5DC" w14:textId="77777777" w:rsidR="00C852C8" w:rsidRDefault="007A27E3" w:rsidP="00CC4FC9">
      <w:pPr>
        <w:numPr>
          <w:ilvl w:val="0"/>
          <w:numId w:val="5"/>
        </w:numPr>
        <w:spacing w:after="0" w:line="360" w:lineRule="auto"/>
        <w:rPr>
          <w:color w:val="000000"/>
        </w:rPr>
      </w:pPr>
      <w:r>
        <w:rPr>
          <w:color w:val="000000"/>
        </w:rPr>
        <w:t>Registro Federal de Contribuyentes del servidor público (RFC);</w:t>
      </w:r>
    </w:p>
    <w:p w14:paraId="2953DD8E" w14:textId="77777777" w:rsidR="00C852C8" w:rsidRDefault="007A27E3" w:rsidP="00CC4FC9">
      <w:pPr>
        <w:numPr>
          <w:ilvl w:val="0"/>
          <w:numId w:val="5"/>
        </w:numPr>
        <w:spacing w:after="0" w:line="360" w:lineRule="auto"/>
        <w:rPr>
          <w:color w:val="000000"/>
        </w:rPr>
      </w:pPr>
      <w:r>
        <w:rPr>
          <w:color w:val="000000"/>
        </w:rPr>
        <w:t>Número de seguridad social del Instituto de Seguridad Social del Estado de México y Municipios;</w:t>
      </w:r>
    </w:p>
    <w:p w14:paraId="116758E5" w14:textId="77777777" w:rsidR="00C852C8" w:rsidRDefault="007A27E3" w:rsidP="00CC4FC9">
      <w:pPr>
        <w:numPr>
          <w:ilvl w:val="0"/>
          <w:numId w:val="5"/>
        </w:numPr>
        <w:spacing w:after="0" w:line="360" w:lineRule="auto"/>
        <w:rPr>
          <w:color w:val="000000"/>
        </w:rPr>
      </w:pPr>
      <w:r>
        <w:rPr>
          <w:color w:val="000000"/>
        </w:rPr>
        <w:t>Deducciones personales, y</w:t>
      </w:r>
    </w:p>
    <w:p w14:paraId="44CA0788" w14:textId="77777777" w:rsidR="00C852C8" w:rsidRDefault="007A27E3" w:rsidP="00CC4FC9">
      <w:pPr>
        <w:numPr>
          <w:ilvl w:val="0"/>
          <w:numId w:val="5"/>
        </w:numPr>
        <w:spacing w:after="0" w:line="360" w:lineRule="auto"/>
        <w:rPr>
          <w:color w:val="000000"/>
        </w:rPr>
      </w:pPr>
      <w:r>
        <w:rPr>
          <w:color w:val="000000"/>
        </w:rPr>
        <w:t>Cuenta Bancaria.</w:t>
      </w:r>
    </w:p>
    <w:p w14:paraId="158FCB0B" w14:textId="77777777" w:rsidR="00C852C8" w:rsidRDefault="00C852C8" w:rsidP="00CC4FC9">
      <w:pPr>
        <w:spacing w:after="0" w:line="360" w:lineRule="auto"/>
        <w:ind w:right="-93"/>
        <w:rPr>
          <w:color w:val="000000"/>
        </w:rPr>
      </w:pPr>
    </w:p>
    <w:p w14:paraId="486D2848" w14:textId="77777777" w:rsidR="00C852C8" w:rsidRDefault="007A27E3" w:rsidP="00CC4FC9">
      <w:pPr>
        <w:spacing w:after="0" w:line="360" w:lineRule="auto"/>
        <w:ind w:right="-28"/>
        <w:rPr>
          <w:color w:val="000000"/>
        </w:rPr>
      </w:pPr>
      <w:r>
        <w:rPr>
          <w:color w:val="000000"/>
        </w:rPr>
        <w:lastRenderedPageBreak/>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1EAF3058" w14:textId="77777777" w:rsidR="00C852C8" w:rsidRDefault="00C852C8" w:rsidP="00CC4FC9">
      <w:pPr>
        <w:spacing w:after="0" w:line="360" w:lineRule="auto"/>
        <w:rPr>
          <w:color w:val="000000"/>
        </w:rPr>
      </w:pPr>
    </w:p>
    <w:p w14:paraId="41DE5FCF" w14:textId="77777777" w:rsidR="00C852C8" w:rsidRDefault="007A27E3" w:rsidP="00CC4FC9">
      <w:pPr>
        <w:spacing w:after="0" w:line="360" w:lineRule="auto"/>
        <w:rPr>
          <w:color w:val="000000"/>
        </w:rPr>
      </w:pPr>
      <w:r>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B0E58C0" w14:textId="77777777" w:rsidR="00C852C8" w:rsidRDefault="00C852C8" w:rsidP="00CC4FC9">
      <w:pPr>
        <w:spacing w:after="0" w:line="360" w:lineRule="auto"/>
        <w:rPr>
          <w:color w:val="000000"/>
        </w:rPr>
      </w:pPr>
    </w:p>
    <w:p w14:paraId="406F7B57" w14:textId="77777777" w:rsidR="00C852C8" w:rsidRDefault="007A27E3" w:rsidP="00CC4FC9">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0FDB9E49" w14:textId="77777777" w:rsidR="00C852C8" w:rsidRDefault="00C852C8" w:rsidP="00CC4FC9">
      <w:pPr>
        <w:spacing w:after="0" w:line="360" w:lineRule="auto"/>
        <w:rPr>
          <w:color w:val="000000"/>
        </w:rPr>
      </w:pPr>
    </w:p>
    <w:p w14:paraId="77541CA6" w14:textId="77777777" w:rsidR="00C852C8" w:rsidRDefault="007A27E3" w:rsidP="00CC4FC9">
      <w:pPr>
        <w:numPr>
          <w:ilvl w:val="0"/>
          <w:numId w:val="6"/>
        </w:numPr>
        <w:spacing w:after="0" w:line="360" w:lineRule="auto"/>
        <w:rPr>
          <w:color w:val="000000"/>
        </w:rPr>
      </w:pPr>
      <w:r>
        <w:rPr>
          <w:color w:val="000000"/>
        </w:rPr>
        <w:t xml:space="preserve">Se trate de datos personales o información privada; esto es, información concerniente a una persona física o </w:t>
      </w:r>
      <w:r>
        <w:t>jurídica</w:t>
      </w:r>
      <w:r>
        <w:rPr>
          <w:color w:val="000000"/>
        </w:rPr>
        <w:t xml:space="preserve"> colectiva y que esta sea identificada o identificable. </w:t>
      </w:r>
    </w:p>
    <w:p w14:paraId="70DC0D1B" w14:textId="77777777" w:rsidR="00C852C8" w:rsidRDefault="00C852C8" w:rsidP="00CC4FC9">
      <w:pPr>
        <w:spacing w:after="0" w:line="360" w:lineRule="auto"/>
        <w:ind w:left="360"/>
        <w:rPr>
          <w:color w:val="000000"/>
        </w:rPr>
      </w:pPr>
    </w:p>
    <w:p w14:paraId="44EFA7F0" w14:textId="77777777" w:rsidR="00C852C8" w:rsidRDefault="007A27E3" w:rsidP="00CC4FC9">
      <w:pPr>
        <w:numPr>
          <w:ilvl w:val="0"/>
          <w:numId w:val="6"/>
        </w:numPr>
        <w:spacing w:after="0" w:line="360" w:lineRule="auto"/>
        <w:rPr>
          <w:color w:val="000000"/>
        </w:rPr>
      </w:pPr>
      <w:r>
        <w:rPr>
          <w:color w:val="000000"/>
        </w:rPr>
        <w:t xml:space="preserve">Para la difusión de los datos, se </w:t>
      </w:r>
      <w:r>
        <w:t>requiere</w:t>
      </w:r>
      <w:r>
        <w:rPr>
          <w:color w:val="000000"/>
        </w:rPr>
        <w:t xml:space="preserve"> el consentimiento del titular. </w:t>
      </w:r>
    </w:p>
    <w:p w14:paraId="390A8804" w14:textId="77777777" w:rsidR="00C852C8" w:rsidRDefault="00C852C8" w:rsidP="00CC4FC9">
      <w:pPr>
        <w:spacing w:after="0" w:line="360" w:lineRule="auto"/>
        <w:rPr>
          <w:color w:val="000000"/>
        </w:rPr>
      </w:pPr>
    </w:p>
    <w:p w14:paraId="6410D585" w14:textId="77777777" w:rsidR="00C852C8" w:rsidRDefault="007A27E3" w:rsidP="00CC4FC9">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Pr>
          <w:color w:val="000000"/>
        </w:rPr>
        <w:lastRenderedPageBreak/>
        <w:t xml:space="preserve">(cuando su identidad pueda determinarse directa o indirectamente a través de cualquier documento informativo físico o electrónico), establecida en cualquier formato o modalidad. </w:t>
      </w:r>
    </w:p>
    <w:p w14:paraId="74DC47E0" w14:textId="77777777" w:rsidR="00C852C8" w:rsidRDefault="00C852C8" w:rsidP="00CC4FC9">
      <w:pPr>
        <w:spacing w:after="0" w:line="360" w:lineRule="auto"/>
        <w:rPr>
          <w:color w:val="000000"/>
        </w:rPr>
      </w:pPr>
    </w:p>
    <w:p w14:paraId="41BE402E" w14:textId="77777777" w:rsidR="00C852C8" w:rsidRDefault="007A27E3" w:rsidP="00CC4FC9">
      <w:pPr>
        <w:spacing w:after="0" w:line="360" w:lineRule="auto"/>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AB0FC74" w14:textId="77777777" w:rsidR="00C852C8" w:rsidRDefault="00C852C8" w:rsidP="00CC4FC9">
      <w:pPr>
        <w:spacing w:after="0" w:line="360" w:lineRule="auto"/>
        <w:ind w:right="-28"/>
        <w:rPr>
          <w:color w:val="000000"/>
        </w:rPr>
      </w:pPr>
    </w:p>
    <w:p w14:paraId="32D1BC84" w14:textId="77777777" w:rsidR="00C852C8" w:rsidRDefault="007A27E3" w:rsidP="00CC4FC9">
      <w:pPr>
        <w:numPr>
          <w:ilvl w:val="0"/>
          <w:numId w:val="7"/>
        </w:numPr>
        <w:spacing w:after="0" w:line="360" w:lineRule="auto"/>
        <w:rPr>
          <w:b/>
          <w:color w:val="000000"/>
        </w:rPr>
      </w:pPr>
      <w:r>
        <w:rPr>
          <w:b/>
          <w:color w:val="000000"/>
        </w:rPr>
        <w:t>Clave Única de Registro de Población (CURP)</w:t>
      </w:r>
    </w:p>
    <w:p w14:paraId="3339EDA5" w14:textId="77777777" w:rsidR="00C852C8" w:rsidRDefault="00C852C8" w:rsidP="00CC4FC9">
      <w:pPr>
        <w:spacing w:after="0" w:line="360" w:lineRule="auto"/>
        <w:rPr>
          <w:color w:val="000000"/>
        </w:rPr>
      </w:pPr>
    </w:p>
    <w:p w14:paraId="505E96AD" w14:textId="77777777" w:rsidR="00C852C8" w:rsidRDefault="007A27E3" w:rsidP="00CC4FC9">
      <w:pPr>
        <w:spacing w:after="0" w:line="360" w:lineRule="auto"/>
        <w:rPr>
          <w:color w:val="000000"/>
        </w:rPr>
      </w:pPr>
      <w:r>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7C74C7A" w14:textId="77777777" w:rsidR="00C852C8" w:rsidRDefault="00C852C8" w:rsidP="00CC4FC9">
      <w:pPr>
        <w:spacing w:after="0" w:line="360" w:lineRule="auto"/>
        <w:rPr>
          <w:color w:val="000000"/>
        </w:rPr>
      </w:pPr>
    </w:p>
    <w:p w14:paraId="13CDD82A" w14:textId="77777777" w:rsidR="00C852C8" w:rsidRDefault="007A27E3" w:rsidP="00CC4FC9">
      <w:pPr>
        <w:spacing w:after="0" w:line="360" w:lineRule="auto"/>
        <w:rPr>
          <w:color w:val="000000"/>
        </w:rPr>
      </w:pPr>
      <w:r>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AEA6FB0" w14:textId="77777777" w:rsidR="00C852C8" w:rsidRDefault="00C852C8" w:rsidP="00CC4FC9">
      <w:pPr>
        <w:spacing w:after="0" w:line="360" w:lineRule="auto"/>
        <w:rPr>
          <w:color w:val="000000"/>
        </w:rPr>
      </w:pPr>
    </w:p>
    <w:p w14:paraId="6ECBA81F" w14:textId="2D77A1EE" w:rsidR="00C852C8" w:rsidRDefault="007A27E3" w:rsidP="00CC4FC9">
      <w:pPr>
        <w:spacing w:after="0" w:line="360" w:lineRule="auto"/>
        <w:rPr>
          <w:color w:val="000000"/>
        </w:rPr>
      </w:pPr>
      <w:r>
        <w:rPr>
          <w:color w:val="000000"/>
        </w:rPr>
        <w:t xml:space="preserve">En ese orden de ideas, la Secretaría de Gobernación en las direcciones </w:t>
      </w:r>
      <w:hyperlink r:id="rId10">
        <w:r>
          <w:rPr>
            <w:color w:val="000000"/>
            <w:u w:val="single"/>
          </w:rPr>
          <w:t>https://consultas.curp.gob.mx/CurpSP/html/informacionecurpPS.html</w:t>
        </w:r>
      </w:hyperlink>
      <w:r>
        <w:rPr>
          <w:color w:val="000000"/>
        </w:rPr>
        <w:t xml:space="preserve"> y </w:t>
      </w:r>
      <w:hyperlink r:id="rId11">
        <w:r>
          <w:rPr>
            <w:color w:val="000000"/>
            <w:u w:val="single"/>
          </w:rPr>
          <w:t>https://www.gob.mx/segob/renapo/acciones-y-programas/clave-unica-de-registro-de-poblacion-curp-142226</w:t>
        </w:r>
      </w:hyperlink>
      <w:r>
        <w:rPr>
          <w:color w:val="000000"/>
        </w:rPr>
        <w:t xml:space="preserve">, estableció que la Clave Única del Registro de Población, es un </w:t>
      </w:r>
      <w:r>
        <w:rPr>
          <w:color w:val="000000"/>
        </w:rPr>
        <w:lastRenderedPageBreak/>
        <w:t xml:space="preserve">instrumento de registro que se asigna a todas las personas que viven en el territorio nacional, así como a los mexicanos que residen en el extranjero y se compone de dieciocho elementos, representados por letras y números, que </w:t>
      </w:r>
      <w:r>
        <w:rPr>
          <w:b/>
          <w:color w:val="000000"/>
        </w:rPr>
        <w:t>se generan a partir de los datos contenidos en el documento probatorio de la identidad</w:t>
      </w:r>
      <w:r>
        <w:rPr>
          <w:color w:val="000000"/>
        </w:rPr>
        <w:t xml:space="preserve"> </w:t>
      </w:r>
      <w:r>
        <w:rPr>
          <w:b/>
          <w:color w:val="000000"/>
        </w:rPr>
        <w:t xml:space="preserve">del interesado </w:t>
      </w:r>
      <w:r>
        <w:rPr>
          <w:color w:val="000000"/>
        </w:rPr>
        <w:t>(acta de nacimiento, carta de naturalización o documento migratorio) de la siguiente forma:</w:t>
      </w:r>
    </w:p>
    <w:p w14:paraId="15FDB0C4" w14:textId="77777777" w:rsidR="00C852C8" w:rsidRDefault="00C852C8" w:rsidP="00CC4FC9">
      <w:pPr>
        <w:spacing w:after="0" w:line="360" w:lineRule="auto"/>
        <w:rPr>
          <w:color w:val="000000"/>
        </w:rPr>
      </w:pPr>
    </w:p>
    <w:p w14:paraId="4072FA4A" w14:textId="77777777" w:rsidR="00C852C8" w:rsidRDefault="007A27E3" w:rsidP="00CC4FC9">
      <w:pPr>
        <w:numPr>
          <w:ilvl w:val="0"/>
          <w:numId w:val="8"/>
        </w:numPr>
        <w:spacing w:after="0" w:line="360" w:lineRule="auto"/>
        <w:rPr>
          <w:color w:val="000000"/>
        </w:rPr>
      </w:pPr>
      <w:r>
        <w:rPr>
          <w:color w:val="000000"/>
        </w:rPr>
        <w:t>El primero y segundo apellidos, así como al nombre de pila;</w:t>
      </w:r>
    </w:p>
    <w:p w14:paraId="15F8AD5F" w14:textId="77777777" w:rsidR="00C852C8" w:rsidRDefault="007A27E3" w:rsidP="00CC4FC9">
      <w:pPr>
        <w:numPr>
          <w:ilvl w:val="0"/>
          <w:numId w:val="8"/>
        </w:numPr>
        <w:spacing w:after="0" w:line="360" w:lineRule="auto"/>
        <w:rPr>
          <w:color w:val="000000"/>
        </w:rPr>
      </w:pPr>
      <w:r>
        <w:rPr>
          <w:color w:val="000000"/>
        </w:rPr>
        <w:t>La fecha de nacimiento;</w:t>
      </w:r>
    </w:p>
    <w:p w14:paraId="001FC9BE" w14:textId="77777777" w:rsidR="00C852C8" w:rsidRDefault="007A27E3" w:rsidP="00CC4FC9">
      <w:pPr>
        <w:numPr>
          <w:ilvl w:val="0"/>
          <w:numId w:val="8"/>
        </w:numPr>
        <w:spacing w:after="0" w:line="360" w:lineRule="auto"/>
        <w:rPr>
          <w:color w:val="000000"/>
        </w:rPr>
      </w:pPr>
      <w:r>
        <w:rPr>
          <w:color w:val="000000"/>
        </w:rPr>
        <w:t>El sexo, y</w:t>
      </w:r>
    </w:p>
    <w:p w14:paraId="5E8B224A" w14:textId="77777777" w:rsidR="00C852C8" w:rsidRDefault="007A27E3" w:rsidP="00CC4FC9">
      <w:pPr>
        <w:numPr>
          <w:ilvl w:val="0"/>
          <w:numId w:val="8"/>
        </w:numPr>
        <w:spacing w:after="0" w:line="360" w:lineRule="auto"/>
        <w:rPr>
          <w:color w:val="000000"/>
        </w:rPr>
      </w:pPr>
      <w:r>
        <w:rPr>
          <w:color w:val="000000"/>
        </w:rPr>
        <w:t>La entidad federativa de nacimiento.</w:t>
      </w:r>
    </w:p>
    <w:p w14:paraId="1AAF476E" w14:textId="77777777" w:rsidR="00C852C8" w:rsidRDefault="00C852C8" w:rsidP="00CC4FC9">
      <w:pPr>
        <w:spacing w:after="0" w:line="360" w:lineRule="auto"/>
        <w:rPr>
          <w:color w:val="000000"/>
        </w:rPr>
      </w:pPr>
    </w:p>
    <w:p w14:paraId="515400F4" w14:textId="77777777" w:rsidR="00C852C8" w:rsidRDefault="007A27E3" w:rsidP="00CC4FC9">
      <w:pPr>
        <w:spacing w:after="0" w:line="360" w:lineRule="auto"/>
        <w:rPr>
          <w:color w:val="000000"/>
        </w:rPr>
      </w:pPr>
      <w:r>
        <w:rPr>
          <w:color w:val="000000"/>
        </w:rPr>
        <w:t>Los dos últimos elementos de la Clave Única de Registro de Población evitan la duplicidad de la Clave y garantizan su correcta integración.</w:t>
      </w:r>
    </w:p>
    <w:p w14:paraId="1EB5811C" w14:textId="77777777" w:rsidR="00C852C8" w:rsidRDefault="00C852C8" w:rsidP="00CC4FC9">
      <w:pPr>
        <w:spacing w:after="0" w:line="360" w:lineRule="auto"/>
        <w:rPr>
          <w:color w:val="000000"/>
        </w:rPr>
      </w:pPr>
    </w:p>
    <w:p w14:paraId="3426DB4D" w14:textId="77777777" w:rsidR="00C852C8" w:rsidRDefault="007A27E3" w:rsidP="00CC4FC9">
      <w:pPr>
        <w:spacing w:after="0" w:line="360" w:lineRule="auto"/>
        <w:rPr>
          <w:color w:val="000000"/>
        </w:rPr>
      </w:pPr>
      <w:r>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1B7E16D" w14:textId="77777777" w:rsidR="00C852C8" w:rsidRDefault="00C852C8" w:rsidP="00CC4FC9">
      <w:pPr>
        <w:spacing w:after="0" w:line="360" w:lineRule="auto"/>
        <w:rPr>
          <w:color w:val="000000"/>
        </w:rPr>
      </w:pPr>
    </w:p>
    <w:p w14:paraId="1650053E" w14:textId="77777777" w:rsidR="00C852C8" w:rsidRDefault="007A27E3" w:rsidP="00CC4FC9">
      <w:pPr>
        <w:spacing w:after="0" w:line="360" w:lineRule="auto"/>
        <w:rPr>
          <w:color w:val="000000"/>
        </w:rPr>
      </w:pPr>
      <w:r>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16E5CB8E" w14:textId="77777777" w:rsidR="00C852C8" w:rsidRDefault="00C852C8" w:rsidP="00CC4FC9">
      <w:pPr>
        <w:spacing w:after="0" w:line="360" w:lineRule="auto"/>
        <w:ind w:left="567" w:right="567"/>
        <w:rPr>
          <w:color w:val="000000"/>
          <w:sz w:val="20"/>
          <w:szCs w:val="20"/>
        </w:rPr>
      </w:pPr>
    </w:p>
    <w:p w14:paraId="08BECAA0" w14:textId="77777777" w:rsidR="00C852C8" w:rsidRDefault="007A27E3" w:rsidP="00CC4FC9">
      <w:pPr>
        <w:spacing w:after="0" w:line="360" w:lineRule="auto"/>
        <w:ind w:left="567" w:right="567"/>
        <w:rPr>
          <w:i/>
          <w:color w:val="000000"/>
          <w:sz w:val="20"/>
          <w:szCs w:val="20"/>
        </w:rPr>
      </w:pPr>
      <w:r>
        <w:rPr>
          <w:b/>
          <w:i/>
          <w:color w:val="000000"/>
          <w:sz w:val="20"/>
          <w:szCs w:val="20"/>
        </w:rPr>
        <w:lastRenderedPageBreak/>
        <w:t xml:space="preserve">“Clave Única de Registro de Población (CURP). </w:t>
      </w:r>
      <w:r>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A700CE8" w14:textId="77777777" w:rsidR="00C852C8" w:rsidRDefault="00C852C8" w:rsidP="00CC4FC9">
      <w:pPr>
        <w:spacing w:after="0" w:line="360" w:lineRule="auto"/>
        <w:rPr>
          <w:color w:val="000000"/>
        </w:rPr>
      </w:pPr>
    </w:p>
    <w:p w14:paraId="57ABDD46" w14:textId="77777777" w:rsidR="00C852C8" w:rsidRDefault="007A27E3" w:rsidP="00CC4FC9">
      <w:pPr>
        <w:spacing w:after="0" w:line="360" w:lineRule="auto"/>
        <w:rPr>
          <w:color w:val="000000"/>
        </w:rPr>
      </w:pPr>
      <w:r>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7549AB9" w14:textId="77777777" w:rsidR="00C852C8" w:rsidRDefault="00C852C8" w:rsidP="00CC4FC9">
      <w:pPr>
        <w:spacing w:after="0" w:line="360" w:lineRule="auto"/>
        <w:rPr>
          <w:color w:val="000000"/>
        </w:rPr>
      </w:pPr>
    </w:p>
    <w:p w14:paraId="03C09250" w14:textId="77777777" w:rsidR="00C852C8" w:rsidRDefault="007A27E3" w:rsidP="00CC4FC9">
      <w:pPr>
        <w:numPr>
          <w:ilvl w:val="0"/>
          <w:numId w:val="7"/>
        </w:numPr>
        <w:spacing w:after="0" w:line="360" w:lineRule="auto"/>
        <w:rPr>
          <w:b/>
          <w:color w:val="000000"/>
        </w:rPr>
      </w:pPr>
      <w:r>
        <w:rPr>
          <w:b/>
          <w:color w:val="000000"/>
        </w:rPr>
        <w:t>Registro Federal de Contribuyentes (RFC)</w:t>
      </w:r>
    </w:p>
    <w:p w14:paraId="0DB9B825" w14:textId="77777777" w:rsidR="00C852C8" w:rsidRDefault="00C852C8" w:rsidP="00CC4FC9">
      <w:pPr>
        <w:spacing w:after="0" w:line="360" w:lineRule="auto"/>
        <w:rPr>
          <w:color w:val="000000"/>
        </w:rPr>
      </w:pPr>
    </w:p>
    <w:p w14:paraId="28DA15F2" w14:textId="77777777" w:rsidR="00C852C8" w:rsidRDefault="007A27E3" w:rsidP="00CC4FC9">
      <w:pPr>
        <w:spacing w:after="0" w:line="360" w:lineRule="auto"/>
        <w:rPr>
          <w:color w:val="000000"/>
        </w:rPr>
      </w:pPr>
      <w:r>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188A8B9" w14:textId="77777777" w:rsidR="00C852C8" w:rsidRDefault="00C852C8" w:rsidP="00CC4FC9">
      <w:pPr>
        <w:spacing w:after="0" w:line="360" w:lineRule="auto"/>
        <w:rPr>
          <w:color w:val="000000"/>
        </w:rPr>
      </w:pPr>
    </w:p>
    <w:p w14:paraId="02BDA9D0" w14:textId="77777777" w:rsidR="00C852C8" w:rsidRDefault="007A27E3" w:rsidP="00CC4FC9">
      <w:pPr>
        <w:spacing w:after="0" w:line="360" w:lineRule="auto"/>
        <w:rPr>
          <w:color w:val="000000"/>
        </w:rPr>
      </w:pPr>
      <w:r>
        <w:rPr>
          <w:color w:val="000000"/>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128338E" w14:textId="77777777" w:rsidR="00C852C8" w:rsidRDefault="00C852C8" w:rsidP="00CC4FC9">
      <w:pPr>
        <w:spacing w:after="0" w:line="360" w:lineRule="auto"/>
        <w:rPr>
          <w:color w:val="000000"/>
        </w:rPr>
      </w:pPr>
    </w:p>
    <w:p w14:paraId="3E4EA1C2" w14:textId="77777777" w:rsidR="00C852C8" w:rsidRDefault="007A27E3" w:rsidP="00CC4FC9">
      <w:pPr>
        <w:spacing w:after="0" w:line="360" w:lineRule="auto"/>
        <w:rPr>
          <w:color w:val="000000"/>
        </w:rPr>
      </w:pPr>
      <w:r>
        <w:rPr>
          <w:color w:val="000000"/>
        </w:rPr>
        <w:t xml:space="preserve">Ahora bien, la clave del Registro Federal de Contribuyentes, es el medio de control que tiene la Secretaría de Hacienda y Crédito Público, a través del Servicio de Administración Tributaria, </w:t>
      </w:r>
      <w:r>
        <w:rPr>
          <w:color w:val="000000"/>
        </w:rPr>
        <w:lastRenderedPageBreak/>
        <w:t>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9A071C8" w14:textId="77777777" w:rsidR="00C852C8" w:rsidRDefault="00C852C8" w:rsidP="00CC4FC9">
      <w:pPr>
        <w:spacing w:after="0" w:line="360" w:lineRule="auto"/>
        <w:rPr>
          <w:color w:val="000000"/>
        </w:rPr>
      </w:pPr>
    </w:p>
    <w:p w14:paraId="4B39EB7C" w14:textId="77777777" w:rsidR="00C852C8" w:rsidRDefault="007A27E3" w:rsidP="00CC4FC9">
      <w:pPr>
        <w:spacing w:after="0" w:line="360" w:lineRule="auto"/>
        <w:rPr>
          <w:color w:val="000000"/>
        </w:rPr>
      </w:pPr>
      <w:r>
        <w:rPr>
          <w:color w:val="000000"/>
        </w:rPr>
        <w:t xml:space="preserve">Así, el Registro Federal de Contribuyentes, es un dato personal, ya que hace a las personas físicas </w:t>
      </w:r>
      <w:r>
        <w:t>identificadas</w:t>
      </w:r>
      <w:r>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t>involucradas</w:t>
      </w:r>
      <w:r>
        <w:rPr>
          <w:color w:val="000000"/>
        </w:rPr>
        <w:t xml:space="preserve">, en el pago de estos, en el presente caso, del pago del Impuesto Sobre el Producto del Trabajo. </w:t>
      </w:r>
    </w:p>
    <w:p w14:paraId="080BC81F" w14:textId="77777777" w:rsidR="00C852C8" w:rsidRDefault="00C852C8" w:rsidP="00CC4FC9">
      <w:pPr>
        <w:spacing w:after="0" w:line="360" w:lineRule="auto"/>
        <w:rPr>
          <w:color w:val="000000"/>
        </w:rPr>
      </w:pPr>
    </w:p>
    <w:p w14:paraId="4708F918" w14:textId="77777777" w:rsidR="00C852C8" w:rsidRDefault="007A27E3" w:rsidP="00CC4FC9">
      <w:pPr>
        <w:spacing w:after="0" w:line="360" w:lineRule="auto"/>
        <w:rPr>
          <w:color w:val="000000"/>
        </w:rPr>
      </w:pPr>
      <w:r>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E48F186" w14:textId="77777777" w:rsidR="00C852C8" w:rsidRDefault="00C852C8" w:rsidP="00CC4FC9">
      <w:pPr>
        <w:spacing w:after="0" w:line="360" w:lineRule="auto"/>
        <w:rPr>
          <w:color w:val="000000"/>
        </w:rPr>
      </w:pPr>
    </w:p>
    <w:p w14:paraId="0F66796D" w14:textId="77777777" w:rsidR="00C852C8" w:rsidRDefault="007A27E3" w:rsidP="00CC4FC9">
      <w:pPr>
        <w:spacing w:after="0" w:line="360" w:lineRule="auto"/>
        <w:ind w:left="567" w:right="567"/>
        <w:rPr>
          <w:i/>
          <w:color w:val="000000"/>
          <w:sz w:val="20"/>
          <w:szCs w:val="20"/>
        </w:rPr>
      </w:pPr>
      <w:r>
        <w:rPr>
          <w:b/>
          <w:i/>
          <w:color w:val="000000"/>
          <w:sz w:val="20"/>
          <w:szCs w:val="20"/>
        </w:rPr>
        <w:t>“Registro Federal de Contribuyentes (RFC) de personas físicas.</w:t>
      </w:r>
      <w:r>
        <w:rPr>
          <w:i/>
          <w:color w:val="000000"/>
          <w:sz w:val="20"/>
          <w:szCs w:val="20"/>
        </w:rPr>
        <w:t xml:space="preserve"> El RFC es una clave de carácter fiscal, única e irrepetible, que permite identificar al titular, su edad y fecha de nacimiento, por lo que es un dato personal de carácter confidencial.”</w:t>
      </w:r>
    </w:p>
    <w:p w14:paraId="694CF29B" w14:textId="77777777" w:rsidR="00C852C8" w:rsidRDefault="00C852C8" w:rsidP="00CC4FC9">
      <w:pPr>
        <w:spacing w:after="0" w:line="360" w:lineRule="auto"/>
        <w:ind w:left="567" w:right="567"/>
        <w:rPr>
          <w:i/>
          <w:color w:val="000000"/>
        </w:rPr>
      </w:pPr>
    </w:p>
    <w:p w14:paraId="4804245C" w14:textId="77777777" w:rsidR="00C852C8" w:rsidRDefault="007A27E3" w:rsidP="00CC4FC9">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1F3C785" w14:textId="77777777" w:rsidR="00C852C8" w:rsidRDefault="00C852C8" w:rsidP="00CC4FC9">
      <w:pPr>
        <w:tabs>
          <w:tab w:val="center" w:pos="4522"/>
        </w:tabs>
        <w:spacing w:after="0" w:line="360" w:lineRule="auto"/>
        <w:rPr>
          <w:color w:val="000000"/>
        </w:rPr>
      </w:pPr>
    </w:p>
    <w:p w14:paraId="603A1AF2" w14:textId="77777777" w:rsidR="00C852C8" w:rsidRDefault="007A27E3" w:rsidP="00CC4FC9">
      <w:pPr>
        <w:numPr>
          <w:ilvl w:val="0"/>
          <w:numId w:val="7"/>
        </w:numPr>
        <w:spacing w:after="0" w:line="360" w:lineRule="auto"/>
        <w:rPr>
          <w:b/>
          <w:color w:val="000000"/>
        </w:rPr>
      </w:pPr>
      <w:r>
        <w:rPr>
          <w:b/>
          <w:color w:val="000000"/>
        </w:rPr>
        <w:lastRenderedPageBreak/>
        <w:t>Número de seguridad social del Instituto de Seguridad Social del Estado de México y Municipios</w:t>
      </w:r>
    </w:p>
    <w:p w14:paraId="3028A9C1" w14:textId="77777777" w:rsidR="00C852C8" w:rsidRDefault="00C852C8" w:rsidP="00CC4FC9">
      <w:pPr>
        <w:spacing w:after="0" w:line="360" w:lineRule="auto"/>
        <w:rPr>
          <w:b/>
          <w:color w:val="000000"/>
        </w:rPr>
      </w:pPr>
    </w:p>
    <w:p w14:paraId="230523E9" w14:textId="77777777" w:rsidR="00C852C8" w:rsidRDefault="007A27E3" w:rsidP="00CC4FC9">
      <w:pPr>
        <w:spacing w:after="0" w:line="360" w:lineRule="auto"/>
        <w:rPr>
          <w:color w:val="000000"/>
        </w:rPr>
      </w:pPr>
      <w:r>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73F7079" w14:textId="77777777" w:rsidR="00C852C8" w:rsidRDefault="00C852C8" w:rsidP="00CC4FC9">
      <w:pPr>
        <w:spacing w:after="0" w:line="360" w:lineRule="auto"/>
        <w:rPr>
          <w:color w:val="000000"/>
        </w:rPr>
      </w:pPr>
    </w:p>
    <w:p w14:paraId="77CA88BA" w14:textId="77777777" w:rsidR="00C852C8" w:rsidRDefault="007A27E3" w:rsidP="00CC4FC9">
      <w:pPr>
        <w:spacing w:after="0" w:line="360" w:lineRule="auto"/>
        <w:rPr>
          <w:color w:val="000000"/>
        </w:rPr>
      </w:pPr>
      <w:r>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FEC3F4F" w14:textId="77777777" w:rsidR="00C852C8" w:rsidRDefault="00C852C8" w:rsidP="00CC4FC9">
      <w:pPr>
        <w:spacing w:after="0" w:line="360" w:lineRule="auto"/>
        <w:rPr>
          <w:color w:val="000000"/>
        </w:rPr>
      </w:pPr>
    </w:p>
    <w:p w14:paraId="1545775E" w14:textId="77777777" w:rsidR="00C852C8" w:rsidRDefault="007A27E3" w:rsidP="00CC4FC9">
      <w:pPr>
        <w:spacing w:after="0" w:line="360" w:lineRule="auto"/>
        <w:rPr>
          <w:color w:val="000000"/>
        </w:rPr>
      </w:pPr>
      <w:r>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501176F" w14:textId="77777777" w:rsidR="00C852C8" w:rsidRDefault="00C852C8" w:rsidP="00CC4FC9">
      <w:pPr>
        <w:spacing w:after="0" w:line="360" w:lineRule="auto"/>
        <w:rPr>
          <w:color w:val="000000"/>
        </w:rPr>
      </w:pPr>
    </w:p>
    <w:p w14:paraId="35ECBF56" w14:textId="77777777" w:rsidR="00C852C8" w:rsidRDefault="007A27E3" w:rsidP="00CC4FC9">
      <w:pPr>
        <w:spacing w:after="0" w:line="360" w:lineRule="auto"/>
        <w:rPr>
          <w:color w:val="000000"/>
        </w:rPr>
      </w:pPr>
      <w:r>
        <w:rPr>
          <w:color w:val="000000"/>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675210E" w14:textId="77777777" w:rsidR="00C852C8" w:rsidRDefault="00C852C8" w:rsidP="00CC4FC9">
      <w:pPr>
        <w:spacing w:after="0" w:line="360" w:lineRule="auto"/>
        <w:rPr>
          <w:color w:val="000000"/>
        </w:rPr>
      </w:pPr>
    </w:p>
    <w:p w14:paraId="6681F59E" w14:textId="77777777" w:rsidR="00C852C8" w:rsidRDefault="007A27E3" w:rsidP="00CC4FC9">
      <w:pPr>
        <w:numPr>
          <w:ilvl w:val="0"/>
          <w:numId w:val="9"/>
        </w:numPr>
        <w:spacing w:after="0" w:line="360" w:lineRule="auto"/>
        <w:jc w:val="left"/>
        <w:rPr>
          <w:b/>
          <w:color w:val="000000"/>
        </w:rPr>
      </w:pPr>
      <w:r>
        <w:rPr>
          <w:b/>
          <w:color w:val="000000"/>
        </w:rPr>
        <w:t>Deducciones personales</w:t>
      </w:r>
    </w:p>
    <w:p w14:paraId="22B89EF1" w14:textId="77777777" w:rsidR="00C852C8" w:rsidRDefault="00C852C8" w:rsidP="00CC4FC9">
      <w:pPr>
        <w:spacing w:after="0" w:line="360" w:lineRule="auto"/>
        <w:ind w:left="720"/>
        <w:rPr>
          <w:b/>
          <w:color w:val="000000"/>
        </w:rPr>
      </w:pPr>
    </w:p>
    <w:p w14:paraId="1FB656A6" w14:textId="77777777" w:rsidR="00C852C8" w:rsidRDefault="007A27E3" w:rsidP="00CC4FC9">
      <w:pPr>
        <w:spacing w:after="0" w:line="360" w:lineRule="auto"/>
        <w:rPr>
          <w:color w:val="000000"/>
        </w:rPr>
      </w:pPr>
      <w:r>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126E2A4" w14:textId="77777777" w:rsidR="00C852C8" w:rsidRDefault="00C852C8" w:rsidP="00CC4FC9">
      <w:pPr>
        <w:spacing w:after="0" w:line="360" w:lineRule="auto"/>
        <w:rPr>
          <w:color w:val="000000"/>
        </w:rPr>
      </w:pPr>
    </w:p>
    <w:p w14:paraId="3BD17A3B" w14:textId="77777777" w:rsidR="00C852C8" w:rsidRDefault="007A27E3" w:rsidP="00CC4FC9">
      <w:pPr>
        <w:spacing w:after="0" w:line="360" w:lineRule="auto"/>
        <w:rPr>
          <w:color w:val="000000"/>
        </w:rPr>
      </w:pPr>
      <w:r>
        <w:rPr>
          <w:color w:val="000000"/>
        </w:rPr>
        <w:t xml:space="preserve">Asimismo, hay otras que se generan con motivo de una sentencia judicial, como es la pensión alimenticia que periódicamente se retira de la cuenta de un empleado, a efecto de que sea entregado a un tercero.  </w:t>
      </w:r>
    </w:p>
    <w:p w14:paraId="6E4AFC4D" w14:textId="77777777" w:rsidR="00C852C8" w:rsidRDefault="00C852C8" w:rsidP="00CC4FC9">
      <w:pPr>
        <w:spacing w:after="0" w:line="360" w:lineRule="auto"/>
        <w:rPr>
          <w:color w:val="000000"/>
        </w:rPr>
      </w:pPr>
    </w:p>
    <w:p w14:paraId="4DBE1221" w14:textId="77777777" w:rsidR="00C852C8" w:rsidRDefault="007A27E3" w:rsidP="00CC4FC9">
      <w:pPr>
        <w:spacing w:after="0" w:line="360" w:lineRule="auto"/>
        <w:rPr>
          <w:color w:val="000000"/>
        </w:rPr>
      </w:pPr>
      <w:r>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FCA5515" w14:textId="77777777" w:rsidR="00C852C8" w:rsidRDefault="00C852C8" w:rsidP="00CC4FC9">
      <w:pPr>
        <w:spacing w:after="0" w:line="360" w:lineRule="auto"/>
        <w:rPr>
          <w:color w:val="000000"/>
        </w:rPr>
      </w:pPr>
    </w:p>
    <w:p w14:paraId="602EB8FB" w14:textId="77777777" w:rsidR="00C852C8" w:rsidRDefault="007A27E3" w:rsidP="00CC4FC9">
      <w:pPr>
        <w:spacing w:after="0" w:line="360" w:lineRule="auto"/>
        <w:rPr>
          <w:color w:val="000000"/>
        </w:rPr>
      </w:pPr>
      <w:r>
        <w:rPr>
          <w:color w:val="000000"/>
        </w:rPr>
        <w:t xml:space="preserve">Así, dichas deducciones reflejan el destino que un servidor público da a su patrimonio y, por lo tanto, resulta procedente clasificar dichos datos, en el caso, que obren, en los documentos que </w:t>
      </w:r>
      <w:r>
        <w:rPr>
          <w:color w:val="000000"/>
        </w:rPr>
        <w:lastRenderedPageBreak/>
        <w:t xml:space="preserve">dan cuenta de lo requerido, en términos del artículo 143, fracción I de la Ley de Transparencia y Acceso a la Información Pública del Estado de México y Municipios. </w:t>
      </w:r>
    </w:p>
    <w:p w14:paraId="7B7B516B" w14:textId="77777777" w:rsidR="00C852C8" w:rsidRDefault="00C852C8" w:rsidP="00CC4FC9">
      <w:pPr>
        <w:spacing w:after="0" w:line="360" w:lineRule="auto"/>
        <w:rPr>
          <w:b/>
          <w:color w:val="000000"/>
        </w:rPr>
      </w:pPr>
    </w:p>
    <w:p w14:paraId="44EF66B7" w14:textId="77777777" w:rsidR="00C852C8" w:rsidRDefault="007A27E3" w:rsidP="00CC4FC9">
      <w:pPr>
        <w:numPr>
          <w:ilvl w:val="0"/>
          <w:numId w:val="9"/>
        </w:numPr>
        <w:spacing w:after="0" w:line="360" w:lineRule="auto"/>
        <w:jc w:val="left"/>
        <w:rPr>
          <w:b/>
          <w:color w:val="000000"/>
        </w:rPr>
      </w:pPr>
      <w:r>
        <w:rPr>
          <w:b/>
          <w:color w:val="000000"/>
        </w:rPr>
        <w:t>Cuenta bancaria de servidores públicos</w:t>
      </w:r>
    </w:p>
    <w:p w14:paraId="2F44433D" w14:textId="77777777" w:rsidR="00C852C8" w:rsidRDefault="00C852C8" w:rsidP="00CC4FC9">
      <w:pPr>
        <w:spacing w:after="0" w:line="360" w:lineRule="auto"/>
        <w:ind w:left="720"/>
        <w:rPr>
          <w:b/>
          <w:color w:val="000000"/>
        </w:rPr>
      </w:pPr>
    </w:p>
    <w:p w14:paraId="68D43CF2" w14:textId="77777777" w:rsidR="00C852C8" w:rsidRDefault="007A27E3" w:rsidP="00CC4FC9">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t>de fondos</w:t>
      </w:r>
      <w:r>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3132FC30" w14:textId="77777777" w:rsidR="00C852C8" w:rsidRDefault="007A27E3" w:rsidP="00CC4FC9">
      <w:pPr>
        <w:spacing w:after="0" w:line="360" w:lineRule="auto"/>
        <w:rPr>
          <w:color w:val="000000"/>
        </w:rPr>
      </w:pPr>
      <w:r>
        <w:rPr>
          <w:color w:val="000000"/>
        </w:rPr>
        <w:t> </w:t>
      </w:r>
    </w:p>
    <w:p w14:paraId="0C0182F9" w14:textId="77777777" w:rsidR="00C852C8" w:rsidRDefault="007A27E3" w:rsidP="00CC4FC9">
      <w:pPr>
        <w:spacing w:after="0" w:line="360" w:lineRule="auto"/>
        <w:rPr>
          <w:color w:val="000000"/>
        </w:rPr>
      </w:pPr>
      <w:r>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310A5383" w14:textId="77777777" w:rsidR="00C852C8" w:rsidRDefault="00C852C8" w:rsidP="00CC4FC9">
      <w:pPr>
        <w:spacing w:after="0" w:line="360" w:lineRule="auto"/>
        <w:rPr>
          <w:color w:val="000000"/>
        </w:rPr>
      </w:pPr>
    </w:p>
    <w:p w14:paraId="7432A63F" w14:textId="77777777" w:rsidR="00C852C8" w:rsidRDefault="007A27E3" w:rsidP="00CC4FC9">
      <w:pPr>
        <w:spacing w:after="0" w:line="360" w:lineRule="auto"/>
        <w:ind w:left="567" w:right="567"/>
        <w:rPr>
          <w:i/>
          <w:color w:val="000000"/>
          <w:sz w:val="20"/>
          <w:szCs w:val="20"/>
        </w:rPr>
      </w:pPr>
      <w:r>
        <w:rPr>
          <w:i/>
          <w:color w:val="000000"/>
          <w:sz w:val="20"/>
          <w:szCs w:val="20"/>
        </w:rPr>
        <w:t>“</w:t>
      </w:r>
      <w:r>
        <w:rPr>
          <w:b/>
          <w:i/>
          <w:color w:val="000000"/>
          <w:sz w:val="20"/>
          <w:szCs w:val="20"/>
        </w:rPr>
        <w:t>Cuentas bancarias y/o CLABE interbancaria de personas físicas y morales privadas.</w:t>
      </w:r>
      <w:r>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620C109" w14:textId="77777777" w:rsidR="00C852C8" w:rsidRDefault="00C852C8" w:rsidP="00CC4FC9">
      <w:pPr>
        <w:spacing w:after="0" w:line="360" w:lineRule="auto"/>
        <w:rPr>
          <w:color w:val="000000"/>
        </w:rPr>
      </w:pPr>
    </w:p>
    <w:p w14:paraId="419A63BD" w14:textId="77777777" w:rsidR="00C852C8" w:rsidRDefault="007A27E3" w:rsidP="00CC4FC9">
      <w:pPr>
        <w:spacing w:after="0" w:line="360" w:lineRule="auto"/>
        <w:rPr>
          <w:color w:val="000000"/>
        </w:rPr>
      </w:pPr>
      <w:r>
        <w:rPr>
          <w:color w:val="000000"/>
        </w:rPr>
        <w:lastRenderedPageBreak/>
        <w:t xml:space="preserve">Por lo cual, se puede colegir que dichos datos no guardan relación con el servicio público ni con los recursos públicos, pues </w:t>
      </w:r>
      <w:r>
        <w:t>sólo</w:t>
      </w:r>
      <w:r>
        <w:rPr>
          <w:color w:val="000000"/>
        </w:rPr>
        <w:t xml:space="preserve">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AF131F6" w14:textId="77777777" w:rsidR="00C852C8" w:rsidRDefault="00C852C8" w:rsidP="00CC4FC9">
      <w:pPr>
        <w:spacing w:after="0" w:line="360" w:lineRule="auto"/>
        <w:rPr>
          <w:color w:val="000000"/>
        </w:rPr>
      </w:pPr>
    </w:p>
    <w:p w14:paraId="72167E36" w14:textId="77777777" w:rsidR="00C852C8" w:rsidRDefault="007A27E3" w:rsidP="00CC4FC9">
      <w:pPr>
        <w:tabs>
          <w:tab w:val="left" w:pos="4962"/>
        </w:tabs>
        <w:spacing w:after="0" w:line="360" w:lineRule="auto"/>
      </w:pPr>
      <w:r>
        <w:t>De tal circunstancia, el Sujeto Obligado al entregar la información, deberá tomar en cuenta lo establecido en párrafos anteriores, para que únicamente clasifique aquellos datos que sean confidenciales.</w:t>
      </w:r>
    </w:p>
    <w:p w14:paraId="0011AE8D" w14:textId="77777777" w:rsidR="00C852C8" w:rsidRDefault="00C852C8" w:rsidP="00CC4FC9">
      <w:pPr>
        <w:tabs>
          <w:tab w:val="left" w:pos="4962"/>
        </w:tabs>
        <w:spacing w:after="0" w:line="360" w:lineRule="auto"/>
        <w:ind w:right="-28"/>
      </w:pPr>
    </w:p>
    <w:p w14:paraId="6767D2DB" w14:textId="77777777" w:rsidR="00C852C8" w:rsidRDefault="007A27E3" w:rsidP="00CC4FC9">
      <w:pPr>
        <w:spacing w:after="0" w:line="360" w:lineRule="auto"/>
        <w:ind w:right="-28"/>
        <w:rPr>
          <w:color w:val="000000"/>
        </w:rPr>
      </w:pPr>
      <w:r>
        <w:t>Por lo que, para atender el requerimiento deberá proporcionar los documentos solicitados en versión pública; p</w:t>
      </w:r>
      <w:r>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15111C7F" w14:textId="77777777" w:rsidR="00C852C8" w:rsidRDefault="00C852C8" w:rsidP="00CC4FC9">
      <w:pPr>
        <w:spacing w:after="0" w:line="360" w:lineRule="auto"/>
      </w:pPr>
    </w:p>
    <w:p w14:paraId="4C7EE045" w14:textId="77777777" w:rsidR="00C852C8" w:rsidRDefault="007A27E3" w:rsidP="00CC4FC9">
      <w:pPr>
        <w:pStyle w:val="Ttulo2"/>
        <w:spacing w:before="0" w:after="0"/>
        <w:rPr>
          <w:b w:val="0"/>
        </w:rPr>
      </w:pPr>
      <w:bookmarkStart w:id="15" w:name="_heading=h.x6y0rh25j6rw" w:colFirst="0" w:colLast="0"/>
      <w:bookmarkEnd w:id="15"/>
      <w:r>
        <w:t>SEXTO. Decisión</w:t>
      </w:r>
    </w:p>
    <w:p w14:paraId="3A6E9062" w14:textId="77777777" w:rsidR="00C852C8" w:rsidRDefault="00C852C8" w:rsidP="00CC4FC9">
      <w:pPr>
        <w:spacing w:after="0" w:line="360" w:lineRule="auto"/>
        <w:rPr>
          <w:b/>
        </w:rPr>
      </w:pPr>
    </w:p>
    <w:p w14:paraId="3EA5C6DC" w14:textId="0E6DD3B0" w:rsidR="00C852C8" w:rsidRDefault="007A27E3" w:rsidP="00CC4FC9">
      <w:pPr>
        <w:spacing w:after="0" w:line="360" w:lineRule="auto"/>
      </w:pPr>
      <w:r>
        <w:t xml:space="preserve">Con fundamento en el artículo 186, fracción III, de la Ley de Transparencia y Acceso a la Información Pública del Estado de México y Municipios, este Instituto considera procedente </w:t>
      </w:r>
      <w:r w:rsidR="006609D1">
        <w:rPr>
          <w:b/>
        </w:rPr>
        <w:t>REVOCAR</w:t>
      </w:r>
      <w:r>
        <w:rPr>
          <w:b/>
        </w:rPr>
        <w:t xml:space="preserve"> </w:t>
      </w:r>
      <w:r>
        <w:t xml:space="preserve">la respuesta otorgada por el Sujeto Obligado a la solicitud de información </w:t>
      </w:r>
      <w:r w:rsidR="006609D1" w:rsidRPr="006609D1">
        <w:rPr>
          <w:b/>
        </w:rPr>
        <w:t>02130/TOLUCA/IP/2025</w:t>
      </w:r>
      <w:r w:rsidR="006609D1">
        <w:rPr>
          <w:b/>
        </w:rPr>
        <w:t xml:space="preserve">, </w:t>
      </w:r>
      <w:r>
        <w:t xml:space="preserve">por resultar fundadas las razones o motivos de inconformidad hechos valer por la parte Recurrente, en el Recurso de Revisión </w:t>
      </w:r>
      <w:r w:rsidR="006609D1">
        <w:rPr>
          <w:b/>
        </w:rPr>
        <w:t>06411</w:t>
      </w:r>
      <w:r>
        <w:rPr>
          <w:b/>
        </w:rPr>
        <w:t>/INFOEM/IP/RR/2025</w:t>
      </w:r>
      <w:r>
        <w:t xml:space="preserve">, en consecuencia procede </w:t>
      </w:r>
      <w:r>
        <w:rPr>
          <w:b/>
        </w:rPr>
        <w:t xml:space="preserve">ORDENAR, </w:t>
      </w:r>
      <w:r>
        <w:t>la entrega de la información en los términos expuestos.</w:t>
      </w:r>
    </w:p>
    <w:p w14:paraId="13AD1EB7" w14:textId="77777777" w:rsidR="00C852C8" w:rsidRDefault="007A27E3" w:rsidP="00CC4FC9">
      <w:pPr>
        <w:spacing w:after="0" w:line="360" w:lineRule="auto"/>
        <w:rPr>
          <w:b/>
          <w:u w:val="single"/>
        </w:rPr>
      </w:pPr>
      <w:r>
        <w:rPr>
          <w:b/>
          <w:u w:val="single"/>
        </w:rPr>
        <w:lastRenderedPageBreak/>
        <w:t>Términos de la Resolución para la parte Recurrente:</w:t>
      </w:r>
    </w:p>
    <w:p w14:paraId="73801098" w14:textId="77777777" w:rsidR="00C852C8" w:rsidRDefault="00C852C8" w:rsidP="00CC4FC9">
      <w:pPr>
        <w:spacing w:after="0" w:line="360" w:lineRule="auto"/>
      </w:pPr>
    </w:p>
    <w:p w14:paraId="13098751" w14:textId="13081FE5" w:rsidR="00C852C8" w:rsidRPr="006609D1" w:rsidRDefault="007A27E3" w:rsidP="00CC4FC9">
      <w:pPr>
        <w:spacing w:after="0" w:line="360" w:lineRule="auto"/>
      </w:pPr>
      <w:r w:rsidRPr="006609D1">
        <w:t xml:space="preserve">Se hace del conocimiento de parte Recurrente que este Organismo Garante determinó concederle la razón, puesto que </w:t>
      </w:r>
      <w:r w:rsidR="005E1E55">
        <w:t>no se realizó una búsqueda exhaustiva y razonable de la información, toda vez que la Unidad de Transparencia fue omisa en remitir la solicitud de información al área con atribuciones para poseer la nómina de la Contraloría, esto es, a la Tesorería municipal</w:t>
      </w:r>
    </w:p>
    <w:p w14:paraId="6F98D7B5" w14:textId="77777777" w:rsidR="00C852C8" w:rsidRDefault="00C852C8" w:rsidP="00CC4FC9">
      <w:pPr>
        <w:spacing w:after="0" w:line="360" w:lineRule="auto"/>
        <w:rPr>
          <w:u w:val="single"/>
        </w:rPr>
      </w:pPr>
    </w:p>
    <w:p w14:paraId="39864147" w14:textId="77777777" w:rsidR="00C852C8" w:rsidRPr="00566484" w:rsidRDefault="007A27E3" w:rsidP="00CC4FC9">
      <w:pPr>
        <w:spacing w:after="0" w:line="360" w:lineRule="auto"/>
      </w:pPr>
      <w:r w:rsidRPr="00566484">
        <w:t>La labor del INFOEM, es apoyar a la población para acceder a la información pública y garantizar la protección de sus datos personales.</w:t>
      </w:r>
    </w:p>
    <w:p w14:paraId="6E8316E2" w14:textId="77777777" w:rsidR="00C852C8" w:rsidRDefault="00C852C8" w:rsidP="00CC4FC9">
      <w:pPr>
        <w:spacing w:after="0" w:line="360" w:lineRule="auto"/>
        <w:rPr>
          <w:u w:val="single"/>
        </w:rPr>
      </w:pPr>
    </w:p>
    <w:p w14:paraId="3611D0FE" w14:textId="77777777" w:rsidR="00C852C8" w:rsidRDefault="007A27E3" w:rsidP="00CC4FC9">
      <w:pPr>
        <w:pStyle w:val="Ttulo1"/>
        <w:spacing w:before="0" w:after="0"/>
        <w:rPr>
          <w:b w:val="0"/>
          <w:sz w:val="22"/>
          <w:szCs w:val="22"/>
        </w:rPr>
      </w:pPr>
      <w:bookmarkStart w:id="16" w:name="_heading=h.8wfyb7fj7qlm" w:colFirst="0" w:colLast="0"/>
      <w:bookmarkEnd w:id="16"/>
      <w:r>
        <w:rPr>
          <w:sz w:val="22"/>
          <w:szCs w:val="22"/>
        </w:rPr>
        <w:t>R E S U E L V E</w:t>
      </w:r>
    </w:p>
    <w:p w14:paraId="648B6189" w14:textId="77777777" w:rsidR="00C852C8" w:rsidRDefault="00C852C8" w:rsidP="00CC4FC9">
      <w:pPr>
        <w:spacing w:after="0" w:line="360" w:lineRule="auto"/>
        <w:rPr>
          <w:b/>
        </w:rPr>
      </w:pPr>
    </w:p>
    <w:p w14:paraId="5229A6A0" w14:textId="39A722F5" w:rsidR="00C852C8" w:rsidRDefault="007A27E3" w:rsidP="00CC4FC9">
      <w:pPr>
        <w:spacing w:after="0" w:line="360" w:lineRule="auto"/>
      </w:pPr>
      <w:r>
        <w:rPr>
          <w:b/>
        </w:rPr>
        <w:t xml:space="preserve">PRIMERO. </w:t>
      </w:r>
      <w:r>
        <w:t xml:space="preserve">Se </w:t>
      </w:r>
      <w:r w:rsidR="00566484">
        <w:rPr>
          <w:b/>
        </w:rPr>
        <w:t>REVOCA</w:t>
      </w:r>
      <w:r>
        <w:t xml:space="preserve"> la respuesta entregada</w:t>
      </w:r>
      <w:r w:rsidR="00566484">
        <w:t xml:space="preserve"> por el Ayuntamiento de Toluca</w:t>
      </w:r>
      <w:r>
        <w:t xml:space="preserve"> a la solicitud de información </w:t>
      </w:r>
      <w:r w:rsidR="00566484" w:rsidRPr="007F75E2">
        <w:t xml:space="preserve">02130/TOLUCA/IP/2025 </w:t>
      </w:r>
      <w:r w:rsidRPr="007F75E2">
        <w:t xml:space="preserve">por resultar </w:t>
      </w:r>
      <w:r w:rsidR="007F75E2" w:rsidRPr="007F75E2">
        <w:rPr>
          <w:b/>
          <w:bCs/>
        </w:rPr>
        <w:t xml:space="preserve">FUNDADAS </w:t>
      </w:r>
      <w:r w:rsidRPr="007F75E2">
        <w:t>las razones o motivos de inconformidad hechos valer por la persona Recurrente</w:t>
      </w:r>
      <w:r w:rsidR="00566484" w:rsidRPr="007F75E2">
        <w:t xml:space="preserve"> en el Recurso de Revisión 06411</w:t>
      </w:r>
      <w:r w:rsidRPr="007F75E2">
        <w:t>/INFOEM/IP/RR/2025</w:t>
      </w:r>
      <w:r w:rsidRPr="00241BD3">
        <w:rPr>
          <w:bCs/>
        </w:rPr>
        <w:t>,</w:t>
      </w:r>
      <w:r>
        <w:t xml:space="preserve"> en términos de los considerandos QUINTO y SEXTO de la presente Resolución.</w:t>
      </w:r>
    </w:p>
    <w:p w14:paraId="22EA2A82" w14:textId="77777777" w:rsidR="00C852C8" w:rsidRDefault="00C852C8" w:rsidP="00CC4FC9">
      <w:pPr>
        <w:spacing w:after="0" w:line="360" w:lineRule="auto"/>
      </w:pPr>
    </w:p>
    <w:p w14:paraId="3E33A713" w14:textId="0579384B" w:rsidR="00241BD3" w:rsidRDefault="007A27E3" w:rsidP="00CC4FC9">
      <w:pPr>
        <w:spacing w:after="0" w:line="360" w:lineRule="auto"/>
      </w:pPr>
      <w:bookmarkStart w:id="17" w:name="_heading=h.argy21qnkmhr" w:colFirst="0" w:colLast="0"/>
      <w:bookmarkEnd w:id="17"/>
      <w:r>
        <w:rPr>
          <w:b/>
        </w:rPr>
        <w:t xml:space="preserve">SEGUNDO. </w:t>
      </w:r>
      <w:r>
        <w:t xml:space="preserve">Se </w:t>
      </w:r>
      <w:r>
        <w:rPr>
          <w:b/>
        </w:rPr>
        <w:t>ORDENA</w:t>
      </w:r>
      <w:r>
        <w:t xml:space="preserve"> al Sujeto Obligado, a efecto de que previa búsqueda exhaustiva y razonable, en los archivos de las unidades administrativas competentes, entregue a través del Sistema de Acceso a la Información Mexiquense (SAIMEX), </w:t>
      </w:r>
      <w:r w:rsidR="00241BD3">
        <w:t xml:space="preserve">en </w:t>
      </w:r>
      <w:r>
        <w:t xml:space="preserve">versión pública, </w:t>
      </w:r>
      <w:r w:rsidR="00241BD3">
        <w:t>los documentos donde conste lo siguiente:</w:t>
      </w:r>
    </w:p>
    <w:p w14:paraId="07D23E29" w14:textId="77777777" w:rsidR="00241BD3" w:rsidRDefault="00241BD3" w:rsidP="00CC4FC9">
      <w:pPr>
        <w:spacing w:after="0" w:line="360" w:lineRule="auto"/>
      </w:pPr>
    </w:p>
    <w:p w14:paraId="2843F95A" w14:textId="5242C8A5" w:rsidR="00566484" w:rsidRDefault="00566484" w:rsidP="00CC4FC9">
      <w:pPr>
        <w:pStyle w:val="Prrafodelista"/>
        <w:numPr>
          <w:ilvl w:val="0"/>
          <w:numId w:val="15"/>
        </w:numPr>
        <w:spacing w:line="360" w:lineRule="auto"/>
      </w:pPr>
      <w:r>
        <w:t xml:space="preserve">La nómina </w:t>
      </w:r>
      <w:r w:rsidR="007F75E2">
        <w:t>pagada a</w:t>
      </w:r>
      <w:r>
        <w:t>l personal de la Contraloría</w:t>
      </w:r>
      <w:r w:rsidR="007F75E2">
        <w:t xml:space="preserve"> Municipal</w:t>
      </w:r>
      <w:r>
        <w:t xml:space="preserve">, </w:t>
      </w:r>
      <w:r w:rsidR="007F75E2">
        <w:t>de la primera quincena de enero a la segunda de octubre de dos mil veintitrés.</w:t>
      </w:r>
      <w:r w:rsidR="009574EA">
        <w:t xml:space="preserve"> </w:t>
      </w:r>
    </w:p>
    <w:p w14:paraId="52C1B9B3" w14:textId="77777777" w:rsidR="00566484" w:rsidRDefault="00566484" w:rsidP="00CC4FC9">
      <w:pPr>
        <w:spacing w:after="0" w:line="360" w:lineRule="auto"/>
      </w:pPr>
    </w:p>
    <w:p w14:paraId="0327686F" w14:textId="5EFB6314" w:rsidR="007F75E2" w:rsidRDefault="007F75E2" w:rsidP="007F75E2">
      <w:pPr>
        <w:spacing w:after="0" w:line="360" w:lineRule="auto"/>
        <w:ind w:right="-93"/>
        <w:rPr>
          <w:color w:val="000000"/>
        </w:rPr>
      </w:pPr>
      <w:r>
        <w:rPr>
          <w:color w:val="000000"/>
        </w:rPr>
        <w:lastRenderedPageBreak/>
        <w:t>Para el supuesto, que no cuente con algún documento que dé cuenta de lo peticionado,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4B78E354" w14:textId="0AB23222" w:rsidR="00241BD3" w:rsidRDefault="00241BD3" w:rsidP="00CC4FC9">
      <w:pPr>
        <w:spacing w:after="0" w:line="360" w:lineRule="auto"/>
      </w:pPr>
    </w:p>
    <w:p w14:paraId="65D493C0" w14:textId="5C96E2A6" w:rsidR="00C852C8" w:rsidRDefault="009E383A" w:rsidP="00CC4FC9">
      <w:pPr>
        <w:spacing w:after="0" w:line="360" w:lineRule="auto"/>
      </w:pPr>
      <w:r>
        <w:rPr>
          <w:b/>
        </w:rPr>
        <w:t xml:space="preserve">TERCERO. NOTIFÍQUESE </w:t>
      </w:r>
      <w:r>
        <w:rPr>
          <w:b/>
        </w:rPr>
        <w:tab/>
        <w:t>VÍA</w:t>
      </w:r>
      <w:r w:rsidR="007A27E3">
        <w:rPr>
          <w:b/>
        </w:rPr>
        <w:t xml:space="preserve"> SAIMEX </w:t>
      </w:r>
      <w:r w:rsidR="007A27E3">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27351760" w14:textId="77777777" w:rsidR="00C852C8" w:rsidRDefault="00C852C8" w:rsidP="00CC4FC9">
      <w:pPr>
        <w:spacing w:after="0" w:line="360" w:lineRule="auto"/>
      </w:pPr>
    </w:p>
    <w:p w14:paraId="3ACE838F" w14:textId="77777777" w:rsidR="00C852C8" w:rsidRDefault="007A27E3" w:rsidP="00CC4FC9">
      <w:pPr>
        <w:spacing w:after="0" w:line="360" w:lineRule="auto"/>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9DBF1" w14:textId="77777777" w:rsidR="00C852C8" w:rsidRDefault="00C852C8" w:rsidP="00CC4FC9">
      <w:pPr>
        <w:spacing w:after="0" w:line="360" w:lineRule="auto"/>
      </w:pPr>
    </w:p>
    <w:p w14:paraId="6C9781F7" w14:textId="7776C0B8" w:rsidR="00C852C8" w:rsidRDefault="007A27E3" w:rsidP="00CC4FC9">
      <w:pPr>
        <w:spacing w:after="0" w:line="360" w:lineRule="auto"/>
      </w:pPr>
      <w:r>
        <w:rPr>
          <w:b/>
        </w:rPr>
        <w:t>CUARTO. NOTIFÍQUESE</w:t>
      </w:r>
      <w:r>
        <w:t xml:space="preserve"> </w:t>
      </w:r>
      <w:r w:rsidR="009E383A">
        <w:rPr>
          <w:b/>
        </w:rPr>
        <w:t>VÍA</w:t>
      </w:r>
      <w:r>
        <w:rPr>
          <w:b/>
        </w:rPr>
        <w:t xml:space="preserve"> SAIMEX </w:t>
      </w:r>
      <w: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61E3A2" w14:textId="77777777" w:rsidR="00C852C8" w:rsidRDefault="00C852C8" w:rsidP="00CC4FC9">
      <w:pPr>
        <w:spacing w:after="0" w:line="360" w:lineRule="auto"/>
      </w:pPr>
    </w:p>
    <w:p w14:paraId="45667DEA" w14:textId="4648D8E9" w:rsidR="00C852C8" w:rsidRDefault="007A27E3" w:rsidP="00CC4FC9">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w:t>
      </w:r>
      <w:r>
        <w:lastRenderedPageBreak/>
        <w:t xml:space="preserve">COMISIONADOS JOSÉ MARTÍNEZ VILCHIS, MARÍA DEL ROSARIO MEJÍA AYALA, SHARON CRISTINA MORALES MARTÍNEZ, LUIS GUSTAVO PARRA NORIEGA  CON VOTO PARTICULAR Y GUADALUPE RAMÍREZ PEÑA, EN LA </w:t>
      </w:r>
      <w:r w:rsidR="009E383A">
        <w:t>TRIGÉSIMA SÉPTIMA</w:t>
      </w:r>
      <w:r>
        <w:t xml:space="preserve"> SESIÓN ORDINARIA, CELEBRADA EL </w:t>
      </w:r>
      <w:r w:rsidR="009E383A">
        <w:t>QUINCE DE OCTUBRE</w:t>
      </w:r>
      <w:r>
        <w:t xml:space="preserve"> DE DOS MIL VEINTICINCO, ANTE EL SECRETARIO TÉCNICO DEL PLENO, ALEXIS TAPIA RAMÍREZ.</w:t>
      </w:r>
    </w:p>
    <w:p w14:paraId="07F95F77" w14:textId="77777777" w:rsidR="00C852C8" w:rsidRDefault="00C852C8" w:rsidP="00CC4FC9">
      <w:pPr>
        <w:pStyle w:val="Ttulo2"/>
        <w:spacing w:before="0" w:after="0"/>
        <w:rPr>
          <w:b w:val="0"/>
        </w:rPr>
      </w:pPr>
    </w:p>
    <w:p w14:paraId="04D00976" w14:textId="77777777" w:rsidR="00C852C8" w:rsidRDefault="00C852C8" w:rsidP="00CC4FC9">
      <w:pPr>
        <w:spacing w:after="0" w:line="360" w:lineRule="auto"/>
      </w:pPr>
    </w:p>
    <w:p w14:paraId="3C07B44E" w14:textId="77777777" w:rsidR="00C852C8" w:rsidRDefault="00C852C8" w:rsidP="00CC4FC9">
      <w:pPr>
        <w:spacing w:after="0" w:line="360" w:lineRule="auto"/>
      </w:pPr>
    </w:p>
    <w:p w14:paraId="0E9CF645" w14:textId="77777777" w:rsidR="00C852C8" w:rsidRDefault="00C852C8" w:rsidP="00CC4FC9">
      <w:pPr>
        <w:spacing w:after="0" w:line="360" w:lineRule="auto"/>
      </w:pPr>
    </w:p>
    <w:p w14:paraId="36A0780E" w14:textId="77777777" w:rsidR="00C852C8" w:rsidRDefault="00C852C8" w:rsidP="00CC4FC9">
      <w:pPr>
        <w:spacing w:after="0" w:line="360" w:lineRule="auto"/>
      </w:pPr>
    </w:p>
    <w:p w14:paraId="452A7366" w14:textId="77777777" w:rsidR="00C852C8" w:rsidRDefault="00C852C8" w:rsidP="00CC4FC9">
      <w:pPr>
        <w:spacing w:after="0" w:line="360" w:lineRule="auto"/>
      </w:pPr>
    </w:p>
    <w:p w14:paraId="0899E062" w14:textId="77777777" w:rsidR="00C852C8" w:rsidRDefault="00C852C8" w:rsidP="00CC4FC9">
      <w:pPr>
        <w:spacing w:after="0" w:line="360" w:lineRule="auto"/>
      </w:pPr>
    </w:p>
    <w:p w14:paraId="1241B84A" w14:textId="77777777" w:rsidR="00C852C8" w:rsidRDefault="00C852C8" w:rsidP="00CC4FC9">
      <w:pPr>
        <w:spacing w:after="0" w:line="360" w:lineRule="auto"/>
      </w:pPr>
    </w:p>
    <w:p w14:paraId="7E47BA8F" w14:textId="77777777" w:rsidR="00C852C8" w:rsidRDefault="00C852C8" w:rsidP="00CC4FC9">
      <w:pPr>
        <w:spacing w:after="0" w:line="360" w:lineRule="auto"/>
      </w:pPr>
    </w:p>
    <w:p w14:paraId="20CCEB53" w14:textId="77777777" w:rsidR="00C852C8" w:rsidRDefault="00C852C8" w:rsidP="00CC4FC9">
      <w:pPr>
        <w:spacing w:after="0" w:line="360" w:lineRule="auto"/>
      </w:pPr>
    </w:p>
    <w:p w14:paraId="706C8DDD" w14:textId="77777777" w:rsidR="00C852C8" w:rsidRDefault="00C852C8" w:rsidP="00CC4FC9">
      <w:pPr>
        <w:spacing w:after="0" w:line="360" w:lineRule="auto"/>
      </w:pPr>
    </w:p>
    <w:p w14:paraId="0F8B58C4" w14:textId="77777777" w:rsidR="00C852C8" w:rsidRDefault="00C852C8" w:rsidP="00CC4FC9">
      <w:pPr>
        <w:spacing w:after="0" w:line="360" w:lineRule="auto"/>
      </w:pPr>
    </w:p>
    <w:p w14:paraId="6FD905E2" w14:textId="77777777" w:rsidR="00C852C8" w:rsidRDefault="00C852C8" w:rsidP="00CC4FC9">
      <w:pPr>
        <w:spacing w:after="0" w:line="360" w:lineRule="auto"/>
      </w:pPr>
    </w:p>
    <w:p w14:paraId="73C38F28" w14:textId="77777777" w:rsidR="00C852C8" w:rsidRDefault="00C852C8" w:rsidP="00CC4FC9">
      <w:pPr>
        <w:spacing w:after="0" w:line="360" w:lineRule="auto"/>
      </w:pPr>
    </w:p>
    <w:p w14:paraId="3057ECA4" w14:textId="77777777" w:rsidR="00C852C8" w:rsidRDefault="00C852C8" w:rsidP="00CC4FC9">
      <w:pPr>
        <w:spacing w:after="0" w:line="360" w:lineRule="auto"/>
      </w:pPr>
    </w:p>
    <w:p w14:paraId="381E13D7" w14:textId="77777777" w:rsidR="00C852C8" w:rsidRDefault="00C852C8" w:rsidP="00CC4FC9">
      <w:pPr>
        <w:spacing w:after="0" w:line="360" w:lineRule="auto"/>
      </w:pPr>
    </w:p>
    <w:p w14:paraId="74EBE4C9" w14:textId="77777777" w:rsidR="00C852C8" w:rsidRDefault="00C852C8" w:rsidP="00CC4FC9">
      <w:pPr>
        <w:spacing w:after="0" w:line="360" w:lineRule="auto"/>
      </w:pPr>
    </w:p>
    <w:p w14:paraId="18B4F061" w14:textId="77777777" w:rsidR="00C852C8" w:rsidRDefault="00C852C8" w:rsidP="00CC4FC9">
      <w:pPr>
        <w:spacing w:after="0" w:line="360" w:lineRule="auto"/>
      </w:pPr>
    </w:p>
    <w:p w14:paraId="7076685E" w14:textId="77777777" w:rsidR="00C852C8" w:rsidRDefault="00C852C8" w:rsidP="00CC4FC9">
      <w:pPr>
        <w:spacing w:after="0" w:line="360" w:lineRule="auto"/>
      </w:pPr>
    </w:p>
    <w:p w14:paraId="098EC1A8" w14:textId="77777777" w:rsidR="00C852C8" w:rsidRDefault="00C852C8" w:rsidP="00CC4FC9">
      <w:pPr>
        <w:spacing w:after="0" w:line="360" w:lineRule="auto"/>
      </w:pPr>
    </w:p>
    <w:p w14:paraId="44A805E6" w14:textId="77777777" w:rsidR="00C852C8" w:rsidRDefault="00C852C8" w:rsidP="00CC4FC9">
      <w:pPr>
        <w:spacing w:after="0" w:line="360" w:lineRule="auto"/>
      </w:pPr>
    </w:p>
    <w:p w14:paraId="7CF72769" w14:textId="77777777" w:rsidR="00C852C8" w:rsidRDefault="00C852C8" w:rsidP="00CC4FC9">
      <w:pPr>
        <w:spacing w:after="0" w:line="360" w:lineRule="auto"/>
      </w:pPr>
    </w:p>
    <w:p w14:paraId="30AFE5B3" w14:textId="77777777" w:rsidR="00C852C8" w:rsidRDefault="00C852C8" w:rsidP="00CC4FC9">
      <w:pPr>
        <w:spacing w:after="0" w:line="360" w:lineRule="auto"/>
      </w:pPr>
    </w:p>
    <w:p w14:paraId="670BD5EC" w14:textId="77777777" w:rsidR="00C852C8" w:rsidRDefault="00C852C8" w:rsidP="00CC4FC9">
      <w:pPr>
        <w:spacing w:after="0" w:line="360" w:lineRule="auto"/>
      </w:pPr>
    </w:p>
    <w:sectPr w:rsidR="00C852C8">
      <w:headerReference w:type="even" r:id="rId12"/>
      <w:headerReference w:type="default" r:id="rId13"/>
      <w:footerReference w:type="even" r:id="rId14"/>
      <w:footerReference w:type="default" r:id="rId15"/>
      <w:headerReference w:type="first" r:id="rId16"/>
      <w:footerReference w:type="first" r:id="rId17"/>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80F2" w14:textId="77777777" w:rsidR="00183966" w:rsidRDefault="00183966">
      <w:pPr>
        <w:spacing w:after="0" w:line="240" w:lineRule="auto"/>
      </w:pPr>
      <w:r>
        <w:separator/>
      </w:r>
    </w:p>
  </w:endnote>
  <w:endnote w:type="continuationSeparator" w:id="0">
    <w:p w14:paraId="5AE69628" w14:textId="77777777" w:rsidR="00183966" w:rsidRDefault="0018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3CE9" w14:textId="77777777" w:rsidR="006609D1" w:rsidRDefault="006609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0A379834" w14:textId="77777777" w:rsidR="006609D1" w:rsidRDefault="006609D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24F8" w14:textId="77777777" w:rsidR="006609D1" w:rsidRDefault="006609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30497">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30497">
      <w:rPr>
        <w:b/>
        <w:noProof/>
        <w:color w:val="000000"/>
        <w:sz w:val="24"/>
        <w:szCs w:val="24"/>
      </w:rPr>
      <w:t>29</w:t>
    </w:r>
    <w:r>
      <w:rPr>
        <w:b/>
        <w:color w:val="000000"/>
        <w:sz w:val="24"/>
        <w:szCs w:val="24"/>
      </w:rPr>
      <w:fldChar w:fldCharType="end"/>
    </w:r>
  </w:p>
  <w:p w14:paraId="2C0C32E9" w14:textId="77777777" w:rsidR="006609D1" w:rsidRDefault="006609D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3928" w14:textId="77777777" w:rsidR="006609D1" w:rsidRDefault="006609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3049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30497">
      <w:rPr>
        <w:b/>
        <w:noProof/>
        <w:color w:val="000000"/>
        <w:sz w:val="24"/>
        <w:szCs w:val="24"/>
      </w:rPr>
      <w:t>29</w:t>
    </w:r>
    <w:r>
      <w:rPr>
        <w:b/>
        <w:color w:val="000000"/>
        <w:sz w:val="24"/>
        <w:szCs w:val="24"/>
      </w:rPr>
      <w:fldChar w:fldCharType="end"/>
    </w:r>
  </w:p>
  <w:p w14:paraId="643B802E" w14:textId="77777777" w:rsidR="006609D1" w:rsidRDefault="006609D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AC34" w14:textId="77777777" w:rsidR="00183966" w:rsidRDefault="00183966">
      <w:pPr>
        <w:spacing w:after="0" w:line="240" w:lineRule="auto"/>
      </w:pPr>
      <w:r>
        <w:separator/>
      </w:r>
    </w:p>
  </w:footnote>
  <w:footnote w:type="continuationSeparator" w:id="0">
    <w:p w14:paraId="33AC45D5" w14:textId="77777777" w:rsidR="00183966" w:rsidRDefault="0018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9135" w14:textId="77777777" w:rsidR="006609D1" w:rsidRDefault="006609D1">
    <w:pPr>
      <w:widowControl w:val="0"/>
      <w:pBdr>
        <w:top w:val="nil"/>
        <w:left w:val="nil"/>
        <w:bottom w:val="nil"/>
        <w:right w:val="nil"/>
        <w:between w:val="nil"/>
      </w:pBdr>
      <w:spacing w:after="0" w:line="276" w:lineRule="auto"/>
      <w:jc w:val="left"/>
      <w:rPr>
        <w:color w:val="000000"/>
      </w:rPr>
    </w:pPr>
  </w:p>
  <w:tbl>
    <w:tblPr>
      <w:tblStyle w:val="afffff8"/>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6609D1" w14:paraId="5AB4B850" w14:textId="77777777">
      <w:trPr>
        <w:trHeight w:val="141"/>
      </w:trPr>
      <w:tc>
        <w:tcPr>
          <w:tcW w:w="2404" w:type="dxa"/>
        </w:tcPr>
        <w:p w14:paraId="67C19F6E" w14:textId="77777777" w:rsidR="006609D1" w:rsidRDefault="006609D1">
          <w:pPr>
            <w:tabs>
              <w:tab w:val="right" w:pos="8838"/>
            </w:tabs>
            <w:ind w:right="-105"/>
            <w:rPr>
              <w:b/>
            </w:rPr>
          </w:pPr>
          <w:r>
            <w:rPr>
              <w:b/>
            </w:rPr>
            <w:t>Recurso de Revisión:</w:t>
          </w:r>
        </w:p>
      </w:tc>
      <w:tc>
        <w:tcPr>
          <w:tcW w:w="3587" w:type="dxa"/>
        </w:tcPr>
        <w:p w14:paraId="0A0E1E80" w14:textId="77777777" w:rsidR="006609D1" w:rsidRDefault="006609D1">
          <w:pPr>
            <w:tabs>
              <w:tab w:val="right" w:pos="8838"/>
            </w:tabs>
            <w:ind w:left="-28" w:right="683"/>
          </w:pPr>
          <w:r>
            <w:t>04196/INFOEM/IP/RR/2020</w:t>
          </w:r>
        </w:p>
      </w:tc>
    </w:tr>
    <w:tr w:rsidR="006609D1" w14:paraId="31B0F91B" w14:textId="77777777">
      <w:trPr>
        <w:trHeight w:val="276"/>
      </w:trPr>
      <w:tc>
        <w:tcPr>
          <w:tcW w:w="2404" w:type="dxa"/>
        </w:tcPr>
        <w:p w14:paraId="620FCE85" w14:textId="77777777" w:rsidR="006609D1" w:rsidRDefault="006609D1">
          <w:pPr>
            <w:tabs>
              <w:tab w:val="right" w:pos="8838"/>
            </w:tabs>
            <w:ind w:right="-105"/>
            <w:rPr>
              <w:b/>
            </w:rPr>
          </w:pPr>
          <w:r>
            <w:rPr>
              <w:b/>
            </w:rPr>
            <w:t>Sujeto Obligado:</w:t>
          </w:r>
        </w:p>
      </w:tc>
      <w:tc>
        <w:tcPr>
          <w:tcW w:w="3587" w:type="dxa"/>
        </w:tcPr>
        <w:p w14:paraId="1372AF04" w14:textId="77777777" w:rsidR="006609D1" w:rsidRDefault="006609D1">
          <w:pPr>
            <w:tabs>
              <w:tab w:val="right" w:pos="8838"/>
            </w:tabs>
            <w:ind w:right="116"/>
          </w:pPr>
          <w:r>
            <w:t>Ayuntamiento de Chapultepec</w:t>
          </w:r>
        </w:p>
      </w:tc>
    </w:tr>
    <w:tr w:rsidR="006609D1" w14:paraId="0AE6CF75" w14:textId="77777777">
      <w:trPr>
        <w:trHeight w:val="276"/>
      </w:trPr>
      <w:tc>
        <w:tcPr>
          <w:tcW w:w="2404" w:type="dxa"/>
        </w:tcPr>
        <w:p w14:paraId="6D5153AD" w14:textId="77777777" w:rsidR="006609D1" w:rsidRDefault="006609D1">
          <w:pPr>
            <w:tabs>
              <w:tab w:val="right" w:pos="8838"/>
            </w:tabs>
            <w:ind w:right="-105"/>
            <w:rPr>
              <w:b/>
            </w:rPr>
          </w:pPr>
          <w:r>
            <w:rPr>
              <w:b/>
            </w:rPr>
            <w:t>Comisionado Ponente:</w:t>
          </w:r>
        </w:p>
      </w:tc>
      <w:tc>
        <w:tcPr>
          <w:tcW w:w="3587" w:type="dxa"/>
        </w:tcPr>
        <w:p w14:paraId="64041001" w14:textId="77777777" w:rsidR="006609D1" w:rsidRDefault="006609D1">
          <w:pPr>
            <w:tabs>
              <w:tab w:val="right" w:pos="8838"/>
            </w:tabs>
            <w:ind w:right="-32"/>
          </w:pPr>
          <w:r>
            <w:t>Luis Gustavo Parra Noriega</w:t>
          </w:r>
        </w:p>
      </w:tc>
    </w:tr>
  </w:tbl>
  <w:p w14:paraId="53B16DDB" w14:textId="77777777" w:rsidR="006609D1" w:rsidRDefault="00C973D8">
    <w:pPr>
      <w:pBdr>
        <w:top w:val="nil"/>
        <w:left w:val="nil"/>
        <w:bottom w:val="nil"/>
        <w:right w:val="nil"/>
        <w:between w:val="nil"/>
      </w:pBdr>
      <w:tabs>
        <w:tab w:val="center" w:pos="4419"/>
        <w:tab w:val="right" w:pos="8838"/>
      </w:tabs>
      <w:spacing w:after="0" w:line="240" w:lineRule="auto"/>
      <w:rPr>
        <w:color w:val="000000"/>
      </w:rPr>
    </w:pPr>
    <w:r>
      <w:rPr>
        <w:color w:val="000000"/>
      </w:rPr>
      <w:pict w14:anchorId="069F1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CA96" w14:textId="77777777" w:rsidR="006609D1" w:rsidRDefault="006609D1">
    <w:pPr>
      <w:rPr>
        <w:sz w:val="16"/>
        <w:szCs w:val="16"/>
      </w:rPr>
    </w:pPr>
  </w:p>
  <w:tbl>
    <w:tblPr>
      <w:tblStyle w:val="afffff9"/>
      <w:tblW w:w="6095"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6609D1" w14:paraId="11BC1BC8" w14:textId="77777777" w:rsidTr="007F75E2">
      <w:trPr>
        <w:trHeight w:val="141"/>
      </w:trPr>
      <w:tc>
        <w:tcPr>
          <w:tcW w:w="2409" w:type="dxa"/>
        </w:tcPr>
        <w:p w14:paraId="22C0CB77" w14:textId="77777777" w:rsidR="006609D1" w:rsidRDefault="006609D1">
          <w:pPr>
            <w:tabs>
              <w:tab w:val="right" w:pos="8838"/>
            </w:tabs>
            <w:ind w:left="-395" w:right="-105" w:firstLine="395"/>
            <w:rPr>
              <w:b/>
            </w:rPr>
          </w:pPr>
          <w:r>
            <w:rPr>
              <w:b/>
            </w:rPr>
            <w:t>Recurso de Revisión:</w:t>
          </w:r>
        </w:p>
      </w:tc>
      <w:tc>
        <w:tcPr>
          <w:tcW w:w="3686" w:type="dxa"/>
        </w:tcPr>
        <w:p w14:paraId="594A4814" w14:textId="73BBAD49" w:rsidR="006609D1" w:rsidRPr="007F75E2" w:rsidRDefault="006609D1">
          <w:pPr>
            <w:tabs>
              <w:tab w:val="right" w:pos="8838"/>
            </w:tabs>
            <w:ind w:right="176"/>
            <w:rPr>
              <w:bCs/>
            </w:rPr>
          </w:pPr>
          <w:r w:rsidRPr="007F75E2">
            <w:rPr>
              <w:bCs/>
            </w:rPr>
            <w:t>06411/INFOEM/IP/RR/2025</w:t>
          </w:r>
        </w:p>
      </w:tc>
    </w:tr>
    <w:tr w:rsidR="006609D1" w14:paraId="5316E163" w14:textId="77777777" w:rsidTr="007F75E2">
      <w:trPr>
        <w:trHeight w:val="266"/>
      </w:trPr>
      <w:tc>
        <w:tcPr>
          <w:tcW w:w="2409" w:type="dxa"/>
        </w:tcPr>
        <w:p w14:paraId="78828C70" w14:textId="77777777" w:rsidR="006609D1" w:rsidRDefault="006609D1">
          <w:pPr>
            <w:tabs>
              <w:tab w:val="right" w:pos="8838"/>
            </w:tabs>
            <w:ind w:right="-105"/>
            <w:rPr>
              <w:b/>
            </w:rPr>
          </w:pPr>
          <w:r>
            <w:rPr>
              <w:b/>
            </w:rPr>
            <w:t>Sujeto Obligado:</w:t>
          </w:r>
        </w:p>
      </w:tc>
      <w:tc>
        <w:tcPr>
          <w:tcW w:w="3686" w:type="dxa"/>
        </w:tcPr>
        <w:p w14:paraId="43529B26" w14:textId="14F0C124" w:rsidR="006609D1" w:rsidRDefault="006609D1">
          <w:pPr>
            <w:tabs>
              <w:tab w:val="left" w:pos="3158"/>
              <w:tab w:val="left" w:pos="4292"/>
              <w:tab w:val="right" w:pos="8838"/>
            </w:tabs>
            <w:ind w:right="176"/>
          </w:pPr>
          <w:r>
            <w:t>Ayuntamiento</w:t>
          </w:r>
          <w:r w:rsidR="009E383A">
            <w:t xml:space="preserve"> de Toluca</w:t>
          </w:r>
        </w:p>
      </w:tc>
    </w:tr>
    <w:tr w:rsidR="006609D1" w14:paraId="1BA0E99E" w14:textId="77777777" w:rsidTr="007F75E2">
      <w:trPr>
        <w:trHeight w:val="276"/>
      </w:trPr>
      <w:tc>
        <w:tcPr>
          <w:tcW w:w="2409" w:type="dxa"/>
        </w:tcPr>
        <w:p w14:paraId="2FD171FA" w14:textId="77777777" w:rsidR="006609D1" w:rsidRDefault="006609D1">
          <w:pPr>
            <w:tabs>
              <w:tab w:val="right" w:pos="8838"/>
            </w:tabs>
            <w:ind w:right="-105"/>
            <w:rPr>
              <w:b/>
            </w:rPr>
          </w:pPr>
          <w:r>
            <w:rPr>
              <w:b/>
            </w:rPr>
            <w:t>Comisionado Ponente:</w:t>
          </w:r>
        </w:p>
      </w:tc>
      <w:tc>
        <w:tcPr>
          <w:tcW w:w="3686" w:type="dxa"/>
        </w:tcPr>
        <w:p w14:paraId="110E4396" w14:textId="77777777" w:rsidR="006609D1" w:rsidRDefault="006609D1">
          <w:pPr>
            <w:tabs>
              <w:tab w:val="right" w:pos="8838"/>
            </w:tabs>
            <w:ind w:right="176"/>
          </w:pPr>
          <w:r>
            <w:t>Luis Gustavo Parra Noriega</w:t>
          </w:r>
        </w:p>
        <w:p w14:paraId="6B439B12" w14:textId="77777777" w:rsidR="006609D1" w:rsidRDefault="006609D1">
          <w:pPr>
            <w:tabs>
              <w:tab w:val="right" w:pos="8838"/>
            </w:tabs>
            <w:ind w:right="176"/>
          </w:pPr>
        </w:p>
      </w:tc>
    </w:tr>
  </w:tbl>
  <w:p w14:paraId="072F116B" w14:textId="77777777" w:rsidR="006609D1" w:rsidRDefault="00C973D8">
    <w:pPr>
      <w:pBdr>
        <w:top w:val="nil"/>
        <w:left w:val="nil"/>
        <w:bottom w:val="nil"/>
        <w:right w:val="nil"/>
        <w:between w:val="nil"/>
      </w:pBdr>
      <w:tabs>
        <w:tab w:val="center" w:pos="4419"/>
        <w:tab w:val="right" w:pos="8838"/>
      </w:tabs>
      <w:spacing w:after="0" w:line="240" w:lineRule="auto"/>
      <w:rPr>
        <w:color w:val="000000"/>
      </w:rPr>
    </w:pPr>
    <w:r>
      <w:rPr>
        <w:color w:val="000000"/>
      </w:rPr>
      <w:pict w14:anchorId="1F9FE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9308" w14:textId="77777777" w:rsidR="006609D1" w:rsidRDefault="00C973D8">
    <w:pPr>
      <w:widowControl w:val="0"/>
      <w:pBdr>
        <w:top w:val="nil"/>
        <w:left w:val="nil"/>
        <w:bottom w:val="nil"/>
        <w:right w:val="nil"/>
        <w:between w:val="nil"/>
      </w:pBdr>
      <w:spacing w:after="0" w:line="276" w:lineRule="auto"/>
      <w:jc w:val="left"/>
      <w:rPr>
        <w:color w:val="000000"/>
      </w:rPr>
    </w:pPr>
    <w:r>
      <w:rPr>
        <w:color w:val="000000"/>
      </w:rPr>
      <w:pict w14:anchorId="53939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87.1pt;margin-top:-124.85pt;width:663.5pt;height:12in;z-index:-251658752;mso-position-horizontal-relative:margin;mso-position-vertical-relative:margin">
          <v:imagedata r:id="rId1" o:title="image1"/>
          <w10:wrap anchorx="margin" anchory="margin"/>
        </v:shape>
      </w:pict>
    </w:r>
  </w:p>
  <w:tbl>
    <w:tblPr>
      <w:tblStyle w:val="afffffa"/>
      <w:tblW w:w="9214" w:type="dxa"/>
      <w:tblInd w:w="0" w:type="dxa"/>
      <w:tblLayout w:type="fixed"/>
      <w:tblLook w:val="0400" w:firstRow="0" w:lastRow="0" w:firstColumn="0" w:lastColumn="0" w:noHBand="0" w:noVBand="1"/>
    </w:tblPr>
    <w:tblGrid>
      <w:gridCol w:w="2127"/>
      <w:gridCol w:w="7087"/>
    </w:tblGrid>
    <w:tr w:rsidR="006609D1" w14:paraId="348B4D53" w14:textId="77777777">
      <w:trPr>
        <w:trHeight w:val="1546"/>
      </w:trPr>
      <w:tc>
        <w:tcPr>
          <w:tcW w:w="2127" w:type="dxa"/>
        </w:tcPr>
        <w:p w14:paraId="24B09E4E" w14:textId="77777777" w:rsidR="006609D1" w:rsidRDefault="006609D1">
          <w:pPr>
            <w:tabs>
              <w:tab w:val="right" w:pos="4273"/>
            </w:tabs>
            <w:rPr>
              <w:rFonts w:ascii="Garamond" w:eastAsia="Garamond" w:hAnsi="Garamond" w:cs="Garamond"/>
              <w:sz w:val="16"/>
              <w:szCs w:val="16"/>
            </w:rPr>
          </w:pPr>
        </w:p>
      </w:tc>
      <w:tc>
        <w:tcPr>
          <w:tcW w:w="7087" w:type="dxa"/>
        </w:tcPr>
        <w:p w14:paraId="26B5EEAE" w14:textId="77777777" w:rsidR="006609D1" w:rsidRDefault="006609D1">
          <w:pPr>
            <w:rPr>
              <w:sz w:val="10"/>
              <w:szCs w:val="10"/>
            </w:rPr>
          </w:pPr>
        </w:p>
        <w:tbl>
          <w:tblPr>
            <w:tblStyle w:val="afffffb"/>
            <w:tblW w:w="5812" w:type="dxa"/>
            <w:tblInd w:w="1167" w:type="dxa"/>
            <w:tblLayout w:type="fixed"/>
            <w:tblLook w:val="0400" w:firstRow="0" w:lastRow="0" w:firstColumn="0" w:lastColumn="0" w:noHBand="0" w:noVBand="1"/>
          </w:tblPr>
          <w:tblGrid>
            <w:gridCol w:w="2410"/>
            <w:gridCol w:w="3402"/>
          </w:tblGrid>
          <w:tr w:rsidR="006609D1" w14:paraId="3E0EAB0F" w14:textId="77777777">
            <w:trPr>
              <w:trHeight w:val="427"/>
            </w:trPr>
            <w:tc>
              <w:tcPr>
                <w:tcW w:w="2410" w:type="dxa"/>
                <w:vAlign w:val="bottom"/>
              </w:tcPr>
              <w:p w14:paraId="2C92429C" w14:textId="77777777" w:rsidR="006609D1" w:rsidRDefault="006609D1">
                <w:pPr>
                  <w:tabs>
                    <w:tab w:val="right" w:pos="8838"/>
                  </w:tabs>
                  <w:ind w:right="-105"/>
                  <w:rPr>
                    <w:b/>
                  </w:rPr>
                </w:pPr>
                <w:r>
                  <w:rPr>
                    <w:b/>
                  </w:rPr>
                  <w:t>Recurso de Revisión:</w:t>
                </w:r>
              </w:p>
            </w:tc>
            <w:tc>
              <w:tcPr>
                <w:tcW w:w="3402" w:type="dxa"/>
              </w:tcPr>
              <w:p w14:paraId="02121366" w14:textId="77777777" w:rsidR="006609D1" w:rsidRDefault="006609D1">
                <w:pPr>
                  <w:tabs>
                    <w:tab w:val="right" w:pos="8838"/>
                  </w:tabs>
                  <w:ind w:left="-28" w:right="-107"/>
                  <w:rPr>
                    <w:b/>
                  </w:rPr>
                </w:pPr>
              </w:p>
              <w:p w14:paraId="0A7ED06D" w14:textId="37DCBC18" w:rsidR="006609D1" w:rsidRDefault="006609D1">
                <w:pPr>
                  <w:tabs>
                    <w:tab w:val="right" w:pos="8838"/>
                  </w:tabs>
                  <w:ind w:left="-28" w:right="-107"/>
                  <w:rPr>
                    <w:b/>
                  </w:rPr>
                </w:pPr>
                <w:r>
                  <w:rPr>
                    <w:b/>
                  </w:rPr>
                  <w:t>06411/INFOEM/IP/RR/2025</w:t>
                </w:r>
              </w:p>
            </w:tc>
          </w:tr>
          <w:tr w:rsidR="006609D1" w14:paraId="4AE85CE1" w14:textId="77777777">
            <w:trPr>
              <w:trHeight w:val="141"/>
            </w:trPr>
            <w:tc>
              <w:tcPr>
                <w:tcW w:w="2410" w:type="dxa"/>
              </w:tcPr>
              <w:p w14:paraId="53C53787" w14:textId="77777777" w:rsidR="006609D1" w:rsidRDefault="006609D1">
                <w:pPr>
                  <w:tabs>
                    <w:tab w:val="right" w:pos="8838"/>
                  </w:tabs>
                  <w:ind w:right="-105"/>
                  <w:rPr>
                    <w:b/>
                  </w:rPr>
                </w:pPr>
                <w:r>
                  <w:rPr>
                    <w:b/>
                  </w:rPr>
                  <w:t>Recurrente:</w:t>
                </w:r>
              </w:p>
            </w:tc>
            <w:tc>
              <w:tcPr>
                <w:tcW w:w="3402" w:type="dxa"/>
              </w:tcPr>
              <w:p w14:paraId="4FF025D6" w14:textId="3ABF9EB6" w:rsidR="006609D1" w:rsidRDefault="006609D1">
                <w:pPr>
                  <w:tabs>
                    <w:tab w:val="right" w:pos="8838"/>
                  </w:tabs>
                  <w:ind w:right="-107"/>
                </w:pPr>
                <w:r>
                  <w:t xml:space="preserve"> </w:t>
                </w:r>
              </w:p>
            </w:tc>
          </w:tr>
          <w:tr w:rsidR="006609D1" w14:paraId="2D0BB353" w14:textId="77777777">
            <w:trPr>
              <w:trHeight w:val="276"/>
            </w:trPr>
            <w:tc>
              <w:tcPr>
                <w:tcW w:w="2410" w:type="dxa"/>
              </w:tcPr>
              <w:p w14:paraId="4F401148" w14:textId="77777777" w:rsidR="006609D1" w:rsidRDefault="006609D1">
                <w:pPr>
                  <w:tabs>
                    <w:tab w:val="right" w:pos="8838"/>
                  </w:tabs>
                  <w:ind w:right="-105"/>
                  <w:rPr>
                    <w:b/>
                  </w:rPr>
                </w:pPr>
                <w:r>
                  <w:rPr>
                    <w:b/>
                  </w:rPr>
                  <w:t>Sujeto Obligado:</w:t>
                </w:r>
              </w:p>
            </w:tc>
            <w:tc>
              <w:tcPr>
                <w:tcW w:w="3402" w:type="dxa"/>
              </w:tcPr>
              <w:p w14:paraId="67E3E66C" w14:textId="4706BAD8" w:rsidR="006609D1" w:rsidRDefault="006609D1">
                <w:pPr>
                  <w:tabs>
                    <w:tab w:val="right" w:pos="8838"/>
                  </w:tabs>
                  <w:ind w:right="33"/>
                </w:pPr>
                <w:r>
                  <w:t>Ayuntamiento de Toluca</w:t>
                </w:r>
              </w:p>
            </w:tc>
          </w:tr>
          <w:tr w:rsidR="006609D1" w14:paraId="0979236B" w14:textId="77777777">
            <w:trPr>
              <w:trHeight w:val="276"/>
            </w:trPr>
            <w:tc>
              <w:tcPr>
                <w:tcW w:w="2410" w:type="dxa"/>
              </w:tcPr>
              <w:p w14:paraId="34EB34D2" w14:textId="77777777" w:rsidR="006609D1" w:rsidRDefault="006609D1">
                <w:pPr>
                  <w:tabs>
                    <w:tab w:val="right" w:pos="8838"/>
                  </w:tabs>
                  <w:ind w:right="-105"/>
                  <w:rPr>
                    <w:b/>
                  </w:rPr>
                </w:pPr>
                <w:r>
                  <w:rPr>
                    <w:b/>
                  </w:rPr>
                  <w:t>Comisionado Ponente:</w:t>
                </w:r>
              </w:p>
            </w:tc>
            <w:tc>
              <w:tcPr>
                <w:tcW w:w="3402" w:type="dxa"/>
              </w:tcPr>
              <w:p w14:paraId="3E562292" w14:textId="77777777" w:rsidR="006609D1" w:rsidRDefault="006609D1">
                <w:pPr>
                  <w:tabs>
                    <w:tab w:val="right" w:pos="8838"/>
                  </w:tabs>
                  <w:ind w:right="-107"/>
                </w:pPr>
                <w:r>
                  <w:t>Luis Gustavo Parra Noriega</w:t>
                </w:r>
              </w:p>
            </w:tc>
          </w:tr>
        </w:tbl>
        <w:p w14:paraId="07507453" w14:textId="77777777" w:rsidR="006609D1" w:rsidRDefault="006609D1">
          <w:pPr>
            <w:tabs>
              <w:tab w:val="right" w:pos="8838"/>
            </w:tabs>
            <w:ind w:left="-28"/>
            <w:rPr>
              <w:rFonts w:ascii="Arial" w:eastAsia="Arial" w:hAnsi="Arial" w:cs="Arial"/>
              <w:b/>
            </w:rPr>
          </w:pPr>
        </w:p>
      </w:tc>
    </w:tr>
  </w:tbl>
  <w:p w14:paraId="5F223354" w14:textId="77777777" w:rsidR="006609D1" w:rsidRDefault="006609D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FDA"/>
    <w:multiLevelType w:val="multilevel"/>
    <w:tmpl w:val="588C6F0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D503A"/>
    <w:multiLevelType w:val="multilevel"/>
    <w:tmpl w:val="1BE8EF2A"/>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840F39"/>
    <w:multiLevelType w:val="multilevel"/>
    <w:tmpl w:val="6658D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472533"/>
    <w:multiLevelType w:val="hybridMultilevel"/>
    <w:tmpl w:val="BA68A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D95EEC"/>
    <w:multiLevelType w:val="multilevel"/>
    <w:tmpl w:val="AD30A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5B4B25"/>
    <w:multiLevelType w:val="multilevel"/>
    <w:tmpl w:val="0F22C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8014FB"/>
    <w:multiLevelType w:val="multilevel"/>
    <w:tmpl w:val="2BD850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347E56"/>
    <w:multiLevelType w:val="multilevel"/>
    <w:tmpl w:val="F0E88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7E0A2F"/>
    <w:multiLevelType w:val="multilevel"/>
    <w:tmpl w:val="CE8E97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3451939"/>
    <w:multiLevelType w:val="multilevel"/>
    <w:tmpl w:val="8BBAE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927798"/>
    <w:multiLevelType w:val="multilevel"/>
    <w:tmpl w:val="A614E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25738D"/>
    <w:multiLevelType w:val="multilevel"/>
    <w:tmpl w:val="93188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E676FB"/>
    <w:multiLevelType w:val="hybridMultilevel"/>
    <w:tmpl w:val="9656D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26095F"/>
    <w:multiLevelType w:val="hybridMultilevel"/>
    <w:tmpl w:val="4C605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6E5033"/>
    <w:multiLevelType w:val="multilevel"/>
    <w:tmpl w:val="05BEBCC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BD2C2E"/>
    <w:multiLevelType w:val="multilevel"/>
    <w:tmpl w:val="1278F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C362F5"/>
    <w:multiLevelType w:val="multilevel"/>
    <w:tmpl w:val="3DB484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F606AA"/>
    <w:multiLevelType w:val="multilevel"/>
    <w:tmpl w:val="D09EB9B8"/>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3641681">
    <w:abstractNumId w:val="18"/>
  </w:num>
  <w:num w:numId="2" w16cid:durableId="1195581554">
    <w:abstractNumId w:val="1"/>
  </w:num>
  <w:num w:numId="3" w16cid:durableId="1772045402">
    <w:abstractNumId w:val="11"/>
  </w:num>
  <w:num w:numId="4" w16cid:durableId="391122067">
    <w:abstractNumId w:val="15"/>
  </w:num>
  <w:num w:numId="5" w16cid:durableId="419644400">
    <w:abstractNumId w:val="5"/>
  </w:num>
  <w:num w:numId="6" w16cid:durableId="407070551">
    <w:abstractNumId w:val="17"/>
  </w:num>
  <w:num w:numId="7" w16cid:durableId="1599172212">
    <w:abstractNumId w:val="0"/>
  </w:num>
  <w:num w:numId="8" w16cid:durableId="1809740248">
    <w:abstractNumId w:val="2"/>
  </w:num>
  <w:num w:numId="9" w16cid:durableId="919869463">
    <w:abstractNumId w:val="19"/>
  </w:num>
  <w:num w:numId="10" w16cid:durableId="915437022">
    <w:abstractNumId w:val="8"/>
  </w:num>
  <w:num w:numId="11" w16cid:durableId="1507669523">
    <w:abstractNumId w:val="12"/>
  </w:num>
  <w:num w:numId="12" w16cid:durableId="779451885">
    <w:abstractNumId w:val="16"/>
  </w:num>
  <w:num w:numId="13" w16cid:durableId="1620337383">
    <w:abstractNumId w:val="13"/>
  </w:num>
  <w:num w:numId="14" w16cid:durableId="1043360176">
    <w:abstractNumId w:val="3"/>
  </w:num>
  <w:num w:numId="15" w16cid:durableId="122500181">
    <w:abstractNumId w:val="14"/>
  </w:num>
  <w:num w:numId="16" w16cid:durableId="1625960055">
    <w:abstractNumId w:val="9"/>
  </w:num>
  <w:num w:numId="17" w16cid:durableId="1895238487">
    <w:abstractNumId w:val="7"/>
  </w:num>
  <w:num w:numId="18" w16cid:durableId="453905665">
    <w:abstractNumId w:val="6"/>
  </w:num>
  <w:num w:numId="19" w16cid:durableId="601182574">
    <w:abstractNumId w:val="4"/>
  </w:num>
  <w:num w:numId="20" w16cid:durableId="156842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C8"/>
    <w:rsid w:val="000539C6"/>
    <w:rsid w:val="00065128"/>
    <w:rsid w:val="00165919"/>
    <w:rsid w:val="00183966"/>
    <w:rsid w:val="001E7593"/>
    <w:rsid w:val="00241BD3"/>
    <w:rsid w:val="002A58C6"/>
    <w:rsid w:val="002C1F0F"/>
    <w:rsid w:val="002E5260"/>
    <w:rsid w:val="003A7B6E"/>
    <w:rsid w:val="003B74FD"/>
    <w:rsid w:val="003D7EEC"/>
    <w:rsid w:val="005546CE"/>
    <w:rsid w:val="00566484"/>
    <w:rsid w:val="00591A5E"/>
    <w:rsid w:val="005D1C24"/>
    <w:rsid w:val="005E1E55"/>
    <w:rsid w:val="00626070"/>
    <w:rsid w:val="00630497"/>
    <w:rsid w:val="006609D1"/>
    <w:rsid w:val="006C2A59"/>
    <w:rsid w:val="006F0AD6"/>
    <w:rsid w:val="007A27E3"/>
    <w:rsid w:val="007D37F0"/>
    <w:rsid w:val="007F75E2"/>
    <w:rsid w:val="00900C96"/>
    <w:rsid w:val="009574EA"/>
    <w:rsid w:val="009B7445"/>
    <w:rsid w:val="009E383A"/>
    <w:rsid w:val="009E5833"/>
    <w:rsid w:val="00B518C6"/>
    <w:rsid w:val="00C148B8"/>
    <w:rsid w:val="00C824DD"/>
    <w:rsid w:val="00C852C8"/>
    <w:rsid w:val="00C91E44"/>
    <w:rsid w:val="00C973D8"/>
    <w:rsid w:val="00CC4FC9"/>
    <w:rsid w:val="00D5379A"/>
    <w:rsid w:val="00DC3FCE"/>
    <w:rsid w:val="00F80EC4"/>
    <w:rsid w:val="00FD0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34BC"/>
  <w15:docId w15:val="{B8B68AD8-2D6C-405C-8CA1-BDA1BC71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0"/>
    <w:pPr>
      <w:spacing w:after="0" w:line="240" w:lineRule="auto"/>
    </w:pPr>
    <w:tblPr>
      <w:tblStyleRowBandSize w:val="1"/>
      <w:tblStyleColBandSize w:val="1"/>
      <w:tblCellMar>
        <w:left w:w="108" w:type="dxa"/>
        <w:right w:w="108" w:type="dxa"/>
      </w:tblCellMar>
    </w:tblPr>
  </w:style>
  <w:style w:type="table" w:customStyle="1" w:styleId="a0">
    <w:basedOn w:val="TableNormalf0"/>
    <w:pPr>
      <w:spacing w:after="0" w:line="240" w:lineRule="auto"/>
    </w:pPr>
    <w:tblPr>
      <w:tblStyleRowBandSize w:val="1"/>
      <w:tblStyleColBandSize w:val="1"/>
      <w:tblCellMar>
        <w:left w:w="108" w:type="dxa"/>
        <w:right w:w="108" w:type="dxa"/>
      </w:tblCellMar>
    </w:tbl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0"/>
    <w:pPr>
      <w:spacing w:after="0" w:line="240" w:lineRule="auto"/>
    </w:pPr>
    <w:tblPr>
      <w:tblStyleRowBandSize w:val="1"/>
      <w:tblStyleColBandSize w:val="1"/>
      <w:tblCellMar>
        <w:left w:w="108" w:type="dxa"/>
        <w:right w:w="108" w:type="dxa"/>
      </w:tblCellMar>
    </w:tblPr>
  </w:style>
  <w:style w:type="table" w:customStyle="1" w:styleId="a4">
    <w:basedOn w:val="TableNormalf0"/>
    <w:pPr>
      <w:spacing w:after="0" w:line="240" w:lineRule="auto"/>
    </w:pPr>
    <w:tblPr>
      <w:tblStyleRowBandSize w:val="1"/>
      <w:tblStyleColBandSize w:val="1"/>
      <w:tblCellMar>
        <w:left w:w="108" w:type="dxa"/>
        <w:right w:w="108" w:type="dxa"/>
      </w:tblCellMar>
    </w:tblPr>
  </w:style>
  <w:style w:type="table" w:customStyle="1" w:styleId="a5">
    <w:basedOn w:val="TableNormalf0"/>
    <w:pPr>
      <w:spacing w:after="0" w:line="240" w:lineRule="auto"/>
    </w:pPr>
    <w:tblPr>
      <w:tblStyleRowBandSize w:val="1"/>
      <w:tblStyleColBandSize w:val="1"/>
      <w:tblCellMar>
        <w:left w:w="108" w:type="dxa"/>
        <w:right w:w="108" w:type="dxa"/>
      </w:tblCellMar>
    </w:tblPr>
  </w:style>
  <w:style w:type="table" w:customStyle="1" w:styleId="a6">
    <w:basedOn w:val="TableNormalf0"/>
    <w:pPr>
      <w:spacing w:after="0" w:line="240" w:lineRule="auto"/>
    </w:pPr>
    <w:tblPr>
      <w:tblStyleRowBandSize w:val="1"/>
      <w:tblStyleColBandSize w:val="1"/>
      <w:tblCellMar>
        <w:left w:w="108" w:type="dxa"/>
        <w:right w:w="108" w:type="dxa"/>
      </w:tblCellMar>
    </w:tblPr>
  </w:style>
  <w:style w:type="table" w:customStyle="1" w:styleId="a7">
    <w:basedOn w:val="TableNormalf"/>
    <w:pPr>
      <w:spacing w:after="0" w:line="240" w:lineRule="auto"/>
    </w:pPr>
    <w:tblPr>
      <w:tblStyleRowBandSize w:val="1"/>
      <w:tblStyleColBandSize w:val="1"/>
      <w:tblCellMar>
        <w:left w:w="108" w:type="dxa"/>
        <w:right w:w="108" w:type="dxa"/>
      </w:tblCellMar>
    </w:tblPr>
  </w:style>
  <w:style w:type="table" w:customStyle="1" w:styleId="a8">
    <w:basedOn w:val="TableNormalf"/>
    <w:pPr>
      <w:spacing w:after="0" w:line="240" w:lineRule="auto"/>
    </w:pPr>
    <w:tblPr>
      <w:tblStyleRowBandSize w:val="1"/>
      <w:tblStyleColBandSize w:val="1"/>
      <w:tblCellMar>
        <w:left w:w="108" w:type="dxa"/>
        <w:right w:w="108" w:type="dxa"/>
      </w:tblCellMar>
    </w:tblPr>
  </w:style>
  <w:style w:type="table" w:customStyle="1" w:styleId="a9">
    <w:basedOn w:val="TableNormalf"/>
    <w:pPr>
      <w:spacing w:after="0" w:line="240" w:lineRule="auto"/>
    </w:pPr>
    <w:tblPr>
      <w:tblStyleRowBandSize w:val="1"/>
      <w:tblStyleColBandSize w:val="1"/>
      <w:tblCellMar>
        <w:left w:w="108" w:type="dxa"/>
        <w:right w:w="108" w:type="dxa"/>
      </w:tblCellMar>
    </w:tblPr>
  </w:style>
  <w:style w:type="table" w:customStyle="1" w:styleId="aa">
    <w:basedOn w:val="TableNormalf"/>
    <w:pPr>
      <w:spacing w:after="0" w:line="240" w:lineRule="auto"/>
    </w:pPr>
    <w:tblPr>
      <w:tblStyleRowBandSize w:val="1"/>
      <w:tblStyleColBandSize w:val="1"/>
      <w:tblCellMar>
        <w:left w:w="108" w:type="dxa"/>
        <w:right w:w="108" w:type="dxa"/>
      </w:tblCellMar>
    </w:tblPr>
  </w:style>
  <w:style w:type="table" w:customStyle="1" w:styleId="ab">
    <w:basedOn w:val="TableNormale"/>
    <w:pPr>
      <w:spacing w:after="0" w:line="240" w:lineRule="auto"/>
    </w:pPr>
    <w:tblPr>
      <w:tblStyleRowBandSize w:val="1"/>
      <w:tblStyleColBandSize w:val="1"/>
      <w:tblCellMar>
        <w:left w:w="108" w:type="dxa"/>
        <w:right w:w="108" w:type="dxa"/>
      </w:tblCellMar>
    </w:tblPr>
  </w:style>
  <w:style w:type="table" w:customStyle="1" w:styleId="ac">
    <w:basedOn w:val="TableNormale"/>
    <w:pPr>
      <w:spacing w:after="0" w:line="240" w:lineRule="auto"/>
    </w:pPr>
    <w:tblPr>
      <w:tblStyleRowBandSize w:val="1"/>
      <w:tblStyleColBandSize w:val="1"/>
      <w:tblCellMar>
        <w:left w:w="108" w:type="dxa"/>
        <w:right w:w="108" w:type="dxa"/>
      </w:tblCellMar>
    </w:tblPr>
  </w:style>
  <w:style w:type="table" w:customStyle="1" w:styleId="ad">
    <w:basedOn w:val="TableNormale"/>
    <w:pPr>
      <w:spacing w:after="0" w:line="240" w:lineRule="auto"/>
    </w:pPr>
    <w:tblPr>
      <w:tblStyleRowBandSize w:val="1"/>
      <w:tblStyleColBandSize w:val="1"/>
      <w:tblCellMar>
        <w:left w:w="108" w:type="dxa"/>
        <w:right w:w="108" w:type="dxa"/>
      </w:tblCellMar>
    </w:tblPr>
  </w:style>
  <w:style w:type="table" w:customStyle="1" w:styleId="ae">
    <w:basedOn w:val="TableNormale"/>
    <w:pPr>
      <w:spacing w:after="0" w:line="240" w:lineRule="auto"/>
    </w:pPr>
    <w:tblPr>
      <w:tblStyleRowBandSize w:val="1"/>
      <w:tblStyleColBandSize w:val="1"/>
      <w:tblCellMar>
        <w:left w:w="108" w:type="dxa"/>
        <w:right w:w="108" w:type="dxa"/>
      </w:tblCellMar>
    </w:tblPr>
  </w:style>
  <w:style w:type="table" w:customStyle="1" w:styleId="af">
    <w:basedOn w:val="TableNormald"/>
    <w:pPr>
      <w:spacing w:after="0" w:line="240" w:lineRule="auto"/>
    </w:pPr>
    <w:tblPr>
      <w:tblStyleRowBandSize w:val="1"/>
      <w:tblStyleColBandSize w:val="1"/>
      <w:tblCellMar>
        <w:left w:w="108" w:type="dxa"/>
        <w:right w:w="108" w:type="dxa"/>
      </w:tblCellMar>
    </w:tblPr>
  </w:style>
  <w:style w:type="table" w:customStyle="1" w:styleId="af0">
    <w:basedOn w:val="TableNormald"/>
    <w:pPr>
      <w:spacing w:after="0" w:line="240" w:lineRule="auto"/>
    </w:pPr>
    <w:tblPr>
      <w:tblStyleRowBandSize w:val="1"/>
      <w:tblStyleColBandSize w:val="1"/>
      <w:tblCellMar>
        <w:left w:w="108" w:type="dxa"/>
        <w:right w:w="108" w:type="dxa"/>
      </w:tblCellMar>
    </w:tblPr>
  </w:style>
  <w:style w:type="table" w:customStyle="1" w:styleId="af1">
    <w:basedOn w:val="TableNormald"/>
    <w:pPr>
      <w:spacing w:after="0" w:line="240" w:lineRule="auto"/>
    </w:pPr>
    <w:tblPr>
      <w:tblStyleRowBandSize w:val="1"/>
      <w:tblStyleColBandSize w:val="1"/>
      <w:tblCellMar>
        <w:left w:w="108" w:type="dxa"/>
        <w:right w:w="108" w:type="dxa"/>
      </w:tblCellMar>
    </w:tblPr>
  </w:style>
  <w:style w:type="table" w:customStyle="1" w:styleId="af2">
    <w:basedOn w:val="TableNormald"/>
    <w:pPr>
      <w:spacing w:after="0" w:line="240" w:lineRule="auto"/>
    </w:pPr>
    <w:tblPr>
      <w:tblStyleRowBandSize w:val="1"/>
      <w:tblStyleColBandSize w:val="1"/>
      <w:tblCellMar>
        <w:left w:w="108" w:type="dxa"/>
        <w:right w:w="108" w:type="dxa"/>
      </w:tblCellMar>
    </w:tblPr>
  </w:style>
  <w:style w:type="table" w:customStyle="1" w:styleId="af3">
    <w:basedOn w:val="TableNormalc"/>
    <w:pPr>
      <w:spacing w:after="0" w:line="240" w:lineRule="auto"/>
    </w:pPr>
    <w:tblPr>
      <w:tblStyleRowBandSize w:val="1"/>
      <w:tblStyleColBandSize w:val="1"/>
      <w:tblCellMar>
        <w:left w:w="108" w:type="dxa"/>
        <w:right w:w="108" w:type="dxa"/>
      </w:tblCellMar>
    </w:tblPr>
  </w:style>
  <w:style w:type="table" w:customStyle="1" w:styleId="af4">
    <w:basedOn w:val="TableNormalc"/>
    <w:pPr>
      <w:spacing w:after="0" w:line="240" w:lineRule="auto"/>
    </w:pPr>
    <w:tblPr>
      <w:tblStyleRowBandSize w:val="1"/>
      <w:tblStyleColBandSize w:val="1"/>
      <w:tblCellMar>
        <w:left w:w="108" w:type="dxa"/>
        <w:right w:w="108" w:type="dxa"/>
      </w:tblCellMar>
    </w:tblPr>
  </w:style>
  <w:style w:type="table" w:customStyle="1" w:styleId="af5">
    <w:basedOn w:val="TableNormalc"/>
    <w:pPr>
      <w:spacing w:after="0" w:line="240" w:lineRule="auto"/>
    </w:pPr>
    <w:tblPr>
      <w:tblStyleRowBandSize w:val="1"/>
      <w:tblStyleColBandSize w:val="1"/>
      <w:tblCellMar>
        <w:left w:w="108" w:type="dxa"/>
        <w:right w:w="108" w:type="dxa"/>
      </w:tblCellMar>
    </w:tblPr>
  </w:style>
  <w:style w:type="table" w:customStyle="1" w:styleId="af6">
    <w:basedOn w:val="TableNormalc"/>
    <w:pPr>
      <w:spacing w:after="0" w:line="240" w:lineRule="auto"/>
    </w:pPr>
    <w:tblPr>
      <w:tblStyleRowBandSize w:val="1"/>
      <w:tblStyleColBandSize w:val="1"/>
      <w:tblCellMar>
        <w:left w:w="108" w:type="dxa"/>
        <w:right w:w="108" w:type="dxa"/>
      </w:tblCellMar>
    </w:tblPr>
  </w:style>
  <w:style w:type="table" w:customStyle="1" w:styleId="af7">
    <w:basedOn w:val="TableNormalb"/>
    <w:pPr>
      <w:spacing w:after="0" w:line="240" w:lineRule="auto"/>
    </w:pPr>
    <w:tblPr>
      <w:tblStyleRowBandSize w:val="1"/>
      <w:tblStyleColBandSize w:val="1"/>
      <w:tblCellMar>
        <w:left w:w="108" w:type="dxa"/>
        <w:right w:w="108" w:type="dxa"/>
      </w:tblCellMar>
    </w:tblPr>
  </w:style>
  <w:style w:type="table" w:customStyle="1" w:styleId="af8">
    <w:basedOn w:val="TableNormalb"/>
    <w:pPr>
      <w:spacing w:after="0" w:line="240" w:lineRule="auto"/>
    </w:pPr>
    <w:tblPr>
      <w:tblStyleRowBandSize w:val="1"/>
      <w:tblStyleColBandSize w:val="1"/>
      <w:tblCellMar>
        <w:left w:w="108" w:type="dxa"/>
        <w:right w:w="108" w:type="dxa"/>
      </w:tblCellMar>
    </w:tblPr>
  </w:style>
  <w:style w:type="table" w:customStyle="1" w:styleId="af9">
    <w:basedOn w:val="TableNormalb"/>
    <w:pPr>
      <w:spacing w:after="0" w:line="240" w:lineRule="auto"/>
    </w:pPr>
    <w:tblPr>
      <w:tblStyleRowBandSize w:val="1"/>
      <w:tblStyleColBandSize w:val="1"/>
      <w:tblCellMar>
        <w:left w:w="108" w:type="dxa"/>
        <w:right w:w="108" w:type="dxa"/>
      </w:tblCellMar>
    </w:tblPr>
  </w:style>
  <w:style w:type="table" w:customStyle="1" w:styleId="afa">
    <w:basedOn w:val="TableNormalb"/>
    <w:pPr>
      <w:spacing w:after="0" w:line="240" w:lineRule="auto"/>
    </w:pPr>
    <w:tblPr>
      <w:tblStyleRowBandSize w:val="1"/>
      <w:tblStyleColBandSize w:val="1"/>
      <w:tblCellMar>
        <w:left w:w="108" w:type="dxa"/>
        <w:right w:w="108" w:type="dxa"/>
      </w:tblCellMar>
    </w:tblPr>
  </w:style>
  <w:style w:type="table" w:customStyle="1" w:styleId="afb">
    <w:basedOn w:val="TableNormala"/>
    <w:pPr>
      <w:spacing w:after="0" w:line="240" w:lineRule="auto"/>
    </w:pPr>
    <w:tblPr>
      <w:tblStyleRowBandSize w:val="1"/>
      <w:tblStyleColBandSize w:val="1"/>
      <w:tblCellMar>
        <w:left w:w="108" w:type="dxa"/>
        <w:right w:w="108" w:type="dxa"/>
      </w:tblCellMar>
    </w:tblPr>
  </w:style>
  <w:style w:type="table" w:customStyle="1" w:styleId="afc">
    <w:basedOn w:val="TableNormala"/>
    <w:pPr>
      <w:spacing w:after="0" w:line="240" w:lineRule="auto"/>
    </w:pPr>
    <w:tblPr>
      <w:tblStyleRowBandSize w:val="1"/>
      <w:tblStyleColBandSize w:val="1"/>
      <w:tblCellMar>
        <w:left w:w="108" w:type="dxa"/>
        <w:right w:w="108" w:type="dxa"/>
      </w:tblCellMar>
    </w:tblPr>
  </w:style>
  <w:style w:type="table" w:customStyle="1" w:styleId="afd">
    <w:basedOn w:val="TableNormala"/>
    <w:pPr>
      <w:spacing w:after="0" w:line="240" w:lineRule="auto"/>
    </w:pPr>
    <w:tblPr>
      <w:tblStyleRowBandSize w:val="1"/>
      <w:tblStyleColBandSize w:val="1"/>
      <w:tblCellMar>
        <w:left w:w="108" w:type="dxa"/>
        <w:right w:w="108" w:type="dxa"/>
      </w:tblCellMar>
    </w:tblPr>
  </w:style>
  <w:style w:type="table" w:customStyle="1" w:styleId="afe">
    <w:basedOn w:val="TableNormala"/>
    <w:pPr>
      <w:spacing w:after="0" w:line="240" w:lineRule="auto"/>
    </w:pPr>
    <w:tblPr>
      <w:tblStyleRowBandSize w:val="1"/>
      <w:tblStyleColBandSize w:val="1"/>
      <w:tblCellMar>
        <w:left w:w="108" w:type="dxa"/>
        <w:right w:w="108" w:type="dxa"/>
      </w:tblCellMar>
    </w:tblPr>
  </w:style>
  <w:style w:type="table" w:customStyle="1" w:styleId="aff">
    <w:basedOn w:val="TableNormal9"/>
    <w:pPr>
      <w:spacing w:after="0" w:line="240" w:lineRule="auto"/>
    </w:pPr>
    <w:tblPr>
      <w:tblStyleRowBandSize w:val="1"/>
      <w:tblStyleColBandSize w:val="1"/>
      <w:tblCellMar>
        <w:left w:w="108" w:type="dxa"/>
        <w:right w:w="108" w:type="dxa"/>
      </w:tblCellMar>
    </w:tblPr>
  </w:style>
  <w:style w:type="table" w:customStyle="1" w:styleId="aff0">
    <w:basedOn w:val="TableNormal9"/>
    <w:pPr>
      <w:spacing w:after="0" w:line="240" w:lineRule="auto"/>
    </w:pPr>
    <w:tblPr>
      <w:tblStyleRowBandSize w:val="1"/>
      <w:tblStyleColBandSize w:val="1"/>
      <w:tblCellMar>
        <w:left w:w="108" w:type="dxa"/>
        <w:right w:w="108" w:type="dxa"/>
      </w:tblCellMar>
    </w:tblPr>
  </w:style>
  <w:style w:type="table" w:customStyle="1" w:styleId="aff1">
    <w:basedOn w:val="TableNormal9"/>
    <w:pPr>
      <w:spacing w:after="0" w:line="240" w:lineRule="auto"/>
    </w:pPr>
    <w:tblPr>
      <w:tblStyleRowBandSize w:val="1"/>
      <w:tblStyleColBandSize w:val="1"/>
      <w:tblCellMar>
        <w:left w:w="108" w:type="dxa"/>
        <w:right w:w="108" w:type="dxa"/>
      </w:tblCellMar>
    </w:tblPr>
  </w:style>
  <w:style w:type="table" w:customStyle="1" w:styleId="aff2">
    <w:basedOn w:val="TableNormal9"/>
    <w:pPr>
      <w:spacing w:after="0" w:line="240" w:lineRule="auto"/>
    </w:pPr>
    <w:tblPr>
      <w:tblStyleRowBandSize w:val="1"/>
      <w:tblStyleColBandSize w:val="1"/>
      <w:tblCellMar>
        <w:left w:w="108" w:type="dxa"/>
        <w:right w:w="108" w:type="dxa"/>
      </w:tblCellMar>
    </w:tblPr>
  </w:style>
  <w:style w:type="table" w:customStyle="1" w:styleId="aff3">
    <w:basedOn w:val="TableNormal8"/>
    <w:pPr>
      <w:spacing w:after="0" w:line="240" w:lineRule="auto"/>
    </w:pPr>
    <w:tblPr>
      <w:tblStyleRowBandSize w:val="1"/>
      <w:tblStyleColBandSize w:val="1"/>
      <w:tblCellMar>
        <w:left w:w="108" w:type="dxa"/>
        <w:right w:w="108" w:type="dxa"/>
      </w:tblCellMar>
    </w:tblPr>
  </w:style>
  <w:style w:type="table" w:customStyle="1" w:styleId="aff4">
    <w:basedOn w:val="TableNormal8"/>
    <w:pPr>
      <w:spacing w:after="0" w:line="240" w:lineRule="auto"/>
    </w:pPr>
    <w:tblPr>
      <w:tblStyleRowBandSize w:val="1"/>
      <w:tblStyleColBandSize w:val="1"/>
      <w:tblCellMar>
        <w:left w:w="108" w:type="dxa"/>
        <w:right w:w="108" w:type="dxa"/>
      </w:tblCellMar>
    </w:tblPr>
  </w:style>
  <w:style w:type="table" w:customStyle="1" w:styleId="aff5">
    <w:basedOn w:val="TableNormal8"/>
    <w:pPr>
      <w:spacing w:after="0" w:line="240" w:lineRule="auto"/>
    </w:pPr>
    <w:tblPr>
      <w:tblStyleRowBandSize w:val="1"/>
      <w:tblStyleColBandSize w:val="1"/>
      <w:tblCellMar>
        <w:left w:w="108" w:type="dxa"/>
        <w:right w:w="108" w:type="dxa"/>
      </w:tblCellMar>
    </w:tblPr>
  </w:style>
  <w:style w:type="table" w:customStyle="1" w:styleId="aff6">
    <w:basedOn w:val="TableNormal8"/>
    <w:pPr>
      <w:spacing w:after="0" w:line="240" w:lineRule="auto"/>
    </w:pPr>
    <w:tblPr>
      <w:tblStyleRowBandSize w:val="1"/>
      <w:tblStyleColBandSize w:val="1"/>
      <w:tblCellMar>
        <w:left w:w="108" w:type="dxa"/>
        <w:right w:w="108" w:type="dxa"/>
      </w:tblCellMar>
    </w:tblPr>
  </w:style>
  <w:style w:type="table" w:customStyle="1" w:styleId="aff7">
    <w:basedOn w:val="TableNormal7"/>
    <w:pPr>
      <w:spacing w:after="0" w:line="240" w:lineRule="auto"/>
    </w:pPr>
    <w:tblPr>
      <w:tblStyleRowBandSize w:val="1"/>
      <w:tblStyleColBandSize w:val="1"/>
      <w:tblCellMar>
        <w:left w:w="108" w:type="dxa"/>
        <w:right w:w="108" w:type="dxa"/>
      </w:tblCellMar>
    </w:tblPr>
  </w:style>
  <w:style w:type="table" w:customStyle="1" w:styleId="aff8">
    <w:basedOn w:val="TableNormal7"/>
    <w:pPr>
      <w:spacing w:after="0" w:line="240" w:lineRule="auto"/>
    </w:pPr>
    <w:tblPr>
      <w:tblStyleRowBandSize w:val="1"/>
      <w:tblStyleColBandSize w:val="1"/>
      <w:tblCellMar>
        <w:left w:w="108" w:type="dxa"/>
        <w:right w:w="108" w:type="dxa"/>
      </w:tblCellMar>
    </w:tblPr>
  </w:style>
  <w:style w:type="table" w:customStyle="1" w:styleId="aff9">
    <w:basedOn w:val="TableNormal7"/>
    <w:pPr>
      <w:spacing w:after="0" w:line="240" w:lineRule="auto"/>
    </w:pPr>
    <w:tblPr>
      <w:tblStyleRowBandSize w:val="1"/>
      <w:tblStyleColBandSize w:val="1"/>
      <w:tblCellMar>
        <w:left w:w="108" w:type="dxa"/>
        <w:right w:w="108" w:type="dxa"/>
      </w:tblCellMar>
    </w:tblPr>
  </w:style>
  <w:style w:type="table" w:customStyle="1" w:styleId="affa">
    <w:basedOn w:val="TableNormal7"/>
    <w:pPr>
      <w:spacing w:after="0" w:line="240" w:lineRule="auto"/>
    </w:pPr>
    <w:tblPr>
      <w:tblStyleRowBandSize w:val="1"/>
      <w:tblStyleColBandSize w:val="1"/>
      <w:tblCellMar>
        <w:left w:w="108" w:type="dxa"/>
        <w:right w:w="108" w:type="dxa"/>
      </w:tblCellMar>
    </w:tblPr>
  </w:style>
  <w:style w:type="table" w:customStyle="1" w:styleId="affb">
    <w:basedOn w:val="TableNormal7"/>
    <w:pPr>
      <w:spacing w:after="0" w:line="240" w:lineRule="auto"/>
    </w:pPr>
    <w:tblPr>
      <w:tblStyleRowBandSize w:val="1"/>
      <w:tblStyleColBandSize w:val="1"/>
      <w:tblCellMar>
        <w:left w:w="108" w:type="dxa"/>
        <w:right w:w="108" w:type="dxa"/>
      </w:tblCellMar>
    </w:tblPr>
  </w:style>
  <w:style w:type="table" w:customStyle="1" w:styleId="affc">
    <w:basedOn w:val="TableNormal7"/>
    <w:pPr>
      <w:spacing w:after="0" w:line="240" w:lineRule="auto"/>
    </w:pPr>
    <w:tblPr>
      <w:tblStyleRowBandSize w:val="1"/>
      <w:tblStyleColBandSize w:val="1"/>
      <w:tblCellMar>
        <w:left w:w="108" w:type="dxa"/>
        <w:right w:w="108" w:type="dxa"/>
      </w:tblCellMar>
    </w:tblPr>
  </w:style>
  <w:style w:type="table" w:customStyle="1" w:styleId="affd">
    <w:basedOn w:val="TableNormal7"/>
    <w:pPr>
      <w:spacing w:after="0" w:line="240" w:lineRule="auto"/>
    </w:pPr>
    <w:tblPr>
      <w:tblStyleRowBandSize w:val="1"/>
      <w:tblStyleColBandSize w:val="1"/>
      <w:tblCellMar>
        <w:left w:w="108" w:type="dxa"/>
        <w:right w:w="108" w:type="dxa"/>
      </w:tblCellMar>
    </w:tblPr>
  </w:style>
  <w:style w:type="table" w:customStyle="1" w:styleId="affe">
    <w:basedOn w:val="TableNormal7"/>
    <w:pPr>
      <w:spacing w:after="0" w:line="240" w:lineRule="auto"/>
    </w:pPr>
    <w:tblPr>
      <w:tblStyleRowBandSize w:val="1"/>
      <w:tblStyleColBandSize w:val="1"/>
      <w:tblCellMar>
        <w:left w:w="108" w:type="dxa"/>
        <w:right w:w="108" w:type="dxa"/>
      </w:tblCellMar>
    </w:tblPr>
  </w:style>
  <w:style w:type="table" w:customStyle="1" w:styleId="afff">
    <w:basedOn w:val="TableNormal7"/>
    <w:pPr>
      <w:spacing w:after="0" w:line="240" w:lineRule="auto"/>
    </w:pPr>
    <w:tblPr>
      <w:tblStyleRowBandSize w:val="1"/>
      <w:tblStyleColBandSize w:val="1"/>
      <w:tblCellMar>
        <w:left w:w="108" w:type="dxa"/>
        <w:right w:w="108" w:type="dxa"/>
      </w:tblCellMar>
    </w:tblPr>
  </w:style>
  <w:style w:type="table" w:customStyle="1" w:styleId="afff0">
    <w:basedOn w:val="TableNormal7"/>
    <w:pPr>
      <w:spacing w:after="0" w:line="240" w:lineRule="auto"/>
    </w:pPr>
    <w:tblPr>
      <w:tblStyleRowBandSize w:val="1"/>
      <w:tblStyleColBandSize w:val="1"/>
      <w:tblCellMar>
        <w:left w:w="108" w:type="dxa"/>
        <w:right w:w="108" w:type="dxa"/>
      </w:tblCellMar>
    </w:tblPr>
  </w:style>
  <w:style w:type="table" w:customStyle="1" w:styleId="afff1">
    <w:basedOn w:val="TableNormal7"/>
    <w:pPr>
      <w:spacing w:after="0" w:line="240" w:lineRule="auto"/>
    </w:pPr>
    <w:tblPr>
      <w:tblStyleRowBandSize w:val="1"/>
      <w:tblStyleColBandSize w:val="1"/>
      <w:tblCellMar>
        <w:left w:w="108" w:type="dxa"/>
        <w:right w:w="108" w:type="dxa"/>
      </w:tblCellMar>
    </w:tblPr>
  </w:style>
  <w:style w:type="table" w:customStyle="1" w:styleId="afff2">
    <w:basedOn w:val="TableNormal7"/>
    <w:pPr>
      <w:spacing w:after="0" w:line="240" w:lineRule="auto"/>
    </w:pPr>
    <w:tblPr>
      <w:tblStyleRowBandSize w:val="1"/>
      <w:tblStyleColBandSize w:val="1"/>
      <w:tblCellMar>
        <w:left w:w="108" w:type="dxa"/>
        <w:right w:w="108" w:type="dxa"/>
      </w:tblCellMar>
    </w:tblPr>
  </w:style>
  <w:style w:type="table" w:customStyle="1" w:styleId="afff3">
    <w:basedOn w:val="TableNormal7"/>
    <w:pPr>
      <w:spacing w:after="0" w:line="240" w:lineRule="auto"/>
    </w:pPr>
    <w:tblPr>
      <w:tblStyleRowBandSize w:val="1"/>
      <w:tblStyleColBandSize w:val="1"/>
      <w:tblCellMar>
        <w:left w:w="108" w:type="dxa"/>
        <w:right w:w="108" w:type="dxa"/>
      </w:tblCellMar>
    </w:tblPr>
  </w:style>
  <w:style w:type="table" w:customStyle="1" w:styleId="afff4">
    <w:basedOn w:val="TableNormal7"/>
    <w:pPr>
      <w:spacing w:after="0" w:line="240" w:lineRule="auto"/>
    </w:pPr>
    <w:tblPr>
      <w:tblStyleRowBandSize w:val="1"/>
      <w:tblStyleColBandSize w:val="1"/>
      <w:tblCellMar>
        <w:left w:w="108" w:type="dxa"/>
        <w:right w:w="108" w:type="dxa"/>
      </w:tblCellMar>
    </w:tblPr>
  </w:style>
  <w:style w:type="table" w:customStyle="1" w:styleId="afff5">
    <w:basedOn w:val="TableNormal7"/>
    <w:pPr>
      <w:spacing w:after="0" w:line="240" w:lineRule="auto"/>
    </w:pPr>
    <w:tblPr>
      <w:tblStyleRowBandSize w:val="1"/>
      <w:tblStyleColBandSize w:val="1"/>
      <w:tblCellMar>
        <w:left w:w="108" w:type="dxa"/>
        <w:right w:w="108" w:type="dxa"/>
      </w:tblCellMar>
    </w:tblPr>
  </w:style>
  <w:style w:type="table" w:customStyle="1" w:styleId="afff6">
    <w:basedOn w:val="TableNormal7"/>
    <w:pPr>
      <w:spacing w:after="0" w:line="240" w:lineRule="auto"/>
    </w:pPr>
    <w:tblPr>
      <w:tblStyleRowBandSize w:val="1"/>
      <w:tblStyleColBandSize w:val="1"/>
      <w:tblCellMar>
        <w:left w:w="108" w:type="dxa"/>
        <w:right w:w="108" w:type="dxa"/>
      </w:tblCellMar>
    </w:tblPr>
  </w:style>
  <w:style w:type="table" w:customStyle="1" w:styleId="afff7">
    <w:basedOn w:val="TableNormal7"/>
    <w:pPr>
      <w:spacing w:after="0" w:line="240" w:lineRule="auto"/>
    </w:pPr>
    <w:tblPr>
      <w:tblStyleRowBandSize w:val="1"/>
      <w:tblStyleColBandSize w:val="1"/>
      <w:tblCellMar>
        <w:left w:w="108" w:type="dxa"/>
        <w:right w:w="108" w:type="dxa"/>
      </w:tblCellMar>
    </w:tblPr>
  </w:style>
  <w:style w:type="table" w:customStyle="1" w:styleId="afff8">
    <w:basedOn w:val="TableNormal7"/>
    <w:pPr>
      <w:spacing w:after="0" w:line="240" w:lineRule="auto"/>
    </w:pPr>
    <w:tblPr>
      <w:tblStyleRowBandSize w:val="1"/>
      <w:tblStyleColBandSize w:val="1"/>
      <w:tblCellMar>
        <w:left w:w="108" w:type="dxa"/>
        <w:right w:w="108" w:type="dxa"/>
      </w:tblCellMar>
    </w:tblPr>
  </w:style>
  <w:style w:type="table" w:customStyle="1" w:styleId="afff9">
    <w:basedOn w:val="TableNormal7"/>
    <w:pPr>
      <w:spacing w:after="0" w:line="240" w:lineRule="auto"/>
    </w:pPr>
    <w:tblPr>
      <w:tblStyleRowBandSize w:val="1"/>
      <w:tblStyleColBandSize w:val="1"/>
      <w:tblCellMar>
        <w:left w:w="108" w:type="dxa"/>
        <w:right w:w="108" w:type="dxa"/>
      </w:tblCellMar>
    </w:tblPr>
  </w:style>
  <w:style w:type="table" w:customStyle="1" w:styleId="afffa">
    <w:basedOn w:val="TableNormal7"/>
    <w:pPr>
      <w:spacing w:after="0" w:line="240" w:lineRule="auto"/>
    </w:pPr>
    <w:tblPr>
      <w:tblStyleRowBandSize w:val="1"/>
      <w:tblStyleColBandSize w:val="1"/>
      <w:tblCellMar>
        <w:left w:w="108" w:type="dxa"/>
        <w:right w:w="108" w:type="dxa"/>
      </w:tblCellMar>
    </w:tblPr>
  </w:style>
  <w:style w:type="table" w:customStyle="1" w:styleId="afffb">
    <w:basedOn w:val="TableNormal7"/>
    <w:pPr>
      <w:spacing w:after="0" w:line="240" w:lineRule="auto"/>
    </w:pPr>
    <w:tblPr>
      <w:tblStyleRowBandSize w:val="1"/>
      <w:tblStyleColBandSize w:val="1"/>
      <w:tblCellMar>
        <w:left w:w="108" w:type="dxa"/>
        <w:right w:w="108" w:type="dxa"/>
      </w:tblCellMar>
    </w:tblPr>
  </w:style>
  <w:style w:type="table" w:customStyle="1" w:styleId="afffc">
    <w:basedOn w:val="TableNormal7"/>
    <w:pPr>
      <w:spacing w:after="0" w:line="240" w:lineRule="auto"/>
    </w:pPr>
    <w:tblPr>
      <w:tblStyleRowBandSize w:val="1"/>
      <w:tblStyleColBandSize w:val="1"/>
      <w:tblCellMar>
        <w:left w:w="108" w:type="dxa"/>
        <w:right w:w="108" w:type="dxa"/>
      </w:tblCellMar>
    </w:tblPr>
  </w:style>
  <w:style w:type="table" w:customStyle="1" w:styleId="afffd">
    <w:basedOn w:val="TableNormal6"/>
    <w:pPr>
      <w:spacing w:after="0" w:line="240" w:lineRule="auto"/>
    </w:pPr>
    <w:tblPr>
      <w:tblStyleRowBandSize w:val="1"/>
      <w:tblStyleColBandSize w:val="1"/>
      <w:tblCellMar>
        <w:left w:w="108" w:type="dxa"/>
        <w:right w:w="108" w:type="dxa"/>
      </w:tblCellMar>
    </w:tblPr>
  </w:style>
  <w:style w:type="table" w:customStyle="1" w:styleId="afffe">
    <w:basedOn w:val="TableNormal6"/>
    <w:pPr>
      <w:spacing w:after="0" w:line="240" w:lineRule="auto"/>
    </w:pPr>
    <w:tblPr>
      <w:tblStyleRowBandSize w:val="1"/>
      <w:tblStyleColBandSize w:val="1"/>
      <w:tblCellMar>
        <w:left w:w="108" w:type="dxa"/>
        <w:right w:w="108" w:type="dxa"/>
      </w:tblCellMar>
    </w:tblPr>
  </w:style>
  <w:style w:type="table" w:customStyle="1" w:styleId="affff">
    <w:basedOn w:val="TableNormal6"/>
    <w:pPr>
      <w:spacing w:after="0" w:line="240" w:lineRule="auto"/>
    </w:pPr>
    <w:tblPr>
      <w:tblStyleRowBandSize w:val="1"/>
      <w:tblStyleColBandSize w:val="1"/>
      <w:tblCellMar>
        <w:left w:w="108" w:type="dxa"/>
        <w:right w:w="108" w:type="dxa"/>
      </w:tblCellMar>
    </w:tblPr>
  </w:style>
  <w:style w:type="table" w:customStyle="1" w:styleId="affff0">
    <w:basedOn w:val="TableNormal6"/>
    <w:pPr>
      <w:spacing w:after="0" w:line="240" w:lineRule="auto"/>
    </w:pPr>
    <w:tblPr>
      <w:tblStyleRowBandSize w:val="1"/>
      <w:tblStyleColBandSize w:val="1"/>
      <w:tblCellMar>
        <w:left w:w="108" w:type="dxa"/>
        <w:right w:w="108" w:type="dxa"/>
      </w:tblCellMar>
    </w:tblPr>
  </w:style>
  <w:style w:type="table" w:customStyle="1" w:styleId="affff1">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5"/>
    <w:pPr>
      <w:spacing w:after="0" w:line="240" w:lineRule="auto"/>
    </w:pPr>
    <w:tblPr>
      <w:tblStyleRowBandSize w:val="1"/>
      <w:tblStyleColBandSize w:val="1"/>
      <w:tblCellMar>
        <w:left w:w="108" w:type="dxa"/>
        <w:right w:w="108" w:type="dxa"/>
      </w:tblCellMar>
    </w:tblPr>
  </w:style>
  <w:style w:type="table" w:customStyle="1" w:styleId="affff3">
    <w:basedOn w:val="TableNormal5"/>
    <w:pPr>
      <w:spacing w:after="0" w:line="240" w:lineRule="auto"/>
    </w:pPr>
    <w:tblPr>
      <w:tblStyleRowBandSize w:val="1"/>
      <w:tblStyleColBandSize w:val="1"/>
      <w:tblCellMar>
        <w:left w:w="108" w:type="dxa"/>
        <w:right w:w="108" w:type="dxa"/>
      </w:tblCellMar>
    </w:tblPr>
  </w:style>
  <w:style w:type="table" w:customStyle="1" w:styleId="affff4">
    <w:basedOn w:val="TableNormal5"/>
    <w:pPr>
      <w:spacing w:after="0" w:line="240" w:lineRule="auto"/>
    </w:pPr>
    <w:tblPr>
      <w:tblStyleRowBandSize w:val="1"/>
      <w:tblStyleColBandSize w:val="1"/>
      <w:tblCellMar>
        <w:left w:w="108" w:type="dxa"/>
        <w:right w:w="108" w:type="dxa"/>
      </w:tblCellMar>
    </w:tblPr>
  </w:style>
  <w:style w:type="table" w:customStyle="1" w:styleId="affff5">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4"/>
    <w:pPr>
      <w:spacing w:after="0" w:line="240" w:lineRule="auto"/>
    </w:pPr>
    <w:tblPr>
      <w:tblStyleRowBandSize w:val="1"/>
      <w:tblStyleColBandSize w:val="1"/>
      <w:tblCellMar>
        <w:left w:w="108" w:type="dxa"/>
        <w:right w:w="108" w:type="dxa"/>
      </w:tblCellMar>
    </w:tblPr>
  </w:style>
  <w:style w:type="table" w:customStyle="1" w:styleId="affff7">
    <w:basedOn w:val="TableNormal4"/>
    <w:pPr>
      <w:spacing w:after="0" w:line="240" w:lineRule="auto"/>
    </w:pPr>
    <w:tblPr>
      <w:tblStyleRowBandSize w:val="1"/>
      <w:tblStyleColBandSize w:val="1"/>
      <w:tblCellMar>
        <w:left w:w="108" w:type="dxa"/>
        <w:right w:w="108" w:type="dxa"/>
      </w:tblCellMar>
    </w:tblPr>
  </w:style>
  <w:style w:type="table" w:customStyle="1" w:styleId="affff8">
    <w:basedOn w:val="TableNormal4"/>
    <w:pPr>
      <w:spacing w:after="0" w:line="240" w:lineRule="auto"/>
    </w:pPr>
    <w:tblPr>
      <w:tblStyleRowBandSize w:val="1"/>
      <w:tblStyleColBandSize w:val="1"/>
      <w:tblCellMar>
        <w:left w:w="108" w:type="dxa"/>
        <w:right w:w="108" w:type="dxa"/>
      </w:tblCellMar>
    </w:tblPr>
  </w:style>
  <w:style w:type="table" w:customStyle="1" w:styleId="affff9">
    <w:basedOn w:val="TableNormal4"/>
    <w:pPr>
      <w:spacing w:after="0" w:line="240" w:lineRule="auto"/>
    </w:pPr>
    <w:tblPr>
      <w:tblStyleRowBandSize w:val="1"/>
      <w:tblStyleColBandSize w:val="1"/>
      <w:tblCellMar>
        <w:left w:w="108" w:type="dxa"/>
        <w:right w:w="108" w:type="dxa"/>
      </w:tblCellMar>
    </w:tblPr>
  </w:style>
  <w:style w:type="table" w:customStyle="1" w:styleId="affffa">
    <w:basedOn w:val="TableNormal4"/>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3"/>
    <w:pPr>
      <w:spacing w:after="0" w:line="240" w:lineRule="auto"/>
    </w:pPr>
    <w:tblPr>
      <w:tblStyleRowBandSize w:val="1"/>
      <w:tblStyleColBandSize w:val="1"/>
      <w:tblCellMar>
        <w:left w:w="108" w:type="dxa"/>
        <w:right w:w="108" w:type="dxa"/>
      </w:tblCellMar>
    </w:tblPr>
  </w:style>
  <w:style w:type="table" w:customStyle="1" w:styleId="affffc">
    <w:basedOn w:val="TableNormal3"/>
    <w:pPr>
      <w:spacing w:after="0" w:line="240" w:lineRule="auto"/>
    </w:pPr>
    <w:tblPr>
      <w:tblStyleRowBandSize w:val="1"/>
      <w:tblStyleColBandSize w:val="1"/>
      <w:tblCellMar>
        <w:left w:w="108" w:type="dxa"/>
        <w:right w:w="108" w:type="dxa"/>
      </w:tblCellMar>
    </w:tblPr>
  </w:style>
  <w:style w:type="table" w:customStyle="1" w:styleId="affffd">
    <w:basedOn w:val="TableNormal3"/>
    <w:pPr>
      <w:spacing w:after="0" w:line="240" w:lineRule="auto"/>
    </w:pPr>
    <w:tblPr>
      <w:tblStyleRowBandSize w:val="1"/>
      <w:tblStyleColBandSize w:val="1"/>
      <w:tblCellMar>
        <w:left w:w="108" w:type="dxa"/>
        <w:right w:w="108" w:type="dxa"/>
      </w:tblCellMar>
    </w:tblPr>
  </w:style>
  <w:style w:type="table" w:customStyle="1" w:styleId="affffe">
    <w:basedOn w:val="TableNormal3"/>
    <w:pPr>
      <w:spacing w:after="0" w:line="240" w:lineRule="auto"/>
    </w:pPr>
    <w:tblPr>
      <w:tblStyleRowBandSize w:val="1"/>
      <w:tblStyleColBandSize w:val="1"/>
      <w:tblCellMar>
        <w:left w:w="108" w:type="dxa"/>
        <w:right w:w="108" w:type="dxa"/>
      </w:tblCellMar>
    </w:tblPr>
  </w:style>
  <w:style w:type="table" w:customStyle="1" w:styleId="afffff">
    <w:basedOn w:val="TableNormal2"/>
    <w:pPr>
      <w:spacing w:after="0" w:line="240" w:lineRule="auto"/>
    </w:pPr>
    <w:tblPr>
      <w:tblStyleRowBandSize w:val="1"/>
      <w:tblStyleColBandSize w:val="1"/>
      <w:tblCellMar>
        <w:left w:w="108" w:type="dxa"/>
        <w:right w:w="108" w:type="dxa"/>
      </w:tblCellMar>
    </w:tblPr>
  </w:style>
  <w:style w:type="table" w:customStyle="1" w:styleId="afffff0">
    <w:basedOn w:val="TableNormal2"/>
    <w:pPr>
      <w:spacing w:after="0" w:line="240" w:lineRule="auto"/>
    </w:pPr>
    <w:tblPr>
      <w:tblStyleRowBandSize w:val="1"/>
      <w:tblStyleColBandSize w:val="1"/>
      <w:tblCellMar>
        <w:left w:w="108" w:type="dxa"/>
        <w:right w:w="108" w:type="dxa"/>
      </w:tblCellMar>
    </w:tblPr>
  </w:style>
  <w:style w:type="table" w:customStyle="1" w:styleId="afffff1">
    <w:basedOn w:val="TableNormal2"/>
    <w:pPr>
      <w:spacing w:after="0" w:line="240" w:lineRule="auto"/>
    </w:pPr>
    <w:tblPr>
      <w:tblStyleRowBandSize w:val="1"/>
      <w:tblStyleColBandSize w:val="1"/>
      <w:tblCellMar>
        <w:left w:w="108" w:type="dxa"/>
        <w:right w:w="108" w:type="dxa"/>
      </w:tblCellMar>
    </w:tblPr>
  </w:style>
  <w:style w:type="table" w:customStyle="1" w:styleId="afffff2">
    <w:basedOn w:val="TableNormal2"/>
    <w:pPr>
      <w:spacing w:after="0" w:line="240" w:lineRule="auto"/>
    </w:pPr>
    <w:tblPr>
      <w:tblStyleRowBandSize w:val="1"/>
      <w:tblStyleColBandSize w:val="1"/>
      <w:tblCellMar>
        <w:left w:w="108" w:type="dxa"/>
        <w:right w:w="108" w:type="dxa"/>
      </w:tblCellMar>
    </w:tblPr>
  </w:style>
  <w:style w:type="table" w:customStyle="1" w:styleId="afffff3">
    <w:basedOn w:val="TableNormal2"/>
    <w:pPr>
      <w:spacing w:after="0" w:line="240" w:lineRule="auto"/>
    </w:pPr>
    <w:tblPr>
      <w:tblStyleRowBandSize w:val="1"/>
      <w:tblStyleColBandSize w:val="1"/>
      <w:tblCellMar>
        <w:left w:w="108" w:type="dxa"/>
        <w:right w:w="108" w:type="dxa"/>
      </w:tblCellMar>
    </w:tblPr>
  </w:style>
  <w:style w:type="table" w:customStyle="1" w:styleId="afffff4">
    <w:basedOn w:val="TableNormal1"/>
    <w:pPr>
      <w:spacing w:after="0" w:line="240" w:lineRule="auto"/>
    </w:pPr>
    <w:tblPr>
      <w:tblStyleRowBandSize w:val="1"/>
      <w:tblStyleColBandSize w:val="1"/>
      <w:tblCellMar>
        <w:left w:w="108" w:type="dxa"/>
        <w:right w:w="108" w:type="dxa"/>
      </w:tblCellMar>
    </w:tblPr>
  </w:style>
  <w:style w:type="table" w:customStyle="1" w:styleId="afffff5">
    <w:basedOn w:val="TableNormal1"/>
    <w:pPr>
      <w:spacing w:after="0" w:line="240" w:lineRule="auto"/>
    </w:pPr>
    <w:tblPr>
      <w:tblStyleRowBandSize w:val="1"/>
      <w:tblStyleColBandSize w:val="1"/>
      <w:tblCellMar>
        <w:left w:w="108" w:type="dxa"/>
        <w:right w:w="108" w:type="dxa"/>
      </w:tblCellMar>
    </w:tblPr>
  </w:style>
  <w:style w:type="table" w:customStyle="1" w:styleId="afffff6">
    <w:basedOn w:val="TableNormal1"/>
    <w:pPr>
      <w:spacing w:after="0" w:line="240" w:lineRule="auto"/>
    </w:pPr>
    <w:tblPr>
      <w:tblStyleRowBandSize w:val="1"/>
      <w:tblStyleColBandSize w:val="1"/>
      <w:tblCellMar>
        <w:left w:w="108" w:type="dxa"/>
        <w:right w:w="108" w:type="dxa"/>
      </w:tblCellMar>
    </w:tblPr>
  </w:style>
  <w:style w:type="table" w:customStyle="1" w:styleId="afffff7">
    <w:basedOn w:val="TableNormal1"/>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8">
    <w:basedOn w:val="TableNormal0"/>
    <w:pPr>
      <w:spacing w:after="0" w:line="240" w:lineRule="auto"/>
    </w:pPr>
    <w:tblPr>
      <w:tblStyleRowBandSize w:val="1"/>
      <w:tblStyleColBandSize w:val="1"/>
      <w:tblCellMar>
        <w:left w:w="108" w:type="dxa"/>
        <w:right w:w="108" w:type="dxa"/>
      </w:tblCellMar>
    </w:tblPr>
  </w:style>
  <w:style w:type="table" w:customStyle="1" w:styleId="afffff9">
    <w:basedOn w:val="TableNormal0"/>
    <w:pPr>
      <w:spacing w:after="0" w:line="240" w:lineRule="auto"/>
    </w:pPr>
    <w:tblPr>
      <w:tblStyleRowBandSize w:val="1"/>
      <w:tblStyleColBandSize w:val="1"/>
      <w:tblCellMar>
        <w:left w:w="108" w:type="dxa"/>
        <w:right w:w="108" w:type="dxa"/>
      </w:tblCellMar>
    </w:tblPr>
  </w:style>
  <w:style w:type="table" w:customStyle="1" w:styleId="afffffa">
    <w:basedOn w:val="TableNormal0"/>
    <w:pPr>
      <w:spacing w:after="0" w:line="240" w:lineRule="auto"/>
    </w:pPr>
    <w:tblPr>
      <w:tblStyleRowBandSize w:val="1"/>
      <w:tblStyleColBandSize w:val="1"/>
      <w:tblCellMar>
        <w:left w:w="108" w:type="dxa"/>
        <w:right w:w="108" w:type="dxa"/>
      </w:tblCellMar>
    </w:tblPr>
  </w:style>
  <w:style w:type="table" w:customStyle="1" w:styleId="afffffb">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7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artados.hacienda.gob.mx/contabilidad/documentos/informe_cuenta/1998/cuenta_publica/Glosario/n.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yRLHgssmo1eKz6YMmhpv+Vmkw==">CgMxLjAyDmguMWsxZDlzaXlydWNxMghoLmdqZGd4czIOaC5qd3Y3b2kyZWIzOW0yDmguN3oyaG0xZHN0YzJuMg5oLjh3cGprZGI2OWQ4djIOaC5yZ3J1dWdsM3ptbmYyCWguMmV0OTJwMDIOaC44Y3M2a2RhZWVtY2UyDmgubTFmeWxmbHRrMmxpMg5oLjVyajllYnZ5eTczdzIOaC5uMmVxa2FlbnZ1NGsyDmgub2kwem10cHVlMjR3Mg5oLjNxOWVtazZrc3pwYTINaC5tMHNicnQ5MXJvZTIOaC5odHhvNWY4cWI4NGQyDmgueDZ5MHJoMjVqNnJ3Mg5oLjh3ZnliN2ZqN3FsbTIOaC5hcmd5MjFxbmttaHI4AHIhMVhrS0NFQ1Atb1VTX2ZtTlh1eHVEMDlKX3l4TWZHV2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7851</Words>
  <Characters>42634</Characters>
  <Application>Microsoft Office Word</Application>
  <DocSecurity>0</DocSecurity>
  <Lines>852</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Roxana Lechuga</cp:lastModifiedBy>
  <cp:revision>3</cp:revision>
  <dcterms:created xsi:type="dcterms:W3CDTF">2025-10-09T20:42:00Z</dcterms:created>
  <dcterms:modified xsi:type="dcterms:W3CDTF">2025-12-16T05:34:00Z</dcterms:modified>
</cp:coreProperties>
</file>