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catorce de mayo de dos mil veinticinco. </w:t>
      </w:r>
    </w:p>
    <w:p w:rsidR="00000000" w:rsidDel="00000000" w:rsidP="00000000" w:rsidRDefault="00000000" w:rsidRPr="00000000" w14:paraId="00000002">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02294/INFOEM/IP/RR/2025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 XXXXXXXXXXXXX </w:t>
      </w:r>
      <w:r w:rsidDel="00000000" w:rsidR="00000000" w:rsidRPr="00000000">
        <w:rPr>
          <w:rFonts w:ascii="Palatino Linotype" w:cs="Palatino Linotype" w:eastAsia="Palatino Linotype" w:hAnsi="Palatino Linotype"/>
          <w:sz w:val="22"/>
          <w:szCs w:val="22"/>
          <w:rtl w:val="0"/>
        </w:rPr>
        <w:t xml:space="preserve">en lo sucesivo se le denominará la persona</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00085/ISSEMYM/IP/2025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veintinueve de enero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ind w:left="56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quiero me proporcionen todas las bitácoras de obra completas elaboradas del 2023 a la conclusión del año 2024</w:t>
      </w:r>
    </w:p>
    <w:p w:rsidR="00000000" w:rsidDel="00000000" w:rsidP="00000000" w:rsidRDefault="00000000" w:rsidRPr="00000000" w14:paraId="0000000A">
      <w:pPr>
        <w:spacing w:line="36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right="57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veinte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right="616"/>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archivos adjuntos, encontrará el oficio que dará respuesta a su solicitud de in-formación; la información correspondiente; así como la resolución emitida por el Comité de Transparencia del Instituto de Seguridad Social del Estado de México.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Sujeto Obligado adjuntó a su respuesta lo siguiente: </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veinte de febrero de dos mil veinticinco, signado por el Titular de la Unidad de Transparencia, mediante el cual informa que, la Coordinación de Administración y Finanzas a través de la Dirección de Obras y Control Patrimonial,  refirió que, derivado de una búsqueda exhaustiva y razonable en los archivos que obran en la Unidad Administrativa se remiten las bitácoras de obras correspondientes a los contratos de obra pública formalizados durante el periodo solicitado.</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del Comité de Transparencia, mediante el cual se aprueba la versión pública de las bitácoras de obra remitidas en respuesta.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del 2024, en versión pública. </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del 2023, en versión pública.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persona</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Sistema de Acceso a la Información Mexiquense en fecha </w:t>
      </w:r>
      <w:r w:rsidDel="00000000" w:rsidR="00000000" w:rsidRPr="00000000">
        <w:rPr>
          <w:rFonts w:ascii="Palatino Linotype" w:cs="Palatino Linotype" w:eastAsia="Palatino Linotype" w:hAnsi="Palatino Linotype"/>
          <w:b w:val="1"/>
          <w:sz w:val="22"/>
          <w:szCs w:val="22"/>
          <w:rtl w:val="0"/>
        </w:rPr>
        <w:t xml:space="preserve">veintiocho de febrero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426"/>
        </w:tabs>
        <w:spacing w:line="360" w:lineRule="auto"/>
        <w:ind w:right="6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276" w:lineRule="auto"/>
        <w:ind w:left="567" w:right="69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no proporcionan las bitácoras de todos los contratos</w:t>
      </w:r>
      <w:r w:rsidDel="00000000" w:rsidR="00000000" w:rsidRPr="00000000">
        <w:rPr>
          <w:rFonts w:ascii="Palatino Linotype" w:cs="Palatino Linotype" w:eastAsia="Palatino Linotype" w:hAnsi="Palatino Linotype"/>
          <w:i w:val="1"/>
          <w:sz w:val="22"/>
          <w:szCs w:val="22"/>
          <w:rtl w:val="0"/>
        </w:rPr>
        <w:t xml:space="preserve">, se saltan </w:t>
      </w:r>
      <w:r w:rsidDel="00000000" w:rsidR="00000000" w:rsidRPr="00000000">
        <w:rPr>
          <w:rFonts w:ascii="Palatino Linotype" w:cs="Palatino Linotype" w:eastAsia="Palatino Linotype" w:hAnsi="Palatino Linotype"/>
          <w:b w:val="1"/>
          <w:i w:val="1"/>
          <w:sz w:val="22"/>
          <w:szCs w:val="22"/>
          <w:u w:val="single"/>
          <w:rtl w:val="0"/>
        </w:rPr>
        <w:t xml:space="preserve">números consecutivos</w:t>
      </w:r>
      <w:r w:rsidDel="00000000" w:rsidR="00000000" w:rsidRPr="00000000">
        <w:rPr>
          <w:rFonts w:ascii="Palatino Linotype" w:cs="Palatino Linotype" w:eastAsia="Palatino Linotype" w:hAnsi="Palatino Linotype"/>
          <w:i w:val="1"/>
          <w:sz w:val="22"/>
          <w:szCs w:val="22"/>
          <w:rtl w:val="0"/>
        </w:rPr>
        <w:t xml:space="preserve"> , las bitácoras no estan completas, las bitácoras </w:t>
      </w:r>
      <w:r w:rsidDel="00000000" w:rsidR="00000000" w:rsidRPr="00000000">
        <w:rPr>
          <w:rFonts w:ascii="Palatino Linotype" w:cs="Palatino Linotype" w:eastAsia="Palatino Linotype" w:hAnsi="Palatino Linotype"/>
          <w:b w:val="1"/>
          <w:i w:val="1"/>
          <w:sz w:val="22"/>
          <w:szCs w:val="22"/>
          <w:u w:val="single"/>
          <w:rtl w:val="0"/>
        </w:rPr>
        <w:t xml:space="preserve">censuran información que debe ser pública</w:t>
      </w:r>
      <w:r w:rsidDel="00000000" w:rsidR="00000000" w:rsidRPr="00000000">
        <w:rPr>
          <w:rFonts w:ascii="Palatino Linotype" w:cs="Palatino Linotype" w:eastAsia="Palatino Linotype" w:hAnsi="Palatino Linotype"/>
          <w:i w:val="1"/>
          <w:sz w:val="22"/>
          <w:szCs w:val="22"/>
          <w:rtl w:val="0"/>
        </w:rPr>
        <w:t xml:space="preserve">. quiero saber </w:t>
      </w:r>
      <w:r w:rsidDel="00000000" w:rsidR="00000000" w:rsidRPr="00000000">
        <w:rPr>
          <w:rFonts w:ascii="Palatino Linotype" w:cs="Palatino Linotype" w:eastAsia="Palatino Linotype" w:hAnsi="Palatino Linotype"/>
          <w:b w:val="1"/>
          <w:i w:val="1"/>
          <w:sz w:val="22"/>
          <w:szCs w:val="22"/>
          <w:u w:val="single"/>
          <w:rtl w:val="0"/>
        </w:rPr>
        <w:t xml:space="preserve">como se le solicito a la coordinación de administración y finanzas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y el oficio en el cual pronuncia cómo envía la información, también requiero saber</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1C">
      <w:pPr>
        <w:spacing w:line="276" w:lineRule="auto"/>
        <w:ind w:left="567" w:right="69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left="567" w:right="69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“no esta completa la informacion de acuerdo a ministerio de ley, evidentemente esconden la información real o quieren gnar tiempo en lo que generan la iformación porque no cuentan con ella, se desconoce enverdadeo pronunciamiento de la coordinación de administraciíon y finanzas para remitir tan incompleta la información que les requerí”.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02294/INFOEM/IP/RR/2025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seis de marzo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dieciocho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a través de lo siguiente:</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diez de marzo de dos mil veinticinco, signado por el Director de Obras y Control Patrimonial, mediante el cual informa que, ratifica su respuesta. </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cuatro de marzo de dos mil veinticinco, signado por el Titular de la Unidad de Transparencia dirigido a la Coordinación de Administración y Finanzas, mediante el cual le solicita rinda su informe justificado. </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veinte de febrero de dos mil veinticinco, signado por el Titular de la Unidad de Transparencia, mediante el cual informa que, las bitácoras de obras del 2023 al 2024 cuentan con; 2023 de 34 bitácoras y 2024 de 15 bitácoras, estas contienen datos personales y, se encuentran en versión pública.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emitido por el Comité de Transparencia mediante el cual se aprueba la versión pública de las bitácoras enviadas en respuesta.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dieciocho de octubre de dos mil veinticinco, signado por el Titular de la Unidad de Transparencia, mediante el cual ratificó su respuesta inicial.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de 2023 y 2024, en versión pública.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Documentos que se hicieron del conocimiento de la parte Recurrente en fecha </w:t>
      </w:r>
      <w:r w:rsidDel="00000000" w:rsidR="00000000" w:rsidRPr="00000000">
        <w:rPr>
          <w:rFonts w:ascii="Palatino Linotype" w:cs="Palatino Linotype" w:eastAsia="Palatino Linotype" w:hAnsi="Palatino Linotype"/>
          <w:b w:val="1"/>
          <w:sz w:val="22"/>
          <w:szCs w:val="22"/>
          <w:rtl w:val="0"/>
        </w:rPr>
        <w:t xml:space="preserve">veintidós de abril de dos mil veinticinco. </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rendir manifestaciones.  </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ocho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426"/>
        </w:tabs>
        <w:spacing w:after="16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Ampliación del término para resolver. El ocho de mayo de dos mil veinticinco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notificó a las partes, el acuerdo que amplía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veinte de febrero de dos mil veinticinco</w:t>
      </w:r>
      <w:r w:rsidDel="00000000" w:rsidR="00000000" w:rsidRPr="00000000">
        <w:rPr>
          <w:rFonts w:ascii="Palatino Linotype" w:cs="Palatino Linotype" w:eastAsia="Palatino Linotype" w:hAnsi="Palatino Linotype"/>
          <w:sz w:val="22"/>
          <w:szCs w:val="22"/>
          <w:rtl w:val="0"/>
        </w:rPr>
        <w:t xml:space="preserve">, y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veintiocho de febrero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sexto día hábil en que tuvo conocimiento de la respuesta. </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II y V de la ley de la materia, que a la letra dice:</w:t>
      </w:r>
    </w:p>
    <w:p w:rsidR="00000000" w:rsidDel="00000000" w:rsidP="00000000" w:rsidRDefault="00000000" w:rsidRPr="00000000" w14:paraId="00000040">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4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clasificación de la información;</w:t>
      </w:r>
    </w:p>
    <w:p w:rsidR="00000000" w:rsidDel="00000000" w:rsidP="00000000" w:rsidRDefault="00000000" w:rsidRPr="00000000" w14:paraId="0000004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br w:type="textWrapping"/>
        <w:t xml:space="preserve">…</w:t>
      </w:r>
    </w:p>
    <w:p w:rsidR="00000000" w:rsidDel="00000000" w:rsidP="00000000" w:rsidRDefault="00000000" w:rsidRPr="00000000" w14:paraId="00000047">
      <w:pPr>
        <w:spacing w:line="360"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II y V del artículo 179 de la Ley de Transparencia y Acceso a la Información Pública del Estado de México y Municipios.  </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D">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E">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1">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tabs>
          <w:tab w:val="left" w:leader="none" w:pos="6804"/>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8">
      <w:pPr>
        <w:spacing w:line="276" w:lineRule="auto"/>
        <w:ind w:right="8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A">
      <w:pP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2">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4">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6">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8">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9">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A">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B">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C">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necesario recordar que la pretensión de la persona Solicitante, es obtener del Instituto de Seguridad Social del Estado de México y Municipios la siguiente información: </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bitácoras de obra completas elaboradas del 2023 al 2024.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proporcionó la siguiente información: </w:t>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del Comité de Transparencia, mediante el cual se aprueba la versión pública de las bitácoras de obra remitidas en respuesta. </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del 2024, en versión pública. </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del 2023, en versión pública.</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426"/>
        </w:tabs>
        <w:spacing w:line="360" w:lineRule="auto"/>
        <w:ind w:right="1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no proporcionan las bitácoras de todos los contratos</w:t>
      </w:r>
      <w:r w:rsidDel="00000000" w:rsidR="00000000" w:rsidRPr="00000000">
        <w:rPr>
          <w:rFonts w:ascii="Palatino Linotype" w:cs="Palatino Linotype" w:eastAsia="Palatino Linotype" w:hAnsi="Palatino Linotype"/>
          <w:i w:val="1"/>
          <w:sz w:val="22"/>
          <w:szCs w:val="22"/>
          <w:rtl w:val="0"/>
        </w:rPr>
        <w:t xml:space="preserve">, se saltan </w:t>
      </w:r>
      <w:r w:rsidDel="00000000" w:rsidR="00000000" w:rsidRPr="00000000">
        <w:rPr>
          <w:rFonts w:ascii="Palatino Linotype" w:cs="Palatino Linotype" w:eastAsia="Palatino Linotype" w:hAnsi="Palatino Linotype"/>
          <w:b w:val="1"/>
          <w:i w:val="1"/>
          <w:sz w:val="22"/>
          <w:szCs w:val="22"/>
          <w:u w:val="single"/>
          <w:rtl w:val="0"/>
        </w:rPr>
        <w:t xml:space="preserve">números consecutivos</w:t>
      </w:r>
      <w:r w:rsidDel="00000000" w:rsidR="00000000" w:rsidRPr="00000000">
        <w:rPr>
          <w:rFonts w:ascii="Palatino Linotype" w:cs="Palatino Linotype" w:eastAsia="Palatino Linotype" w:hAnsi="Palatino Linotype"/>
          <w:i w:val="1"/>
          <w:sz w:val="22"/>
          <w:szCs w:val="22"/>
          <w:rtl w:val="0"/>
        </w:rPr>
        <w:t xml:space="preserve"> , las bitácoras no estan completas, las bitácoras </w:t>
      </w:r>
      <w:r w:rsidDel="00000000" w:rsidR="00000000" w:rsidRPr="00000000">
        <w:rPr>
          <w:rFonts w:ascii="Palatino Linotype" w:cs="Palatino Linotype" w:eastAsia="Palatino Linotype" w:hAnsi="Palatino Linotype"/>
          <w:b w:val="1"/>
          <w:i w:val="1"/>
          <w:sz w:val="22"/>
          <w:szCs w:val="22"/>
          <w:u w:val="single"/>
          <w:rtl w:val="0"/>
        </w:rPr>
        <w:t xml:space="preserve">censuran información que debe ser pública</w:t>
      </w:r>
      <w:r w:rsidDel="00000000" w:rsidR="00000000" w:rsidRPr="00000000">
        <w:rPr>
          <w:rFonts w:ascii="Palatino Linotype" w:cs="Palatino Linotype" w:eastAsia="Palatino Linotype" w:hAnsi="Palatino Linotype"/>
          <w:i w:val="1"/>
          <w:sz w:val="22"/>
          <w:szCs w:val="22"/>
          <w:rtl w:val="0"/>
        </w:rPr>
        <w:t xml:space="preserve">. quiero saber </w:t>
      </w:r>
      <w:r w:rsidDel="00000000" w:rsidR="00000000" w:rsidRPr="00000000">
        <w:rPr>
          <w:rFonts w:ascii="Palatino Linotype" w:cs="Palatino Linotype" w:eastAsia="Palatino Linotype" w:hAnsi="Palatino Linotype"/>
          <w:b w:val="1"/>
          <w:i w:val="1"/>
          <w:sz w:val="22"/>
          <w:szCs w:val="22"/>
          <w:u w:val="single"/>
          <w:rtl w:val="0"/>
        </w:rPr>
        <w:t xml:space="preserve">como se le solicito a la coordinación de administración y finanzas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y el oficio en el cual pronuncia cómo envía la información, también requiero saber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mediante informe justificado, el Sujeto Obligado remitió lo siguiente: </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veinte de febrero de dos mil veinticinco, signado por el Titular de la Unidad de Transparencia, mediante el cual informa que, las bitácoras de obras del 2023 al 2024 cuentan con; 2023 de 34 bitácoras y 2024 de 15 bitácoras, estas contienen datos personales y, se encuentran en versión pública. </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emitido por el Comité de Transparencia mediante el cual se aprueba la versión pública de las bitácoras enviadas en respuesta. </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de 2023 y 2024, en versión pública.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rendir manifestaciones. </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 anterior, se procede a contextualizar la información solicitada, para ello, es de mencionar que, la Bitácora de Obra es un documento que sirve como registro escrito de todas las tareas relacionadas con la construcción, desde el principio hasta el fin, es una herramienta esencial para cualquier proyecto de construcción.</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conformidad con el Reglamento del Libro Décimo Segundo del Código Administrativo del Estado de México, se define como bitácora como aquel instrumento legal para el registro y control de la ejecución de la obra pública o servicio, vigente durante el periodo del contrato; funciona como medio de comunicación y acuerdo entre contratante y contratista e inscripción de los asuntos relevantes. </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en el Reglamento en cita, en su artículo 222 y subsecuentes, se establece lo siguiente: </w:t>
      </w:r>
    </w:p>
    <w:p w:rsidR="00000000" w:rsidDel="00000000" w:rsidP="00000000" w:rsidRDefault="00000000" w:rsidRPr="00000000" w14:paraId="0000008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276" w:lineRule="auto"/>
        <w:ind w:left="567" w:right="57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Segunda</w:t>
      </w:r>
    </w:p>
    <w:p w:rsidR="00000000" w:rsidDel="00000000" w:rsidP="00000000" w:rsidRDefault="00000000" w:rsidRPr="00000000" w14:paraId="00000088">
      <w:pPr>
        <w:spacing w:line="276" w:lineRule="auto"/>
        <w:ind w:left="567" w:right="57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Bitácora</w:t>
      </w:r>
    </w:p>
    <w:p w:rsidR="00000000" w:rsidDel="00000000" w:rsidP="00000000" w:rsidRDefault="00000000" w:rsidRPr="00000000" w14:paraId="00000089">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222.-</w:t>
      </w:r>
      <w:r w:rsidDel="00000000" w:rsidR="00000000" w:rsidRPr="00000000">
        <w:rPr>
          <w:rFonts w:ascii="Palatino Linotype" w:cs="Palatino Linotype" w:eastAsia="Palatino Linotype" w:hAnsi="Palatino Linotype"/>
          <w:i w:val="1"/>
          <w:sz w:val="22"/>
          <w:szCs w:val="22"/>
          <w:rtl w:val="0"/>
        </w:rPr>
        <w:t xml:space="preserve"> La bitácora deberá permanecer en la residencia de obra y bajo la custodia del residente de obra o, en su caso, del supervisor, a fin de que las consultas necesarias se realicen, de ser posible, en el sitio de los trabajos, siendo obligatorio su uso en todos los contratos de obras y servicios. </w:t>
      </w:r>
    </w:p>
    <w:p w:rsidR="00000000" w:rsidDel="00000000" w:rsidP="00000000" w:rsidRDefault="00000000" w:rsidRPr="00000000" w14:paraId="0000008B">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223.-</w:t>
      </w:r>
      <w:r w:rsidDel="00000000" w:rsidR="00000000" w:rsidRPr="00000000">
        <w:rPr>
          <w:rFonts w:ascii="Palatino Linotype" w:cs="Palatino Linotype" w:eastAsia="Palatino Linotype" w:hAnsi="Palatino Linotype"/>
          <w:i w:val="1"/>
          <w:sz w:val="22"/>
          <w:szCs w:val="22"/>
          <w:rtl w:val="0"/>
        </w:rPr>
        <w:t xml:space="preserve"> La bitácora se ajustará a las necesidades de cada dependencia, entidad o ayuntamiento. Deberá considerar mínimo: </w:t>
      </w:r>
    </w:p>
    <w:p w:rsidR="00000000" w:rsidDel="00000000" w:rsidP="00000000" w:rsidRDefault="00000000" w:rsidRPr="00000000" w14:paraId="0000008D">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Todas las hojas, originales y copias, deben estar foliadas y referidas al contrato de que se trate; </w:t>
      </w:r>
    </w:p>
    <w:p w:rsidR="00000000" w:rsidDel="00000000" w:rsidP="00000000" w:rsidRDefault="00000000" w:rsidRPr="00000000" w14:paraId="0000008E">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Contar con un original para el contratante y, al menos, dos copias: una para el contratista y otra para la residencia de obra o, en su caso, la supervisión; </w:t>
      </w:r>
    </w:p>
    <w:p w:rsidR="00000000" w:rsidDel="00000000" w:rsidP="00000000" w:rsidRDefault="00000000" w:rsidRPr="00000000" w14:paraId="0000008F">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Las hojas originales no deberán ser desprendibles; las copias sí; </w:t>
      </w:r>
    </w:p>
    <w:p w:rsidR="00000000" w:rsidDel="00000000" w:rsidP="00000000" w:rsidRDefault="00000000" w:rsidRPr="00000000" w14:paraId="00000090">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contenido de cada nota deberá precisar, según las circunstancias de cada caso: número, clasificación, fecha, descripción y ubicación del asunto; causa, solución, prevención, consecuencia económica, responsabilidad si la hubiere; y fecha programada de atención; en su caso, la referencia a la nota que se contesta; y nombre y firma de los que intervinieron. </w:t>
      </w:r>
    </w:p>
    <w:p w:rsidR="00000000" w:rsidDel="00000000" w:rsidP="00000000" w:rsidRDefault="00000000" w:rsidRPr="00000000" w14:paraId="00000091">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224.-</w:t>
      </w:r>
      <w:r w:rsidDel="00000000" w:rsidR="00000000" w:rsidRPr="00000000">
        <w:rPr>
          <w:rFonts w:ascii="Palatino Linotype" w:cs="Palatino Linotype" w:eastAsia="Palatino Linotype" w:hAnsi="Palatino Linotype"/>
          <w:i w:val="1"/>
          <w:sz w:val="22"/>
          <w:szCs w:val="22"/>
          <w:rtl w:val="0"/>
        </w:rPr>
        <w:t xml:space="preserve"> El contratante y el contratista deberán observar las siguientes reglas para el uso de la bitácora: </w:t>
      </w:r>
    </w:p>
    <w:p w:rsidR="00000000" w:rsidDel="00000000" w:rsidP="00000000" w:rsidRDefault="00000000" w:rsidRPr="00000000" w14:paraId="00000093">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Al inicio debe anotarse: identificación del contratante; la fecha de apertura; datos del contrato y alcances descriptivos de los trabajos y de las características del sitio donde se desarrollarán; datos de las partes involucradas, nombre y firma del personal autorizado para representar al contratante y al contratista y para la utilización de la bitácora; domicilios, teléfonos, así como la inscripción de los documentos que los identifiquen oficialmente; </w:t>
      </w:r>
    </w:p>
    <w:p w:rsidR="00000000" w:rsidDel="00000000" w:rsidP="00000000" w:rsidRDefault="00000000" w:rsidRPr="00000000" w14:paraId="00000094">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Las notas deberán numerarse y fecharse en forma consecutiva respetando, sin excepción, el orden cronológico; </w:t>
      </w:r>
    </w:p>
    <w:p w:rsidR="00000000" w:rsidDel="00000000" w:rsidP="00000000" w:rsidRDefault="00000000" w:rsidRPr="00000000" w14:paraId="00000095">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Las notas deberán escribirse con tinta indeleble, letra de molde legible, sin abreviaturas y claramente;</w:t>
      </w:r>
    </w:p>
    <w:p w:rsidR="00000000" w:rsidDel="00000000" w:rsidP="00000000" w:rsidRDefault="00000000" w:rsidRPr="00000000" w14:paraId="00000096">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Cuando se cometa algún error, la nota será anulada por quien la emita; en su caso, se abrirá inmediatamente otra nota con el número consecutivo que le corresponda y el contenido correcto; </w:t>
      </w:r>
    </w:p>
    <w:p w:rsidR="00000000" w:rsidDel="00000000" w:rsidP="00000000" w:rsidRDefault="00000000" w:rsidRPr="00000000" w14:paraId="00000097">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Será nula la nota cuyo original y copias tengan tachaduras o enmendaduras; </w:t>
      </w:r>
    </w:p>
    <w:p w:rsidR="00000000" w:rsidDel="00000000" w:rsidP="00000000" w:rsidRDefault="00000000" w:rsidRPr="00000000" w14:paraId="00000098">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No se deberán sobreponer ni añadir textos a las notas de bitácora, ni entre renglones, márgenes o cualquier otro sitio. De requerirse, se deberá abrir otra nota haciendo referencia a la de origen; </w:t>
      </w:r>
    </w:p>
    <w:p w:rsidR="00000000" w:rsidDel="00000000" w:rsidP="00000000" w:rsidRDefault="00000000" w:rsidRPr="00000000" w14:paraId="00000099">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Firmadas las notas de la bitácora, los espacios sobrantes de la hoja deberán ser cancelados y los interesados retirarán sus respectivas copias; </w:t>
      </w:r>
    </w:p>
    <w:p w:rsidR="00000000" w:rsidDel="00000000" w:rsidP="00000000" w:rsidRDefault="00000000" w:rsidRPr="00000000" w14:paraId="0000009A">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Cuando sea necesario, mediante nota de bitácora, se podrán validar oficios, minutas, memoranda y circulares, refiriéndose al contenido de los mismos, o bien, anexando copias; </w:t>
      </w:r>
    </w:p>
    <w:p w:rsidR="00000000" w:rsidDel="00000000" w:rsidP="00000000" w:rsidRDefault="00000000" w:rsidRPr="00000000" w14:paraId="0000009B">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Deberá utilizarse la bitácora para asentar asuntos relevantes derivados del objeto de los trabajos en cuestión; </w:t>
      </w:r>
    </w:p>
    <w:p w:rsidR="00000000" w:rsidDel="00000000" w:rsidP="00000000" w:rsidRDefault="00000000" w:rsidRPr="00000000" w14:paraId="0000009C">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Todas las notas deberán quedar resueltas y cerradas; o, cuando se requiera, especificar que la solución será posterior, debiendo en este último caso relacionar la nota de resolución con la que le dio origen; y </w:t>
      </w:r>
    </w:p>
    <w:p w:rsidR="00000000" w:rsidDel="00000000" w:rsidP="00000000" w:rsidRDefault="00000000" w:rsidRPr="00000000" w14:paraId="0000009D">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El cierre de la bitácora se asentará en la nota final que dé por terminados los trabajos. </w:t>
      </w:r>
    </w:p>
    <w:p w:rsidR="00000000" w:rsidDel="00000000" w:rsidP="00000000" w:rsidRDefault="00000000" w:rsidRPr="00000000" w14:paraId="0000009E">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225.-</w:t>
      </w:r>
      <w:r w:rsidDel="00000000" w:rsidR="00000000" w:rsidRPr="00000000">
        <w:rPr>
          <w:rFonts w:ascii="Palatino Linotype" w:cs="Palatino Linotype" w:eastAsia="Palatino Linotype" w:hAnsi="Palatino Linotype"/>
          <w:i w:val="1"/>
          <w:sz w:val="22"/>
          <w:szCs w:val="22"/>
          <w:rtl w:val="0"/>
        </w:rPr>
        <w:t xml:space="preserve"> El uso de las bitácoras deberá estar validado conforme lo establece la fracción I del artículo anterior, asentando inmediatamente después de la nota de apertura como mínimo: </w:t>
      </w:r>
    </w:p>
    <w:p w:rsidR="00000000" w:rsidDel="00000000" w:rsidP="00000000" w:rsidRDefault="00000000" w:rsidRPr="00000000" w14:paraId="000000A0">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Horario de las jornadas de trabajo de campo en el que se podrá consultar y asentar notas; </w:t>
      </w:r>
    </w:p>
    <w:p w:rsidR="00000000" w:rsidDel="00000000" w:rsidP="00000000" w:rsidRDefault="00000000" w:rsidRPr="00000000" w14:paraId="000000A2">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Plazo máximo para la firma de las notas, las partes acordarán que vencido el mismo, se tendrán por aceptadas; </w:t>
      </w:r>
    </w:p>
    <w:p w:rsidR="00000000" w:rsidDel="00000000" w:rsidP="00000000" w:rsidRDefault="00000000" w:rsidRPr="00000000" w14:paraId="000000A3">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prohibición de modificar las notas ya firmadas; y </w:t>
      </w:r>
    </w:p>
    <w:p w:rsidR="00000000" w:rsidDel="00000000" w:rsidP="00000000" w:rsidRDefault="00000000" w:rsidRPr="00000000" w14:paraId="000000A4">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reglas para la autorización y revisión de estimaciones, números generadores, cantidades adicionales o conceptos no previstos en el contrato y las normas de seguridad, higiene, señalamiento y protección al ambiente que deban implementarse. </w:t>
      </w:r>
    </w:p>
    <w:p w:rsidR="00000000" w:rsidDel="00000000" w:rsidP="00000000" w:rsidRDefault="00000000" w:rsidRPr="00000000" w14:paraId="000000A5">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6">
      <w:pPr>
        <w:spacing w:line="276" w:lineRule="auto"/>
        <w:ind w:left="567" w:right="57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2"/>
          <w:szCs w:val="22"/>
          <w:rtl w:val="0"/>
        </w:rPr>
        <w:t xml:space="preserve">Artículo 226.-</w:t>
      </w:r>
      <w:r w:rsidDel="00000000" w:rsidR="00000000" w:rsidRPr="00000000">
        <w:rPr>
          <w:rFonts w:ascii="Palatino Linotype" w:cs="Palatino Linotype" w:eastAsia="Palatino Linotype" w:hAnsi="Palatino Linotype"/>
          <w:i w:val="1"/>
          <w:sz w:val="22"/>
          <w:szCs w:val="22"/>
          <w:rtl w:val="0"/>
        </w:rPr>
        <w:t xml:space="preserve"> La bitácora de los contratos de servicios, adicionalmente deberá contener las modificaciones autorizadas a los alcances del contrato, las ampliaciones o reducciones de los mismos y los resultados de las revisiones que efectúe la dependencia, entidad o ayuntamiento; y las solicitudes de información que haga el contratista, para realizar las actividades encomendadas.</w:t>
      </w: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Sujeto Obligado, el Manual de Organización del Issemym establece como atribuciones de la Dirección de Obras y Control Patrimonial las siguientes:</w:t>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276" w:lineRule="auto"/>
        <w:ind w:left="567" w:right="57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207C0401730000L DIRECCIÓN DE OBRAS Y CONTROL PATRIMONIAL </w:t>
      </w:r>
    </w:p>
    <w:p w:rsidR="00000000" w:rsidDel="00000000" w:rsidP="00000000" w:rsidRDefault="00000000" w:rsidRPr="00000000" w14:paraId="000000AB">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C">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OBJETIVO:</w:t>
      </w:r>
      <w:r w:rsidDel="00000000" w:rsidR="00000000" w:rsidRPr="00000000">
        <w:rPr>
          <w:rFonts w:ascii="Palatino Linotype" w:cs="Palatino Linotype" w:eastAsia="Palatino Linotype" w:hAnsi="Palatino Linotype"/>
          <w:i w:val="1"/>
          <w:sz w:val="22"/>
          <w:szCs w:val="22"/>
          <w:rtl w:val="0"/>
        </w:rPr>
        <w:t xml:space="preserve"> Planear, organizar, controlar y supervisar la ejecución de los presupuestos de obra, y llevar el control del patrimonio de los bienes muebles e inmuebles a cargo de Instituto, conforme a las normas y lineamientos aplicables en la materia. </w:t>
      </w:r>
    </w:p>
    <w:p w:rsidR="00000000" w:rsidDel="00000000" w:rsidP="00000000" w:rsidRDefault="00000000" w:rsidRPr="00000000" w14:paraId="000000AD">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E">
      <w:pPr>
        <w:spacing w:line="276" w:lineRule="auto"/>
        <w:ind w:left="567" w:right="57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FUNCIONES: </w:t>
      </w:r>
    </w:p>
    <w:p w:rsidR="00000000" w:rsidDel="00000000" w:rsidP="00000000" w:rsidRDefault="00000000" w:rsidRPr="00000000" w14:paraId="000000AF">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Coordinar la integración del presupuesto de obra pública y servicios relacionados con la misma y someterlo a consideración de la Coordinación de Administración y Finanzas.</w:t>
      </w:r>
    </w:p>
    <w:p w:rsidR="00000000" w:rsidDel="00000000" w:rsidP="00000000" w:rsidRDefault="00000000" w:rsidRPr="00000000" w14:paraId="000000B0">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Aprobar los estudios de construcción de obra y servicios relacionados con la misma a cargo del Instituto.</w:t>
      </w:r>
    </w:p>
    <w:p w:rsidR="00000000" w:rsidDel="00000000" w:rsidP="00000000" w:rsidRDefault="00000000" w:rsidRPr="00000000" w14:paraId="000000B1">
      <w:pPr>
        <w:spacing w:line="276" w:lineRule="auto"/>
        <w:ind w:left="567" w:right="57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 − Coordinar la ejecución de la obra pública y servicios relacionados con la misma, así como supervisar que se cumpla con los contratos establecidos.</w:t>
      </w:r>
    </w:p>
    <w:p w:rsidR="00000000" w:rsidDel="00000000" w:rsidP="00000000" w:rsidRDefault="00000000" w:rsidRPr="00000000" w14:paraId="000000B2">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Coordinar el control de bienes muebles e inmuebles a cargo del Instituto, a fin de garantizar su cuidado y conservación.</w:t>
      </w:r>
    </w:p>
    <w:p w:rsidR="00000000" w:rsidDel="00000000" w:rsidP="00000000" w:rsidRDefault="00000000" w:rsidRPr="00000000" w14:paraId="000000B3">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Mantener informada a la Coordinación de Administración y Finanzas, sobre los avances en la aplicación y ejecución del presupuesto de obra asignado al Instituto. </w:t>
      </w:r>
    </w:p>
    <w:p w:rsidR="00000000" w:rsidDel="00000000" w:rsidP="00000000" w:rsidRDefault="00000000" w:rsidRPr="00000000" w14:paraId="000000B4">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Dirigir la contratación de bienes inmuebles para el funcionamiento del Instituto y supervisar su utilización y conservación respectiva. </w:t>
      </w:r>
    </w:p>
    <w:p w:rsidR="00000000" w:rsidDel="00000000" w:rsidP="00000000" w:rsidRDefault="00000000" w:rsidRPr="00000000" w14:paraId="000000B5">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Participar en los asuntos de su competencia que deban someterse al Comité de Arrendamientos, Adquisición de Inmuebles y Enajenaciones.</w:t>
      </w:r>
    </w:p>
    <w:p w:rsidR="00000000" w:rsidDel="00000000" w:rsidP="00000000" w:rsidRDefault="00000000" w:rsidRPr="00000000" w14:paraId="000000B6">
      <w:pPr>
        <w:spacing w:line="276" w:lineRule="auto"/>
        <w:ind w:left="567" w:right="57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 Desarrollar las demás funciones inherentes al área de su competencia.</w:t>
      </w: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colige que, el Sujeto Obligado cuenta con atribuciones, funciones y competencia para generar, administrar y poseer la información solicitada, debido a que, cuenta con un área encargada de coordinar la ejecución de la obra pública y servicios relacionados con estas. </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de mencionar que, de las constancias que obran en el expediente se logra vislumbrar que el Sujeto Obligado, turnó la solicitud de información a la unidad administrativa competente, a saber la Dirección de Obras y Control Patrimonial,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B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BD">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B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corresponde a los motivos de inconformidad relativos a la entrega de información incompleta, del análisis de la información proporcionada por el Sujeto Obligado </w:t>
      </w:r>
      <w:r w:rsidDel="00000000" w:rsidR="00000000" w:rsidRPr="00000000">
        <w:rPr>
          <w:rFonts w:ascii="Palatino Linotype" w:cs="Palatino Linotype" w:eastAsia="Palatino Linotype" w:hAnsi="Palatino Linotype"/>
          <w:b w:val="1"/>
          <w:sz w:val="22"/>
          <w:szCs w:val="22"/>
          <w:u w:val="single"/>
          <w:rtl w:val="0"/>
        </w:rPr>
        <w:t xml:space="preserve">en respuesta</w:t>
      </w:r>
      <w:r w:rsidDel="00000000" w:rsidR="00000000" w:rsidRPr="00000000">
        <w:rPr>
          <w:rFonts w:ascii="Palatino Linotype" w:cs="Palatino Linotype" w:eastAsia="Palatino Linotype" w:hAnsi="Palatino Linotype"/>
          <w:sz w:val="22"/>
          <w:szCs w:val="22"/>
          <w:rtl w:val="0"/>
        </w:rPr>
        <w:t xml:space="preserve">, se advirtió lo siguiente: </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las documentales, se clasificaron datos relacionados con: número telefónico, nombre y firma del Superintendente de Obra, número de INE, domicilio y teléfono particular, correo electrónico particular, </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se proporcionaron las bitácoras de los contratos: del CO_004_2024 al CO_008_2024, el CO_011_2024, del CO_013_2024 al CO_017_2024, del CO_025_2024 al CO_028_2024 y el CO_031_2024. </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se proporcionan las bitácoras de los contratos: CO_006_2023, CO_020_2023, CO_021_2023, CO_023_2023, CO_025_2023, CO_027_2023, CO_030_2023, CO_032_2023.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analizó la información proporcionada mediante informe justificado, de lo cual se advirtió lo siguiente: </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las documentales, se clasificaron datos relacionados con el nombre y la firma del apoderado legal de la empresa, número de teléfono particular, el nombre y firma del superintendente de obra de la empresa contratista, el número de INE. </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proporcionaron bitácoras faltantes en respuesta, pero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faltaron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CO_020_2023, CO_021_2023, CO_023_2023, CO_004_2024, CO_005_2024, CO_006_2024, CO_011_2024,   entre otras, por lo que, la información sigue siendo incompleta. </w:t>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dejó a la vista el nombre y firma del superintendente de obra de la empresa contratista.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considera que si bien, el Sujeto Obligado proporcionó bitácoras faltantes mediante informe justificado, también lo es que, n</w:t>
      </w:r>
      <w:r w:rsidDel="00000000" w:rsidR="00000000" w:rsidRPr="00000000">
        <w:rPr>
          <w:rFonts w:ascii="Palatino Linotype" w:cs="Palatino Linotype" w:eastAsia="Palatino Linotype" w:hAnsi="Palatino Linotype"/>
          <w:b w:val="1"/>
          <w:sz w:val="22"/>
          <w:szCs w:val="22"/>
          <w:u w:val="single"/>
          <w:rtl w:val="0"/>
        </w:rPr>
        <w:t xml:space="preserve">o proporcionó de manera completa la información</w:t>
      </w:r>
      <w:r w:rsidDel="00000000" w:rsidR="00000000" w:rsidRPr="00000000">
        <w:rPr>
          <w:rFonts w:ascii="Palatino Linotype" w:cs="Palatino Linotype" w:eastAsia="Palatino Linotype" w:hAnsi="Palatino Linotype"/>
          <w:sz w:val="22"/>
          <w:szCs w:val="22"/>
          <w:rtl w:val="0"/>
        </w:rPr>
        <w:t xml:space="preserve">, ya que, como se mencionó se advierte que faltaron expedientes. </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 de destacar que en lo que respecta a la clasificación de los datos contenidos en el soporte documental enviado, se advierte que el Sujeto Obligado clasificó información de naturaleza pública, como lo es el nombre y la firma del superintendente de obras de la empresa contratista, dato que se analiza al tenor de lo siguiente: </w:t>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 y firma del superintendente de obra de la empresa contratista.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lo que respecta al caso particular, el superintendente de obra es la persona responsable de supervisar la ejecución de un proyecto de construcción, su principal función es asegurar que el proyecto se complete a tiempo, dentro del presupuesto y según las especificaciones establecidas, en este caso, si bien, el superintendente corresponde a una persona física que presta sus servicios a la empresa contratista, también lo es que, es respecto de la supervisión de una obra pública, la cual es realizada a través del ejercicio de recursos públicos, por lo que, no se actualiza la causal de clasificación prevista en la fracción I del artículo 143 de la Ley de Transparencia y Acceso a la Información Pública del Estado de México y Municipios y, por ende, procede su entrega, al ser datos de naturaleza pública e interés social. </w:t>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también se advirtió que en las bitácoras proporcionadas en respuesta, además de haberse clasificado el nombre y la firma del superintendente de obra de la empresa contratista, se clasificaron los datos que se analizan a continuación: </w:t>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962"/>
        </w:tabs>
        <w:spacing w:after="0" w:before="0" w:line="360" w:lineRule="auto"/>
        <w:ind w:left="720" w:right="-28"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Credencial para Votar.</w:t>
      </w:r>
    </w:p>
    <w:p w:rsidR="00000000" w:rsidDel="00000000" w:rsidP="00000000" w:rsidRDefault="00000000" w:rsidRPr="00000000" w14:paraId="000000D5">
      <w:pPr>
        <w:tabs>
          <w:tab w:val="left" w:leader="none" w:pos="4962"/>
        </w:tabs>
        <w:spacing w:line="360" w:lineRule="auto"/>
        <w:ind w:right="-28"/>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manera particular el artículo 156, de la Ley General de Instituciones y Procedimientos Electorales dispone que la credencial para votar deberá contener, cuando menos, los siguientes datos:</w:t>
      </w:r>
      <w:r w:rsidDel="00000000" w:rsidR="00000000" w:rsidRPr="00000000">
        <w:rPr>
          <w:rtl w:val="0"/>
        </w:rPr>
      </w:r>
    </w:p>
    <w:p w:rsidR="00000000" w:rsidDel="00000000" w:rsidP="00000000" w:rsidRDefault="00000000" w:rsidRPr="00000000" w14:paraId="000000D9">
      <w:pPr>
        <w:spacing w:line="276" w:lineRule="auto"/>
        <w:ind w:left="567" w:righ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000000" w:rsidDel="00000000" w:rsidP="00000000" w:rsidRDefault="00000000" w:rsidRPr="00000000" w14:paraId="000000D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Sección electoral en donde deberá votar el ciudadano. En el caso de los ciudadanos residentes en el extranjero no será necesario incluir este requisito; </w:t>
      </w:r>
    </w:p>
    <w:p w:rsidR="00000000" w:rsidDel="00000000" w:rsidP="00000000" w:rsidRDefault="00000000" w:rsidRPr="00000000" w14:paraId="000000D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Apellido paterno, apellido materno y nombre completo; </w:t>
      </w:r>
    </w:p>
    <w:p w:rsidR="00000000" w:rsidDel="00000000" w:rsidP="00000000" w:rsidRDefault="00000000" w:rsidRPr="00000000" w14:paraId="000000D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Domicilio; </w:t>
      </w:r>
    </w:p>
    <w:p w:rsidR="00000000" w:rsidDel="00000000" w:rsidP="00000000" w:rsidRDefault="00000000" w:rsidRPr="00000000" w14:paraId="000000D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Sexo; </w:t>
      </w:r>
    </w:p>
    <w:p w:rsidR="00000000" w:rsidDel="00000000" w:rsidP="00000000" w:rsidRDefault="00000000" w:rsidRPr="00000000" w14:paraId="000000D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 </w:t>
      </w:r>
      <w:r w:rsidDel="00000000" w:rsidR="00000000" w:rsidRPr="00000000">
        <w:rPr>
          <w:rFonts w:ascii="Palatino Linotype" w:cs="Palatino Linotype" w:eastAsia="Palatino Linotype" w:hAnsi="Palatino Linotype"/>
          <w:i w:val="1"/>
          <w:sz w:val="22"/>
          <w:szCs w:val="22"/>
          <w:rtl w:val="0"/>
        </w:rPr>
        <w:t xml:space="preserve">Edad y año de registro;</w:t>
      </w:r>
    </w:p>
    <w:p w:rsidR="00000000" w:rsidDel="00000000" w:rsidP="00000000" w:rsidRDefault="00000000" w:rsidRPr="00000000" w14:paraId="000000E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 </w:t>
      </w:r>
      <w:r w:rsidDel="00000000" w:rsidR="00000000" w:rsidRPr="00000000">
        <w:rPr>
          <w:rFonts w:ascii="Palatino Linotype" w:cs="Palatino Linotype" w:eastAsia="Palatino Linotype" w:hAnsi="Palatino Linotype"/>
          <w:i w:val="1"/>
          <w:sz w:val="22"/>
          <w:szCs w:val="22"/>
          <w:rtl w:val="0"/>
        </w:rPr>
        <w:t xml:space="preserve">Firma, huella digital y fotografía del elector; </w:t>
      </w:r>
    </w:p>
    <w:p w:rsidR="00000000" w:rsidDel="00000000" w:rsidP="00000000" w:rsidRDefault="00000000" w:rsidRPr="00000000" w14:paraId="000000E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 </w:t>
      </w:r>
      <w:r w:rsidDel="00000000" w:rsidR="00000000" w:rsidRPr="00000000">
        <w:rPr>
          <w:rFonts w:ascii="Palatino Linotype" w:cs="Palatino Linotype" w:eastAsia="Palatino Linotype" w:hAnsi="Palatino Linotype"/>
          <w:i w:val="1"/>
          <w:sz w:val="22"/>
          <w:szCs w:val="22"/>
          <w:rtl w:val="0"/>
        </w:rPr>
        <w:t xml:space="preserve">Clave de registro, y </w:t>
      </w:r>
    </w:p>
    <w:p w:rsidR="00000000" w:rsidDel="00000000" w:rsidP="00000000" w:rsidRDefault="00000000" w:rsidRPr="00000000" w14:paraId="000000E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Clave Única del Registro de Población. </w:t>
      </w:r>
    </w:p>
    <w:p w:rsidR="00000000" w:rsidDel="00000000" w:rsidP="00000000" w:rsidRDefault="00000000" w:rsidRPr="00000000" w14:paraId="000000E3">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Además tendrá: </w:t>
      </w:r>
    </w:p>
    <w:p w:rsidR="00000000" w:rsidDel="00000000" w:rsidP="00000000" w:rsidRDefault="00000000" w:rsidRPr="00000000" w14:paraId="000000E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Espacios necesarios para marcar año y elección de que se trate; </w:t>
      </w:r>
    </w:p>
    <w:p w:rsidR="00000000" w:rsidDel="00000000" w:rsidP="00000000" w:rsidRDefault="00000000" w:rsidRPr="00000000" w14:paraId="000000E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Firma impresa del Secretario Ejecutivo del Instituto; </w:t>
      </w:r>
    </w:p>
    <w:p w:rsidR="00000000" w:rsidDel="00000000" w:rsidP="00000000" w:rsidRDefault="00000000" w:rsidRPr="00000000" w14:paraId="000000E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Año de emisión; </w:t>
      </w:r>
    </w:p>
    <w:p w:rsidR="00000000" w:rsidDel="00000000" w:rsidP="00000000" w:rsidRDefault="00000000" w:rsidRPr="00000000" w14:paraId="000000E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Año en el que expira su vigencia, y </w:t>
      </w:r>
    </w:p>
    <w:p w:rsidR="00000000" w:rsidDel="00000000" w:rsidP="00000000" w:rsidRDefault="00000000" w:rsidRPr="00000000" w14:paraId="000000E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En el caso de la que se expida al ciudadano residente en el extranjero, la leyenda “Para Votar desde el Extranjero”.</w:t>
      </w:r>
    </w:p>
    <w:p w:rsidR="00000000" w:rsidDel="00000000" w:rsidP="00000000" w:rsidRDefault="00000000" w:rsidRPr="00000000" w14:paraId="000000E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Correo electrónico particular.</w:t>
      </w: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Teléfono particular.</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igual que el correo electrónico, el número asignado a un teléfono particular permite localizar a una persona física identificada o identificable, ya sea a través de un dispositivo móvil o bien, en un lugar como el domicilio. </w:t>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tales consideraciones, dicho dato persona es susceptible de ser clasificado como confidencial, con fundamento en el artículo 143, fracción I de la Ley de Transparencia y Acceso a la Información Pública.</w:t>
      </w:r>
    </w:p>
    <w:p w:rsidR="00000000" w:rsidDel="00000000" w:rsidP="00000000" w:rsidRDefault="00000000" w:rsidRPr="00000000" w14:paraId="000000F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9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Domicilio particular.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9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0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ind w:right="-9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sz w:val="22"/>
          <w:szCs w:val="22"/>
          <w:rtl w:val="0"/>
        </w:rPr>
        <w:t xml:space="preserve">, es el lugar donde residen habitualmente, el lugar del centro principal de sus negocios, donde residan o el lugar donde se encuentren.</w:t>
      </w:r>
    </w:p>
    <w:p w:rsidR="00000000" w:rsidDel="00000000" w:rsidP="00000000" w:rsidRDefault="00000000" w:rsidRPr="00000000" w14:paraId="00000104">
      <w:pPr>
        <w:spacing w:line="360" w:lineRule="auto"/>
        <w:ind w:right="-93"/>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cuando se trate de domicilio particular, resulta dable clasificar dicho dato en términos de la fracción I del artículo 143 de la Ley de Transparencia y Acceso a la Información Pública del Estado de México y Municipios. </w:t>
      </w:r>
    </w:p>
    <w:p w:rsidR="00000000" w:rsidDel="00000000" w:rsidP="00000000" w:rsidRDefault="00000000" w:rsidRPr="00000000" w14:paraId="0000010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67" w:right="-93"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 de representante legal</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93"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w:t>
      </w:r>
      <w:r w:rsidDel="00000000" w:rsidR="00000000" w:rsidRPr="00000000">
        <w:rPr>
          <w:rFonts w:ascii="Palatino Linotype" w:cs="Palatino Linotype" w:eastAsia="Palatino Linotype" w:hAnsi="Palatino Linotype"/>
          <w:b w:val="1"/>
          <w:sz w:val="22"/>
          <w:szCs w:val="22"/>
          <w:rtl w:val="0"/>
        </w:rPr>
        <w:t xml:space="preserve">nombre de representante legal</w:t>
      </w:r>
      <w:r w:rsidDel="00000000" w:rsidR="00000000" w:rsidRPr="00000000">
        <w:rPr>
          <w:rFonts w:ascii="Palatino Linotype" w:cs="Palatino Linotype" w:eastAsia="Palatino Linotype" w:hAnsi="Palatino Linotype"/>
          <w:sz w:val="22"/>
          <w:szCs w:val="22"/>
          <w:rtl w:val="0"/>
        </w:rPr>
        <w:t xml:space="preserve">,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diversos permisos.</w:t>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000000" w:rsidDel="00000000" w:rsidP="00000000" w:rsidRDefault="00000000" w:rsidRPr="00000000" w14:paraId="0000010C">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la representación de las personas morales se realizará por medio de representantes o apoderados, y en el caso específico de las sociedades mercantiles, dicha representación se otorgará mediante instrumento público.</w:t>
      </w:r>
    </w:p>
    <w:p w:rsidR="00000000" w:rsidDel="00000000" w:rsidP="00000000" w:rsidRDefault="00000000" w:rsidRPr="00000000" w14:paraId="0000010E">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rsidR="00000000" w:rsidDel="00000000" w:rsidP="00000000" w:rsidRDefault="00000000" w:rsidRPr="00000000" w14:paraId="00000110">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Del="00000000" w:rsidR="00000000" w:rsidRPr="00000000">
        <w:rPr>
          <w:rFonts w:ascii="Palatino Linotype" w:cs="Palatino Linotype" w:eastAsia="Palatino Linotype" w:hAnsi="Palatino Linotype"/>
          <w:b w:val="1"/>
          <w:sz w:val="22"/>
          <w:szCs w:val="22"/>
          <w:rtl w:val="0"/>
        </w:rPr>
        <w:t xml:space="preserve">es público, </w:t>
      </w:r>
      <w:r w:rsidDel="00000000" w:rsidR="00000000" w:rsidRPr="00000000">
        <w:rPr>
          <w:rFonts w:ascii="Palatino Linotype" w:cs="Palatino Linotype" w:eastAsia="Palatino Linotype" w:hAnsi="Palatino Linotype"/>
          <w:sz w:val="22"/>
          <w:szCs w:val="22"/>
          <w:rtl w:val="0"/>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000000" w:rsidDel="00000000" w:rsidP="00000000" w:rsidRDefault="00000000" w:rsidRPr="00000000" w14:paraId="00000112">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robustece con el criterio 01/19, emitido por el Instituto Nacional de Transparencia, Acceso a la Información Pública y Protección de Datos Personales, que establece lo siguiente:</w:t>
      </w:r>
    </w:p>
    <w:p w:rsidR="00000000" w:rsidDel="00000000" w:rsidP="00000000" w:rsidRDefault="00000000" w:rsidRPr="00000000" w14:paraId="00000114">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w:t>
      </w:r>
      <w:r w:rsidDel="00000000" w:rsidR="00000000" w:rsidRPr="00000000">
        <w:rPr>
          <w:rFonts w:ascii="Palatino Linotype" w:cs="Palatino Linotype" w:eastAsia="Palatino Linotype" w:hAnsi="Palatino Linotype"/>
          <w:i w:val="1"/>
          <w:sz w:val="22"/>
          <w:szCs w:val="22"/>
          <w:rtl w:val="0"/>
        </w:rPr>
        <w:t xml:space="preserve">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000000" w:rsidDel="00000000" w:rsidP="00000000" w:rsidRDefault="00000000" w:rsidRPr="00000000" w14:paraId="00000116">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tales situaciones, el nombre del representante legal, de una persona jurídica colectiva que solicito un permiso, no es susceptible de ser clasificado como confidencial, en términos del artículo 143, fracción I de la Ley Federal de Transparencia y Acceso a la Información Pública; inclusive ayuda a rendir cuentas, de que dicha autorización fue entregada a la persona adecuada.</w:t>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todo lo anterior, se considera que, el Sujeto Obligado hizo entrega de información incompleta y en el soporte documental remitido tanto en respuesta como en informe justificado, se clasificó información de naturaleza pública, por lo que, se advierte que los agravios hechos valer por la parte Recurrente devienen fundados y por ende, resulta dable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la entrega, en versión pública correcta, las B</w:t>
      </w:r>
      <w:r w:rsidDel="00000000" w:rsidR="00000000" w:rsidRPr="00000000">
        <w:rPr>
          <w:rFonts w:ascii="Palatino Linotype" w:cs="Palatino Linotype" w:eastAsia="Palatino Linotype" w:hAnsi="Palatino Linotype"/>
          <w:rtl w:val="0"/>
        </w:rPr>
        <w:t xml:space="preserve">itácoras de Obra enviadas en respuesta e informe justificado y las faltantes de los años 2023 y 2024.  </w:t>
      </w: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21">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2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2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2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2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2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2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2B">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2C">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2D">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2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3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3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3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3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3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35">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3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1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4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4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4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4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4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4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5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5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5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5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5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5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5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02294/INFOEM/IP/RR/2025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00085/ISSEMYM/IP/2025.</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w:t>
        <w:tab/>
        <w:t xml:space="preserve">R E S U E L V E:</w:t>
      </w:r>
    </w:p>
    <w:p w:rsidR="00000000" w:rsidDel="00000000" w:rsidP="00000000" w:rsidRDefault="00000000" w:rsidRPr="00000000" w14:paraId="0000016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w:t>
      </w:r>
      <w:r w:rsidDel="00000000" w:rsidR="00000000" w:rsidRPr="00000000">
        <w:rPr>
          <w:rFonts w:ascii="Palatino Linotype" w:cs="Palatino Linotype" w:eastAsia="Palatino Linotype" w:hAnsi="Palatino Linotype"/>
          <w:b w:val="1"/>
          <w:sz w:val="22"/>
          <w:szCs w:val="22"/>
          <w:rtl w:val="0"/>
        </w:rPr>
        <w:t xml:space="preserve"> 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02294/INFOEM/IP/RR/2025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16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ind w:right="49"/>
        <w:jc w:val="both"/>
        <w:rPr>
          <w:rFonts w:ascii="Palatino Linotype" w:cs="Palatino Linotype" w:eastAsia="Palatino Linotype" w:hAnsi="Palatino Linotype"/>
          <w:sz w:val="22"/>
          <w:szCs w:val="22"/>
        </w:rPr>
      </w:pPr>
      <w:bookmarkStart w:colFirst="0" w:colLast="0" w:name="_heading=h.1fob9te" w:id="3"/>
      <w:bookmarkEnd w:id="3"/>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 en términos del Considerando Cuarto y Quinto, haga entrega, vía Sistema de Acceso a la Información Mexiquense, en versión pública correcta, lo siguiente: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ind w:left="720" w:right="56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Bitácoras de Obra enviadas en respuesta e informe justificado y las faltantes de los años 2023 y 2024.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r w:rsidDel="00000000" w:rsidR="00000000" w:rsidRPr="00000000">
        <w:rPr>
          <w:rtl w:val="0"/>
        </w:rPr>
      </w:r>
    </w:p>
    <w:p w:rsidR="00000000" w:rsidDel="00000000" w:rsidP="00000000" w:rsidRDefault="00000000" w:rsidRPr="00000000" w14:paraId="0000016A">
      <w:pPr>
        <w:spacing w:line="360" w:lineRule="auto"/>
        <w:ind w:right="56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6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 vía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sectPr>
          <w:headerReference r:id="rId7" w:type="default"/>
          <w:headerReference r:id="rId8" w:type="first"/>
          <w:footerReference r:id="rId9" w:type="default"/>
          <w:footerReference r:id="rId10"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 </w:t>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type w:val="nextPage"/>
      <w:pgSz w:h="16840" w:w="1192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-673733</wp:posOffset>
          </wp:positionH>
          <wp:positionV relativeFrom="paragraph">
            <wp:posOffset>-322578</wp:posOffset>
          </wp:positionV>
          <wp:extent cx="7809876" cy="10165823"/>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7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7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02294/INFOEM/IP/RR/2025 </w:t>
          </w:r>
        </w:p>
      </w:tc>
    </w:tr>
    <w:tr>
      <w:trPr>
        <w:cantSplit w:val="0"/>
        <w:trHeight w:val="228" w:hRule="atLeast"/>
        <w:tblHeader w:val="0"/>
      </w:trPr>
      <w:tc>
        <w:tcPr>
          <w:vAlign w:val="center"/>
        </w:tcPr>
        <w:p w:rsidR="00000000" w:rsidDel="00000000" w:rsidP="00000000" w:rsidRDefault="00000000" w:rsidRPr="00000000" w14:paraId="0000017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77">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8">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79">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rHeight w:val="228" w:hRule="atLeast"/>
        <w:tblHeader w:val="0"/>
      </w:trPr>
      <w:tc>
        <w:tcPr>
          <w:vAlign w:val="center"/>
        </w:tcPr>
        <w:p w:rsidR="00000000" w:rsidDel="00000000" w:rsidP="00000000" w:rsidRDefault="00000000" w:rsidRPr="00000000" w14:paraId="0000017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 </w:t>
          </w:r>
        </w:p>
      </w:tc>
      <w:tc>
        <w:tcPr>
          <w:vAlign w:val="center"/>
        </w:tcPr>
        <w:p w:rsidR="00000000" w:rsidDel="00000000" w:rsidP="00000000" w:rsidRDefault="00000000" w:rsidRPr="00000000" w14:paraId="0000017B">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XXXXXXXXXXXXX </w:t>
          </w:r>
        </w:p>
      </w:tc>
    </w:tr>
    <w:tr>
      <w:trPr>
        <w:cantSplit w:val="0"/>
        <w:tblHeader w:val="0"/>
      </w:trPr>
      <w:tc>
        <w:tcPr>
          <w:vAlign w:val="center"/>
        </w:tcPr>
        <w:p w:rsidR="00000000" w:rsidDel="00000000" w:rsidP="00000000" w:rsidRDefault="00000000" w:rsidRPr="00000000" w14:paraId="0000017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7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-692783</wp:posOffset>
          </wp:positionH>
          <wp:positionV relativeFrom="paragraph">
            <wp:posOffset>-198752</wp:posOffset>
          </wp:positionV>
          <wp:extent cx="7809876" cy="10165823"/>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8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8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05044/INFOEM/IP/RR/2023 </w:t>
          </w:r>
        </w:p>
      </w:tc>
    </w:tr>
    <w:tr>
      <w:trPr>
        <w:cantSplit w:val="0"/>
        <w:tblHeader w:val="0"/>
      </w:trPr>
      <w:tc>
        <w:tcPr>
          <w:vAlign w:val="center"/>
        </w:tcPr>
        <w:p w:rsidR="00000000" w:rsidDel="00000000" w:rsidP="00000000" w:rsidRDefault="00000000" w:rsidRPr="00000000" w14:paraId="00000182">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8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18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85">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8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 </w:t>
          </w:r>
        </w:p>
      </w:tc>
    </w:tr>
    <w:tr>
      <w:trPr>
        <w:cantSplit w:val="0"/>
        <w:tblHeader w:val="0"/>
      </w:trPr>
      <w:tc>
        <w:tcPr>
          <w:vAlign w:val="center"/>
        </w:tcPr>
        <w:p w:rsidR="00000000" w:rsidDel="00000000" w:rsidP="00000000" w:rsidRDefault="00000000" w:rsidRPr="00000000" w14:paraId="0000018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8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9">
    <w:pPr>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6">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outlineLvl w:val="2"/>
    </w:pPr>
    <w:rPr>
      <w:b w:val="1"/>
      <w:sz w:val="27"/>
      <w:szCs w:val="27"/>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A972A9"/>
    <w:pPr>
      <w:tabs>
        <w:tab w:val="center" w:pos="4419"/>
        <w:tab w:val="right" w:pos="8838"/>
      </w:tabs>
    </w:pPr>
  </w:style>
  <w:style w:type="character" w:styleId="EncabezadoCar" w:customStyle="1">
    <w:name w:val="Encabezado Car"/>
    <w:basedOn w:val="Fuentedeprrafopredeter"/>
    <w:link w:val="Encabezado"/>
    <w:uiPriority w:val="99"/>
    <w:rsid w:val="00A972A9"/>
  </w:style>
  <w:style w:type="paragraph" w:styleId="Piedepgina">
    <w:name w:val="footer"/>
    <w:basedOn w:val="Normal"/>
    <w:link w:val="PiedepginaCar"/>
    <w:uiPriority w:val="99"/>
    <w:unhideWhenUsed w:val="1"/>
    <w:rsid w:val="00A972A9"/>
    <w:pPr>
      <w:tabs>
        <w:tab w:val="center" w:pos="4419"/>
        <w:tab w:val="right" w:pos="8838"/>
      </w:tabs>
    </w:pPr>
  </w:style>
  <w:style w:type="character" w:styleId="PiedepginaCar" w:customStyle="1">
    <w:name w:val="Pie de página Car"/>
    <w:basedOn w:val="Fuentedeprrafopredeter"/>
    <w:link w:val="Piedepgina"/>
    <w:uiPriority w:val="99"/>
    <w:rsid w:val="00A972A9"/>
  </w:style>
  <w:style w:type="paragraph" w:styleId="Sinespaciado">
    <w:name w:val="No Spacing"/>
    <w:aliases w:val="Francesa,INAI"/>
    <w:link w:val="SinespaciadoCar"/>
    <w:uiPriority w:val="1"/>
    <w:qFormat w:val="1"/>
    <w:rsid w:val="00D73018"/>
    <w:rPr>
      <w:lang w:eastAsia="es-ES"/>
    </w:rPr>
  </w:style>
  <w:style w:type="character" w:styleId="SinespaciadoCar" w:customStyle="1">
    <w:name w:val="Sin espaciado Car"/>
    <w:aliases w:val="Francesa Car,INAI Car"/>
    <w:link w:val="Sinespaciado"/>
    <w:uiPriority w:val="1"/>
    <w:locked w:val="1"/>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75FA3"/>
    <w:pPr>
      <w:spacing w:after="160" w:line="259" w:lineRule="auto"/>
      <w:ind w:left="720"/>
      <w:contextualSpacing w:val="1"/>
    </w:pPr>
    <w:rPr>
      <w:rFonts w:ascii="Calibri" w:cs="Calibri" w:eastAsia="Calibri" w:hAnsi="Calibri"/>
      <w:sz w:val="22"/>
      <w:szCs w:val="22"/>
      <w:lang w:val="es-MX"/>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75FA3"/>
    <w:rPr>
      <w:rFonts w:ascii="Calibri" w:cs="Calibri" w:eastAsia="Calibri" w:hAnsi="Calibri"/>
      <w:sz w:val="22"/>
      <w:szCs w:val="22"/>
      <w:lang w:val="es-MX"/>
    </w:rPr>
  </w:style>
  <w:style w:type="table" w:styleId="Tablaconcuadrcula">
    <w:name w:val="Table Grid"/>
    <w:basedOn w:val="Tablanormal"/>
    <w:uiPriority w:val="39"/>
    <w:rsid w:val="00C24A7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aconvietas">
    <w:name w:val="List Bullet"/>
    <w:basedOn w:val="Normal"/>
    <w:uiPriority w:val="99"/>
    <w:unhideWhenUsed w:val="1"/>
    <w:rsid w:val="0078343E"/>
    <w:pPr>
      <w:numPr>
        <w:numId w:val="15"/>
      </w:numPr>
      <w:contextualSpacing w:val="1"/>
    </w:pPr>
    <w:rPr>
      <w:lang w:eastAsia="es-ES" w:val="es-MX"/>
    </w:rPr>
  </w:style>
  <w:style w:type="paragraph" w:styleId="NormalWeb">
    <w:name w:val="Normal (Web)"/>
    <w:basedOn w:val="Normal"/>
    <w:uiPriority w:val="99"/>
    <w:unhideWhenUsed w:val="1"/>
    <w:rsid w:val="00406BC5"/>
    <w:pPr>
      <w:spacing w:after="100" w:afterAutospacing="1" w:before="100" w:beforeAutospacing="1"/>
    </w:pPr>
    <w:rPr>
      <w:lang w:val="es-MX"/>
    </w:rPr>
  </w:style>
  <w:style w:type="character" w:styleId="Hipervnculo">
    <w:name w:val="Hyperlink"/>
    <w:basedOn w:val="Fuentedeprrafopredeter"/>
    <w:uiPriority w:val="99"/>
    <w:unhideWhenUsed w:val="1"/>
    <w:rsid w:val="00BE1827"/>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4.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header" Target="head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5.xml"/><Relationship Id="rId14" Type="http://schemas.openxmlformats.org/officeDocument/2006/relationships/footer" Target="footer4.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1RTPuqPSYhQ7gzZbSJAOO8teDA==">CgMxLjAyCWguM3pueXNoNzIIaC5namRneHMyCWguMzBqMHpsbDIJaC4xZm9iOXRlOAByITFVRGhtRTFkRGwzZUg3b2FYb1B4NVlYbDFnb0VuWm5WZQ==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2025-05-23T17:24:00Z</dcterms:created>
  <dc:creator>USUARIO</dc:creator>
</cp:coreProperties>
</file>