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1BE" w:rsidRDefault="001531BE">
      <w:pPr>
        <w:widowControl w:val="0"/>
        <w:pBdr>
          <w:top w:val="nil"/>
          <w:left w:val="nil"/>
          <w:bottom w:val="nil"/>
          <w:right w:val="nil"/>
          <w:between w:val="nil"/>
        </w:pBdr>
        <w:spacing w:line="276" w:lineRule="auto"/>
      </w:pPr>
    </w:p>
    <w:p w:rsidR="001531BE"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RESOLUCIÓN DEL RECURSO DE REVISIÓN 01491/INFOEM/IP/RR/2025</w:t>
      </w:r>
    </w:p>
    <w:sdt>
      <w:sdtPr>
        <w:id w:val="-1681110564"/>
        <w:docPartObj>
          <w:docPartGallery w:val="Table of Contents"/>
          <w:docPartUnique/>
        </w:docPartObj>
      </w:sdtPr>
      <w:sdtEndPr/>
      <w:sdtContent>
        <w:p w:rsidR="001531BE" w:rsidRPr="0019612B" w:rsidRDefault="00C864E1">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r w:rsidRPr="0019612B">
            <w:fldChar w:fldCharType="begin"/>
          </w:r>
          <w:r w:rsidRPr="0019612B">
            <w:instrText xml:space="preserve"> TOC \h \u \z \t "Heading 1,1,Heading 2,2,Heading 3,3,"</w:instrText>
          </w:r>
          <w:r w:rsidRPr="0019612B">
            <w:fldChar w:fldCharType="separate"/>
          </w:r>
          <w:hyperlink w:anchor="_heading=h.gjdgxs">
            <w:r w:rsidRPr="0019612B">
              <w:rPr>
                <w:rFonts w:ascii="Palatino Linotype" w:eastAsia="Palatino Linotype" w:hAnsi="Palatino Linotype" w:cs="Palatino Linotype"/>
                <w:color w:val="000000"/>
                <w:sz w:val="22"/>
                <w:szCs w:val="22"/>
              </w:rPr>
              <w:t>A N T E C E D E N T E S</w:t>
            </w:r>
            <w:r w:rsidRPr="0019612B">
              <w:rPr>
                <w:rFonts w:ascii="Palatino Linotype" w:eastAsia="Palatino Linotype" w:hAnsi="Palatino Linotype" w:cs="Palatino Linotype"/>
                <w:color w:val="000000"/>
                <w:sz w:val="22"/>
                <w:szCs w:val="22"/>
              </w:rPr>
              <w:tab/>
              <w:t>2</w:t>
            </w:r>
          </w:hyperlink>
        </w:p>
        <w:p w:rsidR="001531BE" w:rsidRPr="0019612B" w:rsidRDefault="002026E0">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30j0zll">
            <w:r w:rsidR="00C864E1" w:rsidRPr="0019612B">
              <w:rPr>
                <w:rFonts w:ascii="Palatino Linotype" w:eastAsia="Palatino Linotype" w:hAnsi="Palatino Linotype" w:cs="Palatino Linotype"/>
                <w:color w:val="000000"/>
                <w:sz w:val="22"/>
                <w:szCs w:val="22"/>
              </w:rPr>
              <w:t>I. Presentación de la solicitud de información</w:t>
            </w:r>
            <w:r w:rsidR="00C864E1" w:rsidRPr="0019612B">
              <w:rPr>
                <w:rFonts w:ascii="Palatino Linotype" w:eastAsia="Palatino Linotype" w:hAnsi="Palatino Linotype" w:cs="Palatino Linotype"/>
                <w:color w:val="000000"/>
                <w:sz w:val="22"/>
                <w:szCs w:val="22"/>
              </w:rPr>
              <w:tab/>
              <w:t>2</w:t>
            </w:r>
          </w:hyperlink>
        </w:p>
        <w:p w:rsidR="001531BE" w:rsidRPr="0019612B" w:rsidRDefault="002026E0">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2et92p0">
            <w:r w:rsidR="00C864E1" w:rsidRPr="0019612B">
              <w:rPr>
                <w:rFonts w:ascii="Palatino Linotype" w:eastAsia="Palatino Linotype" w:hAnsi="Palatino Linotype" w:cs="Palatino Linotype"/>
                <w:color w:val="000000"/>
                <w:sz w:val="22"/>
                <w:szCs w:val="22"/>
              </w:rPr>
              <w:t>II. Respuesta del Sujeto Obligado</w:t>
            </w:r>
            <w:r w:rsidR="00C864E1" w:rsidRPr="0019612B">
              <w:rPr>
                <w:rFonts w:ascii="Palatino Linotype" w:eastAsia="Palatino Linotype" w:hAnsi="Palatino Linotype" w:cs="Palatino Linotype"/>
                <w:color w:val="000000"/>
                <w:sz w:val="22"/>
                <w:szCs w:val="22"/>
              </w:rPr>
              <w:tab/>
              <w:t>3</w:t>
            </w:r>
          </w:hyperlink>
        </w:p>
        <w:p w:rsidR="001531BE" w:rsidRPr="0019612B" w:rsidRDefault="002026E0">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tyjcwt">
            <w:r w:rsidR="00C864E1" w:rsidRPr="0019612B">
              <w:rPr>
                <w:rFonts w:ascii="Palatino Linotype" w:eastAsia="Palatino Linotype" w:hAnsi="Palatino Linotype" w:cs="Palatino Linotype"/>
                <w:color w:val="000000"/>
                <w:sz w:val="22"/>
                <w:szCs w:val="22"/>
              </w:rPr>
              <w:t>III. Interposición del Recurso de Revisión</w:t>
            </w:r>
            <w:r w:rsidR="00C864E1" w:rsidRPr="0019612B">
              <w:rPr>
                <w:rFonts w:ascii="Palatino Linotype" w:eastAsia="Palatino Linotype" w:hAnsi="Palatino Linotype" w:cs="Palatino Linotype"/>
                <w:color w:val="000000"/>
                <w:sz w:val="22"/>
                <w:szCs w:val="22"/>
              </w:rPr>
              <w:tab/>
            </w:r>
          </w:hyperlink>
          <w:r w:rsidR="00C864E1" w:rsidRPr="0019612B">
            <w:rPr>
              <w:rFonts w:ascii="Palatino Linotype" w:eastAsia="Palatino Linotype" w:hAnsi="Palatino Linotype" w:cs="Palatino Linotype"/>
              <w:color w:val="000000"/>
              <w:sz w:val="22"/>
              <w:szCs w:val="22"/>
            </w:rPr>
            <w:t>4</w:t>
          </w:r>
        </w:p>
        <w:p w:rsidR="001531BE" w:rsidRPr="0019612B" w:rsidRDefault="002026E0">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3dy6vkm">
            <w:r w:rsidR="00C864E1" w:rsidRPr="0019612B">
              <w:rPr>
                <w:rFonts w:ascii="Palatino Linotype" w:eastAsia="Palatino Linotype" w:hAnsi="Palatino Linotype" w:cs="Palatino Linotype"/>
                <w:color w:val="000000"/>
                <w:sz w:val="22"/>
                <w:szCs w:val="22"/>
              </w:rPr>
              <w:t>IV. Trámite del Recurso de Revisión ante el Instituto</w:t>
            </w:r>
            <w:r w:rsidR="00C864E1" w:rsidRPr="0019612B">
              <w:rPr>
                <w:rFonts w:ascii="Palatino Linotype" w:eastAsia="Palatino Linotype" w:hAnsi="Palatino Linotype" w:cs="Palatino Linotype"/>
                <w:color w:val="000000"/>
                <w:sz w:val="22"/>
                <w:szCs w:val="22"/>
              </w:rPr>
              <w:tab/>
            </w:r>
          </w:hyperlink>
          <w:r w:rsidR="00C864E1" w:rsidRPr="0019612B">
            <w:rPr>
              <w:rFonts w:ascii="Palatino Linotype" w:eastAsia="Palatino Linotype" w:hAnsi="Palatino Linotype" w:cs="Palatino Linotype"/>
              <w:color w:val="000000"/>
              <w:sz w:val="22"/>
              <w:szCs w:val="22"/>
            </w:rPr>
            <w:t>4</w:t>
          </w:r>
        </w:p>
        <w:p w:rsidR="001531BE" w:rsidRPr="0019612B" w:rsidRDefault="002026E0">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hyperlink w:anchor="_heading=h.1t3h5sf">
            <w:r w:rsidR="00C864E1" w:rsidRPr="0019612B">
              <w:rPr>
                <w:rFonts w:ascii="Palatino Linotype" w:eastAsia="Palatino Linotype" w:hAnsi="Palatino Linotype" w:cs="Palatino Linotype"/>
                <w:color w:val="000000"/>
                <w:sz w:val="22"/>
                <w:szCs w:val="22"/>
              </w:rPr>
              <w:t>C O N S I D E R A N D O S</w:t>
            </w:r>
            <w:r w:rsidR="00C864E1" w:rsidRPr="0019612B">
              <w:rPr>
                <w:rFonts w:ascii="Palatino Linotype" w:eastAsia="Palatino Linotype" w:hAnsi="Palatino Linotype" w:cs="Palatino Linotype"/>
                <w:color w:val="000000"/>
                <w:sz w:val="22"/>
                <w:szCs w:val="22"/>
              </w:rPr>
              <w:tab/>
            </w:r>
          </w:hyperlink>
          <w:r w:rsidR="00C864E1" w:rsidRPr="0019612B">
            <w:rPr>
              <w:rFonts w:ascii="Palatino Linotype" w:eastAsia="Palatino Linotype" w:hAnsi="Palatino Linotype" w:cs="Palatino Linotype"/>
              <w:color w:val="000000"/>
              <w:sz w:val="22"/>
              <w:szCs w:val="22"/>
            </w:rPr>
            <w:t>6</w:t>
          </w:r>
        </w:p>
        <w:p w:rsidR="001531BE" w:rsidRPr="0019612B" w:rsidRDefault="002026E0">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4d34og8">
            <w:r w:rsidR="00C864E1" w:rsidRPr="0019612B">
              <w:rPr>
                <w:rFonts w:ascii="Palatino Linotype" w:eastAsia="Palatino Linotype" w:hAnsi="Palatino Linotype" w:cs="Palatino Linotype"/>
                <w:color w:val="000000"/>
                <w:sz w:val="22"/>
                <w:szCs w:val="22"/>
              </w:rPr>
              <w:t>PRIMERO. Competencia</w:t>
            </w:r>
            <w:r w:rsidR="00C864E1" w:rsidRPr="0019612B">
              <w:rPr>
                <w:rFonts w:ascii="Palatino Linotype" w:eastAsia="Palatino Linotype" w:hAnsi="Palatino Linotype" w:cs="Palatino Linotype"/>
                <w:color w:val="000000"/>
                <w:sz w:val="22"/>
                <w:szCs w:val="22"/>
              </w:rPr>
              <w:tab/>
            </w:r>
          </w:hyperlink>
          <w:r w:rsidR="00C864E1" w:rsidRPr="0019612B">
            <w:rPr>
              <w:rFonts w:ascii="Palatino Linotype" w:eastAsia="Palatino Linotype" w:hAnsi="Palatino Linotype" w:cs="Palatino Linotype"/>
              <w:color w:val="000000"/>
              <w:sz w:val="22"/>
              <w:szCs w:val="22"/>
            </w:rPr>
            <w:t>6</w:t>
          </w:r>
        </w:p>
        <w:p w:rsidR="001531BE" w:rsidRPr="0019612B" w:rsidRDefault="002026E0">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2s8eyo1">
            <w:r w:rsidR="00C864E1" w:rsidRPr="0019612B">
              <w:rPr>
                <w:rFonts w:ascii="Palatino Linotype" w:eastAsia="Palatino Linotype" w:hAnsi="Palatino Linotype" w:cs="Palatino Linotype"/>
                <w:color w:val="000000"/>
                <w:sz w:val="22"/>
                <w:szCs w:val="22"/>
              </w:rPr>
              <w:t>SEGUNDO. Causales de improcedencia</w:t>
            </w:r>
            <w:r w:rsidR="00C864E1" w:rsidRPr="0019612B">
              <w:rPr>
                <w:rFonts w:ascii="Palatino Linotype" w:eastAsia="Palatino Linotype" w:hAnsi="Palatino Linotype" w:cs="Palatino Linotype"/>
                <w:color w:val="000000"/>
                <w:sz w:val="22"/>
                <w:szCs w:val="22"/>
              </w:rPr>
              <w:tab/>
            </w:r>
          </w:hyperlink>
          <w:r w:rsidR="00C864E1" w:rsidRPr="0019612B">
            <w:rPr>
              <w:rFonts w:ascii="Palatino Linotype" w:eastAsia="Palatino Linotype" w:hAnsi="Palatino Linotype" w:cs="Palatino Linotype"/>
              <w:color w:val="000000"/>
              <w:sz w:val="22"/>
              <w:szCs w:val="22"/>
            </w:rPr>
            <w:t>7</w:t>
          </w:r>
        </w:p>
        <w:p w:rsidR="001531BE" w:rsidRPr="0019612B" w:rsidRDefault="002026E0">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17dp8vu">
            <w:r w:rsidR="00C864E1" w:rsidRPr="0019612B">
              <w:rPr>
                <w:rFonts w:ascii="Palatino Linotype" w:eastAsia="Palatino Linotype" w:hAnsi="Palatino Linotype" w:cs="Palatino Linotype"/>
                <w:color w:val="000000"/>
                <w:sz w:val="22"/>
                <w:szCs w:val="22"/>
              </w:rPr>
              <w:t>TERCERO. Causales de Sobreseimiento</w:t>
            </w:r>
            <w:r w:rsidR="00C864E1" w:rsidRPr="0019612B">
              <w:rPr>
                <w:rFonts w:ascii="Palatino Linotype" w:eastAsia="Palatino Linotype" w:hAnsi="Palatino Linotype" w:cs="Palatino Linotype"/>
                <w:color w:val="000000"/>
                <w:sz w:val="22"/>
                <w:szCs w:val="22"/>
              </w:rPr>
              <w:tab/>
              <w:t>7</w:t>
            </w:r>
          </w:hyperlink>
        </w:p>
        <w:p w:rsidR="001531BE" w:rsidRPr="0019612B" w:rsidRDefault="00C864E1">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 xml:space="preserve">CUARTO. Decisión                                                                                                                             </w:t>
          </w:r>
          <w:r w:rsidR="005A62B2" w:rsidRPr="0019612B">
            <w:rPr>
              <w:rFonts w:ascii="Palatino Linotype" w:eastAsia="Palatino Linotype" w:hAnsi="Palatino Linotype" w:cs="Palatino Linotype"/>
              <w:color w:val="000000"/>
              <w:sz w:val="22"/>
              <w:szCs w:val="22"/>
            </w:rPr>
            <w:t>20</w:t>
          </w:r>
        </w:p>
        <w:p w:rsidR="001531BE" w:rsidRPr="0019612B" w:rsidRDefault="002026E0">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hyperlink w:anchor="_heading=h.35nkun2">
            <w:r w:rsidR="00C864E1" w:rsidRPr="0019612B">
              <w:rPr>
                <w:rFonts w:ascii="Palatino Linotype" w:eastAsia="Palatino Linotype" w:hAnsi="Palatino Linotype" w:cs="Palatino Linotype"/>
                <w:color w:val="000000"/>
                <w:sz w:val="22"/>
                <w:szCs w:val="22"/>
              </w:rPr>
              <w:t>R E S U E L V E</w:t>
            </w:r>
            <w:r w:rsidR="00C864E1" w:rsidRPr="0019612B">
              <w:rPr>
                <w:rFonts w:ascii="Palatino Linotype" w:eastAsia="Palatino Linotype" w:hAnsi="Palatino Linotype" w:cs="Palatino Linotype"/>
                <w:color w:val="000000"/>
                <w:sz w:val="22"/>
                <w:szCs w:val="22"/>
              </w:rPr>
              <w:tab/>
            </w:r>
          </w:hyperlink>
          <w:r w:rsidR="00C864E1" w:rsidRPr="0019612B">
            <w:rPr>
              <w:rFonts w:ascii="Palatino Linotype" w:eastAsia="Palatino Linotype" w:hAnsi="Palatino Linotype" w:cs="Palatino Linotype"/>
              <w:color w:val="000000"/>
              <w:sz w:val="22"/>
              <w:szCs w:val="22"/>
            </w:rPr>
            <w:t>2</w:t>
          </w:r>
          <w:r w:rsidR="005A62B2" w:rsidRPr="0019612B">
            <w:rPr>
              <w:rFonts w:ascii="Palatino Linotype" w:eastAsia="Palatino Linotype" w:hAnsi="Palatino Linotype" w:cs="Palatino Linotype"/>
              <w:color w:val="000000"/>
              <w:sz w:val="22"/>
              <w:szCs w:val="22"/>
            </w:rPr>
            <w:t>1</w:t>
          </w:r>
        </w:p>
        <w:p w:rsidR="001531BE" w:rsidRPr="0019612B" w:rsidRDefault="00C864E1">
          <w:pPr>
            <w:spacing w:line="360" w:lineRule="auto"/>
            <w:ind w:right="-28"/>
            <w:jc w:val="center"/>
            <w:rPr>
              <w:rFonts w:ascii="Palatino Linotype" w:eastAsia="Palatino Linotype" w:hAnsi="Palatino Linotype" w:cs="Palatino Linotype"/>
              <w:sz w:val="22"/>
              <w:szCs w:val="22"/>
            </w:rPr>
          </w:pPr>
          <w:r w:rsidRPr="0019612B">
            <w:fldChar w:fldCharType="end"/>
          </w:r>
        </w:p>
      </w:sdtContent>
    </w:sdt>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br w:type="column"/>
      </w:r>
      <w:r w:rsidRPr="0019612B">
        <w:rPr>
          <w:rFonts w:ascii="Palatino Linotype" w:eastAsia="Palatino Linotype" w:hAnsi="Palatino Linotype" w:cs="Palatino Linotype"/>
          <w:sz w:val="22"/>
          <w:szCs w:val="22"/>
        </w:rPr>
        <w:lastRenderedPageBreak/>
        <w:t>Resolución del Pleno del Instituto de Transparencia, Acceso a la Información Pública y Protección de Datos Personales del Estado de México y Municipios, con domicilio en Metepec, Estado de México, de fecha veintiséis de marzo de dos mil veinticinco.</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b/>
          <w:sz w:val="22"/>
          <w:szCs w:val="22"/>
        </w:rPr>
        <w:t xml:space="preserve">VISTO </w:t>
      </w:r>
      <w:r w:rsidRPr="0019612B">
        <w:rPr>
          <w:rFonts w:ascii="Palatino Linotype" w:eastAsia="Palatino Linotype" w:hAnsi="Palatino Linotype" w:cs="Palatino Linotype"/>
          <w:sz w:val="22"/>
          <w:szCs w:val="22"/>
        </w:rPr>
        <w:t xml:space="preserve">el expediente conformado con motivo del Recurso de Revisión </w:t>
      </w:r>
      <w:r w:rsidRPr="005E12BE">
        <w:rPr>
          <w:rFonts w:ascii="Palatino Linotype" w:eastAsia="Palatino Linotype" w:hAnsi="Palatino Linotype" w:cs="Palatino Linotype"/>
          <w:b/>
          <w:color w:val="0D0D0D"/>
          <w:sz w:val="22"/>
          <w:szCs w:val="22"/>
        </w:rPr>
        <w:t>01491/INFOEM/IP/RR/2025</w:t>
      </w:r>
      <w:r w:rsidRPr="0019612B">
        <w:rPr>
          <w:rFonts w:ascii="Palatino Linotype" w:eastAsia="Palatino Linotype" w:hAnsi="Palatino Linotype" w:cs="Palatino Linotype"/>
          <w:sz w:val="22"/>
          <w:szCs w:val="22"/>
        </w:rPr>
        <w:t xml:space="preserve">, interpuesto por la persona Recurrente o Particular, en contra de la respuesta del Sujeto Obligado, </w:t>
      </w:r>
      <w:bookmarkStart w:id="0" w:name="_GoBack"/>
      <w:r w:rsidRPr="005E12BE">
        <w:rPr>
          <w:rFonts w:ascii="Palatino Linotype" w:eastAsia="Palatino Linotype" w:hAnsi="Palatino Linotype" w:cs="Palatino Linotype"/>
          <w:b/>
          <w:color w:val="000000"/>
          <w:sz w:val="22"/>
          <w:szCs w:val="22"/>
        </w:rPr>
        <w:t>Ayuntamiento de Toluca</w:t>
      </w:r>
      <w:bookmarkEnd w:id="0"/>
      <w:r w:rsidRPr="0019612B">
        <w:rPr>
          <w:rFonts w:ascii="Palatino Linotype" w:eastAsia="Palatino Linotype" w:hAnsi="Palatino Linotype" w:cs="Palatino Linotype"/>
          <w:sz w:val="22"/>
          <w:szCs w:val="22"/>
        </w:rPr>
        <w:t>, a la solicitud de acceso a la información pública con número de folio 00125/TOLUCA/IP/2025, se emite la presente Resolución, con base en los Antecedentes y Considerandos que se exponen a continuación:</w:t>
      </w:r>
    </w:p>
    <w:p w:rsidR="001531BE" w:rsidRPr="0019612B" w:rsidRDefault="001531BE">
      <w:pPr>
        <w:spacing w:line="360" w:lineRule="auto"/>
        <w:ind w:right="-28"/>
        <w:jc w:val="both"/>
        <w:rPr>
          <w:rFonts w:ascii="Palatino Linotype" w:eastAsia="Palatino Linotype" w:hAnsi="Palatino Linotype" w:cs="Palatino Linotype"/>
          <w:b/>
          <w:color w:val="0D0D0D"/>
          <w:sz w:val="22"/>
          <w:szCs w:val="22"/>
        </w:rPr>
      </w:pPr>
    </w:p>
    <w:p w:rsidR="001531BE" w:rsidRPr="0019612B" w:rsidRDefault="00C864E1">
      <w:pPr>
        <w:tabs>
          <w:tab w:val="center" w:pos="4522"/>
          <w:tab w:val="left" w:pos="7245"/>
          <w:tab w:val="right" w:pos="9044"/>
        </w:tabs>
        <w:spacing w:line="360" w:lineRule="auto"/>
        <w:ind w:right="-28"/>
        <w:jc w:val="center"/>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A N T E C E D E N T E S</w:t>
      </w:r>
    </w:p>
    <w:p w:rsidR="001531BE" w:rsidRPr="0019612B" w:rsidRDefault="001531BE">
      <w:pPr>
        <w:tabs>
          <w:tab w:val="center" w:pos="4522"/>
          <w:tab w:val="left" w:pos="7245"/>
          <w:tab w:val="right" w:pos="9044"/>
        </w:tabs>
        <w:spacing w:line="360" w:lineRule="auto"/>
        <w:ind w:right="-28"/>
        <w:rPr>
          <w:rFonts w:ascii="Palatino Linotype" w:eastAsia="Palatino Linotype" w:hAnsi="Palatino Linotype" w:cs="Palatino Linotype"/>
          <w:b/>
          <w:sz w:val="22"/>
          <w:szCs w:val="22"/>
        </w:rPr>
      </w:pPr>
    </w:p>
    <w:p w:rsidR="001531BE" w:rsidRPr="0019612B" w:rsidRDefault="00C864E1">
      <w:pPr>
        <w:pBdr>
          <w:top w:val="nil"/>
          <w:left w:val="nil"/>
          <w:bottom w:val="nil"/>
          <w:right w:val="nil"/>
          <w:between w:val="nil"/>
        </w:pBdr>
        <w:tabs>
          <w:tab w:val="left" w:pos="567"/>
        </w:tabs>
        <w:spacing w:line="360" w:lineRule="auto"/>
        <w:ind w:right="-28"/>
        <w:jc w:val="both"/>
        <w:rPr>
          <w:rFonts w:ascii="Palatino Linotype" w:eastAsia="Palatino Linotype" w:hAnsi="Palatino Linotype" w:cs="Palatino Linotype"/>
          <w:b/>
          <w:color w:val="000000"/>
        </w:rPr>
      </w:pPr>
      <w:r w:rsidRPr="0019612B">
        <w:rPr>
          <w:rFonts w:ascii="Palatino Linotype" w:eastAsia="Palatino Linotype" w:hAnsi="Palatino Linotype" w:cs="Palatino Linotype"/>
          <w:b/>
          <w:color w:val="000000"/>
          <w:sz w:val="22"/>
          <w:szCs w:val="22"/>
        </w:rPr>
        <w:t>I. Presentación de la solicitud de información</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Con fecha trece de enero de dos mil veinticinco, la Particular presentó una solicitud de acceso a la información pública, a través del Sistema de Acceso a la Información Mexiquense (SAIMEX), ante el </w:t>
      </w:r>
      <w:r w:rsidRPr="0019612B">
        <w:rPr>
          <w:rFonts w:ascii="Palatino Linotype" w:eastAsia="Palatino Linotype" w:hAnsi="Palatino Linotype" w:cs="Palatino Linotype"/>
          <w:color w:val="000000"/>
          <w:sz w:val="22"/>
          <w:szCs w:val="22"/>
        </w:rPr>
        <w:t xml:space="preserve">Ayuntamiento de Toluca, </w:t>
      </w:r>
      <w:r w:rsidRPr="0019612B">
        <w:rPr>
          <w:rFonts w:ascii="Palatino Linotype" w:eastAsia="Palatino Linotype" w:hAnsi="Palatino Linotype" w:cs="Palatino Linotype"/>
          <w:b/>
          <w:color w:val="000000"/>
          <w:sz w:val="22"/>
          <w:szCs w:val="22"/>
        </w:rPr>
        <w:t>ya que, si bien se presentó el seis de dicho mes y año, lo cierto es que fue inhábil, por lo que se tuvo por presentada el día hábil subsecuente,</w:t>
      </w:r>
      <w:r w:rsidRPr="0019612B">
        <w:rPr>
          <w:rFonts w:ascii="Palatino Linotype" w:eastAsia="Palatino Linotype" w:hAnsi="Palatino Linotype" w:cs="Palatino Linotype"/>
          <w:b/>
          <w:sz w:val="22"/>
          <w:szCs w:val="22"/>
        </w:rPr>
        <w:t xml:space="preserve"> </w:t>
      </w:r>
      <w:r w:rsidRPr="0019612B">
        <w:rPr>
          <w:rFonts w:ascii="Palatino Linotype" w:eastAsia="Palatino Linotype" w:hAnsi="Palatino Linotype" w:cs="Palatino Linotype"/>
          <w:sz w:val="22"/>
          <w:szCs w:val="22"/>
        </w:rPr>
        <w:t>mediante la cual requirió lo siguiente:</w:t>
      </w:r>
    </w:p>
    <w:p w:rsidR="001531BE" w:rsidRPr="0019612B" w:rsidRDefault="001531BE">
      <w:pPr>
        <w:tabs>
          <w:tab w:val="left" w:pos="4667"/>
        </w:tabs>
        <w:spacing w:line="360" w:lineRule="auto"/>
        <w:ind w:right="567"/>
        <w:jc w:val="both"/>
        <w:rPr>
          <w:rFonts w:ascii="Palatino Linotype" w:eastAsia="Palatino Linotype" w:hAnsi="Palatino Linotype" w:cs="Palatino Linotype"/>
          <w:b/>
          <w:i/>
        </w:rPr>
      </w:pPr>
    </w:p>
    <w:p w:rsidR="001531BE" w:rsidRPr="0019612B" w:rsidRDefault="00C864E1">
      <w:pPr>
        <w:tabs>
          <w:tab w:val="left" w:pos="4667"/>
        </w:tabs>
        <w:spacing w:line="360" w:lineRule="auto"/>
        <w:ind w:left="567" w:right="567"/>
        <w:jc w:val="both"/>
        <w:rPr>
          <w:rFonts w:ascii="Palatino Linotype" w:eastAsia="Palatino Linotype" w:hAnsi="Palatino Linotype" w:cs="Palatino Linotype"/>
          <w:b/>
          <w:i/>
        </w:rPr>
      </w:pPr>
      <w:bookmarkStart w:id="1" w:name="_heading=h.u9wwz1dlnvqf" w:colFirst="0" w:colLast="0"/>
      <w:bookmarkEnd w:id="1"/>
      <w:r w:rsidRPr="0019612B">
        <w:rPr>
          <w:rFonts w:ascii="Palatino Linotype" w:eastAsia="Palatino Linotype" w:hAnsi="Palatino Linotype" w:cs="Palatino Linotype"/>
          <w:b/>
          <w:i/>
        </w:rPr>
        <w:t>“DESCRIPCIÓN CLARA Y PRECISA DE LA INFORMACIÓN SOLICITADA:</w:t>
      </w:r>
    </w:p>
    <w:p w:rsidR="001531BE" w:rsidRPr="0019612B" w:rsidRDefault="00C864E1">
      <w:pPr>
        <w:spacing w:line="360" w:lineRule="auto"/>
        <w:ind w:left="567" w:right="567"/>
        <w:jc w:val="both"/>
        <w:rPr>
          <w:rFonts w:ascii="Palatino Linotype" w:eastAsia="Palatino Linotype" w:hAnsi="Palatino Linotype" w:cs="Palatino Linotype"/>
          <w:i/>
        </w:rPr>
      </w:pPr>
      <w:r w:rsidRPr="0019612B">
        <w:rPr>
          <w:rFonts w:ascii="Palatino Linotype" w:eastAsia="Palatino Linotype" w:hAnsi="Palatino Linotype" w:cs="Palatino Linotype"/>
          <w:i/>
          <w:color w:val="000000"/>
        </w:rPr>
        <w:t xml:space="preserve">De conformidad con el artículo octavo constitucional se solicita la versión escenografía de la primera sesión de cabildo, el acta de cabildo los </w:t>
      </w:r>
      <w:proofErr w:type="spellStart"/>
      <w:r w:rsidRPr="0019612B">
        <w:rPr>
          <w:rFonts w:ascii="Palatino Linotype" w:eastAsia="Palatino Linotype" w:hAnsi="Palatino Linotype" w:cs="Palatino Linotype"/>
          <w:i/>
          <w:color w:val="000000"/>
        </w:rPr>
        <w:t>citataoria</w:t>
      </w:r>
      <w:proofErr w:type="spellEnd"/>
      <w:r w:rsidRPr="0019612B">
        <w:rPr>
          <w:rFonts w:ascii="Palatino Linotype" w:eastAsia="Palatino Linotype" w:hAnsi="Palatino Linotype" w:cs="Palatino Linotype"/>
          <w:i/>
          <w:color w:val="000000"/>
        </w:rPr>
        <w:t xml:space="preserve"> y fotografías.</w:t>
      </w:r>
      <w:r w:rsidRPr="0019612B">
        <w:rPr>
          <w:rFonts w:ascii="Palatino Linotype" w:eastAsia="Palatino Linotype" w:hAnsi="Palatino Linotype" w:cs="Palatino Linotype"/>
          <w:i/>
        </w:rPr>
        <w:t>” (Sic)</w:t>
      </w:r>
    </w:p>
    <w:p w:rsidR="001531BE" w:rsidRPr="0019612B" w:rsidRDefault="001531BE">
      <w:pPr>
        <w:spacing w:line="360" w:lineRule="auto"/>
        <w:ind w:left="567" w:right="567"/>
        <w:jc w:val="both"/>
        <w:rPr>
          <w:rFonts w:ascii="Palatino Linotype" w:eastAsia="Palatino Linotype" w:hAnsi="Palatino Linotype" w:cs="Palatino Linotype"/>
          <w:i/>
        </w:rPr>
      </w:pPr>
    </w:p>
    <w:p w:rsidR="001531BE" w:rsidRPr="0019612B" w:rsidRDefault="00C864E1">
      <w:pPr>
        <w:tabs>
          <w:tab w:val="left" w:pos="4667"/>
        </w:tabs>
        <w:spacing w:line="360" w:lineRule="auto"/>
        <w:ind w:left="567" w:right="567"/>
        <w:jc w:val="both"/>
        <w:rPr>
          <w:rFonts w:ascii="Palatino Linotype" w:eastAsia="Palatino Linotype" w:hAnsi="Palatino Linotype" w:cs="Palatino Linotype"/>
          <w:b/>
          <w:i/>
        </w:rPr>
      </w:pPr>
      <w:r w:rsidRPr="0019612B">
        <w:rPr>
          <w:rFonts w:ascii="Palatino Linotype" w:eastAsia="Palatino Linotype" w:hAnsi="Palatino Linotype" w:cs="Palatino Linotype"/>
          <w:b/>
          <w:i/>
        </w:rPr>
        <w:t xml:space="preserve">“Modalidad de Entrega: </w:t>
      </w:r>
    </w:p>
    <w:p w:rsidR="001531BE" w:rsidRPr="0019612B" w:rsidRDefault="00C864E1">
      <w:pPr>
        <w:tabs>
          <w:tab w:val="left" w:pos="567"/>
        </w:tabs>
        <w:spacing w:line="360" w:lineRule="auto"/>
        <w:ind w:left="567" w:right="567"/>
        <w:jc w:val="both"/>
        <w:rPr>
          <w:rFonts w:ascii="Palatino Linotype" w:eastAsia="Palatino Linotype" w:hAnsi="Palatino Linotype" w:cs="Palatino Linotype"/>
          <w:i/>
        </w:rPr>
      </w:pPr>
      <w:r w:rsidRPr="0019612B">
        <w:rPr>
          <w:rFonts w:ascii="Palatino Linotype" w:eastAsia="Palatino Linotype" w:hAnsi="Palatino Linotype" w:cs="Palatino Linotype"/>
          <w:b/>
          <w:i/>
        </w:rPr>
        <w:t xml:space="preserve"> </w:t>
      </w:r>
      <w:r w:rsidRPr="0019612B">
        <w:rPr>
          <w:rFonts w:ascii="Palatino Linotype" w:eastAsia="Palatino Linotype" w:hAnsi="Palatino Linotype" w:cs="Palatino Linotype"/>
          <w:i/>
        </w:rPr>
        <w:t xml:space="preserve">A través de SAIMEX”  </w:t>
      </w:r>
    </w:p>
    <w:p w:rsidR="001531BE" w:rsidRPr="0019612B" w:rsidRDefault="001531BE">
      <w:pPr>
        <w:spacing w:line="360" w:lineRule="auto"/>
        <w:rPr>
          <w:rFonts w:ascii="Palatino Linotype" w:eastAsia="Palatino Linotype" w:hAnsi="Palatino Linotype" w:cs="Palatino Linotype"/>
          <w:b/>
          <w:sz w:val="22"/>
          <w:szCs w:val="22"/>
        </w:rPr>
      </w:pPr>
      <w:bookmarkStart w:id="2" w:name="_heading=h.5cy6bhmdecdb" w:colFirst="0" w:colLast="0"/>
      <w:bookmarkEnd w:id="2"/>
    </w:p>
    <w:p w:rsidR="001531BE" w:rsidRPr="0019612B" w:rsidRDefault="001531BE">
      <w:pPr>
        <w:spacing w:line="360" w:lineRule="auto"/>
        <w:rPr>
          <w:rFonts w:ascii="Palatino Linotype" w:eastAsia="Palatino Linotype" w:hAnsi="Palatino Linotype" w:cs="Palatino Linotype"/>
          <w:b/>
          <w:sz w:val="22"/>
          <w:szCs w:val="22"/>
        </w:rPr>
      </w:pPr>
    </w:p>
    <w:p w:rsidR="001531BE" w:rsidRPr="0019612B" w:rsidRDefault="00C864E1">
      <w:pPr>
        <w:pBdr>
          <w:top w:val="nil"/>
          <w:left w:val="nil"/>
          <w:bottom w:val="nil"/>
          <w:right w:val="nil"/>
          <w:between w:val="nil"/>
        </w:pBdr>
        <w:spacing w:line="360" w:lineRule="auto"/>
        <w:ind w:right="-30"/>
        <w:jc w:val="both"/>
        <w:rPr>
          <w:rFonts w:ascii="Palatino Linotype" w:eastAsia="Palatino Linotype" w:hAnsi="Palatino Linotype" w:cs="Palatino Linotype"/>
          <w:b/>
          <w:color w:val="000000"/>
          <w:sz w:val="22"/>
          <w:szCs w:val="22"/>
        </w:rPr>
      </w:pPr>
      <w:r w:rsidRPr="0019612B">
        <w:rPr>
          <w:rFonts w:ascii="Palatino Linotype" w:eastAsia="Palatino Linotype" w:hAnsi="Palatino Linotype" w:cs="Palatino Linotype"/>
          <w:b/>
          <w:color w:val="000000"/>
          <w:sz w:val="22"/>
          <w:szCs w:val="22"/>
        </w:rPr>
        <w:t>II. Respuesta del Sujeto Obligado</w:t>
      </w:r>
    </w:p>
    <w:p w:rsidR="001531BE" w:rsidRPr="0019612B" w:rsidRDefault="001531BE">
      <w:pPr>
        <w:tabs>
          <w:tab w:val="left" w:pos="4667"/>
        </w:tabs>
        <w:spacing w:line="360" w:lineRule="auto"/>
        <w:ind w:right="567"/>
        <w:jc w:val="both"/>
        <w:rPr>
          <w:rFonts w:ascii="Palatino Linotype" w:eastAsia="Palatino Linotype" w:hAnsi="Palatino Linotype" w:cs="Palatino Linotype"/>
          <w:b/>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Con fecha cinco de febrero de dos mil veinticinco, el</w:t>
      </w:r>
      <w:r w:rsidRPr="0019612B">
        <w:rPr>
          <w:rFonts w:ascii="Palatino Linotype" w:eastAsia="Palatino Linotype" w:hAnsi="Palatino Linotype" w:cs="Palatino Linotype"/>
          <w:b/>
          <w:sz w:val="22"/>
          <w:szCs w:val="22"/>
        </w:rPr>
        <w:t xml:space="preserve"> </w:t>
      </w:r>
      <w:r w:rsidRPr="0019612B">
        <w:rPr>
          <w:rFonts w:ascii="Palatino Linotype" w:eastAsia="Palatino Linotype" w:hAnsi="Palatino Linotype" w:cs="Palatino Linotype"/>
          <w:sz w:val="22"/>
          <w:szCs w:val="22"/>
        </w:rPr>
        <w:t>Sujeto Obligado dio respuesta a la solicitud de acceso a la información a través del Sistema de Acceso a la Información Mexiquense (SAIMEX), por medio de la digitalización de los documentos siguientes:</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i) Oficio sin número, del cuatro de febrero de dos mil veinticinco, suscrito por el Secretario del Ayuntamiento, suscrito por el Titular de la Unidad de Transparencia, dirigido al Solicitante, por medio del cual manifiesta y expone lo siguiente:</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ind w:left="567" w:right="567"/>
        <w:jc w:val="both"/>
        <w:rPr>
          <w:rFonts w:ascii="Palatino Linotype" w:eastAsia="Palatino Linotype" w:hAnsi="Palatino Linotype" w:cs="Palatino Linotype"/>
          <w:i/>
        </w:rPr>
      </w:pPr>
      <w:r w:rsidRPr="0019612B">
        <w:rPr>
          <w:rFonts w:ascii="Palatino Linotype" w:eastAsia="Palatino Linotype" w:hAnsi="Palatino Linotype" w:cs="Palatino Linotype"/>
          <w:i/>
        </w:rPr>
        <w:t>“…</w:t>
      </w:r>
    </w:p>
    <w:p w:rsidR="001531BE" w:rsidRPr="0019612B" w:rsidRDefault="00C864E1">
      <w:pPr>
        <w:spacing w:line="360" w:lineRule="auto"/>
        <w:ind w:left="567" w:right="567"/>
        <w:jc w:val="both"/>
        <w:rPr>
          <w:rFonts w:ascii="Palatino Linotype" w:eastAsia="Palatino Linotype" w:hAnsi="Palatino Linotype" w:cs="Palatino Linotype"/>
          <w:i/>
        </w:rPr>
      </w:pPr>
      <w:r w:rsidRPr="0019612B">
        <w:rPr>
          <w:rFonts w:ascii="Palatino Linotype" w:eastAsia="Palatino Linotype" w:hAnsi="Palatino Linotype" w:cs="Palatino Linotype"/>
          <w:i/>
        </w:rPr>
        <w:t xml:space="preserve">…hago de su conocimiento que la Secretaría del Ayuntamiento y Servidor Público Habilitado informó que después de realizar la búsqueda exhaustiva y razonable en los archivos que obran en la Coordinación de Apoyo a Cabildo de la Secretaría del Ayuntamiento, en este sentido y de acuerdo a las facultades, competencias y funciones, se hace de su conocimiento que se cuenta con la expresión documental que se adjunta a la presente, misma que da por atendida la pretensión del C. Solicitante, al hacer entrega del Acta de la Sesión de Instalación y Primera Sesión Ordinaria de Cabildo, Año 2025, del Ayuntamiento Constitucional de Toluca, Estado de México 2025-2027; los citatorios a dicha sesión, el link para ver la sesión </w:t>
      </w:r>
      <w:proofErr w:type="spellStart"/>
      <w:r w:rsidRPr="0019612B">
        <w:rPr>
          <w:rFonts w:ascii="Palatino Linotype" w:eastAsia="Palatino Linotype" w:hAnsi="Palatino Linotype" w:cs="Palatino Linotype"/>
          <w:i/>
        </w:rPr>
        <w:t>videograbada</w:t>
      </w:r>
      <w:proofErr w:type="spellEnd"/>
      <w:r w:rsidRPr="0019612B">
        <w:rPr>
          <w:rFonts w:ascii="Palatino Linotype" w:eastAsia="Palatino Linotype" w:hAnsi="Palatino Linotype" w:cs="Palatino Linotype"/>
          <w:i/>
        </w:rPr>
        <w:t>, así como fotografías de la misma.</w:t>
      </w:r>
    </w:p>
    <w:p w:rsidR="001531BE" w:rsidRPr="0019612B" w:rsidRDefault="001531BE">
      <w:pPr>
        <w:spacing w:line="360" w:lineRule="auto"/>
        <w:ind w:left="567" w:right="567"/>
        <w:jc w:val="both"/>
        <w:rPr>
          <w:rFonts w:ascii="Palatino Linotype" w:eastAsia="Palatino Linotype" w:hAnsi="Palatino Linotype" w:cs="Palatino Linotype"/>
          <w:i/>
        </w:rPr>
      </w:pPr>
    </w:p>
    <w:p w:rsidR="001531BE" w:rsidRPr="0019612B" w:rsidRDefault="002026E0">
      <w:pPr>
        <w:numPr>
          <w:ilvl w:val="0"/>
          <w:numId w:val="1"/>
        </w:numPr>
        <w:pBdr>
          <w:top w:val="nil"/>
          <w:left w:val="nil"/>
          <w:bottom w:val="nil"/>
          <w:right w:val="nil"/>
          <w:between w:val="nil"/>
        </w:pBdr>
        <w:spacing w:line="360" w:lineRule="auto"/>
        <w:ind w:right="567"/>
        <w:jc w:val="both"/>
        <w:rPr>
          <w:rFonts w:ascii="Palatino Linotype" w:eastAsia="Palatino Linotype" w:hAnsi="Palatino Linotype" w:cs="Palatino Linotype"/>
          <w:i/>
          <w:color w:val="000000"/>
        </w:rPr>
      </w:pPr>
      <w:hyperlink r:id="rId8">
        <w:r w:rsidR="00C864E1" w:rsidRPr="0019612B">
          <w:rPr>
            <w:rFonts w:ascii="Palatino Linotype" w:eastAsia="Palatino Linotype" w:hAnsi="Palatino Linotype" w:cs="Palatino Linotype"/>
            <w:i/>
            <w:color w:val="000000"/>
            <w:u w:val="single"/>
          </w:rPr>
          <w:t>https://www.youtube.com/watch?v=WvQAVNiqXUQ</w:t>
        </w:r>
      </w:hyperlink>
      <w:r w:rsidR="00C864E1" w:rsidRPr="0019612B">
        <w:rPr>
          <w:rFonts w:ascii="Palatino Linotype" w:eastAsia="Palatino Linotype" w:hAnsi="Palatino Linotype" w:cs="Palatino Linotype"/>
          <w:i/>
          <w:color w:val="000000"/>
        </w:rPr>
        <w:t xml:space="preserve"> </w:t>
      </w:r>
    </w:p>
    <w:p w:rsidR="001531BE" w:rsidRPr="0019612B" w:rsidRDefault="00C864E1">
      <w:pPr>
        <w:spacing w:line="360" w:lineRule="auto"/>
        <w:ind w:left="567" w:right="567"/>
        <w:jc w:val="both"/>
        <w:rPr>
          <w:rFonts w:ascii="Palatino Linotype" w:eastAsia="Palatino Linotype" w:hAnsi="Palatino Linotype" w:cs="Palatino Linotype"/>
          <w:i/>
        </w:rPr>
      </w:pPr>
      <w:r w:rsidRPr="0019612B">
        <w:rPr>
          <w:rFonts w:ascii="Palatino Linotype" w:eastAsia="Palatino Linotype" w:hAnsi="Palatino Linotype" w:cs="Palatino Linotype"/>
          <w:i/>
        </w:rPr>
        <w:t>…”</w:t>
      </w:r>
    </w:p>
    <w:p w:rsidR="001531BE" w:rsidRPr="0019612B" w:rsidRDefault="001531BE">
      <w:pPr>
        <w:spacing w:line="360" w:lineRule="auto"/>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ii) Acta de Sesión de Instalación y Primera Sesión Ordinaria de Cabildo, del primero de enero de dos mil veinticinco.</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iii) Capturas de pantalla de la sesión de instalación referida en el punto anterior.</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iv) Catorce invitaciones a los miembros de Cabildo para asistir a la sesión de instalación.</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ind w:right="-28"/>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III. Interposición del Recurso de Revisión</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Con fecha </w:t>
      </w:r>
      <w:proofErr w:type="spellStart"/>
      <w:r w:rsidRPr="0019612B">
        <w:rPr>
          <w:rFonts w:ascii="Palatino Linotype" w:eastAsia="Palatino Linotype" w:hAnsi="Palatino Linotype" w:cs="Palatino Linotype"/>
          <w:sz w:val="22"/>
          <w:szCs w:val="22"/>
        </w:rPr>
        <w:t>diecisiséis</w:t>
      </w:r>
      <w:proofErr w:type="spellEnd"/>
      <w:r w:rsidRPr="0019612B">
        <w:rPr>
          <w:rFonts w:ascii="Palatino Linotype" w:eastAsia="Palatino Linotype" w:hAnsi="Palatino Linotype" w:cs="Palatino Linotype"/>
          <w:sz w:val="22"/>
          <w:szCs w:val="22"/>
        </w:rPr>
        <w:t xml:space="preserve"> de febrero de dos mil veinticinco, se recibió en este Instituto, a través del Sistema de Acceso a la Información Mexiquense (SAIMEX), el Recurso de Revisión interpuesto por la parte Recurrente, en contra de la respuesta del Sujeto Obligado (ya que, si bien se presentó el dieciséis de dicho mes y año, lo cierto es que fue inhábil, por lo que se tuvo por presentada el día hábil subsecuente), en los siguientes términos:</w:t>
      </w:r>
    </w:p>
    <w:p w:rsidR="001531BE" w:rsidRPr="0019612B" w:rsidRDefault="001531BE">
      <w:pPr>
        <w:spacing w:line="360" w:lineRule="auto"/>
        <w:ind w:right="-28"/>
        <w:jc w:val="both"/>
        <w:rPr>
          <w:rFonts w:ascii="Palatino Linotype" w:eastAsia="Palatino Linotype" w:hAnsi="Palatino Linotype" w:cs="Palatino Linotype"/>
          <w:i/>
        </w:rPr>
      </w:pPr>
    </w:p>
    <w:p w:rsidR="001531BE" w:rsidRPr="0019612B" w:rsidRDefault="00C864E1">
      <w:pPr>
        <w:tabs>
          <w:tab w:val="left" w:pos="4667"/>
        </w:tabs>
        <w:spacing w:line="360" w:lineRule="auto"/>
        <w:ind w:left="567" w:right="567"/>
        <w:jc w:val="both"/>
        <w:rPr>
          <w:rFonts w:ascii="Palatino Linotype" w:eastAsia="Palatino Linotype" w:hAnsi="Palatino Linotype" w:cs="Palatino Linotype"/>
          <w:b/>
          <w:i/>
        </w:rPr>
      </w:pPr>
      <w:r w:rsidRPr="0019612B">
        <w:rPr>
          <w:rFonts w:ascii="Palatino Linotype" w:eastAsia="Palatino Linotype" w:hAnsi="Palatino Linotype" w:cs="Palatino Linotype"/>
          <w:b/>
          <w:i/>
        </w:rPr>
        <w:t>“ACTO IMPUGNADO</w:t>
      </w:r>
    </w:p>
    <w:p w:rsidR="001531BE" w:rsidRPr="0019612B" w:rsidRDefault="00C864E1">
      <w:pPr>
        <w:spacing w:line="360" w:lineRule="auto"/>
        <w:ind w:left="567" w:right="567"/>
        <w:jc w:val="both"/>
        <w:rPr>
          <w:rFonts w:ascii="Palatino Linotype" w:eastAsia="Palatino Linotype" w:hAnsi="Palatino Linotype" w:cs="Palatino Linotype"/>
          <w:i/>
        </w:rPr>
      </w:pPr>
      <w:r w:rsidRPr="0019612B">
        <w:rPr>
          <w:rFonts w:ascii="Palatino Linotype" w:eastAsia="Palatino Linotype" w:hAnsi="Palatino Linotype" w:cs="Palatino Linotype"/>
          <w:i/>
          <w:color w:val="000000"/>
        </w:rPr>
        <w:t>Contestan de forma incompleta.</w:t>
      </w:r>
      <w:r w:rsidRPr="0019612B">
        <w:rPr>
          <w:rFonts w:ascii="Palatino Linotype" w:eastAsia="Palatino Linotype" w:hAnsi="Palatino Linotype" w:cs="Palatino Linotype"/>
          <w:i/>
        </w:rPr>
        <w:t>” (Sic.)</w:t>
      </w:r>
    </w:p>
    <w:p w:rsidR="001531BE" w:rsidRPr="0019612B" w:rsidRDefault="001531BE">
      <w:pPr>
        <w:tabs>
          <w:tab w:val="left" w:pos="4667"/>
        </w:tabs>
        <w:spacing w:line="360" w:lineRule="auto"/>
        <w:ind w:left="567" w:right="567"/>
        <w:jc w:val="both"/>
        <w:rPr>
          <w:rFonts w:ascii="Palatino Linotype" w:eastAsia="Palatino Linotype" w:hAnsi="Palatino Linotype" w:cs="Palatino Linotype"/>
          <w:i/>
        </w:rPr>
      </w:pPr>
    </w:p>
    <w:p w:rsidR="001531BE" w:rsidRPr="0019612B" w:rsidRDefault="00C864E1">
      <w:pPr>
        <w:tabs>
          <w:tab w:val="left" w:pos="4667"/>
        </w:tabs>
        <w:spacing w:line="360" w:lineRule="auto"/>
        <w:ind w:left="567" w:right="567"/>
        <w:jc w:val="both"/>
        <w:rPr>
          <w:rFonts w:ascii="Palatino Linotype" w:eastAsia="Palatino Linotype" w:hAnsi="Palatino Linotype" w:cs="Palatino Linotype"/>
          <w:b/>
          <w:i/>
        </w:rPr>
      </w:pPr>
      <w:r w:rsidRPr="0019612B">
        <w:rPr>
          <w:rFonts w:ascii="Palatino Linotype" w:eastAsia="Palatino Linotype" w:hAnsi="Palatino Linotype" w:cs="Palatino Linotype"/>
          <w:b/>
          <w:i/>
        </w:rPr>
        <w:t>“RAZONES O MOTIVOS DE LA INCONFORMIDAD</w:t>
      </w:r>
    </w:p>
    <w:p w:rsidR="001531BE" w:rsidRPr="0019612B" w:rsidRDefault="00C864E1">
      <w:pPr>
        <w:spacing w:line="360" w:lineRule="auto"/>
        <w:ind w:left="567" w:right="567"/>
        <w:jc w:val="both"/>
        <w:rPr>
          <w:rFonts w:ascii="Palatino Linotype" w:eastAsia="Palatino Linotype" w:hAnsi="Palatino Linotype" w:cs="Palatino Linotype"/>
          <w:i/>
        </w:rPr>
      </w:pPr>
      <w:r w:rsidRPr="0019612B">
        <w:rPr>
          <w:rFonts w:ascii="Palatino Linotype" w:eastAsia="Palatino Linotype" w:hAnsi="Palatino Linotype" w:cs="Palatino Linotype"/>
          <w:i/>
          <w:color w:val="000000"/>
        </w:rPr>
        <w:t>No es todo lo que se pide.</w:t>
      </w:r>
      <w:r w:rsidRPr="0019612B">
        <w:rPr>
          <w:rFonts w:ascii="Palatino Linotype" w:eastAsia="Palatino Linotype" w:hAnsi="Palatino Linotype" w:cs="Palatino Linotype"/>
          <w:i/>
        </w:rPr>
        <w:t>” (Sic)</w:t>
      </w:r>
    </w:p>
    <w:p w:rsidR="001531BE" w:rsidRPr="0019612B" w:rsidRDefault="001531BE">
      <w:pPr>
        <w:spacing w:line="360" w:lineRule="auto"/>
        <w:ind w:right="-28"/>
        <w:jc w:val="both"/>
        <w:rPr>
          <w:rFonts w:ascii="Palatino Linotype" w:eastAsia="Palatino Linotype" w:hAnsi="Palatino Linotype" w:cs="Palatino Linotype"/>
          <w:b/>
          <w:sz w:val="22"/>
          <w:szCs w:val="22"/>
        </w:rPr>
      </w:pPr>
    </w:p>
    <w:p w:rsidR="001531BE" w:rsidRPr="0019612B" w:rsidRDefault="00C864E1">
      <w:pPr>
        <w:spacing w:line="360" w:lineRule="auto"/>
        <w:ind w:right="-28"/>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IV. Trámite del Recurso de Revisión ante el Instituto</w:t>
      </w:r>
    </w:p>
    <w:p w:rsidR="001531BE" w:rsidRPr="0019612B" w:rsidRDefault="001531BE">
      <w:pPr>
        <w:spacing w:line="360" w:lineRule="auto"/>
        <w:ind w:right="-28"/>
        <w:jc w:val="both"/>
        <w:rPr>
          <w:rFonts w:ascii="Palatino Linotype" w:eastAsia="Palatino Linotype" w:hAnsi="Palatino Linotype" w:cs="Palatino Linotype"/>
          <w:b/>
          <w:sz w:val="22"/>
          <w:szCs w:val="22"/>
        </w:rPr>
      </w:pP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b/>
          <w:sz w:val="22"/>
          <w:szCs w:val="22"/>
        </w:rPr>
        <w:t xml:space="preserve">a) Turno del Recurso de Revisión. </w:t>
      </w:r>
      <w:r w:rsidRPr="0019612B">
        <w:rPr>
          <w:rFonts w:ascii="Palatino Linotype" w:eastAsia="Palatino Linotype" w:hAnsi="Palatino Linotype" w:cs="Palatino Linotype"/>
          <w:sz w:val="22"/>
          <w:szCs w:val="22"/>
        </w:rPr>
        <w:t xml:space="preserve">El dieciséis de febrero de dos mil veinticinco, el Sistema de Acceso a la Información Mexiquense (SAIMEX), asignó el número de expediente </w:t>
      </w:r>
      <w:r w:rsidRPr="0019612B">
        <w:rPr>
          <w:rFonts w:ascii="Palatino Linotype" w:eastAsia="Palatino Linotype" w:hAnsi="Palatino Linotype" w:cs="Palatino Linotype"/>
          <w:b/>
          <w:sz w:val="22"/>
          <w:szCs w:val="22"/>
        </w:rPr>
        <w:t xml:space="preserve">01491/INFOEM/IP/RR/2025, </w:t>
      </w:r>
      <w:r w:rsidRPr="0019612B">
        <w:rPr>
          <w:rFonts w:ascii="Palatino Linotype" w:eastAsia="Palatino Linotype" w:hAnsi="Palatino Linotype" w:cs="Palatino Linotype"/>
          <w:sz w:val="22"/>
          <w:szCs w:val="22"/>
        </w:rPr>
        <w:t xml:space="preserve">al Recurso de Revisión y lo turnó al Comisionado Ponente </w:t>
      </w:r>
      <w:r w:rsidRPr="0019612B">
        <w:rPr>
          <w:rFonts w:ascii="Palatino Linotype" w:eastAsia="Palatino Linotype" w:hAnsi="Palatino Linotype" w:cs="Palatino Linotype"/>
          <w:b/>
          <w:sz w:val="22"/>
          <w:szCs w:val="22"/>
        </w:rPr>
        <w:t>Luis Gustavo Parra Noriega</w:t>
      </w:r>
      <w:r w:rsidRPr="0019612B">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b/>
          <w:sz w:val="22"/>
          <w:szCs w:val="22"/>
        </w:rPr>
        <w:t xml:space="preserve">b) Admisión del Recurso de Revisión. </w:t>
      </w:r>
      <w:r w:rsidRPr="0019612B">
        <w:rPr>
          <w:rFonts w:ascii="Palatino Linotype" w:eastAsia="Palatino Linotype" w:hAnsi="Palatino Linotype" w:cs="Palatino Linotype"/>
          <w:sz w:val="22"/>
          <w:szCs w:val="22"/>
        </w:rPr>
        <w:t xml:space="preserve">El veinte de febrero de dos mil veinticinco, se acordó la admisión del Recurso de Revisión interpuesto por el Recurrente en contra del Sujeto </w:t>
      </w:r>
      <w:r w:rsidRPr="0019612B">
        <w:rPr>
          <w:rFonts w:ascii="Palatino Linotype" w:eastAsia="Palatino Linotype" w:hAnsi="Palatino Linotype" w:cs="Palatino Linotype"/>
          <w:sz w:val="22"/>
          <w:szCs w:val="22"/>
        </w:rPr>
        <w:lastRenderedPageBreak/>
        <w:t>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b/>
          <w:color w:val="000000"/>
          <w:sz w:val="22"/>
          <w:szCs w:val="22"/>
        </w:rPr>
        <w:t>c) Informe Justificado.</w:t>
      </w:r>
      <w:r w:rsidRPr="0019612B">
        <w:rPr>
          <w:rFonts w:ascii="Palatino Linotype" w:eastAsia="Palatino Linotype" w:hAnsi="Palatino Linotype" w:cs="Palatino Linotype"/>
          <w:sz w:val="22"/>
          <w:szCs w:val="22"/>
        </w:rPr>
        <w:t xml:space="preserve"> El cinco de marzo de dos mil veinticinco, se recibió en este Instituto, a través del Sistema de Acceso a la Información Mexiquense (SAIMEX), el Informe Justificado, por parte del Sujeto Obligado, por medio del oficio sin número, del cuatro de marzo de la presente anualidad, suscrito por el Titular de la Unidad de Transparencia, dirigido al Comisionado Ponente, mediante el cual esencialmente ratifica su respuesta inicial.</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b/>
          <w:color w:val="000000"/>
          <w:sz w:val="22"/>
          <w:szCs w:val="22"/>
        </w:rPr>
      </w:pPr>
      <w:r w:rsidRPr="0019612B">
        <w:rPr>
          <w:rFonts w:ascii="Palatino Linotype" w:eastAsia="Palatino Linotype" w:hAnsi="Palatino Linotype" w:cs="Palatino Linotype"/>
          <w:b/>
          <w:sz w:val="22"/>
          <w:szCs w:val="22"/>
        </w:rPr>
        <w:t xml:space="preserve">d) Vista del informe justificado. </w:t>
      </w:r>
      <w:r w:rsidRPr="0019612B">
        <w:rPr>
          <w:rFonts w:ascii="Palatino Linotype" w:eastAsia="Palatino Linotype" w:hAnsi="Palatino Linotype" w:cs="Palatino Linotype"/>
          <w:sz w:val="22"/>
          <w:szCs w:val="22"/>
        </w:rPr>
        <w:t xml:space="preserve">El dieciocho de marzo de dos mil veinticinco, se dictó acuerdo mediante el cual se puso a la vista de la Particular el Informe Justificado entregado por el Sujeto Obligado, el cual fue notificado, a través del Sistema de Acceso a la Información Mexiquense (SAIMEX) el mismo día. </w:t>
      </w:r>
    </w:p>
    <w:p w:rsidR="001531BE" w:rsidRPr="0019612B" w:rsidRDefault="001531BE">
      <w:pPr>
        <w:spacing w:line="360" w:lineRule="auto"/>
        <w:jc w:val="both"/>
        <w:rPr>
          <w:rFonts w:ascii="Palatino Linotype" w:eastAsia="Palatino Linotype" w:hAnsi="Palatino Linotype" w:cs="Palatino Linotype"/>
          <w:b/>
          <w:sz w:val="22"/>
          <w:szCs w:val="22"/>
        </w:rPr>
      </w:pPr>
    </w:p>
    <w:p w:rsidR="001531BE" w:rsidRPr="0019612B" w:rsidRDefault="00C864E1">
      <w:pPr>
        <w:spacing w:line="360" w:lineRule="auto"/>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 xml:space="preserve">e) Alcance al </w:t>
      </w:r>
      <w:r w:rsidRPr="0019612B">
        <w:rPr>
          <w:rFonts w:ascii="Palatino Linotype" w:eastAsia="Palatino Linotype" w:hAnsi="Palatino Linotype" w:cs="Palatino Linotype"/>
          <w:b/>
          <w:color w:val="000000"/>
          <w:sz w:val="22"/>
          <w:szCs w:val="22"/>
        </w:rPr>
        <w:t>Informe Justificado.</w:t>
      </w:r>
      <w:r w:rsidRPr="0019612B">
        <w:rPr>
          <w:rFonts w:ascii="Palatino Linotype" w:eastAsia="Palatino Linotype" w:hAnsi="Palatino Linotype" w:cs="Palatino Linotype"/>
          <w:sz w:val="22"/>
          <w:szCs w:val="22"/>
        </w:rPr>
        <w:t xml:space="preserve"> El veinte de marzo de dos mil veinticinco, se recibió en este Instituto, a través del Sistema de Acceso a la Información Mexiquense (SAIMEX), el Informe Justificado, por parte del Sujeto Obligado, por medio del oficio sin número, del cuatro de marzo de la presente anualidad, suscrito por el Titular de la Unidad de Transparencia, dirigido al Comisionado Ponente, mediante el cual remitió una nueva liga en la que se localizaba la segunda parte de la Sesión de Instalación y Primera Sesión de cabildo, celebrada el primero de enero de dos mil veinticinco.</w:t>
      </w:r>
    </w:p>
    <w:p w:rsidR="001531BE" w:rsidRPr="0019612B" w:rsidRDefault="001531BE">
      <w:pPr>
        <w:spacing w:line="360" w:lineRule="auto"/>
        <w:jc w:val="both"/>
        <w:rPr>
          <w:rFonts w:ascii="Palatino Linotype" w:eastAsia="Palatino Linotype" w:hAnsi="Palatino Linotype" w:cs="Palatino Linotype"/>
          <w:b/>
          <w:sz w:val="22"/>
          <w:szCs w:val="22"/>
        </w:rPr>
      </w:pPr>
    </w:p>
    <w:p w:rsidR="001531BE" w:rsidRPr="0019612B" w:rsidRDefault="00C864E1">
      <w:pPr>
        <w:spacing w:line="360" w:lineRule="auto"/>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lastRenderedPageBreak/>
        <w:t xml:space="preserve">f) Vista del alcance al informe justificado. </w:t>
      </w:r>
      <w:r w:rsidRPr="0019612B">
        <w:rPr>
          <w:rFonts w:ascii="Palatino Linotype" w:eastAsia="Palatino Linotype" w:hAnsi="Palatino Linotype" w:cs="Palatino Linotype"/>
          <w:sz w:val="22"/>
          <w:szCs w:val="22"/>
        </w:rPr>
        <w:t>El veinte de marzo de dos mil veinticinco, se dictó acuerdo mediante el cual se puso a la vista de la Particular el Alcance al Informe Justificado entregado por el Sujeto Obligado, el cual fue notificado, a través del Sistema de Acceso a la Información Mexiquense (SAIMEX) el mismo día.</w:t>
      </w:r>
    </w:p>
    <w:p w:rsidR="001531BE" w:rsidRPr="0019612B" w:rsidRDefault="001531BE">
      <w:pPr>
        <w:spacing w:line="360" w:lineRule="auto"/>
        <w:jc w:val="both"/>
        <w:rPr>
          <w:rFonts w:ascii="Palatino Linotype" w:eastAsia="Palatino Linotype" w:hAnsi="Palatino Linotype" w:cs="Palatino Linotype"/>
          <w:b/>
          <w:sz w:val="22"/>
          <w:szCs w:val="22"/>
        </w:rPr>
      </w:pPr>
    </w:p>
    <w:p w:rsidR="001531BE" w:rsidRPr="0019612B" w:rsidRDefault="00C864E1">
      <w:pPr>
        <w:spacing w:line="360" w:lineRule="auto"/>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 xml:space="preserve">g) Cierre de instrucción. </w:t>
      </w:r>
      <w:r w:rsidRPr="0019612B">
        <w:rPr>
          <w:rFonts w:ascii="Palatino Linotype" w:eastAsia="Palatino Linotype" w:hAnsi="Palatino Linotype" w:cs="Palatino Linotype"/>
          <w:sz w:val="22"/>
          <w:szCs w:val="22"/>
        </w:rPr>
        <w:t>El veintiséis de marzo de dos mil veinticinco,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veintisiete de dicho mes y año, a través del Sistema de Acceso a la Información Mexiquense (SAIMEX).</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ind w:right="-28"/>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En razón de que fue debidamente sustanciado el expediente electrónico y no existe diligencia pendiente de desahogo, se emite la resolución que conforme a Derecho proceda, de acuerdo a los siguientes:</w:t>
      </w:r>
    </w:p>
    <w:p w:rsidR="001531BE" w:rsidRPr="0019612B" w:rsidRDefault="001531BE">
      <w:pPr>
        <w:spacing w:line="360" w:lineRule="auto"/>
        <w:ind w:right="-28"/>
        <w:jc w:val="center"/>
        <w:rPr>
          <w:rFonts w:ascii="Palatino Linotype" w:eastAsia="Palatino Linotype" w:hAnsi="Palatino Linotype" w:cs="Palatino Linotype"/>
          <w:b/>
          <w:sz w:val="22"/>
          <w:szCs w:val="22"/>
        </w:rPr>
      </w:pPr>
    </w:p>
    <w:p w:rsidR="001531BE" w:rsidRPr="0019612B" w:rsidRDefault="00C864E1">
      <w:pPr>
        <w:spacing w:line="360" w:lineRule="auto"/>
        <w:ind w:right="-28"/>
        <w:jc w:val="center"/>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C O N S I D E R A N D O S</w:t>
      </w:r>
    </w:p>
    <w:p w:rsidR="001531BE" w:rsidRPr="0019612B" w:rsidRDefault="001531BE">
      <w:pPr>
        <w:spacing w:line="360" w:lineRule="auto"/>
        <w:ind w:right="-28"/>
        <w:jc w:val="center"/>
        <w:rPr>
          <w:rFonts w:ascii="Palatino Linotype" w:eastAsia="Palatino Linotype" w:hAnsi="Palatino Linotype" w:cs="Palatino Linotype"/>
          <w:b/>
          <w:sz w:val="22"/>
          <w:szCs w:val="22"/>
        </w:rPr>
      </w:pPr>
    </w:p>
    <w:p w:rsidR="001531BE" w:rsidRPr="0019612B" w:rsidRDefault="00C864E1">
      <w:pPr>
        <w:spacing w:line="360" w:lineRule="auto"/>
        <w:ind w:right="-28"/>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color w:val="000000"/>
          <w:sz w:val="22"/>
          <w:szCs w:val="22"/>
        </w:rPr>
        <w:t>PRIMERO</w:t>
      </w:r>
      <w:r w:rsidRPr="0019612B">
        <w:rPr>
          <w:rFonts w:ascii="Palatino Linotype" w:eastAsia="Palatino Linotype" w:hAnsi="Palatino Linotype" w:cs="Palatino Linotype"/>
          <w:color w:val="000000"/>
          <w:sz w:val="22"/>
          <w:szCs w:val="22"/>
        </w:rPr>
        <w:t xml:space="preserve">. </w:t>
      </w:r>
      <w:r w:rsidRPr="0019612B">
        <w:rPr>
          <w:rFonts w:ascii="Palatino Linotype" w:eastAsia="Palatino Linotype" w:hAnsi="Palatino Linotype" w:cs="Palatino Linotype"/>
          <w:b/>
          <w:sz w:val="22"/>
          <w:szCs w:val="22"/>
        </w:rPr>
        <w:t>Competencia</w:t>
      </w:r>
    </w:p>
    <w:p w:rsidR="001531BE" w:rsidRPr="0019612B" w:rsidRDefault="001531BE">
      <w:pPr>
        <w:spacing w:line="360" w:lineRule="auto"/>
        <w:ind w:right="-28"/>
        <w:jc w:val="both"/>
        <w:rPr>
          <w:rFonts w:ascii="Palatino Linotype" w:eastAsia="Palatino Linotype" w:hAnsi="Palatino Linotype" w:cs="Palatino Linotype"/>
          <w:b/>
          <w:sz w:val="22"/>
          <w:szCs w:val="22"/>
        </w:rPr>
      </w:pPr>
    </w:p>
    <w:p w:rsidR="001531BE" w:rsidRPr="0019612B" w:rsidRDefault="00C864E1">
      <w:pPr>
        <w:spacing w:line="360" w:lineRule="auto"/>
        <w:ind w:right="-28"/>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séptimo, trigésimo octavo  y trigésimo noveno, fracciones I, II, III, IV y V, de la Constitución Política del Estado Libre y Soberano de México; 1°, 2°, fracciones II y IV; 13,  29, 36, fracciones I y II; 176, 178, 179, 181 párrafo tercero, 185, 188 y 189 </w:t>
      </w:r>
      <w:r w:rsidRPr="0019612B">
        <w:rPr>
          <w:rFonts w:ascii="Palatino Linotype" w:eastAsia="Palatino Linotype" w:hAnsi="Palatino Linotype" w:cs="Palatino Linotype"/>
          <w:color w:val="000000"/>
          <w:sz w:val="22"/>
          <w:szCs w:val="22"/>
        </w:rPr>
        <w:lastRenderedPageBreak/>
        <w:t>de la Ley Transparencia y Acceso a la Información Pública del Estado de México y Municipios;</w:t>
      </w:r>
      <w:r w:rsidRPr="0019612B">
        <w:rPr>
          <w:rFonts w:ascii="Palatino Linotype" w:eastAsia="Palatino Linotype" w:hAnsi="Palatino Linotype" w:cs="Palatino Linotype"/>
          <w:color w:val="000000"/>
        </w:rPr>
        <w:t xml:space="preserve"> 7°, </w:t>
      </w:r>
      <w:r w:rsidRPr="0019612B">
        <w:rPr>
          <w:rFonts w:ascii="Palatino Linotype" w:eastAsia="Palatino Linotype" w:hAnsi="Palatino Linotype" w:cs="Palatino Linotype"/>
          <w:color w:val="000000"/>
          <w:sz w:val="22"/>
          <w:szCs w:val="22"/>
        </w:rPr>
        <w:t>9°, fracciones I y XXIII y 11 del Reglamento Interior del Instituto de Transparencia, Acceso a la Información Pública y Protección de Datos Personales del Estado de México y Municipios.</w:t>
      </w:r>
    </w:p>
    <w:p w:rsidR="001531BE" w:rsidRPr="0019612B" w:rsidRDefault="001531BE">
      <w:pPr>
        <w:spacing w:line="360" w:lineRule="auto"/>
        <w:ind w:right="-28"/>
        <w:jc w:val="both"/>
        <w:rPr>
          <w:rFonts w:ascii="Palatino Linotype" w:eastAsia="Palatino Linotype" w:hAnsi="Palatino Linotype" w:cs="Palatino Linotype"/>
          <w:color w:val="000000"/>
          <w:sz w:val="22"/>
          <w:szCs w:val="22"/>
        </w:rPr>
      </w:pPr>
    </w:p>
    <w:p w:rsidR="001531BE" w:rsidRPr="0019612B" w:rsidRDefault="00C864E1">
      <w:pPr>
        <w:spacing w:line="360" w:lineRule="auto"/>
        <w:ind w:right="-28"/>
        <w:jc w:val="both"/>
        <w:rPr>
          <w:rFonts w:ascii="Palatino Linotype" w:eastAsia="Palatino Linotype" w:hAnsi="Palatino Linotype" w:cs="Palatino Linotype"/>
          <w:b/>
          <w:color w:val="000000"/>
          <w:sz w:val="22"/>
          <w:szCs w:val="22"/>
        </w:rPr>
      </w:pPr>
      <w:r w:rsidRPr="0019612B">
        <w:rPr>
          <w:rFonts w:ascii="Palatino Linotype" w:eastAsia="Palatino Linotype" w:hAnsi="Palatino Linotype" w:cs="Palatino Linotype"/>
          <w:b/>
          <w:color w:val="000000"/>
          <w:sz w:val="22"/>
          <w:szCs w:val="22"/>
        </w:rPr>
        <w:t>SEGUNDO. Causales de improcedencia</w:t>
      </w:r>
    </w:p>
    <w:p w:rsidR="001531BE" w:rsidRPr="0019612B" w:rsidRDefault="001531BE">
      <w:pPr>
        <w:spacing w:line="360" w:lineRule="auto"/>
        <w:jc w:val="both"/>
        <w:rPr>
          <w:rFonts w:ascii="Palatino Linotype" w:eastAsia="Palatino Linotype" w:hAnsi="Palatino Linotype" w:cs="Palatino Linotype"/>
          <w:b/>
          <w:color w:val="000000"/>
          <w:sz w:val="22"/>
          <w:szCs w:val="22"/>
        </w:rPr>
      </w:pPr>
    </w:p>
    <w:p w:rsidR="001531BE" w:rsidRPr="0019612B" w:rsidRDefault="00C864E1">
      <w:pPr>
        <w:spacing w:line="360" w:lineRule="auto"/>
        <w:ind w:right="-28"/>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1531BE" w:rsidRPr="0019612B" w:rsidRDefault="001531BE">
      <w:pPr>
        <w:spacing w:line="360" w:lineRule="auto"/>
        <w:ind w:right="-28"/>
        <w:jc w:val="both"/>
        <w:rPr>
          <w:rFonts w:ascii="Palatino Linotype" w:eastAsia="Palatino Linotype" w:hAnsi="Palatino Linotype" w:cs="Palatino Linotype"/>
          <w:color w:val="000000"/>
          <w:sz w:val="22"/>
          <w:szCs w:val="22"/>
        </w:rPr>
      </w:pPr>
    </w:p>
    <w:p w:rsidR="001531BE" w:rsidRPr="0019612B" w:rsidRDefault="00C864E1">
      <w:pP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sz w:val="22"/>
          <w:szCs w:val="22"/>
        </w:rPr>
        <w:t>En el presente caso, </w:t>
      </w:r>
      <w:r w:rsidRPr="0019612B">
        <w:rPr>
          <w:rFonts w:ascii="Palatino Linotype" w:eastAsia="Palatino Linotype" w:hAnsi="Palatino Linotype" w:cs="Palatino Linotype"/>
          <w:b/>
          <w:sz w:val="22"/>
          <w:szCs w:val="22"/>
        </w:rPr>
        <w:t>no se actualiza ninguna de las causales de improcedencia</w:t>
      </w:r>
      <w:r w:rsidRPr="0019612B">
        <w:rPr>
          <w:rFonts w:ascii="Palatino Linotype" w:eastAsia="Palatino Linotype" w:hAnsi="Palatino Linotype" w:cs="Palatino Linotype"/>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además de que </w:t>
      </w:r>
      <w:r w:rsidRPr="0019612B">
        <w:rPr>
          <w:rFonts w:ascii="Palatino Linotype" w:eastAsia="Palatino Linotype" w:hAnsi="Palatino Linotype" w:cs="Palatino Linotype"/>
          <w:color w:val="000000"/>
          <w:sz w:val="22"/>
          <w:szCs w:val="22"/>
        </w:rPr>
        <w:t>el medio de impugnación fue presentado en tiempo.</w:t>
      </w:r>
    </w:p>
    <w:p w:rsidR="001531BE" w:rsidRPr="0019612B" w:rsidRDefault="001531BE">
      <w:pPr>
        <w:spacing w:line="360" w:lineRule="auto"/>
        <w:jc w:val="both"/>
        <w:rPr>
          <w:rFonts w:ascii="Palatino Linotype" w:eastAsia="Palatino Linotype" w:hAnsi="Palatino Linotype" w:cs="Palatino Linotype"/>
          <w:color w:val="000000"/>
          <w:sz w:val="22"/>
          <w:szCs w:val="22"/>
        </w:rPr>
      </w:pPr>
    </w:p>
    <w:p w:rsidR="001531BE" w:rsidRPr="0019612B" w:rsidRDefault="00C864E1">
      <w:pPr>
        <w:widowControl w:val="0"/>
        <w:spacing w:line="360" w:lineRule="auto"/>
        <w:jc w:val="both"/>
        <w:rPr>
          <w:rFonts w:ascii="Palatino Linotype" w:eastAsia="Palatino Linotype" w:hAnsi="Palatino Linotype" w:cs="Palatino Linotype"/>
          <w:sz w:val="22"/>
          <w:szCs w:val="22"/>
        </w:rPr>
      </w:pPr>
      <w:bookmarkStart w:id="3" w:name="_heading=h.7c8qelvxg5pf" w:colFirst="0" w:colLast="0"/>
      <w:bookmarkEnd w:id="3"/>
      <w:r w:rsidRPr="0019612B">
        <w:rPr>
          <w:rFonts w:ascii="Palatino Linotype" w:eastAsia="Palatino Linotype" w:hAnsi="Palatino Linotype" w:cs="Palatino Linotype"/>
          <w:sz w:val="22"/>
          <w:szCs w:val="22"/>
        </w:rPr>
        <w:t xml:space="preserve">Asimismo, se actualiza la causal de procedencia del Recurso de Revisión señalada en el </w:t>
      </w:r>
      <w:r w:rsidRPr="0019612B">
        <w:rPr>
          <w:rFonts w:ascii="Palatino Linotype" w:eastAsia="Palatino Linotype" w:hAnsi="Palatino Linotype" w:cs="Palatino Linotype"/>
          <w:sz w:val="22"/>
          <w:szCs w:val="22"/>
        </w:rPr>
        <w:lastRenderedPageBreak/>
        <w:t xml:space="preserve">artículo 179, fracción V de la Ley en cita, </w:t>
      </w:r>
      <w:r w:rsidRPr="0019612B">
        <w:rPr>
          <w:rFonts w:ascii="Palatino Linotype" w:eastAsia="Palatino Linotype" w:hAnsi="Palatino Linotype" w:cs="Palatino Linotype"/>
          <w:color w:val="000000"/>
          <w:sz w:val="22"/>
          <w:szCs w:val="22"/>
        </w:rPr>
        <w:t xml:space="preserve">pues el Recurrente se inconformó con </w:t>
      </w:r>
      <w:r w:rsidRPr="0019612B">
        <w:rPr>
          <w:rFonts w:ascii="Palatino Linotype" w:eastAsia="Palatino Linotype" w:hAnsi="Palatino Linotype" w:cs="Palatino Linotype"/>
          <w:sz w:val="22"/>
          <w:szCs w:val="22"/>
        </w:rPr>
        <w:t>la entrega de información incompleta.</w:t>
      </w:r>
    </w:p>
    <w:p w:rsidR="001531BE" w:rsidRPr="0019612B" w:rsidRDefault="001531BE">
      <w:pPr>
        <w:spacing w:line="360" w:lineRule="auto"/>
        <w:jc w:val="both"/>
        <w:rPr>
          <w:rFonts w:ascii="Palatino Linotype" w:eastAsia="Palatino Linotype" w:hAnsi="Palatino Linotype" w:cs="Palatino Linotype"/>
          <w:b/>
          <w:color w:val="0D0D0D"/>
          <w:sz w:val="22"/>
          <w:szCs w:val="22"/>
        </w:rPr>
      </w:pPr>
    </w:p>
    <w:p w:rsidR="001531BE" w:rsidRPr="0019612B" w:rsidRDefault="00C864E1">
      <w:pPr>
        <w:spacing w:line="360" w:lineRule="auto"/>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TERCERO. Causales de sobreseimiento</w:t>
      </w:r>
    </w:p>
    <w:p w:rsidR="001531BE" w:rsidRPr="0019612B" w:rsidRDefault="001531BE">
      <w:pPr>
        <w:spacing w:line="360" w:lineRule="auto"/>
        <w:jc w:val="both"/>
        <w:rPr>
          <w:rFonts w:ascii="Palatino Linotype" w:eastAsia="Palatino Linotype" w:hAnsi="Palatino Linotype" w:cs="Palatino Linotype"/>
          <w:color w:val="0D0D0D"/>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Por ser de previo y especial pronunciamiento, este Instituto analiza si se actualiza alguna causal de sobreseimiento.</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color w:val="FF0000"/>
          <w:sz w:val="22"/>
          <w:szCs w:val="22"/>
        </w:rPr>
      </w:pPr>
      <w:r w:rsidRPr="0019612B">
        <w:rPr>
          <w:rFonts w:ascii="Palatino Linotype" w:eastAsia="Palatino Linotype" w:hAnsi="Palatino Linotype" w:cs="Palatino Linotype"/>
          <w:color w:val="000000"/>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w:t>
      </w:r>
      <w:r w:rsidRPr="0019612B">
        <w:rPr>
          <w:rFonts w:ascii="Palatino Linotype" w:eastAsia="Palatino Linotype" w:hAnsi="Palatino Linotype" w:cs="Palatino Linotype"/>
          <w:b/>
          <w:color w:val="000000"/>
          <w:sz w:val="22"/>
          <w:szCs w:val="22"/>
        </w:rPr>
        <w:t>I, II, IV y V</w:t>
      </w:r>
      <w:r w:rsidRPr="0019612B">
        <w:rPr>
          <w:rFonts w:ascii="Palatino Linotype" w:eastAsia="Palatino Linotype" w:hAnsi="Palatino Linotype" w:cs="Palatino Linotype"/>
          <w:color w:val="000000"/>
          <w:sz w:val="22"/>
          <w:szCs w:val="22"/>
        </w:rPr>
        <w:t>, toda vez que no hay constancias en el expediente en que se actúa, de que el recurrente se haya desistido del recurso, haya fallecido, actualice alguna causal de improcedencia o bien, haya quedado sin materia.</w:t>
      </w:r>
    </w:p>
    <w:p w:rsidR="001531BE" w:rsidRPr="0019612B" w:rsidRDefault="001531BE">
      <w:pPr>
        <w:spacing w:line="360" w:lineRule="auto"/>
        <w:jc w:val="both"/>
        <w:rPr>
          <w:rFonts w:ascii="Palatino Linotype" w:eastAsia="Palatino Linotype" w:hAnsi="Palatino Linotype" w:cs="Palatino Linotype"/>
          <w:color w:val="FF0000"/>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color w:val="000000"/>
          <w:sz w:val="22"/>
          <w:szCs w:val="22"/>
        </w:rPr>
        <w:t xml:space="preserve">Ahora bien, toda vez que, durante la sustanciación del Recurso de Revisión, el Ayuntamiento de Toluca, modificó su respuesta a través del Alcance al Informe Justificado, se estima procedente entrar al estudio de la causal de sobreseimiento prevista en la fracción III del precepto legal previamente señalado; para lo cual, es necesario precisar que el Particular requirió </w:t>
      </w:r>
      <w:r w:rsidRPr="0019612B">
        <w:rPr>
          <w:rFonts w:ascii="Palatino Linotype" w:eastAsia="Palatino Linotype" w:hAnsi="Palatino Linotype" w:cs="Palatino Linotype"/>
          <w:sz w:val="22"/>
          <w:szCs w:val="22"/>
        </w:rPr>
        <w:t>respecto de la Primera Sesión de Cabildo de la administración 2025-2027, lo siguiente:</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La versión estenográfica;</w:t>
      </w:r>
    </w:p>
    <w:p w:rsidR="001531BE" w:rsidRPr="0019612B" w:rsidRDefault="00C864E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 xml:space="preserve">El Acta emitida; </w:t>
      </w:r>
    </w:p>
    <w:p w:rsidR="001531BE" w:rsidRPr="0019612B" w:rsidRDefault="00C864E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Los citatorios a los integrantes para acudir, y</w:t>
      </w:r>
    </w:p>
    <w:p w:rsidR="001531BE" w:rsidRPr="0019612B" w:rsidRDefault="00C864E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Fotografías.</w:t>
      </w:r>
    </w:p>
    <w:p w:rsidR="001531BE" w:rsidRPr="0019612B" w:rsidRDefault="001531BE">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lastRenderedPageBreak/>
        <w:t>En respuesta, el Sujeto Obligado a través de la Secretaría del Ayuntamiento, proporcionó de la Sesión de Instalación y la Primera Sesión Ordinaria del Cabildo, de la administración 2025-2027, el Acta, el vínculo electrónico de la videograbación, las fotografías y los oficios de citación emitidos por el actual Presidente Municipal y dirigidos a los Síndicos y Regidores, para celebrar dicha Sesión; ante dicha circunstancia, el Particular se agravió con la entrega de información incompleta, lo cual actualiza la causal de procedencia previstas en la fracción V del artículo 179 de la Ley de Transparencia y Acceso a la Información Pública del Estado de México y Municipios. Así las cosas, una vez admitido y notificado el recurso de revisión a las partes, el Sujeto Obligado proporcionó otro enlace en formato abierto.</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la respuesta proporcionada, el escrito recursal, el informe justificado y el Alcance; instrumentales que se toman en cuenta a efecto de resolver el presente medio de impugnación, conforme a lo dispuesto por el artículo 185, fracción IV, de la Ley de Transparencia y Acceso a la Información Pública del Estado de México y Municipios. </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widowControl w:val="0"/>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Expuestas las posturas de las partes, se procede a realizar el análisis del agravio hecho valer por el ahora Recurrente, concerniente a la entrega de información incompleta, por lo que en principio resulta necesario contextualizar la solicitud de información.</w:t>
      </w:r>
    </w:p>
    <w:p w:rsidR="001531BE" w:rsidRPr="0019612B" w:rsidRDefault="001531BE">
      <w:pPr>
        <w:widowControl w:val="0"/>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Sobre el tema, los artículos 116 y 117 de la Constitución Política del Estado Libre y Soberano de México, establecen que los Ayuntamientos serán la asamblea deliberante, conformada por un jefe de asamblea, que será el Presidente Municipal y los Síndicos y Regidores necesarios. </w:t>
      </w: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 </w:t>
      </w: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lastRenderedPageBreak/>
        <w:t xml:space="preserve">En ese sentido, la Ley Orgánica Municipal del Estado de México y Municipios, en sus artículos 28 y 30, establecen lo siguiente: </w:t>
      </w: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 </w:t>
      </w:r>
    </w:p>
    <w:p w:rsidR="001531BE" w:rsidRPr="0019612B" w:rsidRDefault="00C864E1">
      <w:pPr>
        <w:numPr>
          <w:ilvl w:val="0"/>
          <w:numId w:val="5"/>
        </w:num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El Cabildo sesionará cuando menos, una vez cada ocho días o cuantas veces sea necesario en asuntos de urgente resolución;  </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numPr>
          <w:ilvl w:val="0"/>
          <w:numId w:val="5"/>
        </w:num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Las sesiones del Cabildo, serán públicas y </w:t>
      </w:r>
      <w:r w:rsidRPr="0019612B">
        <w:rPr>
          <w:rFonts w:ascii="Palatino Linotype" w:eastAsia="Palatino Linotype" w:hAnsi="Palatino Linotype" w:cs="Palatino Linotype"/>
          <w:b/>
          <w:sz w:val="22"/>
          <w:szCs w:val="22"/>
        </w:rPr>
        <w:t>deberán trasmitirse a través de la página de internet del municipio.</w:t>
      </w:r>
      <w:r w:rsidRPr="0019612B">
        <w:rPr>
          <w:rFonts w:ascii="Palatino Linotype" w:eastAsia="Palatino Linotype" w:hAnsi="Palatino Linotype" w:cs="Palatino Linotype"/>
          <w:sz w:val="22"/>
          <w:szCs w:val="22"/>
        </w:rPr>
        <w:t xml:space="preserve"> </w:t>
      </w: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 </w:t>
      </w:r>
    </w:p>
    <w:p w:rsidR="001531BE" w:rsidRPr="0019612B" w:rsidRDefault="00C864E1">
      <w:pPr>
        <w:numPr>
          <w:ilvl w:val="0"/>
          <w:numId w:val="5"/>
        </w:num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Todos los acuerdos de las sesiones y el resultado de la votación, serán difundidos, cada mes en la Gaceta Municipal y en los estrados de la Secretaría del Ayuntamiento, y </w:t>
      </w: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 </w:t>
      </w:r>
    </w:p>
    <w:p w:rsidR="001531BE" w:rsidRPr="0019612B" w:rsidRDefault="00C864E1">
      <w:pPr>
        <w:numPr>
          <w:ilvl w:val="0"/>
          <w:numId w:val="5"/>
        </w:num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b/>
          <w:sz w:val="22"/>
          <w:szCs w:val="22"/>
        </w:rPr>
        <w:t xml:space="preserve">Para cada sesión se deberá contar con una versión estenográfica o </w:t>
      </w:r>
      <w:proofErr w:type="spellStart"/>
      <w:r w:rsidRPr="0019612B">
        <w:rPr>
          <w:rFonts w:ascii="Palatino Linotype" w:eastAsia="Palatino Linotype" w:hAnsi="Palatino Linotype" w:cs="Palatino Linotype"/>
          <w:b/>
          <w:sz w:val="22"/>
          <w:szCs w:val="22"/>
        </w:rPr>
        <w:t>videograbada</w:t>
      </w:r>
      <w:proofErr w:type="spellEnd"/>
      <w:r w:rsidRPr="0019612B">
        <w:rPr>
          <w:rFonts w:ascii="Palatino Linotype" w:eastAsia="Palatino Linotype" w:hAnsi="Palatino Linotype" w:cs="Palatino Linotype"/>
          <w:b/>
          <w:sz w:val="22"/>
          <w:szCs w:val="22"/>
        </w:rPr>
        <w:t xml:space="preserve"> que permita hacer las aclaraciones pertinentes</w:t>
      </w:r>
      <w:r w:rsidRPr="0019612B">
        <w:rPr>
          <w:rFonts w:ascii="Palatino Linotype" w:eastAsia="Palatino Linotype" w:hAnsi="Palatino Linotype" w:cs="Palatino Linotype"/>
          <w:sz w:val="22"/>
          <w:szCs w:val="22"/>
        </w:rPr>
        <w:t>, la cual formara parte del acta correspondiente, las cuales deberán estar disponibles en internet o en las oficinas de la Secretaría del Ayuntamiento.</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En este orden de ideas resulta necesario traer a colación los artículos 89 y 90 del Bando Municipal de Toluca, dos mil veinticinco, en los cuales se establece que, el gobierno del municipio se ejercerá por un órgano colegiado denominado Ayuntamiento, el cual deberá resolver colegiadamente los asuntos de su competencia, para lo cual se constituirá en asamblea deliberante denominada sesión de cabildo, mismo que sesionará cuando menos una vez cada ocho días, de conformidad con la normatividad aplicable. </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lastRenderedPageBreak/>
        <w:t xml:space="preserve">Además, el artículo 94, </w:t>
      </w:r>
      <w:proofErr w:type="spellStart"/>
      <w:r w:rsidRPr="0019612B">
        <w:rPr>
          <w:rFonts w:ascii="Palatino Linotype" w:eastAsia="Palatino Linotype" w:hAnsi="Palatino Linotype" w:cs="Palatino Linotype"/>
          <w:sz w:val="22"/>
          <w:szCs w:val="22"/>
        </w:rPr>
        <w:t>del</w:t>
      </w:r>
      <w:proofErr w:type="spellEnd"/>
      <w:r w:rsidRPr="0019612B">
        <w:rPr>
          <w:rFonts w:ascii="Palatino Linotype" w:eastAsia="Palatino Linotype" w:hAnsi="Palatino Linotype" w:cs="Palatino Linotype"/>
          <w:sz w:val="22"/>
          <w:szCs w:val="22"/>
        </w:rPr>
        <w:t xml:space="preserve"> la Ley de Transparencia detalla la información que corresponde a las Obligaciones Específicas de Transparencia de los Municipios, de las que destaca la contenida en la fracción II, inciso b), concerniente a las Actas de Sesiones de Cabildo.</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Conforme a lo anterior, se logra vislumbrar que la pretensión del ahora Recurrente es obtener, respecto a la Primera Sesión de Cabildo de la Administración Pública Municipal de Toluca 2025-2027, lo siguiente:</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 xml:space="preserve">La versión estenográfica; </w:t>
      </w:r>
    </w:p>
    <w:p w:rsidR="001531BE" w:rsidRPr="0019612B" w:rsidRDefault="00C864E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 xml:space="preserve">El acta generada; </w:t>
      </w:r>
    </w:p>
    <w:p w:rsidR="001531BE" w:rsidRPr="0019612B" w:rsidRDefault="00C864E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Los citatorios emitidos a los integrantes del Cabildo,</w:t>
      </w:r>
    </w:p>
    <w:p w:rsidR="001531BE" w:rsidRPr="0019612B" w:rsidRDefault="00C864E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Las fotografías generadas.</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Establecida dicha circunstancia, se procede analizar la respuesta entregada, para lo cual, es de señalar que de las constancias que de las constancias que obran en el expediente, se logra vislumbrar que el Sujeto Obligado turno la solicitud de información a la Secretaría del Ayuntamiento;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lastRenderedPageBreak/>
        <w:t>Así, es necesario traer al estudio el artículo 90, fracción I, numeral, 6 del Bando Municipal de Toluca, dos mil veinticinco, en relación con los artículos 3.1, 3.2, y 3.11 del Código Reglamentario Municipal, en el que se establece que el Sujeto Obligado para el ejercicio de sus funciones contará con diversas unidades administrativas, entre otras, la Secretaría del Ayuntamiento, a quien le corresponderá el despacho de diversos asuntos, entre otros, los siguientes:</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Preparar y coordinar las sesiones de cabildo, teniendo bajo su resguardo los libros de actas y sus apéndices;</w:t>
      </w:r>
    </w:p>
    <w:p w:rsidR="001531BE" w:rsidRPr="0019612B" w:rsidRDefault="00C864E1">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Entregar con oportunidad a los miembros del H. Ayuntamiento los dictámenes de las comisiones edilicias, los proyectos de actas y demás documentación necesaria para las sesiones;</w:t>
      </w:r>
    </w:p>
    <w:p w:rsidR="001531BE" w:rsidRPr="0019612B" w:rsidRDefault="00C864E1">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Asistir puntualmente a las sesiones que celebre el H. Ayuntamiento, para apoyar al presidente municipal en la celebración de las mismas;</w:t>
      </w:r>
    </w:p>
    <w:p w:rsidR="001531BE" w:rsidRPr="0019612B" w:rsidRDefault="00C864E1">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Pasar lista de asistencia a los integrantes del H. Ayuntamiento, en las sesiones de cabildo;</w:t>
      </w:r>
    </w:p>
    <w:p w:rsidR="001531BE" w:rsidRPr="0019612B" w:rsidRDefault="00C864E1">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Publicar las disposiciones que determine el H. Ayuntamiento y el presidente municipal, en la Gaceta Municipal;</w:t>
      </w:r>
    </w:p>
    <w:p w:rsidR="001531BE" w:rsidRPr="0019612B" w:rsidRDefault="00C864E1">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Hacer cumplir las disposiciones en materia de transparencia, acceso a la información pública y protección de datos personales, de conformidad a la normatividad aplicable; y</w:t>
      </w:r>
    </w:p>
    <w:p w:rsidR="001531BE" w:rsidRPr="0019612B" w:rsidRDefault="00C864E1">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Impulsar acciones tendientes a la innovación y el desarrollo institucional en los procesos de la administración pública municipal.</w:t>
      </w: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 </w:t>
      </w: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Así, se advierte que el Sujeto Obligado cumplió con el procedimiento de búsqueda, pues turno la solicitud de información a la Secretaría del Ayuntamiento, que ve las cuestiones </w:t>
      </w:r>
      <w:r w:rsidRPr="0019612B">
        <w:rPr>
          <w:rFonts w:ascii="Palatino Linotype" w:eastAsia="Palatino Linotype" w:hAnsi="Palatino Linotype" w:cs="Palatino Linotype"/>
          <w:sz w:val="22"/>
          <w:szCs w:val="22"/>
        </w:rPr>
        <w:lastRenderedPageBreak/>
        <w:t>relacionadas con el registro, control, archivo y publicación de las sesiones de cabildo del Ayuntamiento de Toluca.</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Ahora bien, a efecto de determinar si el Sujeto Obligado proporcionó la información requerida por el Particular, resulta necesario analizar la información entregada en respuesta, situación que se realiza conforme a lo siguiente:</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Acta de la primera sesión de cabildo.</w:t>
      </w:r>
    </w:p>
    <w:p w:rsidR="001531BE" w:rsidRPr="0019612B" w:rsidRDefault="001531BE">
      <w:pPr>
        <w:spacing w:line="360" w:lineRule="auto"/>
        <w:jc w:val="both"/>
        <w:rPr>
          <w:rFonts w:ascii="Palatino Linotype" w:eastAsia="Palatino Linotype" w:hAnsi="Palatino Linotype" w:cs="Palatino Linotype"/>
          <w:b/>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Al respecto, el área competente proporcionó el Acta de Instalación y Primera Sesión Ordinaria de Cabildo, celebrada el primero de enero de dos mil veinticinco, situación que se puede apreciar conforme al siguiente extracto:</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center"/>
      </w:pPr>
      <w:r w:rsidRPr="0019612B">
        <w:rPr>
          <w:rFonts w:ascii="Palatino Linotype" w:eastAsia="Palatino Linotype" w:hAnsi="Palatino Linotype" w:cs="Palatino Linotype"/>
          <w:noProof/>
          <w:sz w:val="22"/>
          <w:szCs w:val="22"/>
          <w:lang w:eastAsia="es-MX"/>
        </w:rPr>
        <w:drawing>
          <wp:inline distT="0" distB="0" distL="0" distR="0">
            <wp:extent cx="5954535" cy="2414349"/>
            <wp:effectExtent l="0" t="0" r="0" b="0"/>
            <wp:docPr id="20838255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54535" cy="2414349"/>
                    </a:xfrm>
                    <a:prstGeom prst="rect">
                      <a:avLst/>
                    </a:prstGeom>
                    <a:ln/>
                  </pic:spPr>
                </pic:pic>
              </a:graphicData>
            </a:graphic>
          </wp:inline>
        </w:drawing>
      </w:r>
    </w:p>
    <w:p w:rsidR="001531BE" w:rsidRPr="0019612B" w:rsidRDefault="001531BE">
      <w:pPr>
        <w:spacing w:line="360" w:lineRule="auto"/>
        <w:jc w:val="center"/>
      </w:pPr>
    </w:p>
    <w:p w:rsidR="001531BE" w:rsidRPr="0019612B" w:rsidRDefault="00C864E1">
      <w:pPr>
        <w:tabs>
          <w:tab w:val="left" w:pos="4914"/>
        </w:tabs>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Así, de la revisión del documento proporcionado, se advierte que </w:t>
      </w:r>
      <w:proofErr w:type="spellStart"/>
      <w:r w:rsidRPr="0019612B">
        <w:rPr>
          <w:rFonts w:ascii="Palatino Linotype" w:eastAsia="Palatino Linotype" w:hAnsi="Palatino Linotype" w:cs="Palatino Linotype"/>
          <w:sz w:val="22"/>
          <w:szCs w:val="22"/>
        </w:rPr>
        <w:t>esta</w:t>
      </w:r>
      <w:proofErr w:type="spellEnd"/>
      <w:r w:rsidRPr="0019612B">
        <w:rPr>
          <w:rFonts w:ascii="Palatino Linotype" w:eastAsia="Palatino Linotype" w:hAnsi="Palatino Linotype" w:cs="Palatino Linotype"/>
          <w:sz w:val="22"/>
          <w:szCs w:val="22"/>
        </w:rPr>
        <w:t xml:space="preserve"> completo al contener todos los puntos tocados en la Primera Sesión de Cabildo de la Administración Municipal 2025-2027; dicha determinación toma sustento, en el artículo 12 de la Ley de Transparencia y Acceso a la Información Pública del Estado de México y Municipios, los sujetos obligados sólo </w:t>
      </w:r>
      <w:r w:rsidRPr="0019612B">
        <w:rPr>
          <w:rFonts w:ascii="Palatino Linotype" w:eastAsia="Palatino Linotype" w:hAnsi="Palatino Linotype" w:cs="Palatino Linotype"/>
          <w:sz w:val="22"/>
          <w:szCs w:val="22"/>
        </w:rPr>
        <w:lastRenderedPageBreak/>
        <w:t>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el Acta de Instalación y Primera Sesión Ordinaria del Cabildo, del primero de enero de dos mil veinticinco, con lo cual se da por atendido el requerimiento de información.</w:t>
      </w:r>
    </w:p>
    <w:p w:rsidR="001531BE" w:rsidRPr="0019612B" w:rsidRDefault="00C864E1">
      <w:pPr>
        <w:spacing w:line="360" w:lineRule="auto"/>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sz w:val="22"/>
          <w:szCs w:val="22"/>
        </w:rPr>
        <w:t xml:space="preserve"> </w:t>
      </w:r>
    </w:p>
    <w:p w:rsidR="001531BE" w:rsidRPr="0019612B" w:rsidRDefault="00C864E1">
      <w:pPr>
        <w:spacing w:line="360" w:lineRule="auto"/>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Citatorios a los integrantes para acudir a la sesión.</w:t>
      </w:r>
    </w:p>
    <w:p w:rsidR="001531BE" w:rsidRPr="0019612B" w:rsidRDefault="001531BE">
      <w:pPr>
        <w:spacing w:line="360" w:lineRule="auto"/>
        <w:jc w:val="both"/>
        <w:rPr>
          <w:rFonts w:ascii="Palatino Linotype" w:eastAsia="Palatino Linotype" w:hAnsi="Palatino Linotype" w:cs="Palatino Linotype"/>
          <w:b/>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Al respecto, el Sujeto Obligado, a través del área competente proporcionó catorce oficios del treinta de diciembre de dos mil veinticuatro, por medio de los cuales el actual Presidente Municipal de Toluca (Ricardo Moreno Bastida), citó a quienes integrarían el nuevo Cabildo, para acudir a la Sesión de Instalación del Ayuntamiento de Toluca para la administración 2025-2027, la cual se llevaría a cabo el primero de enero de dos mil veinticinco, los cuales se pueden advertir conforme a los siguientes extractos:</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center"/>
        <w:rPr>
          <w:rFonts w:ascii="Palatino Linotype" w:eastAsia="Palatino Linotype" w:hAnsi="Palatino Linotype" w:cs="Palatino Linotype"/>
          <w:sz w:val="22"/>
          <w:szCs w:val="22"/>
        </w:rPr>
      </w:pPr>
      <w:r w:rsidRPr="0019612B">
        <w:rPr>
          <w:rFonts w:ascii="Palatino Linotype" w:eastAsia="Palatino Linotype" w:hAnsi="Palatino Linotype" w:cs="Palatino Linotype"/>
          <w:noProof/>
          <w:sz w:val="22"/>
          <w:szCs w:val="22"/>
          <w:lang w:eastAsia="es-MX"/>
        </w:rPr>
        <w:drawing>
          <wp:inline distT="0" distB="0" distL="0" distR="0">
            <wp:extent cx="4791710" cy="2139950"/>
            <wp:effectExtent l="0" t="0" r="0" b="0"/>
            <wp:docPr id="20838255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91710" cy="2139950"/>
                    </a:xfrm>
                    <a:prstGeom prst="rect">
                      <a:avLst/>
                    </a:prstGeom>
                    <a:ln/>
                  </pic:spPr>
                </pic:pic>
              </a:graphicData>
            </a:graphic>
          </wp:inline>
        </w:drawing>
      </w:r>
    </w:p>
    <w:p w:rsidR="001531BE" w:rsidRPr="0019612B" w:rsidRDefault="001531BE">
      <w:pPr>
        <w:spacing w:line="360" w:lineRule="auto"/>
        <w:jc w:val="center"/>
        <w:rPr>
          <w:rFonts w:ascii="Palatino Linotype" w:eastAsia="Palatino Linotype" w:hAnsi="Palatino Linotype" w:cs="Palatino Linotype"/>
          <w:sz w:val="22"/>
          <w:szCs w:val="22"/>
        </w:rPr>
      </w:pPr>
    </w:p>
    <w:p w:rsidR="001531BE" w:rsidRPr="0019612B" w:rsidRDefault="00C864E1">
      <w:pPr>
        <w:spacing w:line="360" w:lineRule="auto"/>
        <w:jc w:val="center"/>
        <w:rPr>
          <w:rFonts w:ascii="Palatino Linotype" w:eastAsia="Palatino Linotype" w:hAnsi="Palatino Linotype" w:cs="Palatino Linotype"/>
          <w:sz w:val="22"/>
          <w:szCs w:val="22"/>
        </w:rPr>
      </w:pPr>
      <w:r w:rsidRPr="0019612B">
        <w:rPr>
          <w:rFonts w:ascii="Palatino Linotype" w:eastAsia="Palatino Linotype" w:hAnsi="Palatino Linotype" w:cs="Palatino Linotype"/>
          <w:noProof/>
          <w:sz w:val="22"/>
          <w:szCs w:val="22"/>
          <w:lang w:eastAsia="es-MX"/>
        </w:rPr>
        <w:drawing>
          <wp:inline distT="0" distB="0" distL="0" distR="0">
            <wp:extent cx="4779645" cy="2268220"/>
            <wp:effectExtent l="0" t="0" r="0" b="0"/>
            <wp:docPr id="20838255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79645" cy="2268220"/>
                    </a:xfrm>
                    <a:prstGeom prst="rect">
                      <a:avLst/>
                    </a:prstGeom>
                    <a:ln/>
                  </pic:spPr>
                </pic:pic>
              </a:graphicData>
            </a:graphic>
          </wp:inline>
        </w:drawing>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Así de la revisión de los documentos proporcionados se logró colegir que realizó la entrega de los citatorios dirigidos a los Síndicos y Regidores de la administración 2025-2027, a saber los siguientes:</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roofErr w:type="spellStart"/>
      <w:r w:rsidRPr="0019612B">
        <w:rPr>
          <w:rFonts w:ascii="Palatino Linotype" w:eastAsia="Palatino Linotype" w:hAnsi="Palatino Linotype" w:cs="Palatino Linotype"/>
          <w:color w:val="000000"/>
          <w:sz w:val="22"/>
          <w:szCs w:val="22"/>
        </w:rPr>
        <w:t>Yazmín</w:t>
      </w:r>
      <w:proofErr w:type="spellEnd"/>
      <w:r w:rsidRPr="0019612B">
        <w:rPr>
          <w:rFonts w:ascii="Palatino Linotype" w:eastAsia="Palatino Linotype" w:hAnsi="Palatino Linotype" w:cs="Palatino Linotype"/>
          <w:color w:val="000000"/>
          <w:sz w:val="22"/>
          <w:szCs w:val="22"/>
        </w:rPr>
        <w:t xml:space="preserve"> Nájera Romero (Primera Síndico);</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Jaime Amado López Gómez (Segundo Síndico);</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Mario Magno Díaz (Primer Regidor);</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lastRenderedPageBreak/>
        <w:t>Ana Victoria Pliego Tapia (Segunda Regidora);</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Edgardo Rebollar Pérez (Tercer Regidor);</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Belem Garay Garduño (Cuarta Regidora);</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Víctor Armando Díaz Rodríguez (Quinto Regidor);</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Edna Viridiana Flores Santa Olalla (Sexta Regidora);</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 xml:space="preserve">Clara Patricia Medel Díaz (Séptima Regidora); </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roofErr w:type="spellStart"/>
      <w:r w:rsidRPr="0019612B">
        <w:rPr>
          <w:rFonts w:ascii="Palatino Linotype" w:eastAsia="Palatino Linotype" w:hAnsi="Palatino Linotype" w:cs="Palatino Linotype"/>
          <w:color w:val="000000"/>
          <w:sz w:val="22"/>
          <w:szCs w:val="22"/>
        </w:rPr>
        <w:t>Shantall</w:t>
      </w:r>
      <w:proofErr w:type="spellEnd"/>
      <w:r w:rsidRPr="0019612B">
        <w:rPr>
          <w:rFonts w:ascii="Palatino Linotype" w:eastAsia="Palatino Linotype" w:hAnsi="Palatino Linotype" w:cs="Palatino Linotype"/>
          <w:color w:val="000000"/>
          <w:sz w:val="22"/>
          <w:szCs w:val="22"/>
        </w:rPr>
        <w:t xml:space="preserve"> Zepeda Escobar (Octava Regidora);</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José Ramón Santana López (Noveno Regidor);</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Irma Carolina Álvarez Mendoza (Décima Regidora);</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Luis Felipe García Chávez (Décimo Primer Regidor); y</w:t>
      </w:r>
    </w:p>
    <w:p w:rsidR="001531BE" w:rsidRPr="0019612B" w:rsidRDefault="00C864E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Cristina Sierra Castillo (Décima Segunda Regidora).</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Conforme a lo anterior, se logró colegir que la Secretaría del Ayuntamiento proporcionó los citatorios dirigidos a los integrantes del Cabildo para la Administración Municipal 2025-2027 para la celebración de la Primera Sesión de Cabildo, que corresponden a los participantes en el Acta analizada previamente, por lo que se considera que desde respuesta la Secretaría del Ayuntamiento proporcionó los documentos que daban cuenta de lo peticionado, con lo cual dio cumplimiento a los artículos 12 y 160 de la Ley de la materia y se tiene por atendido el requerimiento de información.</w:t>
      </w:r>
    </w:p>
    <w:p w:rsidR="001531BE" w:rsidRPr="0019612B" w:rsidRDefault="001531B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1531BE" w:rsidRPr="0019612B" w:rsidRDefault="00C864E1">
      <w:pPr>
        <w:spacing w:line="360" w:lineRule="auto"/>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Fotografías</w:t>
      </w:r>
    </w:p>
    <w:p w:rsidR="001531BE" w:rsidRPr="0019612B" w:rsidRDefault="001531BE">
      <w:pPr>
        <w:spacing w:line="360" w:lineRule="auto"/>
        <w:jc w:val="both"/>
        <w:rPr>
          <w:rFonts w:ascii="Palatino Linotype" w:eastAsia="Palatino Linotype" w:hAnsi="Palatino Linotype" w:cs="Palatino Linotype"/>
          <w:b/>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En respuesta, la Secretaría del Ayuntamiento proporcionó dos imágenes de la celebración de instalación del Cabildo llevada a cabo el primero de enero de dos mil veinticinco; además que dio acceso a la videograbación (conjunto de imágenes de la sesión), como se puede advertir conforme a lo siguiente:</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center"/>
      </w:pPr>
      <w:r w:rsidRPr="0019612B">
        <w:rPr>
          <w:rFonts w:ascii="Palatino Linotype" w:eastAsia="Palatino Linotype" w:hAnsi="Palatino Linotype" w:cs="Palatino Linotype"/>
          <w:noProof/>
          <w:sz w:val="22"/>
          <w:szCs w:val="22"/>
          <w:lang w:eastAsia="es-MX"/>
        </w:rPr>
        <w:drawing>
          <wp:inline distT="0" distB="0" distL="0" distR="0">
            <wp:extent cx="4520163" cy="2237359"/>
            <wp:effectExtent l="0" t="0" r="0" b="0"/>
            <wp:docPr id="20838255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520163" cy="2237359"/>
                    </a:xfrm>
                    <a:prstGeom prst="rect">
                      <a:avLst/>
                    </a:prstGeom>
                    <a:ln/>
                  </pic:spPr>
                </pic:pic>
              </a:graphicData>
            </a:graphic>
          </wp:inline>
        </w:drawing>
      </w:r>
    </w:p>
    <w:p w:rsidR="001531BE" w:rsidRPr="0019612B" w:rsidRDefault="00C864E1">
      <w:pPr>
        <w:spacing w:line="360" w:lineRule="auto"/>
        <w:jc w:val="center"/>
        <w:rPr>
          <w:rFonts w:ascii="Palatino Linotype" w:eastAsia="Palatino Linotype" w:hAnsi="Palatino Linotype" w:cs="Palatino Linotype"/>
          <w:sz w:val="22"/>
          <w:szCs w:val="22"/>
        </w:rPr>
      </w:pPr>
      <w:r w:rsidRPr="0019612B">
        <w:rPr>
          <w:noProof/>
          <w:lang w:eastAsia="es-MX"/>
        </w:rPr>
        <w:drawing>
          <wp:inline distT="0" distB="0" distL="0" distR="0">
            <wp:extent cx="4478901" cy="2987749"/>
            <wp:effectExtent l="0" t="0" r="0" b="0"/>
            <wp:docPr id="20838255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478901" cy="2987749"/>
                    </a:xfrm>
                    <a:prstGeom prst="rect">
                      <a:avLst/>
                    </a:prstGeom>
                    <a:ln/>
                  </pic:spPr>
                </pic:pic>
              </a:graphicData>
            </a:graphic>
          </wp:inline>
        </w:drawing>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Así, se logra colegir que si bien, del análisis de la normatividad Municipal y Estatal, así como la Ley de Transparencia, el Sujeto Obligado no cuenta con atribuciones para contar con imágenes o fotografías de las Sesiones de Cabildo, lo cierto es que en ejercicio de máxima publicidad proporcionó aquellas fotografías y la videograbación, que daban cuenta de lo solicitado, con lo cual dio cumplimiento a los artículos 12 y 160 de la Ley de la materia.</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Versión estenográfica de la primera sesión de cabildo.</w:t>
      </w:r>
    </w:p>
    <w:p w:rsidR="001531BE" w:rsidRPr="0019612B" w:rsidRDefault="001531BE">
      <w:pPr>
        <w:spacing w:line="360" w:lineRule="auto"/>
        <w:jc w:val="both"/>
        <w:rPr>
          <w:rFonts w:ascii="Palatino Linotype" w:eastAsia="Palatino Linotype" w:hAnsi="Palatino Linotype" w:cs="Palatino Linotype"/>
          <w:b/>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En respuesta, la Secretaría del Ayuntamiento proporcionó un enlace en formato abierto, por el que precisó que se localizaba la Primera Sesión de Cabildo, en versión </w:t>
      </w:r>
      <w:proofErr w:type="spellStart"/>
      <w:r w:rsidRPr="0019612B">
        <w:rPr>
          <w:rFonts w:ascii="Palatino Linotype" w:eastAsia="Palatino Linotype" w:hAnsi="Palatino Linotype" w:cs="Palatino Linotype"/>
          <w:sz w:val="22"/>
          <w:szCs w:val="22"/>
        </w:rPr>
        <w:t>videograbada</w:t>
      </w:r>
      <w:proofErr w:type="spellEnd"/>
      <w:r w:rsidRPr="0019612B">
        <w:rPr>
          <w:rFonts w:ascii="Palatino Linotype" w:eastAsia="Palatino Linotype" w:hAnsi="Palatino Linotype" w:cs="Palatino Linotype"/>
          <w:sz w:val="22"/>
          <w:szCs w:val="22"/>
        </w:rPr>
        <w:t>, así este Instituto procedió a acceder a dicho enlace, del cual se logró vislumbrar lo siguiente:</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2026E0">
      <w:pPr>
        <w:spacing w:line="360" w:lineRule="auto"/>
        <w:jc w:val="center"/>
      </w:pPr>
      <w:hyperlink r:id="rId14">
        <w:r w:rsidR="00C864E1" w:rsidRPr="0019612B">
          <w:rPr>
            <w:rFonts w:ascii="Palatino Linotype" w:eastAsia="Palatino Linotype" w:hAnsi="Palatino Linotype" w:cs="Palatino Linotype"/>
            <w:color w:val="0563C1"/>
            <w:sz w:val="22"/>
            <w:szCs w:val="22"/>
            <w:u w:val="single"/>
          </w:rPr>
          <w:t>https://www.youtube.com/watch?v=WvQAVNiqXUQ</w:t>
        </w:r>
      </w:hyperlink>
    </w:p>
    <w:p w:rsidR="001531BE" w:rsidRPr="0019612B" w:rsidRDefault="001531BE">
      <w:pPr>
        <w:spacing w:line="360" w:lineRule="auto"/>
        <w:jc w:val="center"/>
      </w:pPr>
    </w:p>
    <w:p w:rsidR="001531BE" w:rsidRPr="0019612B" w:rsidRDefault="001531BE">
      <w:pPr>
        <w:spacing w:line="360" w:lineRule="auto"/>
        <w:jc w:val="center"/>
      </w:pPr>
    </w:p>
    <w:p w:rsidR="001531BE" w:rsidRPr="0019612B" w:rsidRDefault="001531BE">
      <w:pPr>
        <w:spacing w:line="360" w:lineRule="auto"/>
        <w:jc w:val="center"/>
      </w:pPr>
    </w:p>
    <w:p w:rsidR="001531BE" w:rsidRPr="0019612B" w:rsidRDefault="001531BE">
      <w:pPr>
        <w:spacing w:line="360" w:lineRule="auto"/>
        <w:jc w:val="center"/>
        <w:rPr>
          <w:rFonts w:ascii="Palatino Linotype" w:eastAsia="Palatino Linotype" w:hAnsi="Palatino Linotype" w:cs="Palatino Linotype"/>
          <w:sz w:val="22"/>
          <w:szCs w:val="22"/>
        </w:rPr>
      </w:pPr>
    </w:p>
    <w:p w:rsidR="001531BE" w:rsidRPr="0019612B" w:rsidRDefault="00C864E1">
      <w:pPr>
        <w:spacing w:line="360" w:lineRule="auto"/>
        <w:jc w:val="center"/>
        <w:rPr>
          <w:rFonts w:ascii="Palatino Linotype" w:eastAsia="Palatino Linotype" w:hAnsi="Palatino Linotype" w:cs="Palatino Linotype"/>
          <w:sz w:val="22"/>
          <w:szCs w:val="22"/>
        </w:rPr>
      </w:pPr>
      <w:r w:rsidRPr="0019612B">
        <w:rPr>
          <w:rFonts w:ascii="Palatino Linotype" w:eastAsia="Palatino Linotype" w:hAnsi="Palatino Linotype" w:cs="Palatino Linotype"/>
          <w:noProof/>
          <w:sz w:val="22"/>
          <w:szCs w:val="22"/>
          <w:lang w:eastAsia="es-MX"/>
        </w:rPr>
        <w:drawing>
          <wp:inline distT="0" distB="0" distL="0" distR="0">
            <wp:extent cx="5224780" cy="3206750"/>
            <wp:effectExtent l="0" t="0" r="0" b="0"/>
            <wp:docPr id="20838255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224780" cy="3206750"/>
                    </a:xfrm>
                    <a:prstGeom prst="rect">
                      <a:avLst/>
                    </a:prstGeom>
                    <a:ln/>
                  </pic:spPr>
                </pic:pic>
              </a:graphicData>
            </a:graphic>
          </wp:inline>
        </w:drawing>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En ese contexto, dicho vínculo da acceso a la videograbación de la Primera Sesión Ordinaria de Cabildo de la administración 2025-2020, de cuya revisión se advierte que la sesión se </w:t>
      </w:r>
      <w:r w:rsidRPr="0019612B">
        <w:rPr>
          <w:rFonts w:ascii="Palatino Linotype" w:eastAsia="Palatino Linotype" w:hAnsi="Palatino Linotype" w:cs="Palatino Linotype"/>
          <w:sz w:val="22"/>
          <w:szCs w:val="22"/>
        </w:rPr>
        <w:lastRenderedPageBreak/>
        <w:t>encuentra incompleta, pues la transmisión empieza con el numeral ocho de la Sesión, omitiendo los primeros puntos del orden del día, principalmente de la declaratoria de instalación del Ayuntamiento, por lo que, se considera que la información se encuentra incompleta.</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No obstante, durante la sustanciación del Medio de Impugnación, a través del Alcance al Informe Justificado, la Secretaría del Ayuntamiento proporcionó en formato abierto, el vínculo electrónico </w:t>
      </w:r>
      <w:hyperlink r:id="rId16">
        <w:r w:rsidRPr="0019612B">
          <w:rPr>
            <w:rFonts w:ascii="Palatino Linotype" w:eastAsia="Palatino Linotype" w:hAnsi="Palatino Linotype" w:cs="Palatino Linotype"/>
            <w:color w:val="0563C1"/>
            <w:sz w:val="22"/>
            <w:szCs w:val="22"/>
            <w:u w:val="single"/>
          </w:rPr>
          <w:t>https://www.youtube.com/watch?v=Dw-RBYRTPlI</w:t>
        </w:r>
      </w:hyperlink>
      <w:r w:rsidRPr="0019612B">
        <w:rPr>
          <w:rFonts w:ascii="Palatino Linotype" w:eastAsia="Palatino Linotype" w:hAnsi="Palatino Linotype" w:cs="Palatino Linotype"/>
          <w:sz w:val="22"/>
          <w:szCs w:val="22"/>
        </w:rPr>
        <w:t>, de cuya revisión, se logra colegir que contiene la primera parte de la Sesión de Instalación y Primera Sesión Ordinaria, previo al receso que se dio de conformidad con el punto 7, del orden del día, por lo que, se advierte que proporcionó la información faltante.</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Ahora bien, conforme a la página de la Cámara de Diputados, la versión estenográfica, es un documento transcrito directamente de la Sesión, es decir, contiene todo lo emitido durante la celebración del Cabildo; de tal suerte que se logre vislumbrar que la versión </w:t>
      </w:r>
      <w:proofErr w:type="spellStart"/>
      <w:r w:rsidRPr="0019612B">
        <w:rPr>
          <w:rFonts w:ascii="Palatino Linotype" w:eastAsia="Palatino Linotype" w:hAnsi="Palatino Linotype" w:cs="Palatino Linotype"/>
          <w:sz w:val="22"/>
          <w:szCs w:val="22"/>
        </w:rPr>
        <w:t>videograbada</w:t>
      </w:r>
      <w:proofErr w:type="spellEnd"/>
      <w:r w:rsidRPr="0019612B">
        <w:rPr>
          <w:rFonts w:ascii="Palatino Linotype" w:eastAsia="Palatino Linotype" w:hAnsi="Palatino Linotype" w:cs="Palatino Linotype"/>
          <w:sz w:val="22"/>
          <w:szCs w:val="22"/>
        </w:rPr>
        <w:t>, hace de versión estenográfica pues contiene la misma información, en diferente formato.</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Además, es de señalar que el artículo 30 de la Ley Orgánica Municipal del Estado de México, establece que los Ayuntamientos podrán tener la versión estenográfica o la versión </w:t>
      </w:r>
      <w:proofErr w:type="spellStart"/>
      <w:r w:rsidRPr="0019612B">
        <w:rPr>
          <w:rFonts w:ascii="Palatino Linotype" w:eastAsia="Palatino Linotype" w:hAnsi="Palatino Linotype" w:cs="Palatino Linotype"/>
          <w:sz w:val="22"/>
          <w:szCs w:val="22"/>
        </w:rPr>
        <w:t>videograbada</w:t>
      </w:r>
      <w:proofErr w:type="spellEnd"/>
      <w:r w:rsidRPr="0019612B">
        <w:rPr>
          <w:rFonts w:ascii="Palatino Linotype" w:eastAsia="Palatino Linotype" w:hAnsi="Palatino Linotype" w:cs="Palatino Linotype"/>
          <w:sz w:val="22"/>
          <w:szCs w:val="22"/>
        </w:rPr>
        <w:t xml:space="preserve">, es decir, no obliga a tener ambas, sino que basta con que cuenten con las Sesiones de Cabildo en un formato; lo cual acontece en el presente caso, pues como se señaló contienen la misma información; lo cual fue acreditado por la Secretaría del Ayuntamiento, al señalar que no contaban con las Sesiones Estenográficas, sino únicamente las </w:t>
      </w:r>
      <w:proofErr w:type="spellStart"/>
      <w:r w:rsidRPr="0019612B">
        <w:rPr>
          <w:rFonts w:ascii="Palatino Linotype" w:eastAsia="Palatino Linotype" w:hAnsi="Palatino Linotype" w:cs="Palatino Linotype"/>
          <w:sz w:val="22"/>
          <w:szCs w:val="22"/>
        </w:rPr>
        <w:t>videograbadas</w:t>
      </w:r>
      <w:proofErr w:type="spellEnd"/>
      <w:r w:rsidRPr="0019612B">
        <w:rPr>
          <w:rFonts w:ascii="Palatino Linotype" w:eastAsia="Palatino Linotype" w:hAnsi="Palatino Linotype" w:cs="Palatino Linotype"/>
          <w:sz w:val="22"/>
          <w:szCs w:val="22"/>
        </w:rPr>
        <w:t>.</w:t>
      </w:r>
    </w:p>
    <w:p w:rsidR="001531BE" w:rsidRPr="0019612B" w:rsidRDefault="001531BE">
      <w:pPr>
        <w:spacing w:line="360" w:lineRule="auto"/>
        <w:ind w:right="-28"/>
        <w:jc w:val="both"/>
        <w:rPr>
          <w:rFonts w:ascii="Palatino Linotype" w:eastAsia="Palatino Linotype" w:hAnsi="Palatino Linotype" w:cs="Palatino Linotype"/>
          <w:sz w:val="22"/>
          <w:szCs w:val="22"/>
        </w:rPr>
      </w:pP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Así, se colige que durante la substanciación del Medio de Impugnación, a través del enlace electrónico remitido mediante Alcance al Informe Justificado, la Secretaría del Ayuntamiento, </w:t>
      </w:r>
      <w:r w:rsidRPr="0019612B">
        <w:rPr>
          <w:rFonts w:ascii="Palatino Linotype" w:eastAsia="Palatino Linotype" w:hAnsi="Palatino Linotype" w:cs="Palatino Linotype"/>
          <w:sz w:val="22"/>
          <w:szCs w:val="22"/>
        </w:rPr>
        <w:lastRenderedPageBreak/>
        <w:t xml:space="preserve">proporcionó el enlace con la información faltante y señaló que no contaba con las versiones estenográficas de las Sesiones de Cabildo; por lo que, se advierte que dio acceso a la información que obraba en sus archivos, con lo cual dio cumplimiento a los artículos 12 y 160 de la Ley de la materia, y se considera que la impugnación que se dirime ha quedado sin materia. </w:t>
      </w:r>
    </w:p>
    <w:p w:rsidR="001531BE" w:rsidRPr="0019612B" w:rsidRDefault="001531BE">
      <w:pPr>
        <w:spacing w:line="360" w:lineRule="auto"/>
        <w:jc w:val="both"/>
        <w:rPr>
          <w:rFonts w:ascii="Palatino Linotype" w:eastAsia="Palatino Linotype" w:hAnsi="Palatino Linotype" w:cs="Palatino Linotype"/>
          <w:sz w:val="22"/>
          <w:szCs w:val="22"/>
        </w:rPr>
      </w:pPr>
    </w:p>
    <w:p w:rsidR="001531BE" w:rsidRPr="0019612B" w:rsidRDefault="00C864E1">
      <w:pPr>
        <w:spacing w:line="360" w:lineRule="auto"/>
        <w:jc w:val="both"/>
        <w:rPr>
          <w:rFonts w:ascii="Palatino Linotype" w:eastAsia="Palatino Linotype" w:hAnsi="Palatino Linotype" w:cs="Palatino Linotype"/>
          <w:b/>
          <w:color w:val="000000"/>
          <w:sz w:val="22"/>
          <w:szCs w:val="22"/>
        </w:rPr>
      </w:pPr>
      <w:r w:rsidRPr="0019612B">
        <w:rPr>
          <w:rFonts w:ascii="Palatino Linotype" w:eastAsia="Palatino Linotype" w:hAnsi="Palatino Linotype" w:cs="Palatino Linotype"/>
          <w:b/>
          <w:color w:val="000000"/>
          <w:sz w:val="22"/>
          <w:szCs w:val="22"/>
        </w:rPr>
        <w:t>CUARTO. Decisión</w:t>
      </w:r>
    </w:p>
    <w:p w:rsidR="001531BE" w:rsidRPr="0019612B" w:rsidRDefault="001531BE">
      <w:pPr>
        <w:spacing w:line="360" w:lineRule="auto"/>
        <w:jc w:val="both"/>
        <w:rPr>
          <w:rFonts w:ascii="Palatino Linotype" w:eastAsia="Palatino Linotype" w:hAnsi="Palatino Linotype" w:cs="Palatino Linotype"/>
          <w:color w:val="000000"/>
          <w:sz w:val="22"/>
          <w:szCs w:val="22"/>
        </w:rPr>
      </w:pPr>
    </w:p>
    <w:p w:rsidR="001531BE" w:rsidRPr="0019612B" w:rsidRDefault="00C864E1">
      <w:pP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 xml:space="preserve">Con fundamento en lo dispuesto en el artículo 186, fracción I, de la Ley de Transparencia y Acceso a la Información Pública del Estado de México y Municipios, se considera procedente </w:t>
      </w:r>
      <w:r w:rsidRPr="0019612B">
        <w:rPr>
          <w:rFonts w:ascii="Palatino Linotype" w:eastAsia="Palatino Linotype" w:hAnsi="Palatino Linotype" w:cs="Palatino Linotype"/>
          <w:b/>
          <w:color w:val="000000"/>
          <w:sz w:val="22"/>
          <w:szCs w:val="22"/>
        </w:rPr>
        <w:t>SOBRESEER</w:t>
      </w:r>
      <w:r w:rsidRPr="0019612B">
        <w:rPr>
          <w:rFonts w:ascii="Palatino Linotype" w:eastAsia="Palatino Linotype" w:hAnsi="Palatino Linotype" w:cs="Palatino Linotype"/>
          <w:color w:val="000000"/>
          <w:sz w:val="22"/>
          <w:szCs w:val="22"/>
        </w:rPr>
        <w:t xml:space="preserve"> el Recurso de Revisión, en virtud de que se actualiza la hipótesis normativa prevista en la fracción III, del artículo 192, del citado ordenamiento legal.</w:t>
      </w: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 </w:t>
      </w: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b/>
          <w:sz w:val="22"/>
          <w:szCs w:val="22"/>
        </w:rPr>
        <w:t>Términos de la Resolución para conocimiento del Particular</w:t>
      </w: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 </w:t>
      </w:r>
    </w:p>
    <w:p w:rsidR="001531BE" w:rsidRPr="0019612B" w:rsidRDefault="00C864E1">
      <w:pP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color w:val="000000"/>
          <w:sz w:val="22"/>
          <w:szCs w:val="22"/>
        </w:rPr>
        <w:t xml:space="preserve">Se le hace del conocimiento al Particular, que si bien, en el presente caso se le daba la razón pues el Sujeto Obligado no le proporcionó la información completa, no obstante, durante la sustanciación el Ente Recurrido colmo el requerimiento informativo, al entregar el vínculo electrónico con lo faltante. </w:t>
      </w:r>
    </w:p>
    <w:p w:rsidR="001531BE" w:rsidRPr="0019612B" w:rsidRDefault="001531BE">
      <w:pPr>
        <w:spacing w:line="360" w:lineRule="auto"/>
        <w:jc w:val="both"/>
        <w:rPr>
          <w:rFonts w:ascii="Palatino Linotype" w:eastAsia="Palatino Linotype" w:hAnsi="Palatino Linotype" w:cs="Palatino Linotype"/>
          <w:color w:val="000000"/>
          <w:sz w:val="22"/>
          <w:szCs w:val="22"/>
        </w:rPr>
      </w:pPr>
    </w:p>
    <w:p w:rsidR="001531BE" w:rsidRPr="0019612B" w:rsidRDefault="00C864E1">
      <w:pPr>
        <w:spacing w:line="360" w:lineRule="auto"/>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Finalmente, se le informa que la labor del Instituto de Transparencia, Acceso a la Información Pública y Protección de Datos Personales del Estado de México y Municipios, es apoyar a la población a acceder a la información pública y garantizar la protección de sus datos personales.</w:t>
      </w: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 </w:t>
      </w: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Por lo expuesto y fundado, este Pleno:</w:t>
      </w:r>
    </w:p>
    <w:p w:rsidR="001531BE" w:rsidRPr="0019612B" w:rsidRDefault="00C864E1">
      <w:pPr>
        <w:spacing w:line="360" w:lineRule="auto"/>
        <w:ind w:right="-28"/>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lastRenderedPageBreak/>
        <w:t xml:space="preserve"> </w:t>
      </w:r>
    </w:p>
    <w:p w:rsidR="001531BE" w:rsidRPr="0019612B" w:rsidRDefault="00C864E1">
      <w:pPr>
        <w:spacing w:line="360" w:lineRule="auto"/>
        <w:ind w:right="-28"/>
        <w:jc w:val="center"/>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R E S U E L V E</w:t>
      </w:r>
    </w:p>
    <w:p w:rsidR="001531BE" w:rsidRPr="0019612B" w:rsidRDefault="00C864E1">
      <w:pPr>
        <w:spacing w:line="360" w:lineRule="auto"/>
        <w:ind w:right="-28"/>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 xml:space="preserve"> </w:t>
      </w:r>
    </w:p>
    <w:p w:rsidR="001531BE" w:rsidRPr="0019612B" w:rsidRDefault="00C864E1">
      <w:pPr>
        <w:spacing w:line="360" w:lineRule="auto"/>
        <w:jc w:val="both"/>
        <w:rPr>
          <w:rFonts w:ascii="Palatino Linotype" w:eastAsia="Palatino Linotype" w:hAnsi="Palatino Linotype" w:cs="Palatino Linotype"/>
          <w:color w:val="000000"/>
          <w:sz w:val="22"/>
          <w:szCs w:val="22"/>
        </w:rPr>
      </w:pPr>
      <w:r w:rsidRPr="0019612B">
        <w:rPr>
          <w:rFonts w:ascii="Palatino Linotype" w:eastAsia="Palatino Linotype" w:hAnsi="Palatino Linotype" w:cs="Palatino Linotype"/>
          <w:b/>
          <w:sz w:val="22"/>
          <w:szCs w:val="22"/>
        </w:rPr>
        <w:t>PRIMERO.</w:t>
      </w:r>
      <w:r w:rsidRPr="0019612B">
        <w:rPr>
          <w:rFonts w:ascii="Palatino Linotype" w:eastAsia="Palatino Linotype" w:hAnsi="Palatino Linotype" w:cs="Palatino Linotype"/>
          <w:sz w:val="22"/>
          <w:szCs w:val="22"/>
        </w:rPr>
        <w:t xml:space="preserve"> Se </w:t>
      </w:r>
      <w:r w:rsidRPr="0019612B">
        <w:rPr>
          <w:rFonts w:ascii="Palatino Linotype" w:eastAsia="Palatino Linotype" w:hAnsi="Palatino Linotype" w:cs="Palatino Linotype"/>
          <w:b/>
          <w:sz w:val="22"/>
          <w:szCs w:val="22"/>
        </w:rPr>
        <w:t xml:space="preserve">SOBRESEE </w:t>
      </w:r>
      <w:r w:rsidRPr="0019612B">
        <w:rPr>
          <w:rFonts w:ascii="Palatino Linotype" w:eastAsia="Palatino Linotype" w:hAnsi="Palatino Linotype" w:cs="Palatino Linotype"/>
          <w:sz w:val="22"/>
          <w:szCs w:val="22"/>
        </w:rPr>
        <w:t xml:space="preserve">el Recurso de Revisión número 01491/INFOEM/IP/RR/2025, en términos del artículo 192, fracción III, de la Ley de Transparencia y Acceso a la Información Pública del Estado de México y Municipios, porque el Sujeto Obligado al modificar la </w:t>
      </w:r>
      <w:r w:rsidRPr="0019612B">
        <w:rPr>
          <w:rFonts w:ascii="Palatino Linotype" w:eastAsia="Palatino Linotype" w:hAnsi="Palatino Linotype" w:cs="Palatino Linotype"/>
          <w:color w:val="000000"/>
          <w:sz w:val="22"/>
          <w:szCs w:val="22"/>
        </w:rPr>
        <w:t>respuesta de la solicitud de acceso a la información, con número de folio</w:t>
      </w:r>
      <w:r w:rsidRPr="0019612B">
        <w:rPr>
          <w:rFonts w:ascii="Arial" w:eastAsia="Arial" w:hAnsi="Arial" w:cs="Arial"/>
          <w:b/>
          <w:color w:val="333333"/>
          <w:sz w:val="15"/>
          <w:szCs w:val="15"/>
        </w:rPr>
        <w:t xml:space="preserve"> </w:t>
      </w:r>
      <w:r w:rsidRPr="0019612B">
        <w:rPr>
          <w:rFonts w:ascii="Palatino Linotype" w:eastAsia="Palatino Linotype" w:hAnsi="Palatino Linotype" w:cs="Palatino Linotype"/>
          <w:sz w:val="22"/>
          <w:szCs w:val="22"/>
        </w:rPr>
        <w:t>00125/TOLUCA/IP/2025</w:t>
      </w:r>
      <w:r w:rsidRPr="0019612B">
        <w:rPr>
          <w:rFonts w:ascii="Palatino Linotype" w:eastAsia="Palatino Linotype" w:hAnsi="Palatino Linotype" w:cs="Palatino Linotype"/>
          <w:color w:val="000000"/>
          <w:sz w:val="22"/>
          <w:szCs w:val="22"/>
        </w:rPr>
        <w:t>, el Medio de Impugnación quedó sin materia, en términos de los Considerandos TERCERO y CUARTO de la presente Resolución.</w:t>
      </w:r>
    </w:p>
    <w:p w:rsidR="001531BE" w:rsidRPr="0019612B" w:rsidRDefault="001531BE">
      <w:pPr>
        <w:spacing w:line="360" w:lineRule="auto"/>
        <w:ind w:right="-28"/>
        <w:jc w:val="both"/>
        <w:rPr>
          <w:rFonts w:ascii="Palatino Linotype" w:eastAsia="Palatino Linotype" w:hAnsi="Palatino Linotype" w:cs="Palatino Linotype"/>
          <w:b/>
          <w:sz w:val="22"/>
          <w:szCs w:val="22"/>
        </w:rPr>
      </w:pPr>
    </w:p>
    <w:p w:rsidR="001531BE" w:rsidRPr="0019612B" w:rsidRDefault="00C864E1">
      <w:pPr>
        <w:spacing w:line="360" w:lineRule="auto"/>
        <w:ind w:right="-28"/>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 xml:space="preserve">SEGUNDO. NOTIFÍQUESE POR SAIMEX </w:t>
      </w:r>
      <w:r w:rsidRPr="0019612B">
        <w:rPr>
          <w:rFonts w:ascii="Palatino Linotype" w:eastAsia="Palatino Linotype" w:hAnsi="Palatino Linotype" w:cs="Palatino Linotype"/>
          <w:sz w:val="22"/>
          <w:szCs w:val="22"/>
        </w:rPr>
        <w:t>la presente resolución al Titular de la Unidad de Transparencia del Sujeto Obligado.</w:t>
      </w:r>
    </w:p>
    <w:p w:rsidR="001531BE" w:rsidRPr="0019612B" w:rsidRDefault="00C864E1">
      <w:pPr>
        <w:spacing w:line="360" w:lineRule="auto"/>
        <w:ind w:right="-28"/>
        <w:jc w:val="both"/>
        <w:rPr>
          <w:rFonts w:ascii="Palatino Linotype" w:eastAsia="Palatino Linotype" w:hAnsi="Palatino Linotype" w:cs="Palatino Linotype"/>
          <w:b/>
          <w:sz w:val="22"/>
          <w:szCs w:val="22"/>
        </w:rPr>
      </w:pPr>
      <w:r w:rsidRPr="0019612B">
        <w:rPr>
          <w:rFonts w:ascii="Palatino Linotype" w:eastAsia="Palatino Linotype" w:hAnsi="Palatino Linotype" w:cs="Palatino Linotype"/>
          <w:b/>
          <w:sz w:val="22"/>
          <w:szCs w:val="22"/>
        </w:rPr>
        <w:t xml:space="preserve"> </w:t>
      </w: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b/>
          <w:sz w:val="22"/>
          <w:szCs w:val="22"/>
        </w:rPr>
        <w:t xml:space="preserve">TERCERO. NOTIFÍQUESE POR SAIMEX </w:t>
      </w:r>
      <w:r w:rsidRPr="0019612B">
        <w:rPr>
          <w:rFonts w:ascii="Palatino Linotype" w:eastAsia="Palatino Linotype" w:hAnsi="Palatino Linotype" w:cs="Palatino Linotype"/>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1531BE" w:rsidRPr="0019612B"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 </w:t>
      </w:r>
    </w:p>
    <w:p w:rsidR="001531BE" w:rsidRDefault="00C864E1">
      <w:pPr>
        <w:spacing w:line="360" w:lineRule="auto"/>
        <w:ind w:right="-28"/>
        <w:jc w:val="both"/>
        <w:rPr>
          <w:rFonts w:ascii="Palatino Linotype" w:eastAsia="Palatino Linotype" w:hAnsi="Palatino Linotype" w:cs="Palatino Linotype"/>
          <w:sz w:val="22"/>
          <w:szCs w:val="22"/>
        </w:rPr>
      </w:pPr>
      <w:r w:rsidRPr="0019612B">
        <w:rPr>
          <w:rFonts w:ascii="Palatino Linotype" w:eastAsia="Palatino Linotype" w:hAnsi="Palatino Linotype" w:cs="Palatino Linotype"/>
          <w:sz w:val="22"/>
          <w:szCs w:val="22"/>
        </w:rPr>
        <w:t xml:space="preserve">ASÍ LO RESUELVE, POR </w:t>
      </w:r>
      <w:r w:rsidRPr="0019612B">
        <w:rPr>
          <w:rFonts w:ascii="Palatino Linotype" w:eastAsia="Palatino Linotype" w:hAnsi="Palatino Linotype" w:cs="Palatino Linotype"/>
          <w:b/>
          <w:sz w:val="22"/>
          <w:szCs w:val="22"/>
        </w:rPr>
        <w:t>UNANIMIDAD</w:t>
      </w:r>
      <w:r w:rsidRPr="0019612B">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VEINTISÉIS DE MARZO DE DOS MIL VEINTICINCO, ANTE EL SECRETARIO TÉCNICO DEL PLENO, ALEXIS TAPIA RAMÍREZ.</w:t>
      </w:r>
    </w:p>
    <w:p w:rsidR="001531BE" w:rsidRDefault="001531BE">
      <w:pPr>
        <w:spacing w:line="360" w:lineRule="auto"/>
        <w:ind w:right="-28"/>
        <w:jc w:val="both"/>
        <w:rPr>
          <w:rFonts w:ascii="Palatino Linotype" w:eastAsia="Palatino Linotype" w:hAnsi="Palatino Linotype" w:cs="Palatino Linotype"/>
          <w:sz w:val="22"/>
          <w:szCs w:val="22"/>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rPr>
          <w:rFonts w:ascii="Palatino Linotype" w:eastAsia="Palatino Linotype" w:hAnsi="Palatino Linotype" w:cs="Palatino Linotype"/>
        </w:rPr>
      </w:pPr>
    </w:p>
    <w:p w:rsidR="001531BE" w:rsidRDefault="001531BE">
      <w:pPr>
        <w:spacing w:line="360" w:lineRule="auto"/>
      </w:pPr>
    </w:p>
    <w:p w:rsidR="001531BE" w:rsidRDefault="001531BE">
      <w:pPr>
        <w:spacing w:line="360" w:lineRule="auto"/>
      </w:pPr>
    </w:p>
    <w:p w:rsidR="001531BE" w:rsidRDefault="001531BE">
      <w:pPr>
        <w:spacing w:line="360" w:lineRule="auto"/>
      </w:pPr>
    </w:p>
    <w:sectPr w:rsidR="001531BE">
      <w:headerReference w:type="even" r:id="rId17"/>
      <w:headerReference w:type="default" r:id="rId18"/>
      <w:footerReference w:type="default" r:id="rId19"/>
      <w:headerReference w:type="first" r:id="rId20"/>
      <w:footerReference w:type="first" r:id="rId21"/>
      <w:pgSz w:w="12240" w:h="15840"/>
      <w:pgMar w:top="80" w:right="1608" w:bottom="1134" w:left="1588" w:header="850" w:footer="6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6E0" w:rsidRDefault="002026E0">
      <w:r>
        <w:separator/>
      </w:r>
    </w:p>
  </w:endnote>
  <w:endnote w:type="continuationSeparator" w:id="0">
    <w:p w:rsidR="002026E0" w:rsidRDefault="00202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1BE" w:rsidRDefault="001531BE">
    <w:pPr>
      <w:pBdr>
        <w:top w:val="nil"/>
        <w:left w:val="nil"/>
        <w:bottom w:val="nil"/>
        <w:right w:val="nil"/>
        <w:between w:val="nil"/>
      </w:pBdr>
      <w:tabs>
        <w:tab w:val="center" w:pos="4419"/>
        <w:tab w:val="right" w:pos="8838"/>
      </w:tabs>
      <w:jc w:val="right"/>
      <w:rPr>
        <w:color w:val="000000"/>
        <w:sz w:val="26"/>
        <w:szCs w:val="26"/>
      </w:rPr>
    </w:pPr>
  </w:p>
  <w:p w:rsidR="001531BE" w:rsidRDefault="00C864E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020C1">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020C1">
      <w:rPr>
        <w:b/>
        <w:noProof/>
        <w:color w:val="000000"/>
        <w:sz w:val="24"/>
        <w:szCs w:val="24"/>
      </w:rPr>
      <w:t>22</w:t>
    </w:r>
    <w:r>
      <w:rPr>
        <w:b/>
        <w:color w:val="000000"/>
        <w:sz w:val="24"/>
        <w:szCs w:val="24"/>
      </w:rPr>
      <w:fldChar w:fldCharType="end"/>
    </w:r>
  </w:p>
  <w:p w:rsidR="001531BE" w:rsidRDefault="001531B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1BE" w:rsidRDefault="001531BE">
    <w:pPr>
      <w:pBdr>
        <w:top w:val="nil"/>
        <w:left w:val="nil"/>
        <w:bottom w:val="nil"/>
        <w:right w:val="nil"/>
        <w:between w:val="nil"/>
      </w:pBdr>
      <w:tabs>
        <w:tab w:val="center" w:pos="4419"/>
        <w:tab w:val="right" w:pos="8838"/>
      </w:tabs>
      <w:jc w:val="right"/>
      <w:rPr>
        <w:color w:val="000000"/>
      </w:rPr>
    </w:pPr>
  </w:p>
  <w:p w:rsidR="001531BE" w:rsidRDefault="001531BE">
    <w:pPr>
      <w:pBdr>
        <w:top w:val="nil"/>
        <w:left w:val="nil"/>
        <w:bottom w:val="nil"/>
        <w:right w:val="nil"/>
        <w:between w:val="nil"/>
      </w:pBdr>
      <w:tabs>
        <w:tab w:val="center" w:pos="4419"/>
        <w:tab w:val="right" w:pos="8838"/>
      </w:tabs>
      <w:jc w:val="right"/>
      <w:rPr>
        <w:color w:val="000000"/>
      </w:rPr>
    </w:pPr>
  </w:p>
  <w:p w:rsidR="001531BE" w:rsidRDefault="001531BE">
    <w:pPr>
      <w:pBdr>
        <w:top w:val="nil"/>
        <w:left w:val="nil"/>
        <w:bottom w:val="nil"/>
        <w:right w:val="nil"/>
        <w:between w:val="nil"/>
      </w:pBdr>
      <w:tabs>
        <w:tab w:val="center" w:pos="4419"/>
        <w:tab w:val="right" w:pos="8838"/>
      </w:tabs>
      <w:jc w:val="right"/>
      <w:rPr>
        <w:color w:val="000000"/>
      </w:rPr>
    </w:pPr>
  </w:p>
  <w:p w:rsidR="001531BE" w:rsidRDefault="00C864E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020C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020C1">
      <w:rPr>
        <w:b/>
        <w:noProof/>
        <w:color w:val="000000"/>
        <w:sz w:val="24"/>
        <w:szCs w:val="24"/>
      </w:rPr>
      <w:t>22</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6E0" w:rsidRDefault="002026E0">
      <w:r>
        <w:separator/>
      </w:r>
    </w:p>
  </w:footnote>
  <w:footnote w:type="continuationSeparator" w:id="0">
    <w:p w:rsidR="002026E0" w:rsidRDefault="002026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1BE" w:rsidRDefault="002026E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aguaINFOEM" style="position:absolute;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1BE" w:rsidRDefault="002026E0">
    <w:pPr>
      <w:tabs>
        <w:tab w:val="left" w:pos="3416"/>
      </w:tabs>
      <w:rPr>
        <w:sz w:val="22"/>
        <w:szCs w:val="22"/>
      </w:rPr>
    </w:pPr>
    <w:r>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aguaINFOEM" style="position:absolute;margin-left:-63.2pt;margin-top:-126.65pt;width:663.5pt;height:12in;z-index:-251659776;mso-position-horizontal:absolute;mso-position-horizontal-relative:margin;mso-position-vertical:absolute;mso-position-vertical-relative:margin">
          <v:imagedata r:id="rId1" o:title="image3"/>
          <w10:wrap anchorx="margin" anchory="margin"/>
        </v:shape>
      </w:pict>
    </w:r>
  </w:p>
  <w:tbl>
    <w:tblPr>
      <w:tblStyle w:val="a"/>
      <w:tblW w:w="9461" w:type="dxa"/>
      <w:tblInd w:w="0" w:type="dxa"/>
      <w:tblLayout w:type="fixed"/>
      <w:tblLook w:val="0400" w:firstRow="0" w:lastRow="0" w:firstColumn="0" w:lastColumn="0" w:noHBand="0" w:noVBand="1"/>
    </w:tblPr>
    <w:tblGrid>
      <w:gridCol w:w="2268"/>
      <w:gridCol w:w="7193"/>
    </w:tblGrid>
    <w:tr w:rsidR="001531BE">
      <w:trPr>
        <w:trHeight w:val="70"/>
      </w:trPr>
      <w:tc>
        <w:tcPr>
          <w:tcW w:w="2268" w:type="dxa"/>
          <w:shd w:val="clear" w:color="auto" w:fill="auto"/>
        </w:tcPr>
        <w:p w:rsidR="001531BE" w:rsidRDefault="001531BE">
          <w:pPr>
            <w:tabs>
              <w:tab w:val="right" w:pos="4273"/>
            </w:tabs>
            <w:rPr>
              <w:rFonts w:ascii="Garamond" w:eastAsia="Garamond" w:hAnsi="Garamond" w:cs="Garamond"/>
              <w:sz w:val="16"/>
              <w:szCs w:val="16"/>
            </w:rPr>
          </w:pPr>
        </w:p>
      </w:tc>
      <w:tc>
        <w:tcPr>
          <w:tcW w:w="7193" w:type="dxa"/>
          <w:shd w:val="clear" w:color="auto" w:fill="auto"/>
        </w:tcPr>
        <w:p w:rsidR="001531BE" w:rsidRDefault="001531BE">
          <w:pPr>
            <w:widowControl w:val="0"/>
            <w:pBdr>
              <w:top w:val="nil"/>
              <w:left w:val="nil"/>
              <w:bottom w:val="nil"/>
              <w:right w:val="nil"/>
              <w:between w:val="nil"/>
            </w:pBdr>
            <w:spacing w:line="276" w:lineRule="auto"/>
            <w:rPr>
              <w:rFonts w:ascii="Garamond" w:eastAsia="Garamond" w:hAnsi="Garamond" w:cs="Garamond"/>
              <w:sz w:val="16"/>
              <w:szCs w:val="16"/>
            </w:rPr>
          </w:pPr>
        </w:p>
        <w:tbl>
          <w:tblPr>
            <w:tblStyle w:val="a0"/>
            <w:tblW w:w="785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54"/>
            <w:gridCol w:w="4004"/>
          </w:tblGrid>
          <w:tr w:rsidR="001531BE">
            <w:trPr>
              <w:trHeight w:val="171"/>
            </w:trPr>
            <w:tc>
              <w:tcPr>
                <w:tcW w:w="3854" w:type="dxa"/>
                <w:vAlign w:val="bottom"/>
              </w:tcPr>
              <w:p w:rsidR="001531BE" w:rsidRDefault="00C864E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4004" w:type="dxa"/>
              </w:tcPr>
              <w:p w:rsidR="001531BE" w:rsidRDefault="00C864E1">
                <w:pPr>
                  <w:tabs>
                    <w:tab w:val="right" w:pos="8838"/>
                  </w:tabs>
                  <w:ind w:left="-28" w:right="68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01491/INFOEM/IP/RR/2025</w:t>
                </w:r>
              </w:p>
            </w:tc>
          </w:tr>
          <w:tr w:rsidR="001531BE">
            <w:trPr>
              <w:trHeight w:val="338"/>
            </w:trPr>
            <w:tc>
              <w:tcPr>
                <w:tcW w:w="3854" w:type="dxa"/>
              </w:tcPr>
              <w:p w:rsidR="001531BE" w:rsidRDefault="00C864E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4004" w:type="dxa"/>
              </w:tcPr>
              <w:p w:rsidR="001531BE" w:rsidRDefault="00C864E1">
                <w:pPr>
                  <w:tabs>
                    <w:tab w:val="right" w:pos="8838"/>
                  </w:tabs>
                  <w:ind w:left="-28" w:right="100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Toluca</w:t>
                </w:r>
              </w:p>
            </w:tc>
          </w:tr>
          <w:tr w:rsidR="001531BE">
            <w:trPr>
              <w:trHeight w:val="338"/>
            </w:trPr>
            <w:tc>
              <w:tcPr>
                <w:tcW w:w="3854" w:type="dxa"/>
              </w:tcPr>
              <w:p w:rsidR="001531BE" w:rsidRDefault="00C864E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4004" w:type="dxa"/>
              </w:tcPr>
              <w:p w:rsidR="001531BE" w:rsidRDefault="00C864E1">
                <w:pPr>
                  <w:tabs>
                    <w:tab w:val="right" w:pos="8838"/>
                  </w:tabs>
                  <w:ind w:left="-28" w:right="-32"/>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Luis Gustavo Parra Noriega</w:t>
                </w:r>
              </w:p>
            </w:tc>
          </w:tr>
        </w:tbl>
        <w:p w:rsidR="001531BE" w:rsidRDefault="001531BE">
          <w:pPr>
            <w:tabs>
              <w:tab w:val="right" w:pos="8838"/>
            </w:tabs>
            <w:ind w:left="-28"/>
            <w:rPr>
              <w:rFonts w:ascii="Arial" w:eastAsia="Arial" w:hAnsi="Arial" w:cs="Arial"/>
              <w:b/>
            </w:rPr>
          </w:pPr>
        </w:p>
      </w:tc>
    </w:tr>
  </w:tbl>
  <w:p w:rsidR="001531BE" w:rsidRDefault="001531BE">
    <w:pPr>
      <w:pBdr>
        <w:top w:val="nil"/>
        <w:left w:val="nil"/>
        <w:bottom w:val="nil"/>
        <w:right w:val="nil"/>
        <w:between w:val="nil"/>
      </w:pBdr>
      <w:tabs>
        <w:tab w:val="center" w:pos="4419"/>
        <w:tab w:val="right" w:pos="8838"/>
      </w:tabs>
      <w:rPr>
        <w:color w:val="000000"/>
        <w:sz w:val="14"/>
        <w:szCs w:val="14"/>
      </w:rPr>
    </w:pPr>
  </w:p>
  <w:p w:rsidR="001531BE" w:rsidRDefault="001531BE">
    <w:pPr>
      <w:pBdr>
        <w:top w:val="nil"/>
        <w:left w:val="nil"/>
        <w:bottom w:val="nil"/>
        <w:right w:val="nil"/>
        <w:between w:val="nil"/>
      </w:pBdr>
      <w:tabs>
        <w:tab w:val="center" w:pos="4419"/>
        <w:tab w:val="right" w:pos="8838"/>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1BE" w:rsidRDefault="001531BE">
    <w:pPr>
      <w:widowControl w:val="0"/>
      <w:pBdr>
        <w:top w:val="nil"/>
        <w:left w:val="nil"/>
        <w:bottom w:val="nil"/>
        <w:right w:val="nil"/>
        <w:between w:val="nil"/>
      </w:pBdr>
      <w:spacing w:line="276" w:lineRule="auto"/>
      <w:rPr>
        <w:color w:val="000000"/>
        <w:sz w:val="14"/>
        <w:szCs w:val="14"/>
      </w:rPr>
    </w:pPr>
  </w:p>
  <w:tbl>
    <w:tblPr>
      <w:tblStyle w:val="a1"/>
      <w:tblW w:w="6945"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3968"/>
      <w:gridCol w:w="2977"/>
    </w:tblGrid>
    <w:tr w:rsidR="001531BE">
      <w:trPr>
        <w:trHeight w:val="302"/>
      </w:trPr>
      <w:tc>
        <w:tcPr>
          <w:tcW w:w="3969" w:type="dxa"/>
        </w:tcPr>
        <w:p w:rsidR="001531BE" w:rsidRDefault="00C864E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2977" w:type="dxa"/>
        </w:tcPr>
        <w:p w:rsidR="001531BE" w:rsidRDefault="00C864E1">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01491/INFOEM/IP/RR/2025</w:t>
          </w:r>
        </w:p>
      </w:tc>
    </w:tr>
    <w:tr w:rsidR="001531BE">
      <w:trPr>
        <w:trHeight w:val="110"/>
      </w:trPr>
      <w:tc>
        <w:tcPr>
          <w:tcW w:w="3969" w:type="dxa"/>
        </w:tcPr>
        <w:p w:rsidR="001531BE" w:rsidRDefault="00C864E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Recurrente:</w:t>
          </w:r>
        </w:p>
      </w:tc>
      <w:tc>
        <w:tcPr>
          <w:tcW w:w="2977" w:type="dxa"/>
        </w:tcPr>
        <w:p w:rsidR="001531BE" w:rsidRDefault="001531BE">
          <w:pPr>
            <w:jc w:val="both"/>
            <w:rPr>
              <w:rFonts w:ascii="Palatino Linotype" w:eastAsia="Palatino Linotype" w:hAnsi="Palatino Linotype" w:cs="Palatino Linotype"/>
              <w:sz w:val="22"/>
              <w:szCs w:val="22"/>
            </w:rPr>
          </w:pPr>
        </w:p>
      </w:tc>
    </w:tr>
    <w:tr w:rsidR="001531BE">
      <w:trPr>
        <w:trHeight w:val="248"/>
      </w:trPr>
      <w:tc>
        <w:tcPr>
          <w:tcW w:w="3969" w:type="dxa"/>
        </w:tcPr>
        <w:p w:rsidR="001531BE" w:rsidRDefault="00C864E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2977" w:type="dxa"/>
        </w:tcPr>
        <w:p w:rsidR="001531BE" w:rsidRDefault="00C864E1">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Toluca</w:t>
          </w:r>
        </w:p>
      </w:tc>
    </w:tr>
    <w:tr w:rsidR="001531BE">
      <w:trPr>
        <w:trHeight w:val="248"/>
      </w:trPr>
      <w:tc>
        <w:tcPr>
          <w:tcW w:w="3969" w:type="dxa"/>
        </w:tcPr>
        <w:p w:rsidR="001531BE" w:rsidRDefault="00C864E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2977" w:type="dxa"/>
        </w:tcPr>
        <w:p w:rsidR="001531BE" w:rsidRDefault="00C864E1">
          <w:pPr>
            <w:tabs>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1531BE" w:rsidRDefault="002026E0">
    <w:pPr>
      <w:ind w:right="-31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aguaINFOEM" style="position:absolute;margin-left:-79.05pt;margin-top:-119.45pt;width:663.5pt;height:12in;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C6188A"/>
    <w:multiLevelType w:val="multilevel"/>
    <w:tmpl w:val="3F38A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833A4A"/>
    <w:multiLevelType w:val="multilevel"/>
    <w:tmpl w:val="C13E1D7C"/>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30EB6D25"/>
    <w:multiLevelType w:val="multilevel"/>
    <w:tmpl w:val="E2461D96"/>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E493F2F"/>
    <w:multiLevelType w:val="multilevel"/>
    <w:tmpl w:val="39700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851050"/>
    <w:multiLevelType w:val="multilevel"/>
    <w:tmpl w:val="F612DABA"/>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812584"/>
    <w:multiLevelType w:val="multilevel"/>
    <w:tmpl w:val="FE3CC6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1BE"/>
    <w:rsid w:val="001531BE"/>
    <w:rsid w:val="0019612B"/>
    <w:rsid w:val="002026E0"/>
    <w:rsid w:val="003A04ED"/>
    <w:rsid w:val="005A62B2"/>
    <w:rsid w:val="005E12BE"/>
    <w:rsid w:val="00B020C1"/>
    <w:rsid w:val="00C864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DCEBD07-D874-4C63-8648-AA694B11B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4AA"/>
    <w:rPr>
      <w:lang w:eastAsia="es-ES"/>
    </w:rPr>
  </w:style>
  <w:style w:type="paragraph" w:styleId="Ttulo1">
    <w:name w:val="heading 1"/>
    <w:basedOn w:val="Normal"/>
    <w:next w:val="Normal"/>
    <w:link w:val="Ttulo1Car"/>
    <w:uiPriority w:val="9"/>
    <w:qFormat/>
    <w:rsid w:val="006554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554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554A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554A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554A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554A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554A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554A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554A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6554AA"/>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6554A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554A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554A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554A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554A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554A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554A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554A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554AA"/>
    <w:rPr>
      <w:rFonts w:eastAsiaTheme="majorEastAsia" w:cstheme="majorBidi"/>
      <w:color w:val="272727" w:themeColor="text1" w:themeTint="D8"/>
    </w:rPr>
  </w:style>
  <w:style w:type="character" w:customStyle="1" w:styleId="PuestoCar">
    <w:name w:val="Puesto Car"/>
    <w:basedOn w:val="Fuentedeprrafopredeter"/>
    <w:link w:val="Puesto"/>
    <w:uiPriority w:val="10"/>
    <w:rsid w:val="006554A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554A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554AA"/>
    <w:pPr>
      <w:spacing w:before="160"/>
      <w:jc w:val="center"/>
    </w:pPr>
    <w:rPr>
      <w:i/>
      <w:iCs/>
      <w:color w:val="404040" w:themeColor="text1" w:themeTint="BF"/>
    </w:rPr>
  </w:style>
  <w:style w:type="character" w:customStyle="1" w:styleId="CitaCar">
    <w:name w:val="Cita Car"/>
    <w:basedOn w:val="Fuentedeprrafopredeter"/>
    <w:link w:val="Cita"/>
    <w:uiPriority w:val="29"/>
    <w:rsid w:val="006554AA"/>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554AA"/>
    <w:pPr>
      <w:ind w:left="720"/>
      <w:contextualSpacing/>
    </w:pPr>
  </w:style>
  <w:style w:type="character" w:styleId="nfasisintenso">
    <w:name w:val="Intense Emphasis"/>
    <w:basedOn w:val="Fuentedeprrafopredeter"/>
    <w:uiPriority w:val="21"/>
    <w:qFormat/>
    <w:rsid w:val="006554AA"/>
    <w:rPr>
      <w:i/>
      <w:iCs/>
      <w:color w:val="2F5496" w:themeColor="accent1" w:themeShade="BF"/>
    </w:rPr>
  </w:style>
  <w:style w:type="paragraph" w:styleId="Citadestacada">
    <w:name w:val="Intense Quote"/>
    <w:basedOn w:val="Normal"/>
    <w:next w:val="Normal"/>
    <w:link w:val="CitadestacadaCar"/>
    <w:uiPriority w:val="30"/>
    <w:qFormat/>
    <w:rsid w:val="006554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554AA"/>
    <w:rPr>
      <w:i/>
      <w:iCs/>
      <w:color w:val="2F5496" w:themeColor="accent1" w:themeShade="BF"/>
    </w:rPr>
  </w:style>
  <w:style w:type="character" w:styleId="Referenciaintensa">
    <w:name w:val="Intense Reference"/>
    <w:basedOn w:val="Fuentedeprrafopredeter"/>
    <w:uiPriority w:val="32"/>
    <w:qFormat/>
    <w:rsid w:val="006554AA"/>
    <w:rPr>
      <w:b/>
      <w:bCs/>
      <w:smallCaps/>
      <w:color w:val="2F5496" w:themeColor="accent1" w:themeShade="BF"/>
      <w:spacing w:val="5"/>
    </w:rPr>
  </w:style>
  <w:style w:type="paragraph" w:styleId="Encabezado">
    <w:name w:val="header"/>
    <w:basedOn w:val="Normal"/>
    <w:link w:val="EncabezadoCar"/>
    <w:uiPriority w:val="99"/>
    <w:unhideWhenUsed/>
    <w:rsid w:val="006554AA"/>
    <w:pPr>
      <w:tabs>
        <w:tab w:val="center" w:pos="4419"/>
        <w:tab w:val="right" w:pos="8838"/>
      </w:tabs>
    </w:pPr>
  </w:style>
  <w:style w:type="character" w:customStyle="1" w:styleId="EncabezadoCar">
    <w:name w:val="Encabezado Car"/>
    <w:basedOn w:val="Fuentedeprrafopredeter"/>
    <w:link w:val="Encabezado"/>
    <w:uiPriority w:val="99"/>
    <w:rsid w:val="006554AA"/>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554AA"/>
    <w:pPr>
      <w:tabs>
        <w:tab w:val="center" w:pos="4419"/>
        <w:tab w:val="right" w:pos="8838"/>
      </w:tabs>
    </w:pPr>
  </w:style>
  <w:style w:type="character" w:customStyle="1" w:styleId="PiedepginaCar">
    <w:name w:val="Pie de página Car"/>
    <w:basedOn w:val="Fuentedeprrafopredeter"/>
    <w:link w:val="Piedepgina"/>
    <w:uiPriority w:val="99"/>
    <w:rsid w:val="006554AA"/>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554AA"/>
  </w:style>
  <w:style w:type="table" w:styleId="Tablaconcuadrcula">
    <w:name w:val="Table Grid"/>
    <w:basedOn w:val="Tablanormal"/>
    <w:uiPriority w:val="39"/>
    <w:rsid w:val="006554A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554AA"/>
    <w:pPr>
      <w:spacing w:before="100" w:beforeAutospacing="1" w:after="100" w:afterAutospacing="1"/>
    </w:pPr>
    <w:rPr>
      <w:sz w:val="24"/>
      <w:szCs w:val="24"/>
      <w:lang w:eastAsia="es-MX"/>
    </w:rPr>
  </w:style>
  <w:style w:type="character" w:styleId="Hipervnculo">
    <w:name w:val="Hyperlink"/>
    <w:basedOn w:val="Fuentedeprrafopredeter"/>
    <w:uiPriority w:val="99"/>
    <w:unhideWhenUsed/>
    <w:rsid w:val="006554AA"/>
    <w:rPr>
      <w:color w:val="0563C1" w:themeColor="hyperlink"/>
      <w:u w:val="single"/>
    </w:rPr>
  </w:style>
  <w:style w:type="character" w:customStyle="1" w:styleId="UnresolvedMention">
    <w:name w:val="Unresolved Mention"/>
    <w:basedOn w:val="Fuentedeprrafopredeter"/>
    <w:uiPriority w:val="99"/>
    <w:semiHidden/>
    <w:unhideWhenUsed/>
    <w:rsid w:val="00887ABE"/>
    <w:rPr>
      <w:color w:val="605E5C"/>
      <w:shd w:val="clear" w:color="auto" w:fill="E1DFDD"/>
    </w:rPr>
  </w:style>
  <w:style w:type="character" w:styleId="Hipervnculovisitado">
    <w:name w:val="FollowedHyperlink"/>
    <w:basedOn w:val="Fuentedeprrafopredeter"/>
    <w:uiPriority w:val="99"/>
    <w:semiHidden/>
    <w:unhideWhenUsed/>
    <w:rsid w:val="00C303C5"/>
    <w:rPr>
      <w:color w:val="954F72" w:themeColor="followedHyperlink"/>
      <w:u w:val="single"/>
    </w:rPr>
  </w:style>
  <w:style w:type="paragraph" w:styleId="Lista">
    <w:name w:val="List"/>
    <w:basedOn w:val="Normal"/>
    <w:uiPriority w:val="99"/>
    <w:unhideWhenUsed/>
    <w:rsid w:val="005D149A"/>
    <w:pPr>
      <w:ind w:left="283" w:hanging="283"/>
      <w:contextualSpacing/>
    </w:pPr>
  </w:style>
  <w:style w:type="paragraph" w:styleId="Lista2">
    <w:name w:val="List 2"/>
    <w:basedOn w:val="Normal"/>
    <w:uiPriority w:val="99"/>
    <w:unhideWhenUsed/>
    <w:rsid w:val="005D149A"/>
    <w:pPr>
      <w:ind w:left="566" w:hanging="283"/>
      <w:contextualSpacing/>
    </w:pPr>
  </w:style>
  <w:style w:type="paragraph" w:styleId="Saludo">
    <w:name w:val="Salutation"/>
    <w:basedOn w:val="Normal"/>
    <w:next w:val="Normal"/>
    <w:link w:val="SaludoCar"/>
    <w:uiPriority w:val="99"/>
    <w:unhideWhenUsed/>
    <w:rsid w:val="005D149A"/>
  </w:style>
  <w:style w:type="character" w:customStyle="1" w:styleId="SaludoCar">
    <w:name w:val="Saludo Car"/>
    <w:basedOn w:val="Fuentedeprrafopredeter"/>
    <w:link w:val="Saludo"/>
    <w:uiPriority w:val="99"/>
    <w:rsid w:val="005D149A"/>
    <w:rPr>
      <w:rFonts w:ascii="Times New Roman" w:eastAsia="Times New Roman" w:hAnsi="Times New Roman" w:cs="Times New Roman"/>
      <w:kern w:val="0"/>
      <w:sz w:val="20"/>
      <w:szCs w:val="20"/>
      <w:lang w:eastAsia="es-ES"/>
    </w:rPr>
  </w:style>
  <w:style w:type="paragraph" w:styleId="Listaconvietas2">
    <w:name w:val="List Bullet 2"/>
    <w:basedOn w:val="Normal"/>
    <w:uiPriority w:val="99"/>
    <w:unhideWhenUsed/>
    <w:rsid w:val="005D149A"/>
    <w:pPr>
      <w:numPr>
        <w:numId w:val="6"/>
      </w:numPr>
      <w:contextualSpacing/>
    </w:pPr>
  </w:style>
  <w:style w:type="paragraph" w:styleId="Continuarlista">
    <w:name w:val="List Continue"/>
    <w:basedOn w:val="Normal"/>
    <w:uiPriority w:val="99"/>
    <w:unhideWhenUsed/>
    <w:rsid w:val="005D149A"/>
    <w:pPr>
      <w:spacing w:after="120"/>
      <w:ind w:left="283"/>
      <w:contextualSpacing/>
    </w:pPr>
  </w:style>
  <w:style w:type="paragraph" w:styleId="Textoindependiente">
    <w:name w:val="Body Text"/>
    <w:basedOn w:val="Normal"/>
    <w:link w:val="TextoindependienteCar"/>
    <w:uiPriority w:val="99"/>
    <w:unhideWhenUsed/>
    <w:rsid w:val="005D149A"/>
    <w:pPr>
      <w:spacing w:after="120"/>
    </w:pPr>
  </w:style>
  <w:style w:type="character" w:customStyle="1" w:styleId="TextoindependienteCar">
    <w:name w:val="Texto independiente Car"/>
    <w:basedOn w:val="Fuentedeprrafopredeter"/>
    <w:link w:val="Textoindependiente"/>
    <w:uiPriority w:val="99"/>
    <w:rsid w:val="005D149A"/>
    <w:rPr>
      <w:rFonts w:ascii="Times New Roman" w:eastAsia="Times New Roman" w:hAnsi="Times New Roman" w:cs="Times New Roman"/>
      <w:kern w:val="0"/>
      <w:sz w:val="20"/>
      <w:szCs w:val="20"/>
      <w:lang w:eastAsia="es-ES"/>
    </w:rPr>
  </w:style>
  <w:style w:type="paragraph" w:styleId="Sangradetextonormal">
    <w:name w:val="Body Text Indent"/>
    <w:basedOn w:val="Normal"/>
    <w:link w:val="SangradetextonormalCar"/>
    <w:uiPriority w:val="99"/>
    <w:semiHidden/>
    <w:unhideWhenUsed/>
    <w:rsid w:val="005D149A"/>
    <w:pPr>
      <w:spacing w:after="120"/>
      <w:ind w:left="283"/>
    </w:pPr>
  </w:style>
  <w:style w:type="character" w:customStyle="1" w:styleId="SangradetextonormalCar">
    <w:name w:val="Sangría de texto normal Car"/>
    <w:basedOn w:val="Fuentedeprrafopredeter"/>
    <w:link w:val="Sangradetextonormal"/>
    <w:uiPriority w:val="99"/>
    <w:semiHidden/>
    <w:rsid w:val="005D149A"/>
    <w:rPr>
      <w:rFonts w:ascii="Times New Roman" w:eastAsia="Times New Roman" w:hAnsi="Times New Roman" w:cs="Times New Roman"/>
      <w:kern w:val="0"/>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5D149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D149A"/>
    <w:rPr>
      <w:rFonts w:ascii="Times New Roman" w:eastAsia="Times New Roman" w:hAnsi="Times New Roman" w:cs="Times New Roman"/>
      <w:kern w:val="0"/>
      <w:sz w:val="20"/>
      <w:szCs w:val="20"/>
      <w:lang w:eastAsia="es-E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youtube.com/watch?v=WvQAVNiqXUQ"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Dw-RBYRTPlI"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WvQAVNiqXUQ"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uLQBGDht7bcLzWw8oNJyxq+rtQ==">CgMxLjAyDmgudTl3d3oxZGxudnFmMg5oLjVjeTZiaG1kZWNkYjIOaC43YzhxZWx2eGc1cGY4AHIhMTNVbV9ReGJROVNxdGhudW56b0c1dFl2dnhoYkFoNDg4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4456</Words>
  <Characters>24510</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2025-03-28T00:25:00Z</cp:lastPrinted>
  <dcterms:created xsi:type="dcterms:W3CDTF">2025-03-28T00:25:00Z</dcterms:created>
  <dcterms:modified xsi:type="dcterms:W3CDTF">2025-03-28T00:25:00Z</dcterms:modified>
</cp:coreProperties>
</file>