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FC28" w14:textId="77777777" w:rsidR="005A079F" w:rsidRPr="00FC39E5" w:rsidRDefault="00AF36D8">
      <w:pPr>
        <w:spacing w:before="240" w:after="240" w:line="360" w:lineRule="auto"/>
        <w:ind w:right="49"/>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veintidós de enero de dos mil veinticinco.</w:t>
      </w:r>
    </w:p>
    <w:p w14:paraId="24B1541D" w14:textId="77EF1E1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Vistos </w:t>
      </w:r>
      <w:r w:rsidRPr="00FC39E5">
        <w:rPr>
          <w:rFonts w:ascii="Palatino Linotype" w:eastAsia="Palatino Linotype" w:hAnsi="Palatino Linotype" w:cs="Palatino Linotype"/>
          <w:sz w:val="24"/>
          <w:szCs w:val="24"/>
        </w:rPr>
        <w:t xml:space="preserve">los expedientes relativos a los recursos de revisión número </w:t>
      </w:r>
      <w:r w:rsidRPr="00FC39E5">
        <w:rPr>
          <w:rFonts w:ascii="Palatino Linotype" w:eastAsia="Palatino Linotype" w:hAnsi="Palatino Linotype" w:cs="Palatino Linotype"/>
          <w:b/>
          <w:sz w:val="24"/>
          <w:szCs w:val="24"/>
        </w:rPr>
        <w:t xml:space="preserve">07534/INFOEM/IP/RR/2024, 07535/INFOEM/IP/RR/2024  </w:t>
      </w:r>
      <w:r w:rsidRPr="00FC39E5">
        <w:rPr>
          <w:rFonts w:ascii="Palatino Linotype" w:eastAsia="Palatino Linotype" w:hAnsi="Palatino Linotype" w:cs="Palatino Linotype"/>
          <w:sz w:val="24"/>
          <w:szCs w:val="24"/>
        </w:rPr>
        <w:t>y</w:t>
      </w:r>
      <w:r w:rsidRPr="00FC39E5">
        <w:rPr>
          <w:rFonts w:ascii="Palatino Linotype" w:eastAsia="Palatino Linotype" w:hAnsi="Palatino Linotype" w:cs="Palatino Linotype"/>
          <w:b/>
          <w:sz w:val="24"/>
          <w:szCs w:val="24"/>
        </w:rPr>
        <w:t xml:space="preserve"> 07540/INFOEM/IP/RR/2024, acumulados, </w:t>
      </w:r>
      <w:r w:rsidRPr="00FC39E5">
        <w:rPr>
          <w:rFonts w:ascii="Palatino Linotype" w:eastAsia="Palatino Linotype" w:hAnsi="Palatino Linotype" w:cs="Palatino Linotype"/>
          <w:sz w:val="24"/>
          <w:szCs w:val="24"/>
        </w:rPr>
        <w:t>interpuestos por</w:t>
      </w:r>
      <w:r w:rsidRPr="00FC39E5">
        <w:rPr>
          <w:rFonts w:ascii="Palatino Linotype" w:eastAsia="Palatino Linotype" w:hAnsi="Palatino Linotype" w:cs="Palatino Linotype"/>
          <w:b/>
          <w:sz w:val="24"/>
          <w:szCs w:val="24"/>
        </w:rPr>
        <w:t xml:space="preserve"> </w:t>
      </w:r>
      <w:r w:rsidR="0055105A" w:rsidRPr="0055105A">
        <w:rPr>
          <w:rFonts w:ascii="Palatino Linotype" w:eastAsia="Palatino Linotype" w:hAnsi="Palatino Linotype" w:cs="Palatino Linotype"/>
          <w:b/>
          <w:sz w:val="24"/>
          <w:szCs w:val="24"/>
        </w:rPr>
        <w:t>XXXXXXXX XXXXXX XXXXXXX</w:t>
      </w:r>
      <w:r w:rsidRPr="00FC39E5">
        <w:rPr>
          <w:rFonts w:ascii="Palatino Linotype" w:eastAsia="Palatino Linotype" w:hAnsi="Palatino Linotype" w:cs="Palatino Linotype"/>
          <w:sz w:val="24"/>
          <w:szCs w:val="24"/>
        </w:rPr>
        <w:t xml:space="preserve">, en lo sucesivo la parte </w:t>
      </w:r>
      <w:r w:rsidRPr="00FC39E5">
        <w:rPr>
          <w:rFonts w:ascii="Palatino Linotype" w:eastAsia="Palatino Linotype" w:hAnsi="Palatino Linotype" w:cs="Palatino Linotype"/>
          <w:b/>
          <w:sz w:val="24"/>
          <w:szCs w:val="24"/>
        </w:rPr>
        <w:t>Recurrente</w:t>
      </w:r>
      <w:r w:rsidRPr="00FC39E5">
        <w:rPr>
          <w:rFonts w:ascii="Palatino Linotype" w:eastAsia="Palatino Linotype" w:hAnsi="Palatino Linotype" w:cs="Palatino Linotype"/>
          <w:sz w:val="24"/>
          <w:szCs w:val="24"/>
        </w:rPr>
        <w:t xml:space="preserve">, en contra de la respuesta a las solicitudes de información con números de folio </w:t>
      </w:r>
      <w:r w:rsidRPr="00FC39E5">
        <w:rPr>
          <w:rFonts w:ascii="Palatino Linotype" w:eastAsia="Palatino Linotype" w:hAnsi="Palatino Linotype" w:cs="Palatino Linotype"/>
          <w:b/>
          <w:sz w:val="24"/>
          <w:szCs w:val="24"/>
        </w:rPr>
        <w:t xml:space="preserve">00129/MEXICAL/IP/2024, 00131/MEXICAL/IP/2024 </w:t>
      </w:r>
      <w:r w:rsidRPr="00FC39E5">
        <w:rPr>
          <w:rFonts w:ascii="Palatino Linotype" w:eastAsia="Palatino Linotype" w:hAnsi="Palatino Linotype" w:cs="Palatino Linotype"/>
          <w:sz w:val="24"/>
          <w:szCs w:val="24"/>
        </w:rPr>
        <w:t>y</w:t>
      </w:r>
      <w:r w:rsidRPr="00FC39E5">
        <w:rPr>
          <w:rFonts w:ascii="Palatino Linotype" w:eastAsia="Palatino Linotype" w:hAnsi="Palatino Linotype" w:cs="Palatino Linotype"/>
          <w:b/>
          <w:sz w:val="24"/>
          <w:szCs w:val="24"/>
        </w:rPr>
        <w:t xml:space="preserve"> 00188/MEXICAL/IP/2024, </w:t>
      </w:r>
      <w:r w:rsidRPr="00FC39E5">
        <w:rPr>
          <w:rFonts w:ascii="Palatino Linotype" w:eastAsia="Palatino Linotype" w:hAnsi="Palatino Linotype" w:cs="Palatino Linotype"/>
          <w:sz w:val="24"/>
          <w:szCs w:val="24"/>
        </w:rPr>
        <w:t xml:space="preserve">por parte del </w:t>
      </w:r>
      <w:r w:rsidRPr="00FC39E5">
        <w:rPr>
          <w:rFonts w:ascii="Palatino Linotype" w:eastAsia="Palatino Linotype" w:hAnsi="Palatino Linotype" w:cs="Palatino Linotype"/>
          <w:b/>
          <w:sz w:val="24"/>
          <w:szCs w:val="24"/>
        </w:rPr>
        <w:t xml:space="preserve">Ayuntamiento de Mexicaltzingo, </w:t>
      </w:r>
      <w:r w:rsidRPr="00FC39E5">
        <w:rPr>
          <w:rFonts w:ascii="Palatino Linotype" w:eastAsia="Palatino Linotype" w:hAnsi="Palatino Linotype" w:cs="Palatino Linotype"/>
          <w:sz w:val="24"/>
          <w:szCs w:val="24"/>
        </w:rPr>
        <w:t xml:space="preserve">en lo sucesivo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se procede a dictar la presente resolución, con base en lo siguiente:</w:t>
      </w:r>
    </w:p>
    <w:p w14:paraId="41F49E3F" w14:textId="77777777" w:rsidR="005A079F" w:rsidRPr="00FC39E5" w:rsidRDefault="00AF36D8">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FC39E5">
        <w:rPr>
          <w:rFonts w:ascii="Palatino Linotype" w:eastAsia="Palatino Linotype" w:hAnsi="Palatino Linotype" w:cs="Palatino Linotype"/>
          <w:b/>
          <w:sz w:val="24"/>
          <w:szCs w:val="24"/>
        </w:rPr>
        <w:t xml:space="preserve">I. A N T E C E D E N T E </w:t>
      </w:r>
      <w:proofErr w:type="gramStart"/>
      <w:r w:rsidRPr="00FC39E5">
        <w:rPr>
          <w:rFonts w:ascii="Palatino Linotype" w:eastAsia="Palatino Linotype" w:hAnsi="Palatino Linotype" w:cs="Palatino Linotype"/>
          <w:b/>
          <w:sz w:val="24"/>
          <w:szCs w:val="24"/>
        </w:rPr>
        <w:t>S :</w:t>
      </w:r>
      <w:proofErr w:type="gramEnd"/>
    </w:p>
    <w:p w14:paraId="6067BC30"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1.</w:t>
      </w: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 xml:space="preserve">Solicitudes de Información. </w:t>
      </w:r>
      <w:r w:rsidRPr="00FC39E5">
        <w:rPr>
          <w:rFonts w:ascii="Palatino Linotype" w:eastAsia="Palatino Linotype" w:hAnsi="Palatino Linotype" w:cs="Palatino Linotype"/>
          <w:sz w:val="24"/>
          <w:szCs w:val="24"/>
        </w:rPr>
        <w:t xml:space="preserve">El </w:t>
      </w:r>
      <w:r w:rsidRPr="00FC39E5">
        <w:rPr>
          <w:rFonts w:ascii="Palatino Linotype" w:eastAsia="Palatino Linotype" w:hAnsi="Palatino Linotype" w:cs="Palatino Linotype"/>
          <w:b/>
          <w:sz w:val="24"/>
          <w:szCs w:val="24"/>
        </w:rPr>
        <w:t xml:space="preserve">veinticuatro de octubre y seis de noviembre de dos mil veinticuatro, </w:t>
      </w:r>
      <w:r w:rsidRPr="00FC39E5">
        <w:rPr>
          <w:rFonts w:ascii="Palatino Linotype" w:eastAsia="Palatino Linotype" w:hAnsi="Palatino Linotype" w:cs="Palatino Linotype"/>
          <w:sz w:val="24"/>
          <w:szCs w:val="24"/>
        </w:rPr>
        <w:t>la persona solicitante</w:t>
      </w:r>
      <w:r w:rsidRPr="00FC39E5">
        <w:rPr>
          <w:rFonts w:ascii="Palatino Linotype" w:eastAsia="Palatino Linotype" w:hAnsi="Palatino Linotype" w:cs="Palatino Linotype"/>
          <w:b/>
          <w:sz w:val="24"/>
          <w:szCs w:val="24"/>
        </w:rPr>
        <w:t xml:space="preserve"> </w:t>
      </w:r>
      <w:r w:rsidRPr="00FC39E5">
        <w:rPr>
          <w:rFonts w:ascii="Palatino Linotype" w:eastAsia="Palatino Linotype" w:hAnsi="Palatino Linotype" w:cs="Palatino Linotype"/>
          <w:sz w:val="24"/>
          <w:szCs w:val="24"/>
        </w:rPr>
        <w:t xml:space="preserve">presentó, través del Sistema de Acceso a la Información Mexiquense, en lo subsecuente el </w:t>
      </w:r>
      <w:r w:rsidRPr="00FC39E5">
        <w:rPr>
          <w:rFonts w:ascii="Palatino Linotype" w:eastAsia="Palatino Linotype" w:hAnsi="Palatino Linotype" w:cs="Palatino Linotype"/>
          <w:b/>
          <w:sz w:val="24"/>
          <w:szCs w:val="24"/>
        </w:rPr>
        <w:t xml:space="preserve">SAIMEX, </w:t>
      </w:r>
      <w:r w:rsidRPr="00FC39E5">
        <w:rPr>
          <w:rFonts w:ascii="Palatino Linotype" w:eastAsia="Palatino Linotype" w:hAnsi="Palatino Linotype" w:cs="Palatino Linotype"/>
          <w:sz w:val="24"/>
          <w:szCs w:val="24"/>
        </w:rPr>
        <w:t xml:space="preserve">ante el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las solicitudes de acceso a la información pública, mediante las cuales requirió la información siguiente:</w:t>
      </w:r>
    </w:p>
    <w:p w14:paraId="06AB6D76" w14:textId="77777777" w:rsidR="005A079F" w:rsidRPr="00FC39E5" w:rsidRDefault="005A079F">
      <w:pPr>
        <w:spacing w:before="240" w:after="240" w:line="360" w:lineRule="auto"/>
        <w:jc w:val="both"/>
        <w:rPr>
          <w:rFonts w:ascii="Palatino Linotype" w:eastAsia="Palatino Linotype" w:hAnsi="Palatino Linotype" w:cs="Palatino Linotype"/>
          <w:sz w:val="24"/>
          <w:szCs w:val="24"/>
        </w:rPr>
      </w:pPr>
    </w:p>
    <w:tbl>
      <w:tblPr>
        <w:tblStyle w:val="affff"/>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E02C5B" w:rsidRPr="00FC39E5" w14:paraId="67772414" w14:textId="77777777">
        <w:trPr>
          <w:jc w:val="center"/>
        </w:trPr>
        <w:tc>
          <w:tcPr>
            <w:tcW w:w="3141" w:type="dxa"/>
            <w:shd w:val="clear" w:color="auto" w:fill="D0CECE"/>
            <w:vAlign w:val="center"/>
          </w:tcPr>
          <w:p w14:paraId="7992EA2E" w14:textId="77777777" w:rsidR="005A079F" w:rsidRPr="00FC39E5" w:rsidRDefault="00AF36D8">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FC39E5">
              <w:rPr>
                <w:rFonts w:ascii="Palatino Linotype" w:eastAsia="Palatino Linotype" w:hAnsi="Palatino Linotype" w:cs="Palatino Linotype"/>
                <w:b/>
                <w:sz w:val="20"/>
                <w:szCs w:val="20"/>
              </w:rPr>
              <w:lastRenderedPageBreak/>
              <w:t>Número de solicitud</w:t>
            </w:r>
          </w:p>
        </w:tc>
        <w:tc>
          <w:tcPr>
            <w:tcW w:w="5670" w:type="dxa"/>
            <w:shd w:val="clear" w:color="auto" w:fill="D0CECE"/>
            <w:vAlign w:val="center"/>
          </w:tcPr>
          <w:p w14:paraId="142EEE42" w14:textId="77777777" w:rsidR="005A079F" w:rsidRPr="00FC39E5" w:rsidRDefault="00AF36D8">
            <w:pPr>
              <w:spacing w:before="120" w:after="120" w:line="240" w:lineRule="auto"/>
              <w:jc w:val="center"/>
              <w:rPr>
                <w:rFonts w:ascii="Palatino Linotype" w:eastAsia="Palatino Linotype" w:hAnsi="Palatino Linotype" w:cs="Palatino Linotype"/>
                <w:b/>
                <w:i/>
                <w:sz w:val="20"/>
                <w:szCs w:val="20"/>
              </w:rPr>
            </w:pPr>
            <w:r w:rsidRPr="00FC39E5">
              <w:rPr>
                <w:rFonts w:ascii="Palatino Linotype" w:eastAsia="Palatino Linotype" w:hAnsi="Palatino Linotype" w:cs="Palatino Linotype"/>
                <w:b/>
                <w:sz w:val="20"/>
                <w:szCs w:val="20"/>
              </w:rPr>
              <w:t>Información solicitada</w:t>
            </w:r>
          </w:p>
        </w:tc>
      </w:tr>
      <w:tr w:rsidR="00E02C5B" w:rsidRPr="00FC39E5" w14:paraId="192E07D7" w14:textId="77777777">
        <w:trPr>
          <w:jc w:val="center"/>
        </w:trPr>
        <w:tc>
          <w:tcPr>
            <w:tcW w:w="3141" w:type="dxa"/>
          </w:tcPr>
          <w:p w14:paraId="60B005C1"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bookmarkStart w:id="1" w:name="_heading=h.3znysh7" w:colFirst="0" w:colLast="0"/>
            <w:bookmarkEnd w:id="1"/>
            <w:r w:rsidRPr="00FC39E5">
              <w:rPr>
                <w:rFonts w:ascii="Palatino Linotype" w:eastAsia="Palatino Linotype" w:hAnsi="Palatino Linotype" w:cs="Palatino Linotype"/>
                <w:b/>
                <w:sz w:val="20"/>
                <w:szCs w:val="20"/>
              </w:rPr>
              <w:t>00129/MEXICAL/IP/2024</w:t>
            </w:r>
          </w:p>
          <w:p w14:paraId="5BD9ABEE" w14:textId="77777777" w:rsidR="005A079F" w:rsidRPr="00FC39E5" w:rsidRDefault="00AF36D8">
            <w:pPr>
              <w:spacing w:before="120" w:after="120" w:line="240" w:lineRule="auto"/>
              <w:jc w:val="center"/>
              <w:rPr>
                <w:rFonts w:ascii="Palatino Linotype" w:eastAsia="Palatino Linotype" w:hAnsi="Palatino Linotype" w:cs="Palatino Linotype"/>
                <w:b/>
                <w:i/>
                <w:sz w:val="20"/>
                <w:szCs w:val="20"/>
              </w:rPr>
            </w:pPr>
            <w:r w:rsidRPr="00FC39E5">
              <w:rPr>
                <w:rFonts w:ascii="Palatino Linotype" w:eastAsia="Palatino Linotype" w:hAnsi="Palatino Linotype" w:cs="Palatino Linotype"/>
                <w:b/>
                <w:sz w:val="20"/>
                <w:szCs w:val="20"/>
              </w:rPr>
              <w:t>07535/INFOEM/IP/RR/2024</w:t>
            </w:r>
          </w:p>
        </w:tc>
        <w:tc>
          <w:tcPr>
            <w:tcW w:w="5670" w:type="dxa"/>
          </w:tcPr>
          <w:p w14:paraId="48A5BC1A"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“INFORME LAS PLAZAS VACANTES EN EL ORGANO INTERNO DE CONTROL DE MEXICALTZINGO HACIENDO ENFASIS AL: PERFIL PLAZA ACTIVIDADES A REALIZAR" (sic)</w:t>
            </w:r>
          </w:p>
        </w:tc>
      </w:tr>
      <w:tr w:rsidR="00E02C5B" w:rsidRPr="00FC39E5" w14:paraId="6A2F3152" w14:textId="77777777">
        <w:trPr>
          <w:jc w:val="center"/>
        </w:trPr>
        <w:tc>
          <w:tcPr>
            <w:tcW w:w="3141" w:type="dxa"/>
            <w:vAlign w:val="center"/>
          </w:tcPr>
          <w:p w14:paraId="15EF8725"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00131/MEXICAL/IP/2024</w:t>
            </w:r>
          </w:p>
          <w:p w14:paraId="21204739"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07534/INFOEM/IP/RR/2024</w:t>
            </w:r>
          </w:p>
        </w:tc>
        <w:tc>
          <w:tcPr>
            <w:tcW w:w="5670" w:type="dxa"/>
          </w:tcPr>
          <w:p w14:paraId="6E5912B2"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“PERFIL DE LOS INTEGRANTES DEL OIC" (sic)</w:t>
            </w:r>
          </w:p>
        </w:tc>
      </w:tr>
      <w:tr w:rsidR="00E02C5B" w:rsidRPr="00FC39E5" w14:paraId="03817AEB" w14:textId="77777777">
        <w:trPr>
          <w:jc w:val="center"/>
        </w:trPr>
        <w:tc>
          <w:tcPr>
            <w:tcW w:w="3141" w:type="dxa"/>
            <w:vAlign w:val="center"/>
          </w:tcPr>
          <w:p w14:paraId="2F83FDF7"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00188/MEXICAL/IP/2024</w:t>
            </w:r>
          </w:p>
          <w:p w14:paraId="75B2CB23"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07540/INFOEM/IP/RR/2024</w:t>
            </w:r>
          </w:p>
        </w:tc>
        <w:tc>
          <w:tcPr>
            <w:tcW w:w="5670" w:type="dxa"/>
          </w:tcPr>
          <w:p w14:paraId="6727F8D2"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“NUMERO DE VACANTES EN EL OIC PERFIL REQUERIDO EN LA CONTRALORIA PARA OCUPAR ALGUNA VACANTE” (sic)</w:t>
            </w:r>
          </w:p>
        </w:tc>
      </w:tr>
    </w:tbl>
    <w:p w14:paraId="195528B2"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Modalidad elegida para la entrega de la información: </w:t>
      </w:r>
      <w:r w:rsidRPr="00FC39E5">
        <w:rPr>
          <w:rFonts w:ascii="Palatino Linotype" w:eastAsia="Palatino Linotype" w:hAnsi="Palatino Linotype" w:cs="Palatino Linotype"/>
          <w:sz w:val="24"/>
          <w:szCs w:val="24"/>
        </w:rPr>
        <w:t>a través del SAIMEX en todos los casos.</w:t>
      </w:r>
    </w:p>
    <w:p w14:paraId="7306E54A" w14:textId="77777777" w:rsidR="005A079F" w:rsidRPr="00FC39E5" w:rsidRDefault="00AF36D8">
      <w:pPr>
        <w:widowControl w:val="0"/>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2</w:t>
      </w: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 xml:space="preserve">Respuesta. </w:t>
      </w:r>
      <w:r w:rsidRPr="00FC39E5">
        <w:rPr>
          <w:rFonts w:ascii="Palatino Linotype" w:eastAsia="Palatino Linotype" w:hAnsi="Palatino Linotype" w:cs="Palatino Linotype"/>
          <w:sz w:val="24"/>
          <w:szCs w:val="24"/>
        </w:rPr>
        <w:t xml:space="preserve">El </w:t>
      </w:r>
      <w:r w:rsidRPr="00FC39E5">
        <w:rPr>
          <w:rFonts w:ascii="Palatino Linotype" w:eastAsia="Palatino Linotype" w:hAnsi="Palatino Linotype" w:cs="Palatino Linotype"/>
          <w:b/>
          <w:sz w:val="24"/>
          <w:szCs w:val="24"/>
        </w:rPr>
        <w:t>quince de noviembre de dos mil veinticuatro</w:t>
      </w:r>
      <w:r w:rsidRPr="00FC39E5">
        <w:rPr>
          <w:rFonts w:ascii="Palatino Linotype" w:eastAsia="Palatino Linotype" w:hAnsi="Palatino Linotype" w:cs="Palatino Linotype"/>
          <w:sz w:val="24"/>
          <w:szCs w:val="24"/>
        </w:rPr>
        <w:t xml:space="preserve">,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E02C5B" w:rsidRPr="00FC39E5" w14:paraId="0303FC9A" w14:textId="77777777">
        <w:trPr>
          <w:jc w:val="center"/>
        </w:trPr>
        <w:tc>
          <w:tcPr>
            <w:tcW w:w="3114" w:type="dxa"/>
            <w:shd w:val="clear" w:color="auto" w:fill="D0CECE"/>
          </w:tcPr>
          <w:p w14:paraId="6A9743A9"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Número de solicitud</w:t>
            </w:r>
          </w:p>
        </w:tc>
        <w:tc>
          <w:tcPr>
            <w:tcW w:w="5714" w:type="dxa"/>
            <w:shd w:val="clear" w:color="auto" w:fill="D0CECE"/>
          </w:tcPr>
          <w:p w14:paraId="480BAD4B"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Respuesta</w:t>
            </w:r>
          </w:p>
        </w:tc>
      </w:tr>
      <w:tr w:rsidR="00E02C5B" w:rsidRPr="00FC39E5" w14:paraId="20432195" w14:textId="77777777">
        <w:trPr>
          <w:jc w:val="center"/>
        </w:trPr>
        <w:tc>
          <w:tcPr>
            <w:tcW w:w="3114" w:type="dxa"/>
            <w:vAlign w:val="center"/>
          </w:tcPr>
          <w:p w14:paraId="4AFE5811"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00129/MEXICAL/IP/2024</w:t>
            </w:r>
          </w:p>
          <w:p w14:paraId="1A855FE5"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07535/INFOEM/IP/RR/2024</w:t>
            </w:r>
          </w:p>
        </w:tc>
        <w:tc>
          <w:tcPr>
            <w:tcW w:w="5714" w:type="dxa"/>
          </w:tcPr>
          <w:p w14:paraId="09BC84E6" w14:textId="77777777" w:rsidR="005A079F" w:rsidRPr="00FC39E5" w:rsidRDefault="00AF36D8">
            <w:pPr>
              <w:spacing w:before="120" w:after="120" w:line="240" w:lineRule="auto"/>
              <w:jc w:val="both"/>
              <w:rPr>
                <w:rFonts w:ascii="Palatino Linotype" w:eastAsia="Palatino Linotype" w:hAnsi="Palatino Linotype" w:cs="Palatino Linotype"/>
                <w:sz w:val="20"/>
                <w:szCs w:val="20"/>
              </w:rPr>
            </w:pPr>
            <w:r w:rsidRPr="00FC39E5">
              <w:rPr>
                <w:rFonts w:ascii="Palatino Linotype" w:eastAsia="Palatino Linotype" w:hAnsi="Palatino Linotype" w:cs="Palatino Linotype"/>
                <w:i/>
                <w:sz w:val="20"/>
                <w:szCs w:val="20"/>
              </w:rPr>
              <w:t>“...En atención a su solicitud de información, la dirección de administración, manifestó lo siguiente: NO SE CUENTAN CON PLAZAS VACANTES...” (sic)</w:t>
            </w:r>
          </w:p>
        </w:tc>
      </w:tr>
      <w:tr w:rsidR="00E02C5B" w:rsidRPr="00FC39E5" w14:paraId="434E723B" w14:textId="77777777">
        <w:trPr>
          <w:jc w:val="center"/>
        </w:trPr>
        <w:tc>
          <w:tcPr>
            <w:tcW w:w="3114" w:type="dxa"/>
            <w:vAlign w:val="center"/>
          </w:tcPr>
          <w:p w14:paraId="4A6C032E"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00131/MEXICAL/IP/2024</w:t>
            </w:r>
          </w:p>
          <w:p w14:paraId="2CC2E270" w14:textId="77777777" w:rsidR="005A079F" w:rsidRPr="00FC39E5" w:rsidRDefault="00AF36D8">
            <w:pPr>
              <w:spacing w:before="120" w:after="120" w:line="240" w:lineRule="auto"/>
              <w:jc w:val="center"/>
              <w:rPr>
                <w:rFonts w:ascii="Palatino Linotype" w:eastAsia="Palatino Linotype" w:hAnsi="Palatino Linotype" w:cs="Palatino Linotype"/>
                <w:b/>
                <w:i/>
                <w:sz w:val="20"/>
                <w:szCs w:val="20"/>
              </w:rPr>
            </w:pPr>
            <w:r w:rsidRPr="00FC39E5">
              <w:rPr>
                <w:rFonts w:ascii="Palatino Linotype" w:eastAsia="Palatino Linotype" w:hAnsi="Palatino Linotype" w:cs="Palatino Linotype"/>
                <w:b/>
                <w:sz w:val="20"/>
                <w:szCs w:val="20"/>
              </w:rPr>
              <w:t>07534/INFOEM/IP/RR/2024</w:t>
            </w:r>
          </w:p>
        </w:tc>
        <w:tc>
          <w:tcPr>
            <w:tcW w:w="5714" w:type="dxa"/>
          </w:tcPr>
          <w:p w14:paraId="4B75BDA6"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 xml:space="preserve">“…SE ANEXA AL PRESENTE PERFIL DE LOS INTEGRANTES DEL OIC. El personal que conforma la Contraloría Interna Municipal, es el siguiente: Contralor Municipal: Lic. en Derecho por la Universidad Autónoma del Estado de México. Autoridad Investigadora; Lic. en Derecho, por el Universidad de Ixtlahuaca. Autoridad Substanciadora; Lic. en Derecho, Universidad Autónoma del Estado de México. Autoridad Resolutora; que es desempeñado por el Contralor Municipal, Lic. en Derecho por la Universidad Autónoma del Estado de México. Auditor de Obra; </w:t>
            </w:r>
            <w:r w:rsidRPr="00FC39E5">
              <w:rPr>
                <w:rFonts w:ascii="Palatino Linotype" w:eastAsia="Palatino Linotype" w:hAnsi="Palatino Linotype" w:cs="Palatino Linotype"/>
                <w:i/>
                <w:sz w:val="20"/>
                <w:szCs w:val="20"/>
              </w:rPr>
              <w:lastRenderedPageBreak/>
              <w:t>Pasante de Arquitectura, estudios realizados en la Universidad Autónoma del Estado de México. Auditor de Contabilidad; Lic. en Contaduría, por la Universidad Autónoma de México. Auxiliar Jurídico; Lic. en Derecho, por la Universidad del Valle de Toluca. Cabe mencionar que las figuras de las Autoridades, de las que se hace mención están estipuladas, en el artículo 3 de la Ley de Responsabilidades Administrativas del Estado de México y Municipios.…” (sic)</w:t>
            </w:r>
          </w:p>
          <w:p w14:paraId="7EF976C5" w14:textId="77777777" w:rsidR="005A079F" w:rsidRPr="00FC39E5" w:rsidRDefault="00AF36D8">
            <w:pPr>
              <w:spacing w:before="120" w:after="120" w:line="240" w:lineRule="auto"/>
              <w:jc w:val="both"/>
              <w:rPr>
                <w:rFonts w:ascii="Palatino Linotype" w:eastAsia="Palatino Linotype" w:hAnsi="Palatino Linotype" w:cs="Palatino Linotype"/>
                <w:sz w:val="20"/>
                <w:szCs w:val="20"/>
              </w:rPr>
            </w:pPr>
            <w:r w:rsidRPr="00FC39E5">
              <w:rPr>
                <w:rFonts w:ascii="Palatino Linotype" w:eastAsia="Palatino Linotype" w:hAnsi="Palatino Linotype" w:cs="Palatino Linotype"/>
                <w:sz w:val="20"/>
                <w:szCs w:val="20"/>
              </w:rPr>
              <w:t xml:space="preserve">Archivos adjuntos: </w:t>
            </w:r>
            <w:proofErr w:type="spellStart"/>
            <w:r w:rsidRPr="00FC39E5">
              <w:rPr>
                <w:rFonts w:ascii="Palatino Linotype" w:eastAsia="Palatino Linotype" w:hAnsi="Palatino Linotype" w:cs="Palatino Linotype"/>
                <w:sz w:val="20"/>
                <w:szCs w:val="20"/>
              </w:rPr>
              <w:t>curriculum</w:t>
            </w:r>
            <w:proofErr w:type="spellEnd"/>
            <w:r w:rsidRPr="00FC39E5">
              <w:rPr>
                <w:rFonts w:ascii="Palatino Linotype" w:eastAsia="Palatino Linotype" w:hAnsi="Palatino Linotype" w:cs="Palatino Linotype"/>
                <w:sz w:val="20"/>
                <w:szCs w:val="20"/>
              </w:rPr>
              <w:t xml:space="preserve"> vitae de seis servidores públicos.</w:t>
            </w:r>
          </w:p>
        </w:tc>
      </w:tr>
      <w:tr w:rsidR="00E02C5B" w:rsidRPr="00FC39E5" w14:paraId="6FDA63D1" w14:textId="77777777">
        <w:trPr>
          <w:jc w:val="center"/>
        </w:trPr>
        <w:tc>
          <w:tcPr>
            <w:tcW w:w="3114" w:type="dxa"/>
            <w:vAlign w:val="center"/>
          </w:tcPr>
          <w:p w14:paraId="33811548"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lastRenderedPageBreak/>
              <w:t>00188/MEXICAL/IP/2024</w:t>
            </w:r>
          </w:p>
          <w:p w14:paraId="7A1A2872"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07540/INFOEM/IP/RR/2024</w:t>
            </w:r>
          </w:p>
        </w:tc>
        <w:tc>
          <w:tcPr>
            <w:tcW w:w="5714" w:type="dxa"/>
          </w:tcPr>
          <w:p w14:paraId="588E8D95"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“Para dar atención a su solicitud de información, se entrega respuesta proporcionada por la Contraloría Municipal: NO SE CUENTA CON NINGUNA VACANTE DISPONIBLE. RESPECTO AL PERFIL DE LOS INTEGRANTES DE LA CONTRALORIA MUNICIPAL, PREFERENTEMENTE QUIENES TENGAN ENFOQUE Y/O FORMACIÓN EN LAS LICENCIATURAS EN DERECHO, ADMINISTRACIÓN Y CONTABILIDAD. PARA EL CASO DEL TITULAR DEL OCI, LAS FUNCIONES QUE MARCAN LA "LEY ORGÁNICA MUNICIPAL DEL ESTADO DE MÉXICO</w:t>
            </w:r>
            <w:proofErr w:type="gramStart"/>
            <w:r w:rsidRPr="00FC39E5">
              <w:rPr>
                <w:rFonts w:ascii="Palatino Linotype" w:eastAsia="Palatino Linotype" w:hAnsi="Palatino Linotype" w:cs="Palatino Linotype"/>
                <w:i/>
                <w:sz w:val="20"/>
                <w:szCs w:val="20"/>
              </w:rPr>
              <w:t>" ,</w:t>
            </w:r>
            <w:proofErr w:type="gramEnd"/>
            <w:r w:rsidRPr="00FC39E5">
              <w:rPr>
                <w:rFonts w:ascii="Palatino Linotype" w:eastAsia="Palatino Linotype" w:hAnsi="Palatino Linotype" w:cs="Palatino Linotype"/>
                <w:i/>
                <w:sz w:val="20"/>
                <w:szCs w:val="20"/>
              </w:rPr>
              <w:t xml:space="preserve"> CAPÍTULO CUARTO DEL ÓRGANO INTERNO DE CONTROL MUNICIPAL.” (sic)</w:t>
            </w:r>
          </w:p>
        </w:tc>
      </w:tr>
    </w:tbl>
    <w:p w14:paraId="28344F33" w14:textId="77777777" w:rsidR="005A079F" w:rsidRPr="00FC39E5" w:rsidRDefault="00AF36D8">
      <w:pPr>
        <w:widowControl w:val="0"/>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3. Interposición de los recursos de revisión. </w:t>
      </w:r>
      <w:r w:rsidRPr="00FC39E5">
        <w:rPr>
          <w:rFonts w:ascii="Palatino Linotype" w:eastAsia="Palatino Linotype" w:hAnsi="Palatino Linotype" w:cs="Palatino Linotype"/>
          <w:sz w:val="24"/>
          <w:szCs w:val="24"/>
        </w:rPr>
        <w:t>Inconforme con las respuestas del</w:t>
      </w:r>
      <w:r w:rsidRPr="00FC39E5">
        <w:rPr>
          <w:rFonts w:ascii="Palatino Linotype" w:eastAsia="Palatino Linotype" w:hAnsi="Palatino Linotype" w:cs="Palatino Linotype"/>
          <w:b/>
          <w:sz w:val="24"/>
          <w:szCs w:val="24"/>
        </w:rPr>
        <w:t xml:space="preserve"> Sujeto Obligado, </w:t>
      </w:r>
      <w:r w:rsidRPr="00FC39E5">
        <w:rPr>
          <w:rFonts w:ascii="Palatino Linotype" w:eastAsia="Palatino Linotype" w:hAnsi="Palatino Linotype" w:cs="Palatino Linotype"/>
          <w:sz w:val="24"/>
          <w:szCs w:val="24"/>
        </w:rPr>
        <w:t xml:space="preserve">el </w:t>
      </w:r>
      <w:r w:rsidRPr="00FC39E5">
        <w:rPr>
          <w:rFonts w:ascii="Palatino Linotype" w:eastAsia="Palatino Linotype" w:hAnsi="Palatino Linotype" w:cs="Palatino Linotype"/>
          <w:b/>
          <w:sz w:val="24"/>
          <w:szCs w:val="24"/>
        </w:rPr>
        <w:t xml:space="preserve">seis de diciembre de dos mil veinticuatro, </w:t>
      </w:r>
      <w:r w:rsidRPr="00FC39E5">
        <w:rPr>
          <w:rFonts w:ascii="Palatino Linotype" w:eastAsia="Palatino Linotype" w:hAnsi="Palatino Linotype" w:cs="Palatino Linotype"/>
          <w:sz w:val="24"/>
          <w:szCs w:val="24"/>
        </w:rPr>
        <w:t>la parte</w:t>
      </w:r>
      <w:r w:rsidRPr="00FC39E5">
        <w:rPr>
          <w:rFonts w:ascii="Palatino Linotype" w:eastAsia="Palatino Linotype" w:hAnsi="Palatino Linotype" w:cs="Palatino Linotype"/>
          <w:b/>
          <w:sz w:val="24"/>
          <w:szCs w:val="24"/>
        </w:rPr>
        <w:t xml:space="preserve"> Recurrente </w:t>
      </w:r>
      <w:r w:rsidRPr="00FC39E5">
        <w:rPr>
          <w:rFonts w:ascii="Palatino Linotype" w:eastAsia="Palatino Linotype" w:hAnsi="Palatino Linotype" w:cs="Palatino Linotype"/>
          <w:sz w:val="24"/>
          <w:szCs w:val="24"/>
        </w:rPr>
        <w:t>interpuso los recursos de revisión, en los cuales manifestó lo siguiente:</w:t>
      </w:r>
    </w:p>
    <w:tbl>
      <w:tblPr>
        <w:tblStyle w:val="affff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E02C5B" w:rsidRPr="00FC39E5" w14:paraId="61FA2E44" w14:textId="77777777">
        <w:tc>
          <w:tcPr>
            <w:tcW w:w="2944" w:type="dxa"/>
            <w:shd w:val="clear" w:color="auto" w:fill="D0CECE"/>
            <w:vAlign w:val="center"/>
          </w:tcPr>
          <w:p w14:paraId="79CF1E2E"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Recurso de Revisión</w:t>
            </w:r>
          </w:p>
        </w:tc>
        <w:tc>
          <w:tcPr>
            <w:tcW w:w="2943" w:type="dxa"/>
            <w:shd w:val="clear" w:color="auto" w:fill="D0CECE"/>
            <w:vAlign w:val="center"/>
          </w:tcPr>
          <w:p w14:paraId="19C5D5EE"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Acto impugnado</w:t>
            </w:r>
          </w:p>
        </w:tc>
        <w:tc>
          <w:tcPr>
            <w:tcW w:w="3180" w:type="dxa"/>
            <w:shd w:val="clear" w:color="auto" w:fill="D0CECE"/>
            <w:vAlign w:val="center"/>
          </w:tcPr>
          <w:p w14:paraId="55ACD1D1"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Razones o Motivos de Inconformidad</w:t>
            </w:r>
          </w:p>
        </w:tc>
      </w:tr>
      <w:tr w:rsidR="00E02C5B" w:rsidRPr="00FC39E5" w14:paraId="064AD59E" w14:textId="77777777">
        <w:tc>
          <w:tcPr>
            <w:tcW w:w="2944" w:type="dxa"/>
          </w:tcPr>
          <w:p w14:paraId="55CDE3C2"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07534/INFOEM/IP/RR/2024</w:t>
            </w:r>
          </w:p>
        </w:tc>
        <w:tc>
          <w:tcPr>
            <w:tcW w:w="2943" w:type="dxa"/>
          </w:tcPr>
          <w:p w14:paraId="56A76962"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c>
          <w:tcPr>
            <w:tcW w:w="3180" w:type="dxa"/>
          </w:tcPr>
          <w:p w14:paraId="6F82C19F"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r>
      <w:tr w:rsidR="00E02C5B" w:rsidRPr="00FC39E5" w14:paraId="4021B7E4" w14:textId="77777777">
        <w:tc>
          <w:tcPr>
            <w:tcW w:w="2944" w:type="dxa"/>
          </w:tcPr>
          <w:p w14:paraId="7FF1D4C1"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t xml:space="preserve">07535/INFOEM/IP/RR/2024 </w:t>
            </w:r>
          </w:p>
        </w:tc>
        <w:tc>
          <w:tcPr>
            <w:tcW w:w="2943" w:type="dxa"/>
          </w:tcPr>
          <w:p w14:paraId="7B7BDF74"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c>
          <w:tcPr>
            <w:tcW w:w="3180" w:type="dxa"/>
          </w:tcPr>
          <w:p w14:paraId="5A386258"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r>
      <w:tr w:rsidR="00E02C5B" w:rsidRPr="00FC39E5" w14:paraId="3E74CA96" w14:textId="77777777">
        <w:tc>
          <w:tcPr>
            <w:tcW w:w="2944" w:type="dxa"/>
          </w:tcPr>
          <w:p w14:paraId="68986B36" w14:textId="77777777" w:rsidR="005A079F" w:rsidRPr="00FC39E5" w:rsidRDefault="00AF36D8">
            <w:pPr>
              <w:spacing w:before="120" w:after="120" w:line="240" w:lineRule="auto"/>
              <w:jc w:val="center"/>
              <w:rPr>
                <w:rFonts w:ascii="Palatino Linotype" w:eastAsia="Palatino Linotype" w:hAnsi="Palatino Linotype" w:cs="Palatino Linotype"/>
                <w:b/>
                <w:sz w:val="20"/>
                <w:szCs w:val="20"/>
              </w:rPr>
            </w:pPr>
            <w:r w:rsidRPr="00FC39E5">
              <w:rPr>
                <w:rFonts w:ascii="Palatino Linotype" w:eastAsia="Palatino Linotype" w:hAnsi="Palatino Linotype" w:cs="Palatino Linotype"/>
                <w:b/>
                <w:sz w:val="20"/>
                <w:szCs w:val="20"/>
              </w:rPr>
              <w:lastRenderedPageBreak/>
              <w:t xml:space="preserve">07540/INFOEM/IP/RR/2024 </w:t>
            </w:r>
          </w:p>
        </w:tc>
        <w:tc>
          <w:tcPr>
            <w:tcW w:w="2943" w:type="dxa"/>
          </w:tcPr>
          <w:p w14:paraId="3A55D819"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c>
          <w:tcPr>
            <w:tcW w:w="3180" w:type="dxa"/>
          </w:tcPr>
          <w:p w14:paraId="0A501CFD" w14:textId="77777777" w:rsidR="005A079F" w:rsidRPr="00FC39E5" w:rsidRDefault="00AF36D8">
            <w:pPr>
              <w:spacing w:before="120" w:after="120" w:line="240" w:lineRule="auto"/>
              <w:jc w:val="both"/>
              <w:rPr>
                <w:rFonts w:ascii="Palatino Linotype" w:eastAsia="Palatino Linotype" w:hAnsi="Palatino Linotype" w:cs="Palatino Linotype"/>
                <w:i/>
                <w:sz w:val="20"/>
                <w:szCs w:val="20"/>
              </w:rPr>
            </w:pPr>
            <w:r w:rsidRPr="00FC39E5">
              <w:rPr>
                <w:rFonts w:ascii="Palatino Linotype" w:eastAsia="Palatino Linotype" w:hAnsi="Palatino Linotype" w:cs="Palatino Linotype"/>
                <w:i/>
                <w:sz w:val="20"/>
                <w:szCs w:val="20"/>
              </w:rPr>
              <w:t>“NO CORRESPONDE LA INFORMACION RECIBIDA CON LA SOLICITADA” (sic)</w:t>
            </w:r>
          </w:p>
        </w:tc>
      </w:tr>
    </w:tbl>
    <w:p w14:paraId="218CAA92"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4. Turno. </w:t>
      </w:r>
      <w:r w:rsidRPr="00FC39E5">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los Comisionados </w:t>
      </w:r>
      <w:r w:rsidRPr="00FC39E5">
        <w:rPr>
          <w:rFonts w:ascii="Palatino Linotype" w:eastAsia="Palatino Linotype" w:hAnsi="Palatino Linotype" w:cs="Palatino Linotype"/>
          <w:b/>
          <w:sz w:val="24"/>
          <w:szCs w:val="24"/>
        </w:rPr>
        <w:t>Guadalupe Ramírez Peña</w:t>
      </w:r>
      <w:r w:rsidRPr="00FC39E5">
        <w:rPr>
          <w:rFonts w:ascii="Palatino Linotype" w:eastAsia="Palatino Linotype" w:hAnsi="Palatino Linotype" w:cs="Palatino Linotype"/>
          <w:sz w:val="24"/>
          <w:szCs w:val="24"/>
        </w:rPr>
        <w:t xml:space="preserve"> y </w:t>
      </w:r>
      <w:r w:rsidRPr="00FC39E5">
        <w:rPr>
          <w:rFonts w:ascii="Palatino Linotype" w:eastAsia="Palatino Linotype" w:hAnsi="Palatino Linotype" w:cs="Palatino Linotype"/>
          <w:b/>
          <w:sz w:val="24"/>
          <w:szCs w:val="24"/>
        </w:rPr>
        <w:t xml:space="preserve">José Martínez Vilchis, </w:t>
      </w:r>
      <w:r w:rsidRPr="00FC39E5">
        <w:rPr>
          <w:rFonts w:ascii="Palatino Linotype" w:eastAsia="Palatino Linotype" w:hAnsi="Palatino Linotype" w:cs="Palatino Linotype"/>
          <w:sz w:val="24"/>
          <w:szCs w:val="24"/>
        </w:rPr>
        <w:t>a efecto de presentar al Pleno los proyectos de resolución correspondientes.</w:t>
      </w:r>
    </w:p>
    <w:p w14:paraId="2C7860DB" w14:textId="77777777" w:rsidR="005A079F" w:rsidRPr="00FC39E5" w:rsidRDefault="00AF36D8">
      <w:pPr>
        <w:spacing w:before="240" w:after="240" w:line="360" w:lineRule="auto"/>
        <w:jc w:val="both"/>
        <w:rPr>
          <w:rFonts w:ascii="Palatino Linotype" w:eastAsia="Palatino Linotype" w:hAnsi="Palatino Linotype" w:cs="Palatino Linotype"/>
          <w:b/>
          <w:sz w:val="24"/>
          <w:szCs w:val="24"/>
        </w:rPr>
      </w:pPr>
      <w:r w:rsidRPr="00FC39E5">
        <w:rPr>
          <w:rFonts w:ascii="Palatino Linotype" w:eastAsia="Palatino Linotype" w:hAnsi="Palatino Linotype" w:cs="Palatino Linotype"/>
          <w:b/>
          <w:sz w:val="24"/>
          <w:szCs w:val="24"/>
        </w:rPr>
        <w:t xml:space="preserve">5. Admisión. </w:t>
      </w:r>
      <w:r w:rsidRPr="00FC39E5">
        <w:rPr>
          <w:rFonts w:ascii="Palatino Linotype" w:eastAsia="Palatino Linotype" w:hAnsi="Palatino Linotype" w:cs="Palatino Linotype"/>
          <w:sz w:val="24"/>
          <w:szCs w:val="24"/>
        </w:rPr>
        <w:t>El</w:t>
      </w:r>
      <w:r w:rsidRPr="00FC39E5">
        <w:rPr>
          <w:rFonts w:ascii="Palatino Linotype" w:eastAsia="Palatino Linotype" w:hAnsi="Palatino Linotype" w:cs="Palatino Linotype"/>
          <w:b/>
          <w:sz w:val="24"/>
          <w:szCs w:val="24"/>
        </w:rPr>
        <w:t xml:space="preserve"> diez y once de diciembre de dos mil veinticuatro</w:t>
      </w:r>
      <w:r w:rsidRPr="00FC39E5">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FC39E5">
        <w:rPr>
          <w:rFonts w:ascii="Palatino Linotype" w:eastAsia="Palatino Linotype" w:hAnsi="Palatino Linotype" w:cs="Palatino Linotype"/>
          <w:b/>
          <w:sz w:val="24"/>
          <w:szCs w:val="24"/>
        </w:rPr>
        <w:t xml:space="preserve">. </w:t>
      </w:r>
    </w:p>
    <w:p w14:paraId="212885C8" w14:textId="77777777" w:rsidR="005A079F" w:rsidRPr="00FC39E5" w:rsidRDefault="00AF36D8">
      <w:pPr>
        <w:widowControl w:val="0"/>
        <w:spacing w:line="360" w:lineRule="auto"/>
        <w:ind w:right="49"/>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6. Manifestaciones. </w:t>
      </w:r>
      <w:r w:rsidRPr="00FC39E5">
        <w:rPr>
          <w:rFonts w:ascii="Palatino Linotype" w:eastAsia="Palatino Linotype" w:hAnsi="Palatino Linotype" w:cs="Palatino Linotype"/>
          <w:sz w:val="24"/>
          <w:szCs w:val="24"/>
        </w:rPr>
        <w:t xml:space="preserve">De constancias del expediente electrónico del SAIMEX, se observa que el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xml:space="preserve"> fue omiso en rendir su informe justificado; así como, la parte </w:t>
      </w:r>
      <w:r w:rsidRPr="00FC39E5">
        <w:rPr>
          <w:rFonts w:ascii="Palatino Linotype" w:eastAsia="Palatino Linotype" w:hAnsi="Palatino Linotype" w:cs="Palatino Linotype"/>
          <w:b/>
          <w:sz w:val="24"/>
          <w:szCs w:val="24"/>
        </w:rPr>
        <w:t xml:space="preserve">Recurrente </w:t>
      </w:r>
      <w:r w:rsidRPr="00FC39E5">
        <w:rPr>
          <w:rFonts w:ascii="Palatino Linotype" w:eastAsia="Palatino Linotype" w:hAnsi="Palatino Linotype" w:cs="Palatino Linotype"/>
          <w:sz w:val="24"/>
          <w:szCs w:val="24"/>
        </w:rPr>
        <w:t>fue omisa en hacer valer manifestaciones o rendir alegatos que conforme a derecho resultaran procedentes, como se muestra:</w:t>
      </w:r>
    </w:p>
    <w:p w14:paraId="2AA1036D"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0" distB="0" distL="0" distR="0" wp14:anchorId="0EC30E63" wp14:editId="6C0BAA4E">
            <wp:extent cx="5612130" cy="1574165"/>
            <wp:effectExtent l="0" t="0" r="0" b="0"/>
            <wp:docPr id="19356684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30" cy="1574165"/>
                    </a:xfrm>
                    <a:prstGeom prst="rect">
                      <a:avLst/>
                    </a:prstGeom>
                    <a:ln/>
                  </pic:spPr>
                </pic:pic>
              </a:graphicData>
            </a:graphic>
          </wp:inline>
        </w:drawing>
      </w:r>
    </w:p>
    <w:p w14:paraId="7E0D4828"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lastRenderedPageBreak/>
        <w:drawing>
          <wp:inline distT="0" distB="0" distL="0" distR="0" wp14:anchorId="169150F9" wp14:editId="5FDC23D1">
            <wp:extent cx="5612130" cy="1558290"/>
            <wp:effectExtent l="0" t="0" r="0" b="0"/>
            <wp:docPr id="19356684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612130" cy="1558290"/>
                    </a:xfrm>
                    <a:prstGeom prst="rect">
                      <a:avLst/>
                    </a:prstGeom>
                    <a:ln/>
                  </pic:spPr>
                </pic:pic>
              </a:graphicData>
            </a:graphic>
          </wp:inline>
        </w:drawing>
      </w:r>
    </w:p>
    <w:p w14:paraId="5E962562"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0" distB="0" distL="0" distR="0" wp14:anchorId="1B56EE15" wp14:editId="70F85758">
            <wp:extent cx="5612130" cy="1570355"/>
            <wp:effectExtent l="0" t="0" r="0" b="0"/>
            <wp:docPr id="19356684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1570355"/>
                    </a:xfrm>
                    <a:prstGeom prst="rect">
                      <a:avLst/>
                    </a:prstGeom>
                    <a:ln/>
                  </pic:spPr>
                </pic:pic>
              </a:graphicData>
            </a:graphic>
          </wp:inline>
        </w:drawing>
      </w:r>
    </w:p>
    <w:p w14:paraId="41250E5F"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7. Acumulación de los recursos de revisión. </w:t>
      </w:r>
      <w:r w:rsidRPr="00FC39E5">
        <w:rPr>
          <w:rFonts w:ascii="Palatino Linotype" w:eastAsia="Palatino Linotype" w:hAnsi="Palatino Linotype" w:cs="Palatino Linotype"/>
          <w:sz w:val="24"/>
          <w:szCs w:val="24"/>
        </w:rPr>
        <w:t xml:space="preserve">En la </w:t>
      </w:r>
      <w:r w:rsidRPr="00FC39E5">
        <w:rPr>
          <w:rFonts w:ascii="Palatino Linotype" w:eastAsia="Palatino Linotype" w:hAnsi="Palatino Linotype" w:cs="Palatino Linotype"/>
          <w:b/>
          <w:sz w:val="24"/>
          <w:szCs w:val="24"/>
        </w:rPr>
        <w:t>Cuadragésima Cuarta Sesión Ordinaria</w:t>
      </w:r>
      <w:r w:rsidRPr="00FC39E5">
        <w:rPr>
          <w:rFonts w:ascii="Palatino Linotype" w:eastAsia="Palatino Linotype" w:hAnsi="Palatino Linotype" w:cs="Palatino Linotype"/>
          <w:sz w:val="24"/>
          <w:szCs w:val="24"/>
        </w:rPr>
        <w:t xml:space="preserve">, de fecha </w:t>
      </w:r>
      <w:r w:rsidRPr="00FC39E5">
        <w:rPr>
          <w:rFonts w:ascii="Palatino Linotype" w:eastAsia="Palatino Linotype" w:hAnsi="Palatino Linotype" w:cs="Palatino Linotype"/>
          <w:b/>
          <w:sz w:val="24"/>
          <w:szCs w:val="24"/>
        </w:rPr>
        <w:t xml:space="preserve">dieciocho de diciembre de dos mil veinticuatro, </w:t>
      </w:r>
      <w:r w:rsidRPr="00FC39E5">
        <w:rPr>
          <w:rFonts w:ascii="Palatino Linotype" w:eastAsia="Palatino Linotype" w:hAnsi="Palatino Linotype" w:cs="Palatino Linotype"/>
          <w:sz w:val="24"/>
          <w:szCs w:val="24"/>
        </w:rPr>
        <w:t xml:space="preserve">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el Pleno de este Instituto, aprobó la acumulación de los expedientes citados, a efecto de que la Comisionada </w:t>
      </w:r>
      <w:r w:rsidRPr="00FC39E5">
        <w:rPr>
          <w:rFonts w:ascii="Palatino Linotype" w:eastAsia="Palatino Linotype" w:hAnsi="Palatino Linotype" w:cs="Palatino Linotype"/>
          <w:b/>
          <w:sz w:val="24"/>
          <w:szCs w:val="24"/>
        </w:rPr>
        <w:t xml:space="preserve">Guadalupe Ramírez Peña </w:t>
      </w:r>
      <w:r w:rsidRPr="00FC39E5">
        <w:rPr>
          <w:rFonts w:ascii="Palatino Linotype" w:eastAsia="Palatino Linotype" w:hAnsi="Palatino Linotype" w:cs="Palatino Linotype"/>
          <w:sz w:val="24"/>
          <w:szCs w:val="24"/>
        </w:rPr>
        <w:t>formulara y presentara el proyecto de resolución correspondiente.</w:t>
      </w:r>
    </w:p>
    <w:p w14:paraId="45A53052" w14:textId="77777777" w:rsidR="005A079F" w:rsidRPr="00FC39E5" w:rsidRDefault="005A079F">
      <w:pPr>
        <w:spacing w:before="240" w:after="240" w:line="360" w:lineRule="auto"/>
        <w:jc w:val="both"/>
        <w:rPr>
          <w:rFonts w:ascii="Palatino Linotype" w:eastAsia="Palatino Linotype" w:hAnsi="Palatino Linotype" w:cs="Palatino Linotype"/>
          <w:sz w:val="24"/>
          <w:szCs w:val="24"/>
        </w:rPr>
      </w:pPr>
    </w:p>
    <w:p w14:paraId="6D3BA383" w14:textId="77777777" w:rsidR="005A079F" w:rsidRPr="00FC39E5" w:rsidRDefault="00AF36D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FC39E5">
        <w:rPr>
          <w:rFonts w:ascii="Palatino Linotype" w:eastAsia="Palatino Linotype" w:hAnsi="Palatino Linotype" w:cs="Palatino Linotype"/>
          <w:b/>
          <w:i/>
        </w:rPr>
        <w:lastRenderedPageBreak/>
        <w:t>Código de Procedimientos Administrativos del Estado de México</w:t>
      </w:r>
    </w:p>
    <w:p w14:paraId="23FCBDBF" w14:textId="77777777" w:rsidR="005A079F" w:rsidRPr="00FC39E5" w:rsidRDefault="00AF36D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FC39E5">
        <w:rPr>
          <w:rFonts w:ascii="Palatino Linotype" w:eastAsia="Palatino Linotype" w:hAnsi="Palatino Linotype" w:cs="Palatino Linotype"/>
          <w:b/>
          <w:i/>
        </w:rPr>
        <w:t>“Artículo 18.-</w:t>
      </w:r>
      <w:r w:rsidRPr="00FC39E5">
        <w:rPr>
          <w:rFonts w:ascii="Palatino Linotype" w:eastAsia="Palatino Linotype" w:hAnsi="Palatino Linotype" w:cs="Palatino Linotype"/>
          <w:i/>
        </w:rPr>
        <w:t xml:space="preserve"> </w:t>
      </w:r>
      <w:r w:rsidRPr="00FC39E5">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FC39E5">
        <w:rPr>
          <w:rFonts w:ascii="Palatino Linotype" w:eastAsia="Palatino Linotype" w:hAnsi="Palatino Linotype" w:cs="Palatino Linotype"/>
          <w:i/>
        </w:rPr>
        <w:t xml:space="preserve"> o a petición de parte, </w:t>
      </w:r>
      <w:r w:rsidRPr="00FC39E5">
        <w:rPr>
          <w:rFonts w:ascii="Palatino Linotype" w:eastAsia="Palatino Linotype" w:hAnsi="Palatino Linotype" w:cs="Palatino Linotype"/>
          <w:b/>
          <w:i/>
        </w:rPr>
        <w:t>cuando las partes</w:t>
      </w:r>
      <w:r w:rsidRPr="00FC39E5">
        <w:rPr>
          <w:rFonts w:ascii="Palatino Linotype" w:eastAsia="Palatino Linotype" w:hAnsi="Palatino Linotype" w:cs="Palatino Linotype"/>
          <w:i/>
        </w:rPr>
        <w:t xml:space="preserve"> o los actos administrativos sean iguales, se trate de actos conexos o </w:t>
      </w:r>
      <w:r w:rsidRPr="00FC39E5">
        <w:rPr>
          <w:rFonts w:ascii="Palatino Linotype" w:eastAsia="Palatino Linotype" w:hAnsi="Palatino Linotype" w:cs="Palatino Linotype"/>
          <w:b/>
          <w:i/>
        </w:rPr>
        <w:t>resulte conveniente el trámite unificado de los asuntos, para evitar la emisión de resoluciones contradictorias</w:t>
      </w:r>
      <w:r w:rsidRPr="00FC39E5">
        <w:rPr>
          <w:rFonts w:ascii="Palatino Linotype" w:eastAsia="Palatino Linotype" w:hAnsi="Palatino Linotype" w:cs="Palatino Linotype"/>
          <w:i/>
        </w:rPr>
        <w:t>. La misma regla se aplicará, en lo conducente, para la separación de los expedientes.”</w:t>
      </w:r>
    </w:p>
    <w:p w14:paraId="32080441" w14:textId="77777777" w:rsidR="005A079F" w:rsidRPr="00FC39E5" w:rsidRDefault="00AF36D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FC39E5">
        <w:rPr>
          <w:rFonts w:ascii="Palatino Linotype" w:eastAsia="Palatino Linotype" w:hAnsi="Palatino Linotype" w:cs="Palatino Linotype"/>
          <w:b/>
          <w:i/>
        </w:rPr>
        <w:t>Ley de Transparencia y Acceso a la Información Pública del Estado de México y Municipios</w:t>
      </w:r>
    </w:p>
    <w:p w14:paraId="78981078" w14:textId="77777777" w:rsidR="005A079F" w:rsidRPr="00FC39E5" w:rsidRDefault="00AF36D8">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FC39E5">
        <w:rPr>
          <w:rFonts w:ascii="Palatino Linotype" w:eastAsia="Palatino Linotype" w:hAnsi="Palatino Linotype" w:cs="Palatino Linotype"/>
          <w:b/>
          <w:i/>
        </w:rPr>
        <w:t>“Artículo 195.-</w:t>
      </w:r>
      <w:r w:rsidRPr="00FC39E5">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7CBCCA25"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bookmarkStart w:id="2" w:name="_heading=h.tyjcwt" w:colFirst="0" w:colLast="0"/>
      <w:bookmarkEnd w:id="2"/>
      <w:r w:rsidRPr="00FC39E5">
        <w:rPr>
          <w:rFonts w:ascii="Palatino Linotype" w:eastAsia="Palatino Linotype" w:hAnsi="Palatino Linotype" w:cs="Palatino Linotype"/>
          <w:b/>
          <w:sz w:val="24"/>
          <w:szCs w:val="24"/>
        </w:rPr>
        <w:t xml:space="preserve">8. Cierre de Instrucción. </w:t>
      </w:r>
      <w:r w:rsidRPr="00FC39E5">
        <w:rPr>
          <w:rFonts w:ascii="Palatino Linotype" w:eastAsia="Palatino Linotype" w:hAnsi="Palatino Linotype" w:cs="Palatino Linotype"/>
          <w:sz w:val="24"/>
          <w:szCs w:val="24"/>
        </w:rPr>
        <w:t xml:space="preserve">El </w:t>
      </w:r>
      <w:r w:rsidRPr="00FC39E5">
        <w:rPr>
          <w:rFonts w:ascii="Palatino Linotype" w:eastAsia="Palatino Linotype" w:hAnsi="Palatino Linotype" w:cs="Palatino Linotype"/>
          <w:b/>
          <w:sz w:val="24"/>
          <w:szCs w:val="24"/>
        </w:rPr>
        <w:t>trece de enero de dos mil veinticinco</w:t>
      </w:r>
      <w:r w:rsidRPr="00FC39E5">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71A3E5B3"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37AFF266" w14:textId="77777777" w:rsidR="005A079F" w:rsidRPr="00FC39E5" w:rsidRDefault="00AF36D8">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FC39E5">
        <w:rPr>
          <w:rFonts w:ascii="Palatino Linotype" w:eastAsia="Palatino Linotype" w:hAnsi="Palatino Linotype" w:cs="Palatino Linotype"/>
          <w:b/>
          <w:sz w:val="24"/>
          <w:szCs w:val="24"/>
        </w:rPr>
        <w:t>II. C O N S I D E R A N D O S:</w:t>
      </w:r>
    </w:p>
    <w:p w14:paraId="73F2FBF5"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Primero. Competencia.</w:t>
      </w:r>
      <w:r w:rsidRPr="00FC39E5">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w:t>
      </w:r>
      <w:r w:rsidRPr="00FC39E5">
        <w:rPr>
          <w:rFonts w:ascii="Palatino Linotype" w:eastAsia="Palatino Linotype" w:hAnsi="Palatino Linotype" w:cs="Palatino Linotype"/>
          <w:sz w:val="24"/>
          <w:szCs w:val="24"/>
        </w:rPr>
        <w:lastRenderedPageBreak/>
        <w:t xml:space="preserve">competente para conocer y resolver los presentes recursos de revisión interpuestos por la parte </w:t>
      </w:r>
      <w:r w:rsidRPr="00FC39E5">
        <w:rPr>
          <w:rFonts w:ascii="Palatino Linotype" w:eastAsia="Palatino Linotype" w:hAnsi="Palatino Linotype" w:cs="Palatino Linotype"/>
          <w:b/>
          <w:sz w:val="24"/>
          <w:szCs w:val="24"/>
        </w:rPr>
        <w:t>Recurrente</w:t>
      </w:r>
      <w:r w:rsidRPr="00FC39E5">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4BB8DC17"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Segundo. Oportunidad y Procedibilidad del Recurso de Revisión</w:t>
      </w:r>
      <w:r w:rsidRPr="00FC39E5">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0DE04263"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 xml:space="preserve">remitió la respuesta a las solicitudes de información el </w:t>
      </w:r>
      <w:r w:rsidRPr="00FC39E5">
        <w:rPr>
          <w:rFonts w:ascii="Palatino Linotype" w:eastAsia="Palatino Linotype" w:hAnsi="Palatino Linotype" w:cs="Palatino Linotype"/>
          <w:b/>
          <w:sz w:val="24"/>
          <w:szCs w:val="24"/>
        </w:rPr>
        <w:t xml:space="preserve">quince de noviembre de dos mil veinticuatro, </w:t>
      </w:r>
      <w:r w:rsidRPr="00FC39E5">
        <w:rPr>
          <w:rFonts w:ascii="Palatino Linotype" w:eastAsia="Palatino Linotype" w:hAnsi="Palatino Linotype" w:cs="Palatino Linotype"/>
          <w:sz w:val="24"/>
          <w:szCs w:val="24"/>
        </w:rPr>
        <w:t xml:space="preserve">mientras que los recursos de revisión interpuestos por la parte </w:t>
      </w:r>
      <w:r w:rsidRPr="00FC39E5">
        <w:rPr>
          <w:rFonts w:ascii="Palatino Linotype" w:eastAsia="Palatino Linotype" w:hAnsi="Palatino Linotype" w:cs="Palatino Linotype"/>
          <w:b/>
          <w:sz w:val="24"/>
          <w:szCs w:val="24"/>
        </w:rPr>
        <w:t>Recurrente</w:t>
      </w:r>
      <w:r w:rsidRPr="00FC39E5">
        <w:rPr>
          <w:rFonts w:ascii="Palatino Linotype" w:eastAsia="Palatino Linotype" w:hAnsi="Palatino Linotype" w:cs="Palatino Linotype"/>
          <w:sz w:val="24"/>
          <w:szCs w:val="24"/>
        </w:rPr>
        <w:t xml:space="preserve">, se tuvieron por presentados el </w:t>
      </w:r>
      <w:r w:rsidRPr="00FC39E5">
        <w:rPr>
          <w:rFonts w:ascii="Palatino Linotype" w:eastAsia="Palatino Linotype" w:hAnsi="Palatino Linotype" w:cs="Palatino Linotype"/>
          <w:b/>
          <w:sz w:val="24"/>
          <w:szCs w:val="24"/>
        </w:rPr>
        <w:t>seis de diciembre de dos mil veinticuatro,</w:t>
      </w:r>
      <w:r w:rsidRPr="00FC39E5">
        <w:rPr>
          <w:rFonts w:ascii="Palatino Linotype" w:eastAsia="Palatino Linotype" w:hAnsi="Palatino Linotype" w:cs="Palatino Linotype"/>
          <w:sz w:val="24"/>
          <w:szCs w:val="24"/>
        </w:rPr>
        <w:t xml:space="preserve"> esto es al décimo cuarto día hábil posterior a aquel en el que tuvo conocimiento de las respuestas impugnadas. En este sentido, se concluye que los </w:t>
      </w:r>
      <w:r w:rsidRPr="00FC39E5">
        <w:rPr>
          <w:rFonts w:ascii="Palatino Linotype" w:eastAsia="Palatino Linotype" w:hAnsi="Palatino Linotype" w:cs="Palatino Linotype"/>
          <w:sz w:val="24"/>
          <w:szCs w:val="24"/>
        </w:rPr>
        <w:lastRenderedPageBreak/>
        <w:t>presentes recursos de revisión se encuentran dentro de los márgenes temporales previstos en las disposiciones legales referidas.</w:t>
      </w:r>
    </w:p>
    <w:p w14:paraId="6F5F963F"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4113D743"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FC39E5">
        <w:rPr>
          <w:rFonts w:ascii="Palatino Linotype" w:eastAsia="Palatino Linotype" w:hAnsi="Palatino Linotype" w:cs="Palatino Linotype"/>
          <w:b/>
          <w:sz w:val="24"/>
          <w:szCs w:val="24"/>
        </w:rPr>
        <w:t>Recurrente</w:t>
      </w:r>
      <w:r w:rsidRPr="00FC39E5">
        <w:rPr>
          <w:rFonts w:ascii="Palatino Linotype" w:eastAsia="Palatino Linotype" w:hAnsi="Palatino Linotype" w:cs="Palatino Linotype"/>
          <w:sz w:val="24"/>
          <w:szCs w:val="24"/>
        </w:rPr>
        <w:t xml:space="preserve"> en sus motivos de inconformidad, de acuerdo al artículo 179, fracción VI del ordenamiento legal citado, que a la letra dice: </w:t>
      </w:r>
    </w:p>
    <w:p w14:paraId="3136003B"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r w:rsidRPr="00FC39E5">
        <w:rPr>
          <w:rFonts w:ascii="Palatino Linotype" w:eastAsia="Palatino Linotype" w:hAnsi="Palatino Linotype" w:cs="Palatino Linotype"/>
          <w:b/>
          <w:i/>
        </w:rPr>
        <w:t>Artículo 179.</w:t>
      </w:r>
      <w:r w:rsidRPr="00FC39E5">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7FB39792" w14:textId="77777777" w:rsidR="005A079F" w:rsidRPr="00FC39E5" w:rsidRDefault="00AF36D8">
      <w:pPr>
        <w:spacing w:before="120" w:after="120" w:line="240" w:lineRule="auto"/>
        <w:ind w:left="1134" w:right="900"/>
        <w:jc w:val="both"/>
        <w:rPr>
          <w:rFonts w:ascii="Palatino Linotype" w:eastAsia="Palatino Linotype" w:hAnsi="Palatino Linotype" w:cs="Palatino Linotype"/>
          <w:b/>
          <w:i/>
        </w:rPr>
      </w:pPr>
      <w:r w:rsidRPr="00FC39E5">
        <w:rPr>
          <w:rFonts w:ascii="Palatino Linotype" w:eastAsia="Palatino Linotype" w:hAnsi="Palatino Linotype" w:cs="Palatino Linotype"/>
          <w:b/>
          <w:i/>
        </w:rPr>
        <w:t>…</w:t>
      </w:r>
    </w:p>
    <w:p w14:paraId="27CAA876" w14:textId="77777777" w:rsidR="005A079F" w:rsidRPr="00FC39E5" w:rsidRDefault="00AF36D8">
      <w:pPr>
        <w:spacing w:before="120" w:after="120" w:line="240" w:lineRule="auto"/>
        <w:ind w:left="1134" w:right="900"/>
        <w:jc w:val="both"/>
        <w:rPr>
          <w:rFonts w:ascii="Palatino Linotype" w:eastAsia="Palatino Linotype" w:hAnsi="Palatino Linotype" w:cs="Palatino Linotype"/>
          <w:i/>
        </w:rPr>
      </w:pPr>
      <w:r w:rsidRPr="00FC39E5">
        <w:rPr>
          <w:rFonts w:ascii="Palatino Linotype" w:eastAsia="Palatino Linotype" w:hAnsi="Palatino Linotype" w:cs="Palatino Linotype"/>
          <w:b/>
          <w:i/>
        </w:rPr>
        <w:t xml:space="preserve">VI. </w:t>
      </w:r>
      <w:r w:rsidRPr="00FC39E5">
        <w:rPr>
          <w:rFonts w:ascii="Palatino Linotype" w:eastAsia="Palatino Linotype" w:hAnsi="Palatino Linotype" w:cs="Palatino Linotype"/>
          <w:i/>
        </w:rPr>
        <w:t>La entrega de información que no corresponda con lo solicitado;</w:t>
      </w:r>
    </w:p>
    <w:p w14:paraId="24AD8A6A"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Tercero. Materia de la revisión. </w:t>
      </w:r>
      <w:r w:rsidRPr="00FC39E5">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FC39E5">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FC39E5">
        <w:rPr>
          <w:rFonts w:ascii="Palatino Linotype" w:eastAsia="Palatino Linotype" w:hAnsi="Palatino Linotype" w:cs="Palatino Linotype"/>
          <w:sz w:val="24"/>
          <w:szCs w:val="24"/>
        </w:rPr>
        <w:t xml:space="preserve">de la parte </w:t>
      </w:r>
      <w:r w:rsidRPr="00FC39E5">
        <w:rPr>
          <w:rFonts w:ascii="Palatino Linotype" w:eastAsia="Palatino Linotype" w:hAnsi="Palatino Linotype" w:cs="Palatino Linotype"/>
          <w:b/>
          <w:sz w:val="24"/>
          <w:szCs w:val="24"/>
        </w:rPr>
        <w:lastRenderedPageBreak/>
        <w:t>Recurrente</w:t>
      </w:r>
      <w:r w:rsidRPr="00FC39E5">
        <w:rPr>
          <w:rFonts w:ascii="Palatino Linotype" w:eastAsia="Palatino Linotype" w:hAnsi="Palatino Linotype" w:cs="Palatino Linotype"/>
          <w:sz w:val="24"/>
          <w:szCs w:val="24"/>
        </w:rPr>
        <w:t>, o en su defecto, en caso de ser procedente, ordenar la entrega de información.</w:t>
      </w:r>
    </w:p>
    <w:p w14:paraId="30A3CC4A"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 xml:space="preserve">Cuarto. Estudio del asunto. </w:t>
      </w:r>
      <w:r w:rsidRPr="00FC39E5">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6E10D2D"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r w:rsidRPr="00FC39E5">
        <w:rPr>
          <w:rFonts w:ascii="Palatino Linotype" w:eastAsia="Palatino Linotype" w:hAnsi="Palatino Linotype" w:cs="Palatino Linotype"/>
          <w:b/>
          <w:i/>
        </w:rPr>
        <w:t>Artículo 4</w:t>
      </w:r>
      <w:r w:rsidRPr="00FC39E5">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2C3261A"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FC39E5">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3999A79"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FC39E5">
        <w:rPr>
          <w:rFonts w:ascii="Palatino Linotype" w:eastAsia="Palatino Linotype" w:hAnsi="Palatino Linotype" w:cs="Palatino Linotype"/>
          <w:i/>
        </w:rPr>
        <w:t>.”</w:t>
      </w:r>
    </w:p>
    <w:p w14:paraId="56C7E46E" w14:textId="77777777" w:rsidR="005A079F" w:rsidRPr="00FC39E5" w:rsidRDefault="00AF36D8">
      <w:pPr>
        <w:spacing w:before="240" w:after="240" w:line="360" w:lineRule="auto"/>
        <w:jc w:val="both"/>
        <w:rPr>
          <w:rFonts w:ascii="Palatino Linotype" w:eastAsia="Palatino Linotype" w:hAnsi="Palatino Linotype" w:cs="Palatino Linotype"/>
        </w:rPr>
      </w:pPr>
      <w:r w:rsidRPr="00FC39E5">
        <w:rPr>
          <w:rFonts w:ascii="Palatino Linotype" w:eastAsia="Palatino Linotype" w:hAnsi="Palatino Linotype" w:cs="Palatino Linotype"/>
          <w:sz w:val="24"/>
          <w:szCs w:val="24"/>
        </w:rPr>
        <w:lastRenderedPageBreak/>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w:t>
      </w:r>
      <w:r w:rsidRPr="00FC39E5">
        <w:rPr>
          <w:rFonts w:ascii="Palatino Linotype" w:eastAsia="Palatino Linotype" w:hAnsi="Palatino Linotype" w:cs="Palatino Linotype"/>
        </w:rPr>
        <w:t>y Acceso a la Información Pública del Estado de México y Municipios, que a la letra dice:</w:t>
      </w:r>
    </w:p>
    <w:p w14:paraId="4D932CF2" w14:textId="77777777" w:rsidR="005A079F" w:rsidRPr="00FC39E5" w:rsidRDefault="00AF36D8">
      <w:pPr>
        <w:spacing w:before="120" w:after="120"/>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“Artículo 12.-</w:t>
      </w:r>
      <w:r w:rsidRPr="00FC39E5">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223029B7" w14:textId="77777777" w:rsidR="005A079F" w:rsidRPr="00FC39E5" w:rsidRDefault="00AF36D8">
      <w:pPr>
        <w:spacing w:before="120" w:after="120"/>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FC39E5">
        <w:rPr>
          <w:rFonts w:ascii="Palatino Linotype" w:eastAsia="Palatino Linotype" w:hAnsi="Palatino Linotype" w:cs="Palatino Linotype"/>
          <w:i/>
        </w:rPr>
        <w:t xml:space="preserve">. </w:t>
      </w:r>
      <w:r w:rsidRPr="00FC39E5">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2CBD173D" w14:textId="77777777" w:rsidR="005A079F" w:rsidRPr="00FC39E5" w:rsidRDefault="00AF36D8">
      <w:pPr>
        <w:spacing w:before="240" w:after="240" w:line="360" w:lineRule="auto"/>
        <w:ind w:right="-93"/>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D315D1E" w14:textId="77777777" w:rsidR="005A079F" w:rsidRPr="00FC39E5" w:rsidRDefault="00AF36D8">
      <w:pPr>
        <w:spacing w:before="240" w:after="240" w:line="360" w:lineRule="auto"/>
        <w:jc w:val="both"/>
        <w:rPr>
          <w:rFonts w:ascii="Palatino Linotype" w:eastAsia="Palatino Linotype" w:hAnsi="Palatino Linotype" w:cs="Palatino Linotype"/>
          <w:b/>
          <w:sz w:val="24"/>
          <w:szCs w:val="24"/>
        </w:rPr>
      </w:pPr>
      <w:r w:rsidRPr="00FC39E5">
        <w:rPr>
          <w:rFonts w:ascii="Palatino Linotype" w:eastAsia="Palatino Linotype" w:hAnsi="Palatino Linotype" w:cs="Palatino Linotype"/>
          <w:sz w:val="24"/>
          <w:szCs w:val="24"/>
        </w:rPr>
        <w:lastRenderedPageBreak/>
        <w:t>Sirve de apoyo a lo anterior, el Criterio de interpretación con clave de control SO/003/2017, emitido por el Instituto Nacional de Transparencia, Acceso a la Información y Protección de Datos Personales, que por rubro y texto, dispone lo siguiente:</w:t>
      </w:r>
      <w:r w:rsidRPr="00FC39E5">
        <w:rPr>
          <w:rFonts w:ascii="Palatino Linotype" w:eastAsia="Palatino Linotype" w:hAnsi="Palatino Linotype" w:cs="Palatino Linotype"/>
          <w:b/>
          <w:sz w:val="24"/>
          <w:szCs w:val="24"/>
        </w:rPr>
        <w:t xml:space="preserve"> </w:t>
      </w:r>
    </w:p>
    <w:p w14:paraId="19CE3F90" w14:textId="77777777" w:rsidR="005A079F" w:rsidRPr="00FC39E5" w:rsidRDefault="00AF36D8">
      <w:pPr>
        <w:spacing w:before="120" w:after="120"/>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r w:rsidRPr="00FC39E5">
        <w:rPr>
          <w:rFonts w:ascii="Palatino Linotype" w:eastAsia="Palatino Linotype" w:hAnsi="Palatino Linotype" w:cs="Palatino Linotype"/>
          <w:b/>
          <w:i/>
        </w:rPr>
        <w:t>No existe obligación de elaborar documentos ad hoc para atender las solicitudes de acceso a la información.</w:t>
      </w:r>
      <w:r w:rsidRPr="00FC39E5">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8692DF0"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1413A0"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FC39E5">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B41A6E3"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r w:rsidRPr="00FC39E5">
        <w:rPr>
          <w:rFonts w:ascii="Palatino Linotype" w:eastAsia="Palatino Linotype" w:hAnsi="Palatino Linotype" w:cs="Palatino Linotype"/>
          <w:b/>
          <w:i/>
        </w:rPr>
        <w:t xml:space="preserve">Artículo 3. </w:t>
      </w:r>
      <w:r w:rsidRPr="00FC39E5">
        <w:rPr>
          <w:rFonts w:ascii="Palatino Linotype" w:eastAsia="Palatino Linotype" w:hAnsi="Palatino Linotype" w:cs="Palatino Linotype"/>
          <w:i/>
        </w:rPr>
        <w:t>Para los efectos de la presente Ley se entenderá por:</w:t>
      </w:r>
    </w:p>
    <w:p w14:paraId="40AC0A10"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p>
    <w:p w14:paraId="230AD91D"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XI. Documento:</w:t>
      </w:r>
      <w:r w:rsidRPr="00FC39E5">
        <w:rPr>
          <w:rFonts w:ascii="Palatino Linotype" w:eastAsia="Palatino Linotype" w:hAnsi="Palatino Linotype" w:cs="Palatino Linotype"/>
          <w:i/>
        </w:rPr>
        <w:t xml:space="preserve"> Los expedientes, reportes, estudios, actas</w:t>
      </w:r>
      <w:r w:rsidRPr="00FC39E5">
        <w:rPr>
          <w:rFonts w:ascii="Palatino Linotype" w:eastAsia="Palatino Linotype" w:hAnsi="Palatino Linotype" w:cs="Palatino Linotype"/>
          <w:b/>
          <w:i/>
        </w:rPr>
        <w:t>,</w:t>
      </w:r>
      <w:r w:rsidRPr="00FC39E5">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237E415"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535DC75"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rPr>
        <w:t>“</w:t>
      </w:r>
      <w:r w:rsidRPr="00FC39E5">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FC39E5">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FC39E5">
        <w:rPr>
          <w:rFonts w:ascii="Palatino Linotype" w:eastAsia="Palatino Linotype" w:hAnsi="Palatino Linotype" w:cs="Palatino Linotype"/>
          <w:i/>
        </w:rPr>
        <w:lastRenderedPageBreak/>
        <w:t>órganos u organismos públicos, en virtud del ejercicio de sus funciones de derecho público, sin importar su fuente, soporte o fecha de elaboración.</w:t>
      </w:r>
    </w:p>
    <w:p w14:paraId="5E5764D2"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En consecuencia el acceso a la información se refiere a que se cumplan cualquiera de los siguientes tres supuestos:</w:t>
      </w:r>
    </w:p>
    <w:p w14:paraId="59C3B0D7"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1)</w:t>
      </w:r>
      <w:r w:rsidRPr="00FC39E5">
        <w:rPr>
          <w:rFonts w:ascii="Palatino Linotype" w:eastAsia="Palatino Linotype" w:hAnsi="Palatino Linotype" w:cs="Palatino Linotype"/>
          <w:i/>
        </w:rPr>
        <w:t xml:space="preserve"> Que se trate de información registrada en cualquier soporte documental, que en ejercicio de las atribuciones conferidas, sea generada por los Sujetos Obligados;</w:t>
      </w:r>
    </w:p>
    <w:p w14:paraId="43641F2B"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2)</w:t>
      </w:r>
      <w:r w:rsidRPr="00FC39E5">
        <w:rPr>
          <w:rFonts w:ascii="Palatino Linotype" w:eastAsia="Palatino Linotype" w:hAnsi="Palatino Linotype" w:cs="Palatino Linotype"/>
          <w:i/>
        </w:rPr>
        <w:t xml:space="preserve"> Que se trate de información registrada en cualquier soporte documental, que en ejercicio de las atribuciones conferidas, sea administrada por los Sujetos Obligados, y</w:t>
      </w:r>
    </w:p>
    <w:p w14:paraId="730C8025"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3)</w:t>
      </w:r>
      <w:r w:rsidRPr="00FC39E5">
        <w:rPr>
          <w:rFonts w:ascii="Palatino Linotype" w:eastAsia="Palatino Linotype" w:hAnsi="Palatino Linotype" w:cs="Palatino Linotype"/>
          <w:i/>
        </w:rPr>
        <w:t xml:space="preserve"> Que se trate de información registrada en cualquier soporte documental, que en ejercicio de las atribuciones conferidas, se encuentre en posesión de los Sujetos Obligados.” </w:t>
      </w:r>
    </w:p>
    <w:p w14:paraId="419D0F3E"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15E847B"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FC39E5">
        <w:rPr>
          <w:rFonts w:ascii="Palatino Linotype" w:eastAsia="Palatino Linotype" w:hAnsi="Palatino Linotype" w:cs="Palatino Linotype"/>
          <w:sz w:val="24"/>
          <w:szCs w:val="24"/>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20D3D0C"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Ahora bien, del análisis de las solicitudes de información, motivo de los recursos de revisión que ahora se resuelven, se advierte que la parte </w:t>
      </w:r>
      <w:r w:rsidRPr="00FC39E5">
        <w:rPr>
          <w:rFonts w:ascii="Palatino Linotype" w:eastAsia="Palatino Linotype" w:hAnsi="Palatino Linotype" w:cs="Palatino Linotype"/>
          <w:b/>
          <w:sz w:val="24"/>
          <w:szCs w:val="24"/>
        </w:rPr>
        <w:t>Recurrente</w:t>
      </w:r>
      <w:r w:rsidRPr="00FC39E5">
        <w:rPr>
          <w:rFonts w:ascii="Palatino Linotype" w:eastAsia="Palatino Linotype" w:hAnsi="Palatino Linotype" w:cs="Palatino Linotype"/>
          <w:sz w:val="24"/>
          <w:szCs w:val="24"/>
        </w:rPr>
        <w:t xml:space="preserve"> requirió al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le proporcione lo siguiente:</w:t>
      </w:r>
    </w:p>
    <w:p w14:paraId="30EBD173"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Del Órgano Interno de Control:</w:t>
      </w:r>
    </w:p>
    <w:p w14:paraId="61CEE551" w14:textId="77777777" w:rsidR="005A079F" w:rsidRPr="00FC39E5" w:rsidRDefault="00AF36D8" w:rsidP="007B52F5">
      <w:pPr>
        <w:numPr>
          <w:ilvl w:val="0"/>
          <w:numId w:val="1"/>
        </w:numPr>
        <w:pBdr>
          <w:top w:val="nil"/>
          <w:left w:val="nil"/>
          <w:bottom w:val="nil"/>
          <w:right w:val="nil"/>
          <w:between w:val="nil"/>
        </w:pBdr>
        <w:spacing w:before="240" w:after="240" w:line="360" w:lineRule="auto"/>
        <w:ind w:left="709" w:hanging="284"/>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Plazas vacantes</w:t>
      </w:r>
      <w:r w:rsidR="007B52F5" w:rsidRPr="00FC39E5">
        <w:rPr>
          <w:rFonts w:ascii="Palatino Linotype" w:eastAsia="Palatino Linotype" w:hAnsi="Palatino Linotype" w:cs="Palatino Linotype"/>
          <w:sz w:val="24"/>
          <w:szCs w:val="24"/>
        </w:rPr>
        <w:t>, perfil requerido y actividades a realizar.</w:t>
      </w:r>
    </w:p>
    <w:p w14:paraId="59404BA3" w14:textId="77777777" w:rsidR="005A079F" w:rsidRPr="00FC39E5" w:rsidRDefault="007B52F5">
      <w:pPr>
        <w:numPr>
          <w:ilvl w:val="0"/>
          <w:numId w:val="1"/>
        </w:numPr>
        <w:pBdr>
          <w:top w:val="nil"/>
          <w:left w:val="nil"/>
          <w:bottom w:val="nil"/>
          <w:right w:val="nil"/>
          <w:between w:val="nil"/>
        </w:pBdr>
        <w:spacing w:before="240" w:after="240" w:line="360" w:lineRule="auto"/>
        <w:ind w:left="709" w:hanging="284"/>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Perfil de los integrantes</w:t>
      </w:r>
      <w:r w:rsidR="001C48DA" w:rsidRPr="00FC39E5">
        <w:rPr>
          <w:rFonts w:ascii="Palatino Linotype" w:eastAsia="Palatino Linotype" w:hAnsi="Palatino Linotype" w:cs="Palatino Linotype"/>
          <w:sz w:val="24"/>
          <w:szCs w:val="24"/>
        </w:rPr>
        <w:t>.</w:t>
      </w:r>
    </w:p>
    <w:p w14:paraId="12A285AF"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En respuesta a las solicitudes de información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por conducto de la Unidad de Transparencia, hizo del conocimiento de la persona solicitante el pronunciamiento emitido por los servidores públicos habilitados de la Dirección de Administración y la Contraloría Interna Municipal, en los siguientes términos:</w:t>
      </w:r>
    </w:p>
    <w:p w14:paraId="7FEF3967"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Dirección de Administración</w:t>
      </w:r>
      <w:r w:rsidRPr="00FC39E5">
        <w:rPr>
          <w:rFonts w:ascii="Palatino Linotype" w:eastAsia="Palatino Linotype" w:hAnsi="Palatino Linotype" w:cs="Palatino Linotype"/>
          <w:sz w:val="24"/>
          <w:szCs w:val="24"/>
        </w:rPr>
        <w:t xml:space="preserve">: manifestó que no se contaba con ninguna plaza vacante; respecto al perfil de los integrantes de la Contraloría Interna Municipal, señaló que preferentemente era tener un enfoque y/o formación en las licenciaturas en Derecho, Administración y Contabilidad, proporcionó el </w:t>
      </w:r>
      <w:proofErr w:type="spellStart"/>
      <w:r w:rsidRPr="00FC39E5">
        <w:rPr>
          <w:rFonts w:ascii="Palatino Linotype" w:eastAsia="Palatino Linotype" w:hAnsi="Palatino Linotype" w:cs="Palatino Linotype"/>
          <w:sz w:val="24"/>
          <w:szCs w:val="24"/>
        </w:rPr>
        <w:t>curriculum</w:t>
      </w:r>
      <w:proofErr w:type="spellEnd"/>
      <w:r w:rsidRPr="00FC39E5">
        <w:rPr>
          <w:rFonts w:ascii="Palatino Linotype" w:eastAsia="Palatino Linotype" w:hAnsi="Palatino Linotype" w:cs="Palatino Linotype"/>
          <w:sz w:val="24"/>
          <w:szCs w:val="24"/>
        </w:rPr>
        <w:t xml:space="preserve"> vitae de seis </w:t>
      </w:r>
      <w:r w:rsidRPr="00FC39E5">
        <w:rPr>
          <w:rFonts w:ascii="Palatino Linotype" w:eastAsia="Palatino Linotype" w:hAnsi="Palatino Linotype" w:cs="Palatino Linotype"/>
          <w:sz w:val="24"/>
          <w:szCs w:val="24"/>
        </w:rPr>
        <w:lastRenderedPageBreak/>
        <w:t xml:space="preserve">servidores públicos; y finalmente, refirió que las funciones del Titular del Órgano Interno de Control, son las que marca la Ley Orgánica Municipal del Estado de México, Capitulo Cuarto del Órgano Interno de Control. </w:t>
      </w:r>
    </w:p>
    <w:p w14:paraId="177A126A"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Contraloría Interna Municipal</w:t>
      </w:r>
      <w:r w:rsidRPr="00FC39E5">
        <w:rPr>
          <w:rFonts w:ascii="Palatino Linotype" w:eastAsia="Palatino Linotype" w:hAnsi="Palatino Linotype" w:cs="Palatino Linotype"/>
          <w:sz w:val="24"/>
          <w:szCs w:val="24"/>
        </w:rPr>
        <w:t>: refirió que el perfil del personal es el siguiente: Contralor Municipal: Lic. en Derecho por la Universidad Autónoma del Estado de México. Autoridad Investigadora; Lic. en Derecho, por el Universidad de Ixtlahuaca. Autoridad Substanciadora; Lic. en Derecho, Universidad Autónoma del Estado de México. Autoridad Resolutora; que es desempeñado por el Contralor Municipal, Lic. en Derecho por la Universidad Autónoma del Estado de México. Auditor de Obra; Pasante de Arquitectura, estudios realizados en la Universidad Autónoma del Estado de México. Auditor de Contabilidad; Lic. en Contaduría, por la Universidad Autónoma de México. Auxiliar Jurídico; Lic. en Derecho, por la Universidad del Valle de Toluca, asimismo, manifestó que las figuras de las autoridades a las que hace mención están estipuladas en el artículo 3 de la Ley de Responsabilidades Administrativas del Estado de México y Municipios.</w:t>
      </w:r>
    </w:p>
    <w:p w14:paraId="412138DC"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No obstante, al no estar de acuerdo con la información proporcionada, la persona solicitante interpuso los recursos de revisión que se resuelven, en los cuales manifestó como motivo de inconformidad, que la información recibida no corresponde con la solicitada.</w:t>
      </w:r>
    </w:p>
    <w:p w14:paraId="328F2D49"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Durante el periodo de manifestaciones el Sujeto Obligado fue omiso en rendir su informe justificado, y la parte Recurrente fue omisa en hacer valer manifestaciones </w:t>
      </w:r>
      <w:r w:rsidRPr="00FC39E5">
        <w:rPr>
          <w:rFonts w:ascii="Palatino Linotype" w:eastAsia="Palatino Linotype" w:hAnsi="Palatino Linotype" w:cs="Palatino Linotype"/>
          <w:sz w:val="24"/>
          <w:szCs w:val="24"/>
        </w:rPr>
        <w:lastRenderedPageBreak/>
        <w:t>o rendir alegatos que conforme a derecho resultaran procedentes; por lo tanto, se tiene por precluido su derecho.</w:t>
      </w:r>
    </w:p>
    <w:p w14:paraId="39C9096F"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Una vez establecidas las posturas de las partes, se procede al análisis de los requerimientos de información, así como la información proporcionada por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 xml:space="preserve">en contraposición con el motivo de inconformidad alegado por la parte </w:t>
      </w:r>
      <w:r w:rsidRPr="00FC39E5">
        <w:rPr>
          <w:rFonts w:ascii="Palatino Linotype" w:eastAsia="Palatino Linotype" w:hAnsi="Palatino Linotype" w:cs="Palatino Linotype"/>
          <w:b/>
          <w:sz w:val="24"/>
          <w:szCs w:val="24"/>
        </w:rPr>
        <w:t xml:space="preserve">Recurrente, </w:t>
      </w:r>
      <w:r w:rsidRPr="00FC39E5">
        <w:rPr>
          <w:rFonts w:ascii="Palatino Linotype" w:eastAsia="Palatino Linotype" w:hAnsi="Palatino Linotype" w:cs="Palatino Linotype"/>
          <w:sz w:val="24"/>
          <w:szCs w:val="24"/>
        </w:rPr>
        <w:t>con la finalidad de determinar si el Derecho de acceso de esta se satisfizo, o, en su defecto, ordenar el soporte documental correspondiente, en caso de ser procedente.</w:t>
      </w:r>
    </w:p>
    <w:p w14:paraId="707BBED6" w14:textId="77777777" w:rsidR="005A079F" w:rsidRPr="00FC39E5" w:rsidRDefault="00AF36D8">
      <w:pPr>
        <w:pBdr>
          <w:top w:val="nil"/>
          <w:left w:val="nil"/>
          <w:bottom w:val="nil"/>
          <w:right w:val="nil"/>
          <w:between w:val="nil"/>
        </w:pBdr>
        <w:spacing w:before="280" w:after="28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6551DF0"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1A6A6651"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la Ley de Transparencia y Acceso a la Información Pública del Estado de México y Municipios.</w:t>
      </w:r>
    </w:p>
    <w:p w14:paraId="7EE3FB00"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0B213D71"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En el caso concreto, derivado de las constancias que integran el expediente electrónico en el que se actúa, se advierte que la Unidad de Transparencia turnó la solicitud a la Dirección de Administración y a la Contraloría Interna Municipal como el área de la cual se solicitó la  información.</w:t>
      </w:r>
    </w:p>
    <w:p w14:paraId="153ED712"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Cabe señalar además, que de conformidad con los artículos 132 y 133 del Bando Municipal, la Dirección de Administración tiene a su cargo la administración del personal, de recursos materiales, administrativos y la coordinación de informática, para lo cual se le confieren las siguientes atribuciones en su parte conducente:</w:t>
      </w:r>
    </w:p>
    <w:p w14:paraId="26CD77CD" w14:textId="77777777" w:rsidR="005A079F" w:rsidRPr="00FC39E5" w:rsidRDefault="00AF36D8">
      <w:pPr>
        <w:spacing w:before="240" w:after="240" w:line="360" w:lineRule="auto"/>
        <w:ind w:left="284"/>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Vigilar el cumplimiento de las disposiciones que regulen las relaciones entre el municipio y sus servidores públicos;</w:t>
      </w:r>
    </w:p>
    <w:p w14:paraId="3379B808" w14:textId="77777777" w:rsidR="005A079F" w:rsidRPr="00FC39E5" w:rsidRDefault="00AF36D8">
      <w:pPr>
        <w:spacing w:before="240" w:after="240" w:line="360" w:lineRule="auto"/>
        <w:ind w:left="284"/>
        <w:jc w:val="both"/>
      </w:pPr>
      <w:r w:rsidRPr="00FC39E5">
        <w:rPr>
          <w:rFonts w:ascii="Palatino Linotype" w:eastAsia="Palatino Linotype" w:hAnsi="Palatino Linotype" w:cs="Palatino Linotype"/>
          <w:sz w:val="24"/>
          <w:szCs w:val="24"/>
        </w:rPr>
        <w:t>- Establecer y difundir entre las diversas dependencias de la administración, las políticas y procedimientos necesarios para la administración y el control eficiente de los recursos humanos, los recursos materiales, del parque vehicular, así como el mantenimiento adecuado y la conservación de los inmuebles propiedad municipal</w:t>
      </w:r>
      <w:r w:rsidRPr="00FC39E5">
        <w:t>;</w:t>
      </w:r>
    </w:p>
    <w:p w14:paraId="5F95EC76"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Por otro lado, el artículo 134 del Bando Municipal, dispone que la Dirección de Administración es la encargada de proporcionar la organización y capacitación del Personal para un mejor desempeño laboral de las diferentes áreas administrativas del Ayuntamiento que le son requeridas para el desarrollo de su funcionamiento, siendo responsable de contratar y asignar a las Dependencias de la Administración Pública Municipal, el personal necesario para el ejercicio de sus atribuciones, </w:t>
      </w:r>
      <w:r w:rsidRPr="00FC39E5">
        <w:rPr>
          <w:rFonts w:ascii="Palatino Linotype" w:eastAsia="Palatino Linotype" w:hAnsi="Palatino Linotype" w:cs="Palatino Linotype"/>
          <w:sz w:val="24"/>
          <w:szCs w:val="24"/>
        </w:rPr>
        <w:lastRenderedPageBreak/>
        <w:t>suscribiendo los contratos respectivos; y de integrar y actualizar los expedientes de los Servidores Públicos de la Administración Pública Municipal.</w:t>
      </w:r>
    </w:p>
    <w:p w14:paraId="159D57BE"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Por otro lado, la Contraloría Interna Municipal, de conformidad con los artículos 110, 112, de la Ley Orgánica Municipal del Estado de México, y 89 del Bando Municipal la Contraloría Interna es el órgano interno de control encargado de promover, evaluar y fortalecer el buen funcionamiento del control interno, asimismo, es competente para aplicar las leyes en materia de responsabilidades de los servidores públicos.</w:t>
      </w:r>
    </w:p>
    <w:p w14:paraId="503BC494"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En esta tesitura, se arriba a la conclusión de que en el presente asunto se atendió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 al haber turnado la Unidad de Transparencia la solicitud al servidor público habilitado competente para conocer de la misma.</w:t>
      </w:r>
    </w:p>
    <w:p w14:paraId="1FF13038" w14:textId="77777777" w:rsidR="005A079F" w:rsidRPr="00FC39E5" w:rsidRDefault="00AF36D8">
      <w:pPr>
        <w:spacing w:line="360" w:lineRule="auto"/>
        <w:ind w:right="49"/>
        <w:jc w:val="both"/>
        <w:rPr>
          <w:rFonts w:ascii="Palatino Linotype" w:eastAsia="Palatino Linotype" w:hAnsi="Palatino Linotype" w:cs="Palatino Linotype"/>
        </w:rPr>
      </w:pPr>
      <w:r w:rsidRPr="00FC39E5">
        <w:rPr>
          <w:rFonts w:ascii="Palatino Linotype" w:eastAsia="Palatino Linotype" w:hAnsi="Palatino Linotype" w:cs="Palatino Linotype"/>
          <w:sz w:val="24"/>
          <w:szCs w:val="24"/>
        </w:rPr>
        <w:t>Ahora bien, por cuanto hace</w:t>
      </w:r>
      <w:r w:rsidR="001C48DA"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sz w:val="24"/>
          <w:szCs w:val="24"/>
        </w:rPr>
        <w:t xml:space="preserve">a las plazas vacantes, entendidas como puestos laborales sin ocupar; el perfil de puestos, entendido como descripción concreta de las características, tareas y responsabilidades que tiene un cargo, y las actividades o funciones que desempeñan los servidores públicos es oportuno traer a colación el artículo 92, fracciones II, X y XII de la Ley de Transparencia y Acceso a la Información Pública del Estado de México y Municipios, el cual contempla las </w:t>
      </w:r>
      <w:r w:rsidRPr="00FC39E5">
        <w:rPr>
          <w:rFonts w:ascii="Palatino Linotype" w:eastAsia="Palatino Linotype" w:hAnsi="Palatino Linotype" w:cs="Palatino Linotype"/>
          <w:sz w:val="24"/>
          <w:szCs w:val="24"/>
        </w:rPr>
        <w:lastRenderedPageBreak/>
        <w:t>obligaciones de transparencia común que los sujetos obligados deben poner a disposición del público de manera permanente y actualizada, y que a la literalidad establece lo siguiente:</w:t>
      </w:r>
      <w:r w:rsidRPr="00FC39E5">
        <w:rPr>
          <w:rFonts w:ascii="Palatino Linotype" w:eastAsia="Palatino Linotype" w:hAnsi="Palatino Linotype" w:cs="Palatino Linotype"/>
        </w:rPr>
        <w:t xml:space="preserve"> </w:t>
      </w:r>
    </w:p>
    <w:p w14:paraId="02D38EA4"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r w:rsidRPr="00FC39E5">
        <w:rPr>
          <w:rFonts w:ascii="Palatino Linotype" w:eastAsia="Palatino Linotype" w:hAnsi="Palatino Linotype" w:cs="Palatino Linotype"/>
          <w:b/>
          <w:i/>
        </w:rPr>
        <w:t>Artículo 92</w:t>
      </w:r>
      <w:r w:rsidRPr="00FC39E5">
        <w:rPr>
          <w:rFonts w:ascii="Palatino Linotype" w:eastAsia="Palatino Linotype" w:hAnsi="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913E932"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p>
    <w:p w14:paraId="5BE5DECF"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 xml:space="preserve">II. </w:t>
      </w:r>
      <w:r w:rsidRPr="00FC39E5">
        <w:rPr>
          <w:rFonts w:ascii="Palatino Linotype" w:eastAsia="Palatino Linotype" w:hAnsi="Palatino Linotype" w:cs="Palatino Linotype"/>
          <w:i/>
        </w:rPr>
        <w:t xml:space="preserve">Su estructura orgánica completa, en un formato que permita vincular cada parte de la estructura, </w:t>
      </w:r>
      <w:r w:rsidRPr="00FC39E5">
        <w:rPr>
          <w:rFonts w:ascii="Palatino Linotype" w:eastAsia="Palatino Linotype" w:hAnsi="Palatino Linotype" w:cs="Palatino Linotype"/>
          <w:b/>
          <w:i/>
          <w:u w:val="single"/>
        </w:rPr>
        <w:t>las atribuciones y responsabilidades que le corresponden a cada servidor público</w:t>
      </w:r>
      <w:r w:rsidRPr="00FC39E5">
        <w:rPr>
          <w:rFonts w:ascii="Palatino Linotype" w:eastAsia="Palatino Linotype" w:hAnsi="Palatino Linotype" w:cs="Palatino Linotype"/>
          <w:i/>
        </w:rPr>
        <w:t xml:space="preserve">, </w:t>
      </w:r>
      <w:r w:rsidRPr="00FC39E5">
        <w:rPr>
          <w:rFonts w:ascii="Palatino Linotype" w:eastAsia="Palatino Linotype" w:hAnsi="Palatino Linotype" w:cs="Palatino Linotype"/>
          <w:b/>
          <w:i/>
        </w:rPr>
        <w:t>prestador de servicios profesionales o miembro de los sujetos obligados</w:t>
      </w:r>
      <w:r w:rsidRPr="00FC39E5">
        <w:rPr>
          <w:rFonts w:ascii="Palatino Linotype" w:eastAsia="Palatino Linotype" w:hAnsi="Palatino Linotype" w:cs="Palatino Linotype"/>
          <w:i/>
        </w:rPr>
        <w:t>, de conformidad con las disposiciones jurídicas aplicables</w:t>
      </w:r>
    </w:p>
    <w:p w14:paraId="1CA18C26" w14:textId="77777777" w:rsidR="005A079F" w:rsidRPr="00FC39E5" w:rsidRDefault="00AF36D8">
      <w:pPr>
        <w:spacing w:before="120" w:after="120" w:line="240" w:lineRule="auto"/>
        <w:ind w:left="1134" w:right="902"/>
        <w:jc w:val="both"/>
        <w:rPr>
          <w:rFonts w:ascii="Palatino Linotype" w:eastAsia="Palatino Linotype" w:hAnsi="Palatino Linotype" w:cs="Palatino Linotype"/>
          <w:b/>
          <w:i/>
        </w:rPr>
      </w:pPr>
      <w:r w:rsidRPr="00FC39E5">
        <w:rPr>
          <w:rFonts w:ascii="Palatino Linotype" w:eastAsia="Palatino Linotype" w:hAnsi="Palatino Linotype" w:cs="Palatino Linotype"/>
          <w:b/>
          <w:i/>
        </w:rPr>
        <w:t>...</w:t>
      </w:r>
    </w:p>
    <w:p w14:paraId="7C8A5A01"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 xml:space="preserve">X. El número total de las plazas y del personal de base y de confianza, </w:t>
      </w:r>
      <w:r w:rsidRPr="00FC39E5">
        <w:rPr>
          <w:rFonts w:ascii="Palatino Linotype" w:eastAsia="Palatino Linotype" w:hAnsi="Palatino Linotype" w:cs="Palatino Linotype"/>
          <w:b/>
          <w:i/>
          <w:u w:val="single"/>
        </w:rPr>
        <w:t>especificando el total de las vacantes,</w:t>
      </w:r>
      <w:r w:rsidRPr="00FC39E5">
        <w:rPr>
          <w:rFonts w:ascii="Palatino Linotype" w:eastAsia="Palatino Linotype" w:hAnsi="Palatino Linotype" w:cs="Palatino Linotype"/>
          <w:i/>
        </w:rPr>
        <w:t xml:space="preserve"> por nivel de puesto, para cada unidad administrativa</w:t>
      </w:r>
    </w:p>
    <w:p w14:paraId="62ABCE26" w14:textId="77777777" w:rsidR="005A079F" w:rsidRPr="00FC39E5" w:rsidRDefault="00AF36D8">
      <w:pPr>
        <w:spacing w:before="120" w:after="120" w:line="240" w:lineRule="auto"/>
        <w:ind w:left="1134" w:right="902"/>
        <w:jc w:val="both"/>
        <w:rPr>
          <w:rFonts w:ascii="Palatino Linotype" w:eastAsia="Palatino Linotype" w:hAnsi="Palatino Linotype" w:cs="Palatino Linotype"/>
          <w:i/>
        </w:rPr>
      </w:pPr>
      <w:r w:rsidRPr="00FC39E5">
        <w:rPr>
          <w:rFonts w:ascii="Palatino Linotype" w:eastAsia="Palatino Linotype" w:hAnsi="Palatino Linotype" w:cs="Palatino Linotype"/>
          <w:i/>
        </w:rPr>
        <w:t>…</w:t>
      </w:r>
    </w:p>
    <w:p w14:paraId="74107652" w14:textId="77777777" w:rsidR="005A079F" w:rsidRPr="00FC39E5" w:rsidRDefault="00AF36D8">
      <w:pPr>
        <w:spacing w:before="120" w:after="120" w:line="240" w:lineRule="auto"/>
        <w:ind w:left="1134" w:right="902"/>
        <w:jc w:val="both"/>
        <w:rPr>
          <w:rFonts w:ascii="Palatino Linotype" w:eastAsia="Palatino Linotype" w:hAnsi="Palatino Linotype" w:cs="Palatino Linotype"/>
          <w:b/>
          <w:i/>
        </w:rPr>
      </w:pPr>
      <w:r w:rsidRPr="00FC39E5">
        <w:rPr>
          <w:rFonts w:ascii="Palatino Linotype" w:eastAsia="Palatino Linotype" w:hAnsi="Palatino Linotype" w:cs="Palatino Linotype"/>
          <w:b/>
          <w:i/>
        </w:rPr>
        <w:t xml:space="preserve">XII. </w:t>
      </w:r>
      <w:r w:rsidRPr="00FC39E5">
        <w:rPr>
          <w:rFonts w:ascii="Palatino Linotype" w:eastAsia="Palatino Linotype" w:hAnsi="Palatino Linotype" w:cs="Palatino Linotype"/>
          <w:b/>
          <w:i/>
          <w:u w:val="single"/>
        </w:rPr>
        <w:t>El perfil de los puestos</w:t>
      </w:r>
      <w:r w:rsidRPr="00FC39E5">
        <w:rPr>
          <w:rFonts w:ascii="Palatino Linotype" w:eastAsia="Palatino Linotype" w:hAnsi="Palatino Linotype" w:cs="Palatino Linotype"/>
          <w:b/>
          <w:i/>
        </w:rPr>
        <w:t xml:space="preserve"> de los servidores públicos a su servicio en los casos que aplique; </w:t>
      </w:r>
    </w:p>
    <w:p w14:paraId="369824EC"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Del precepto en cita, se desprende que los Sujetos Obligados cuentan con el deber de poner a disposición del público de manera permanente y actualizada de forma sencilla, precisa y entendible, en los respectivos medios electrónicos, de acuerdo con sus facultades, atribuciones, funciones u objeto social, según corresponda, entre otros temas, la información relacionada con las atribuciones o responsabilidades que le correspondan a cada servidor público, el número total de plazas y del personal de base y confianza, así como el perfil de puestos en los casos que aplique.</w:t>
      </w:r>
    </w:p>
    <w:p w14:paraId="05CD3267" w14:textId="77777777" w:rsidR="005A079F" w:rsidRPr="00FC39E5" w:rsidRDefault="00AF36D8">
      <w:pPr>
        <w:spacing w:before="240" w:after="240" w:line="360" w:lineRule="auto"/>
        <w:ind w:right="49"/>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 xml:space="preserve">En el mismo orden de ideas,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respecto de las </w:t>
      </w:r>
      <w:r w:rsidRPr="00FC39E5">
        <w:rPr>
          <w:rFonts w:ascii="Palatino Linotype" w:eastAsia="Palatino Linotype" w:hAnsi="Palatino Linotype" w:cs="Palatino Linotype"/>
          <w:b/>
          <w:sz w:val="24"/>
          <w:szCs w:val="24"/>
        </w:rPr>
        <w:t>atribuciones que corresponden a cada servidor público</w:t>
      </w:r>
      <w:r w:rsidRPr="00FC39E5">
        <w:rPr>
          <w:rFonts w:ascii="Palatino Linotype" w:eastAsia="Palatino Linotype" w:hAnsi="Palatino Linotype" w:cs="Palatino Linotype"/>
          <w:sz w:val="24"/>
          <w:szCs w:val="24"/>
        </w:rPr>
        <w:t>, contemplan lo siguiente:</w:t>
      </w:r>
    </w:p>
    <w:p w14:paraId="2C134387" w14:textId="77777777" w:rsidR="005A079F" w:rsidRPr="00FC39E5" w:rsidRDefault="00AF36D8">
      <w:pPr>
        <w:pBdr>
          <w:top w:val="nil"/>
          <w:left w:val="nil"/>
          <w:bottom w:val="nil"/>
          <w:right w:val="nil"/>
          <w:between w:val="nil"/>
        </w:pBdr>
        <w:spacing w:before="120" w:after="120" w:line="240" w:lineRule="auto"/>
        <w:ind w:left="851" w:right="902"/>
        <w:jc w:val="both"/>
      </w:pPr>
      <w:r w:rsidRPr="00FC39E5">
        <w:rPr>
          <w:rFonts w:ascii="Palatino Linotype" w:eastAsia="Palatino Linotype" w:hAnsi="Palatino Linotype" w:cs="Palatino Linotype"/>
          <w:b/>
          <w:i/>
          <w:u w:val="single"/>
        </w:rPr>
        <w:t>El sujeto obligado incluirá la estructura orgánica que da cuenta de la distribución y orden de las funciones que se establecen para el cumplimiento de sus objetivos conforme a criterios de jerarquía y especialización, ordenados mediante los catálogos de las áreas que integran el sujeto obligado</w:t>
      </w:r>
      <w:r w:rsidRPr="00FC39E5">
        <w:rPr>
          <w:rFonts w:ascii="Palatino Linotype" w:eastAsia="Palatino Linotype" w:hAnsi="Palatino Linotype" w:cs="Palatino Linotype"/>
          <w:i/>
        </w:rPr>
        <w:t>; de tal forma que sea posible visualizar los niveles jerárquicos y sus relaciones de dependencia de acuerdo con el estatuto orgánico u otro ordenamiento que le aplique. Se deberá publicar la estructura vigente, es decir, la que está en operación en el sujeto obligado y ha sido aprobada y/o dictaminada por la autoridad competente. </w:t>
      </w:r>
    </w:p>
    <w:p w14:paraId="7A126F07" w14:textId="77777777" w:rsidR="005A079F" w:rsidRPr="00FC39E5" w:rsidRDefault="00AF36D8">
      <w:pPr>
        <w:pBdr>
          <w:top w:val="nil"/>
          <w:left w:val="nil"/>
          <w:bottom w:val="nil"/>
          <w:right w:val="nil"/>
          <w:between w:val="nil"/>
        </w:pBdr>
        <w:spacing w:before="120" w:after="120" w:line="240" w:lineRule="auto"/>
        <w:ind w:left="851" w:right="902"/>
        <w:jc w:val="both"/>
      </w:pPr>
      <w:r w:rsidRPr="00FC39E5">
        <w:rPr>
          <w:rFonts w:ascii="Palatino Linotype" w:eastAsia="Palatino Linotype" w:hAnsi="Palatino Linotype" w:cs="Palatino Linotype"/>
          <w:i/>
        </w:rPr>
        <w:t>En aquellos casos en los que dicha estructura no corresponda con la funcional, deberá especificarse cuáles puestos se encuentran en tránsito de aprobación por parte de las autoridades competentes. </w:t>
      </w:r>
    </w:p>
    <w:p w14:paraId="303A4958" w14:textId="77777777" w:rsidR="005A079F" w:rsidRPr="00FC39E5" w:rsidRDefault="00AF36D8">
      <w:pPr>
        <w:pBdr>
          <w:top w:val="nil"/>
          <w:left w:val="nil"/>
          <w:bottom w:val="nil"/>
          <w:right w:val="nil"/>
          <w:between w:val="nil"/>
        </w:pBdr>
        <w:spacing w:before="120" w:after="120" w:line="240" w:lineRule="auto"/>
        <w:ind w:left="851" w:right="902"/>
        <w:jc w:val="both"/>
      </w:pPr>
      <w:r w:rsidRPr="00FC39E5">
        <w:rPr>
          <w:rFonts w:ascii="Palatino Linotype" w:eastAsia="Palatino Linotype" w:hAnsi="Palatino Linotype" w:cs="Palatino Linotype"/>
          <w:i/>
        </w:rPr>
        <w:t>Si la estructura aprobada se modifica, los sujetos obligados deberán aclarar mediante una nota fundamentada, motivada y actualizada al periodo que corresponda, cuáles son las áreas de reciente creación, las que cambiaron de denominación (anterior y actual) y aquéllas que desaparecieron. Esta nota se conservará durante un trimestre, el cual empezará a contar a partir de la actualización de la fracción. Los sujetos obligados que no tengan estructura orgánica autorizada deberán incluir una nota fundamentada, motivada y actualizada al periodo que corresponda, que explique la situación del sujeto obligado. </w:t>
      </w:r>
    </w:p>
    <w:p w14:paraId="471C7ABA" w14:textId="77777777" w:rsidR="005A079F" w:rsidRPr="00FC39E5" w:rsidRDefault="00AF36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b/>
          <w:i/>
        </w:rPr>
      </w:pPr>
      <w:r w:rsidRPr="00FC39E5">
        <w:rPr>
          <w:rFonts w:ascii="Palatino Linotype" w:eastAsia="Palatino Linotype" w:hAnsi="Palatino Linotype" w:cs="Palatino Linotype"/>
          <w:b/>
          <w:i/>
        </w:rPr>
        <w:t xml:space="preserve">La estructura orgánica deberá incluir </w:t>
      </w:r>
      <w:r w:rsidRPr="00FC39E5">
        <w:rPr>
          <w:rFonts w:ascii="Palatino Linotype" w:eastAsia="Palatino Linotype" w:hAnsi="Palatino Linotype" w:cs="Palatino Linotype"/>
          <w:b/>
          <w:i/>
          <w:u w:val="single"/>
        </w:rPr>
        <w:t>al titular del sujeto obligado y todos los servidores públicos adscritos a las unidades administrativas</w:t>
      </w:r>
      <w:r w:rsidRPr="00FC39E5">
        <w:rPr>
          <w:rFonts w:ascii="Palatino Linotype" w:eastAsia="Palatino Linotype" w:hAnsi="Palatino Linotype" w:cs="Palatino Linotype"/>
          <w:b/>
          <w:i/>
        </w:rPr>
        <w:t xml:space="preserve">, áreas, institutos o los que correspondan, incluido el personal de gabinete </w:t>
      </w:r>
      <w:r w:rsidRPr="00FC39E5">
        <w:rPr>
          <w:rFonts w:ascii="Palatino Linotype" w:eastAsia="Palatino Linotype" w:hAnsi="Palatino Linotype" w:cs="Palatino Linotype"/>
          <w:b/>
          <w:i/>
        </w:rPr>
        <w:lastRenderedPageBreak/>
        <w:t xml:space="preserve">de apoyo </w:t>
      </w:r>
      <w:proofErr w:type="spellStart"/>
      <w:r w:rsidRPr="00FC39E5">
        <w:rPr>
          <w:rFonts w:ascii="Palatino Linotype" w:eastAsia="Palatino Linotype" w:hAnsi="Palatino Linotype" w:cs="Palatino Linotype"/>
          <w:b/>
          <w:i/>
        </w:rPr>
        <w:t>u</w:t>
      </w:r>
      <w:proofErr w:type="spellEnd"/>
      <w:r w:rsidRPr="00FC39E5">
        <w:rPr>
          <w:rFonts w:ascii="Palatino Linotype" w:eastAsia="Palatino Linotype" w:hAnsi="Palatino Linotype" w:cs="Palatino Linotype"/>
          <w:b/>
          <w:i/>
        </w:rPr>
        <w:t xml:space="preserve"> homólogo, prestadores de servicios profesionales, miembros de los sujetos obligados, así como los respectivos niveles de adjunto, homólogo o cualquier otro equivalente, según la denominación que se le dé.</w:t>
      </w:r>
    </w:p>
    <w:p w14:paraId="2A9D0F88" w14:textId="77777777" w:rsidR="005A079F" w:rsidRPr="00FC39E5" w:rsidRDefault="00AF36D8">
      <w:pPr>
        <w:pBdr>
          <w:top w:val="nil"/>
          <w:left w:val="nil"/>
          <w:bottom w:val="nil"/>
          <w:right w:val="nil"/>
          <w:between w:val="nil"/>
        </w:pBdr>
        <w:spacing w:before="120" w:after="120" w:line="240" w:lineRule="auto"/>
        <w:ind w:left="851" w:right="902"/>
        <w:jc w:val="both"/>
      </w:pPr>
      <w:r w:rsidRPr="00FC39E5">
        <w:rPr>
          <w:rFonts w:ascii="Palatino Linotype" w:eastAsia="Palatino Linotype" w:hAnsi="Palatino Linotype" w:cs="Palatino Linotype"/>
          <w:i/>
        </w:rPr>
        <w:t>…</w:t>
      </w:r>
    </w:p>
    <w:p w14:paraId="6669A5B4" w14:textId="77777777" w:rsidR="005A079F" w:rsidRPr="00FC39E5" w:rsidRDefault="00AF36D8">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b/>
          <w:i/>
          <w:u w:val="single"/>
        </w:rPr>
      </w:pPr>
      <w:r w:rsidRPr="00FC39E5">
        <w:rPr>
          <w:rFonts w:ascii="Palatino Linotype" w:eastAsia="Palatino Linotype" w:hAnsi="Palatino Linotype" w:cs="Palatino Linotype"/>
          <w:b/>
          <w:i/>
          <w:u w:val="single"/>
        </w:rPr>
        <w:t>Todos los sujetos obligados deberán publicar una nota que especifique claramente que los prestadores de servicios profesionales reportados no forman parte de la estructura orgánica en virtud de que fungen como apoyo para el desarrollo de las actividades de los puestos que sí conforman la estructura orgánica.</w:t>
      </w:r>
    </w:p>
    <w:p w14:paraId="7E06C74C"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Dicha obligación de transparencia es aplicable a todos los Sujetos Obligados, debe actualizarse de manera trimestral, conservando en su sitio de internet la información del ejercicio en curso y la correspondiente al ejercicio anterior, asimismo, debe publicarse conforme a los Criterios sustantivos de contenido, adjetivos de actualización, adjetivos de confiabilidad y adjetivos de formato, estos últimos incluyen todos los campos especificados en los criterios sustantivos de contenido, siendo el formato 2a el que a nuestro tema interesa:</w:t>
      </w:r>
    </w:p>
    <w:p w14:paraId="6518B7CD"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0" distB="0" distL="0" distR="0" wp14:anchorId="023BC242" wp14:editId="4998180C">
            <wp:extent cx="5612130" cy="2257425"/>
            <wp:effectExtent l="0" t="0" r="0" b="0"/>
            <wp:docPr id="1935668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2257425"/>
                    </a:xfrm>
                    <a:prstGeom prst="rect">
                      <a:avLst/>
                    </a:prstGeom>
                    <a:ln/>
                  </pic:spPr>
                </pic:pic>
              </a:graphicData>
            </a:graphic>
          </wp:inline>
        </w:drawing>
      </w:r>
      <w:r w:rsidRPr="00FC39E5">
        <w:rPr>
          <w:noProof/>
        </w:rPr>
        <mc:AlternateContent>
          <mc:Choice Requires="wpg">
            <w:drawing>
              <wp:anchor distT="0" distB="0" distL="114300" distR="114300" simplePos="0" relativeHeight="251658240" behindDoc="0" locked="0" layoutInCell="1" hidden="0" allowOverlap="1" wp14:anchorId="6ADF556F" wp14:editId="14DD6256">
                <wp:simplePos x="0" y="0"/>
                <wp:positionH relativeFrom="column">
                  <wp:posOffset>1092200</wp:posOffset>
                </wp:positionH>
                <wp:positionV relativeFrom="paragraph">
                  <wp:posOffset>1181100</wp:posOffset>
                </wp:positionV>
                <wp:extent cx="3234055" cy="990600"/>
                <wp:effectExtent l="0" t="0" r="0" b="0"/>
                <wp:wrapNone/>
                <wp:docPr id="1935668421" name="Rectángulo 1935668421"/>
                <wp:cNvGraphicFramePr/>
                <a:graphic xmlns:a="http://schemas.openxmlformats.org/drawingml/2006/main">
                  <a:graphicData uri="http://schemas.microsoft.com/office/word/2010/wordprocessingShape">
                    <wps:wsp>
                      <wps:cNvSpPr/>
                      <wps:spPr>
                        <a:xfrm>
                          <a:off x="3748023" y="3303750"/>
                          <a:ext cx="3195955" cy="952500"/>
                        </a:xfrm>
                        <a:prstGeom prst="rect">
                          <a:avLst/>
                        </a:prstGeom>
                        <a:noFill/>
                        <a:ln w="38100" cap="flat" cmpd="sng">
                          <a:solidFill>
                            <a:srgbClr val="C00000"/>
                          </a:solidFill>
                          <a:prstDash val="solid"/>
                          <a:miter lim="800000"/>
                          <a:headEnd type="none" w="sm" len="sm"/>
                          <a:tailEnd type="none" w="sm" len="sm"/>
                        </a:ln>
                      </wps:spPr>
                      <wps:txbx>
                        <w:txbxContent>
                          <w:p w14:paraId="75ACB808" w14:textId="77777777" w:rsidR="005A079F" w:rsidRDefault="005A07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1181100</wp:posOffset>
                </wp:positionV>
                <wp:extent cx="3234055" cy="990600"/>
                <wp:effectExtent b="0" l="0" r="0" t="0"/>
                <wp:wrapNone/>
                <wp:docPr id="1935668421"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3234055" cy="990600"/>
                        </a:xfrm>
                        <a:prstGeom prst="rect"/>
                        <a:ln/>
                      </pic:spPr>
                    </pic:pic>
                  </a:graphicData>
                </a:graphic>
              </wp:anchor>
            </w:drawing>
          </mc:Fallback>
        </mc:AlternateContent>
      </w:r>
    </w:p>
    <w:p w14:paraId="005023CB" w14:textId="77777777" w:rsidR="005A079F" w:rsidRPr="00FC39E5" w:rsidRDefault="00AF36D8">
      <w:pPr>
        <w:spacing w:before="240" w:after="240" w:line="360" w:lineRule="auto"/>
        <w:ind w:right="49"/>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Como se advierte, los Sujetos Obligados deben publicar información de la normativa que establece sus atribuciones, responsabilidades y/o funciones, según sea el caso y el fundamento legal (artículo y/o fracción) que sustenta el puesto, así como las atribuciones, responsabilidades y/o funciones, por cada puesto o cargo según sea el caso.</w:t>
      </w:r>
    </w:p>
    <w:p w14:paraId="1D79E0F0" w14:textId="77777777" w:rsidR="005A079F" w:rsidRPr="00FC39E5" w:rsidRDefault="00AF36D8">
      <w:pPr>
        <w:spacing w:before="240" w:after="240" w:line="360" w:lineRule="auto"/>
        <w:ind w:right="49"/>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Respecto del </w:t>
      </w:r>
      <w:r w:rsidRPr="00FC39E5">
        <w:rPr>
          <w:rFonts w:ascii="Palatino Linotype" w:eastAsia="Palatino Linotype" w:hAnsi="Palatino Linotype" w:cs="Palatino Linotype"/>
          <w:b/>
          <w:sz w:val="24"/>
          <w:szCs w:val="24"/>
        </w:rPr>
        <w:t>número de plazas vacantes</w:t>
      </w:r>
      <w:r w:rsidRPr="00FC39E5">
        <w:rPr>
          <w:rFonts w:ascii="Palatino Linotype" w:eastAsia="Palatino Linotype" w:hAnsi="Palatino Linotype" w:cs="Palatino Linotype"/>
          <w:sz w:val="24"/>
          <w:szCs w:val="24"/>
        </w:rPr>
        <w:t>, los mismos Lineamientos en cita, disponen lo siguiente:</w:t>
      </w:r>
    </w:p>
    <w:p w14:paraId="67B727E2" w14:textId="77777777" w:rsidR="005A079F" w:rsidRPr="00FC39E5" w:rsidRDefault="00AF36D8">
      <w:pPr>
        <w:spacing w:line="276" w:lineRule="auto"/>
        <w:ind w:left="567" w:right="900"/>
        <w:jc w:val="both"/>
        <w:rPr>
          <w:rFonts w:ascii="Palatino Linotype" w:eastAsia="Palatino Linotype" w:hAnsi="Palatino Linotype" w:cs="Palatino Linotype"/>
          <w:i/>
        </w:rPr>
      </w:pPr>
      <w:r w:rsidRPr="00FC39E5">
        <w:rPr>
          <w:rFonts w:ascii="Palatino Linotype" w:eastAsia="Palatino Linotype" w:hAnsi="Palatino Linotype" w:cs="Palatino Linotype"/>
          <w:i/>
        </w:rPr>
        <w:t xml:space="preserve">“En este apartado los sujetos obligados publicarán información con base en su estructura orgánica vigente, aprobada y registrada por el órgano competente. </w:t>
      </w:r>
    </w:p>
    <w:p w14:paraId="78820960" w14:textId="77777777" w:rsidR="005A079F" w:rsidRPr="00FC39E5" w:rsidRDefault="00AF36D8">
      <w:pPr>
        <w:spacing w:line="276" w:lineRule="auto"/>
        <w:ind w:left="567" w:right="900"/>
        <w:jc w:val="both"/>
        <w:rPr>
          <w:rFonts w:ascii="Palatino Linotype" w:eastAsia="Palatino Linotype" w:hAnsi="Palatino Linotype" w:cs="Palatino Linotype"/>
          <w:i/>
        </w:rPr>
      </w:pPr>
      <w:r w:rsidRPr="00FC39E5">
        <w:rPr>
          <w:rFonts w:ascii="Palatino Linotype" w:eastAsia="Palatino Linotype" w:hAnsi="Palatino Linotype" w:cs="Palatino Linotype"/>
          <w:i/>
        </w:rPr>
        <w:t>Desde cada nivel de estructura se deberá incluir el listado de las áreas que le están subordinadas jerárquicamente y desde cada área se desplegará el listado con el total de plazas tanto de base como de confianza, sean de carácter permanente o eventual, de tal forma que se señale cuáles están ocupadas y cuáles vacantes, así como los totales.”</w:t>
      </w:r>
    </w:p>
    <w:p w14:paraId="2FAEA6E1"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En este sentido, dicha obligación de transparencia es aplicable a todos los Sujetos Obligados, debe actualizarse de manera trimestral, conservando en su sitio de internet la información del ejercicio en curso y la correspondiente al ejercicio anterior, asimismo, debe publicarse conforme a los Criterios sustantivos de contenido, adjetivos de actualización, adjetivos de confiabilidad y adjetivos de formato, estos últimos incluyen todos los campos especificados en los criterios sustantivos de contenido, siendo estos los formatos 10ª y 10b; como se ilustra a continuación:</w:t>
      </w:r>
    </w:p>
    <w:p w14:paraId="5A44DB15"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lastRenderedPageBreak/>
        <w:drawing>
          <wp:inline distT="0" distB="0" distL="0" distR="0" wp14:anchorId="0C123D02" wp14:editId="32BB3F4F">
            <wp:extent cx="5612130" cy="2860158"/>
            <wp:effectExtent l="0" t="0" r="0" b="0"/>
            <wp:docPr id="19356684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49539"/>
                    <a:stretch>
                      <a:fillRect/>
                    </a:stretch>
                  </pic:blipFill>
                  <pic:spPr>
                    <a:xfrm>
                      <a:off x="0" y="0"/>
                      <a:ext cx="5612130" cy="2860158"/>
                    </a:xfrm>
                    <a:prstGeom prst="rect">
                      <a:avLst/>
                    </a:prstGeom>
                    <a:ln/>
                  </pic:spPr>
                </pic:pic>
              </a:graphicData>
            </a:graphic>
          </wp:inline>
        </w:drawing>
      </w:r>
      <w:r w:rsidRPr="00FC39E5">
        <w:rPr>
          <w:noProof/>
        </w:rPr>
        <mc:AlternateContent>
          <mc:Choice Requires="wpg">
            <w:drawing>
              <wp:anchor distT="0" distB="0" distL="114300" distR="114300" simplePos="0" relativeHeight="251659264" behindDoc="0" locked="0" layoutInCell="1" hidden="0" allowOverlap="1" wp14:anchorId="54787B69" wp14:editId="2D235073">
                <wp:simplePos x="0" y="0"/>
                <wp:positionH relativeFrom="column">
                  <wp:posOffset>3733800</wp:posOffset>
                </wp:positionH>
                <wp:positionV relativeFrom="paragraph">
                  <wp:posOffset>1117600</wp:posOffset>
                </wp:positionV>
                <wp:extent cx="1851114" cy="809847"/>
                <wp:effectExtent l="0" t="0" r="0" b="0"/>
                <wp:wrapNone/>
                <wp:docPr id="1935668417" name="Rectángulo 1935668417"/>
                <wp:cNvGraphicFramePr/>
                <a:graphic xmlns:a="http://schemas.openxmlformats.org/drawingml/2006/main">
                  <a:graphicData uri="http://schemas.microsoft.com/office/word/2010/wordprocessingShape">
                    <wps:wsp>
                      <wps:cNvSpPr/>
                      <wps:spPr>
                        <a:xfrm>
                          <a:off x="4458543" y="3413177"/>
                          <a:ext cx="1774914" cy="733647"/>
                        </a:xfrm>
                        <a:prstGeom prst="rect">
                          <a:avLst/>
                        </a:prstGeom>
                        <a:noFill/>
                        <a:ln w="38100" cap="flat" cmpd="sng">
                          <a:solidFill>
                            <a:srgbClr val="C00000"/>
                          </a:solidFill>
                          <a:prstDash val="solid"/>
                          <a:miter lim="800000"/>
                          <a:headEnd type="none" w="sm" len="sm"/>
                          <a:tailEnd type="none" w="sm" len="sm"/>
                        </a:ln>
                      </wps:spPr>
                      <wps:txbx>
                        <w:txbxContent>
                          <w:p w14:paraId="3965B855" w14:textId="77777777" w:rsidR="005A079F" w:rsidRDefault="005A07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3733800</wp:posOffset>
                </wp:positionH>
                <wp:positionV relativeFrom="paragraph">
                  <wp:posOffset>1117600</wp:posOffset>
                </wp:positionV>
                <wp:extent cx="1851114" cy="809847"/>
                <wp:effectExtent b="0" l="0" r="0" t="0"/>
                <wp:wrapNone/>
                <wp:docPr id="1935668417"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851114" cy="809847"/>
                        </a:xfrm>
                        <a:prstGeom prst="rect"/>
                        <a:ln/>
                      </pic:spPr>
                    </pic:pic>
                  </a:graphicData>
                </a:graphic>
              </wp:anchor>
            </w:drawing>
          </mc:Fallback>
        </mc:AlternateContent>
      </w:r>
    </w:p>
    <w:p w14:paraId="1E958A33"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0" distB="0" distL="0" distR="0" wp14:anchorId="3ED2156F" wp14:editId="1C8D0C02">
            <wp:extent cx="5612130" cy="2744057"/>
            <wp:effectExtent l="0" t="0" r="0" b="0"/>
            <wp:docPr id="19356684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51586"/>
                    <a:stretch>
                      <a:fillRect/>
                    </a:stretch>
                  </pic:blipFill>
                  <pic:spPr>
                    <a:xfrm>
                      <a:off x="0" y="0"/>
                      <a:ext cx="5612130" cy="2744057"/>
                    </a:xfrm>
                    <a:prstGeom prst="rect">
                      <a:avLst/>
                    </a:prstGeom>
                    <a:ln/>
                  </pic:spPr>
                </pic:pic>
              </a:graphicData>
            </a:graphic>
          </wp:inline>
        </w:drawing>
      </w:r>
      <w:r w:rsidRPr="00FC39E5">
        <w:rPr>
          <w:noProof/>
        </w:rPr>
        <mc:AlternateContent>
          <mc:Choice Requires="wpg">
            <w:drawing>
              <wp:anchor distT="0" distB="0" distL="114300" distR="114300" simplePos="0" relativeHeight="251660288" behindDoc="0" locked="0" layoutInCell="1" hidden="0" allowOverlap="1" wp14:anchorId="6A12638B" wp14:editId="5E81BBE3">
                <wp:simplePos x="0" y="0"/>
                <wp:positionH relativeFrom="column">
                  <wp:posOffset>4851400</wp:posOffset>
                </wp:positionH>
                <wp:positionV relativeFrom="paragraph">
                  <wp:posOffset>596900</wp:posOffset>
                </wp:positionV>
                <wp:extent cx="767317" cy="692888"/>
                <wp:effectExtent l="0" t="0" r="0" b="0"/>
                <wp:wrapNone/>
                <wp:docPr id="1935668423" name="Rectángulo 1935668423"/>
                <wp:cNvGraphicFramePr/>
                <a:graphic xmlns:a="http://schemas.openxmlformats.org/drawingml/2006/main">
                  <a:graphicData uri="http://schemas.microsoft.com/office/word/2010/wordprocessingShape">
                    <wps:wsp>
                      <wps:cNvSpPr/>
                      <wps:spPr>
                        <a:xfrm>
                          <a:off x="5000442" y="3471656"/>
                          <a:ext cx="691117" cy="616688"/>
                        </a:xfrm>
                        <a:prstGeom prst="rect">
                          <a:avLst/>
                        </a:prstGeom>
                        <a:noFill/>
                        <a:ln w="38100" cap="flat" cmpd="sng">
                          <a:solidFill>
                            <a:srgbClr val="C00000"/>
                          </a:solidFill>
                          <a:prstDash val="solid"/>
                          <a:miter lim="800000"/>
                          <a:headEnd type="none" w="sm" len="sm"/>
                          <a:tailEnd type="none" w="sm" len="sm"/>
                        </a:ln>
                      </wps:spPr>
                      <wps:txbx>
                        <w:txbxContent>
                          <w:p w14:paraId="31E05558" w14:textId="77777777" w:rsidR="005A079F" w:rsidRDefault="005A07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596900</wp:posOffset>
                </wp:positionV>
                <wp:extent cx="767317" cy="692888"/>
                <wp:effectExtent b="0" l="0" r="0" t="0"/>
                <wp:wrapNone/>
                <wp:docPr id="1935668423"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767317" cy="692888"/>
                        </a:xfrm>
                        <a:prstGeom prst="rect"/>
                        <a:ln/>
                      </pic:spPr>
                    </pic:pic>
                  </a:graphicData>
                </a:graphic>
              </wp:anchor>
            </w:drawing>
          </mc:Fallback>
        </mc:AlternateContent>
      </w:r>
      <w:r w:rsidRPr="00FC39E5">
        <w:rPr>
          <w:noProof/>
        </w:rPr>
        <mc:AlternateContent>
          <mc:Choice Requires="wpg">
            <w:drawing>
              <wp:anchor distT="0" distB="0" distL="114300" distR="114300" simplePos="0" relativeHeight="251661312" behindDoc="0" locked="0" layoutInCell="1" hidden="0" allowOverlap="1" wp14:anchorId="3211DEFD" wp14:editId="72A45C7C">
                <wp:simplePos x="0" y="0"/>
                <wp:positionH relativeFrom="column">
                  <wp:posOffset>2628900</wp:posOffset>
                </wp:positionH>
                <wp:positionV relativeFrom="paragraph">
                  <wp:posOffset>1866900</wp:posOffset>
                </wp:positionV>
                <wp:extent cx="767317" cy="692888"/>
                <wp:effectExtent l="0" t="0" r="0" b="0"/>
                <wp:wrapNone/>
                <wp:docPr id="1935668422" name="Rectángulo 1935668422"/>
                <wp:cNvGraphicFramePr/>
                <a:graphic xmlns:a="http://schemas.openxmlformats.org/drawingml/2006/main">
                  <a:graphicData uri="http://schemas.microsoft.com/office/word/2010/wordprocessingShape">
                    <wps:wsp>
                      <wps:cNvSpPr/>
                      <wps:spPr>
                        <a:xfrm>
                          <a:off x="5000442" y="3471656"/>
                          <a:ext cx="691117" cy="616688"/>
                        </a:xfrm>
                        <a:prstGeom prst="rect">
                          <a:avLst/>
                        </a:prstGeom>
                        <a:noFill/>
                        <a:ln w="38100" cap="flat" cmpd="sng">
                          <a:solidFill>
                            <a:srgbClr val="C00000"/>
                          </a:solidFill>
                          <a:prstDash val="solid"/>
                          <a:miter lim="800000"/>
                          <a:headEnd type="none" w="sm" len="sm"/>
                          <a:tailEnd type="none" w="sm" len="sm"/>
                        </a:ln>
                      </wps:spPr>
                      <wps:txbx>
                        <w:txbxContent>
                          <w:p w14:paraId="0214AD4F" w14:textId="77777777" w:rsidR="005A079F" w:rsidRDefault="005A07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1866900</wp:posOffset>
                </wp:positionV>
                <wp:extent cx="767317" cy="692888"/>
                <wp:effectExtent b="0" l="0" r="0" t="0"/>
                <wp:wrapNone/>
                <wp:docPr id="1935668422"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767317" cy="692888"/>
                        </a:xfrm>
                        <a:prstGeom prst="rect"/>
                        <a:ln/>
                      </pic:spPr>
                    </pic:pic>
                  </a:graphicData>
                </a:graphic>
              </wp:anchor>
            </w:drawing>
          </mc:Fallback>
        </mc:AlternateContent>
      </w:r>
    </w:p>
    <w:p w14:paraId="69E38AA3"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Como se observa, para dar cumplimiento a la obligación de transparencia prevista en el artículo 92, fracción X de la Ley de Transparencia y Acceso a la Información Pública del Estado de México y Municipios, los Sujetos Obligados deben hacer de </w:t>
      </w:r>
      <w:r w:rsidRPr="00FC39E5">
        <w:rPr>
          <w:rFonts w:ascii="Palatino Linotype" w:eastAsia="Palatino Linotype" w:hAnsi="Palatino Linotype" w:cs="Palatino Linotype"/>
          <w:sz w:val="24"/>
          <w:szCs w:val="24"/>
        </w:rPr>
        <w:lastRenderedPageBreak/>
        <w:t>conocimiento público información sobre las plazas vacantes, que incluya el número total así como el hipervínculo a las convocatorias para ocupar los puestos.</w:t>
      </w:r>
    </w:p>
    <w:p w14:paraId="594A6D53"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Por otro lado, respecto del </w:t>
      </w:r>
      <w:r w:rsidRPr="00FC39E5">
        <w:rPr>
          <w:rFonts w:ascii="Palatino Linotype" w:eastAsia="Palatino Linotype" w:hAnsi="Palatino Linotype" w:cs="Palatino Linotype"/>
          <w:b/>
          <w:sz w:val="24"/>
          <w:szCs w:val="24"/>
        </w:rPr>
        <w:t>perfil de puestos</w:t>
      </w:r>
      <w:r w:rsidRPr="00FC39E5">
        <w:rPr>
          <w:rFonts w:ascii="Palatino Linotype" w:eastAsia="Palatino Linotype" w:hAnsi="Palatino Linotype" w:cs="Palatino Linotype"/>
          <w:sz w:val="24"/>
          <w:szCs w:val="24"/>
        </w:rPr>
        <w:t>, dicha obligación de transparencia atiende a la necesidad de que las instituciones públicas establezcan un sistema de profesionalización que permita el ingreso al servicio a los aspirantes más calificados, y garantice la estabilidad y movilidad laborales de los servidores públicos conforme a su desarrollo profesional y a sus méritos en el servicio, de conformidad con los artículos 99 y 100 de la Ley de del Trabajo de los Servidores Públicos del Estado y Municipios.</w:t>
      </w:r>
    </w:p>
    <w:p w14:paraId="1750E864"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Sobre este tema, los Lineamientos Técnicos para la Publicación, Homologación y Estandarización de la Información establecida en el Título Quinto, Capítulos II, III, y IV, y el Título Noveno de la Ley de Transparencia y Acceso a la Información Pública del Estado de México y Municipios; adicional de aquella contemplada en el Título Quinto de la Ley General de Transparencia y Acceso a la Información Pública, publicados en el Periódico Oficial “Gaceta del Gobierno” del Estado de México, en fecha catorce de junio de dos mil veintitrés, establecen lo siguiente en su parte conducente:</w:t>
      </w:r>
    </w:p>
    <w:p w14:paraId="15EFF2A3" w14:textId="77777777" w:rsidR="005A079F" w:rsidRPr="00FC39E5" w:rsidRDefault="00AF36D8">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FC39E5">
        <w:rPr>
          <w:rFonts w:ascii="Palatino Linotype" w:eastAsia="Palatino Linotype" w:hAnsi="Palatino Linotype" w:cs="Palatino Linotype"/>
          <w:b/>
          <w:i/>
        </w:rPr>
        <w:t>“Los sistemas de profesionalización que establezcan las instituciones públicas deberán conformarse</w:t>
      </w:r>
      <w:r w:rsidRPr="00FC39E5">
        <w:rPr>
          <w:rFonts w:ascii="Palatino Linotype" w:eastAsia="Palatino Linotype" w:hAnsi="Palatino Linotype" w:cs="Palatino Linotype"/>
          <w:i/>
        </w:rPr>
        <w:t xml:space="preserve">, entre otros instrumentos, </w:t>
      </w:r>
      <w:r w:rsidRPr="00FC39E5">
        <w:rPr>
          <w:rFonts w:ascii="Palatino Linotype" w:eastAsia="Palatino Linotype" w:hAnsi="Palatino Linotype" w:cs="Palatino Linotype"/>
          <w:b/>
          <w:i/>
        </w:rPr>
        <w:t>por un catálogo de puestos por institución pública o dependencia</w:t>
      </w:r>
      <w:r w:rsidRPr="00FC39E5">
        <w:rPr>
          <w:rFonts w:ascii="Palatino Linotype" w:eastAsia="Palatino Linotype" w:hAnsi="Palatino Linotype" w:cs="Palatino Linotype"/>
          <w:i/>
        </w:rPr>
        <w:t xml:space="preserve">, </w:t>
      </w:r>
      <w:r w:rsidRPr="00FC39E5">
        <w:rPr>
          <w:rFonts w:ascii="Palatino Linotype" w:eastAsia="Palatino Linotype" w:hAnsi="Palatino Linotype" w:cs="Palatino Linotype"/>
          <w:b/>
          <w:i/>
        </w:rPr>
        <w:t>que deberá contener el perfil de cada uno de los existentes</w:t>
      </w:r>
      <w:r w:rsidRPr="00FC39E5">
        <w:rPr>
          <w:rFonts w:ascii="Palatino Linotype" w:eastAsia="Palatino Linotype" w:hAnsi="Palatino Linotype" w:cs="Palatino Linotype"/>
          <w:i/>
        </w:rPr>
        <w:t xml:space="preserve">, </w:t>
      </w:r>
      <w:r w:rsidRPr="00FC39E5">
        <w:rPr>
          <w:rFonts w:ascii="Palatino Linotype" w:eastAsia="Palatino Linotype" w:hAnsi="Palatino Linotype" w:cs="Palatino Linotype"/>
          <w:b/>
          <w:i/>
        </w:rPr>
        <w:t>los requisitos necesarios para desempeñarlos y el nivel salarial y escalafonario que les corresponde</w:t>
      </w:r>
      <w:r w:rsidRPr="00FC39E5">
        <w:rPr>
          <w:rFonts w:ascii="Palatino Linotype" w:eastAsia="Palatino Linotype" w:hAnsi="Palatino Linotype" w:cs="Palatino Linotype"/>
          <w:i/>
        </w:rPr>
        <w:t>.</w:t>
      </w:r>
    </w:p>
    <w:p w14:paraId="313C146F" w14:textId="77777777" w:rsidR="005A079F" w:rsidRPr="00FC39E5" w:rsidRDefault="00AF36D8">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FC39E5">
        <w:rPr>
          <w:rFonts w:ascii="Palatino Linotype" w:eastAsia="Palatino Linotype" w:hAnsi="Palatino Linotype" w:cs="Palatino Linotype"/>
          <w:i/>
        </w:rPr>
        <w:lastRenderedPageBreak/>
        <w:t xml:space="preserve">En términos del artículo 41 del Reglamento de Escalafón de los Servidores Públicos Generales del Poder Ejecutivo del Estado de México; para ingresar a prestar servicios en las dependencias del Poder Ejecutivo o en la Fiscalía General de Justicia del Estado de México, en cualquiera de los puestos de pie de rama, los candidatos deberán cubrir los requisitos que se determinan en la Ley del Trabajo de los Servidores Públicos del Estado y Municipios, en las Condiciones Generales y en las cédulas de identificación de puestos que forman parte del Catálogo General de Puestos. </w:t>
      </w:r>
    </w:p>
    <w:p w14:paraId="68E8A928" w14:textId="77777777" w:rsidR="005A079F" w:rsidRPr="00FC39E5" w:rsidRDefault="00AF36D8">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FC39E5">
        <w:rPr>
          <w:rFonts w:ascii="Palatino Linotype" w:eastAsia="Palatino Linotype" w:hAnsi="Palatino Linotype" w:cs="Palatino Linotype"/>
          <w:b/>
          <w:i/>
        </w:rPr>
        <w:t xml:space="preserve">Los sujetos obligados que no estén regulados por los ordenamientos anteriores, </w:t>
      </w:r>
      <w:r w:rsidRPr="00FC39E5">
        <w:rPr>
          <w:rFonts w:ascii="Palatino Linotype" w:eastAsia="Palatino Linotype" w:hAnsi="Palatino Linotype" w:cs="Palatino Linotype"/>
          <w:b/>
          <w:i/>
          <w:u w:val="single"/>
        </w:rPr>
        <w:t>publicarán los perfiles de los puestos con que cuenten en su estructura</w:t>
      </w:r>
      <w:r w:rsidRPr="00FC39E5">
        <w:rPr>
          <w:rFonts w:ascii="Palatino Linotype" w:eastAsia="Palatino Linotype" w:hAnsi="Palatino Linotype" w:cs="Palatino Linotype"/>
          <w:b/>
          <w:i/>
        </w:rPr>
        <w:t>, de acuerdo con la normatividad aplicable</w:t>
      </w:r>
      <w:r w:rsidRPr="00FC39E5">
        <w:rPr>
          <w:rFonts w:ascii="Palatino Linotype" w:eastAsia="Palatino Linotype" w:hAnsi="Palatino Linotype" w:cs="Palatino Linotype"/>
          <w:i/>
        </w:rPr>
        <w:t xml:space="preserve">. </w:t>
      </w:r>
    </w:p>
    <w:p w14:paraId="40AE64A2" w14:textId="77777777" w:rsidR="005A079F" w:rsidRPr="00FC39E5" w:rsidRDefault="00AF36D8">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FC39E5">
        <w:rPr>
          <w:rFonts w:ascii="Palatino Linotype" w:eastAsia="Palatino Linotype" w:hAnsi="Palatino Linotype" w:cs="Palatino Linotype"/>
          <w:i/>
        </w:rPr>
        <w:t>El artículo 44 del Reglamento de Escalafón de los Servidores Públicos Generales del Poder Ejecutivo del Estado de México, prevé los requisitos para ocupar puestos escalafonarios son los establecidos en las cédulas de identificación de puestos que forman parte del Catálogo General de Puestos, en el que se especifica el título de cada puesto, el grupo y rama al que pertenece, el nivel salarial que le corresponde, así como su clasificación. Asimismo, el artículo 48 consigna que los requisitos establecidos para ocupar los puestos escalafonarios constituyen el perfil del puesto, el cual predetermina las condiciones mínimas que debe acreditar el servidor público para el desempeño del puesto.”</w:t>
      </w:r>
    </w:p>
    <w:p w14:paraId="7D57736A"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En este sentido, dicha obligación de transparencia es aplicable a todos los Sujetos Obligados, debe actualizarse de manera trimestral, conservando en su sitio de internet la información vigente, asimismo, debe publicarse conforme a los Criterios sustantivos de contenido, adjetivos de actualización, adjetivos de confiabilidad y adjetivos de formato, estos últimos incluyen todos los campos especificados en los criterios sustantivos de contenido; como se ilustra a continuación:</w:t>
      </w:r>
    </w:p>
    <w:p w14:paraId="1EF39E2C"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C39E5">
        <w:rPr>
          <w:rFonts w:ascii="Palatino Linotype" w:eastAsia="Palatino Linotype" w:hAnsi="Palatino Linotype" w:cs="Palatino Linotype"/>
          <w:noProof/>
        </w:rPr>
        <w:lastRenderedPageBreak/>
        <w:drawing>
          <wp:inline distT="0" distB="0" distL="0" distR="0" wp14:anchorId="267CF350" wp14:editId="228F1E0E">
            <wp:extent cx="5612130" cy="1790700"/>
            <wp:effectExtent l="0" t="0" r="0" b="0"/>
            <wp:docPr id="19356684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b="47593"/>
                    <a:stretch>
                      <a:fillRect/>
                    </a:stretch>
                  </pic:blipFill>
                  <pic:spPr>
                    <a:xfrm>
                      <a:off x="0" y="0"/>
                      <a:ext cx="5612130" cy="1790700"/>
                    </a:xfrm>
                    <a:prstGeom prst="rect">
                      <a:avLst/>
                    </a:prstGeom>
                    <a:ln/>
                  </pic:spPr>
                </pic:pic>
              </a:graphicData>
            </a:graphic>
          </wp:inline>
        </w:drawing>
      </w:r>
    </w:p>
    <w:p w14:paraId="0307D0C9"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C39E5">
        <w:rPr>
          <w:rFonts w:ascii="Palatino Linotype" w:eastAsia="Palatino Linotype" w:hAnsi="Palatino Linotype" w:cs="Palatino Linotype"/>
          <w:noProof/>
        </w:rPr>
        <w:drawing>
          <wp:inline distT="0" distB="0" distL="0" distR="0" wp14:anchorId="6780B854" wp14:editId="502C6607">
            <wp:extent cx="5612130" cy="1628775"/>
            <wp:effectExtent l="0" t="0" r="0" b="0"/>
            <wp:docPr id="19356684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t="52128" b="204"/>
                    <a:stretch>
                      <a:fillRect/>
                    </a:stretch>
                  </pic:blipFill>
                  <pic:spPr>
                    <a:xfrm>
                      <a:off x="0" y="0"/>
                      <a:ext cx="5612130" cy="1628775"/>
                    </a:xfrm>
                    <a:prstGeom prst="rect">
                      <a:avLst/>
                    </a:prstGeom>
                    <a:ln/>
                  </pic:spPr>
                </pic:pic>
              </a:graphicData>
            </a:graphic>
          </wp:inline>
        </w:drawing>
      </w:r>
    </w:p>
    <w:p w14:paraId="5DE1577B"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C39E5">
        <w:rPr>
          <w:rFonts w:ascii="Palatino Linotype" w:eastAsia="Palatino Linotype" w:hAnsi="Palatino Linotype" w:cs="Palatino Linotype"/>
          <w:noProof/>
        </w:rPr>
        <w:drawing>
          <wp:inline distT="0" distB="0" distL="0" distR="0" wp14:anchorId="5252E984" wp14:editId="51D55806">
            <wp:extent cx="5612130" cy="1515110"/>
            <wp:effectExtent l="0" t="0" r="0" b="0"/>
            <wp:docPr id="19356684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612130" cy="1515110"/>
                    </a:xfrm>
                    <a:prstGeom prst="rect">
                      <a:avLst/>
                    </a:prstGeom>
                    <a:ln/>
                  </pic:spPr>
                </pic:pic>
              </a:graphicData>
            </a:graphic>
          </wp:inline>
        </w:drawing>
      </w:r>
      <w:r w:rsidRPr="00FC39E5">
        <w:rPr>
          <w:noProof/>
        </w:rPr>
        <mc:AlternateContent>
          <mc:Choice Requires="wpg">
            <w:drawing>
              <wp:anchor distT="0" distB="0" distL="114300" distR="114300" simplePos="0" relativeHeight="251662336" behindDoc="0" locked="0" layoutInCell="1" hidden="0" allowOverlap="1" wp14:anchorId="009ECDAD" wp14:editId="6745241C">
                <wp:simplePos x="0" y="0"/>
                <wp:positionH relativeFrom="column">
                  <wp:posOffset>3009900</wp:posOffset>
                </wp:positionH>
                <wp:positionV relativeFrom="paragraph">
                  <wp:posOffset>139700</wp:posOffset>
                </wp:positionV>
                <wp:extent cx="2603500" cy="797560"/>
                <wp:effectExtent l="0" t="0" r="0" b="0"/>
                <wp:wrapNone/>
                <wp:docPr id="1935668419" name="Rectángulo 1935668419"/>
                <wp:cNvGraphicFramePr/>
                <a:graphic xmlns:a="http://schemas.openxmlformats.org/drawingml/2006/main">
                  <a:graphicData uri="http://schemas.microsoft.com/office/word/2010/wordprocessingShape">
                    <wps:wsp>
                      <wps:cNvSpPr/>
                      <wps:spPr>
                        <a:xfrm>
                          <a:off x="4063300" y="3400270"/>
                          <a:ext cx="2565400" cy="759460"/>
                        </a:xfrm>
                        <a:prstGeom prst="rect">
                          <a:avLst/>
                        </a:prstGeom>
                        <a:noFill/>
                        <a:ln w="38100" cap="flat" cmpd="sng">
                          <a:solidFill>
                            <a:srgbClr val="C00000"/>
                          </a:solidFill>
                          <a:prstDash val="solid"/>
                          <a:miter lim="800000"/>
                          <a:headEnd type="none" w="sm" len="sm"/>
                          <a:tailEnd type="none" w="sm" len="sm"/>
                        </a:ln>
                      </wps:spPr>
                      <wps:txbx>
                        <w:txbxContent>
                          <w:p w14:paraId="1035099D" w14:textId="77777777" w:rsidR="005A079F" w:rsidRDefault="005A079F">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2603500" cy="797560"/>
                <wp:effectExtent b="0" l="0" r="0" t="0"/>
                <wp:wrapNone/>
                <wp:docPr id="1935668419"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2603500" cy="797560"/>
                        </a:xfrm>
                        <a:prstGeom prst="rect"/>
                        <a:ln/>
                      </pic:spPr>
                    </pic:pic>
                  </a:graphicData>
                </a:graphic>
              </wp:anchor>
            </w:drawing>
          </mc:Fallback>
        </mc:AlternateContent>
      </w:r>
    </w:p>
    <w:p w14:paraId="28E5E6D3"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4"/>
          <w:szCs w:val="24"/>
          <w:u w:val="single"/>
        </w:rPr>
      </w:pPr>
      <w:r w:rsidRPr="00FC39E5">
        <w:rPr>
          <w:rFonts w:ascii="Palatino Linotype" w:eastAsia="Palatino Linotype" w:hAnsi="Palatino Linotype" w:cs="Palatino Linotype"/>
          <w:sz w:val="24"/>
          <w:szCs w:val="24"/>
        </w:rPr>
        <w:t xml:space="preserve">Como se desprende del Criterio sustantivo de contenido número 3, para dar cumplimiento a la obligación de transparencia prevista en el artículo 92, fracción XII de la Ley de la Materia, los Sujetos Obligados deben publicar el hipervínculo al Catálogo General o Específico de Puestos, </w:t>
      </w:r>
      <w:r w:rsidRPr="00FC39E5">
        <w:rPr>
          <w:rFonts w:ascii="Palatino Linotype" w:eastAsia="Palatino Linotype" w:hAnsi="Palatino Linotype" w:cs="Palatino Linotype"/>
          <w:b/>
          <w:sz w:val="24"/>
          <w:szCs w:val="24"/>
          <w:u w:val="single"/>
        </w:rPr>
        <w:t xml:space="preserve">o documento que establezca los perfiles, </w:t>
      </w:r>
      <w:r w:rsidRPr="00FC39E5">
        <w:rPr>
          <w:rFonts w:ascii="Palatino Linotype" w:eastAsia="Palatino Linotype" w:hAnsi="Palatino Linotype" w:cs="Palatino Linotype"/>
          <w:b/>
          <w:sz w:val="24"/>
          <w:szCs w:val="24"/>
          <w:u w:val="single"/>
        </w:rPr>
        <w:lastRenderedPageBreak/>
        <w:t>el cual incluya los requisitos mínimos que deberán cubrir quienes ocupen los puestos, tales como edad, escolaridad (nivel máximo de estudios), área o especialidad, experiencia profesional o laboral, etc.</w:t>
      </w:r>
    </w:p>
    <w:p w14:paraId="16D4EEAB"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Finalmente, cabe señalar que de conformidad con la Tabla de aplicabilidad, dichas obligaciones de transparencia son aplicables al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xml:space="preserve"> como se muestra a continuación para mejor referencia: </w:t>
      </w:r>
    </w:p>
    <w:p w14:paraId="01D4CA93"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114300" distB="114300" distL="114300" distR="114300" wp14:anchorId="62874433" wp14:editId="7A5051C2">
            <wp:extent cx="5612130" cy="1384300"/>
            <wp:effectExtent l="0" t="0" r="0" b="0"/>
            <wp:docPr id="19356684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5612130" cy="1384300"/>
                    </a:xfrm>
                    <a:prstGeom prst="rect">
                      <a:avLst/>
                    </a:prstGeom>
                    <a:ln/>
                  </pic:spPr>
                </pic:pic>
              </a:graphicData>
            </a:graphic>
          </wp:inline>
        </w:drawing>
      </w:r>
      <w:r w:rsidRPr="00FC39E5">
        <w:rPr>
          <w:noProof/>
        </w:rPr>
        <mc:AlternateContent>
          <mc:Choice Requires="wpg">
            <w:drawing>
              <wp:anchor distT="0" distB="0" distL="114300" distR="114300" simplePos="0" relativeHeight="251663360" behindDoc="0" locked="0" layoutInCell="1" hidden="0" allowOverlap="1" wp14:anchorId="765D7BA1" wp14:editId="7B5CCEF0">
                <wp:simplePos x="0" y="0"/>
                <wp:positionH relativeFrom="column">
                  <wp:posOffset>4927600</wp:posOffset>
                </wp:positionH>
                <wp:positionV relativeFrom="paragraph">
                  <wp:posOffset>622300</wp:posOffset>
                </wp:positionV>
                <wp:extent cx="290064" cy="204362"/>
                <wp:effectExtent l="0" t="0" r="0" b="0"/>
                <wp:wrapNone/>
                <wp:docPr id="1935668420" name="Conector recto de flecha 1935668420"/>
                <wp:cNvGraphicFramePr/>
                <a:graphic xmlns:a="http://schemas.openxmlformats.org/drawingml/2006/main">
                  <a:graphicData uri="http://schemas.microsoft.com/office/word/2010/wordprocessingShape">
                    <wps:wsp>
                      <wps:cNvCnPr/>
                      <wps:spPr>
                        <a:xfrm flipH="1">
                          <a:off x="5229543" y="3706394"/>
                          <a:ext cx="232914" cy="147212"/>
                        </a:xfrm>
                        <a:prstGeom prst="straightConnector1">
                          <a:avLst/>
                        </a:prstGeom>
                        <a:noFill/>
                        <a:ln w="57150" cap="flat" cmpd="sng">
                          <a:solidFill>
                            <a:srgbClr val="C00000"/>
                          </a:solidFill>
                          <a:prstDash val="solid"/>
                          <a:miter lim="800000"/>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622300</wp:posOffset>
                </wp:positionV>
                <wp:extent cx="290064" cy="204362"/>
                <wp:effectExtent b="0" l="0" r="0" t="0"/>
                <wp:wrapNone/>
                <wp:docPr id="1935668420"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90064" cy="204362"/>
                        </a:xfrm>
                        <a:prstGeom prst="rect"/>
                        <a:ln/>
                      </pic:spPr>
                    </pic:pic>
                  </a:graphicData>
                </a:graphic>
              </wp:anchor>
            </w:drawing>
          </mc:Fallback>
        </mc:AlternateContent>
      </w:r>
      <w:r w:rsidRPr="00FC39E5">
        <w:rPr>
          <w:noProof/>
        </w:rPr>
        <mc:AlternateContent>
          <mc:Choice Requires="wpg">
            <w:drawing>
              <wp:anchor distT="0" distB="0" distL="114300" distR="114300" simplePos="0" relativeHeight="251664384" behindDoc="0" locked="0" layoutInCell="1" hidden="0" allowOverlap="1" wp14:anchorId="327BCC58" wp14:editId="525B08E2">
                <wp:simplePos x="0" y="0"/>
                <wp:positionH relativeFrom="column">
                  <wp:posOffset>4914900</wp:posOffset>
                </wp:positionH>
                <wp:positionV relativeFrom="paragraph">
                  <wp:posOffset>850900</wp:posOffset>
                </wp:positionV>
                <wp:extent cx="290064" cy="204362"/>
                <wp:effectExtent l="0" t="0" r="0" b="0"/>
                <wp:wrapNone/>
                <wp:docPr id="1935668418" name="Conector recto de flecha 1935668418"/>
                <wp:cNvGraphicFramePr/>
                <a:graphic xmlns:a="http://schemas.openxmlformats.org/drawingml/2006/main">
                  <a:graphicData uri="http://schemas.microsoft.com/office/word/2010/wordprocessingShape">
                    <wps:wsp>
                      <wps:cNvCnPr/>
                      <wps:spPr>
                        <a:xfrm flipH="1">
                          <a:off x="5229543" y="3706394"/>
                          <a:ext cx="232914" cy="147212"/>
                        </a:xfrm>
                        <a:prstGeom prst="straightConnector1">
                          <a:avLst/>
                        </a:prstGeom>
                        <a:noFill/>
                        <a:ln w="57150" cap="flat" cmpd="sng">
                          <a:solidFill>
                            <a:srgbClr val="C00000"/>
                          </a:solidFill>
                          <a:prstDash val="solid"/>
                          <a:miter lim="800000"/>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850900</wp:posOffset>
                </wp:positionV>
                <wp:extent cx="290064" cy="204362"/>
                <wp:effectExtent b="0" l="0" r="0" t="0"/>
                <wp:wrapNone/>
                <wp:docPr id="1935668418"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290064" cy="204362"/>
                        </a:xfrm>
                        <a:prstGeom prst="rect"/>
                        <a:ln/>
                      </pic:spPr>
                    </pic:pic>
                  </a:graphicData>
                </a:graphic>
              </wp:anchor>
            </w:drawing>
          </mc:Fallback>
        </mc:AlternateContent>
      </w:r>
      <w:r w:rsidRPr="00FC39E5">
        <w:rPr>
          <w:noProof/>
        </w:rPr>
        <mc:AlternateContent>
          <mc:Choice Requires="wpg">
            <w:drawing>
              <wp:anchor distT="0" distB="0" distL="114300" distR="114300" simplePos="0" relativeHeight="251665408" behindDoc="0" locked="0" layoutInCell="1" hidden="0" allowOverlap="1" wp14:anchorId="0970B9CB" wp14:editId="4494659B">
                <wp:simplePos x="0" y="0"/>
                <wp:positionH relativeFrom="column">
                  <wp:posOffset>4927600</wp:posOffset>
                </wp:positionH>
                <wp:positionV relativeFrom="paragraph">
                  <wp:posOffset>1155700</wp:posOffset>
                </wp:positionV>
                <wp:extent cx="290064" cy="204362"/>
                <wp:effectExtent l="0" t="0" r="0" b="0"/>
                <wp:wrapNone/>
                <wp:docPr id="1935668424" name="Conector recto de flecha 1935668424"/>
                <wp:cNvGraphicFramePr/>
                <a:graphic xmlns:a="http://schemas.openxmlformats.org/drawingml/2006/main">
                  <a:graphicData uri="http://schemas.microsoft.com/office/word/2010/wordprocessingShape">
                    <wps:wsp>
                      <wps:cNvCnPr/>
                      <wps:spPr>
                        <a:xfrm flipH="1">
                          <a:off x="5229543" y="3706394"/>
                          <a:ext cx="232914" cy="147212"/>
                        </a:xfrm>
                        <a:prstGeom prst="straightConnector1">
                          <a:avLst/>
                        </a:prstGeom>
                        <a:noFill/>
                        <a:ln w="57150" cap="flat" cmpd="sng">
                          <a:solidFill>
                            <a:srgbClr val="C00000"/>
                          </a:solidFill>
                          <a:prstDash val="solid"/>
                          <a:miter lim="800000"/>
                          <a:headEnd type="none" w="sm" len="sm"/>
                          <a:tailEnd type="triangle" w="med" len="med"/>
                        </a:ln>
                      </wps:spPr>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1155700</wp:posOffset>
                </wp:positionV>
                <wp:extent cx="290064" cy="204362"/>
                <wp:effectExtent b="0" l="0" r="0" t="0"/>
                <wp:wrapNone/>
                <wp:docPr id="1935668424"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290064" cy="204362"/>
                        </a:xfrm>
                        <a:prstGeom prst="rect"/>
                        <a:ln/>
                      </pic:spPr>
                    </pic:pic>
                  </a:graphicData>
                </a:graphic>
              </wp:anchor>
            </w:drawing>
          </mc:Fallback>
        </mc:AlternateContent>
      </w:r>
    </w:p>
    <w:p w14:paraId="5B6C2292"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Una vez acotado lo anterior, es oportuno recordar que en respuesta al </w:t>
      </w:r>
      <w:r w:rsidRPr="00FC39E5">
        <w:rPr>
          <w:rFonts w:ascii="Palatino Linotype" w:eastAsia="Palatino Linotype" w:hAnsi="Palatino Linotype" w:cs="Palatino Linotype"/>
          <w:b/>
          <w:sz w:val="24"/>
          <w:szCs w:val="24"/>
        </w:rPr>
        <w:t>punto 1</w:t>
      </w:r>
      <w:r w:rsidRPr="00FC39E5">
        <w:rPr>
          <w:rFonts w:ascii="Palatino Linotype" w:eastAsia="Palatino Linotype" w:hAnsi="Palatino Linotype" w:cs="Palatino Linotype"/>
          <w:sz w:val="24"/>
          <w:szCs w:val="24"/>
        </w:rPr>
        <w:t xml:space="preserve"> de la solicitud, la persona servidora pública habilitada de la Dirección de Administración manifestó que no se contaba con ninguna plaza vacante, argumento que se robustece con la información publicada en el portal de Información Pública de Oficio Mexiquense, IPOMEX, del Sujeto Obligado, como se ilustra a continuación para mejor referencia: </w:t>
      </w:r>
    </w:p>
    <w:p w14:paraId="5E772B95"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noProof/>
          <w:sz w:val="24"/>
          <w:szCs w:val="24"/>
        </w:rPr>
        <w:drawing>
          <wp:inline distT="0" distB="0" distL="0" distR="0" wp14:anchorId="0C0AC261" wp14:editId="13CFB944">
            <wp:extent cx="5612130" cy="223284"/>
            <wp:effectExtent l="0" t="0" r="0" b="0"/>
            <wp:docPr id="19356684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b="91231"/>
                    <a:stretch>
                      <a:fillRect/>
                    </a:stretch>
                  </pic:blipFill>
                  <pic:spPr>
                    <a:xfrm>
                      <a:off x="0" y="0"/>
                      <a:ext cx="5612130" cy="223284"/>
                    </a:xfrm>
                    <a:prstGeom prst="rect">
                      <a:avLst/>
                    </a:prstGeom>
                    <a:ln/>
                  </pic:spPr>
                </pic:pic>
              </a:graphicData>
            </a:graphic>
          </wp:inline>
        </w:drawing>
      </w:r>
      <w:r w:rsidRPr="00FC39E5">
        <w:rPr>
          <w:rFonts w:ascii="Palatino Linotype" w:eastAsia="Palatino Linotype" w:hAnsi="Palatino Linotype" w:cs="Palatino Linotype"/>
          <w:noProof/>
          <w:sz w:val="24"/>
          <w:szCs w:val="24"/>
        </w:rPr>
        <w:drawing>
          <wp:inline distT="0" distB="0" distL="0" distR="0" wp14:anchorId="230317C2" wp14:editId="48B32DD7">
            <wp:extent cx="5612130" cy="237490"/>
            <wp:effectExtent l="0" t="0" r="0" b="0"/>
            <wp:docPr id="19356684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5612130" cy="237490"/>
                    </a:xfrm>
                    <a:prstGeom prst="rect">
                      <a:avLst/>
                    </a:prstGeom>
                    <a:ln/>
                  </pic:spPr>
                </pic:pic>
              </a:graphicData>
            </a:graphic>
          </wp:inline>
        </w:drawing>
      </w:r>
      <w:r w:rsidRPr="00FC39E5">
        <w:rPr>
          <w:rFonts w:ascii="Palatino Linotype" w:eastAsia="Palatino Linotype" w:hAnsi="Palatino Linotype" w:cs="Palatino Linotype"/>
          <w:noProof/>
          <w:sz w:val="24"/>
          <w:szCs w:val="24"/>
        </w:rPr>
        <w:drawing>
          <wp:inline distT="0" distB="0" distL="0" distR="0" wp14:anchorId="1CF26C12" wp14:editId="1B28B5A6">
            <wp:extent cx="5612130" cy="473001"/>
            <wp:effectExtent l="0" t="0" r="0" b="0"/>
            <wp:docPr id="19356684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t="81423"/>
                    <a:stretch>
                      <a:fillRect/>
                    </a:stretch>
                  </pic:blipFill>
                  <pic:spPr>
                    <a:xfrm>
                      <a:off x="0" y="0"/>
                      <a:ext cx="5612130" cy="473001"/>
                    </a:xfrm>
                    <a:prstGeom prst="rect">
                      <a:avLst/>
                    </a:prstGeom>
                    <a:ln/>
                  </pic:spPr>
                </pic:pic>
              </a:graphicData>
            </a:graphic>
          </wp:inline>
        </w:drawing>
      </w:r>
    </w:p>
    <w:p w14:paraId="1CCFDD3B" w14:textId="77777777" w:rsidR="005A079F" w:rsidRPr="00FC39E5" w:rsidRDefault="00AF36D8">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 xml:space="preserve">De tal manera, se estima que la aseveración de la persona servidora pública habilitada de la Dirección de Administración es suficiente para tener por satisfecho el </w:t>
      </w:r>
      <w:r w:rsidRPr="00FC39E5">
        <w:rPr>
          <w:rFonts w:ascii="Palatino Linotype" w:eastAsia="Palatino Linotype" w:hAnsi="Palatino Linotype" w:cs="Palatino Linotype"/>
          <w:b/>
          <w:sz w:val="24"/>
          <w:szCs w:val="24"/>
        </w:rPr>
        <w:t>punto 1</w:t>
      </w:r>
      <w:r w:rsidRPr="00FC39E5">
        <w:rPr>
          <w:rFonts w:ascii="Palatino Linotype" w:eastAsia="Palatino Linotype" w:hAnsi="Palatino Linotype" w:cs="Palatino Linotype"/>
          <w:sz w:val="24"/>
          <w:szCs w:val="24"/>
        </w:rPr>
        <w:t xml:space="preserve"> de la solicitud, </w:t>
      </w:r>
      <w:r w:rsidR="001C48DA" w:rsidRPr="00FC39E5">
        <w:rPr>
          <w:rFonts w:ascii="Palatino Linotype" w:eastAsia="Palatino Linotype" w:hAnsi="Palatino Linotype" w:cs="Palatino Linotype"/>
          <w:sz w:val="24"/>
          <w:szCs w:val="24"/>
        </w:rPr>
        <w:t xml:space="preserve">dado que al no tener vacantes, es evidente que no puede proporcionar el perfil requerido y las actividades a realizar en relación con dichas vacantes, </w:t>
      </w:r>
      <w:r w:rsidRPr="00FC39E5">
        <w:rPr>
          <w:rFonts w:ascii="Palatino Linotype" w:eastAsia="Palatino Linotype" w:hAnsi="Palatino Linotype" w:cs="Palatino Linotype"/>
          <w:sz w:val="24"/>
          <w:szCs w:val="24"/>
        </w:rPr>
        <w:t>siendo que de conformidad con lo establecido en el artículo 12, segundo párrafo de la Ley de Transparencia y Acceso a la Información Pública del Estado de México y Municipios, los Sujetos Obligados sólo proporcionaran la información pública que se les requiera y que obre en sus archivos y en el estado en que ésta se encuentre, en sentido contrario, no están obligados a proporcionar lo que no tengan en sus archivos.</w:t>
      </w:r>
    </w:p>
    <w:p w14:paraId="6D66DBB3" w14:textId="77777777" w:rsidR="005A079F" w:rsidRPr="00FC39E5" w:rsidRDefault="00AF36D8">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1E0755DE" w14:textId="77777777" w:rsidR="005A079F" w:rsidRPr="00FC39E5" w:rsidRDefault="00AF36D8">
      <w:pPr>
        <w:spacing w:before="240" w:after="240" w:line="360" w:lineRule="auto"/>
        <w:ind w:right="49"/>
        <w:jc w:val="both"/>
        <w:rPr>
          <w:rFonts w:ascii="Palatino Linotype" w:eastAsia="Palatino Linotype" w:hAnsi="Palatino Linotype" w:cs="Palatino Linotype"/>
          <w:b/>
          <w:sz w:val="24"/>
          <w:szCs w:val="24"/>
        </w:rPr>
      </w:pPr>
      <w:r w:rsidRPr="00FC39E5">
        <w:rPr>
          <w:rFonts w:ascii="Palatino Linotype" w:eastAsia="Palatino Linotype" w:hAnsi="Palatino Linotype" w:cs="Palatino Linotype"/>
          <w:sz w:val="24"/>
          <w:szCs w:val="24"/>
        </w:rPr>
        <w:t>Sirve de apoyo a lo anterior, el Criterio de interpretación con clave de control SO/014/2023, emitido por el Instituto Nacional de Transparencia, Acceso a la Información y Protección de Datos Personales, que dice:</w:t>
      </w:r>
      <w:r w:rsidRPr="00FC39E5">
        <w:rPr>
          <w:rFonts w:ascii="Palatino Linotype" w:eastAsia="Palatino Linotype" w:hAnsi="Palatino Linotype" w:cs="Palatino Linotype"/>
          <w:b/>
          <w:sz w:val="24"/>
          <w:szCs w:val="24"/>
        </w:rPr>
        <w:t xml:space="preserve"> </w:t>
      </w:r>
    </w:p>
    <w:p w14:paraId="1A75F899" w14:textId="77777777" w:rsidR="005A079F" w:rsidRPr="00FC39E5" w:rsidRDefault="00AF36D8">
      <w:pPr>
        <w:spacing w:before="120" w:after="120" w:line="240" w:lineRule="auto"/>
        <w:ind w:left="851" w:right="902"/>
        <w:jc w:val="both"/>
        <w:rPr>
          <w:rFonts w:ascii="Palatino Linotype" w:eastAsia="Palatino Linotype" w:hAnsi="Palatino Linotype" w:cs="Palatino Linotype"/>
          <w:i/>
        </w:rPr>
      </w:pPr>
      <w:r w:rsidRPr="00FC39E5">
        <w:rPr>
          <w:rFonts w:ascii="Palatino Linotype" w:eastAsia="Palatino Linotype" w:hAnsi="Palatino Linotype" w:cs="Palatino Linotype"/>
          <w:b/>
          <w:i/>
        </w:rPr>
        <w:t>“Ejercicio del derecho de Acceso a la Información. Respuesta igual a cero, no es necesario declarar formalmente la inexistencia.</w:t>
      </w:r>
      <w:r w:rsidRPr="00FC39E5">
        <w:rPr>
          <w:rFonts w:ascii="Palatino Linotype" w:eastAsia="Palatino Linotype" w:hAnsi="Palatino Linotype" w:cs="Palatino Linotype"/>
          <w:i/>
        </w:rPr>
        <w:t xml:space="preserve"> En los casos en que se requiere un dato estadístico o numérico y el resultado de la búsqueda de la información sea cero, éste deberá entenderse como un dato que constituye un elemento numérico que atiende la solicitud, y no como la inexistencia de la información solicitada. Por lo anterior, el número cero es una respuesta válida </w:t>
      </w:r>
      <w:r w:rsidRPr="00FC39E5">
        <w:rPr>
          <w:rFonts w:ascii="Palatino Linotype" w:eastAsia="Palatino Linotype" w:hAnsi="Palatino Linotype" w:cs="Palatino Linotype"/>
          <w:i/>
        </w:rPr>
        <w:lastRenderedPageBreak/>
        <w:t>cuando se solicita información cuantitativa, en virtud de que se trata de un valor en sí mismo.”</w:t>
      </w:r>
    </w:p>
    <w:p w14:paraId="3ACEBBFB" w14:textId="77777777" w:rsidR="001C48DA" w:rsidRPr="00FC39E5" w:rsidRDefault="00AF36D8">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Por otro lado, con relación perfil de</w:t>
      </w:r>
      <w:r w:rsidR="001C48DA" w:rsidRPr="00FC39E5">
        <w:rPr>
          <w:rFonts w:ascii="Palatino Linotype" w:eastAsia="Palatino Linotype" w:hAnsi="Palatino Linotype" w:cs="Palatino Linotype"/>
          <w:sz w:val="24"/>
          <w:szCs w:val="24"/>
        </w:rPr>
        <w:t xml:space="preserve"> los integrantes de la Co</w:t>
      </w:r>
      <w:r w:rsidRPr="00FC39E5">
        <w:rPr>
          <w:rFonts w:ascii="Palatino Linotype" w:eastAsia="Palatino Linotype" w:hAnsi="Palatino Linotype" w:cs="Palatino Linotype"/>
          <w:sz w:val="24"/>
          <w:szCs w:val="24"/>
        </w:rPr>
        <w:t xml:space="preserve">ntraloría Interna Municipal, los servidores públicos habilitados de la Dirección de Administración como la Contraloría Interna Municipal, </w:t>
      </w:r>
      <w:r w:rsidR="001C48DA" w:rsidRPr="00FC39E5">
        <w:rPr>
          <w:rFonts w:ascii="Palatino Linotype" w:eastAsia="Palatino Linotype" w:hAnsi="Palatino Linotype" w:cs="Palatino Linotype"/>
          <w:sz w:val="24"/>
          <w:szCs w:val="24"/>
        </w:rPr>
        <w:t xml:space="preserve">señalaron </w:t>
      </w:r>
      <w:r w:rsidRPr="00FC39E5">
        <w:rPr>
          <w:rFonts w:ascii="Palatino Linotype" w:eastAsia="Palatino Linotype" w:hAnsi="Palatino Linotype" w:cs="Palatino Linotype"/>
          <w:sz w:val="24"/>
          <w:szCs w:val="24"/>
        </w:rPr>
        <w:t xml:space="preserve">el grado de estudios que se requiere para los puestos, </w:t>
      </w:r>
      <w:r w:rsidR="001C48DA" w:rsidRPr="00FC39E5">
        <w:rPr>
          <w:rFonts w:ascii="Palatino Linotype" w:eastAsia="Palatino Linotype" w:hAnsi="Palatino Linotype" w:cs="Palatino Linotype"/>
          <w:sz w:val="24"/>
          <w:szCs w:val="24"/>
        </w:rPr>
        <w:t xml:space="preserve">asimismo se hizo entrega </w:t>
      </w:r>
      <w:r w:rsidRPr="00FC39E5">
        <w:rPr>
          <w:rFonts w:ascii="Palatino Linotype" w:eastAsia="Palatino Linotype" w:hAnsi="Palatino Linotype" w:cs="Palatino Linotype"/>
          <w:sz w:val="24"/>
          <w:szCs w:val="24"/>
        </w:rPr>
        <w:t xml:space="preserve">del </w:t>
      </w:r>
      <w:proofErr w:type="spellStart"/>
      <w:r w:rsidRPr="00FC39E5">
        <w:rPr>
          <w:rFonts w:ascii="Palatino Linotype" w:eastAsia="Palatino Linotype" w:hAnsi="Palatino Linotype" w:cs="Palatino Linotype"/>
          <w:sz w:val="24"/>
          <w:szCs w:val="24"/>
        </w:rPr>
        <w:t>curriculum</w:t>
      </w:r>
      <w:proofErr w:type="spellEnd"/>
      <w:r w:rsidRPr="00FC39E5">
        <w:rPr>
          <w:rFonts w:ascii="Palatino Linotype" w:eastAsia="Palatino Linotype" w:hAnsi="Palatino Linotype" w:cs="Palatino Linotype"/>
          <w:sz w:val="24"/>
          <w:szCs w:val="24"/>
        </w:rPr>
        <w:t xml:space="preserve"> vitae de seis servidores públicos adscritos a l</w:t>
      </w:r>
      <w:r w:rsidR="001C48DA" w:rsidRPr="00FC39E5">
        <w:rPr>
          <w:rFonts w:ascii="Palatino Linotype" w:eastAsia="Palatino Linotype" w:hAnsi="Palatino Linotype" w:cs="Palatino Linotype"/>
          <w:sz w:val="24"/>
          <w:szCs w:val="24"/>
        </w:rPr>
        <w:t xml:space="preserve">a Contraloría Interna Municipal. </w:t>
      </w:r>
    </w:p>
    <w:p w14:paraId="280E6114" w14:textId="77777777" w:rsidR="001C48DA" w:rsidRPr="00FC39E5" w:rsidRDefault="001C48DA">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En tal contexto, se estima que dicha información es suficiente para tener por satisfecho el requerimiento relativo al perfil de puestos de los integrantes del Órgano Interno de control, dado que de los </w:t>
      </w:r>
      <w:proofErr w:type="spellStart"/>
      <w:r w:rsidRPr="00FC39E5">
        <w:rPr>
          <w:rFonts w:ascii="Palatino Linotype" w:eastAsia="Palatino Linotype" w:hAnsi="Palatino Linotype" w:cs="Palatino Linotype"/>
          <w:sz w:val="24"/>
          <w:szCs w:val="24"/>
        </w:rPr>
        <w:t>curriculum</w:t>
      </w:r>
      <w:proofErr w:type="spellEnd"/>
      <w:r w:rsidRPr="00FC39E5">
        <w:rPr>
          <w:rFonts w:ascii="Palatino Linotype" w:eastAsia="Palatino Linotype" w:hAnsi="Palatino Linotype" w:cs="Palatino Linotype"/>
          <w:sz w:val="24"/>
          <w:szCs w:val="24"/>
        </w:rPr>
        <w:t xml:space="preserve"> vitae se desprende el grado de estudios, así como la trayectoria laboral</w:t>
      </w:r>
      <w:r w:rsidR="006A39BA" w:rsidRPr="00FC39E5">
        <w:rPr>
          <w:rFonts w:ascii="Palatino Linotype" w:eastAsia="Palatino Linotype" w:hAnsi="Palatino Linotype" w:cs="Palatino Linotype"/>
          <w:sz w:val="24"/>
          <w:szCs w:val="24"/>
        </w:rPr>
        <w:t xml:space="preserve"> y profesional</w:t>
      </w:r>
      <w:r w:rsidRPr="00FC39E5">
        <w:rPr>
          <w:rFonts w:ascii="Palatino Linotype" w:eastAsia="Palatino Linotype" w:hAnsi="Palatino Linotype" w:cs="Palatino Linotype"/>
          <w:sz w:val="24"/>
          <w:szCs w:val="24"/>
        </w:rPr>
        <w:t xml:space="preserve"> de los servidores públicos, lo c</w:t>
      </w:r>
      <w:r w:rsidR="006A39BA" w:rsidRPr="00FC39E5">
        <w:rPr>
          <w:rFonts w:ascii="Palatino Linotype" w:eastAsia="Palatino Linotype" w:hAnsi="Palatino Linotype" w:cs="Palatino Linotype"/>
          <w:sz w:val="24"/>
          <w:szCs w:val="24"/>
        </w:rPr>
        <w:t>ual sustenta el perfil que estos ostentan</w:t>
      </w:r>
      <w:r w:rsidRPr="00FC39E5">
        <w:rPr>
          <w:rFonts w:ascii="Palatino Linotype" w:eastAsia="Palatino Linotype" w:hAnsi="Palatino Linotype" w:cs="Palatino Linotype"/>
          <w:sz w:val="24"/>
          <w:szCs w:val="24"/>
        </w:rPr>
        <w:t xml:space="preserve">, </w:t>
      </w:r>
      <w:r w:rsidR="006A39BA" w:rsidRPr="00FC39E5">
        <w:rPr>
          <w:rFonts w:ascii="Palatino Linotype" w:eastAsia="Palatino Linotype" w:hAnsi="Palatino Linotype" w:cs="Palatino Linotype"/>
          <w:sz w:val="24"/>
          <w:szCs w:val="24"/>
        </w:rPr>
        <w:t>asimismo, no debe perderse de vista que dicha información f</w:t>
      </w:r>
      <w:r w:rsidRPr="00FC39E5">
        <w:rPr>
          <w:rFonts w:ascii="Palatino Linotype" w:eastAsia="Palatino Linotype" w:hAnsi="Palatino Linotype" w:cs="Palatino Linotype"/>
          <w:sz w:val="24"/>
          <w:szCs w:val="24"/>
        </w:rPr>
        <w:t xml:space="preserve">ue proporcionada por el área competente. </w:t>
      </w:r>
    </w:p>
    <w:p w14:paraId="4AAF0E63" w14:textId="77777777" w:rsidR="005A079F" w:rsidRPr="00FC39E5" w:rsidRDefault="006A39BA">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No obstante, por lo que se refiere al perfil de requerido para ocupar los puestos, esto es, el perfil que los servidores públicos deb</w:t>
      </w:r>
      <w:r w:rsidR="00CD3824" w:rsidRPr="00FC39E5">
        <w:rPr>
          <w:rFonts w:ascii="Palatino Linotype" w:eastAsia="Palatino Linotype" w:hAnsi="Palatino Linotype" w:cs="Palatino Linotype"/>
          <w:sz w:val="24"/>
          <w:szCs w:val="24"/>
        </w:rPr>
        <w:t xml:space="preserve">en </w:t>
      </w:r>
      <w:r w:rsidRPr="00FC39E5">
        <w:rPr>
          <w:rFonts w:ascii="Palatino Linotype" w:eastAsia="Palatino Linotype" w:hAnsi="Palatino Linotype" w:cs="Palatino Linotype"/>
          <w:sz w:val="24"/>
          <w:szCs w:val="24"/>
        </w:rPr>
        <w:t xml:space="preserve">cubrir, </w:t>
      </w:r>
      <w:r w:rsidR="00AF36D8" w:rsidRPr="00FC39E5">
        <w:rPr>
          <w:rFonts w:ascii="Palatino Linotype" w:eastAsia="Palatino Linotype" w:hAnsi="Palatino Linotype" w:cs="Palatino Linotype"/>
          <w:sz w:val="24"/>
          <w:szCs w:val="24"/>
        </w:rPr>
        <w:t xml:space="preserve">como se desprende del Criterio sustantivo de contenido número 3, </w:t>
      </w:r>
      <w:r w:rsidR="00AF36D8" w:rsidRPr="00FC39E5">
        <w:rPr>
          <w:rFonts w:ascii="Palatino Linotype" w:eastAsia="Palatino Linotype" w:hAnsi="Palatino Linotype" w:cs="Palatino Linotype"/>
          <w:b/>
          <w:sz w:val="24"/>
          <w:szCs w:val="24"/>
          <w:u w:val="single"/>
        </w:rPr>
        <w:t>el perfil debe incluir los requisitos mínimos que deben cubrir quienes ocupen los puestos, tales como edad, escolaridad (nivel máximo de estudios), área o especialidad, experiencia p</w:t>
      </w:r>
      <w:r w:rsidR="00215826" w:rsidRPr="00FC39E5">
        <w:rPr>
          <w:rFonts w:ascii="Palatino Linotype" w:eastAsia="Palatino Linotype" w:hAnsi="Palatino Linotype" w:cs="Palatino Linotype"/>
          <w:b/>
          <w:sz w:val="24"/>
          <w:szCs w:val="24"/>
          <w:u w:val="single"/>
        </w:rPr>
        <w:t>rofesional o laboral, etcétera</w:t>
      </w:r>
      <w:r w:rsidR="00215826" w:rsidRPr="00FC39E5">
        <w:rPr>
          <w:rFonts w:ascii="Palatino Linotype" w:eastAsia="Palatino Linotype" w:hAnsi="Palatino Linotype" w:cs="Palatino Linotype"/>
          <w:b/>
          <w:sz w:val="24"/>
          <w:szCs w:val="24"/>
        </w:rPr>
        <w:t xml:space="preserve">, </w:t>
      </w:r>
      <w:r w:rsidR="00215826" w:rsidRPr="00FC39E5">
        <w:rPr>
          <w:rFonts w:ascii="Palatino Linotype" w:eastAsia="Palatino Linotype" w:hAnsi="Palatino Linotype" w:cs="Palatino Linotype"/>
          <w:sz w:val="24"/>
          <w:szCs w:val="24"/>
        </w:rPr>
        <w:t xml:space="preserve">no obstante, los servidores públicos </w:t>
      </w:r>
      <w:r w:rsidR="00C13220" w:rsidRPr="00FC39E5">
        <w:rPr>
          <w:rFonts w:ascii="Palatino Linotype" w:eastAsia="Palatino Linotype" w:hAnsi="Palatino Linotype" w:cs="Palatino Linotype"/>
          <w:sz w:val="24"/>
          <w:szCs w:val="24"/>
        </w:rPr>
        <w:t xml:space="preserve">habilitados se limitaron a señalar el grado máximo de estudios que se debe cumplir para ocupar </w:t>
      </w:r>
      <w:r w:rsidR="008A48B3" w:rsidRPr="00FC39E5">
        <w:rPr>
          <w:rFonts w:ascii="Palatino Linotype" w:eastAsia="Palatino Linotype" w:hAnsi="Palatino Linotype" w:cs="Palatino Linotype"/>
          <w:sz w:val="24"/>
          <w:szCs w:val="24"/>
        </w:rPr>
        <w:t>los puestos d</w:t>
      </w:r>
      <w:r w:rsidR="00C13220" w:rsidRPr="00FC39E5">
        <w:rPr>
          <w:rFonts w:ascii="Palatino Linotype" w:eastAsia="Palatino Linotype" w:hAnsi="Palatino Linotype" w:cs="Palatino Linotype"/>
          <w:sz w:val="24"/>
          <w:szCs w:val="24"/>
        </w:rPr>
        <w:t>el Órgano Interno de Control.</w:t>
      </w:r>
    </w:p>
    <w:p w14:paraId="38C7C8CD" w14:textId="77777777" w:rsidR="005A079F" w:rsidRPr="00FC39E5" w:rsidRDefault="00AF36D8">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lastRenderedPageBreak/>
        <w:t xml:space="preserve">Bajo tales argumentos, se considera que el </w:t>
      </w:r>
      <w:r w:rsidRPr="00FC39E5">
        <w:rPr>
          <w:rFonts w:ascii="Palatino Linotype" w:eastAsia="Palatino Linotype" w:hAnsi="Palatino Linotype" w:cs="Palatino Linotype"/>
          <w:b/>
          <w:sz w:val="24"/>
          <w:szCs w:val="24"/>
        </w:rPr>
        <w:t xml:space="preserve">Sujeto Obligado </w:t>
      </w:r>
      <w:r w:rsidRPr="00FC39E5">
        <w:rPr>
          <w:rFonts w:ascii="Palatino Linotype" w:eastAsia="Palatino Linotype" w:hAnsi="Palatino Linotype" w:cs="Palatino Linotype"/>
          <w:sz w:val="24"/>
          <w:szCs w:val="24"/>
        </w:rPr>
        <w:t xml:space="preserve">deberá realizar una búsqueda exhaustiva y razonable a efecto de que proporcione el o los documentos </w:t>
      </w:r>
      <w:r w:rsidR="00CD3824" w:rsidRPr="00FC39E5">
        <w:rPr>
          <w:rFonts w:ascii="Palatino Linotype" w:eastAsia="Palatino Linotype" w:hAnsi="Palatino Linotype" w:cs="Palatino Linotype"/>
          <w:sz w:val="24"/>
          <w:szCs w:val="24"/>
        </w:rPr>
        <w:t>donde conste el perfil que debieron</w:t>
      </w:r>
      <w:r w:rsidRPr="00FC39E5">
        <w:rPr>
          <w:rFonts w:ascii="Palatino Linotype" w:eastAsia="Palatino Linotype" w:hAnsi="Palatino Linotype" w:cs="Palatino Linotype"/>
          <w:sz w:val="24"/>
          <w:szCs w:val="24"/>
        </w:rPr>
        <w:t xml:space="preserve"> cubrir los servidores públicos para ocupar los cargos de las áreas que integran la estructura orgánica en el Órgano Interno de Control, vigente al seis de noviembre de dos mil veinticuatro, procediendo a la entrega del soporte documental correspondiente en términos del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ya que la obligación de transparencia no comprende el procesamiento de la misma, ni presentarla conforme al interés de las personas solicitantes, de manera que el derecho de acceso a la información pública se satisface en aquellos casos en que se entregue el soporte documental en el que conste la información solicitada, sin necesidad de elaborar documentos </w:t>
      </w:r>
      <w:r w:rsidRPr="00FC39E5">
        <w:rPr>
          <w:rFonts w:ascii="Palatino Linotype" w:eastAsia="Palatino Linotype" w:hAnsi="Palatino Linotype" w:cs="Palatino Linotype"/>
          <w:i/>
          <w:sz w:val="24"/>
          <w:szCs w:val="24"/>
        </w:rPr>
        <w:t>ad hoc</w:t>
      </w:r>
      <w:r w:rsidRPr="00FC39E5">
        <w:rPr>
          <w:rFonts w:ascii="Palatino Linotype" w:eastAsia="Palatino Linotype" w:hAnsi="Palatino Linotype" w:cs="Palatino Linotype"/>
          <w:sz w:val="24"/>
          <w:szCs w:val="24"/>
        </w:rPr>
        <w:t>.</w:t>
      </w:r>
    </w:p>
    <w:p w14:paraId="636F3C55" w14:textId="77777777" w:rsidR="005A079F" w:rsidRPr="00FC39E5" w:rsidRDefault="00AF36D8">
      <w:pPr>
        <w:spacing w:before="240" w:after="360" w:line="360" w:lineRule="auto"/>
        <w:ind w:right="18"/>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De lo hasta aquí expuesto, se concluye que los motivos de inconformidad de la parte </w:t>
      </w:r>
      <w:r w:rsidRPr="00FC39E5">
        <w:rPr>
          <w:rFonts w:ascii="Palatino Linotype" w:eastAsia="Palatino Linotype" w:hAnsi="Palatino Linotype" w:cs="Palatino Linotype"/>
          <w:b/>
          <w:sz w:val="24"/>
          <w:szCs w:val="24"/>
        </w:rPr>
        <w:t xml:space="preserve">Recurrente </w:t>
      </w:r>
      <w:r w:rsidRPr="00FC39E5">
        <w:rPr>
          <w:rFonts w:ascii="Palatino Linotype" w:eastAsia="Palatino Linotype" w:hAnsi="Palatino Linotype" w:cs="Palatino Linotype"/>
          <w:sz w:val="24"/>
          <w:szCs w:val="24"/>
        </w:rPr>
        <w:t>devienen</w:t>
      </w:r>
      <w:r w:rsidR="00CD3824" w:rsidRPr="00FC39E5">
        <w:rPr>
          <w:rFonts w:ascii="Palatino Linotype" w:eastAsia="Palatino Linotype" w:hAnsi="Palatino Linotype" w:cs="Palatino Linotype"/>
          <w:sz w:val="24"/>
          <w:szCs w:val="24"/>
        </w:rPr>
        <w:t xml:space="preserve"> infundados en los recursos de revisión 07534/INFOEM/IP/RR/2024 y 07535/INFOEM/IP/RR/2024, siendo procedente </w:t>
      </w:r>
      <w:r w:rsidR="00CD3824" w:rsidRPr="00FC39E5">
        <w:rPr>
          <w:rFonts w:ascii="Palatino Linotype" w:eastAsia="Palatino Linotype" w:hAnsi="Palatino Linotype" w:cs="Palatino Linotype"/>
          <w:i/>
          <w:sz w:val="24"/>
          <w:szCs w:val="24"/>
        </w:rPr>
        <w:t>Confirmar</w:t>
      </w:r>
      <w:r w:rsidR="00CD3824" w:rsidRPr="00FC39E5">
        <w:rPr>
          <w:rFonts w:ascii="Palatino Linotype" w:eastAsia="Palatino Linotype" w:hAnsi="Palatino Linotype" w:cs="Palatino Linotype"/>
          <w:sz w:val="24"/>
          <w:szCs w:val="24"/>
        </w:rPr>
        <w:t xml:space="preserve"> la respuesta del </w:t>
      </w:r>
      <w:r w:rsidR="00CD3824" w:rsidRPr="00FC39E5">
        <w:rPr>
          <w:rFonts w:ascii="Palatino Linotype" w:eastAsia="Palatino Linotype" w:hAnsi="Palatino Linotype" w:cs="Palatino Linotype"/>
          <w:b/>
          <w:sz w:val="24"/>
          <w:szCs w:val="24"/>
        </w:rPr>
        <w:t>Sujeto Obligado</w:t>
      </w:r>
      <w:r w:rsidR="00CD3824" w:rsidRPr="00FC39E5">
        <w:rPr>
          <w:rFonts w:ascii="Palatino Linotype" w:eastAsia="Palatino Linotype" w:hAnsi="Palatino Linotype" w:cs="Palatino Linotype"/>
          <w:sz w:val="24"/>
          <w:szCs w:val="24"/>
        </w:rPr>
        <w:t xml:space="preserve">, y </w:t>
      </w:r>
      <w:r w:rsidRPr="00FC39E5">
        <w:rPr>
          <w:rFonts w:ascii="Palatino Linotype" w:eastAsia="Palatino Linotype" w:hAnsi="Palatino Linotype" w:cs="Palatino Linotype"/>
          <w:sz w:val="24"/>
          <w:szCs w:val="24"/>
        </w:rPr>
        <w:t>parcialmente fundados</w:t>
      </w:r>
      <w:r w:rsidR="00CD3824" w:rsidRPr="00FC39E5">
        <w:rPr>
          <w:rFonts w:ascii="Palatino Linotype" w:eastAsia="Palatino Linotype" w:hAnsi="Palatino Linotype" w:cs="Palatino Linotype"/>
          <w:sz w:val="24"/>
          <w:szCs w:val="24"/>
        </w:rPr>
        <w:t xml:space="preserve"> en el recurso de revisión 07540/INFOEM/IP/RR/2024</w:t>
      </w:r>
      <w:r w:rsidRPr="00FC39E5">
        <w:rPr>
          <w:rFonts w:ascii="Palatino Linotype" w:eastAsia="Palatino Linotype" w:hAnsi="Palatino Linotype" w:cs="Palatino Linotype"/>
          <w:sz w:val="24"/>
          <w:szCs w:val="24"/>
        </w:rPr>
        <w:t xml:space="preserve">, siendo procedente </w:t>
      </w:r>
      <w:r w:rsidRPr="00FC39E5">
        <w:rPr>
          <w:rFonts w:ascii="Palatino Linotype" w:eastAsia="Palatino Linotype" w:hAnsi="Palatino Linotype" w:cs="Palatino Linotype"/>
          <w:i/>
          <w:sz w:val="24"/>
          <w:szCs w:val="24"/>
        </w:rPr>
        <w:t xml:space="preserve">Modificar </w:t>
      </w:r>
      <w:r w:rsidR="00CD3824" w:rsidRPr="00FC39E5">
        <w:rPr>
          <w:rFonts w:ascii="Palatino Linotype" w:eastAsia="Palatino Linotype" w:hAnsi="Palatino Linotype" w:cs="Palatino Linotype"/>
          <w:sz w:val="24"/>
          <w:szCs w:val="24"/>
        </w:rPr>
        <w:t>la</w:t>
      </w:r>
      <w:r w:rsidRPr="00FC39E5">
        <w:rPr>
          <w:rFonts w:ascii="Palatino Linotype" w:eastAsia="Palatino Linotype" w:hAnsi="Palatino Linotype" w:cs="Palatino Linotype"/>
          <w:sz w:val="24"/>
          <w:szCs w:val="24"/>
        </w:rPr>
        <w:t xml:space="preserve"> respuesta proporcionada por el </w:t>
      </w:r>
      <w:r w:rsidR="00CD3824" w:rsidRPr="00FC39E5">
        <w:rPr>
          <w:rFonts w:ascii="Palatino Linotype" w:eastAsia="Palatino Linotype" w:hAnsi="Palatino Linotype" w:cs="Palatino Linotype"/>
          <w:b/>
          <w:sz w:val="24"/>
          <w:szCs w:val="24"/>
        </w:rPr>
        <w:t>Sujeto Obligado.</w:t>
      </w:r>
    </w:p>
    <w:p w14:paraId="3D6A7D3E" w14:textId="77777777" w:rsidR="005A079F" w:rsidRPr="00FC39E5" w:rsidRDefault="00AF36D8">
      <w:pPr>
        <w:spacing w:before="240" w:after="240" w:line="360" w:lineRule="auto"/>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Así, con fundamento en lo prescrito en los artículos 5 párrafos trigésimo tercero, trigésimo cuarto y trigésimo quinto de la Constitución Política del Estado Libre y </w:t>
      </w:r>
      <w:r w:rsidRPr="00FC39E5">
        <w:rPr>
          <w:rFonts w:ascii="Palatino Linotype" w:eastAsia="Palatino Linotype" w:hAnsi="Palatino Linotype" w:cs="Palatino Linotype"/>
          <w:sz w:val="24"/>
          <w:szCs w:val="24"/>
        </w:rPr>
        <w:lastRenderedPageBreak/>
        <w:t>Soberano de México; 2, fracción II; 29, 36 fracciones I y II; 176, 178, 181, 185, fracción I, 186 y 188 de la Ley de Transparencia y Acceso a la Información Pública del Estado de México y Municipios, este Pleno:</w:t>
      </w:r>
    </w:p>
    <w:p w14:paraId="395390BC" w14:textId="77777777" w:rsidR="005A079F" w:rsidRPr="00FC39E5" w:rsidRDefault="00AF36D8">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FC39E5">
        <w:rPr>
          <w:rFonts w:ascii="Palatino Linotype" w:eastAsia="Palatino Linotype" w:hAnsi="Palatino Linotype" w:cs="Palatino Linotype"/>
          <w:b/>
          <w:sz w:val="24"/>
          <w:szCs w:val="24"/>
        </w:rPr>
        <w:t>III. R E S U E L V E:</w:t>
      </w:r>
    </w:p>
    <w:p w14:paraId="55E454A3" w14:textId="77777777" w:rsidR="00CD3824" w:rsidRPr="00FC39E5" w:rsidRDefault="00AF36D8" w:rsidP="00CD3824">
      <w:pPr>
        <w:spacing w:line="360" w:lineRule="auto"/>
        <w:jc w:val="both"/>
        <w:rPr>
          <w:rFonts w:ascii="Palatino Linotype" w:eastAsia="Palatino Linotype" w:hAnsi="Palatino Linotype" w:cs="Palatino Linotype"/>
          <w:sz w:val="24"/>
          <w:szCs w:val="24"/>
        </w:rPr>
      </w:pPr>
      <w:bookmarkStart w:id="3" w:name="_heading=h.3rdcrjn" w:colFirst="0" w:colLast="0"/>
      <w:bookmarkEnd w:id="3"/>
      <w:r w:rsidRPr="00FC39E5">
        <w:rPr>
          <w:rFonts w:ascii="Palatino Linotype" w:eastAsia="Palatino Linotype" w:hAnsi="Palatino Linotype" w:cs="Palatino Linotype"/>
          <w:b/>
          <w:sz w:val="24"/>
          <w:szCs w:val="24"/>
        </w:rPr>
        <w:t xml:space="preserve">Primero. </w:t>
      </w:r>
      <w:r w:rsidRPr="00FC39E5">
        <w:rPr>
          <w:rFonts w:ascii="Palatino Linotype" w:eastAsia="Palatino Linotype" w:hAnsi="Palatino Linotype" w:cs="Palatino Linotype"/>
          <w:sz w:val="24"/>
          <w:szCs w:val="24"/>
        </w:rPr>
        <w:t>Resultan</w:t>
      </w:r>
      <w:r w:rsidRPr="00FC39E5">
        <w:rPr>
          <w:rFonts w:ascii="Palatino Linotype" w:eastAsia="Palatino Linotype" w:hAnsi="Palatino Linotype" w:cs="Palatino Linotype"/>
          <w:b/>
          <w:sz w:val="24"/>
          <w:szCs w:val="24"/>
        </w:rPr>
        <w:t xml:space="preserve"> </w:t>
      </w:r>
      <w:r w:rsidR="00CD3824" w:rsidRPr="00FC39E5">
        <w:rPr>
          <w:rFonts w:ascii="Palatino Linotype" w:eastAsia="Palatino Linotype" w:hAnsi="Palatino Linotype" w:cs="Palatino Linotype"/>
          <w:sz w:val="24"/>
          <w:szCs w:val="24"/>
        </w:rPr>
        <w:t xml:space="preserve">infundados los motivos de inconformidad hechos valer por la parte </w:t>
      </w:r>
      <w:r w:rsidR="00CD3824" w:rsidRPr="00FC39E5">
        <w:rPr>
          <w:rFonts w:ascii="Palatino Linotype" w:eastAsia="Palatino Linotype" w:hAnsi="Palatino Linotype" w:cs="Palatino Linotype"/>
          <w:b/>
          <w:sz w:val="24"/>
          <w:szCs w:val="24"/>
        </w:rPr>
        <w:t xml:space="preserve">Recurrente </w:t>
      </w:r>
      <w:r w:rsidR="00CD3824" w:rsidRPr="00FC39E5">
        <w:rPr>
          <w:rFonts w:ascii="Palatino Linotype" w:eastAsia="Palatino Linotype" w:hAnsi="Palatino Linotype" w:cs="Palatino Linotype"/>
          <w:sz w:val="24"/>
          <w:szCs w:val="24"/>
        </w:rPr>
        <w:t xml:space="preserve">en los recursos de revisión </w:t>
      </w:r>
      <w:r w:rsidR="00CD3824" w:rsidRPr="00FC39E5">
        <w:rPr>
          <w:rFonts w:ascii="Palatino Linotype" w:eastAsia="Palatino Linotype" w:hAnsi="Palatino Linotype" w:cs="Palatino Linotype"/>
          <w:b/>
          <w:sz w:val="24"/>
          <w:szCs w:val="24"/>
        </w:rPr>
        <w:t>07534/INFOEM/IP/RR/2024</w:t>
      </w:r>
      <w:r w:rsidR="00CD3824" w:rsidRPr="00FC39E5">
        <w:rPr>
          <w:rFonts w:ascii="Palatino Linotype" w:eastAsia="Palatino Linotype" w:hAnsi="Palatino Linotype" w:cs="Palatino Linotype"/>
          <w:sz w:val="24"/>
          <w:szCs w:val="24"/>
        </w:rPr>
        <w:t xml:space="preserve"> y </w:t>
      </w:r>
      <w:r w:rsidR="00CD3824" w:rsidRPr="00FC39E5">
        <w:rPr>
          <w:rFonts w:ascii="Palatino Linotype" w:eastAsia="Palatino Linotype" w:hAnsi="Palatino Linotype" w:cs="Palatino Linotype"/>
          <w:b/>
          <w:sz w:val="24"/>
          <w:szCs w:val="24"/>
        </w:rPr>
        <w:t>07535/INFOEM/IP/RR/2024</w:t>
      </w:r>
      <w:r w:rsidR="00CD3824" w:rsidRPr="00FC39E5">
        <w:rPr>
          <w:rFonts w:ascii="Palatino Linotype" w:eastAsia="Palatino Linotype" w:hAnsi="Palatino Linotype" w:cs="Palatino Linotype"/>
          <w:sz w:val="24"/>
          <w:szCs w:val="24"/>
        </w:rPr>
        <w:t xml:space="preserve">, siendo procedente </w:t>
      </w:r>
      <w:r w:rsidR="00CD3824" w:rsidRPr="00FC39E5">
        <w:rPr>
          <w:rFonts w:ascii="Palatino Linotype" w:eastAsia="Palatino Linotype" w:hAnsi="Palatino Linotype" w:cs="Palatino Linotype"/>
          <w:i/>
          <w:sz w:val="24"/>
          <w:szCs w:val="24"/>
        </w:rPr>
        <w:t>Confirmar</w:t>
      </w:r>
      <w:r w:rsidR="00CD3824" w:rsidRPr="00FC39E5">
        <w:rPr>
          <w:rFonts w:ascii="Palatino Linotype" w:eastAsia="Palatino Linotype" w:hAnsi="Palatino Linotype" w:cs="Palatino Linotype"/>
          <w:sz w:val="24"/>
          <w:szCs w:val="24"/>
        </w:rPr>
        <w:t xml:space="preserve"> la respuesta del </w:t>
      </w:r>
      <w:r w:rsidR="00CD3824" w:rsidRPr="00FC39E5">
        <w:rPr>
          <w:rFonts w:ascii="Palatino Linotype" w:eastAsia="Palatino Linotype" w:hAnsi="Palatino Linotype" w:cs="Palatino Linotype"/>
          <w:b/>
          <w:sz w:val="24"/>
          <w:szCs w:val="24"/>
        </w:rPr>
        <w:t>Sujeto Obligado</w:t>
      </w:r>
      <w:r w:rsidR="00CD3824" w:rsidRPr="00FC39E5">
        <w:rPr>
          <w:rFonts w:ascii="Palatino Linotype" w:eastAsia="Palatino Linotype" w:hAnsi="Palatino Linotype" w:cs="Palatino Linotype"/>
          <w:sz w:val="24"/>
          <w:szCs w:val="24"/>
        </w:rPr>
        <w:t xml:space="preserve"> y parcialmente fundados en el recurso de revisión </w:t>
      </w:r>
      <w:r w:rsidR="00CD3824" w:rsidRPr="00FC39E5">
        <w:rPr>
          <w:rFonts w:ascii="Palatino Linotype" w:eastAsia="Palatino Linotype" w:hAnsi="Palatino Linotype" w:cs="Palatino Linotype"/>
          <w:b/>
          <w:sz w:val="24"/>
          <w:szCs w:val="24"/>
        </w:rPr>
        <w:t>07540/INFOEM/IP/RR/2024,</w:t>
      </w:r>
      <w:r w:rsidR="00CD3824" w:rsidRPr="00FC39E5">
        <w:rPr>
          <w:rFonts w:ascii="Palatino Linotype" w:eastAsia="Palatino Linotype" w:hAnsi="Palatino Linotype" w:cs="Palatino Linotype"/>
          <w:sz w:val="24"/>
          <w:szCs w:val="24"/>
        </w:rPr>
        <w:t xml:space="preserve"> siendo procedente </w:t>
      </w:r>
      <w:r w:rsidR="00CD3824" w:rsidRPr="00FC39E5">
        <w:rPr>
          <w:rFonts w:ascii="Palatino Linotype" w:eastAsia="Palatino Linotype" w:hAnsi="Palatino Linotype" w:cs="Palatino Linotype"/>
          <w:i/>
          <w:sz w:val="24"/>
          <w:szCs w:val="24"/>
        </w:rPr>
        <w:t xml:space="preserve">Modificar </w:t>
      </w:r>
      <w:r w:rsidR="00CD3824" w:rsidRPr="00FC39E5">
        <w:rPr>
          <w:rFonts w:ascii="Palatino Linotype" w:eastAsia="Palatino Linotype" w:hAnsi="Palatino Linotype" w:cs="Palatino Linotype"/>
          <w:sz w:val="24"/>
          <w:szCs w:val="24"/>
        </w:rPr>
        <w:t xml:space="preserve">la respuesta proporcionada por el </w:t>
      </w:r>
      <w:r w:rsidR="00CD3824" w:rsidRPr="00FC39E5">
        <w:rPr>
          <w:rFonts w:ascii="Palatino Linotype" w:eastAsia="Palatino Linotype" w:hAnsi="Palatino Linotype" w:cs="Palatino Linotype"/>
          <w:b/>
          <w:sz w:val="24"/>
          <w:szCs w:val="24"/>
        </w:rPr>
        <w:t xml:space="preserve">Sujeto Obligado, </w:t>
      </w:r>
      <w:r w:rsidR="00CD3824" w:rsidRPr="00FC39E5">
        <w:rPr>
          <w:rFonts w:ascii="Palatino Linotype" w:eastAsia="Palatino Linotype" w:hAnsi="Palatino Linotype" w:cs="Palatino Linotype"/>
          <w:sz w:val="24"/>
          <w:szCs w:val="24"/>
        </w:rPr>
        <w:t xml:space="preserve">en términos del Considerando </w:t>
      </w:r>
      <w:r w:rsidR="00CD3824" w:rsidRPr="00FC39E5">
        <w:rPr>
          <w:rFonts w:ascii="Palatino Linotype" w:eastAsia="Palatino Linotype" w:hAnsi="Palatino Linotype" w:cs="Palatino Linotype"/>
          <w:b/>
          <w:sz w:val="24"/>
          <w:szCs w:val="24"/>
        </w:rPr>
        <w:t>Cuarto</w:t>
      </w:r>
      <w:r w:rsidR="00CD3824" w:rsidRPr="00FC39E5">
        <w:rPr>
          <w:rFonts w:ascii="Palatino Linotype" w:eastAsia="Palatino Linotype" w:hAnsi="Palatino Linotype" w:cs="Palatino Linotype"/>
          <w:sz w:val="24"/>
          <w:szCs w:val="24"/>
        </w:rPr>
        <w:t xml:space="preserve"> de la presente resolución.</w:t>
      </w:r>
    </w:p>
    <w:p w14:paraId="338FD0F9" w14:textId="77777777" w:rsidR="005A079F" w:rsidRPr="00FC39E5" w:rsidRDefault="00AF36D8">
      <w:pPr>
        <w:spacing w:line="360" w:lineRule="auto"/>
        <w:jc w:val="both"/>
        <w:rPr>
          <w:rFonts w:ascii="Palatino Linotype" w:eastAsia="Palatino Linotype" w:hAnsi="Palatino Linotype" w:cs="Palatino Linotype"/>
          <w:sz w:val="24"/>
          <w:szCs w:val="24"/>
        </w:rPr>
      </w:pPr>
      <w:bookmarkStart w:id="4" w:name="_heading=h.17dp8vu" w:colFirst="0" w:colLast="0"/>
      <w:bookmarkEnd w:id="4"/>
      <w:r w:rsidRPr="00FC39E5">
        <w:rPr>
          <w:rFonts w:ascii="Palatino Linotype" w:eastAsia="Palatino Linotype" w:hAnsi="Palatino Linotype" w:cs="Palatino Linotype"/>
          <w:b/>
          <w:sz w:val="24"/>
          <w:szCs w:val="24"/>
        </w:rPr>
        <w:t xml:space="preserve">Segundo. </w:t>
      </w:r>
      <w:r w:rsidRPr="00FC39E5">
        <w:rPr>
          <w:rFonts w:ascii="Palatino Linotype" w:eastAsia="Palatino Linotype" w:hAnsi="Palatino Linotype" w:cs="Palatino Linotype"/>
          <w:sz w:val="24"/>
          <w:szCs w:val="24"/>
        </w:rPr>
        <w:t xml:space="preserve">Se </w:t>
      </w:r>
      <w:r w:rsidRPr="00FC39E5">
        <w:rPr>
          <w:rFonts w:ascii="Palatino Linotype" w:eastAsia="Palatino Linotype" w:hAnsi="Palatino Linotype" w:cs="Palatino Linotype"/>
          <w:b/>
          <w:sz w:val="24"/>
          <w:szCs w:val="24"/>
        </w:rPr>
        <w:t>Ordena</w:t>
      </w:r>
      <w:r w:rsidRPr="00FC39E5">
        <w:rPr>
          <w:rFonts w:ascii="Palatino Linotype" w:eastAsia="Palatino Linotype" w:hAnsi="Palatino Linotype" w:cs="Palatino Linotype"/>
          <w:sz w:val="24"/>
          <w:szCs w:val="24"/>
        </w:rPr>
        <w:t xml:space="preserve"> al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xml:space="preserve">, en términos del Considerando </w:t>
      </w:r>
      <w:r w:rsidRPr="00FC39E5">
        <w:rPr>
          <w:rFonts w:ascii="Palatino Linotype" w:eastAsia="Palatino Linotype" w:hAnsi="Palatino Linotype" w:cs="Palatino Linotype"/>
          <w:b/>
          <w:sz w:val="24"/>
          <w:szCs w:val="24"/>
        </w:rPr>
        <w:t xml:space="preserve">Cuarto </w:t>
      </w:r>
      <w:r w:rsidRPr="00FC39E5">
        <w:rPr>
          <w:rFonts w:ascii="Palatino Linotype" w:eastAsia="Palatino Linotype" w:hAnsi="Palatino Linotype" w:cs="Palatino Linotype"/>
          <w:sz w:val="24"/>
          <w:szCs w:val="24"/>
        </w:rPr>
        <w:t xml:space="preserve">de esta resolución, haga entrega, vía SAIMEX, previa búsqueda exhaustiva y razonable, del soporte documental donde conste </w:t>
      </w:r>
      <w:r w:rsidR="00CD3824" w:rsidRPr="00FC39E5">
        <w:rPr>
          <w:rFonts w:ascii="Palatino Linotype" w:eastAsia="Palatino Linotype" w:hAnsi="Palatino Linotype" w:cs="Palatino Linotype"/>
          <w:sz w:val="24"/>
          <w:szCs w:val="24"/>
        </w:rPr>
        <w:t>lo siguiente del Órgano Interno de Control:</w:t>
      </w:r>
    </w:p>
    <w:p w14:paraId="2F50BF8B" w14:textId="77777777" w:rsidR="005A079F" w:rsidRPr="00FC39E5" w:rsidRDefault="00AF36D8">
      <w:pPr>
        <w:spacing w:before="240" w:after="240" w:line="360" w:lineRule="auto"/>
        <w:ind w:left="425"/>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1. Perfil que deben cubrir</w:t>
      </w:r>
      <w:r w:rsidR="00CD3824" w:rsidRPr="00FC39E5">
        <w:rPr>
          <w:rFonts w:ascii="Palatino Linotype" w:eastAsia="Palatino Linotype" w:hAnsi="Palatino Linotype" w:cs="Palatino Linotype"/>
          <w:sz w:val="24"/>
          <w:szCs w:val="24"/>
        </w:rPr>
        <w:t xml:space="preserve"> los servidores públicos</w:t>
      </w:r>
      <w:r w:rsidRPr="00FC39E5">
        <w:rPr>
          <w:rFonts w:ascii="Palatino Linotype" w:eastAsia="Palatino Linotype" w:hAnsi="Palatino Linotype" w:cs="Palatino Linotype"/>
          <w:sz w:val="24"/>
          <w:szCs w:val="24"/>
        </w:rPr>
        <w:t>, vigente al seis de noviembre de dos mil veinticuatro.</w:t>
      </w:r>
    </w:p>
    <w:p w14:paraId="47D0FE3A"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bookmarkStart w:id="5" w:name="_heading=h.30j0zll" w:colFirst="0" w:colLast="0"/>
      <w:bookmarkStart w:id="6" w:name="_heading=h.2et92p0" w:colFirst="0" w:colLast="0"/>
      <w:bookmarkEnd w:id="5"/>
      <w:bookmarkEnd w:id="6"/>
      <w:r w:rsidRPr="00FC39E5">
        <w:rPr>
          <w:rFonts w:ascii="Palatino Linotype" w:eastAsia="Palatino Linotype" w:hAnsi="Palatino Linotype" w:cs="Palatino Linotype"/>
          <w:b/>
          <w:sz w:val="24"/>
          <w:szCs w:val="24"/>
        </w:rPr>
        <w:t>Tercero.</w:t>
      </w: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 xml:space="preserve">Notifíquese vía SAIMEX </w:t>
      </w:r>
      <w:r w:rsidRPr="00FC39E5">
        <w:rPr>
          <w:rFonts w:ascii="Palatino Linotype" w:eastAsia="Palatino Linotype" w:hAnsi="Palatino Linotype" w:cs="Palatino Linotype"/>
          <w:sz w:val="24"/>
          <w:szCs w:val="24"/>
        </w:rPr>
        <w:t>la presente resolución al T</w:t>
      </w:r>
      <w:r w:rsidRPr="00FC39E5">
        <w:rPr>
          <w:rFonts w:ascii="Palatino Linotype" w:eastAsia="Palatino Linotype" w:hAnsi="Palatino Linotype" w:cs="Palatino Linotype"/>
          <w:b/>
          <w:sz w:val="24"/>
          <w:szCs w:val="24"/>
        </w:rPr>
        <w:t xml:space="preserve">itular de la Unidad de Transparencia </w:t>
      </w:r>
      <w:r w:rsidRPr="00FC39E5">
        <w:rPr>
          <w:rFonts w:ascii="Palatino Linotype" w:eastAsia="Palatino Linotype" w:hAnsi="Palatino Linotype" w:cs="Palatino Linotype"/>
          <w:sz w:val="24"/>
          <w:szCs w:val="24"/>
        </w:rPr>
        <w:t xml:space="preserve">del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dé cumplimiento a lo </w:t>
      </w:r>
      <w:r w:rsidRPr="00FC39E5">
        <w:rPr>
          <w:rFonts w:ascii="Palatino Linotype" w:eastAsia="Palatino Linotype" w:hAnsi="Palatino Linotype" w:cs="Palatino Linotype"/>
          <w:sz w:val="24"/>
          <w:szCs w:val="24"/>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7B5E2E5"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FC39E5">
        <w:rPr>
          <w:rFonts w:ascii="Palatino Linotype" w:eastAsia="Palatino Linotype" w:hAnsi="Palatino Linotype" w:cs="Palatino Linotype"/>
          <w:b/>
          <w:sz w:val="24"/>
          <w:szCs w:val="24"/>
        </w:rPr>
        <w:t>Sujeto Obligado</w:t>
      </w:r>
      <w:r w:rsidRPr="00FC39E5">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7CE2D47" w14:textId="77777777" w:rsidR="005A079F" w:rsidRPr="00FC39E5" w:rsidRDefault="00AF36D8">
      <w:pPr>
        <w:spacing w:before="240" w:after="240" w:line="360" w:lineRule="auto"/>
        <w:ind w:right="51"/>
        <w:jc w:val="both"/>
        <w:rPr>
          <w:rFonts w:ascii="Palatino Linotype" w:eastAsia="Palatino Linotype" w:hAnsi="Palatino Linotype" w:cs="Palatino Linotype"/>
          <w:sz w:val="24"/>
          <w:szCs w:val="24"/>
        </w:rPr>
      </w:pPr>
      <w:r w:rsidRPr="00FC39E5">
        <w:rPr>
          <w:rFonts w:ascii="Palatino Linotype" w:eastAsia="Palatino Linotype" w:hAnsi="Palatino Linotype" w:cs="Palatino Linotype"/>
          <w:b/>
          <w:sz w:val="24"/>
          <w:szCs w:val="24"/>
        </w:rPr>
        <w:t>Cuarto.</w:t>
      </w:r>
      <w:r w:rsidRPr="00FC39E5">
        <w:rPr>
          <w:rFonts w:ascii="Palatino Linotype" w:eastAsia="Palatino Linotype" w:hAnsi="Palatino Linotype" w:cs="Palatino Linotype"/>
          <w:sz w:val="24"/>
          <w:szCs w:val="24"/>
        </w:rPr>
        <w:t xml:space="preserve"> </w:t>
      </w:r>
      <w:r w:rsidRPr="00FC39E5">
        <w:rPr>
          <w:rFonts w:ascii="Palatino Linotype" w:eastAsia="Palatino Linotype" w:hAnsi="Palatino Linotype" w:cs="Palatino Linotype"/>
          <w:b/>
          <w:sz w:val="24"/>
          <w:szCs w:val="24"/>
        </w:rPr>
        <w:t>Notifíquese vía SAIMEX</w:t>
      </w:r>
      <w:r w:rsidRPr="00FC39E5">
        <w:rPr>
          <w:rFonts w:ascii="Palatino Linotype" w:eastAsia="Palatino Linotype" w:hAnsi="Palatino Linotype" w:cs="Palatino Linotype"/>
          <w:sz w:val="24"/>
          <w:szCs w:val="24"/>
        </w:rPr>
        <w:t xml:space="preserve"> a la parte </w:t>
      </w:r>
      <w:r w:rsidRPr="00FC39E5">
        <w:rPr>
          <w:rFonts w:ascii="Palatino Linotype" w:eastAsia="Palatino Linotype" w:hAnsi="Palatino Linotype" w:cs="Palatino Linotype"/>
          <w:b/>
          <w:sz w:val="24"/>
          <w:szCs w:val="24"/>
        </w:rPr>
        <w:t xml:space="preserve">Recurrente </w:t>
      </w:r>
      <w:r w:rsidRPr="00FC39E5">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1BABDE94" w14:textId="7571141A" w:rsidR="005A079F" w:rsidRPr="00E02C5B" w:rsidRDefault="00AF36D8">
      <w:pPr>
        <w:tabs>
          <w:tab w:val="left" w:pos="142"/>
        </w:tabs>
        <w:spacing w:before="240" w:after="240" w:line="360" w:lineRule="auto"/>
        <w:jc w:val="both"/>
        <w:rPr>
          <w:rFonts w:ascii="Palatino Linotype" w:eastAsia="Palatino Linotype" w:hAnsi="Palatino Linotype" w:cs="Palatino Linotype"/>
          <w:sz w:val="24"/>
          <w:szCs w:val="24"/>
        </w:rPr>
      </w:pPr>
      <w:bookmarkStart w:id="7" w:name="_heading=h.gjdgxs" w:colFirst="0" w:colLast="0"/>
      <w:bookmarkEnd w:id="7"/>
      <w:r w:rsidRPr="00FC39E5">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w:t>
      </w:r>
      <w:r w:rsidRPr="00FC39E5">
        <w:rPr>
          <w:rFonts w:ascii="Palatino Linotype" w:eastAsia="Palatino Linotype" w:hAnsi="Palatino Linotype" w:cs="Palatino Linotype"/>
          <w:sz w:val="24"/>
          <w:szCs w:val="24"/>
        </w:rPr>
        <w:lastRenderedPageBreak/>
        <w:t>MORALES MARTÍNEZ; LUIS GUSTAVO PARRA NORIEGA; Y GUADALUPE RAMÍREZ PEÑA; EN LA EN LA SEGUNDA SESIÓN ORDINARIA CELEBRADA EL VEINTIDÓS DE ENERO DE DOS MIL VEINTI</w:t>
      </w:r>
      <w:r w:rsidR="002E0ED7" w:rsidRPr="00FC39E5">
        <w:rPr>
          <w:rFonts w:ascii="Palatino Linotype" w:eastAsia="Palatino Linotype" w:hAnsi="Palatino Linotype" w:cs="Palatino Linotype"/>
          <w:sz w:val="24"/>
          <w:szCs w:val="24"/>
        </w:rPr>
        <w:t>CINCO</w:t>
      </w:r>
      <w:r w:rsidRPr="00FC39E5">
        <w:rPr>
          <w:rFonts w:ascii="Palatino Linotype" w:eastAsia="Palatino Linotype" w:hAnsi="Palatino Linotype" w:cs="Palatino Linotype"/>
          <w:sz w:val="24"/>
          <w:szCs w:val="24"/>
        </w:rPr>
        <w:t>, ANTE EL SECRETARIO TÉCNICO DEL PLENO ALEXIS TAPIA RAMÍREZ.</w:t>
      </w:r>
    </w:p>
    <w:p w14:paraId="2B8688D1" w14:textId="77777777" w:rsidR="005A079F" w:rsidRPr="00E02C5B" w:rsidRDefault="005A079F">
      <w:pPr>
        <w:tabs>
          <w:tab w:val="left" w:pos="142"/>
        </w:tabs>
        <w:spacing w:before="240" w:after="240" w:line="360" w:lineRule="auto"/>
        <w:jc w:val="both"/>
        <w:rPr>
          <w:rFonts w:ascii="Palatino Linotype" w:eastAsia="Palatino Linotype" w:hAnsi="Palatino Linotype" w:cs="Palatino Linotype"/>
          <w:sz w:val="24"/>
          <w:szCs w:val="24"/>
        </w:rPr>
      </w:pPr>
    </w:p>
    <w:p w14:paraId="633B847A" w14:textId="77777777" w:rsidR="005A079F" w:rsidRPr="00E02C5B" w:rsidRDefault="005A079F">
      <w:pPr>
        <w:rPr>
          <w:rFonts w:ascii="Palatino Linotype" w:eastAsia="Palatino Linotype" w:hAnsi="Palatino Linotype" w:cs="Palatino Linotype"/>
        </w:rPr>
      </w:pPr>
    </w:p>
    <w:p w14:paraId="7D563241" w14:textId="77777777" w:rsidR="005A079F" w:rsidRPr="00E02C5B" w:rsidRDefault="005A079F">
      <w:pPr>
        <w:spacing w:before="240" w:after="240" w:line="360" w:lineRule="auto"/>
        <w:jc w:val="both"/>
        <w:rPr>
          <w:rFonts w:ascii="Palatino Linotype" w:eastAsia="Palatino Linotype" w:hAnsi="Palatino Linotype" w:cs="Palatino Linotype"/>
        </w:rPr>
      </w:pPr>
    </w:p>
    <w:p w14:paraId="6ED2E411" w14:textId="77777777" w:rsidR="005A079F" w:rsidRPr="00E02C5B" w:rsidRDefault="005A079F">
      <w:pPr>
        <w:spacing w:before="240" w:after="240" w:line="360" w:lineRule="auto"/>
        <w:jc w:val="both"/>
        <w:rPr>
          <w:rFonts w:ascii="Palatino Linotype" w:eastAsia="Palatino Linotype" w:hAnsi="Palatino Linotype" w:cs="Palatino Linotype"/>
        </w:rPr>
      </w:pPr>
    </w:p>
    <w:p w14:paraId="2B845524" w14:textId="77777777" w:rsidR="005A079F" w:rsidRPr="00E02C5B" w:rsidRDefault="005A079F">
      <w:pPr>
        <w:spacing w:before="240" w:after="240" w:line="360" w:lineRule="auto"/>
        <w:jc w:val="both"/>
        <w:rPr>
          <w:rFonts w:ascii="Palatino Linotype" w:eastAsia="Palatino Linotype" w:hAnsi="Palatino Linotype" w:cs="Palatino Linotype"/>
        </w:rPr>
      </w:pPr>
    </w:p>
    <w:p w14:paraId="211EB200" w14:textId="77777777" w:rsidR="009C3100" w:rsidRPr="00E02C5B" w:rsidRDefault="009C3100">
      <w:pPr>
        <w:spacing w:before="240" w:after="240" w:line="360" w:lineRule="auto"/>
        <w:jc w:val="both"/>
        <w:rPr>
          <w:rFonts w:ascii="Palatino Linotype" w:eastAsia="Palatino Linotype" w:hAnsi="Palatino Linotype" w:cs="Palatino Linotype"/>
        </w:rPr>
      </w:pPr>
    </w:p>
    <w:p w14:paraId="319F7049" w14:textId="77777777" w:rsidR="009C3100" w:rsidRPr="00E02C5B" w:rsidRDefault="009C3100">
      <w:pPr>
        <w:spacing w:before="240" w:after="240" w:line="360" w:lineRule="auto"/>
        <w:jc w:val="both"/>
        <w:rPr>
          <w:rFonts w:ascii="Palatino Linotype" w:eastAsia="Palatino Linotype" w:hAnsi="Palatino Linotype" w:cs="Palatino Linotype"/>
        </w:rPr>
      </w:pPr>
    </w:p>
    <w:p w14:paraId="4CA36288" w14:textId="77777777" w:rsidR="009C3100" w:rsidRPr="00E02C5B" w:rsidRDefault="009C3100">
      <w:pPr>
        <w:spacing w:before="240" w:after="240" w:line="360" w:lineRule="auto"/>
        <w:jc w:val="both"/>
        <w:rPr>
          <w:rFonts w:ascii="Palatino Linotype" w:eastAsia="Palatino Linotype" w:hAnsi="Palatino Linotype" w:cs="Palatino Linotype"/>
        </w:rPr>
      </w:pPr>
    </w:p>
    <w:p w14:paraId="3307D638" w14:textId="77777777" w:rsidR="009C3100" w:rsidRPr="00E02C5B" w:rsidRDefault="009C3100">
      <w:pPr>
        <w:spacing w:before="240" w:after="240" w:line="360" w:lineRule="auto"/>
        <w:jc w:val="both"/>
        <w:rPr>
          <w:rFonts w:ascii="Palatino Linotype" w:eastAsia="Palatino Linotype" w:hAnsi="Palatino Linotype" w:cs="Palatino Linotype"/>
        </w:rPr>
      </w:pPr>
    </w:p>
    <w:p w14:paraId="4EB201E0" w14:textId="77777777" w:rsidR="009C3100" w:rsidRPr="00E02C5B" w:rsidRDefault="009C3100">
      <w:pPr>
        <w:spacing w:before="240" w:after="240" w:line="360" w:lineRule="auto"/>
        <w:jc w:val="both"/>
        <w:rPr>
          <w:rFonts w:ascii="Palatino Linotype" w:eastAsia="Palatino Linotype" w:hAnsi="Palatino Linotype" w:cs="Palatino Linotype"/>
        </w:rPr>
      </w:pPr>
    </w:p>
    <w:p w14:paraId="1DFEDEEB" w14:textId="77777777" w:rsidR="009C3100" w:rsidRPr="00E02C5B" w:rsidRDefault="009C3100">
      <w:pPr>
        <w:spacing w:before="240" w:after="240" w:line="360" w:lineRule="auto"/>
        <w:jc w:val="both"/>
        <w:rPr>
          <w:rFonts w:ascii="Palatino Linotype" w:eastAsia="Palatino Linotype" w:hAnsi="Palatino Linotype" w:cs="Palatino Linotype"/>
        </w:rPr>
      </w:pPr>
    </w:p>
    <w:p w14:paraId="55BAB077" w14:textId="77777777" w:rsidR="009C3100" w:rsidRPr="00E02C5B" w:rsidRDefault="009C3100">
      <w:pPr>
        <w:spacing w:before="240" w:after="240" w:line="360" w:lineRule="auto"/>
        <w:jc w:val="both"/>
        <w:rPr>
          <w:rFonts w:ascii="Palatino Linotype" w:eastAsia="Palatino Linotype" w:hAnsi="Palatino Linotype" w:cs="Palatino Linotype"/>
        </w:rPr>
      </w:pPr>
    </w:p>
    <w:p w14:paraId="7610AFED" w14:textId="77777777" w:rsidR="009C3100" w:rsidRPr="00E02C5B" w:rsidRDefault="009C3100">
      <w:pPr>
        <w:spacing w:before="240" w:after="240" w:line="360" w:lineRule="auto"/>
        <w:jc w:val="both"/>
        <w:rPr>
          <w:rFonts w:ascii="Palatino Linotype" w:eastAsia="Palatino Linotype" w:hAnsi="Palatino Linotype" w:cs="Palatino Linotype"/>
        </w:rPr>
      </w:pPr>
    </w:p>
    <w:p w14:paraId="793A0A1C" w14:textId="77777777" w:rsidR="009C3100" w:rsidRPr="00E02C5B" w:rsidRDefault="009C3100">
      <w:pPr>
        <w:spacing w:before="240" w:after="240" w:line="360" w:lineRule="auto"/>
        <w:jc w:val="both"/>
        <w:rPr>
          <w:rFonts w:ascii="Palatino Linotype" w:eastAsia="Palatino Linotype" w:hAnsi="Palatino Linotype" w:cs="Palatino Linotype"/>
        </w:rPr>
      </w:pPr>
    </w:p>
    <w:p w14:paraId="42A2CD7B" w14:textId="77777777" w:rsidR="009C3100" w:rsidRPr="00E02C5B" w:rsidRDefault="009C3100">
      <w:pPr>
        <w:spacing w:before="240" w:after="240" w:line="360" w:lineRule="auto"/>
        <w:jc w:val="both"/>
        <w:rPr>
          <w:rFonts w:ascii="Palatino Linotype" w:eastAsia="Palatino Linotype" w:hAnsi="Palatino Linotype" w:cs="Palatino Linotype"/>
        </w:rPr>
      </w:pPr>
    </w:p>
    <w:p w14:paraId="7AB1C484" w14:textId="77777777" w:rsidR="009C3100" w:rsidRPr="00E02C5B" w:rsidRDefault="009C3100">
      <w:pPr>
        <w:spacing w:before="240" w:after="240" w:line="360" w:lineRule="auto"/>
        <w:jc w:val="both"/>
        <w:rPr>
          <w:rFonts w:ascii="Palatino Linotype" w:eastAsia="Palatino Linotype" w:hAnsi="Palatino Linotype" w:cs="Palatino Linotype"/>
        </w:rPr>
      </w:pPr>
    </w:p>
    <w:p w14:paraId="10CCFE2F" w14:textId="77777777" w:rsidR="009C3100" w:rsidRPr="00E02C5B" w:rsidRDefault="009C3100">
      <w:pPr>
        <w:spacing w:before="240" w:after="240" w:line="360" w:lineRule="auto"/>
        <w:jc w:val="both"/>
        <w:rPr>
          <w:rFonts w:ascii="Palatino Linotype" w:eastAsia="Palatino Linotype" w:hAnsi="Palatino Linotype" w:cs="Palatino Linotype"/>
        </w:rPr>
      </w:pPr>
    </w:p>
    <w:p w14:paraId="233FF8DD" w14:textId="77777777" w:rsidR="009C3100" w:rsidRPr="00E02C5B" w:rsidRDefault="009C3100">
      <w:pPr>
        <w:spacing w:before="240" w:after="240" w:line="360" w:lineRule="auto"/>
        <w:jc w:val="both"/>
        <w:rPr>
          <w:rFonts w:ascii="Palatino Linotype" w:eastAsia="Palatino Linotype" w:hAnsi="Palatino Linotype" w:cs="Palatino Linotype"/>
        </w:rPr>
      </w:pPr>
    </w:p>
    <w:p w14:paraId="683AFB11" w14:textId="77777777" w:rsidR="009C3100" w:rsidRPr="00E02C5B" w:rsidRDefault="009C3100">
      <w:pPr>
        <w:spacing w:before="240" w:after="240" w:line="360" w:lineRule="auto"/>
        <w:jc w:val="both"/>
        <w:rPr>
          <w:rFonts w:ascii="Palatino Linotype" w:eastAsia="Palatino Linotype" w:hAnsi="Palatino Linotype" w:cs="Palatino Linotype"/>
        </w:rPr>
      </w:pPr>
    </w:p>
    <w:p w14:paraId="39BEB1A3" w14:textId="77777777" w:rsidR="009C3100" w:rsidRPr="00E02C5B" w:rsidRDefault="009C3100">
      <w:pPr>
        <w:spacing w:before="240" w:after="240" w:line="360" w:lineRule="auto"/>
        <w:jc w:val="both"/>
        <w:rPr>
          <w:rFonts w:ascii="Palatino Linotype" w:eastAsia="Palatino Linotype" w:hAnsi="Palatino Linotype" w:cs="Palatino Linotype"/>
        </w:rPr>
      </w:pPr>
    </w:p>
    <w:p w14:paraId="63B19AB8" w14:textId="77777777" w:rsidR="009C3100" w:rsidRPr="00E02C5B" w:rsidRDefault="009C3100">
      <w:pPr>
        <w:spacing w:before="240" w:after="240" w:line="360" w:lineRule="auto"/>
        <w:jc w:val="both"/>
        <w:rPr>
          <w:rFonts w:ascii="Palatino Linotype" w:eastAsia="Palatino Linotype" w:hAnsi="Palatino Linotype" w:cs="Palatino Linotype"/>
        </w:rPr>
      </w:pPr>
    </w:p>
    <w:p w14:paraId="2F898340" w14:textId="77777777" w:rsidR="009C3100" w:rsidRPr="00E02C5B" w:rsidRDefault="009C3100">
      <w:pPr>
        <w:spacing w:before="240" w:after="240" w:line="360" w:lineRule="auto"/>
        <w:jc w:val="both"/>
        <w:rPr>
          <w:rFonts w:ascii="Palatino Linotype" w:eastAsia="Palatino Linotype" w:hAnsi="Palatino Linotype" w:cs="Palatino Linotype"/>
        </w:rPr>
      </w:pPr>
    </w:p>
    <w:sectPr w:rsidR="009C3100" w:rsidRPr="00E02C5B">
      <w:headerReference w:type="default" r:id="rId26"/>
      <w:footerReference w:type="default" r:id="rId27"/>
      <w:headerReference w:type="first" r:id="rId28"/>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113A" w14:textId="77777777" w:rsidR="009B5FE3" w:rsidRDefault="009B5FE3">
      <w:pPr>
        <w:spacing w:after="0" w:line="240" w:lineRule="auto"/>
      </w:pPr>
      <w:r>
        <w:separator/>
      </w:r>
    </w:p>
  </w:endnote>
  <w:endnote w:type="continuationSeparator" w:id="0">
    <w:p w14:paraId="2C1DF1D4" w14:textId="77777777" w:rsidR="009B5FE3" w:rsidRDefault="009B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6E25" w14:textId="77777777" w:rsidR="005A079F" w:rsidRDefault="00AF36D8">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C39E5">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C39E5">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097E2CFA" w14:textId="77777777" w:rsidR="005A079F" w:rsidRDefault="005A079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D1AA" w14:textId="77777777" w:rsidR="009B5FE3" w:rsidRDefault="009B5FE3">
      <w:pPr>
        <w:spacing w:after="0" w:line="240" w:lineRule="auto"/>
      </w:pPr>
      <w:r>
        <w:separator/>
      </w:r>
    </w:p>
  </w:footnote>
  <w:footnote w:type="continuationSeparator" w:id="0">
    <w:p w14:paraId="1FF8E573" w14:textId="77777777" w:rsidR="009B5FE3" w:rsidRDefault="009B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9B00" w14:textId="5D1EC772" w:rsidR="005A079F" w:rsidRDefault="009C3100">
    <w:pPr>
      <w:widowControl w:val="0"/>
      <w:pBdr>
        <w:top w:val="nil"/>
        <w:left w:val="nil"/>
        <w:bottom w:val="nil"/>
        <w:right w:val="nil"/>
        <w:between w:val="nil"/>
      </w:pBdr>
      <w:spacing w:line="276" w:lineRule="auto"/>
      <w:rPr>
        <w:color w:val="000000"/>
      </w:rPr>
    </w:pPr>
    <w:r>
      <w:rPr>
        <w:noProof/>
      </w:rPr>
      <w:drawing>
        <wp:anchor distT="0" distB="0" distL="0" distR="0" simplePos="0" relativeHeight="251660288" behindDoc="1" locked="0" layoutInCell="1" hidden="0" allowOverlap="1" wp14:anchorId="00D642A6" wp14:editId="66C746F7">
          <wp:simplePos x="0" y="0"/>
          <wp:positionH relativeFrom="margin">
            <wp:align>center</wp:align>
          </wp:positionH>
          <wp:positionV relativeFrom="paragraph">
            <wp:posOffset>-330244</wp:posOffset>
          </wp:positionV>
          <wp:extent cx="7635240" cy="9942830"/>
          <wp:effectExtent l="0" t="0" r="3810" b="1270"/>
          <wp:wrapNone/>
          <wp:docPr id="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2"/>
      <w:tblW w:w="5812" w:type="dxa"/>
      <w:tblInd w:w="3119" w:type="dxa"/>
      <w:tblLayout w:type="fixed"/>
      <w:tblLook w:val="0400" w:firstRow="0" w:lastRow="0" w:firstColumn="0" w:lastColumn="0" w:noHBand="0" w:noVBand="1"/>
    </w:tblPr>
    <w:tblGrid>
      <w:gridCol w:w="2694"/>
      <w:gridCol w:w="3118"/>
    </w:tblGrid>
    <w:tr w:rsidR="005A079F" w14:paraId="4AFAC616" w14:textId="77777777">
      <w:tc>
        <w:tcPr>
          <w:tcW w:w="2694" w:type="dxa"/>
          <w:vAlign w:val="center"/>
        </w:tcPr>
        <w:p w14:paraId="352E2265"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45EA5CE6" w14:textId="77777777" w:rsidR="005A079F" w:rsidRDefault="00AF36D8">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07534/INFOEM/IP/RR/2024 y acumulados</w:t>
          </w:r>
        </w:p>
      </w:tc>
    </w:tr>
    <w:tr w:rsidR="005A079F" w14:paraId="05DD2E19" w14:textId="77777777">
      <w:trPr>
        <w:trHeight w:val="228"/>
      </w:trPr>
      <w:tc>
        <w:tcPr>
          <w:tcW w:w="2694" w:type="dxa"/>
          <w:vAlign w:val="center"/>
        </w:tcPr>
        <w:p w14:paraId="118E0E5D"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11C9CD7F" w14:textId="77777777" w:rsidR="005A079F" w:rsidRDefault="00AF36D8">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5A079F" w14:paraId="5F11A906" w14:textId="77777777">
      <w:tc>
        <w:tcPr>
          <w:tcW w:w="2694" w:type="dxa"/>
          <w:vAlign w:val="center"/>
        </w:tcPr>
        <w:p w14:paraId="113E27F6"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188FC8A9" w14:textId="77777777" w:rsidR="005A079F" w:rsidRDefault="00AF36D8">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38E3CC5" w14:textId="77777777" w:rsidR="005A079F" w:rsidRDefault="005A079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BFF9" w14:textId="77777777" w:rsidR="005A079F" w:rsidRDefault="00AF36D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7F12BAD3" wp14:editId="0C961B94">
          <wp:simplePos x="0" y="0"/>
          <wp:positionH relativeFrom="column">
            <wp:posOffset>-1080126</wp:posOffset>
          </wp:positionH>
          <wp:positionV relativeFrom="paragraph">
            <wp:posOffset>-246368</wp:posOffset>
          </wp:positionV>
          <wp:extent cx="7635240" cy="9942830"/>
          <wp:effectExtent l="0" t="0" r="0" b="0"/>
          <wp:wrapNone/>
          <wp:docPr id="193566842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3"/>
      <w:tblW w:w="5953" w:type="dxa"/>
      <w:tblInd w:w="3119" w:type="dxa"/>
      <w:tblLayout w:type="fixed"/>
      <w:tblLook w:val="0400" w:firstRow="0" w:lastRow="0" w:firstColumn="0" w:lastColumn="0" w:noHBand="0" w:noVBand="1"/>
    </w:tblPr>
    <w:tblGrid>
      <w:gridCol w:w="2551"/>
      <w:gridCol w:w="3402"/>
    </w:tblGrid>
    <w:tr w:rsidR="005A079F" w14:paraId="7E71D27A" w14:textId="77777777">
      <w:tc>
        <w:tcPr>
          <w:tcW w:w="2551" w:type="dxa"/>
          <w:vAlign w:val="center"/>
        </w:tcPr>
        <w:p w14:paraId="6313A6B2"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03EEE272" w14:textId="77777777" w:rsidR="005A079F" w:rsidRDefault="00AF36D8">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07534/INFOEM/IP/RR/2024 y acumulados</w:t>
          </w:r>
        </w:p>
      </w:tc>
    </w:tr>
    <w:tr w:rsidR="005A079F" w14:paraId="274F0D98" w14:textId="77777777">
      <w:tc>
        <w:tcPr>
          <w:tcW w:w="2551" w:type="dxa"/>
          <w:vAlign w:val="center"/>
        </w:tcPr>
        <w:p w14:paraId="6FA492D2" w14:textId="77777777" w:rsidR="005A079F" w:rsidRDefault="00AF36D8">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17A16FE9" w14:textId="284113B4" w:rsidR="005A079F" w:rsidRDefault="0055105A">
          <w:pPr>
            <w:spacing w:after="0" w:line="240" w:lineRule="auto"/>
            <w:ind w:left="-45"/>
            <w:jc w:val="both"/>
            <w:rPr>
              <w:rFonts w:ascii="Palatino Linotype" w:eastAsia="Palatino Linotype" w:hAnsi="Palatino Linotype" w:cs="Palatino Linotype"/>
              <w:b/>
            </w:rPr>
          </w:pPr>
          <w:r w:rsidRPr="0055105A">
            <w:rPr>
              <w:rFonts w:ascii="Palatino Linotype" w:eastAsia="Palatino Linotype" w:hAnsi="Palatino Linotype" w:cs="Palatino Linotype"/>
              <w:b/>
            </w:rPr>
            <w:t>XXXXXXXX XXXXXX XXXXXXX</w:t>
          </w:r>
        </w:p>
      </w:tc>
    </w:tr>
    <w:tr w:rsidR="005A079F" w14:paraId="5CEC3641" w14:textId="77777777">
      <w:trPr>
        <w:trHeight w:val="228"/>
      </w:trPr>
      <w:tc>
        <w:tcPr>
          <w:tcW w:w="2551" w:type="dxa"/>
          <w:vAlign w:val="center"/>
        </w:tcPr>
        <w:p w14:paraId="1EC952CB"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2C79EFAB" w14:textId="77777777" w:rsidR="005A079F" w:rsidRDefault="00AF36D8">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5A079F" w14:paraId="5259FF1E" w14:textId="77777777">
      <w:tc>
        <w:tcPr>
          <w:tcW w:w="2551" w:type="dxa"/>
          <w:vAlign w:val="center"/>
        </w:tcPr>
        <w:p w14:paraId="6CEA5239" w14:textId="77777777" w:rsidR="005A079F" w:rsidRDefault="00AF36D8">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74614326" w14:textId="77777777" w:rsidR="005A079F" w:rsidRDefault="00AF36D8">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619CF48B" w14:textId="77777777" w:rsidR="005A079F" w:rsidRDefault="005A079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6"/>
    <w:multiLevelType w:val="multilevel"/>
    <w:tmpl w:val="2E282490"/>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C4284B"/>
    <w:multiLevelType w:val="multilevel"/>
    <w:tmpl w:val="F2EAAF98"/>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9F"/>
    <w:rsid w:val="00054AEB"/>
    <w:rsid w:val="000C691C"/>
    <w:rsid w:val="00114561"/>
    <w:rsid w:val="001C48DA"/>
    <w:rsid w:val="00215826"/>
    <w:rsid w:val="00280C47"/>
    <w:rsid w:val="002A4C56"/>
    <w:rsid w:val="002E0ED7"/>
    <w:rsid w:val="003D0BF6"/>
    <w:rsid w:val="0055105A"/>
    <w:rsid w:val="005A079F"/>
    <w:rsid w:val="0061205F"/>
    <w:rsid w:val="00615FAC"/>
    <w:rsid w:val="006A39BA"/>
    <w:rsid w:val="007B52F5"/>
    <w:rsid w:val="008A48B3"/>
    <w:rsid w:val="009B5FE3"/>
    <w:rsid w:val="009C3100"/>
    <w:rsid w:val="009D48ED"/>
    <w:rsid w:val="00AE3910"/>
    <w:rsid w:val="00AF36D8"/>
    <w:rsid w:val="00C13220"/>
    <w:rsid w:val="00CD3824"/>
    <w:rsid w:val="00E02C5B"/>
    <w:rsid w:val="00E25CC2"/>
    <w:rsid w:val="00FC3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611"/>
  <w15:docId w15:val="{BE7A3450-D3B1-4C78-8738-DF48C75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smallCaps/>
      <w:color w:val="595959"/>
      <w:sz w:val="28"/>
      <w:szCs w:val="28"/>
    </w:rPr>
  </w:style>
  <w:style w:type="table" w:customStyle="1" w:styleId="a">
    <w:basedOn w:val="TableNormal9"/>
    <w:tblPr>
      <w:tblStyleRowBandSize w:val="1"/>
      <w:tblStyleColBandSize w:val="1"/>
      <w:tblCellMar>
        <w:left w:w="115" w:type="dxa"/>
        <w:right w:w="115"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tblPr>
      <w:tblStyleRowBandSize w:val="1"/>
      <w:tblStyleColBandSize w:val="1"/>
      <w:tblCellMar>
        <w:left w:w="115" w:type="dxa"/>
        <w:right w:w="115" w:type="dxa"/>
      </w:tblCellMar>
    </w:tblPr>
  </w:style>
  <w:style w:type="table" w:customStyle="1" w:styleId="a2">
    <w:basedOn w:val="TableNormal9"/>
    <w:tblPr>
      <w:tblStyleRowBandSize w:val="1"/>
      <w:tblStyleColBandSize w:val="1"/>
      <w:tblCellMar>
        <w:left w:w="115" w:type="dxa"/>
        <w:right w:w="115" w:type="dxa"/>
      </w:tblCellMar>
    </w:tblPr>
  </w:style>
  <w:style w:type="table" w:customStyle="1" w:styleId="a3">
    <w:basedOn w:val="TableNormal9"/>
    <w:tblPr>
      <w:tblStyleRowBandSize w:val="1"/>
      <w:tblStyleColBandSize w:val="1"/>
      <w:tblCellMar>
        <w:left w:w="115" w:type="dxa"/>
        <w:right w:w="115" w:type="dxa"/>
      </w:tblCellMar>
    </w:tblPr>
  </w:style>
  <w:style w:type="table" w:customStyle="1" w:styleId="a4">
    <w:basedOn w:val="TableNormal9"/>
    <w:tblPr>
      <w:tblStyleRowBandSize w:val="1"/>
      <w:tblStyleColBandSize w:val="1"/>
      <w:tblCellMar>
        <w:left w:w="115" w:type="dxa"/>
        <w:right w:w="115" w:type="dxa"/>
      </w:tblCellMar>
    </w:tblPr>
  </w:style>
  <w:style w:type="table" w:customStyle="1" w:styleId="a5">
    <w:basedOn w:val="TableNormal9"/>
    <w:tblPr>
      <w:tblStyleRowBandSize w:val="1"/>
      <w:tblStyleColBandSize w:val="1"/>
      <w:tblCellMar>
        <w:left w:w="115" w:type="dxa"/>
        <w:right w:w="115"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9"/>
    <w:tblPr>
      <w:tblStyleRowBandSize w:val="1"/>
      <w:tblStyleColBandSize w:val="1"/>
      <w:tblCellMar>
        <w:left w:w="115" w:type="dxa"/>
        <w:right w:w="115" w:type="dxa"/>
      </w:tblCellMar>
    </w:tbl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9"/>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left w:w="108" w:type="dxa"/>
        <w:right w:w="108" w:type="dxa"/>
      </w:tblCellMar>
    </w:tblPr>
  </w:style>
  <w:style w:type="table" w:customStyle="1" w:styleId="af9">
    <w:basedOn w:val="TableNormal8"/>
    <w:tblPr>
      <w:tblStyleRowBandSize w:val="1"/>
      <w:tblStyleColBandSize w:val="1"/>
      <w:tblCellMar>
        <w:left w:w="115" w:type="dxa"/>
        <w:right w:w="115" w:type="dxa"/>
      </w:tblCellMar>
    </w:tblPr>
  </w:style>
  <w:style w:type="table" w:customStyle="1" w:styleId="afa">
    <w:basedOn w:val="TableNormal8"/>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7"/>
    <w:tblPr>
      <w:tblStyleRowBandSize w:val="1"/>
      <w:tblStyleColBandSize w:val="1"/>
      <w:tblCellMar>
        <w:left w:w="115" w:type="dxa"/>
        <w:right w:w="115" w:type="dxa"/>
      </w:tblCellMar>
    </w:tblPr>
  </w:style>
  <w:style w:type="table" w:customStyle="1" w:styleId="afc">
    <w:basedOn w:val="TableNormal7"/>
    <w:tblPr>
      <w:tblStyleRowBandSize w:val="1"/>
      <w:tblStyleColBandSize w:val="1"/>
      <w:tblCellMar>
        <w:left w:w="115" w:type="dxa"/>
        <w:right w:w="115" w:type="dxa"/>
      </w:tblCellMar>
    </w:tblPr>
  </w:style>
  <w:style w:type="table" w:customStyle="1" w:styleId="afd">
    <w:basedOn w:val="TableNormal7"/>
    <w:tblPr>
      <w:tblStyleRowBandSize w:val="1"/>
      <w:tblStyleColBandSize w:val="1"/>
      <w:tblCellMar>
        <w:left w:w="115" w:type="dxa"/>
        <w:right w:w="115" w:type="dxa"/>
      </w:tblCellMar>
    </w:tblPr>
  </w:style>
  <w:style w:type="table" w:customStyle="1" w:styleId="afe">
    <w:basedOn w:val="TableNormal7"/>
    <w:tblPr>
      <w:tblStyleRowBandSize w:val="1"/>
      <w:tblStyleColBandSize w:val="1"/>
      <w:tblCellMar>
        <w:left w:w="115" w:type="dxa"/>
        <w:right w:w="115" w:type="dxa"/>
      </w:tblCellMar>
    </w:tblPr>
  </w:style>
  <w:style w:type="table" w:customStyle="1" w:styleId="aff">
    <w:basedOn w:val="TableNormal6"/>
    <w:tblPr>
      <w:tblStyleRowBandSize w:val="1"/>
      <w:tblStyleColBandSize w:val="1"/>
      <w:tblCellMar>
        <w:left w:w="115" w:type="dxa"/>
        <w:right w:w="115" w:type="dxa"/>
      </w:tblCellMar>
    </w:tblPr>
  </w:style>
  <w:style w:type="table" w:customStyle="1" w:styleId="aff0">
    <w:basedOn w:val="TableNormal6"/>
    <w:tblPr>
      <w:tblStyleRowBandSize w:val="1"/>
      <w:tblStyleColBandSize w:val="1"/>
      <w:tblCellMar>
        <w:left w:w="115" w:type="dxa"/>
        <w:right w:w="115" w:type="dxa"/>
      </w:tblCellMar>
    </w:tblPr>
  </w:style>
  <w:style w:type="table" w:customStyle="1" w:styleId="aff1">
    <w:basedOn w:val="TableNormal6"/>
    <w:tblPr>
      <w:tblStyleRowBandSize w:val="1"/>
      <w:tblStyleColBandSize w:val="1"/>
      <w:tblCellMar>
        <w:left w:w="115" w:type="dxa"/>
        <w:right w:w="115" w:type="dxa"/>
      </w:tblCellMar>
    </w:tblPr>
  </w:style>
  <w:style w:type="table" w:customStyle="1" w:styleId="aff2">
    <w:basedOn w:val="TableNormal6"/>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5"/>
    <w:tblPr>
      <w:tblStyleRowBandSize w:val="1"/>
      <w:tblStyleColBandSize w:val="1"/>
      <w:tblCellMar>
        <w:left w:w="115" w:type="dxa"/>
        <w:right w:w="115" w:type="dxa"/>
      </w:tblCellMar>
    </w:tblPr>
  </w:style>
  <w:style w:type="table" w:customStyle="1" w:styleId="aff4">
    <w:basedOn w:val="TableNormal5"/>
    <w:tblPr>
      <w:tblStyleRowBandSize w:val="1"/>
      <w:tblStyleColBandSize w:val="1"/>
      <w:tblCellMar>
        <w:left w:w="115" w:type="dxa"/>
        <w:right w:w="115" w:type="dxa"/>
      </w:tblCellMar>
    </w:tblPr>
  </w:style>
  <w:style w:type="table" w:customStyle="1" w:styleId="aff5">
    <w:basedOn w:val="TableNormal5"/>
    <w:tblPr>
      <w:tblStyleRowBandSize w:val="1"/>
      <w:tblStyleColBandSize w:val="1"/>
      <w:tblCellMar>
        <w:left w:w="115" w:type="dxa"/>
        <w:right w:w="115" w:type="dxa"/>
      </w:tblCellMar>
    </w:tblPr>
  </w:style>
  <w:style w:type="table" w:customStyle="1" w:styleId="aff6">
    <w:basedOn w:val="TableNormal5"/>
    <w:tblPr>
      <w:tblStyleRowBandSize w:val="1"/>
      <w:tblStyleColBandSize w:val="1"/>
      <w:tblCellMar>
        <w:left w:w="108" w:type="dxa"/>
        <w:right w:w="108" w:type="dxa"/>
      </w:tblCellMar>
    </w:tblPr>
  </w:style>
  <w:style w:type="table" w:customStyle="1" w:styleId="aff7">
    <w:basedOn w:val="TableNormal5"/>
    <w:tblPr>
      <w:tblStyleRowBandSize w:val="1"/>
      <w:tblStyleColBandSize w:val="1"/>
      <w:tblCellMar>
        <w:left w:w="115" w:type="dxa"/>
        <w:right w:w="115" w:type="dxa"/>
      </w:tblCellMar>
    </w:tblPr>
  </w:style>
  <w:style w:type="table" w:customStyle="1" w:styleId="aff8">
    <w:basedOn w:val="TableNormal5"/>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left w:w="115" w:type="dxa"/>
        <w:right w:w="115" w:type="dxa"/>
      </w:tblCellMar>
    </w:tblPr>
  </w:style>
  <w:style w:type="table" w:customStyle="1" w:styleId="affb">
    <w:basedOn w:val="TableNormal4"/>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3"/>
    <w:tblPr>
      <w:tblStyleRowBandSize w:val="1"/>
      <w:tblStyleColBandSize w:val="1"/>
      <w:tblCellMar>
        <w:left w:w="115" w:type="dxa"/>
        <w:right w:w="115" w:type="dxa"/>
      </w:tblCellMar>
    </w:tblPr>
  </w:style>
  <w:style w:type="table" w:customStyle="1" w:styleId="afff0">
    <w:basedOn w:val="TableNormal3"/>
    <w:tblPr>
      <w:tblStyleRowBandSize w:val="1"/>
      <w:tblStyleColBandSize w:val="1"/>
      <w:tblCellMar>
        <w:left w:w="115" w:type="dxa"/>
        <w:right w:w="115"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C12D4"/>
    <w:rPr>
      <w:color w:val="605E5C"/>
      <w:shd w:val="clear" w:color="auto" w:fill="E1DFDD"/>
    </w:rPr>
  </w:style>
  <w:style w:type="character" w:styleId="Hipervnculovisitado">
    <w:name w:val="FollowedHyperlink"/>
    <w:basedOn w:val="Fuentedeprrafopredeter"/>
    <w:uiPriority w:val="99"/>
    <w:semiHidden/>
    <w:unhideWhenUsed/>
    <w:rsid w:val="00132376"/>
    <w:rPr>
      <w:color w:val="954F72" w:themeColor="followedHyperlink"/>
      <w:u w:val="single"/>
    </w:r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115" w:type="dxa"/>
        <w:right w:w="115" w:type="dxa"/>
      </w:tblCellMar>
    </w:tblPr>
  </w:style>
  <w:style w:type="table" w:customStyle="1" w:styleId="afff8">
    <w:basedOn w:val="TableNormal2"/>
    <w:tblPr>
      <w:tblStyleRowBandSize w:val="1"/>
      <w:tblStyleColBandSize w:val="1"/>
      <w:tblCellMar>
        <w:left w:w="115" w:type="dxa"/>
        <w:right w:w="115"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7.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18.png"/><Relationship Id="rId23" Type="http://schemas.openxmlformats.org/officeDocument/2006/relationships/image" Target="media/image19.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2.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1qM3kIehJDQtpw9DfiXRXXDrA==">CgMxLjAyCWguMWZvYjl0ZTIJaC4zem55c2g3MghoLnR5amN3dDIJaC4zcmRjcmpuMgloLjE3ZHA4dnUyCWguMzBqMHpsbDIJaC4yZXQ5MnAwMghoLmdqZGd4czgAciExNndwVlpDR3NJN0k5cW1HVXU2UXBoT2h0aWZCUzVyU2E=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7502</Words>
  <Characters>41266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2025-01-24T20:42:00Z</cp:lastPrinted>
  <dcterms:created xsi:type="dcterms:W3CDTF">2025-02-05T19:55:00Z</dcterms:created>
  <dcterms:modified xsi:type="dcterms:W3CDTF">2025-02-05T19:55:00Z</dcterms:modified>
</cp:coreProperties>
</file>