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43425C" w:rsidRDefault="00AD3339" w:rsidP="004A6284">
          <w:pPr>
            <w:pStyle w:val="TtulodeTDC"/>
            <w:spacing w:before="0" w:line="240" w:lineRule="auto"/>
            <w:ind w:left="1440" w:hanging="1440"/>
            <w:rPr>
              <w:color w:val="auto"/>
            </w:rPr>
          </w:pPr>
          <w:r w:rsidRPr="0043425C">
            <w:rPr>
              <w:color w:val="auto"/>
              <w:lang w:val="es-ES"/>
            </w:rPr>
            <w:t>Contenido</w:t>
          </w:r>
        </w:p>
        <w:p w14:paraId="3170BE12" w14:textId="77777777" w:rsidR="004A6284" w:rsidRPr="0043425C" w:rsidRDefault="00AD3339" w:rsidP="004A6284">
          <w:pPr>
            <w:pStyle w:val="TDC1"/>
            <w:rPr>
              <w:rFonts w:asciiTheme="minorHAnsi" w:eastAsiaTheme="minorEastAsia" w:hAnsiTheme="minorHAnsi" w:cstheme="minorBidi"/>
              <w:noProof/>
            </w:rPr>
          </w:pPr>
          <w:r w:rsidRPr="0043425C">
            <w:fldChar w:fldCharType="begin"/>
          </w:r>
          <w:r w:rsidRPr="0043425C">
            <w:instrText xml:space="preserve"> TOC \o "1-3" \h \z \u </w:instrText>
          </w:r>
          <w:r w:rsidRPr="0043425C">
            <w:fldChar w:fldCharType="separate"/>
          </w:r>
          <w:hyperlink w:anchor="_Toc211450608" w:history="1">
            <w:r w:rsidR="004A6284" w:rsidRPr="0043425C">
              <w:rPr>
                <w:rStyle w:val="Hipervnculo"/>
                <w:noProof/>
                <w:color w:val="auto"/>
              </w:rPr>
              <w:t>ANTECEDENTES</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_Toc211450608 \h </w:instrText>
            </w:r>
            <w:r w:rsidR="004A6284" w:rsidRPr="0043425C">
              <w:rPr>
                <w:noProof/>
                <w:webHidden/>
              </w:rPr>
            </w:r>
            <w:r w:rsidR="004A6284" w:rsidRPr="0043425C">
              <w:rPr>
                <w:noProof/>
                <w:webHidden/>
              </w:rPr>
              <w:fldChar w:fldCharType="separate"/>
            </w:r>
            <w:r w:rsidR="0043425C">
              <w:rPr>
                <w:noProof/>
                <w:webHidden/>
              </w:rPr>
              <w:t>1</w:t>
            </w:r>
            <w:r w:rsidR="004A6284" w:rsidRPr="0043425C">
              <w:rPr>
                <w:noProof/>
                <w:webHidden/>
              </w:rPr>
              <w:fldChar w:fldCharType="end"/>
            </w:r>
          </w:hyperlink>
        </w:p>
        <w:p w14:paraId="4D387D3F" w14:textId="77777777" w:rsidR="004A6284" w:rsidRPr="0043425C" w:rsidRDefault="00E676DF" w:rsidP="004A6284">
          <w:pPr>
            <w:pStyle w:val="TDC2"/>
            <w:tabs>
              <w:tab w:val="right" w:leader="dot" w:pos="9034"/>
            </w:tabs>
            <w:rPr>
              <w:rFonts w:asciiTheme="minorHAnsi" w:eastAsiaTheme="minorEastAsia" w:hAnsiTheme="minorHAnsi" w:cstheme="minorBidi"/>
              <w:noProof/>
            </w:rPr>
          </w:pPr>
          <w:hyperlink w:anchor="_Toc211450609" w:history="1">
            <w:r w:rsidR="004A6284" w:rsidRPr="0043425C">
              <w:rPr>
                <w:rStyle w:val="Hipervnculo"/>
                <w:noProof/>
                <w:color w:val="auto"/>
              </w:rPr>
              <w:t>DE LA SOLICITUD DE INFORMACIÓN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_Toc211450609 \h </w:instrText>
            </w:r>
            <w:r w:rsidR="004A6284" w:rsidRPr="0043425C">
              <w:rPr>
                <w:noProof/>
                <w:webHidden/>
              </w:rPr>
            </w:r>
            <w:r w:rsidR="004A6284" w:rsidRPr="0043425C">
              <w:rPr>
                <w:noProof/>
                <w:webHidden/>
              </w:rPr>
              <w:fldChar w:fldCharType="separate"/>
            </w:r>
            <w:r w:rsidR="0043425C">
              <w:rPr>
                <w:noProof/>
                <w:webHidden/>
              </w:rPr>
              <w:t>1</w:t>
            </w:r>
            <w:r w:rsidR="004A6284" w:rsidRPr="0043425C">
              <w:rPr>
                <w:noProof/>
                <w:webHidden/>
              </w:rPr>
              <w:fldChar w:fldCharType="end"/>
            </w:r>
          </w:hyperlink>
        </w:p>
        <w:p w14:paraId="0B29C962"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0" w:history="1">
            <w:r w:rsidR="004A6284" w:rsidRPr="0043425C">
              <w:rPr>
                <w:rStyle w:val="Hipervnculo"/>
                <w:noProof/>
                <w:color w:val="auto"/>
              </w:rPr>
              <w:t>a) Solicitud de información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_Toc211450610 \h </w:instrText>
            </w:r>
            <w:r w:rsidR="004A6284" w:rsidRPr="0043425C">
              <w:rPr>
                <w:noProof/>
                <w:webHidden/>
              </w:rPr>
            </w:r>
            <w:r w:rsidR="004A6284" w:rsidRPr="0043425C">
              <w:rPr>
                <w:noProof/>
                <w:webHidden/>
              </w:rPr>
              <w:fldChar w:fldCharType="separate"/>
            </w:r>
            <w:r w:rsidR="0043425C">
              <w:rPr>
                <w:noProof/>
                <w:webHidden/>
              </w:rPr>
              <w:t>1</w:t>
            </w:r>
            <w:r w:rsidR="004A6284" w:rsidRPr="0043425C">
              <w:rPr>
                <w:noProof/>
                <w:webHidden/>
              </w:rPr>
              <w:fldChar w:fldCharType="end"/>
            </w:r>
          </w:hyperlink>
        </w:p>
        <w:p w14:paraId="5D1F72DE"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1" w:history="1">
            <w:r w:rsidR="004A6284" w:rsidRPr="0043425C">
              <w:rPr>
                <w:rStyle w:val="Hipervnculo"/>
                <w:noProof/>
                <w:color w:val="auto"/>
              </w:rPr>
              <w:t>b) Turno de la solicitud de información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_Toc211450611 \h </w:instrText>
            </w:r>
            <w:r w:rsidR="004A6284" w:rsidRPr="0043425C">
              <w:rPr>
                <w:noProof/>
                <w:webHidden/>
              </w:rPr>
            </w:r>
            <w:r w:rsidR="004A6284" w:rsidRPr="0043425C">
              <w:rPr>
                <w:noProof/>
                <w:webHidden/>
              </w:rPr>
              <w:fldChar w:fldCharType="separate"/>
            </w:r>
            <w:r w:rsidR="0043425C">
              <w:rPr>
                <w:noProof/>
                <w:webHidden/>
              </w:rPr>
              <w:t>2</w:t>
            </w:r>
            <w:r w:rsidR="004A6284" w:rsidRPr="0043425C">
              <w:rPr>
                <w:noProof/>
                <w:webHidden/>
              </w:rPr>
              <w:fldChar w:fldCharType="end"/>
            </w:r>
          </w:hyperlink>
        </w:p>
        <w:p w14:paraId="1A868651"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2" w:history="1">
            <w:r w:rsidR="004A6284" w:rsidRPr="0043425C">
              <w:rPr>
                <w:rStyle w:val="Hipervnculo"/>
                <w:noProof/>
                <w:color w:val="auto"/>
              </w:rPr>
              <w:t>c) Respuesta del Sujeto Obligado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_Toc211450612 \h </w:instrText>
            </w:r>
            <w:r w:rsidR="004A6284" w:rsidRPr="0043425C">
              <w:rPr>
                <w:noProof/>
                <w:webHidden/>
              </w:rPr>
            </w:r>
            <w:r w:rsidR="004A6284" w:rsidRPr="0043425C">
              <w:rPr>
                <w:noProof/>
                <w:webHidden/>
              </w:rPr>
              <w:fldChar w:fldCharType="separate"/>
            </w:r>
            <w:r w:rsidR="0043425C">
              <w:rPr>
                <w:noProof/>
                <w:webHidden/>
              </w:rPr>
              <w:t>2</w:t>
            </w:r>
            <w:r w:rsidR="004A6284" w:rsidRPr="0043425C">
              <w:rPr>
                <w:noProof/>
                <w:webHidden/>
              </w:rPr>
              <w:fldChar w:fldCharType="end"/>
            </w:r>
          </w:hyperlink>
        </w:p>
        <w:p w14:paraId="35DB98D5" w14:textId="77777777" w:rsidR="004A6284" w:rsidRPr="0043425C" w:rsidRDefault="00E676DF" w:rsidP="004A6284">
          <w:pPr>
            <w:pStyle w:val="TDC2"/>
            <w:tabs>
              <w:tab w:val="right" w:leader="dot" w:pos="9034"/>
            </w:tabs>
            <w:rPr>
              <w:rFonts w:asciiTheme="minorHAnsi" w:eastAsiaTheme="minorEastAsia" w:hAnsiTheme="minorHAnsi" w:cstheme="minorBidi"/>
              <w:noProof/>
            </w:rPr>
          </w:pPr>
          <w:hyperlink w:anchor="_Toc211450613" w:history="1">
            <w:r w:rsidR="004A6284" w:rsidRPr="0043425C">
              <w:rPr>
                <w:rStyle w:val="Hipervnculo"/>
                <w:noProof/>
                <w:color w:val="auto"/>
              </w:rPr>
              <w:t>DEL RECURSO DE REVISIÓN2</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_Toc211450613 \h </w:instrText>
            </w:r>
            <w:r w:rsidR="004A6284" w:rsidRPr="0043425C">
              <w:rPr>
                <w:noProof/>
                <w:webHidden/>
              </w:rPr>
            </w:r>
            <w:r w:rsidR="004A6284" w:rsidRPr="0043425C">
              <w:rPr>
                <w:noProof/>
                <w:webHidden/>
              </w:rPr>
              <w:fldChar w:fldCharType="separate"/>
            </w:r>
            <w:r w:rsidR="0043425C">
              <w:rPr>
                <w:noProof/>
                <w:webHidden/>
              </w:rPr>
              <w:t>4</w:t>
            </w:r>
            <w:r w:rsidR="004A6284" w:rsidRPr="0043425C">
              <w:rPr>
                <w:noProof/>
                <w:webHidden/>
              </w:rPr>
              <w:fldChar w:fldCharType="end"/>
            </w:r>
          </w:hyperlink>
        </w:p>
        <w:p w14:paraId="44830130"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4" w:history="1">
            <w:r w:rsidR="004A6284" w:rsidRPr="0043425C">
              <w:rPr>
                <w:rStyle w:val="Hipervnculo"/>
                <w:noProof/>
                <w:color w:val="auto"/>
              </w:rPr>
              <w:t>a) Interposición del Recurso de Revisión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_Toc211450614 \h </w:instrText>
            </w:r>
            <w:r w:rsidR="004A6284" w:rsidRPr="0043425C">
              <w:rPr>
                <w:noProof/>
                <w:webHidden/>
              </w:rPr>
            </w:r>
            <w:r w:rsidR="004A6284" w:rsidRPr="0043425C">
              <w:rPr>
                <w:noProof/>
                <w:webHidden/>
              </w:rPr>
              <w:fldChar w:fldCharType="separate"/>
            </w:r>
            <w:r w:rsidR="0043425C">
              <w:rPr>
                <w:noProof/>
                <w:webHidden/>
              </w:rPr>
              <w:t>4</w:t>
            </w:r>
            <w:r w:rsidR="004A6284" w:rsidRPr="0043425C">
              <w:rPr>
                <w:noProof/>
                <w:webHidden/>
              </w:rPr>
              <w:fldChar w:fldCharType="end"/>
            </w:r>
          </w:hyperlink>
        </w:p>
        <w:p w14:paraId="70D17829"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5" w:history="1">
            <w:r w:rsidR="004A6284" w:rsidRPr="0043425C">
              <w:rPr>
                <w:rStyle w:val="Hipervnculo"/>
                <w:noProof/>
                <w:color w:val="auto"/>
              </w:rPr>
              <w:t>b) Turno del Recurso de Revisión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_Toc211450615 \h </w:instrText>
            </w:r>
            <w:r w:rsidR="004A6284" w:rsidRPr="0043425C">
              <w:rPr>
                <w:noProof/>
                <w:webHidden/>
              </w:rPr>
            </w:r>
            <w:r w:rsidR="004A6284" w:rsidRPr="0043425C">
              <w:rPr>
                <w:noProof/>
                <w:webHidden/>
              </w:rPr>
              <w:fldChar w:fldCharType="separate"/>
            </w:r>
            <w:r w:rsidR="0043425C">
              <w:rPr>
                <w:noProof/>
                <w:webHidden/>
              </w:rPr>
              <w:t>4</w:t>
            </w:r>
            <w:r w:rsidR="004A6284" w:rsidRPr="0043425C">
              <w:rPr>
                <w:noProof/>
                <w:webHidden/>
              </w:rPr>
              <w:fldChar w:fldCharType="end"/>
            </w:r>
          </w:hyperlink>
        </w:p>
        <w:p w14:paraId="2EFBA20D"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6" w:history="1">
            <w:r w:rsidR="004A6284" w:rsidRPr="0043425C">
              <w:rPr>
                <w:rStyle w:val="Hipervnculo"/>
                <w:noProof/>
                <w:color w:val="auto"/>
              </w:rPr>
              <w:t>c) Admisión del Recurso de Revisión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_Toc211450616 \h </w:instrText>
            </w:r>
            <w:r w:rsidR="004A6284" w:rsidRPr="0043425C">
              <w:rPr>
                <w:noProof/>
                <w:webHidden/>
              </w:rPr>
            </w:r>
            <w:r w:rsidR="004A6284" w:rsidRPr="0043425C">
              <w:rPr>
                <w:noProof/>
                <w:webHidden/>
              </w:rPr>
              <w:fldChar w:fldCharType="separate"/>
            </w:r>
            <w:r w:rsidR="0043425C">
              <w:rPr>
                <w:noProof/>
                <w:webHidden/>
              </w:rPr>
              <w:t>4</w:t>
            </w:r>
            <w:r w:rsidR="004A6284" w:rsidRPr="0043425C">
              <w:rPr>
                <w:noProof/>
                <w:webHidden/>
              </w:rPr>
              <w:fldChar w:fldCharType="end"/>
            </w:r>
          </w:hyperlink>
        </w:p>
        <w:p w14:paraId="06848898"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7" w:history="1">
            <w:r w:rsidR="004A6284" w:rsidRPr="0043425C">
              <w:rPr>
                <w:rStyle w:val="Hipervnculo"/>
                <w:noProof/>
                <w:color w:val="auto"/>
              </w:rPr>
              <w:t>d) Informe Justificado del Sujeto Obligado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_Toc211450617 \h </w:instrText>
            </w:r>
            <w:r w:rsidR="004A6284" w:rsidRPr="0043425C">
              <w:rPr>
                <w:noProof/>
                <w:webHidden/>
              </w:rPr>
            </w:r>
            <w:r w:rsidR="004A6284" w:rsidRPr="0043425C">
              <w:rPr>
                <w:noProof/>
                <w:webHidden/>
              </w:rPr>
              <w:fldChar w:fldCharType="separate"/>
            </w:r>
            <w:r w:rsidR="0043425C">
              <w:rPr>
                <w:noProof/>
                <w:webHidden/>
              </w:rPr>
              <w:t>5</w:t>
            </w:r>
            <w:r w:rsidR="004A6284" w:rsidRPr="0043425C">
              <w:rPr>
                <w:noProof/>
                <w:webHidden/>
              </w:rPr>
              <w:fldChar w:fldCharType="end"/>
            </w:r>
          </w:hyperlink>
        </w:p>
        <w:p w14:paraId="2578E7B7"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8" w:history="1">
            <w:r w:rsidR="004A6284" w:rsidRPr="0043425C">
              <w:rPr>
                <w:rStyle w:val="Hipervnculo"/>
                <w:noProof/>
                <w:color w:val="auto"/>
              </w:rPr>
              <w:t>e) Manifestaciones de la Parte Recurrente</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_Toc211450618 \h </w:instrText>
            </w:r>
            <w:r w:rsidR="004A6284" w:rsidRPr="0043425C">
              <w:rPr>
                <w:noProof/>
                <w:webHidden/>
              </w:rPr>
            </w:r>
            <w:r w:rsidR="004A6284" w:rsidRPr="0043425C">
              <w:rPr>
                <w:noProof/>
                <w:webHidden/>
              </w:rPr>
              <w:fldChar w:fldCharType="separate"/>
            </w:r>
            <w:r w:rsidR="0043425C">
              <w:rPr>
                <w:noProof/>
                <w:webHidden/>
              </w:rPr>
              <w:t>5</w:t>
            </w:r>
            <w:r w:rsidR="004A6284" w:rsidRPr="0043425C">
              <w:rPr>
                <w:noProof/>
                <w:webHidden/>
              </w:rPr>
              <w:fldChar w:fldCharType="end"/>
            </w:r>
          </w:hyperlink>
        </w:p>
        <w:p w14:paraId="2A5E2FAC"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19" w:history="1">
            <w:r w:rsidR="004A6284" w:rsidRPr="0043425C">
              <w:rPr>
                <w:rStyle w:val="Hipervnculo"/>
                <w:noProof/>
                <w:color w:val="auto"/>
              </w:rPr>
              <w:t>f) Cierre de instrucción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_Toc211450619 \h </w:instrText>
            </w:r>
            <w:r w:rsidR="004A6284" w:rsidRPr="0043425C">
              <w:rPr>
                <w:noProof/>
                <w:webHidden/>
              </w:rPr>
            </w:r>
            <w:r w:rsidR="004A6284" w:rsidRPr="0043425C">
              <w:rPr>
                <w:noProof/>
                <w:webHidden/>
              </w:rPr>
              <w:fldChar w:fldCharType="separate"/>
            </w:r>
            <w:r w:rsidR="0043425C">
              <w:rPr>
                <w:noProof/>
                <w:webHidden/>
              </w:rPr>
              <w:t>5</w:t>
            </w:r>
            <w:r w:rsidR="004A6284" w:rsidRPr="0043425C">
              <w:rPr>
                <w:noProof/>
                <w:webHidden/>
              </w:rPr>
              <w:fldChar w:fldCharType="end"/>
            </w:r>
          </w:hyperlink>
        </w:p>
        <w:p w14:paraId="7A57AB4E" w14:textId="77777777" w:rsidR="004A6284" w:rsidRPr="0043425C" w:rsidRDefault="00E676DF" w:rsidP="004A6284">
          <w:pPr>
            <w:pStyle w:val="TDC1"/>
            <w:rPr>
              <w:rFonts w:asciiTheme="minorHAnsi" w:eastAsiaTheme="minorEastAsia" w:hAnsiTheme="minorHAnsi" w:cstheme="minorBidi"/>
              <w:noProof/>
            </w:rPr>
          </w:pPr>
          <w:hyperlink w:anchor="_Toc211450620" w:history="1">
            <w:r w:rsidR="004A6284" w:rsidRPr="0043425C">
              <w:rPr>
                <w:rStyle w:val="Hipervnculo"/>
                <w:noProof/>
                <w:color w:val="auto"/>
              </w:rPr>
              <w:t>CONSIDERANDOS</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_Toc211450620 \h </w:instrText>
            </w:r>
            <w:r w:rsidR="004A6284" w:rsidRPr="0043425C">
              <w:rPr>
                <w:noProof/>
                <w:webHidden/>
              </w:rPr>
            </w:r>
            <w:r w:rsidR="004A6284" w:rsidRPr="0043425C">
              <w:rPr>
                <w:noProof/>
                <w:webHidden/>
              </w:rPr>
              <w:fldChar w:fldCharType="separate"/>
            </w:r>
            <w:r w:rsidR="0043425C">
              <w:rPr>
                <w:noProof/>
                <w:webHidden/>
              </w:rPr>
              <w:t>5</w:t>
            </w:r>
            <w:r w:rsidR="004A6284" w:rsidRPr="0043425C">
              <w:rPr>
                <w:noProof/>
                <w:webHidden/>
              </w:rPr>
              <w:fldChar w:fldCharType="end"/>
            </w:r>
          </w:hyperlink>
        </w:p>
        <w:p w14:paraId="1053B6AA" w14:textId="77777777" w:rsidR="004A6284" w:rsidRPr="0043425C" w:rsidRDefault="00E676DF" w:rsidP="004A6284">
          <w:pPr>
            <w:pStyle w:val="TDC2"/>
            <w:tabs>
              <w:tab w:val="right" w:leader="dot" w:pos="9034"/>
            </w:tabs>
            <w:rPr>
              <w:rFonts w:asciiTheme="minorHAnsi" w:eastAsiaTheme="minorEastAsia" w:hAnsiTheme="minorHAnsi" w:cstheme="minorBidi"/>
              <w:noProof/>
            </w:rPr>
          </w:pPr>
          <w:hyperlink w:anchor="_Toc211450621" w:history="1">
            <w:r w:rsidR="004A6284" w:rsidRPr="0043425C">
              <w:rPr>
                <w:rStyle w:val="Hipervnculo"/>
                <w:noProof/>
                <w:color w:val="auto"/>
              </w:rPr>
              <w:t>PRIMERO. Procedibilidad</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_Toc211450621 \h </w:instrText>
            </w:r>
            <w:r w:rsidR="004A6284" w:rsidRPr="0043425C">
              <w:rPr>
                <w:noProof/>
                <w:webHidden/>
              </w:rPr>
            </w:r>
            <w:r w:rsidR="004A6284" w:rsidRPr="0043425C">
              <w:rPr>
                <w:noProof/>
                <w:webHidden/>
              </w:rPr>
              <w:fldChar w:fldCharType="separate"/>
            </w:r>
            <w:r w:rsidR="0043425C">
              <w:rPr>
                <w:noProof/>
                <w:webHidden/>
              </w:rPr>
              <w:t>6</w:t>
            </w:r>
            <w:r w:rsidR="004A6284" w:rsidRPr="0043425C">
              <w:rPr>
                <w:noProof/>
                <w:webHidden/>
              </w:rPr>
              <w:fldChar w:fldCharType="end"/>
            </w:r>
          </w:hyperlink>
        </w:p>
        <w:p w14:paraId="76935DD0"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2" w:history="1">
            <w:r w:rsidR="004A6284" w:rsidRPr="0043425C">
              <w:rPr>
                <w:rStyle w:val="Hipervnculo"/>
                <w:noProof/>
                <w:color w:val="auto"/>
              </w:rPr>
              <w:t>a) Competencia del Instituto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_Toc211450622 \h </w:instrText>
            </w:r>
            <w:r w:rsidR="004A6284" w:rsidRPr="0043425C">
              <w:rPr>
                <w:noProof/>
                <w:webHidden/>
              </w:rPr>
            </w:r>
            <w:r w:rsidR="004A6284" w:rsidRPr="0043425C">
              <w:rPr>
                <w:noProof/>
                <w:webHidden/>
              </w:rPr>
              <w:fldChar w:fldCharType="separate"/>
            </w:r>
            <w:r w:rsidR="0043425C">
              <w:rPr>
                <w:noProof/>
                <w:webHidden/>
              </w:rPr>
              <w:t>6</w:t>
            </w:r>
            <w:r w:rsidR="004A6284" w:rsidRPr="0043425C">
              <w:rPr>
                <w:noProof/>
                <w:webHidden/>
              </w:rPr>
              <w:fldChar w:fldCharType="end"/>
            </w:r>
          </w:hyperlink>
        </w:p>
        <w:p w14:paraId="0E82EE66"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3" w:history="1">
            <w:r w:rsidR="004A6284" w:rsidRPr="0043425C">
              <w:rPr>
                <w:rStyle w:val="Hipervnculo"/>
                <w:noProof/>
                <w:color w:val="auto"/>
              </w:rPr>
              <w:t>b) Legitimidad de la parte recurrente</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_Toc211450623 \h </w:instrText>
            </w:r>
            <w:r w:rsidR="004A6284" w:rsidRPr="0043425C">
              <w:rPr>
                <w:noProof/>
                <w:webHidden/>
              </w:rPr>
            </w:r>
            <w:r w:rsidR="004A6284" w:rsidRPr="0043425C">
              <w:rPr>
                <w:noProof/>
                <w:webHidden/>
              </w:rPr>
              <w:fldChar w:fldCharType="separate"/>
            </w:r>
            <w:r w:rsidR="0043425C">
              <w:rPr>
                <w:noProof/>
                <w:webHidden/>
              </w:rPr>
              <w:t>6</w:t>
            </w:r>
            <w:r w:rsidR="004A6284" w:rsidRPr="0043425C">
              <w:rPr>
                <w:noProof/>
                <w:webHidden/>
              </w:rPr>
              <w:fldChar w:fldCharType="end"/>
            </w:r>
          </w:hyperlink>
        </w:p>
        <w:p w14:paraId="50008004"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4" w:history="1">
            <w:r w:rsidR="004A6284" w:rsidRPr="0043425C">
              <w:rPr>
                <w:rStyle w:val="Hipervnculo"/>
                <w:noProof/>
                <w:color w:val="auto"/>
              </w:rPr>
              <w:t>c) Plazo para interponer el recurso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_Toc211450624 \h </w:instrText>
            </w:r>
            <w:r w:rsidR="004A6284" w:rsidRPr="0043425C">
              <w:rPr>
                <w:noProof/>
                <w:webHidden/>
              </w:rPr>
            </w:r>
            <w:r w:rsidR="004A6284" w:rsidRPr="0043425C">
              <w:rPr>
                <w:noProof/>
                <w:webHidden/>
              </w:rPr>
              <w:fldChar w:fldCharType="separate"/>
            </w:r>
            <w:r w:rsidR="0043425C">
              <w:rPr>
                <w:noProof/>
                <w:webHidden/>
              </w:rPr>
              <w:t>6</w:t>
            </w:r>
            <w:r w:rsidR="004A6284" w:rsidRPr="0043425C">
              <w:rPr>
                <w:noProof/>
                <w:webHidden/>
              </w:rPr>
              <w:fldChar w:fldCharType="end"/>
            </w:r>
          </w:hyperlink>
        </w:p>
        <w:p w14:paraId="3E3C05CD"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5" w:history="1">
            <w:r w:rsidR="004A6284" w:rsidRPr="0043425C">
              <w:rPr>
                <w:rStyle w:val="Hipervnculo"/>
                <w:noProof/>
                <w:color w:val="auto"/>
              </w:rPr>
              <w:t>d) Causal de Procedencia</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_Toc211450625 \h </w:instrText>
            </w:r>
            <w:r w:rsidR="004A6284" w:rsidRPr="0043425C">
              <w:rPr>
                <w:noProof/>
                <w:webHidden/>
              </w:rPr>
            </w:r>
            <w:r w:rsidR="004A6284" w:rsidRPr="0043425C">
              <w:rPr>
                <w:noProof/>
                <w:webHidden/>
              </w:rPr>
              <w:fldChar w:fldCharType="separate"/>
            </w:r>
            <w:r w:rsidR="0043425C">
              <w:rPr>
                <w:noProof/>
                <w:webHidden/>
              </w:rPr>
              <w:t>7</w:t>
            </w:r>
            <w:r w:rsidR="004A6284" w:rsidRPr="0043425C">
              <w:rPr>
                <w:noProof/>
                <w:webHidden/>
              </w:rPr>
              <w:fldChar w:fldCharType="end"/>
            </w:r>
          </w:hyperlink>
        </w:p>
        <w:p w14:paraId="1FB755FA"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6" w:history="1">
            <w:r w:rsidR="004A6284" w:rsidRPr="0043425C">
              <w:rPr>
                <w:rStyle w:val="Hipervnculo"/>
                <w:noProof/>
                <w:color w:val="auto"/>
              </w:rPr>
              <w:t>e) Requisitos formales para la interposición del recurso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_Toc211450626 \h </w:instrText>
            </w:r>
            <w:r w:rsidR="004A6284" w:rsidRPr="0043425C">
              <w:rPr>
                <w:noProof/>
                <w:webHidden/>
              </w:rPr>
            </w:r>
            <w:r w:rsidR="004A6284" w:rsidRPr="0043425C">
              <w:rPr>
                <w:noProof/>
                <w:webHidden/>
              </w:rPr>
              <w:fldChar w:fldCharType="separate"/>
            </w:r>
            <w:r w:rsidR="0043425C">
              <w:rPr>
                <w:noProof/>
                <w:webHidden/>
              </w:rPr>
              <w:t>7</w:t>
            </w:r>
            <w:r w:rsidR="004A6284" w:rsidRPr="0043425C">
              <w:rPr>
                <w:noProof/>
                <w:webHidden/>
              </w:rPr>
              <w:fldChar w:fldCharType="end"/>
            </w:r>
          </w:hyperlink>
        </w:p>
        <w:p w14:paraId="576A1CC1" w14:textId="77777777" w:rsidR="004A6284" w:rsidRPr="0043425C" w:rsidRDefault="00E676DF" w:rsidP="004A6284">
          <w:pPr>
            <w:pStyle w:val="TDC2"/>
            <w:tabs>
              <w:tab w:val="right" w:leader="dot" w:pos="9034"/>
            </w:tabs>
            <w:rPr>
              <w:rFonts w:asciiTheme="minorHAnsi" w:eastAsiaTheme="minorEastAsia" w:hAnsiTheme="minorHAnsi" w:cstheme="minorBidi"/>
              <w:noProof/>
            </w:rPr>
          </w:pPr>
          <w:hyperlink w:anchor="_Toc211450627" w:history="1">
            <w:r w:rsidR="004A6284" w:rsidRPr="0043425C">
              <w:rPr>
                <w:rStyle w:val="Hipervnculo"/>
                <w:noProof/>
                <w:color w:val="auto"/>
              </w:rPr>
              <w:t>SEGUNDO. Estudio de Fondo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_Toc211450627 \h </w:instrText>
            </w:r>
            <w:r w:rsidR="004A6284" w:rsidRPr="0043425C">
              <w:rPr>
                <w:noProof/>
                <w:webHidden/>
              </w:rPr>
            </w:r>
            <w:r w:rsidR="004A6284" w:rsidRPr="0043425C">
              <w:rPr>
                <w:noProof/>
                <w:webHidden/>
              </w:rPr>
              <w:fldChar w:fldCharType="separate"/>
            </w:r>
            <w:r w:rsidR="0043425C">
              <w:rPr>
                <w:noProof/>
                <w:webHidden/>
              </w:rPr>
              <w:t>7</w:t>
            </w:r>
            <w:r w:rsidR="004A6284" w:rsidRPr="0043425C">
              <w:rPr>
                <w:noProof/>
                <w:webHidden/>
              </w:rPr>
              <w:fldChar w:fldCharType="end"/>
            </w:r>
          </w:hyperlink>
        </w:p>
        <w:p w14:paraId="1CDDF627"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8" w:history="1">
            <w:r w:rsidR="004A6284" w:rsidRPr="0043425C">
              <w:rPr>
                <w:rStyle w:val="Hipervnculo"/>
                <w:noProof/>
                <w:color w:val="auto"/>
              </w:rPr>
              <w:t>a) Mandato de transparencia y responsabilidad del Sujeto Obligado</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_Toc211450628 \h </w:instrText>
            </w:r>
            <w:r w:rsidR="004A6284" w:rsidRPr="0043425C">
              <w:rPr>
                <w:noProof/>
                <w:webHidden/>
              </w:rPr>
            </w:r>
            <w:r w:rsidR="004A6284" w:rsidRPr="0043425C">
              <w:rPr>
                <w:noProof/>
                <w:webHidden/>
              </w:rPr>
              <w:fldChar w:fldCharType="separate"/>
            </w:r>
            <w:r w:rsidR="0043425C">
              <w:rPr>
                <w:noProof/>
                <w:webHidden/>
              </w:rPr>
              <w:t>7</w:t>
            </w:r>
            <w:r w:rsidR="004A6284" w:rsidRPr="0043425C">
              <w:rPr>
                <w:noProof/>
                <w:webHidden/>
              </w:rPr>
              <w:fldChar w:fldCharType="end"/>
            </w:r>
          </w:hyperlink>
        </w:p>
        <w:p w14:paraId="0A38E813"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29" w:history="1">
            <w:r w:rsidR="004A6284" w:rsidRPr="0043425C">
              <w:rPr>
                <w:rStyle w:val="Hipervnculo"/>
                <w:noProof/>
                <w:color w:val="auto"/>
              </w:rPr>
              <w:t>b) Controversia a resolver</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_Toc211450629 \h </w:instrText>
            </w:r>
            <w:r w:rsidR="004A6284" w:rsidRPr="0043425C">
              <w:rPr>
                <w:noProof/>
                <w:webHidden/>
              </w:rPr>
            </w:r>
            <w:r w:rsidR="004A6284" w:rsidRPr="0043425C">
              <w:rPr>
                <w:noProof/>
                <w:webHidden/>
              </w:rPr>
              <w:fldChar w:fldCharType="separate"/>
            </w:r>
            <w:r w:rsidR="0043425C">
              <w:rPr>
                <w:noProof/>
                <w:webHidden/>
              </w:rPr>
              <w:t>10</w:t>
            </w:r>
            <w:r w:rsidR="004A6284" w:rsidRPr="0043425C">
              <w:rPr>
                <w:noProof/>
                <w:webHidden/>
              </w:rPr>
              <w:fldChar w:fldCharType="end"/>
            </w:r>
          </w:hyperlink>
        </w:p>
        <w:p w14:paraId="442BD354"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30" w:history="1">
            <w:r w:rsidR="004A6284" w:rsidRPr="0043425C">
              <w:rPr>
                <w:rStyle w:val="Hipervnculo"/>
                <w:noProof/>
                <w:color w:val="auto"/>
              </w:rPr>
              <w:t>c) Estudio de la controversia</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_Toc211450630 \h </w:instrText>
            </w:r>
            <w:r w:rsidR="004A6284" w:rsidRPr="0043425C">
              <w:rPr>
                <w:noProof/>
                <w:webHidden/>
              </w:rPr>
            </w:r>
            <w:r w:rsidR="004A6284" w:rsidRPr="0043425C">
              <w:rPr>
                <w:noProof/>
                <w:webHidden/>
              </w:rPr>
              <w:fldChar w:fldCharType="separate"/>
            </w:r>
            <w:r w:rsidR="0043425C">
              <w:rPr>
                <w:noProof/>
                <w:webHidden/>
              </w:rPr>
              <w:t>11</w:t>
            </w:r>
            <w:r w:rsidR="004A6284" w:rsidRPr="0043425C">
              <w:rPr>
                <w:noProof/>
                <w:webHidden/>
              </w:rPr>
              <w:fldChar w:fldCharType="end"/>
            </w:r>
          </w:hyperlink>
        </w:p>
        <w:p w14:paraId="605720B8" w14:textId="77777777" w:rsidR="004A6284" w:rsidRPr="0043425C" w:rsidRDefault="00E676DF" w:rsidP="004A6284">
          <w:pPr>
            <w:pStyle w:val="TDC3"/>
            <w:tabs>
              <w:tab w:val="right" w:leader="dot" w:pos="9034"/>
            </w:tabs>
            <w:rPr>
              <w:rFonts w:asciiTheme="minorHAnsi" w:eastAsiaTheme="minorEastAsia" w:hAnsiTheme="minorHAnsi" w:cstheme="minorBidi"/>
              <w:noProof/>
            </w:rPr>
          </w:pPr>
          <w:hyperlink w:anchor="_Toc211450631" w:history="1">
            <w:r w:rsidR="004A6284" w:rsidRPr="0043425C">
              <w:rPr>
                <w:rStyle w:val="Hipervnculo"/>
                <w:noProof/>
                <w:color w:val="auto"/>
              </w:rPr>
              <w:t>f) Conclusión</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_Toc211450631 \h </w:instrText>
            </w:r>
            <w:r w:rsidR="004A6284" w:rsidRPr="0043425C">
              <w:rPr>
                <w:noProof/>
                <w:webHidden/>
              </w:rPr>
            </w:r>
            <w:r w:rsidR="004A6284" w:rsidRPr="0043425C">
              <w:rPr>
                <w:noProof/>
                <w:webHidden/>
              </w:rPr>
              <w:fldChar w:fldCharType="separate"/>
            </w:r>
            <w:r w:rsidR="0043425C">
              <w:rPr>
                <w:noProof/>
                <w:webHidden/>
              </w:rPr>
              <w:t>21</w:t>
            </w:r>
            <w:r w:rsidR="004A6284" w:rsidRPr="0043425C">
              <w:rPr>
                <w:noProof/>
                <w:webHidden/>
              </w:rPr>
              <w:fldChar w:fldCharType="end"/>
            </w:r>
          </w:hyperlink>
        </w:p>
        <w:p w14:paraId="098F1F91" w14:textId="77777777" w:rsidR="004A6284" w:rsidRPr="0043425C" w:rsidRDefault="00E676DF" w:rsidP="004A6284">
          <w:pPr>
            <w:pStyle w:val="TDC1"/>
            <w:rPr>
              <w:rFonts w:asciiTheme="minorHAnsi" w:eastAsiaTheme="minorEastAsia" w:hAnsiTheme="minorHAnsi" w:cstheme="minorBidi"/>
              <w:noProof/>
            </w:rPr>
          </w:pPr>
          <w:hyperlink w:anchor="_Toc211450632" w:history="1">
            <w:r w:rsidR="004A6284" w:rsidRPr="0043425C">
              <w:rPr>
                <w:rStyle w:val="Hipervnculo"/>
                <w:noProof/>
                <w:color w:val="auto"/>
              </w:rPr>
              <w:t>RESUELVE</w:t>
            </w:r>
            <w:r w:rsidR="004A6284" w:rsidRPr="0043425C">
              <w:rPr>
                <w:noProof/>
                <w:webHidden/>
              </w:rPr>
              <w:tab/>
            </w:r>
            <w:r w:rsidR="004A6284" w:rsidRPr="0043425C">
              <w:rPr>
                <w:noProof/>
                <w:webHidden/>
              </w:rPr>
              <w:fldChar w:fldCharType="begin"/>
            </w:r>
            <w:r w:rsidR="004A6284" w:rsidRPr="0043425C">
              <w:rPr>
                <w:noProof/>
                <w:webHidden/>
              </w:rPr>
              <w:instrText xml:space="preserve"> PAGEREF _Toc211450632 \h </w:instrText>
            </w:r>
            <w:r w:rsidR="004A6284" w:rsidRPr="0043425C">
              <w:rPr>
                <w:noProof/>
                <w:webHidden/>
              </w:rPr>
            </w:r>
            <w:r w:rsidR="004A6284" w:rsidRPr="0043425C">
              <w:rPr>
                <w:noProof/>
                <w:webHidden/>
              </w:rPr>
              <w:fldChar w:fldCharType="separate"/>
            </w:r>
            <w:r w:rsidR="0043425C">
              <w:rPr>
                <w:noProof/>
                <w:webHidden/>
              </w:rPr>
              <w:t>22</w:t>
            </w:r>
            <w:r w:rsidR="004A6284" w:rsidRPr="0043425C">
              <w:rPr>
                <w:noProof/>
                <w:webHidden/>
              </w:rPr>
              <w:fldChar w:fldCharType="end"/>
            </w:r>
          </w:hyperlink>
        </w:p>
        <w:p w14:paraId="4C9426CA" w14:textId="5E50B59F" w:rsidR="00BA58B0" w:rsidRPr="0043425C" w:rsidRDefault="00AD3339" w:rsidP="004A6284">
          <w:pPr>
            <w:pStyle w:val="TDC1"/>
            <w:sectPr w:rsidR="00BA58B0" w:rsidRPr="0043425C">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43425C">
            <w:rPr>
              <w:b/>
              <w:bCs/>
              <w:lang w:val="es-ES"/>
            </w:rPr>
            <w:fldChar w:fldCharType="end"/>
          </w:r>
        </w:p>
      </w:sdtContent>
    </w:sdt>
    <w:p w14:paraId="6AA102B9" w14:textId="0462638E" w:rsidR="00BA58B0" w:rsidRPr="0043425C" w:rsidRDefault="00B12DEC" w:rsidP="004A6284">
      <w:pPr>
        <w:rPr>
          <w:b/>
        </w:rPr>
      </w:pPr>
      <w:r w:rsidRPr="0043425C">
        <w:lastRenderedPageBreak/>
        <w:t xml:space="preserve">Resolución del Pleno del Instituto de Transparencia, Acceso a la Información Pública y Protección de Datos Personales del Estado de México y Municipios, con domicilio en Metepec, Estado de México, del </w:t>
      </w:r>
      <w:r w:rsidR="00211BC9" w:rsidRPr="0043425C">
        <w:rPr>
          <w:b/>
        </w:rPr>
        <w:t>quince de octubre</w:t>
      </w:r>
      <w:r w:rsidRPr="0043425C">
        <w:rPr>
          <w:b/>
        </w:rPr>
        <w:t xml:space="preserve"> de dos mil veinticinco.</w:t>
      </w:r>
    </w:p>
    <w:p w14:paraId="3DF27043" w14:textId="77777777" w:rsidR="00BA58B0" w:rsidRPr="0043425C" w:rsidRDefault="00BA58B0" w:rsidP="004A6284"/>
    <w:p w14:paraId="18C99A40" w14:textId="097FBBC6" w:rsidR="00BA58B0" w:rsidRPr="0043425C" w:rsidRDefault="00B12DEC" w:rsidP="004A6284">
      <w:r w:rsidRPr="0043425C">
        <w:rPr>
          <w:b/>
        </w:rPr>
        <w:t xml:space="preserve">VISTO </w:t>
      </w:r>
      <w:r w:rsidRPr="0043425C">
        <w:t xml:space="preserve">el expediente formado con motivo del Recurso de Revisión </w:t>
      </w:r>
      <w:r w:rsidR="004F6C6C" w:rsidRPr="0043425C">
        <w:rPr>
          <w:b/>
        </w:rPr>
        <w:t>10532/INFOEM/IP/RR/2025</w:t>
      </w:r>
      <w:r w:rsidRPr="0043425C">
        <w:rPr>
          <w:b/>
        </w:rPr>
        <w:t xml:space="preserve"> </w:t>
      </w:r>
      <w:r w:rsidRPr="0043425C">
        <w:t>interpuesto por</w:t>
      </w:r>
      <w:r w:rsidRPr="0043425C">
        <w:rPr>
          <w:b/>
        </w:rPr>
        <w:t xml:space="preserve"> </w:t>
      </w:r>
      <w:r w:rsidR="006862F9">
        <w:rPr>
          <w:b/>
        </w:rPr>
        <w:t>XXXXX XXXXXXX XXXXX XXXXXXX XXXXXXXX</w:t>
      </w:r>
      <w:r w:rsidRPr="0043425C">
        <w:t xml:space="preserve">, a quien en lo subsecuente se le denominará </w:t>
      </w:r>
      <w:r w:rsidRPr="0043425C">
        <w:rPr>
          <w:b/>
        </w:rPr>
        <w:t>LA PARTE RECURRENTE</w:t>
      </w:r>
      <w:r w:rsidRPr="0043425C">
        <w:t xml:space="preserve">, en contra de la respuesta emitida por el </w:t>
      </w:r>
      <w:r w:rsidR="006837A8" w:rsidRPr="0043425C">
        <w:rPr>
          <w:b/>
        </w:rPr>
        <w:t>Ayuntamiento de San José del Rincón</w:t>
      </w:r>
      <w:r w:rsidRPr="0043425C">
        <w:t xml:space="preserve">, en adelante </w:t>
      </w:r>
      <w:r w:rsidRPr="0043425C">
        <w:rPr>
          <w:b/>
        </w:rPr>
        <w:t>EL SUJETO OBLIGADO</w:t>
      </w:r>
      <w:r w:rsidRPr="0043425C">
        <w:t>, se emite la presente Resolución con base en los Antecedentes y Considerandos que se exponen a continuación:</w:t>
      </w:r>
    </w:p>
    <w:p w14:paraId="092F4FE9" w14:textId="77777777" w:rsidR="00BA58B0" w:rsidRPr="0043425C" w:rsidRDefault="00BA58B0" w:rsidP="004A6284"/>
    <w:p w14:paraId="77195C22" w14:textId="77777777" w:rsidR="00BA58B0" w:rsidRPr="0043425C" w:rsidRDefault="00B12DEC" w:rsidP="004A6284">
      <w:pPr>
        <w:pStyle w:val="Ttulo1"/>
      </w:pPr>
      <w:bookmarkStart w:id="2" w:name="_Toc211450608"/>
      <w:r w:rsidRPr="0043425C">
        <w:t>ANTECEDENTES</w:t>
      </w:r>
      <w:bookmarkEnd w:id="2"/>
    </w:p>
    <w:p w14:paraId="22F070ED" w14:textId="77777777" w:rsidR="00BA58B0" w:rsidRPr="0043425C" w:rsidRDefault="00BA58B0" w:rsidP="004A6284"/>
    <w:p w14:paraId="7D28EF36" w14:textId="77777777" w:rsidR="00BA58B0" w:rsidRPr="0043425C" w:rsidRDefault="00B12DEC" w:rsidP="004A6284">
      <w:pPr>
        <w:pStyle w:val="Ttulo2"/>
      </w:pPr>
      <w:bookmarkStart w:id="3" w:name="_Toc211450609"/>
      <w:r w:rsidRPr="0043425C">
        <w:t>DE LA SOLICITUD DE INFORMACIÓN</w:t>
      </w:r>
      <w:bookmarkEnd w:id="3"/>
    </w:p>
    <w:p w14:paraId="266DF6E3" w14:textId="77777777" w:rsidR="00BA58B0" w:rsidRPr="0043425C" w:rsidRDefault="00B12DEC" w:rsidP="004A6284">
      <w:pPr>
        <w:pStyle w:val="Ttulo3"/>
      </w:pPr>
      <w:bookmarkStart w:id="4" w:name="_Toc211450610"/>
      <w:r w:rsidRPr="0043425C">
        <w:t>a) Solicitud de información</w:t>
      </w:r>
      <w:bookmarkEnd w:id="4"/>
    </w:p>
    <w:p w14:paraId="63A51723" w14:textId="7CE17CF7" w:rsidR="00BA58B0" w:rsidRPr="0043425C" w:rsidRDefault="00B12DEC" w:rsidP="004A6284">
      <w:pPr>
        <w:pBdr>
          <w:top w:val="nil"/>
          <w:left w:val="nil"/>
          <w:bottom w:val="nil"/>
          <w:right w:val="nil"/>
          <w:between w:val="nil"/>
        </w:pBdr>
        <w:tabs>
          <w:tab w:val="left" w:pos="0"/>
        </w:tabs>
        <w:spacing w:after="240"/>
      </w:pPr>
      <w:r w:rsidRPr="0043425C">
        <w:t xml:space="preserve">El </w:t>
      </w:r>
      <w:r w:rsidR="006837A8" w:rsidRPr="0043425C">
        <w:rPr>
          <w:b/>
        </w:rPr>
        <w:t xml:space="preserve">quince de agosto </w:t>
      </w:r>
      <w:r w:rsidRPr="0043425C">
        <w:rPr>
          <w:b/>
        </w:rPr>
        <w:t>de dos mil veinticinco,</w:t>
      </w:r>
      <w:r w:rsidRPr="0043425C">
        <w:t xml:space="preserve"> </w:t>
      </w:r>
      <w:r w:rsidRPr="0043425C">
        <w:rPr>
          <w:b/>
        </w:rPr>
        <w:t>LA PARTE RECURRENTE</w:t>
      </w:r>
      <w:r w:rsidRPr="0043425C">
        <w:t xml:space="preserve"> presentó una solicitud de acceso a la información pública ante </w:t>
      </w:r>
      <w:r w:rsidR="001505A2" w:rsidRPr="0043425C">
        <w:rPr>
          <w:b/>
        </w:rPr>
        <w:t>EL</w:t>
      </w:r>
      <w:r w:rsidRPr="0043425C">
        <w:t xml:space="preserve"> </w:t>
      </w:r>
      <w:r w:rsidRPr="0043425C">
        <w:rPr>
          <w:b/>
        </w:rPr>
        <w:t>SUJETO OBLIGADO</w:t>
      </w:r>
      <w:r w:rsidRPr="0043425C">
        <w:t>, a través del Sistema de Acceso a la Información Mexiquense (</w:t>
      </w:r>
      <w:r w:rsidRPr="0043425C">
        <w:rPr>
          <w:b/>
        </w:rPr>
        <w:t>SAIMEX</w:t>
      </w:r>
      <w:r w:rsidRPr="0043425C">
        <w:t>). Dicha solicitud quedó registrada con el número de folio</w:t>
      </w:r>
      <w:r w:rsidRPr="0043425C">
        <w:rPr>
          <w:b/>
        </w:rPr>
        <w:t xml:space="preserve"> </w:t>
      </w:r>
      <w:r w:rsidR="008754A0" w:rsidRPr="0043425C">
        <w:rPr>
          <w:b/>
        </w:rPr>
        <w:t>00183/JOSERIN/IP/2025</w:t>
      </w:r>
      <w:r w:rsidR="0018418B" w:rsidRPr="0043425C">
        <w:rPr>
          <w:b/>
        </w:rPr>
        <w:t xml:space="preserve"> </w:t>
      </w:r>
      <w:r w:rsidRPr="0043425C">
        <w:t>y en ella se requirió la siguiente información:</w:t>
      </w:r>
    </w:p>
    <w:p w14:paraId="4F758E27" w14:textId="7385826B" w:rsidR="00BA58B0" w:rsidRPr="0043425C" w:rsidRDefault="00B12DEC" w:rsidP="004A6284">
      <w:pPr>
        <w:pStyle w:val="Puesto"/>
        <w:ind w:right="822" w:firstLine="0"/>
        <w:rPr>
          <w:color w:val="auto"/>
        </w:rPr>
      </w:pPr>
      <w:bookmarkStart w:id="5" w:name="_heading=h.3znysh7" w:colFirst="0" w:colLast="0"/>
      <w:bookmarkEnd w:id="5"/>
      <w:r w:rsidRPr="0043425C">
        <w:rPr>
          <w:color w:val="auto"/>
        </w:rPr>
        <w:t>“</w:t>
      </w:r>
      <w:r w:rsidR="004F6C6C" w:rsidRPr="0043425C">
        <w:rPr>
          <w:color w:val="auto"/>
        </w:rPr>
        <w:t xml:space="preserve">Solicito el movimiento de baja del c. </w:t>
      </w:r>
      <w:r w:rsidR="006862F9">
        <w:rPr>
          <w:color w:val="auto"/>
        </w:rPr>
        <w:t>XXXXXX XXXXXXXXX XXXXXX</w:t>
      </w:r>
      <w:r w:rsidR="004F6C6C" w:rsidRPr="0043425C">
        <w:rPr>
          <w:color w:val="auto"/>
        </w:rPr>
        <w:t xml:space="preserve">, con clave de issemym público </w:t>
      </w:r>
      <w:r w:rsidR="006862F9">
        <w:rPr>
          <w:color w:val="auto"/>
        </w:rPr>
        <w:t>XXXXXXX</w:t>
      </w:r>
      <w:r w:rsidR="004F6C6C" w:rsidRPr="0043425C">
        <w:rPr>
          <w:color w:val="auto"/>
        </w:rPr>
        <w:t>, baja 31 de diciembre de 2018.</w:t>
      </w:r>
      <w:r w:rsidRPr="0043425C">
        <w:rPr>
          <w:color w:val="auto"/>
        </w:rPr>
        <w:t xml:space="preserve">” </w:t>
      </w:r>
      <w:r w:rsidR="004A6ECC" w:rsidRPr="0043425C">
        <w:rPr>
          <w:color w:val="auto"/>
        </w:rPr>
        <w:t>(</w:t>
      </w:r>
      <w:r w:rsidRPr="0043425C">
        <w:rPr>
          <w:color w:val="auto"/>
        </w:rPr>
        <w:t>Sic</w:t>
      </w:r>
      <w:r w:rsidR="004A6ECC" w:rsidRPr="0043425C">
        <w:rPr>
          <w:color w:val="auto"/>
        </w:rPr>
        <w:t>)</w:t>
      </w:r>
    </w:p>
    <w:p w14:paraId="41DA09B1" w14:textId="77777777" w:rsidR="004F6C6C" w:rsidRPr="0043425C" w:rsidRDefault="004F6C6C" w:rsidP="004A6284"/>
    <w:p w14:paraId="57F2F48D" w14:textId="77777777" w:rsidR="00BA58B0" w:rsidRPr="0043425C" w:rsidRDefault="00B12DEC" w:rsidP="004A6284">
      <w:pPr>
        <w:tabs>
          <w:tab w:val="left" w:pos="4667"/>
        </w:tabs>
        <w:ind w:right="567"/>
        <w:rPr>
          <w:i/>
        </w:rPr>
      </w:pPr>
      <w:r w:rsidRPr="0043425C">
        <w:rPr>
          <w:b/>
        </w:rPr>
        <w:t>Modalidad de entrega</w:t>
      </w:r>
      <w:r w:rsidRPr="0043425C">
        <w:t>: a</w:t>
      </w:r>
      <w:r w:rsidRPr="0043425C">
        <w:rPr>
          <w:i/>
        </w:rPr>
        <w:t xml:space="preserve"> través del </w:t>
      </w:r>
      <w:r w:rsidRPr="0043425C">
        <w:rPr>
          <w:b/>
          <w:i/>
        </w:rPr>
        <w:t>SAIMEX</w:t>
      </w:r>
      <w:r w:rsidRPr="0043425C">
        <w:rPr>
          <w:i/>
        </w:rPr>
        <w:t>.</w:t>
      </w:r>
    </w:p>
    <w:p w14:paraId="3ABB2805" w14:textId="77777777" w:rsidR="00C94DFB" w:rsidRPr="0043425C" w:rsidRDefault="00C94DFB" w:rsidP="004A6284">
      <w:pPr>
        <w:pStyle w:val="Ttulo3"/>
      </w:pPr>
      <w:bookmarkStart w:id="6" w:name="_Toc165402840"/>
      <w:bookmarkStart w:id="7" w:name="_Toc202867961"/>
      <w:bookmarkStart w:id="8" w:name="_Toc211450611"/>
      <w:r w:rsidRPr="0043425C">
        <w:lastRenderedPageBreak/>
        <w:t>b) Turno de la solicitud de información</w:t>
      </w:r>
      <w:bookmarkEnd w:id="6"/>
      <w:bookmarkEnd w:id="7"/>
      <w:bookmarkEnd w:id="8"/>
    </w:p>
    <w:p w14:paraId="38FB25A1" w14:textId="134369F3" w:rsidR="00C94DFB" w:rsidRPr="0043425C" w:rsidRDefault="00C94DFB" w:rsidP="004A6284">
      <w:pPr>
        <w:spacing w:after="240"/>
      </w:pPr>
      <w:r w:rsidRPr="0043425C">
        <w:t xml:space="preserve">En cumplimiento al artículo 162 de la Ley de Transparencia y Acceso a la Información Pública del Estado de México y Municipios, el </w:t>
      </w:r>
      <w:r w:rsidR="00211BC9" w:rsidRPr="0043425C">
        <w:rPr>
          <w:b/>
        </w:rPr>
        <w:t xml:space="preserve">diecinueve de </w:t>
      </w:r>
      <w:r w:rsidR="004F6C6C" w:rsidRPr="0043425C">
        <w:rPr>
          <w:b/>
        </w:rPr>
        <w:t>agosto</w:t>
      </w:r>
      <w:r w:rsidRPr="0043425C">
        <w:rPr>
          <w:b/>
        </w:rPr>
        <w:t xml:space="preserve"> de dos mil veinticinco</w:t>
      </w:r>
      <w:r w:rsidRPr="0043425C">
        <w:t xml:space="preserve">, el Titular de la Unidad de Transparencia del </w:t>
      </w:r>
      <w:r w:rsidRPr="0043425C">
        <w:rPr>
          <w:b/>
        </w:rPr>
        <w:t>SUJETO OBLIGADO</w:t>
      </w:r>
      <w:r w:rsidRPr="0043425C">
        <w:t xml:space="preserve"> turnó la solicitud de información a los servidores públicos habilitados que estimó pertinente.</w:t>
      </w:r>
    </w:p>
    <w:p w14:paraId="15DF54DA" w14:textId="77777777" w:rsidR="00BA58B0" w:rsidRPr="0043425C" w:rsidRDefault="00C94DFB" w:rsidP="004A6284">
      <w:pPr>
        <w:pStyle w:val="Ttulo3"/>
      </w:pPr>
      <w:bookmarkStart w:id="9" w:name="_Toc211450612"/>
      <w:r w:rsidRPr="0043425C">
        <w:t>c</w:t>
      </w:r>
      <w:r w:rsidR="00B12DEC" w:rsidRPr="0043425C">
        <w:t>) Respuesta del Sujeto Obligado</w:t>
      </w:r>
      <w:bookmarkEnd w:id="9"/>
    </w:p>
    <w:p w14:paraId="33C6EDFC" w14:textId="455D317D" w:rsidR="00BA58B0" w:rsidRPr="0043425C" w:rsidRDefault="00B12DEC" w:rsidP="004A6284">
      <w:pPr>
        <w:pBdr>
          <w:top w:val="nil"/>
          <w:left w:val="nil"/>
          <w:bottom w:val="nil"/>
          <w:right w:val="nil"/>
          <w:between w:val="nil"/>
        </w:pBdr>
        <w:spacing w:after="240"/>
      </w:pPr>
      <w:r w:rsidRPr="0043425C">
        <w:t xml:space="preserve">El </w:t>
      </w:r>
      <w:r w:rsidR="004F6C6C" w:rsidRPr="0043425C">
        <w:rPr>
          <w:b/>
        </w:rPr>
        <w:t>cinco de septiembre</w:t>
      </w:r>
      <w:r w:rsidR="00211BC9" w:rsidRPr="0043425C">
        <w:rPr>
          <w:b/>
        </w:rPr>
        <w:t xml:space="preserve"> </w:t>
      </w:r>
      <w:r w:rsidRPr="0043425C">
        <w:rPr>
          <w:b/>
        </w:rPr>
        <w:t xml:space="preserve">de dos mil veinticinco, </w:t>
      </w:r>
      <w:r w:rsidR="001505A2" w:rsidRPr="0043425C">
        <w:t>e</w:t>
      </w:r>
      <w:r w:rsidRPr="0043425C">
        <w:t xml:space="preserve">l Titular de la Unidad de Transparencia del </w:t>
      </w:r>
      <w:r w:rsidRPr="0043425C">
        <w:rPr>
          <w:b/>
        </w:rPr>
        <w:t>SUJETO OBLIGADO</w:t>
      </w:r>
      <w:r w:rsidRPr="0043425C">
        <w:t xml:space="preserve"> notificó a través del SAIMEX la siguiente respuesta:</w:t>
      </w:r>
    </w:p>
    <w:p w14:paraId="1F1CEF25" w14:textId="77777777" w:rsidR="0040797A" w:rsidRPr="0043425C" w:rsidRDefault="00B12DEC" w:rsidP="004A6284">
      <w:pPr>
        <w:pStyle w:val="Puesto"/>
        <w:ind w:left="851" w:right="822" w:firstLine="0"/>
        <w:rPr>
          <w:color w:val="auto"/>
        </w:rPr>
      </w:pPr>
      <w:r w:rsidRPr="0043425C">
        <w:rPr>
          <w:color w:val="auto"/>
        </w:rPr>
        <w:t>“</w:t>
      </w:r>
      <w:r w:rsidR="0040797A" w:rsidRPr="0043425C">
        <w:rPr>
          <w:color w:val="auto"/>
        </w:rPr>
        <w:t>Folio de la solicitud: 00183/JOSERIN/IP/2025</w:t>
      </w:r>
    </w:p>
    <w:p w14:paraId="72ABF243" w14:textId="77777777" w:rsidR="006837A8" w:rsidRPr="0043425C" w:rsidRDefault="006837A8" w:rsidP="004A6284"/>
    <w:p w14:paraId="340F1032" w14:textId="77777777" w:rsidR="0040797A" w:rsidRPr="0043425C" w:rsidRDefault="0040797A" w:rsidP="004A6284">
      <w:pPr>
        <w:pStyle w:val="Puesto"/>
        <w:ind w:left="851" w:right="822" w:firstLine="0"/>
        <w:rPr>
          <w:color w:val="auto"/>
        </w:rPr>
      </w:pPr>
      <w:r w:rsidRPr="0043425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8411CE" w14:textId="77777777" w:rsidR="006837A8" w:rsidRPr="0043425C" w:rsidRDefault="006837A8" w:rsidP="004A6284"/>
    <w:p w14:paraId="40ED1905" w14:textId="0526D404" w:rsidR="0040797A" w:rsidRPr="0043425C" w:rsidRDefault="0040797A" w:rsidP="004A6284">
      <w:pPr>
        <w:pStyle w:val="Puesto"/>
        <w:ind w:left="851" w:right="822" w:firstLine="0"/>
        <w:rPr>
          <w:color w:val="auto"/>
        </w:rPr>
      </w:pPr>
      <w:r w:rsidRPr="0043425C">
        <w:rPr>
          <w:color w:val="auto"/>
        </w:rPr>
        <w:t xml:space="preserve">Con fundamento en lo dispuesto el artículo 59 fracciones II y III de la Ley de Transparencia y Acceso a la Información Pública del Estado de México y Municipios y en atención a su oficio SJR/MM/DPIPE/UT/396/2025, en el cual requiere información mediante la solicitud 00183/JOSERIN/IP/2025; al respecto me permito informar a Usted lo siguiente: Derivado de la búsqueda minuciosa en los archivos que obran dentro de esta Dirección, así como en el expediente del ex servidor público </w:t>
      </w:r>
      <w:r w:rsidR="006862F9">
        <w:rPr>
          <w:color w:val="auto"/>
        </w:rPr>
        <w:t>XXXXXX XXXXXXXXX XXXXXX</w:t>
      </w:r>
      <w:r w:rsidRPr="0043425C">
        <w:rPr>
          <w:color w:val="auto"/>
        </w:rPr>
        <w:t xml:space="preserve">, no se encontró el movimiento de baja con clave de ISSEMyM </w:t>
      </w:r>
      <w:bookmarkStart w:id="10" w:name="_GoBack"/>
      <w:r w:rsidR="006862F9">
        <w:rPr>
          <w:color w:val="auto"/>
        </w:rPr>
        <w:t>XXXXXXX</w:t>
      </w:r>
      <w:bookmarkEnd w:id="10"/>
      <w:r w:rsidRPr="0043425C">
        <w:rPr>
          <w:color w:val="auto"/>
        </w:rPr>
        <w:t xml:space="preserve">, de fecha 31 de diciembre del 2018, motivo por el cual no es posible enviar la información solicitada. Artículo 12. Quienes generen, recopile, administren, manejen, procesen, archiven o conserven información pública serán responsables de la misma en los términos a las disposiciones jurídicas aplicables. Los sujetos obligados solo proporcionarán la información que se les requiera y que obre en sus archivos y en el estado en que está se encuentre. La obligación de proporcionar información no comprende, el procesamiento de la misma, </w:t>
      </w:r>
      <w:r w:rsidRPr="0043425C">
        <w:rPr>
          <w:color w:val="auto"/>
        </w:rPr>
        <w:lastRenderedPageBreak/>
        <w:t>ni el presentarla conforme al interés del solicitante; no estarán obligados a generarla, resumirla, efectuar cálculos o practicar investigaciones (…)”. Sin otro particular, reciba un cordial saludo.</w:t>
      </w:r>
    </w:p>
    <w:p w14:paraId="4979D9DE" w14:textId="77777777" w:rsidR="006837A8" w:rsidRPr="0043425C" w:rsidRDefault="006837A8" w:rsidP="004A6284"/>
    <w:p w14:paraId="62E599E6" w14:textId="77777777" w:rsidR="0040797A" w:rsidRPr="0043425C" w:rsidRDefault="0040797A" w:rsidP="004A6284">
      <w:pPr>
        <w:pStyle w:val="Puesto"/>
        <w:ind w:left="851" w:right="822" w:firstLine="0"/>
        <w:rPr>
          <w:color w:val="auto"/>
        </w:rPr>
      </w:pPr>
      <w:r w:rsidRPr="0043425C">
        <w:rPr>
          <w:color w:val="auto"/>
        </w:rPr>
        <w:t>ATENTAMENTE</w:t>
      </w:r>
    </w:p>
    <w:p w14:paraId="62A7F848" w14:textId="77777777" w:rsidR="006837A8" w:rsidRPr="0043425C" w:rsidRDefault="006837A8" w:rsidP="004A6284"/>
    <w:p w14:paraId="3F04425E" w14:textId="1D4DF887" w:rsidR="00BA58B0" w:rsidRPr="0043425C" w:rsidRDefault="0040797A" w:rsidP="004A6284">
      <w:pPr>
        <w:pStyle w:val="Puesto"/>
        <w:ind w:left="851" w:right="822" w:firstLine="0"/>
        <w:rPr>
          <w:i w:val="0"/>
          <w:color w:val="auto"/>
        </w:rPr>
      </w:pPr>
      <w:r w:rsidRPr="0043425C">
        <w:rPr>
          <w:color w:val="auto"/>
        </w:rPr>
        <w:t>I.S.C. MARCO ANTONIO MARIN ESQUIVEL</w:t>
      </w:r>
      <w:r w:rsidR="00B12DEC" w:rsidRPr="0043425C">
        <w:rPr>
          <w:color w:val="auto"/>
        </w:rPr>
        <w:t xml:space="preserve">” (Sic) </w:t>
      </w:r>
    </w:p>
    <w:p w14:paraId="2172D8E8" w14:textId="77777777" w:rsidR="00BA58B0" w:rsidRPr="0043425C" w:rsidRDefault="00BA58B0" w:rsidP="004A6284">
      <w:pPr>
        <w:ind w:right="-28"/>
      </w:pPr>
    </w:p>
    <w:p w14:paraId="4DF7FE11" w14:textId="77777777" w:rsidR="00C94DFB" w:rsidRPr="0043425C" w:rsidRDefault="00B12DEC" w:rsidP="004A6284">
      <w:pPr>
        <w:ind w:right="-28"/>
      </w:pPr>
      <w:r w:rsidRPr="0043425C">
        <w:t>A</w:t>
      </w:r>
      <w:r w:rsidR="0082361F" w:rsidRPr="0043425C">
        <w:t xml:space="preserve"> su respuesta </w:t>
      </w:r>
      <w:r w:rsidRPr="0043425C">
        <w:rPr>
          <w:b/>
        </w:rPr>
        <w:t xml:space="preserve">EL SUJETO OBLIGADO </w:t>
      </w:r>
      <w:r w:rsidRPr="0043425C">
        <w:t xml:space="preserve">adjuntó </w:t>
      </w:r>
      <w:r w:rsidR="001505A2" w:rsidRPr="0043425C">
        <w:t>l</w:t>
      </w:r>
      <w:r w:rsidR="00C94DFB" w:rsidRPr="0043425C">
        <w:t>os siguientes</w:t>
      </w:r>
      <w:r w:rsidR="0059201D" w:rsidRPr="0043425C">
        <w:t xml:space="preserve"> </w:t>
      </w:r>
      <w:r w:rsidRPr="0043425C">
        <w:t>archivo</w:t>
      </w:r>
      <w:r w:rsidR="00C94DFB" w:rsidRPr="0043425C">
        <w:t>s</w:t>
      </w:r>
      <w:r w:rsidRPr="0043425C">
        <w:t xml:space="preserve"> electr</w:t>
      </w:r>
      <w:r w:rsidR="001505A2" w:rsidRPr="0043425C">
        <w:t>ónico</w:t>
      </w:r>
      <w:r w:rsidR="00C94DFB" w:rsidRPr="0043425C">
        <w:t>s:</w:t>
      </w:r>
    </w:p>
    <w:p w14:paraId="3DDABE73" w14:textId="77777777" w:rsidR="00C94DFB" w:rsidRPr="0043425C" w:rsidRDefault="00C94DFB" w:rsidP="004A6284">
      <w:pPr>
        <w:ind w:right="-28"/>
      </w:pPr>
    </w:p>
    <w:p w14:paraId="0BC90750" w14:textId="4C22F679" w:rsidR="00C94DFB" w:rsidRPr="0043425C" w:rsidRDefault="00B12DEC" w:rsidP="004A6284">
      <w:pPr>
        <w:pStyle w:val="Prrafodelista"/>
        <w:numPr>
          <w:ilvl w:val="0"/>
          <w:numId w:val="21"/>
        </w:numPr>
        <w:ind w:right="-28"/>
      </w:pPr>
      <w:r w:rsidRPr="0043425C">
        <w:t>“</w:t>
      </w:r>
      <w:r w:rsidR="0040797A" w:rsidRPr="0043425C">
        <w:rPr>
          <w:b/>
          <w:i/>
        </w:rPr>
        <w:t>JOSERIN-00183-2025.pdf</w:t>
      </w:r>
      <w:r w:rsidRPr="0043425C">
        <w:rPr>
          <w:b/>
          <w:i/>
        </w:rPr>
        <w:t xml:space="preserve">”, </w:t>
      </w:r>
      <w:r w:rsidR="001505A2" w:rsidRPr="0043425C">
        <w:t>de cuyo contenido</w:t>
      </w:r>
      <w:r w:rsidR="00017489" w:rsidRPr="0043425C">
        <w:t xml:space="preserve"> se advierte el oficio</w:t>
      </w:r>
      <w:r w:rsidR="00724FE8" w:rsidRPr="0043425C">
        <w:t xml:space="preserve"> </w:t>
      </w:r>
      <w:r w:rsidR="00A64434" w:rsidRPr="0043425C">
        <w:t>de</w:t>
      </w:r>
      <w:r w:rsidR="00724FE8" w:rsidRPr="0043425C">
        <w:t xml:space="preserve"> número</w:t>
      </w:r>
      <w:r w:rsidR="00A64434" w:rsidRPr="0043425C">
        <w:t xml:space="preserve"> </w:t>
      </w:r>
      <w:r w:rsidR="0040797A" w:rsidRPr="0043425C">
        <w:t>SJR/MM/DA/2789/2025</w:t>
      </w:r>
      <w:r w:rsidR="00017489" w:rsidRPr="0043425C">
        <w:t xml:space="preserve">, del </w:t>
      </w:r>
      <w:r w:rsidR="0040797A" w:rsidRPr="0043425C">
        <w:t>veintinueve de agosto</w:t>
      </w:r>
      <w:r w:rsidR="00017489" w:rsidRPr="0043425C">
        <w:t xml:space="preserve"> de dos mil veinticinco dirigido al</w:t>
      </w:r>
      <w:r w:rsidR="00724FE8" w:rsidRPr="0043425C">
        <w:t xml:space="preserve"> </w:t>
      </w:r>
      <w:r w:rsidR="00017489" w:rsidRPr="0043425C">
        <w:t xml:space="preserve">Titular de la Unidad </w:t>
      </w:r>
      <w:r w:rsidR="00A64434" w:rsidRPr="0043425C">
        <w:t xml:space="preserve">Transparencia, mediante el cual el </w:t>
      </w:r>
      <w:r w:rsidR="0040797A" w:rsidRPr="0043425C">
        <w:t>Director de Administración de manera sustancial informa que después de una búsqueda minuciosa dentro de esta Dirección, así como en el expediente del ex servidor público, no se encontró el movimiento de baja de fecha 31 de diciembre de 2018, motivo por el cual no se puede enviar la información</w:t>
      </w:r>
      <w:r w:rsidR="00524263" w:rsidRPr="0043425C">
        <w:t>.</w:t>
      </w:r>
      <w:r w:rsidR="0040797A" w:rsidRPr="0043425C">
        <w:t xml:space="preserve"> </w:t>
      </w:r>
    </w:p>
    <w:p w14:paraId="04E91A0F" w14:textId="77777777" w:rsidR="009619ED" w:rsidRPr="0043425C" w:rsidRDefault="009619ED" w:rsidP="004A6284">
      <w:pPr>
        <w:pStyle w:val="Prrafodelista"/>
        <w:ind w:right="-28"/>
      </w:pPr>
    </w:p>
    <w:p w14:paraId="2EB9A86D" w14:textId="066D8261" w:rsidR="007D49F7" w:rsidRPr="0043425C" w:rsidRDefault="00C94DFB" w:rsidP="004A6284">
      <w:pPr>
        <w:pStyle w:val="Prrafodelista"/>
        <w:numPr>
          <w:ilvl w:val="0"/>
          <w:numId w:val="21"/>
        </w:numPr>
        <w:ind w:right="-28"/>
        <w:rPr>
          <w:lang w:val="pl-PL"/>
        </w:rPr>
      </w:pPr>
      <w:r w:rsidRPr="0043425C">
        <w:rPr>
          <w:b/>
          <w:i/>
        </w:rPr>
        <w:t>“</w:t>
      </w:r>
      <w:r w:rsidR="0040797A" w:rsidRPr="0043425C">
        <w:rPr>
          <w:b/>
          <w:i/>
        </w:rPr>
        <w:t>ACTA DECIMA SESION.pdf</w:t>
      </w:r>
      <w:r w:rsidRPr="0043425C">
        <w:rPr>
          <w:b/>
          <w:i/>
        </w:rPr>
        <w:t>”</w:t>
      </w:r>
      <w:r w:rsidRPr="0043425C">
        <w:t xml:space="preserve">, </w:t>
      </w:r>
      <w:r w:rsidR="00191782" w:rsidRPr="0043425C">
        <w:t xml:space="preserve">archivo que consiste en el </w:t>
      </w:r>
      <w:r w:rsidR="0040797A" w:rsidRPr="0043425C">
        <w:t>Acta de l</w:t>
      </w:r>
      <w:r w:rsidR="005261A7" w:rsidRPr="0043425C">
        <w:t>a Décima Sesión Extraordinaria del Comité de Transparencia del a</w:t>
      </w:r>
      <w:r w:rsidR="0040797A" w:rsidRPr="0043425C">
        <w:t>ño 2025 Del Ayuntamiento De San José Del Rincón</w:t>
      </w:r>
      <w:r w:rsidR="005261A7" w:rsidRPr="0043425C">
        <w:t>, mediante la cual se aprobó la declaratoria de inexistencia de información de la respuesta a la solicitud de información con número de folio 00183/JOSERIN/IP/2025 a través del acuerdo se número 02/CT/S-EXTRAORDINARIA/10/2025</w:t>
      </w:r>
      <w:r w:rsidR="0040797A" w:rsidRPr="0043425C">
        <w:t>.</w:t>
      </w:r>
    </w:p>
    <w:p w14:paraId="2EEF3B25" w14:textId="77777777" w:rsidR="007D49F7" w:rsidRPr="0043425C" w:rsidRDefault="007D49F7" w:rsidP="004A6284">
      <w:pPr>
        <w:pStyle w:val="Prrafodelista"/>
        <w:rPr>
          <w:lang w:val="pl-PL"/>
        </w:rPr>
      </w:pPr>
    </w:p>
    <w:p w14:paraId="5C1F4EBC" w14:textId="77777777" w:rsidR="00BA58B0" w:rsidRPr="0043425C" w:rsidRDefault="00B12DEC" w:rsidP="004A6284">
      <w:pPr>
        <w:pStyle w:val="Ttulo2"/>
        <w:jc w:val="left"/>
      </w:pPr>
      <w:bookmarkStart w:id="11" w:name="_Toc211450613"/>
      <w:r w:rsidRPr="0043425C">
        <w:lastRenderedPageBreak/>
        <w:t>DEL RECURSO DE REVISIÓN</w:t>
      </w:r>
      <w:r w:rsidR="00017489" w:rsidRPr="0043425C">
        <w:t>2</w:t>
      </w:r>
      <w:bookmarkEnd w:id="11"/>
    </w:p>
    <w:p w14:paraId="381C6FB1" w14:textId="77777777" w:rsidR="00BA58B0" w:rsidRPr="0043425C" w:rsidRDefault="00B12DEC" w:rsidP="004A6284">
      <w:pPr>
        <w:pStyle w:val="Ttulo3"/>
      </w:pPr>
      <w:bookmarkStart w:id="12" w:name="_Toc211450614"/>
      <w:r w:rsidRPr="0043425C">
        <w:t>a) Interposición del Recurso de Revisión</w:t>
      </w:r>
      <w:bookmarkEnd w:id="12"/>
    </w:p>
    <w:p w14:paraId="35F5BAA2" w14:textId="722DC082" w:rsidR="00BA58B0" w:rsidRPr="0043425C" w:rsidRDefault="00B12DEC" w:rsidP="004A6284">
      <w:pPr>
        <w:ind w:right="-28"/>
      </w:pPr>
      <w:r w:rsidRPr="0043425C">
        <w:t xml:space="preserve">El </w:t>
      </w:r>
      <w:r w:rsidR="005261A7" w:rsidRPr="0043425C">
        <w:rPr>
          <w:b/>
        </w:rPr>
        <w:t>ocho de septiembre</w:t>
      </w:r>
      <w:r w:rsidRPr="0043425C">
        <w:rPr>
          <w:b/>
        </w:rPr>
        <w:t xml:space="preserve"> de dos mil veinticinco,</w:t>
      </w:r>
      <w:r w:rsidRPr="0043425C">
        <w:t xml:space="preserve"> </w:t>
      </w:r>
      <w:r w:rsidRPr="0043425C">
        <w:rPr>
          <w:b/>
        </w:rPr>
        <w:t>LA PARTE RECURRENTE</w:t>
      </w:r>
      <w:r w:rsidRPr="0043425C">
        <w:t xml:space="preserve"> interpuso el recurso de revisión en contra de la respuesta emitida por el </w:t>
      </w:r>
      <w:r w:rsidRPr="0043425C">
        <w:rPr>
          <w:b/>
        </w:rPr>
        <w:t>SUJETO OBLIGADO</w:t>
      </w:r>
      <w:r w:rsidRPr="0043425C">
        <w:t xml:space="preserve">, mismo que fue registrado en el </w:t>
      </w:r>
      <w:r w:rsidRPr="0043425C">
        <w:rPr>
          <w:b/>
        </w:rPr>
        <w:t>SAIMEX</w:t>
      </w:r>
      <w:r w:rsidRPr="0043425C">
        <w:t xml:space="preserve"> con el número de expediente </w:t>
      </w:r>
      <w:r w:rsidR="004F6C6C" w:rsidRPr="0043425C">
        <w:rPr>
          <w:b/>
        </w:rPr>
        <w:t>10532/INFOEM/IP/RR/2025</w:t>
      </w:r>
      <w:r w:rsidRPr="0043425C">
        <w:t>, y en el cual manifestó lo siguiente:</w:t>
      </w:r>
    </w:p>
    <w:p w14:paraId="2F05B0D2" w14:textId="77777777" w:rsidR="00BA58B0" w:rsidRPr="0043425C" w:rsidRDefault="00BA58B0" w:rsidP="004A6284">
      <w:pPr>
        <w:tabs>
          <w:tab w:val="left" w:pos="4667"/>
        </w:tabs>
        <w:ind w:right="539"/>
      </w:pPr>
    </w:p>
    <w:p w14:paraId="085D2536" w14:textId="77777777" w:rsidR="00BA58B0" w:rsidRPr="0043425C" w:rsidRDefault="00B12DEC" w:rsidP="004A6284">
      <w:pPr>
        <w:tabs>
          <w:tab w:val="left" w:pos="4667"/>
        </w:tabs>
        <w:ind w:left="567" w:right="539"/>
        <w:rPr>
          <w:b/>
        </w:rPr>
      </w:pPr>
      <w:r w:rsidRPr="0043425C">
        <w:rPr>
          <w:b/>
        </w:rPr>
        <w:t>ACTO IMPUGNADO</w:t>
      </w:r>
    </w:p>
    <w:p w14:paraId="78692F94" w14:textId="4ED8C463" w:rsidR="00BA58B0" w:rsidRPr="0043425C" w:rsidRDefault="00B12DEC" w:rsidP="004A6284">
      <w:pPr>
        <w:pStyle w:val="Puesto"/>
        <w:ind w:left="851" w:right="822" w:firstLine="0"/>
        <w:rPr>
          <w:color w:val="auto"/>
        </w:rPr>
      </w:pPr>
      <w:r w:rsidRPr="0043425C">
        <w:rPr>
          <w:color w:val="auto"/>
        </w:rPr>
        <w:t>“</w:t>
      </w:r>
      <w:r w:rsidR="005261A7" w:rsidRPr="0043425C">
        <w:rPr>
          <w:color w:val="auto"/>
        </w:rPr>
        <w:t>Declaración de la inexistencia de la información.</w:t>
      </w:r>
      <w:r w:rsidRPr="0043425C">
        <w:rPr>
          <w:color w:val="auto"/>
        </w:rPr>
        <w:t>” (Sic).</w:t>
      </w:r>
    </w:p>
    <w:p w14:paraId="7D1F4ED3" w14:textId="77777777" w:rsidR="009619ED" w:rsidRPr="0043425C" w:rsidRDefault="009619ED" w:rsidP="004A6284">
      <w:pPr>
        <w:tabs>
          <w:tab w:val="left" w:pos="4667"/>
        </w:tabs>
        <w:ind w:left="567" w:right="539"/>
        <w:rPr>
          <w:b/>
        </w:rPr>
      </w:pPr>
    </w:p>
    <w:p w14:paraId="6FCB600D" w14:textId="77777777" w:rsidR="00BA58B0" w:rsidRPr="0043425C" w:rsidRDefault="00B12DEC" w:rsidP="004A6284">
      <w:pPr>
        <w:tabs>
          <w:tab w:val="left" w:pos="4667"/>
        </w:tabs>
        <w:ind w:left="567" w:right="539"/>
        <w:rPr>
          <w:b/>
        </w:rPr>
      </w:pPr>
      <w:r w:rsidRPr="0043425C">
        <w:rPr>
          <w:b/>
        </w:rPr>
        <w:t>RAZONES O MOTIVOS DE LA INCONFORMIDAD</w:t>
      </w:r>
      <w:r w:rsidRPr="0043425C">
        <w:rPr>
          <w:b/>
        </w:rPr>
        <w:tab/>
      </w:r>
    </w:p>
    <w:p w14:paraId="6830B626" w14:textId="38C84B86" w:rsidR="00BA58B0" w:rsidRPr="0043425C" w:rsidRDefault="00B12DEC" w:rsidP="004A6284">
      <w:pPr>
        <w:pStyle w:val="Puesto"/>
        <w:ind w:left="851" w:right="822" w:firstLine="0"/>
        <w:rPr>
          <w:color w:val="auto"/>
        </w:rPr>
      </w:pPr>
      <w:r w:rsidRPr="0043425C">
        <w:rPr>
          <w:color w:val="auto"/>
        </w:rPr>
        <w:t>“</w:t>
      </w:r>
      <w:r w:rsidR="005261A7" w:rsidRPr="0043425C">
        <w:rPr>
          <w:color w:val="auto"/>
        </w:rPr>
        <w:t>Presenta el oficio de que la infomación no se encuentra, sin embargo no justifoca la razón, en términos de la ley de transparencia local, tampoco menciona o adjunta algún documento donde compruebe que en efecto se hizo una búsqueda exaustiva ni adjunta el documento en que se notifica al órgano interno de control.</w:t>
      </w:r>
      <w:r w:rsidRPr="0043425C">
        <w:rPr>
          <w:color w:val="auto"/>
        </w:rPr>
        <w:t>” (Sic).</w:t>
      </w:r>
    </w:p>
    <w:p w14:paraId="77062B45" w14:textId="77777777" w:rsidR="005261A7" w:rsidRPr="0043425C" w:rsidRDefault="005261A7" w:rsidP="004A6284"/>
    <w:p w14:paraId="461A2BD0" w14:textId="77777777" w:rsidR="00BA58B0" w:rsidRPr="0043425C" w:rsidRDefault="00B12DEC" w:rsidP="004A6284">
      <w:pPr>
        <w:pStyle w:val="Ttulo3"/>
      </w:pPr>
      <w:bookmarkStart w:id="13" w:name="_Toc211450615"/>
      <w:r w:rsidRPr="0043425C">
        <w:t>b) Turno del Recurso de Revisión</w:t>
      </w:r>
      <w:bookmarkEnd w:id="13"/>
    </w:p>
    <w:p w14:paraId="750F9E41" w14:textId="408CECE6" w:rsidR="00BA58B0" w:rsidRPr="0043425C" w:rsidRDefault="00B12DEC" w:rsidP="004A6284">
      <w:r w:rsidRPr="0043425C">
        <w:t>Con fundamento en el artículo 185, fracción I de la Ley de Transparencia y Acceso a la Información Pública del Estado de México y Municipios, el</w:t>
      </w:r>
      <w:r w:rsidRPr="0043425C">
        <w:rPr>
          <w:b/>
        </w:rPr>
        <w:t xml:space="preserve"> </w:t>
      </w:r>
      <w:r w:rsidR="005261A7" w:rsidRPr="0043425C">
        <w:rPr>
          <w:b/>
        </w:rPr>
        <w:t>ocho de septiembre</w:t>
      </w:r>
      <w:r w:rsidR="007D49F7" w:rsidRPr="0043425C">
        <w:rPr>
          <w:b/>
        </w:rPr>
        <w:t xml:space="preserve"> </w:t>
      </w:r>
      <w:r w:rsidRPr="0043425C">
        <w:rPr>
          <w:b/>
        </w:rPr>
        <w:t>de dos mil veinticinco,</w:t>
      </w:r>
      <w:r w:rsidRPr="0043425C">
        <w:t xml:space="preserve"> se turnó el recurso de revisión a través del SAIMEX a la </w:t>
      </w:r>
      <w:r w:rsidRPr="0043425C">
        <w:rPr>
          <w:b/>
        </w:rPr>
        <w:t>Comisionada Sharon Cristina Morales Martínez</w:t>
      </w:r>
      <w:r w:rsidRPr="0043425C">
        <w:t xml:space="preserve">, a efecto de decretar su admisión o desechamiento. </w:t>
      </w:r>
    </w:p>
    <w:p w14:paraId="20BC170B" w14:textId="77777777" w:rsidR="00752495" w:rsidRPr="0043425C" w:rsidRDefault="00752495" w:rsidP="004A6284"/>
    <w:p w14:paraId="73371FB1" w14:textId="77777777" w:rsidR="00BA58B0" w:rsidRPr="0043425C" w:rsidRDefault="00B12DEC" w:rsidP="004A6284">
      <w:pPr>
        <w:pStyle w:val="Ttulo3"/>
      </w:pPr>
      <w:bookmarkStart w:id="14" w:name="_Toc211450616"/>
      <w:r w:rsidRPr="0043425C">
        <w:t>c) Admisión del Recurso de Revisión</w:t>
      </w:r>
      <w:bookmarkEnd w:id="14"/>
    </w:p>
    <w:p w14:paraId="24C7C1B6" w14:textId="2003BFFA" w:rsidR="00BA58B0" w:rsidRPr="0043425C" w:rsidRDefault="00B12DEC" w:rsidP="004A6284">
      <w:r w:rsidRPr="0043425C">
        <w:t xml:space="preserve">El </w:t>
      </w:r>
      <w:r w:rsidR="005261A7" w:rsidRPr="0043425C">
        <w:rPr>
          <w:b/>
        </w:rPr>
        <w:t>diez de septiembre</w:t>
      </w:r>
      <w:r w:rsidRPr="0043425C">
        <w:rPr>
          <w:b/>
        </w:rPr>
        <w:t xml:space="preserve"> de dos mil veinticinco,</w:t>
      </w:r>
      <w:r w:rsidRPr="0043425C">
        <w:t xml:space="preserve"> se acordó la admisión a trámite del Recurso de Revisión y se integró el expediente respectivo, mismo que se puso a disposición de las partes para que, en un plazo de siete días hábiles, manifestaran lo que a su derecho conviniera, </w:t>
      </w:r>
      <w:r w:rsidRPr="0043425C">
        <w:lastRenderedPageBreak/>
        <w:t>conforme a lo dispuesto por el artículo 185, fracción II de la Ley de Transparencia y Acceso a la Información Pública del Estado de México y Municipios.</w:t>
      </w:r>
    </w:p>
    <w:p w14:paraId="1E5F3910" w14:textId="77777777" w:rsidR="00BA58B0" w:rsidRPr="0043425C" w:rsidRDefault="00BA58B0" w:rsidP="004A6284"/>
    <w:p w14:paraId="461CDB67" w14:textId="77777777" w:rsidR="00BA58B0" w:rsidRPr="0043425C" w:rsidRDefault="00B12DEC" w:rsidP="004A6284">
      <w:pPr>
        <w:pStyle w:val="Ttulo3"/>
      </w:pPr>
      <w:bookmarkStart w:id="15" w:name="_Toc211450617"/>
      <w:r w:rsidRPr="0043425C">
        <w:t>d) Informe Justificado del Sujeto Obligado</w:t>
      </w:r>
      <w:bookmarkEnd w:id="15"/>
    </w:p>
    <w:p w14:paraId="3D5E976B" w14:textId="77777777" w:rsidR="00863B7D" w:rsidRPr="0043425C" w:rsidRDefault="00863B7D" w:rsidP="004A6284">
      <w:pPr>
        <w:spacing w:after="240"/>
      </w:pPr>
      <w:r w:rsidRPr="0043425C">
        <w:rPr>
          <w:b/>
        </w:rPr>
        <w:t xml:space="preserve">EL SUJETO OBLIGADO </w:t>
      </w:r>
      <w:r w:rsidRPr="0043425C">
        <w:t>no rindió su informe justificado dentro del término legalmente concedido para tal efecto.</w:t>
      </w:r>
    </w:p>
    <w:p w14:paraId="5B0BB8AF" w14:textId="77777777" w:rsidR="00BA58B0" w:rsidRPr="0043425C" w:rsidRDefault="00B12DEC" w:rsidP="004A6284">
      <w:pPr>
        <w:pStyle w:val="Ttulo3"/>
      </w:pPr>
      <w:bookmarkStart w:id="16" w:name="_Toc211450618"/>
      <w:r w:rsidRPr="0043425C">
        <w:t>e) Manifestaciones de la Parte Recurrente</w:t>
      </w:r>
      <w:bookmarkEnd w:id="16"/>
    </w:p>
    <w:p w14:paraId="6BB90449" w14:textId="77777777" w:rsidR="00BA58B0" w:rsidRPr="0043425C" w:rsidRDefault="00B12DEC" w:rsidP="004A6284">
      <w:pPr>
        <w:spacing w:after="240"/>
      </w:pPr>
      <w:r w:rsidRPr="0043425C">
        <w:rPr>
          <w:b/>
        </w:rPr>
        <w:t xml:space="preserve">LA PARTE RECURRENTE </w:t>
      </w:r>
      <w:r w:rsidRPr="0043425C">
        <w:t>no realizó manifestación alguna dentro del término legalmente concedido para tal efecto, ni presentó pruebas o alegatos.</w:t>
      </w:r>
    </w:p>
    <w:p w14:paraId="4CEB8E10" w14:textId="4CB4E62F" w:rsidR="00BA58B0" w:rsidRPr="0043425C" w:rsidRDefault="00B12DEC" w:rsidP="004A6284">
      <w:pPr>
        <w:pStyle w:val="Ttulo3"/>
      </w:pPr>
      <w:bookmarkStart w:id="17" w:name="_Toc211450619"/>
      <w:r w:rsidRPr="0043425C">
        <w:t>f) Cierre de instrucción</w:t>
      </w:r>
      <w:bookmarkEnd w:id="17"/>
    </w:p>
    <w:p w14:paraId="03B5EB29" w14:textId="17CFC921" w:rsidR="00BA58B0" w:rsidRPr="0043425C" w:rsidRDefault="00B12DEC" w:rsidP="004A6284">
      <w:r w:rsidRPr="0043425C">
        <w:t xml:space="preserve">Al no existir diligencias pendientes por desahogar, el </w:t>
      </w:r>
      <w:r w:rsidR="00595659" w:rsidRPr="0043425C">
        <w:rPr>
          <w:b/>
        </w:rPr>
        <w:t>nueve</w:t>
      </w:r>
      <w:r w:rsidR="005261A7" w:rsidRPr="0043425C">
        <w:rPr>
          <w:b/>
        </w:rPr>
        <w:t xml:space="preserve"> </w:t>
      </w:r>
      <w:r w:rsidR="003A23A8" w:rsidRPr="0043425C">
        <w:rPr>
          <w:b/>
        </w:rPr>
        <w:t>de octubre</w:t>
      </w:r>
      <w:r w:rsidRPr="0043425C">
        <w:rPr>
          <w:b/>
        </w:rPr>
        <w:t xml:space="preserve"> de dos mil veinticinco,</w:t>
      </w:r>
      <w:r w:rsidRPr="0043425C">
        <w:t xml:space="preserve"> la </w:t>
      </w:r>
      <w:r w:rsidRPr="0043425C">
        <w:rPr>
          <w:b/>
        </w:rPr>
        <w:t xml:space="preserve">Comisionada Sharon Cristina Morales Martínez </w:t>
      </w:r>
      <w:r w:rsidRPr="004342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01565F0" w14:textId="77777777" w:rsidR="00300A1A" w:rsidRPr="0043425C" w:rsidRDefault="00300A1A" w:rsidP="004A6284"/>
    <w:p w14:paraId="16D7CA0F" w14:textId="77777777" w:rsidR="00BA58B0" w:rsidRPr="0043425C" w:rsidRDefault="00B12DEC" w:rsidP="004A6284">
      <w:pPr>
        <w:pStyle w:val="Ttulo1"/>
      </w:pPr>
      <w:bookmarkStart w:id="18" w:name="_Toc211450620"/>
      <w:r w:rsidRPr="0043425C">
        <w:t>CONSIDERANDOS</w:t>
      </w:r>
      <w:bookmarkEnd w:id="18"/>
    </w:p>
    <w:p w14:paraId="6F6F5FF0" w14:textId="77777777" w:rsidR="00BA58B0" w:rsidRPr="0043425C" w:rsidRDefault="00BA58B0" w:rsidP="004A6284">
      <w:pPr>
        <w:jc w:val="center"/>
        <w:rPr>
          <w:b/>
        </w:rPr>
      </w:pPr>
    </w:p>
    <w:p w14:paraId="1EC066C3" w14:textId="77777777" w:rsidR="00BA58B0" w:rsidRPr="0043425C" w:rsidRDefault="00B12DEC" w:rsidP="004A6284">
      <w:pPr>
        <w:pStyle w:val="Ttulo2"/>
      </w:pPr>
      <w:bookmarkStart w:id="19" w:name="_Toc211450621"/>
      <w:r w:rsidRPr="0043425C">
        <w:lastRenderedPageBreak/>
        <w:t>PRIMERO. Procedibilidad</w:t>
      </w:r>
      <w:bookmarkEnd w:id="19"/>
    </w:p>
    <w:p w14:paraId="563301F5" w14:textId="77777777" w:rsidR="00BA58B0" w:rsidRPr="0043425C" w:rsidRDefault="00B12DEC" w:rsidP="004A6284">
      <w:pPr>
        <w:pStyle w:val="Ttulo3"/>
      </w:pPr>
      <w:bookmarkStart w:id="20" w:name="_Toc211450622"/>
      <w:r w:rsidRPr="0043425C">
        <w:t>a) Competencia del Instituto</w:t>
      </w:r>
      <w:bookmarkEnd w:id="20"/>
    </w:p>
    <w:p w14:paraId="7DDEF9E7" w14:textId="77777777" w:rsidR="00BA58B0" w:rsidRPr="0043425C" w:rsidRDefault="00B12DEC" w:rsidP="004A6284">
      <w:r w:rsidRPr="0043425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261451" w14:textId="77777777" w:rsidR="00BA58B0" w:rsidRPr="0043425C" w:rsidRDefault="00BA58B0" w:rsidP="004A6284"/>
    <w:p w14:paraId="45E65BF0" w14:textId="77777777" w:rsidR="00BA58B0" w:rsidRPr="0043425C" w:rsidRDefault="00B12DEC" w:rsidP="004A6284">
      <w:pPr>
        <w:pStyle w:val="Ttulo3"/>
      </w:pPr>
      <w:bookmarkStart w:id="21" w:name="_Toc211450623"/>
      <w:r w:rsidRPr="0043425C">
        <w:t>b) Legitimidad de la parte recurrente</w:t>
      </w:r>
      <w:bookmarkEnd w:id="21"/>
    </w:p>
    <w:p w14:paraId="3161F169" w14:textId="77777777" w:rsidR="00BA58B0" w:rsidRPr="0043425C" w:rsidRDefault="00B12DEC" w:rsidP="004A6284">
      <w:r w:rsidRPr="0043425C">
        <w:t>El recurso de revisión fue interpuesto por parte legítima, ya que se presentó por la misma persona que formuló la solicitud de acceso a la Información Pública,</w:t>
      </w:r>
      <w:r w:rsidRPr="0043425C">
        <w:rPr>
          <w:b/>
        </w:rPr>
        <w:t xml:space="preserve"> </w:t>
      </w:r>
      <w:r w:rsidRPr="0043425C">
        <w:t>debido a que los datos de acceso</w:t>
      </w:r>
      <w:r w:rsidRPr="0043425C">
        <w:rPr>
          <w:b/>
        </w:rPr>
        <w:t xml:space="preserve"> SAIMEX</w:t>
      </w:r>
      <w:r w:rsidRPr="0043425C">
        <w:t xml:space="preserve"> son personales e irrepetibles.</w:t>
      </w:r>
    </w:p>
    <w:p w14:paraId="15772037" w14:textId="77777777" w:rsidR="00BA58B0" w:rsidRPr="0043425C" w:rsidRDefault="00BA58B0" w:rsidP="004A6284"/>
    <w:p w14:paraId="161B9402" w14:textId="77777777" w:rsidR="00BA58B0" w:rsidRPr="0043425C" w:rsidRDefault="00B12DEC" w:rsidP="004A6284">
      <w:pPr>
        <w:pStyle w:val="Ttulo3"/>
      </w:pPr>
      <w:bookmarkStart w:id="22" w:name="_Toc211450624"/>
      <w:r w:rsidRPr="0043425C">
        <w:t>c) Plazo para interponer el recurso</w:t>
      </w:r>
      <w:bookmarkEnd w:id="22"/>
    </w:p>
    <w:p w14:paraId="3B09C2C7" w14:textId="239A7C1C" w:rsidR="00BA58B0" w:rsidRPr="0043425C" w:rsidRDefault="00B12DEC" w:rsidP="004A6284">
      <w:r w:rsidRPr="0043425C">
        <w:rPr>
          <w:b/>
        </w:rPr>
        <w:t>EL SUJETO OBLIGADO</w:t>
      </w:r>
      <w:r w:rsidRPr="0043425C">
        <w:t xml:space="preserve"> notificó la respuesta a la solicitud de acceso a la Información Pública el </w:t>
      </w:r>
      <w:r w:rsidR="005261A7" w:rsidRPr="0043425C">
        <w:rPr>
          <w:b/>
        </w:rPr>
        <w:t>cinco de septiembre</w:t>
      </w:r>
      <w:r w:rsidRPr="0043425C">
        <w:rPr>
          <w:b/>
        </w:rPr>
        <w:t xml:space="preserve"> de dos mil veinticinco,</w:t>
      </w:r>
      <w:r w:rsidRPr="0043425C">
        <w:t xml:space="preserve"> y el recurso que nos ocupa se tuvo por presentado el </w:t>
      </w:r>
      <w:r w:rsidR="005261A7" w:rsidRPr="0043425C">
        <w:rPr>
          <w:b/>
        </w:rPr>
        <w:t>ocho de septiembre</w:t>
      </w:r>
      <w:r w:rsidRPr="0043425C">
        <w:rPr>
          <w:b/>
        </w:rPr>
        <w:t xml:space="preserve"> de dos mil veinticinco</w:t>
      </w:r>
      <w:r w:rsidRPr="0043425C">
        <w:t>; por lo tanto, éste se encuentra dentro del margen temporal previsto en el artículo 178 de la Ley de Transparencia y Acceso a la Información Pública del Estado de México y Municipios.</w:t>
      </w:r>
    </w:p>
    <w:p w14:paraId="00823306" w14:textId="77777777" w:rsidR="00BA58B0" w:rsidRPr="0043425C" w:rsidRDefault="00BA58B0" w:rsidP="004A6284"/>
    <w:p w14:paraId="1DEC21C8" w14:textId="77777777" w:rsidR="00BA58B0" w:rsidRPr="0043425C" w:rsidRDefault="00B12DEC" w:rsidP="004A6284">
      <w:pPr>
        <w:pStyle w:val="Ttulo3"/>
      </w:pPr>
      <w:bookmarkStart w:id="23" w:name="_Toc211450625"/>
      <w:r w:rsidRPr="0043425C">
        <w:t>d) Causal de Procedencia</w:t>
      </w:r>
      <w:bookmarkEnd w:id="23"/>
    </w:p>
    <w:p w14:paraId="06D8BCC5" w14:textId="6ED0B4B0" w:rsidR="00BA58B0" w:rsidRPr="0043425C" w:rsidRDefault="00B12DEC" w:rsidP="004A6284">
      <w:r w:rsidRPr="0043425C">
        <w:t xml:space="preserve">Resulta procedente la interposición del recurso de revisión, ya que se actualiza la causal de procedencia señalada en el artículo 179, fracciones </w:t>
      </w:r>
      <w:r w:rsidR="005261A7" w:rsidRPr="0043425C">
        <w:t>III</w:t>
      </w:r>
      <w:r w:rsidRPr="0043425C">
        <w:t xml:space="preserve"> de la Ley de Transparencia y Acceso a la Información Pública del Estado de México y Municipios.</w:t>
      </w:r>
    </w:p>
    <w:p w14:paraId="43CE78A4" w14:textId="77777777" w:rsidR="008A7680" w:rsidRPr="0043425C" w:rsidRDefault="008A7680" w:rsidP="004A6284"/>
    <w:p w14:paraId="62F70E12" w14:textId="77777777" w:rsidR="00BA58B0" w:rsidRPr="0043425C" w:rsidRDefault="00B12DEC" w:rsidP="004A6284">
      <w:pPr>
        <w:pStyle w:val="Ttulo3"/>
      </w:pPr>
      <w:bookmarkStart w:id="24" w:name="_Toc211450626"/>
      <w:r w:rsidRPr="0043425C">
        <w:t>e) Requisitos formales para la interposición del recurso</w:t>
      </w:r>
      <w:bookmarkEnd w:id="24"/>
    </w:p>
    <w:p w14:paraId="5B862B8F" w14:textId="77777777" w:rsidR="00D20462" w:rsidRPr="0043425C" w:rsidRDefault="00D20462" w:rsidP="004A6284">
      <w:pPr>
        <w:rPr>
          <w:rFonts w:cs="Arial"/>
        </w:rPr>
      </w:pPr>
      <w:r w:rsidRPr="0043425C">
        <w:rPr>
          <w:rFonts w:cs="Arial"/>
          <w:b/>
          <w:bCs/>
        </w:rPr>
        <w:t xml:space="preserve">LA PARTE RECURRENTE </w:t>
      </w:r>
      <w:r w:rsidRPr="0043425C">
        <w:rPr>
          <w:rFonts w:cs="Arial"/>
        </w:rPr>
        <w:t>acreditó todos y cada uno de los elementos formales exigidos por el artículo 180 de la misma normatividad.</w:t>
      </w:r>
    </w:p>
    <w:p w14:paraId="454202E3" w14:textId="77777777" w:rsidR="00D20462" w:rsidRPr="0043425C" w:rsidRDefault="00D20462" w:rsidP="004A6284">
      <w:pPr>
        <w:rPr>
          <w:rFonts w:cs="Arial"/>
        </w:rPr>
      </w:pPr>
    </w:p>
    <w:p w14:paraId="6B342870" w14:textId="77777777" w:rsidR="00BA58B0" w:rsidRPr="0043425C" w:rsidRDefault="00B12DEC" w:rsidP="004A6284">
      <w:pPr>
        <w:pStyle w:val="Ttulo2"/>
      </w:pPr>
      <w:bookmarkStart w:id="25" w:name="_Toc211450627"/>
      <w:r w:rsidRPr="0043425C">
        <w:t>SEGUNDO. Estudio de Fondo</w:t>
      </w:r>
      <w:bookmarkEnd w:id="25"/>
    </w:p>
    <w:p w14:paraId="4B0052FD" w14:textId="77777777" w:rsidR="00BA58B0" w:rsidRPr="0043425C" w:rsidRDefault="00B12DEC" w:rsidP="004A6284">
      <w:pPr>
        <w:pStyle w:val="Ttulo3"/>
      </w:pPr>
      <w:bookmarkStart w:id="26" w:name="_Toc211450628"/>
      <w:r w:rsidRPr="0043425C">
        <w:t>a) Mandato de transparencia y responsabilidad del Sujeto Obligado</w:t>
      </w:r>
      <w:bookmarkEnd w:id="26"/>
    </w:p>
    <w:p w14:paraId="667C88F4" w14:textId="77777777" w:rsidR="00BA58B0" w:rsidRPr="0043425C" w:rsidRDefault="00B12DEC" w:rsidP="004A6284">
      <w:r w:rsidRPr="0043425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77777777" w:rsidR="00BA58B0" w:rsidRPr="0043425C" w:rsidRDefault="00BA58B0" w:rsidP="004A6284"/>
    <w:p w14:paraId="32EC1F9F" w14:textId="77777777" w:rsidR="00BA58B0" w:rsidRPr="0043425C" w:rsidRDefault="00B12DEC" w:rsidP="004A6284">
      <w:pPr>
        <w:spacing w:line="240" w:lineRule="auto"/>
        <w:ind w:left="851" w:right="822"/>
        <w:rPr>
          <w:b/>
          <w:i/>
        </w:rPr>
      </w:pPr>
      <w:r w:rsidRPr="0043425C">
        <w:rPr>
          <w:b/>
          <w:i/>
        </w:rPr>
        <w:t>Constitución Política de los Estados Unidos Mexicanos</w:t>
      </w:r>
    </w:p>
    <w:p w14:paraId="2785F360" w14:textId="77777777" w:rsidR="00BA58B0" w:rsidRPr="0043425C" w:rsidRDefault="00B12DEC" w:rsidP="004A6284">
      <w:pPr>
        <w:spacing w:line="240" w:lineRule="auto"/>
        <w:ind w:left="851" w:right="822"/>
        <w:rPr>
          <w:b/>
          <w:i/>
        </w:rPr>
      </w:pPr>
      <w:r w:rsidRPr="0043425C">
        <w:rPr>
          <w:b/>
          <w:i/>
        </w:rPr>
        <w:t>“Artículo 6.</w:t>
      </w:r>
    </w:p>
    <w:p w14:paraId="58D670D5" w14:textId="77777777" w:rsidR="00BA58B0" w:rsidRPr="0043425C" w:rsidRDefault="00B12DEC" w:rsidP="004A6284">
      <w:pPr>
        <w:spacing w:line="240" w:lineRule="auto"/>
        <w:ind w:left="851" w:right="822"/>
        <w:rPr>
          <w:i/>
        </w:rPr>
      </w:pPr>
      <w:r w:rsidRPr="0043425C">
        <w:rPr>
          <w:i/>
        </w:rPr>
        <w:t>(…)</w:t>
      </w:r>
    </w:p>
    <w:p w14:paraId="35B375BE" w14:textId="77777777" w:rsidR="00BA58B0" w:rsidRPr="0043425C" w:rsidRDefault="00B12DEC" w:rsidP="004A6284">
      <w:pPr>
        <w:spacing w:line="240" w:lineRule="auto"/>
        <w:ind w:left="851" w:right="822"/>
        <w:rPr>
          <w:i/>
        </w:rPr>
      </w:pPr>
      <w:r w:rsidRPr="0043425C">
        <w:rPr>
          <w:i/>
        </w:rPr>
        <w:t>Para efectos de lo dispuesto en el presente artículo se observará lo siguiente:</w:t>
      </w:r>
    </w:p>
    <w:p w14:paraId="40B8D61C" w14:textId="77777777" w:rsidR="00BA58B0" w:rsidRPr="0043425C" w:rsidRDefault="00B12DEC" w:rsidP="004A6284">
      <w:pPr>
        <w:spacing w:line="240" w:lineRule="auto"/>
        <w:ind w:left="851" w:right="822"/>
        <w:rPr>
          <w:b/>
          <w:i/>
        </w:rPr>
      </w:pPr>
      <w:r w:rsidRPr="0043425C">
        <w:rPr>
          <w:b/>
          <w:i/>
        </w:rPr>
        <w:t>A</w:t>
      </w:r>
      <w:r w:rsidRPr="0043425C">
        <w:rPr>
          <w:i/>
        </w:rPr>
        <w:t xml:space="preserve">. </w:t>
      </w:r>
      <w:r w:rsidRPr="0043425C">
        <w:rPr>
          <w:b/>
          <w:i/>
        </w:rPr>
        <w:t>Para el ejercicio del derecho de acceso a la información</w:t>
      </w:r>
      <w:r w:rsidRPr="0043425C">
        <w:rPr>
          <w:i/>
        </w:rPr>
        <w:t xml:space="preserve">, la Federación y </w:t>
      </w:r>
      <w:r w:rsidRPr="0043425C">
        <w:rPr>
          <w:b/>
          <w:i/>
        </w:rPr>
        <w:t>las entidades federativas, en el ámbito de sus respectivas competencias, se regirán por los siguientes principios y bases:</w:t>
      </w:r>
    </w:p>
    <w:p w14:paraId="0DFAD315" w14:textId="77777777" w:rsidR="00BA58B0" w:rsidRPr="0043425C" w:rsidRDefault="00B12DEC" w:rsidP="004A6284">
      <w:pPr>
        <w:spacing w:line="240" w:lineRule="auto"/>
        <w:ind w:left="851" w:right="822"/>
        <w:rPr>
          <w:i/>
        </w:rPr>
      </w:pPr>
      <w:r w:rsidRPr="0043425C">
        <w:rPr>
          <w:b/>
          <w:i/>
        </w:rPr>
        <w:t xml:space="preserve">I. </w:t>
      </w:r>
      <w:r w:rsidRPr="0043425C">
        <w:rPr>
          <w:b/>
          <w:i/>
        </w:rPr>
        <w:tab/>
        <w:t>Toda la información en posesión de cualquier</w:t>
      </w:r>
      <w:r w:rsidRPr="0043425C">
        <w:rPr>
          <w:i/>
        </w:rPr>
        <w:t xml:space="preserve"> </w:t>
      </w:r>
      <w:r w:rsidRPr="0043425C">
        <w:rPr>
          <w:b/>
          <w:i/>
        </w:rPr>
        <w:t>autoridad</w:t>
      </w:r>
      <w:r w:rsidRPr="0043425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425C">
        <w:rPr>
          <w:b/>
          <w:i/>
        </w:rPr>
        <w:t>municipal</w:t>
      </w:r>
      <w:r w:rsidRPr="0043425C">
        <w:rPr>
          <w:i/>
        </w:rPr>
        <w:t xml:space="preserve">, </w:t>
      </w:r>
      <w:r w:rsidRPr="0043425C">
        <w:rPr>
          <w:b/>
          <w:i/>
        </w:rPr>
        <w:t>es pública</w:t>
      </w:r>
      <w:r w:rsidRPr="0043425C">
        <w:rPr>
          <w:i/>
        </w:rPr>
        <w:t xml:space="preserve"> y sólo podrá ser </w:t>
      </w:r>
      <w:r w:rsidRPr="0043425C">
        <w:rPr>
          <w:i/>
        </w:rPr>
        <w:lastRenderedPageBreak/>
        <w:t xml:space="preserve">reservada temporalmente por razones de interés público y seguridad nacional, en los términos que fijen las leyes. </w:t>
      </w:r>
      <w:r w:rsidRPr="0043425C">
        <w:rPr>
          <w:b/>
          <w:i/>
        </w:rPr>
        <w:t>En la interpretación de este derecho deberá prevalecer el principio de máxima publicidad. Los sujetos obligados deberán documentar todo acto que derive del ejercicio de sus facultades, competencias o funciones</w:t>
      </w:r>
      <w:r w:rsidRPr="0043425C">
        <w:rPr>
          <w:i/>
        </w:rPr>
        <w:t>, la ley determinará los supuestos específicos bajo los cuales procederá la declaración de inexistencia de la información.”</w:t>
      </w:r>
    </w:p>
    <w:p w14:paraId="6A80771C" w14:textId="77777777" w:rsidR="00BA58B0" w:rsidRPr="0043425C" w:rsidRDefault="00BA58B0" w:rsidP="004A6284">
      <w:pPr>
        <w:spacing w:line="240" w:lineRule="auto"/>
        <w:ind w:left="851" w:right="822"/>
        <w:rPr>
          <w:b/>
          <w:i/>
        </w:rPr>
      </w:pPr>
    </w:p>
    <w:p w14:paraId="5D666D00" w14:textId="77777777" w:rsidR="00BA58B0" w:rsidRPr="0043425C" w:rsidRDefault="00B12DEC" w:rsidP="004A6284">
      <w:pPr>
        <w:spacing w:line="240" w:lineRule="auto"/>
        <w:ind w:left="851" w:right="822"/>
        <w:rPr>
          <w:b/>
          <w:i/>
        </w:rPr>
      </w:pPr>
      <w:r w:rsidRPr="0043425C">
        <w:rPr>
          <w:b/>
          <w:i/>
        </w:rPr>
        <w:t>Constitución Política del Estado Libre y Soberano de México</w:t>
      </w:r>
    </w:p>
    <w:p w14:paraId="3D706E32" w14:textId="77777777" w:rsidR="00BA58B0" w:rsidRPr="0043425C" w:rsidRDefault="00B12DEC" w:rsidP="004A6284">
      <w:pPr>
        <w:spacing w:line="240" w:lineRule="auto"/>
        <w:ind w:left="851" w:right="822"/>
        <w:rPr>
          <w:i/>
        </w:rPr>
      </w:pPr>
      <w:r w:rsidRPr="0043425C">
        <w:rPr>
          <w:b/>
          <w:i/>
        </w:rPr>
        <w:t>“Artículo 5</w:t>
      </w:r>
      <w:r w:rsidRPr="0043425C">
        <w:rPr>
          <w:i/>
        </w:rPr>
        <w:t xml:space="preserve">.- </w:t>
      </w:r>
    </w:p>
    <w:p w14:paraId="1D403BCC" w14:textId="77777777" w:rsidR="00BA58B0" w:rsidRPr="0043425C" w:rsidRDefault="00B12DEC" w:rsidP="004A6284">
      <w:pPr>
        <w:spacing w:line="240" w:lineRule="auto"/>
        <w:ind w:left="851" w:right="822"/>
        <w:rPr>
          <w:i/>
        </w:rPr>
      </w:pPr>
      <w:r w:rsidRPr="0043425C">
        <w:rPr>
          <w:i/>
        </w:rPr>
        <w:t>(…)</w:t>
      </w:r>
    </w:p>
    <w:p w14:paraId="4442CD76" w14:textId="77777777" w:rsidR="00BA58B0" w:rsidRPr="0043425C" w:rsidRDefault="00B12DEC" w:rsidP="004A6284">
      <w:pPr>
        <w:spacing w:line="240" w:lineRule="auto"/>
        <w:ind w:left="851" w:right="822"/>
        <w:rPr>
          <w:i/>
        </w:rPr>
      </w:pPr>
      <w:r w:rsidRPr="0043425C">
        <w:rPr>
          <w:b/>
          <w:i/>
        </w:rPr>
        <w:t>El derecho a la información será garantizado por el Estado. La ley establecerá las previsiones que permitan asegurar la protección, el respeto y la difusión de este derecho</w:t>
      </w:r>
      <w:r w:rsidRPr="0043425C">
        <w:rPr>
          <w:i/>
        </w:rPr>
        <w:t>.</w:t>
      </w:r>
    </w:p>
    <w:p w14:paraId="51D1053A" w14:textId="77777777" w:rsidR="00BA58B0" w:rsidRPr="0043425C" w:rsidRDefault="00B12DEC" w:rsidP="004A6284">
      <w:pPr>
        <w:spacing w:line="240" w:lineRule="auto"/>
        <w:ind w:left="851" w:right="822"/>
        <w:rPr>
          <w:i/>
        </w:rPr>
      </w:pPr>
      <w:r w:rsidRPr="004342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43425C" w:rsidRDefault="00B12DEC" w:rsidP="004A6284">
      <w:pPr>
        <w:spacing w:line="240" w:lineRule="auto"/>
        <w:ind w:left="851" w:right="822"/>
        <w:rPr>
          <w:i/>
        </w:rPr>
      </w:pPr>
      <w:r w:rsidRPr="0043425C">
        <w:rPr>
          <w:b/>
          <w:i/>
        </w:rPr>
        <w:t>Este derecho se regirá por los principios y bases siguientes</w:t>
      </w:r>
      <w:r w:rsidRPr="0043425C">
        <w:rPr>
          <w:i/>
        </w:rPr>
        <w:t>:</w:t>
      </w:r>
    </w:p>
    <w:p w14:paraId="6F29F5D9" w14:textId="77777777" w:rsidR="00BA58B0" w:rsidRPr="0043425C" w:rsidRDefault="00B12DEC" w:rsidP="004A6284">
      <w:pPr>
        <w:spacing w:line="240" w:lineRule="auto"/>
        <w:ind w:left="851" w:right="822"/>
        <w:rPr>
          <w:i/>
        </w:rPr>
      </w:pPr>
      <w:r w:rsidRPr="0043425C">
        <w:rPr>
          <w:b/>
          <w:i/>
        </w:rPr>
        <w:t>I. Toda la información en posesión de cualquier autoridad, entidad, órgano y organismos de los</w:t>
      </w:r>
      <w:r w:rsidRPr="0043425C">
        <w:rPr>
          <w:i/>
        </w:rPr>
        <w:t xml:space="preserve"> Poderes Ejecutivo, Legislativo y Judicial, órganos autónomos, partidos políticos, fideicomisos y fondos públicos estatales y </w:t>
      </w:r>
      <w:r w:rsidRPr="0043425C">
        <w:rPr>
          <w:b/>
          <w:i/>
        </w:rPr>
        <w:t>municipales</w:t>
      </w:r>
      <w:r w:rsidRPr="0043425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425C">
        <w:rPr>
          <w:b/>
          <w:i/>
        </w:rPr>
        <w:t>es pública</w:t>
      </w:r>
      <w:r w:rsidRPr="0043425C">
        <w:rPr>
          <w:i/>
        </w:rPr>
        <w:t xml:space="preserve"> y sólo podrá ser reservada temporalmente por razones previstas en la Constitución Política de los Estados Unidos Mexicanos de interés público y seguridad, en los términos que fijen las leyes. </w:t>
      </w:r>
      <w:r w:rsidRPr="0043425C">
        <w:rPr>
          <w:b/>
          <w:i/>
        </w:rPr>
        <w:t>En la interpretación de este derecho deberá prevalecer el principio de máxima publicidad</w:t>
      </w:r>
      <w:r w:rsidRPr="0043425C">
        <w:rPr>
          <w:i/>
        </w:rPr>
        <w:t xml:space="preserve">. </w:t>
      </w:r>
      <w:r w:rsidRPr="0043425C">
        <w:rPr>
          <w:b/>
          <w:i/>
        </w:rPr>
        <w:t>Los sujetos obligados deberán documentar todo acto que derive del ejercicio de sus facultades, competencias o funciones</w:t>
      </w:r>
      <w:r w:rsidRPr="0043425C">
        <w:rPr>
          <w:i/>
        </w:rPr>
        <w:t>, la ley determinará los supuestos específicos bajo los cuales procederá la declaración de inexistencia de la información.”</w:t>
      </w:r>
    </w:p>
    <w:p w14:paraId="37C965AB" w14:textId="77777777" w:rsidR="00BA58B0" w:rsidRPr="0043425C" w:rsidRDefault="00BA58B0" w:rsidP="004A6284">
      <w:pPr>
        <w:rPr>
          <w:b/>
          <w:i/>
        </w:rPr>
      </w:pPr>
    </w:p>
    <w:p w14:paraId="444E10E3" w14:textId="77777777" w:rsidR="00BA58B0" w:rsidRPr="0043425C" w:rsidRDefault="00B12DEC" w:rsidP="004A6284">
      <w:pPr>
        <w:spacing w:after="240"/>
        <w:rPr>
          <w:i/>
        </w:rPr>
      </w:pPr>
      <w:r w:rsidRPr="0043425C">
        <w:t xml:space="preserve">Asimismo, el artículo 150 de la Ley de Transparencia y Acceso a la Información Pública del Estado de México y Municipios indica que la solicitud es la garantía primaria del Derecho de </w:t>
      </w:r>
      <w:r w:rsidRPr="0043425C">
        <w:lastRenderedPageBreak/>
        <w:t xml:space="preserve">Acceso a la Información, además, establece que se regirá </w:t>
      </w:r>
      <w:r w:rsidRPr="0043425C">
        <w:rPr>
          <w:i/>
        </w:rPr>
        <w:t>por los principios de simplicidad, rapidez, gratuidad del procedimiento, auxilio y orientación a los particulares.</w:t>
      </w:r>
    </w:p>
    <w:p w14:paraId="01EA9E0C" w14:textId="77777777" w:rsidR="00BA58B0" w:rsidRPr="0043425C" w:rsidRDefault="00B12DEC" w:rsidP="004A6284">
      <w:pPr>
        <w:spacing w:after="240"/>
        <w:rPr>
          <w:i/>
        </w:rPr>
      </w:pPr>
      <w:r w:rsidRPr="0043425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2493BD8" w14:textId="77777777" w:rsidR="00BA58B0" w:rsidRPr="0043425C" w:rsidRDefault="00B12DEC" w:rsidP="004A6284">
      <w:pPr>
        <w:spacing w:after="240"/>
      </w:pPr>
      <w:r w:rsidRPr="004342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43425C" w:rsidRDefault="00B12DEC" w:rsidP="004A6284">
      <w:pPr>
        <w:spacing w:after="240"/>
      </w:pPr>
      <w:r w:rsidRPr="0043425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2E9E79A" w14:textId="77777777" w:rsidR="00BA58B0" w:rsidRPr="0043425C" w:rsidRDefault="00B12DEC" w:rsidP="004A6284">
      <w:pPr>
        <w:spacing w:after="240"/>
      </w:pPr>
      <w:r w:rsidRPr="0043425C">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43425C">
        <w:lastRenderedPageBreak/>
        <w:t>garantizar el Derecho de Acceso a la Información Pública, siempre y cuando no se trate de información reservada o confidencial.</w:t>
      </w:r>
    </w:p>
    <w:p w14:paraId="2266E0F4" w14:textId="77777777" w:rsidR="00BA58B0" w:rsidRPr="0043425C" w:rsidRDefault="00B12DEC" w:rsidP="004A6284">
      <w:pPr>
        <w:pStyle w:val="Ttulo3"/>
      </w:pPr>
      <w:bookmarkStart w:id="27" w:name="_Toc211450629"/>
      <w:r w:rsidRPr="0043425C">
        <w:t>b) Controversia a resolver</w:t>
      </w:r>
      <w:bookmarkEnd w:id="27"/>
    </w:p>
    <w:p w14:paraId="5CB5A5A0" w14:textId="3C30E134" w:rsidR="008A7680" w:rsidRPr="0043425C" w:rsidRDefault="00B12DEC" w:rsidP="004A6284">
      <w:pPr>
        <w:spacing w:after="240"/>
      </w:pPr>
      <w:r w:rsidRPr="0043425C">
        <w:t xml:space="preserve">Con el objeto de ilustrar la controversia planteada, resulta conveniente precisar que, una vez realizado el estudio de las constancias que integran el expediente en que se actúa, se desprende que </w:t>
      </w:r>
      <w:r w:rsidRPr="0043425C">
        <w:rPr>
          <w:b/>
        </w:rPr>
        <w:t>LA PARTE RECURRENTE</w:t>
      </w:r>
      <w:r w:rsidR="003A23A8" w:rsidRPr="0043425C">
        <w:t xml:space="preserve"> solicitó </w:t>
      </w:r>
      <w:r w:rsidR="006837A8" w:rsidRPr="0043425C">
        <w:t xml:space="preserve">al </w:t>
      </w:r>
      <w:r w:rsidR="006837A8" w:rsidRPr="0043425C">
        <w:rPr>
          <w:b/>
        </w:rPr>
        <w:t xml:space="preserve">SUJETO OBLIGADO </w:t>
      </w:r>
      <w:r w:rsidR="006837A8" w:rsidRPr="0043425C">
        <w:t xml:space="preserve">el movimiento de baja del </w:t>
      </w:r>
      <w:r w:rsidR="00D20462" w:rsidRPr="0043425C">
        <w:t>Servidor Público con clave ISSEMYM referido en la solicitud</w:t>
      </w:r>
      <w:r w:rsidR="006837A8" w:rsidRPr="0043425C">
        <w:t xml:space="preserve">, </w:t>
      </w:r>
      <w:r w:rsidR="00D20462" w:rsidRPr="0043425C">
        <w:t>de fecha 31 de diciembre de 2018.</w:t>
      </w:r>
    </w:p>
    <w:p w14:paraId="1A1CA5EC" w14:textId="3ABC400D" w:rsidR="002D194C" w:rsidRPr="0043425C" w:rsidRDefault="00B12DEC" w:rsidP="004A6284">
      <w:pPr>
        <w:ind w:right="-28"/>
      </w:pPr>
      <w:r w:rsidRPr="0043425C">
        <w:t xml:space="preserve">En respuesta </w:t>
      </w:r>
      <w:r w:rsidRPr="0043425C">
        <w:rPr>
          <w:b/>
        </w:rPr>
        <w:t>EL SUJETO OBLIGADO</w:t>
      </w:r>
      <w:r w:rsidR="00F8131C" w:rsidRPr="0043425C">
        <w:rPr>
          <w:b/>
        </w:rPr>
        <w:t>,</w:t>
      </w:r>
      <w:r w:rsidRPr="0043425C">
        <w:t xml:space="preserve"> a través </w:t>
      </w:r>
      <w:r w:rsidR="00D20462" w:rsidRPr="0043425C">
        <w:t>Director de Administración refirió que después de una búsqueda en los archivos de la Dirección y en el expediente del Servidor Público no se localizó dicha baja, motivo por el cual no se puede proporcionar la información peticionada, así mismo adjunto el acta del Comité de Transparencia mediante el cual se aprobó dicha inexistencia</w:t>
      </w:r>
      <w:r w:rsidR="00026151" w:rsidRPr="0043425C">
        <w:t>.</w:t>
      </w:r>
    </w:p>
    <w:p w14:paraId="775E5B3C" w14:textId="77777777" w:rsidR="001228F9" w:rsidRPr="0043425C" w:rsidRDefault="001228F9" w:rsidP="004A6284">
      <w:pPr>
        <w:ind w:right="-28"/>
      </w:pPr>
    </w:p>
    <w:p w14:paraId="54936A92" w14:textId="69999CFF" w:rsidR="0011288C" w:rsidRPr="0043425C" w:rsidRDefault="00B12DEC" w:rsidP="004A6284">
      <w:pPr>
        <w:tabs>
          <w:tab w:val="left" w:pos="4962"/>
        </w:tabs>
        <w:spacing w:after="240"/>
      </w:pPr>
      <w:r w:rsidRPr="0043425C">
        <w:t xml:space="preserve">Ante la respuesta del </w:t>
      </w:r>
      <w:r w:rsidRPr="0043425C">
        <w:rPr>
          <w:b/>
        </w:rPr>
        <w:t>SUJETO OBLIGADO</w:t>
      </w:r>
      <w:r w:rsidRPr="0043425C">
        <w:t xml:space="preserve"> se interpuso el presente Recurso</w:t>
      </w:r>
      <w:r w:rsidR="00F8131C" w:rsidRPr="0043425C">
        <w:t>,</w:t>
      </w:r>
      <w:r w:rsidRPr="0043425C">
        <w:t xml:space="preserve"> mediante el cual </w:t>
      </w:r>
      <w:r w:rsidRPr="0043425C">
        <w:rPr>
          <w:b/>
        </w:rPr>
        <w:t>LA PARTE RECURRENTE</w:t>
      </w:r>
      <w:r w:rsidRPr="0043425C">
        <w:t xml:space="preserve"> se inconformó </w:t>
      </w:r>
      <w:r w:rsidR="004B6E30" w:rsidRPr="0043425C">
        <w:t>esencialmente</w:t>
      </w:r>
      <w:r w:rsidR="00F8131C" w:rsidRPr="0043425C">
        <w:t xml:space="preserve"> de</w:t>
      </w:r>
      <w:r w:rsidR="004B6E30" w:rsidRPr="0043425C">
        <w:t xml:space="preserve"> </w:t>
      </w:r>
      <w:r w:rsidR="0011288C" w:rsidRPr="0043425C">
        <w:t xml:space="preserve">la </w:t>
      </w:r>
      <w:r w:rsidR="00D20462" w:rsidRPr="0043425C">
        <w:t>declaratoria de inexistencia</w:t>
      </w:r>
      <w:r w:rsidR="0074505C" w:rsidRPr="0043425C">
        <w:t xml:space="preserve"> de la información </w:t>
      </w:r>
      <w:r w:rsidR="0011288C" w:rsidRPr="0043425C">
        <w:t>peticionada.</w:t>
      </w:r>
    </w:p>
    <w:p w14:paraId="328CBBBA" w14:textId="77777777" w:rsidR="00214BBE" w:rsidRPr="0043425C" w:rsidRDefault="00214BBE" w:rsidP="004A6284">
      <w:pPr>
        <w:tabs>
          <w:tab w:val="left" w:pos="4962"/>
        </w:tabs>
        <w:spacing w:after="240"/>
      </w:pPr>
      <w:r w:rsidRPr="0043425C">
        <w:t xml:space="preserve">Abierta la etapa de instrucción, </w:t>
      </w:r>
      <w:r w:rsidRPr="0043425C">
        <w:rPr>
          <w:b/>
        </w:rPr>
        <w:t>EL SUJETO OBLIGADO</w:t>
      </w:r>
      <w:r w:rsidRPr="0043425C">
        <w:t xml:space="preserve"> omitió rendir su informe justificado correspondiente, por su parte </w:t>
      </w:r>
      <w:r w:rsidRPr="0043425C">
        <w:rPr>
          <w:b/>
        </w:rPr>
        <w:t xml:space="preserve">LA RECURRENTE </w:t>
      </w:r>
      <w:r w:rsidRPr="0043425C">
        <w:t>no realizó manifestación alguna.</w:t>
      </w:r>
    </w:p>
    <w:p w14:paraId="34BCC0FA" w14:textId="242CE14D" w:rsidR="00BA58B0" w:rsidRPr="0043425C" w:rsidRDefault="00B12DEC" w:rsidP="004A6284">
      <w:pPr>
        <w:tabs>
          <w:tab w:val="left" w:pos="4962"/>
        </w:tabs>
      </w:pPr>
      <w:r w:rsidRPr="0043425C">
        <w:t>Por lo tanto, el estudio del presente medio de impugnación se centrará en el análisis de las documentales remitidas</w:t>
      </w:r>
      <w:r w:rsidR="007F4C7D" w:rsidRPr="0043425C">
        <w:t>,</w:t>
      </w:r>
      <w:r w:rsidRPr="0043425C">
        <w:t xml:space="preserve"> para determinar si se colma o no con la pretensión del particular o</w:t>
      </w:r>
      <w:r w:rsidR="007F4C7D" w:rsidRPr="0043425C">
        <w:t xml:space="preserve">, </w:t>
      </w:r>
      <w:r w:rsidR="007F4C7D" w:rsidRPr="0043425C">
        <w:lastRenderedPageBreak/>
        <w:t>por el contrario,</w:t>
      </w:r>
      <w:r w:rsidRPr="0043425C">
        <w:t xml:space="preserve"> deviene fundado el argumento de</w:t>
      </w:r>
      <w:r w:rsidR="0074505C" w:rsidRPr="0043425C">
        <w:t xml:space="preserve"> </w:t>
      </w:r>
      <w:r w:rsidR="0074505C" w:rsidRPr="0043425C">
        <w:rPr>
          <w:b/>
        </w:rPr>
        <w:t xml:space="preserve">LA PARTE RECURRENTE </w:t>
      </w:r>
      <w:r w:rsidR="00D20462" w:rsidRPr="0043425C">
        <w:t xml:space="preserve">respecto a la declaratoria de inexistencia de </w:t>
      </w:r>
      <w:r w:rsidR="0074505C" w:rsidRPr="0043425C">
        <w:t>la información</w:t>
      </w:r>
      <w:r w:rsidRPr="0043425C">
        <w:t>.</w:t>
      </w:r>
    </w:p>
    <w:p w14:paraId="05974F15" w14:textId="77777777" w:rsidR="00752495" w:rsidRPr="0043425C" w:rsidRDefault="00752495" w:rsidP="004A6284">
      <w:pPr>
        <w:tabs>
          <w:tab w:val="left" w:pos="4962"/>
        </w:tabs>
      </w:pPr>
    </w:p>
    <w:p w14:paraId="48440D36" w14:textId="77777777" w:rsidR="00BA58B0" w:rsidRPr="0043425C" w:rsidRDefault="00B12DEC" w:rsidP="004A6284">
      <w:pPr>
        <w:pStyle w:val="Ttulo3"/>
      </w:pPr>
      <w:bookmarkStart w:id="28" w:name="_Toc211450630"/>
      <w:r w:rsidRPr="0043425C">
        <w:t>c) Estudio de la controversia</w:t>
      </w:r>
      <w:bookmarkEnd w:id="28"/>
    </w:p>
    <w:p w14:paraId="5041814B" w14:textId="1982447D" w:rsidR="00185D7D" w:rsidRPr="0043425C" w:rsidRDefault="00185D7D" w:rsidP="004A6284">
      <w:pPr>
        <w:spacing w:after="240"/>
        <w:rPr>
          <w:rFonts w:eastAsiaTheme="minorHAnsi" w:cs="Tahoma"/>
          <w:lang w:eastAsia="en-US"/>
        </w:rPr>
      </w:pPr>
      <w:r w:rsidRPr="0043425C">
        <w:t xml:space="preserve">Iniciando con el estudio y </w:t>
      </w:r>
      <w:r w:rsidRPr="0043425C">
        <w:rPr>
          <w:rFonts w:eastAsiaTheme="minorHAnsi" w:cs="Tahoma"/>
          <w:lang w:eastAsia="en-US"/>
        </w:rPr>
        <w:t>en el contexto de la información solicitada</w:t>
      </w:r>
      <w:r w:rsidRPr="0043425C">
        <w:t xml:space="preserve"> la Constitución Política de los Estados Unidos Mexicanos establece:</w:t>
      </w:r>
    </w:p>
    <w:p w14:paraId="7C09F92D" w14:textId="77777777" w:rsidR="00185D7D" w:rsidRPr="0043425C" w:rsidRDefault="00185D7D" w:rsidP="004A6284">
      <w:pPr>
        <w:spacing w:line="240" w:lineRule="auto"/>
        <w:ind w:left="851" w:right="822"/>
        <w:rPr>
          <w:i/>
        </w:rPr>
      </w:pPr>
      <w:r w:rsidRPr="0043425C">
        <w:rPr>
          <w:b/>
          <w:i/>
        </w:rPr>
        <w:t>Artículo 115.</w:t>
      </w:r>
      <w:r w:rsidRPr="0043425C">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A938DF" w14:textId="77777777" w:rsidR="00185D7D" w:rsidRPr="0043425C" w:rsidRDefault="00185D7D" w:rsidP="004A6284">
      <w:pPr>
        <w:pStyle w:val="Puesto"/>
        <w:ind w:left="851" w:right="822" w:firstLine="0"/>
        <w:rPr>
          <w:color w:val="auto"/>
        </w:rPr>
      </w:pPr>
      <w:r w:rsidRPr="0043425C">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7F790DC" w14:textId="77777777" w:rsidR="00185D7D" w:rsidRPr="0043425C" w:rsidRDefault="00185D7D" w:rsidP="004A6284">
      <w:pPr>
        <w:spacing w:line="240" w:lineRule="auto"/>
        <w:ind w:left="851" w:right="822"/>
        <w:rPr>
          <w:i/>
        </w:rPr>
      </w:pPr>
      <w:r w:rsidRPr="0043425C">
        <w:rPr>
          <w:i/>
        </w:rPr>
        <w:t>(…)</w:t>
      </w:r>
    </w:p>
    <w:p w14:paraId="1F7D3D90" w14:textId="77777777" w:rsidR="00185D7D" w:rsidRPr="0043425C" w:rsidRDefault="00185D7D" w:rsidP="004A6284">
      <w:pPr>
        <w:pStyle w:val="Puesto"/>
        <w:ind w:left="851" w:right="822" w:firstLine="0"/>
        <w:rPr>
          <w:color w:val="auto"/>
        </w:rPr>
      </w:pPr>
      <w:r w:rsidRPr="0043425C">
        <w:rPr>
          <w:b/>
          <w:color w:val="auto"/>
        </w:rPr>
        <w:t xml:space="preserve">II. </w:t>
      </w:r>
      <w:r w:rsidRPr="0043425C">
        <w:rPr>
          <w:color w:val="auto"/>
        </w:rPr>
        <w:t>Los municipios estarán investidos de personalidad jurídica y manejarán su patrimonio conforme a la ley.</w:t>
      </w:r>
    </w:p>
    <w:p w14:paraId="22AF7789" w14:textId="77777777" w:rsidR="00185D7D" w:rsidRPr="0043425C" w:rsidRDefault="00185D7D" w:rsidP="004A6284">
      <w:pPr>
        <w:pStyle w:val="Puesto"/>
        <w:ind w:left="851" w:right="822" w:firstLine="0"/>
        <w:rPr>
          <w:color w:val="auto"/>
        </w:rPr>
      </w:pPr>
      <w:r w:rsidRPr="0043425C">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40897B6A" w14:textId="77777777" w:rsidR="00185D7D" w:rsidRPr="0043425C" w:rsidRDefault="00185D7D" w:rsidP="004A6284">
      <w:pPr>
        <w:spacing w:line="240" w:lineRule="auto"/>
        <w:ind w:left="851" w:right="822"/>
        <w:rPr>
          <w:i/>
        </w:rPr>
      </w:pPr>
      <w:r w:rsidRPr="0043425C">
        <w:rPr>
          <w:i/>
        </w:rPr>
        <w:t>(…)</w:t>
      </w:r>
    </w:p>
    <w:p w14:paraId="3A3C4D33" w14:textId="77777777" w:rsidR="006837A8" w:rsidRPr="0043425C" w:rsidRDefault="006837A8" w:rsidP="004A6284">
      <w:pPr>
        <w:spacing w:line="240" w:lineRule="auto"/>
        <w:ind w:left="851" w:right="822"/>
        <w:rPr>
          <w:i/>
        </w:rPr>
      </w:pPr>
    </w:p>
    <w:p w14:paraId="755077A2" w14:textId="77777777" w:rsidR="00185D7D" w:rsidRPr="0043425C" w:rsidRDefault="00185D7D" w:rsidP="004A6284">
      <w:r w:rsidRPr="0043425C">
        <w:t xml:space="preserve">Del precepto anterior se observa que los municipios son la base de la división territorial de los Estados, mismos que serán gobernados por un Ayuntamiento de elección popular, con de personalidad jurídica y patrimonio propio, facultado para aprobar con acuerdo a las leyes, su </w:t>
      </w:r>
      <w:r w:rsidRPr="0043425C">
        <w:lastRenderedPageBreak/>
        <w:t>bando de policía y buen gobierno, reglamentos, circulares y disposiciones administrativas de observancia general dentro de su territorio.</w:t>
      </w:r>
    </w:p>
    <w:p w14:paraId="37E0FD56" w14:textId="77777777" w:rsidR="00185D7D" w:rsidRPr="0043425C" w:rsidRDefault="00185D7D" w:rsidP="004A6284"/>
    <w:p w14:paraId="4D638DA7" w14:textId="77777777" w:rsidR="00185D7D" w:rsidRPr="0043425C" w:rsidRDefault="00185D7D" w:rsidP="004A6284">
      <w:pPr>
        <w:spacing w:after="240"/>
        <w:ind w:right="-93"/>
      </w:pPr>
      <w:r w:rsidRPr="0043425C">
        <w:t>Asimismo, la Constitución Política del Estado Libre y Soberano de México establece:</w:t>
      </w:r>
    </w:p>
    <w:p w14:paraId="7F3E2F75" w14:textId="77777777" w:rsidR="00185D7D" w:rsidRPr="0043425C" w:rsidRDefault="00185D7D" w:rsidP="004A6284">
      <w:pPr>
        <w:pStyle w:val="Puesto"/>
        <w:ind w:left="851" w:right="822" w:firstLine="0"/>
        <w:rPr>
          <w:color w:val="auto"/>
        </w:rPr>
      </w:pPr>
      <w:r w:rsidRPr="0043425C">
        <w:rPr>
          <w:b/>
          <w:color w:val="auto"/>
        </w:rPr>
        <w:t xml:space="preserve">Artículo 112.- </w:t>
      </w:r>
      <w:r w:rsidRPr="0043425C">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FAF9C02" w14:textId="77777777" w:rsidR="00185D7D" w:rsidRPr="0043425C" w:rsidRDefault="00185D7D" w:rsidP="004A6284">
      <w:pPr>
        <w:pStyle w:val="Puesto"/>
        <w:spacing w:after="240"/>
        <w:ind w:left="851" w:right="822" w:firstLine="0"/>
        <w:rPr>
          <w:color w:val="auto"/>
        </w:rPr>
      </w:pPr>
      <w:r w:rsidRPr="0043425C">
        <w:rPr>
          <w:color w:val="auto"/>
        </w:rPr>
        <w:t>Los municipios del Estado, su denominación y la de sus cabeceras, serán los que señale la ley de la materia.</w:t>
      </w:r>
    </w:p>
    <w:p w14:paraId="5F00BFFB" w14:textId="29FFCBC5" w:rsidR="00185D7D" w:rsidRPr="0043425C" w:rsidRDefault="00185D7D" w:rsidP="004A6284">
      <w:pPr>
        <w:spacing w:after="240"/>
        <w:rPr>
          <w:rFonts w:cs="Tahoma"/>
          <w:bCs/>
        </w:rPr>
      </w:pPr>
      <w:r w:rsidRPr="0043425C">
        <w:rPr>
          <w:rFonts w:eastAsiaTheme="minorHAnsi" w:cs="Tahoma"/>
          <w:lang w:eastAsia="en-US"/>
        </w:rPr>
        <w:t xml:space="preserve">El </w:t>
      </w:r>
      <w:r w:rsidRPr="0043425C">
        <w:rPr>
          <w:rFonts w:cs="Tahoma"/>
          <w:bCs/>
        </w:rPr>
        <w:t xml:space="preserve">Bando Municipal de </w:t>
      </w:r>
      <w:r w:rsidR="00CE3DE0" w:rsidRPr="0043425C">
        <w:rPr>
          <w:rFonts w:cs="Tahoma"/>
          <w:bCs/>
        </w:rPr>
        <w:t>San José del Rincón</w:t>
      </w:r>
      <w:r w:rsidRPr="0043425C">
        <w:rPr>
          <w:rFonts w:eastAsiaTheme="minorHAnsi" w:cs="Tahoma"/>
          <w:lang w:eastAsia="en-US"/>
        </w:rPr>
        <w:t xml:space="preserve"> refiere</w:t>
      </w:r>
      <w:r w:rsidRPr="0043425C">
        <w:rPr>
          <w:rFonts w:cs="Tahoma"/>
          <w:bCs/>
        </w:rPr>
        <w:t>:</w:t>
      </w:r>
    </w:p>
    <w:p w14:paraId="54C3A625" w14:textId="77777777" w:rsidR="00CE3DE0" w:rsidRPr="0043425C" w:rsidRDefault="00CE3DE0" w:rsidP="004A6284">
      <w:pPr>
        <w:spacing w:line="240" w:lineRule="auto"/>
        <w:ind w:left="851" w:right="822"/>
        <w:rPr>
          <w:bCs/>
          <w:i/>
          <w:iCs/>
        </w:rPr>
      </w:pPr>
      <w:r w:rsidRPr="0043425C">
        <w:rPr>
          <w:b/>
          <w:bCs/>
          <w:i/>
          <w:iCs/>
        </w:rPr>
        <w:t xml:space="preserve">Artículo 55.- </w:t>
      </w:r>
      <w:r w:rsidRPr="0043425C">
        <w:rPr>
          <w:bCs/>
          <w:i/>
          <w:iCs/>
        </w:rPr>
        <w:t xml:space="preserve">Para el ejercicio y despacho de sus atribuciones y responsabilidades ejecutivas, el Ayuntamiento se auxiliará de las Direcciones, Subdirecciones, Coordinaciones y Departamentos de la Administración Pública Municipal, que en cada caso y según corresponda acuerde el Cabildo a propuesta del Presidente Municipal, las cuales estarán subordinadas al Presidente Municipal; siendo éstas las siguientes: </w:t>
      </w:r>
    </w:p>
    <w:p w14:paraId="06907014" w14:textId="77777777" w:rsidR="00CE3DE0" w:rsidRPr="0043425C" w:rsidRDefault="00CE3DE0" w:rsidP="004A6284">
      <w:pPr>
        <w:spacing w:line="240" w:lineRule="auto"/>
        <w:ind w:left="851" w:right="822"/>
        <w:rPr>
          <w:b/>
          <w:bCs/>
          <w:i/>
          <w:iCs/>
        </w:rPr>
      </w:pPr>
    </w:p>
    <w:p w14:paraId="3AD1F66C" w14:textId="70C9BE24" w:rsidR="00185D7D" w:rsidRPr="0043425C" w:rsidRDefault="00CE3DE0" w:rsidP="004A6284">
      <w:pPr>
        <w:spacing w:line="240" w:lineRule="auto"/>
        <w:ind w:left="851" w:right="822"/>
        <w:rPr>
          <w:bCs/>
          <w:i/>
          <w:iCs/>
        </w:rPr>
      </w:pPr>
      <w:r w:rsidRPr="0043425C">
        <w:rPr>
          <w:b/>
          <w:bCs/>
          <w:i/>
          <w:iCs/>
        </w:rPr>
        <w:t>1. DEPENDENCIAS CENTRALIZADAS</w:t>
      </w:r>
      <w:r w:rsidR="00C43423" w:rsidRPr="0043425C">
        <w:rPr>
          <w:bCs/>
          <w:i/>
          <w:iCs/>
        </w:rPr>
        <w:t>.</w:t>
      </w:r>
    </w:p>
    <w:p w14:paraId="23E758D7" w14:textId="549A441B" w:rsidR="00185D7D" w:rsidRPr="0043425C" w:rsidRDefault="00CE3DE0" w:rsidP="004A6284">
      <w:pPr>
        <w:spacing w:line="240" w:lineRule="auto"/>
        <w:ind w:left="851" w:right="822"/>
        <w:rPr>
          <w:bCs/>
          <w:i/>
          <w:iCs/>
        </w:rPr>
      </w:pPr>
      <w:r w:rsidRPr="0043425C">
        <w:rPr>
          <w:bCs/>
          <w:i/>
          <w:iCs/>
        </w:rPr>
        <w:t>(…)</w:t>
      </w:r>
    </w:p>
    <w:p w14:paraId="7D47EE25" w14:textId="0C4F745F" w:rsidR="00185D7D" w:rsidRPr="0043425C" w:rsidRDefault="00CE3DE0" w:rsidP="004A6284">
      <w:pPr>
        <w:spacing w:line="240" w:lineRule="auto"/>
        <w:ind w:left="851" w:right="822"/>
        <w:rPr>
          <w:bCs/>
          <w:i/>
          <w:iCs/>
        </w:rPr>
      </w:pPr>
      <w:r w:rsidRPr="0043425C">
        <w:rPr>
          <w:bCs/>
          <w:i/>
          <w:iCs/>
        </w:rPr>
        <w:t>VI. Dirección de Administración;</w:t>
      </w:r>
    </w:p>
    <w:p w14:paraId="4B87EA91" w14:textId="52045C22" w:rsidR="00185D7D" w:rsidRPr="0043425C" w:rsidRDefault="00CE3DE0" w:rsidP="004A6284">
      <w:pPr>
        <w:spacing w:line="240" w:lineRule="auto"/>
        <w:ind w:left="851" w:right="822"/>
        <w:rPr>
          <w:bCs/>
          <w:i/>
          <w:iCs/>
        </w:rPr>
      </w:pPr>
      <w:r w:rsidRPr="0043425C">
        <w:rPr>
          <w:bCs/>
          <w:i/>
          <w:iCs/>
        </w:rPr>
        <w:t>(…)</w:t>
      </w:r>
    </w:p>
    <w:p w14:paraId="5F94A4ED" w14:textId="071059E8" w:rsidR="00C43423" w:rsidRPr="0043425C" w:rsidRDefault="00CE3DE0" w:rsidP="004A6284">
      <w:pPr>
        <w:spacing w:line="240" w:lineRule="auto"/>
        <w:ind w:left="851" w:right="822"/>
        <w:rPr>
          <w:bCs/>
          <w:i/>
          <w:iCs/>
        </w:rPr>
      </w:pPr>
      <w:r w:rsidRPr="0043425C">
        <w:rPr>
          <w:b/>
          <w:bCs/>
          <w:i/>
          <w:iCs/>
        </w:rPr>
        <w:t xml:space="preserve">Artículo 68.- </w:t>
      </w:r>
      <w:r w:rsidRPr="0043425C">
        <w:rPr>
          <w:bCs/>
          <w:i/>
          <w:iCs/>
        </w:rPr>
        <w:t>La Dirección de Administración estará a cargo de una Directora o Director, quien será propuesta(o) por el Presidente Municipal y aprobada(o) por el Ayuntamiento</w:t>
      </w:r>
    </w:p>
    <w:p w14:paraId="5B0198A1" w14:textId="77777777" w:rsidR="00C43423" w:rsidRPr="0043425C" w:rsidRDefault="00C43423" w:rsidP="004A6284">
      <w:pPr>
        <w:spacing w:line="240" w:lineRule="auto"/>
        <w:ind w:left="851" w:right="822"/>
        <w:rPr>
          <w:b/>
          <w:bCs/>
          <w:i/>
          <w:iCs/>
        </w:rPr>
      </w:pPr>
    </w:p>
    <w:p w14:paraId="1955C917" w14:textId="456E3E57" w:rsidR="00CE3DE0" w:rsidRPr="0043425C" w:rsidRDefault="00CE3DE0" w:rsidP="004A6284">
      <w:pPr>
        <w:spacing w:line="240" w:lineRule="auto"/>
        <w:ind w:left="851" w:right="822"/>
        <w:rPr>
          <w:bCs/>
          <w:i/>
          <w:iCs/>
        </w:rPr>
      </w:pPr>
      <w:r w:rsidRPr="0043425C">
        <w:rPr>
          <w:b/>
          <w:bCs/>
          <w:i/>
          <w:iCs/>
        </w:rPr>
        <w:t xml:space="preserve">Artículo 69.- </w:t>
      </w:r>
      <w:r w:rsidRPr="0043425C">
        <w:rPr>
          <w:bCs/>
          <w:i/>
          <w:iCs/>
        </w:rPr>
        <w:t>La Dirección de Administración tendrá las siguientes atribuciones.</w:t>
      </w:r>
    </w:p>
    <w:p w14:paraId="4E0EDDCE" w14:textId="77777777" w:rsidR="00C43423" w:rsidRPr="0043425C" w:rsidRDefault="00C43423" w:rsidP="004A6284">
      <w:pPr>
        <w:spacing w:line="240" w:lineRule="auto"/>
        <w:ind w:left="851" w:right="822"/>
        <w:rPr>
          <w:b/>
          <w:bCs/>
          <w:i/>
          <w:iCs/>
        </w:rPr>
      </w:pPr>
      <w:r w:rsidRPr="0043425C">
        <w:rPr>
          <w:b/>
          <w:bCs/>
          <w:i/>
          <w:iCs/>
        </w:rPr>
        <w:t>(…)</w:t>
      </w:r>
    </w:p>
    <w:p w14:paraId="53611BEC" w14:textId="1844C81A" w:rsidR="00C43423" w:rsidRPr="0043425C" w:rsidRDefault="00CE3DE0" w:rsidP="004A6284">
      <w:pPr>
        <w:spacing w:line="240" w:lineRule="auto"/>
        <w:ind w:left="851" w:right="822"/>
        <w:rPr>
          <w:b/>
          <w:bCs/>
          <w:i/>
          <w:iCs/>
        </w:rPr>
      </w:pPr>
      <w:r w:rsidRPr="0043425C">
        <w:rPr>
          <w:b/>
          <w:bCs/>
          <w:i/>
          <w:iCs/>
        </w:rPr>
        <w:t xml:space="preserve">III. </w:t>
      </w:r>
      <w:r w:rsidRPr="0043425C">
        <w:rPr>
          <w:bCs/>
          <w:i/>
          <w:iCs/>
        </w:rPr>
        <w:t>Asignar a las dependencias de la Administración Pública Municipal, el personal necesario para el ejercicio de sus atribuciones, suscribiendo los contratos respectivos en coordinación con la Unidad Jurídica;</w:t>
      </w:r>
    </w:p>
    <w:p w14:paraId="7052EEC7" w14:textId="114090B3" w:rsidR="00185D7D" w:rsidRPr="0043425C" w:rsidRDefault="00185D7D" w:rsidP="004A6284">
      <w:pPr>
        <w:spacing w:line="240" w:lineRule="auto"/>
        <w:ind w:left="851" w:right="822"/>
        <w:rPr>
          <w:b/>
          <w:bCs/>
          <w:i/>
          <w:iCs/>
        </w:rPr>
      </w:pPr>
      <w:r w:rsidRPr="0043425C">
        <w:rPr>
          <w:b/>
          <w:bCs/>
          <w:i/>
          <w:iCs/>
        </w:rPr>
        <w:lastRenderedPageBreak/>
        <w:t>(…)</w:t>
      </w:r>
    </w:p>
    <w:p w14:paraId="58084D18" w14:textId="77777777" w:rsidR="00185D7D" w:rsidRPr="0043425C" w:rsidRDefault="00185D7D" w:rsidP="004A6284">
      <w:pPr>
        <w:spacing w:line="240" w:lineRule="auto"/>
        <w:ind w:left="851" w:right="822"/>
        <w:rPr>
          <w:b/>
          <w:bCs/>
          <w:i/>
          <w:iCs/>
        </w:rPr>
      </w:pPr>
    </w:p>
    <w:p w14:paraId="5182827C" w14:textId="3FAD8635" w:rsidR="00185D7D" w:rsidRPr="0043425C" w:rsidRDefault="00185D7D" w:rsidP="004A6284">
      <w:pPr>
        <w:spacing w:before="240" w:after="240"/>
        <w:rPr>
          <w:noProof/>
        </w:rPr>
      </w:pPr>
      <w:r w:rsidRPr="0043425C">
        <w:rPr>
          <w:noProof/>
        </w:rPr>
        <w:t xml:space="preserve">Disposiciones legales de las que se advierte que, para el ejercicio de sus atribuciones, </w:t>
      </w:r>
      <w:r w:rsidR="004A777C" w:rsidRPr="0043425C">
        <w:rPr>
          <w:noProof/>
        </w:rPr>
        <w:t>la Administración Pública Municipal se auxiliara de diversas unidades admnitrativas siendo de nuestro especial interes la Direción de Adminitración</w:t>
      </w:r>
      <w:r w:rsidRPr="0043425C">
        <w:rPr>
          <w:noProof/>
        </w:rPr>
        <w:t>.</w:t>
      </w:r>
    </w:p>
    <w:p w14:paraId="09D28133" w14:textId="6FA1DC36" w:rsidR="004A777C" w:rsidRPr="0043425C" w:rsidRDefault="004A777C" w:rsidP="004A6284">
      <w:pPr>
        <w:tabs>
          <w:tab w:val="left" w:pos="4962"/>
        </w:tabs>
        <w:spacing w:after="240"/>
      </w:pPr>
      <w:r w:rsidRPr="0043425C">
        <w:t>Referido</w:t>
      </w:r>
      <w:r w:rsidR="00185D7D" w:rsidRPr="0043425C">
        <w:t xml:space="preserve"> lo anterior, y </w:t>
      </w:r>
      <w:r w:rsidRPr="0043425C">
        <w:t>en el contexto de la información peticionada es de referir que Una vez determinada la controversia a resolver, a efecto de delimitar la naturaleza de la información solicitada, es conveniente traer a contexto lo previsto en la Guía técnica 07. La administración del personal municipal del Instituto Nacional de Administración Pública</w:t>
      </w:r>
      <w:r w:rsidRPr="0043425C">
        <w:rPr>
          <w:vertAlign w:val="superscript"/>
        </w:rPr>
        <w:footnoteReference w:id="1"/>
      </w:r>
      <w:r w:rsidRPr="0043425C">
        <w:t>, en la cual establece que dentro de las actividades básicas de la administración de personal, tal como lo es la terminación de la relación laboral, esta actividad es definida de la siguiente manera:</w:t>
      </w:r>
    </w:p>
    <w:p w14:paraId="6BB326FD" w14:textId="77777777" w:rsidR="004A777C" w:rsidRPr="0043425C" w:rsidRDefault="004A777C" w:rsidP="004A6284">
      <w:pPr>
        <w:pStyle w:val="Puesto"/>
        <w:tabs>
          <w:tab w:val="left" w:pos="8222"/>
        </w:tabs>
        <w:ind w:left="851" w:right="822" w:firstLine="0"/>
        <w:rPr>
          <w:color w:val="auto"/>
        </w:rPr>
      </w:pPr>
      <w:bookmarkStart w:id="29" w:name="_heading=h.rcvz7e4se108" w:colFirst="0" w:colLast="0"/>
      <w:bookmarkEnd w:id="29"/>
      <w:r w:rsidRPr="0043425C">
        <w:rPr>
          <w:color w:val="auto"/>
        </w:rPr>
        <w:t>“</w:t>
      </w:r>
      <w:r w:rsidRPr="0043425C">
        <w:rPr>
          <w:b/>
          <w:color w:val="auto"/>
        </w:rPr>
        <w:t>Terminación de la relación laboral:</w:t>
      </w:r>
      <w:r w:rsidRPr="0043425C">
        <w:rPr>
          <w:color w:val="auto"/>
        </w:rPr>
        <w:t xml:space="preserve"> Un empleado puede dejar de prestar sus servicios al municipio por diferentes casusas, como son: jubilación, renuncia, terminación, suspensión o rescisión del contrato.” (Sic)</w:t>
      </w:r>
    </w:p>
    <w:p w14:paraId="52EBB138" w14:textId="77777777" w:rsidR="004A777C" w:rsidRPr="0043425C" w:rsidRDefault="004A777C" w:rsidP="004A6284">
      <w:pPr>
        <w:tabs>
          <w:tab w:val="left" w:pos="4962"/>
        </w:tabs>
      </w:pPr>
    </w:p>
    <w:p w14:paraId="36FA8E2E" w14:textId="77777777" w:rsidR="004A777C" w:rsidRPr="0043425C" w:rsidRDefault="004A777C" w:rsidP="004A6284">
      <w:pPr>
        <w:tabs>
          <w:tab w:val="left" w:pos="4962"/>
        </w:tabs>
      </w:pPr>
      <w:r w:rsidRPr="0043425C">
        <w:t xml:space="preserve">Por su parte, los artículos 89, 92, 94 y 95 de la Ley de Trabajo de los Servidores Públicos del Estado y Municipios, establece lo siguiente: </w:t>
      </w:r>
    </w:p>
    <w:p w14:paraId="452D5693" w14:textId="77777777" w:rsidR="004A777C" w:rsidRPr="0043425C" w:rsidRDefault="004A777C" w:rsidP="004A6284">
      <w:pPr>
        <w:spacing w:after="160" w:line="259" w:lineRule="auto"/>
        <w:ind w:right="49"/>
      </w:pPr>
    </w:p>
    <w:p w14:paraId="775F1366" w14:textId="77777777" w:rsidR="004A777C" w:rsidRPr="0043425C" w:rsidRDefault="004A777C" w:rsidP="004A6284">
      <w:pPr>
        <w:pStyle w:val="Puesto"/>
        <w:ind w:left="851" w:right="824" w:firstLine="0"/>
        <w:rPr>
          <w:color w:val="auto"/>
        </w:rPr>
      </w:pPr>
      <w:r w:rsidRPr="0043425C">
        <w:rPr>
          <w:b/>
          <w:color w:val="auto"/>
        </w:rPr>
        <w:t>“ARTÍCULO 89.</w:t>
      </w:r>
      <w:r w:rsidRPr="0043425C">
        <w:rPr>
          <w:color w:val="auto"/>
        </w:rPr>
        <w:t xml:space="preserve"> Son </w:t>
      </w:r>
      <w:r w:rsidRPr="0043425C">
        <w:rPr>
          <w:b/>
          <w:color w:val="auto"/>
        </w:rPr>
        <w:t>causas de terminación de la relación laboral</w:t>
      </w:r>
      <w:r w:rsidRPr="0043425C">
        <w:rPr>
          <w:color w:val="auto"/>
        </w:rPr>
        <w:t xml:space="preserve"> sin responsabilidad para las instituciones públicas: </w:t>
      </w:r>
    </w:p>
    <w:p w14:paraId="157833A2" w14:textId="77777777" w:rsidR="004A777C" w:rsidRPr="0043425C" w:rsidRDefault="004A777C" w:rsidP="004A6284">
      <w:pPr>
        <w:pStyle w:val="Puesto"/>
        <w:ind w:left="851" w:right="824" w:firstLine="0"/>
        <w:rPr>
          <w:color w:val="auto"/>
        </w:rPr>
      </w:pPr>
      <w:r w:rsidRPr="0043425C">
        <w:rPr>
          <w:b/>
          <w:color w:val="auto"/>
        </w:rPr>
        <w:t>I.</w:t>
      </w:r>
      <w:r w:rsidRPr="0043425C">
        <w:rPr>
          <w:color w:val="auto"/>
        </w:rPr>
        <w:t xml:space="preserve"> La renuncia del servidor público; </w:t>
      </w:r>
    </w:p>
    <w:p w14:paraId="3F617FD4" w14:textId="77777777" w:rsidR="004A777C" w:rsidRPr="0043425C" w:rsidRDefault="004A777C" w:rsidP="004A6284">
      <w:pPr>
        <w:pStyle w:val="Puesto"/>
        <w:ind w:left="851" w:right="824" w:firstLine="0"/>
        <w:rPr>
          <w:color w:val="auto"/>
        </w:rPr>
      </w:pPr>
      <w:r w:rsidRPr="0043425C">
        <w:rPr>
          <w:b/>
          <w:color w:val="auto"/>
        </w:rPr>
        <w:t>II.</w:t>
      </w:r>
      <w:r w:rsidRPr="0043425C">
        <w:rPr>
          <w:color w:val="auto"/>
        </w:rPr>
        <w:t xml:space="preserve"> El mutuo consentimiento de las partes; </w:t>
      </w:r>
    </w:p>
    <w:p w14:paraId="1A71C7C7" w14:textId="77777777" w:rsidR="004A777C" w:rsidRPr="0043425C" w:rsidRDefault="004A777C" w:rsidP="004A6284">
      <w:pPr>
        <w:pStyle w:val="Puesto"/>
        <w:ind w:left="851" w:right="824" w:firstLine="0"/>
        <w:rPr>
          <w:color w:val="auto"/>
        </w:rPr>
      </w:pPr>
      <w:r w:rsidRPr="0043425C">
        <w:rPr>
          <w:b/>
          <w:color w:val="auto"/>
        </w:rPr>
        <w:t>III.</w:t>
      </w:r>
      <w:r w:rsidRPr="0043425C">
        <w:rPr>
          <w:color w:val="auto"/>
        </w:rPr>
        <w:t xml:space="preserve"> El vencimiento del término o conclusión de la obra determinantes de la contratación; </w:t>
      </w:r>
    </w:p>
    <w:p w14:paraId="1A09D604" w14:textId="77777777" w:rsidR="004A777C" w:rsidRPr="0043425C" w:rsidRDefault="004A777C" w:rsidP="004A6284">
      <w:pPr>
        <w:pStyle w:val="Puesto"/>
        <w:ind w:left="851" w:right="824" w:firstLine="0"/>
        <w:rPr>
          <w:color w:val="auto"/>
        </w:rPr>
      </w:pPr>
      <w:r w:rsidRPr="0043425C">
        <w:rPr>
          <w:b/>
          <w:color w:val="auto"/>
        </w:rPr>
        <w:t>IV.</w:t>
      </w:r>
      <w:r w:rsidRPr="0043425C">
        <w:rPr>
          <w:color w:val="auto"/>
        </w:rPr>
        <w:t xml:space="preserve"> El término o conclusión de la administración en la cual fue contratado el servidor público a que se refiere el artículo 8 de ésta Ley; </w:t>
      </w:r>
    </w:p>
    <w:p w14:paraId="06641E30" w14:textId="77777777" w:rsidR="004A777C" w:rsidRPr="0043425C" w:rsidRDefault="004A777C" w:rsidP="004A6284">
      <w:pPr>
        <w:pStyle w:val="Puesto"/>
        <w:ind w:left="851" w:right="824" w:firstLine="0"/>
        <w:rPr>
          <w:color w:val="auto"/>
        </w:rPr>
      </w:pPr>
      <w:r w:rsidRPr="0043425C">
        <w:rPr>
          <w:b/>
          <w:color w:val="auto"/>
        </w:rPr>
        <w:lastRenderedPageBreak/>
        <w:t>V.</w:t>
      </w:r>
      <w:r w:rsidRPr="0043425C">
        <w:rPr>
          <w:color w:val="auto"/>
        </w:rPr>
        <w:t xml:space="preserve"> La muerte del servidor público; y </w:t>
      </w:r>
    </w:p>
    <w:p w14:paraId="49E6DCE5" w14:textId="77777777" w:rsidR="004A777C" w:rsidRPr="0043425C" w:rsidRDefault="004A777C" w:rsidP="004A6284">
      <w:pPr>
        <w:pStyle w:val="Puesto"/>
        <w:ind w:left="851" w:right="824" w:firstLine="0"/>
        <w:rPr>
          <w:color w:val="auto"/>
        </w:rPr>
      </w:pPr>
      <w:r w:rsidRPr="0043425C">
        <w:rPr>
          <w:b/>
          <w:color w:val="auto"/>
        </w:rPr>
        <w:t>VI.</w:t>
      </w:r>
      <w:r w:rsidRPr="0043425C">
        <w:rPr>
          <w:color w:val="auto"/>
        </w:rPr>
        <w:t xml:space="preserve"> La incapacidad permanente del servidor público que le impida el desempeño de sus labores.</w:t>
      </w:r>
    </w:p>
    <w:p w14:paraId="38B525A4" w14:textId="77777777" w:rsidR="004A777C" w:rsidRPr="0043425C" w:rsidRDefault="004A777C" w:rsidP="004A6284">
      <w:pPr>
        <w:pStyle w:val="Puesto"/>
        <w:ind w:left="851" w:right="824" w:firstLine="0"/>
        <w:rPr>
          <w:color w:val="auto"/>
        </w:rPr>
      </w:pPr>
    </w:p>
    <w:p w14:paraId="1871E65D" w14:textId="77777777" w:rsidR="004A777C" w:rsidRPr="0043425C" w:rsidRDefault="004A777C" w:rsidP="004A6284">
      <w:pPr>
        <w:pStyle w:val="Puesto"/>
        <w:ind w:left="851" w:right="824" w:firstLine="0"/>
        <w:rPr>
          <w:b/>
          <w:color w:val="auto"/>
        </w:rPr>
      </w:pPr>
      <w:r w:rsidRPr="0043425C">
        <w:rPr>
          <w:b/>
          <w:color w:val="auto"/>
        </w:rPr>
        <w:t>ARTÍCULO 92.</w:t>
      </w:r>
      <w:r w:rsidRPr="0043425C">
        <w:rPr>
          <w:color w:val="auto"/>
        </w:rPr>
        <w:t xml:space="preserve"> </w:t>
      </w:r>
      <w:r w:rsidRPr="0043425C">
        <w:rPr>
          <w:b/>
          <w:color w:val="auto"/>
        </w:rPr>
        <w:t xml:space="preserve">El servidor público o la institución pública podrán rescindir en cualquier tiempo, por causa justificada, la relación laboral. </w:t>
      </w:r>
    </w:p>
    <w:p w14:paraId="649F32D5" w14:textId="77777777" w:rsidR="004A777C" w:rsidRPr="0043425C" w:rsidRDefault="004A777C" w:rsidP="004A6284">
      <w:pPr>
        <w:pStyle w:val="Puesto"/>
        <w:ind w:left="851" w:right="824" w:firstLine="0"/>
        <w:rPr>
          <w:b/>
          <w:color w:val="auto"/>
        </w:rPr>
      </w:pPr>
    </w:p>
    <w:p w14:paraId="4A6E064C" w14:textId="77777777" w:rsidR="004A777C" w:rsidRPr="0043425C" w:rsidRDefault="004A777C" w:rsidP="004A6284">
      <w:pPr>
        <w:pStyle w:val="Puesto"/>
        <w:ind w:left="851" w:right="824" w:firstLine="0"/>
        <w:rPr>
          <w:color w:val="auto"/>
        </w:rPr>
      </w:pPr>
      <w:r w:rsidRPr="0043425C">
        <w:rPr>
          <w:b/>
          <w:color w:val="auto"/>
        </w:rPr>
        <w:t>ARTÍCULO 94.</w:t>
      </w:r>
      <w:r w:rsidRPr="0043425C">
        <w:rPr>
          <w:color w:val="auto"/>
        </w:rPr>
        <w:t xml:space="preserve"> La </w:t>
      </w:r>
      <w:r w:rsidRPr="0043425C">
        <w:rPr>
          <w:b/>
          <w:color w:val="auto"/>
        </w:rPr>
        <w:t>institución pública deberá dar aviso por escrito al servidor público de manera personal, de la fecha y causa o causas de la rescisión de la relación laboral.</w:t>
      </w:r>
      <w:r w:rsidRPr="0043425C">
        <w:rPr>
          <w:color w:val="auto"/>
        </w:rPr>
        <w:t xml:space="preserve"> </w:t>
      </w:r>
    </w:p>
    <w:p w14:paraId="79F4612E" w14:textId="77777777" w:rsidR="004A777C" w:rsidRPr="0043425C" w:rsidRDefault="004A777C" w:rsidP="004A6284">
      <w:pPr>
        <w:pStyle w:val="Puesto"/>
        <w:ind w:left="851" w:right="824" w:firstLine="0"/>
        <w:rPr>
          <w:color w:val="auto"/>
        </w:rPr>
      </w:pPr>
      <w:r w:rsidRPr="0043425C">
        <w:rPr>
          <w:color w:val="auto"/>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2F411E2B" w14:textId="77777777" w:rsidR="004A777C" w:rsidRPr="0043425C" w:rsidRDefault="004A777C" w:rsidP="004A6284">
      <w:pPr>
        <w:pStyle w:val="Puesto"/>
        <w:ind w:left="851" w:right="824" w:firstLine="0"/>
        <w:rPr>
          <w:color w:val="auto"/>
        </w:rPr>
      </w:pPr>
      <w:r w:rsidRPr="0043425C">
        <w:rPr>
          <w:color w:val="auto"/>
        </w:rPr>
        <w:t>La falta de aviso al servidor público, al Tribunal o a la Sala por sí sola bastará para considerar que el despido fue injustificado.</w:t>
      </w:r>
    </w:p>
    <w:p w14:paraId="702F2638" w14:textId="77777777" w:rsidR="004A777C" w:rsidRPr="0043425C" w:rsidRDefault="004A777C" w:rsidP="004A6284">
      <w:pPr>
        <w:pStyle w:val="Puesto"/>
        <w:ind w:left="851" w:right="824" w:firstLine="0"/>
        <w:rPr>
          <w:color w:val="auto"/>
        </w:rPr>
      </w:pPr>
    </w:p>
    <w:p w14:paraId="5BDA20F0" w14:textId="77777777" w:rsidR="004A777C" w:rsidRPr="0043425C" w:rsidRDefault="004A777C" w:rsidP="004A6284">
      <w:pPr>
        <w:pStyle w:val="Puesto"/>
        <w:ind w:left="851" w:right="824" w:firstLine="0"/>
        <w:rPr>
          <w:color w:val="auto"/>
        </w:rPr>
      </w:pPr>
      <w:r w:rsidRPr="0043425C">
        <w:rPr>
          <w:b/>
          <w:color w:val="auto"/>
        </w:rPr>
        <w:t>ARTÍCULO 95. Son causas de rescisión de la relación laboral</w:t>
      </w:r>
      <w:r w:rsidRPr="0043425C">
        <w:rPr>
          <w:color w:val="auto"/>
        </w:rPr>
        <w:t>, sin responsabilidad para el servidor público:</w:t>
      </w:r>
    </w:p>
    <w:p w14:paraId="5A2E74EC" w14:textId="77777777" w:rsidR="004A777C" w:rsidRPr="0043425C" w:rsidRDefault="004A777C" w:rsidP="004A6284">
      <w:pPr>
        <w:pStyle w:val="Puesto"/>
        <w:ind w:left="851" w:right="824" w:firstLine="0"/>
        <w:rPr>
          <w:color w:val="auto"/>
        </w:rPr>
      </w:pPr>
      <w:r w:rsidRPr="0043425C">
        <w:rPr>
          <w:color w:val="auto"/>
        </w:rPr>
        <w:t>…</w:t>
      </w:r>
    </w:p>
    <w:p w14:paraId="4348647D" w14:textId="77777777" w:rsidR="004A777C" w:rsidRPr="0043425C" w:rsidRDefault="004A777C" w:rsidP="004A6284">
      <w:pPr>
        <w:pStyle w:val="Puesto"/>
        <w:ind w:left="851" w:right="824" w:firstLine="0"/>
        <w:rPr>
          <w:color w:val="auto"/>
        </w:rPr>
      </w:pPr>
      <w:r w:rsidRPr="0043425C">
        <w:rPr>
          <w:b/>
          <w:color w:val="auto"/>
        </w:rPr>
        <w:t xml:space="preserve">En estos casos, el servidor público podrá separarse de su trabajo dentro de los treinta días siguientes a la fecha en que se dé cualquiera de las causas </w:t>
      </w:r>
      <w:r w:rsidRPr="0043425C">
        <w:rPr>
          <w:color w:val="auto"/>
        </w:rPr>
        <w:t>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4B43F8AF" w14:textId="77777777" w:rsidR="004A777C" w:rsidRPr="0043425C" w:rsidRDefault="004A777C" w:rsidP="004A6284">
      <w:pPr>
        <w:pStyle w:val="Puesto"/>
        <w:ind w:left="851" w:right="824" w:firstLine="0"/>
        <w:rPr>
          <w:color w:val="auto"/>
        </w:rPr>
      </w:pPr>
      <w:r w:rsidRPr="0043425C">
        <w:rPr>
          <w:color w:val="auto"/>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09A83349" w14:textId="77777777" w:rsidR="004A777C" w:rsidRPr="0043425C" w:rsidRDefault="004A777C" w:rsidP="004A6284">
      <w:pPr>
        <w:pStyle w:val="Puesto"/>
        <w:ind w:firstLine="567"/>
        <w:rPr>
          <w:color w:val="auto"/>
        </w:rPr>
      </w:pPr>
    </w:p>
    <w:p w14:paraId="14C4259A" w14:textId="4B1D177E" w:rsidR="004A777C" w:rsidRPr="0043425C" w:rsidRDefault="004A777C" w:rsidP="004A6284">
      <w:pPr>
        <w:tabs>
          <w:tab w:val="left" w:pos="426"/>
        </w:tabs>
      </w:pPr>
      <w:r w:rsidRPr="0043425C">
        <w:lastRenderedPageBreak/>
        <w:t>De lo anterior, podemos advertir que la terminación de la relación laboral se puede dar por diversas causas como la renuncia del servidor público, el mutuo consentimiento de las partes, vencimiento del término o conclusión de la obra determinantes de la contratación, término o conclusión de la administración en la cual fue contratado el servidor público a que se refiere el artículo 89 de ésta Ley,  muerte del servidor público y la incapacidad permanente del servidor público que le impida el desempeño de sus labores.</w:t>
      </w:r>
    </w:p>
    <w:p w14:paraId="43E3539F" w14:textId="77777777" w:rsidR="004A777C" w:rsidRPr="0043425C" w:rsidRDefault="004A777C" w:rsidP="004A6284">
      <w:pPr>
        <w:tabs>
          <w:tab w:val="left" w:pos="426"/>
        </w:tabs>
      </w:pPr>
    </w:p>
    <w:p w14:paraId="643BAAD9" w14:textId="3CE9EFE0" w:rsidR="004A777C" w:rsidRPr="0043425C" w:rsidRDefault="004A777C" w:rsidP="004A6284">
      <w:pPr>
        <w:spacing w:before="240" w:after="240"/>
        <w:ind w:right="49"/>
        <w:rPr>
          <w:rFonts w:cs="Tahoma"/>
          <w:bCs/>
          <w:lang w:val="es-ES"/>
        </w:rPr>
      </w:pPr>
      <w:r w:rsidRPr="0043425C">
        <w:t xml:space="preserve">Ahora bien, por cuanto hace a la información que no fue proporcionada </w:t>
      </w:r>
      <w:r w:rsidRPr="0043425C">
        <w:rPr>
          <w:b/>
          <w:bCs/>
        </w:rPr>
        <w:t>EL</w:t>
      </w:r>
      <w:r w:rsidRPr="0043425C">
        <w:t xml:space="preserve"> </w:t>
      </w:r>
      <w:r w:rsidRPr="0043425C">
        <w:rPr>
          <w:b/>
          <w:bCs/>
        </w:rPr>
        <w:t>SUJETO OBLIGADO</w:t>
      </w:r>
      <w:r w:rsidRPr="0043425C">
        <w:t xml:space="preserve"> </w:t>
      </w:r>
      <w:r w:rsidRPr="0043425C">
        <w:rPr>
          <w:rFonts w:eastAsia="Calibri"/>
          <w:bCs/>
        </w:rPr>
        <w:t>refirió que después de un búsqueda exhaustiva en los archivos de este</w:t>
      </w:r>
      <w:r w:rsidR="009D0F33" w:rsidRPr="0043425C">
        <w:rPr>
          <w:rFonts w:eastAsia="Calibri"/>
          <w:bCs/>
        </w:rPr>
        <w:t xml:space="preserve"> y del expediente del ex Servidor Público</w:t>
      </w:r>
      <w:r w:rsidRPr="0043425C">
        <w:rPr>
          <w:rFonts w:eastAsia="Calibri"/>
          <w:bCs/>
        </w:rPr>
        <w:t xml:space="preserve">, la información solicitada no obra en ellos </w:t>
      </w:r>
      <w:r w:rsidR="009D0F33" w:rsidRPr="0043425C">
        <w:rPr>
          <w:rFonts w:eastAsia="Calibri"/>
          <w:bCs/>
        </w:rPr>
        <w:t>razón por la cual no puede proporcionar la información</w:t>
      </w:r>
      <w:r w:rsidRPr="0043425C">
        <w:rPr>
          <w:rFonts w:eastAsia="Calibri"/>
          <w:bCs/>
        </w:rPr>
        <w:t xml:space="preserve">, por lo </w:t>
      </w:r>
      <w:r w:rsidRPr="0043425C">
        <w:rPr>
          <w:rFonts w:cs="Tahoma"/>
          <w:bCs/>
          <w:lang w:val="es-ES"/>
        </w:rPr>
        <w:t xml:space="preserve">el Comité de Transparencia emitió la declaratoria formal de inexistencia a través del acuerdo </w:t>
      </w:r>
      <w:r w:rsidR="003E3896" w:rsidRPr="0043425C">
        <w:rPr>
          <w:rFonts w:cs="Tahoma"/>
          <w:bCs/>
          <w:lang w:val="es-ES"/>
        </w:rPr>
        <w:t>02/CT/S-EXTRAORDINARIA/10/2025</w:t>
      </w:r>
      <w:r w:rsidRPr="0043425C">
        <w:rPr>
          <w:rFonts w:cs="Tahoma"/>
          <w:bCs/>
          <w:lang w:val="es-ES"/>
        </w:rPr>
        <w:t>.</w:t>
      </w:r>
    </w:p>
    <w:p w14:paraId="601644EF" w14:textId="373908D5" w:rsidR="004A777C" w:rsidRPr="0043425C" w:rsidRDefault="004A777C" w:rsidP="004A6284">
      <w:pPr>
        <w:rPr>
          <w:rFonts w:cs="Arial"/>
        </w:rPr>
      </w:pPr>
      <w:r w:rsidRPr="0043425C">
        <w:t xml:space="preserve">Por lo anterior, se procede al análisis de la </w:t>
      </w:r>
      <w:r w:rsidRPr="0043425C">
        <w:rPr>
          <w:rFonts w:cs="Arial"/>
        </w:rPr>
        <w:t xml:space="preserve">declaratoria formal de Inexistencia de Información a probada a través del Acta de la Sexagésima Segunda Sesión Extraordinaria del Comité de Transparencia, por medio de la cual se confirma la Declaratoria de Inexistencia correspondiente a lo solicitado en el turno </w:t>
      </w:r>
      <w:r w:rsidR="003E3896" w:rsidRPr="0043425C">
        <w:rPr>
          <w:rFonts w:cs="Arial"/>
          <w:b/>
        </w:rPr>
        <w:t>00183/JOSERIN/IP/2025</w:t>
      </w:r>
      <w:r w:rsidRPr="0043425C">
        <w:rPr>
          <w:rFonts w:cs="Arial"/>
          <w:b/>
        </w:rPr>
        <w:t xml:space="preserve">, </w:t>
      </w:r>
      <w:r w:rsidRPr="0043425C">
        <w:rPr>
          <w:rFonts w:cs="Arial"/>
        </w:rPr>
        <w:t xml:space="preserve">a fin de determinar si la misma cumple con las formalidades necesarias para dar por satisfecho el derecho de acceso a la información ejercido por la particular; por lo que, en primer lugar, es necesario señalar que la Ley de Transparencia y Acceso a la Información Pública del Estado De México y Municipios establece en su artículo 19 que si </w:t>
      </w:r>
      <w:r w:rsidRPr="0043425C">
        <w:rPr>
          <w:rFonts w:cs="Arial"/>
          <w:b/>
        </w:rPr>
        <w:t>EL SUJETO OBLIGADO</w:t>
      </w:r>
      <w:r w:rsidRPr="0043425C">
        <w:rPr>
          <w:rFonts w:cs="Arial"/>
        </w:rPr>
        <w:t xml:space="preserve"> en el ejercicio de sus atribuciones debía contar con la información y la misma no existe, entonces deberá emitir el Acuerdo de Inexistencia correspondiente por medio de su Comité de Transparencia:</w:t>
      </w:r>
    </w:p>
    <w:p w14:paraId="515F7990" w14:textId="77777777" w:rsidR="004A777C" w:rsidRPr="0043425C" w:rsidRDefault="004A777C" w:rsidP="004A6284">
      <w:pPr>
        <w:rPr>
          <w:rFonts w:cs="Arial"/>
        </w:rPr>
      </w:pPr>
    </w:p>
    <w:p w14:paraId="56C76300" w14:textId="77777777" w:rsidR="004A777C" w:rsidRPr="0043425C" w:rsidRDefault="004A777C" w:rsidP="004A6284">
      <w:pPr>
        <w:tabs>
          <w:tab w:val="left" w:pos="851"/>
        </w:tabs>
        <w:spacing w:line="240" w:lineRule="auto"/>
        <w:ind w:left="851" w:right="822"/>
        <w:rPr>
          <w:i/>
          <w:lang w:val="es-ES"/>
        </w:rPr>
      </w:pPr>
      <w:r w:rsidRPr="0043425C">
        <w:rPr>
          <w:i/>
          <w:lang w:val="es-ES"/>
        </w:rPr>
        <w:lastRenderedPageBreak/>
        <w:t>“</w:t>
      </w:r>
      <w:r w:rsidRPr="0043425C">
        <w:rPr>
          <w:b/>
          <w:i/>
          <w:lang w:val="es-ES"/>
        </w:rPr>
        <w:t>Artículo 19.</w:t>
      </w:r>
      <w:r w:rsidRPr="0043425C">
        <w:rPr>
          <w:i/>
          <w:lang w:val="es-ES"/>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w:t>
      </w:r>
    </w:p>
    <w:p w14:paraId="3A2DE119" w14:textId="77777777" w:rsidR="004A777C" w:rsidRPr="0043425C" w:rsidRDefault="004A777C" w:rsidP="004A6284">
      <w:pPr>
        <w:tabs>
          <w:tab w:val="left" w:pos="851"/>
        </w:tabs>
        <w:spacing w:line="240" w:lineRule="auto"/>
        <w:ind w:left="851" w:right="822"/>
        <w:rPr>
          <w:i/>
          <w:lang w:val="es-ES"/>
        </w:rPr>
      </w:pPr>
      <w:r w:rsidRPr="0043425C">
        <w:rPr>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0D215DB8" w14:textId="77777777" w:rsidR="004A777C" w:rsidRPr="0043425C" w:rsidRDefault="004A777C" w:rsidP="004A6284">
      <w:pPr>
        <w:tabs>
          <w:tab w:val="left" w:pos="851"/>
        </w:tabs>
        <w:spacing w:line="240" w:lineRule="auto"/>
        <w:ind w:left="851" w:right="822"/>
        <w:rPr>
          <w:i/>
          <w:lang w:val="es-ES"/>
        </w:rPr>
      </w:pPr>
      <w:r w:rsidRPr="0043425C">
        <w:rPr>
          <w:i/>
          <w:lang w:val="es-ES"/>
        </w:rPr>
        <w:t>(Énfasis añadido)</w:t>
      </w:r>
    </w:p>
    <w:p w14:paraId="541502F5" w14:textId="77777777" w:rsidR="004A777C" w:rsidRPr="0043425C" w:rsidRDefault="004A777C" w:rsidP="004A6284"/>
    <w:p w14:paraId="451F43CD" w14:textId="77777777" w:rsidR="004A777C" w:rsidRPr="0043425C" w:rsidRDefault="004A777C" w:rsidP="004A6284">
      <w:r w:rsidRPr="0043425C">
        <w:t>Este acuerdo, conforme a lo que establece el artículo en cita, deberá estar debidamente fundado y motivado, estableciendo de forma detallada las razones por las cuales la información no obra en sus archivos.</w:t>
      </w:r>
    </w:p>
    <w:p w14:paraId="5B78DE4C" w14:textId="77777777" w:rsidR="004A777C" w:rsidRPr="0043425C" w:rsidRDefault="004A777C" w:rsidP="004A6284"/>
    <w:p w14:paraId="46F4E6BF" w14:textId="77777777" w:rsidR="004A777C" w:rsidRPr="0043425C" w:rsidRDefault="004A777C" w:rsidP="004A6284">
      <w:r w:rsidRPr="0043425C">
        <w:t>Por su parte, el artículo 169 de la Ley de Transparencia y Acceso a la Información Pública del Estado de México y Municipios, contempla los pasos a seguir cuando la información no se encuentre en los archivos del Sujeto Obligado:</w:t>
      </w:r>
    </w:p>
    <w:p w14:paraId="3C44FEC2" w14:textId="77777777" w:rsidR="004A777C" w:rsidRPr="0043425C" w:rsidRDefault="004A777C" w:rsidP="004A6284"/>
    <w:p w14:paraId="3DEE3C5B" w14:textId="77777777" w:rsidR="004A777C" w:rsidRPr="0043425C" w:rsidRDefault="004A777C" w:rsidP="004A6284">
      <w:pPr>
        <w:tabs>
          <w:tab w:val="left" w:pos="851"/>
          <w:tab w:val="center" w:pos="8080"/>
        </w:tabs>
        <w:spacing w:line="240" w:lineRule="auto"/>
        <w:ind w:left="851" w:right="901"/>
        <w:rPr>
          <w:i/>
          <w:lang w:val="es-ES"/>
        </w:rPr>
      </w:pPr>
      <w:r w:rsidRPr="0043425C">
        <w:rPr>
          <w:i/>
          <w:lang w:val="es-ES"/>
        </w:rPr>
        <w:t>“</w:t>
      </w:r>
      <w:r w:rsidRPr="0043425C">
        <w:rPr>
          <w:b/>
          <w:i/>
          <w:lang w:val="es-ES"/>
        </w:rPr>
        <w:t xml:space="preserve">Artículo 169. </w:t>
      </w:r>
      <w:r w:rsidRPr="0043425C">
        <w:rPr>
          <w:i/>
          <w:lang w:val="es-ES"/>
        </w:rPr>
        <w:t xml:space="preserve">Cuando la información no se encuentre en los archivos del sujeto obligado, el Comité de Transparencia: </w:t>
      </w:r>
    </w:p>
    <w:p w14:paraId="778E4DC4" w14:textId="77777777" w:rsidR="004A777C" w:rsidRPr="0043425C" w:rsidRDefault="004A777C" w:rsidP="004A6284">
      <w:pPr>
        <w:tabs>
          <w:tab w:val="left" w:pos="851"/>
          <w:tab w:val="center" w:pos="8080"/>
        </w:tabs>
        <w:spacing w:line="240" w:lineRule="auto"/>
        <w:ind w:left="851" w:right="901"/>
        <w:rPr>
          <w:i/>
          <w:lang w:val="es-ES"/>
        </w:rPr>
      </w:pPr>
      <w:r w:rsidRPr="0043425C">
        <w:rPr>
          <w:b/>
          <w:i/>
          <w:lang w:val="es-ES"/>
        </w:rPr>
        <w:t>I.</w:t>
      </w:r>
      <w:r w:rsidRPr="0043425C">
        <w:rPr>
          <w:i/>
          <w:lang w:val="es-ES"/>
        </w:rPr>
        <w:t xml:space="preserve"> Analizará el caso y tomará las medidas necesarias para localizar la información; </w:t>
      </w:r>
    </w:p>
    <w:p w14:paraId="294A48D2" w14:textId="77777777" w:rsidR="004A777C" w:rsidRPr="0043425C" w:rsidRDefault="004A777C" w:rsidP="004A6284">
      <w:pPr>
        <w:tabs>
          <w:tab w:val="left" w:pos="851"/>
          <w:tab w:val="center" w:pos="8080"/>
        </w:tabs>
        <w:spacing w:line="240" w:lineRule="auto"/>
        <w:ind w:left="851" w:right="901"/>
        <w:rPr>
          <w:i/>
          <w:lang w:val="es-ES"/>
        </w:rPr>
      </w:pPr>
      <w:r w:rsidRPr="0043425C">
        <w:rPr>
          <w:b/>
          <w:i/>
          <w:lang w:val="es-ES"/>
        </w:rPr>
        <w:t>II.</w:t>
      </w:r>
      <w:r w:rsidRPr="0043425C">
        <w:rPr>
          <w:i/>
          <w:lang w:val="es-ES"/>
        </w:rPr>
        <w:t xml:space="preserve"> Expedirá una resolución que confirme la inexistencia del documento; </w:t>
      </w:r>
    </w:p>
    <w:p w14:paraId="21D87A6E" w14:textId="77777777" w:rsidR="004A777C" w:rsidRPr="0043425C" w:rsidRDefault="004A777C" w:rsidP="004A6284">
      <w:pPr>
        <w:tabs>
          <w:tab w:val="left" w:pos="851"/>
          <w:tab w:val="center" w:pos="8080"/>
        </w:tabs>
        <w:spacing w:line="240" w:lineRule="auto"/>
        <w:ind w:left="851" w:right="901"/>
        <w:rPr>
          <w:i/>
          <w:lang w:val="es-ES"/>
        </w:rPr>
      </w:pPr>
      <w:r w:rsidRPr="0043425C">
        <w:rPr>
          <w:b/>
          <w:i/>
          <w:lang w:val="es-ES"/>
        </w:rPr>
        <w:t xml:space="preserve">III. </w:t>
      </w:r>
      <w:r w:rsidRPr="0043425C">
        <w:rPr>
          <w:i/>
          <w:lang w:val="es-ES"/>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8DD9526" w14:textId="77777777" w:rsidR="004A777C" w:rsidRPr="0043425C" w:rsidRDefault="004A777C" w:rsidP="004A6284">
      <w:pPr>
        <w:tabs>
          <w:tab w:val="left" w:pos="851"/>
          <w:tab w:val="center" w:pos="8080"/>
        </w:tabs>
        <w:spacing w:line="240" w:lineRule="auto"/>
        <w:ind w:left="851" w:right="901"/>
        <w:rPr>
          <w:i/>
          <w:lang w:val="es-ES"/>
        </w:rPr>
      </w:pPr>
      <w:r w:rsidRPr="0043425C">
        <w:rPr>
          <w:b/>
          <w:i/>
          <w:lang w:val="es-ES"/>
        </w:rPr>
        <w:t>IV.</w:t>
      </w:r>
      <w:r w:rsidRPr="0043425C">
        <w:rPr>
          <w:i/>
          <w:lang w:val="es-ES"/>
        </w:rPr>
        <w:t xml:space="preserve"> Notificará al órgano interno de control o equivalente del sujeto obligado quien, en su caso, deberá iniciar el procedimiento de responsabilidad administrativa que corresponda. </w:t>
      </w:r>
    </w:p>
    <w:p w14:paraId="37AF7559" w14:textId="77777777" w:rsidR="004A777C" w:rsidRPr="0043425C" w:rsidRDefault="004A777C" w:rsidP="004A6284">
      <w:pPr>
        <w:tabs>
          <w:tab w:val="left" w:pos="851"/>
          <w:tab w:val="center" w:pos="8080"/>
        </w:tabs>
        <w:spacing w:line="240" w:lineRule="auto"/>
        <w:ind w:left="851" w:right="901"/>
        <w:rPr>
          <w:i/>
          <w:lang w:val="es-ES"/>
        </w:rPr>
      </w:pPr>
      <w:r w:rsidRPr="0043425C">
        <w:rPr>
          <w:i/>
          <w:lang w:val="es-ES"/>
        </w:rPr>
        <w:lastRenderedPageBreak/>
        <w:t xml:space="preserve">La Unidad de Transparencia deberá notificarlo al solicitante por escrito, en un plazo que no exceda de quince días hábiles contados a partir del día siguiente a la presentación de la solicitud. </w:t>
      </w:r>
    </w:p>
    <w:p w14:paraId="6135A70E" w14:textId="77777777" w:rsidR="004A777C" w:rsidRPr="0043425C" w:rsidRDefault="004A777C" w:rsidP="004A6284">
      <w:pPr>
        <w:tabs>
          <w:tab w:val="left" w:pos="851"/>
          <w:tab w:val="center" w:pos="8080"/>
        </w:tabs>
        <w:spacing w:line="240" w:lineRule="auto"/>
        <w:ind w:left="851" w:right="901"/>
        <w:rPr>
          <w:i/>
          <w:lang w:val="es-ES"/>
        </w:rPr>
      </w:pPr>
      <w:r w:rsidRPr="0043425C">
        <w:rPr>
          <w:i/>
          <w:lang w:val="es-ES"/>
        </w:rPr>
        <w:t xml:space="preserve">Este plazo podrá ampliarse hasta por otros siete días hábiles, siempre que existan razones para ello, debiendo notificarse por escrito al solicitante.” </w:t>
      </w:r>
    </w:p>
    <w:p w14:paraId="6256A81D" w14:textId="77777777" w:rsidR="004A777C" w:rsidRPr="0043425C" w:rsidRDefault="004A777C" w:rsidP="004A6284">
      <w:pPr>
        <w:tabs>
          <w:tab w:val="left" w:pos="851"/>
          <w:tab w:val="center" w:pos="8080"/>
        </w:tabs>
        <w:spacing w:line="240" w:lineRule="auto"/>
        <w:ind w:left="851" w:right="901"/>
        <w:rPr>
          <w:i/>
          <w:lang w:val="es-ES"/>
        </w:rPr>
      </w:pPr>
      <w:r w:rsidRPr="0043425C">
        <w:rPr>
          <w:i/>
          <w:lang w:val="es-ES"/>
        </w:rPr>
        <w:t>(Énfasis añadido)</w:t>
      </w:r>
    </w:p>
    <w:p w14:paraId="317C4D2F" w14:textId="77777777" w:rsidR="004A777C" w:rsidRPr="0043425C" w:rsidRDefault="004A777C" w:rsidP="004A6284">
      <w:pPr>
        <w:tabs>
          <w:tab w:val="left" w:pos="851"/>
        </w:tabs>
        <w:ind w:left="851" w:right="901"/>
        <w:rPr>
          <w:i/>
          <w:lang w:val="es-ES"/>
        </w:rPr>
      </w:pPr>
    </w:p>
    <w:p w14:paraId="08A9C617" w14:textId="77777777" w:rsidR="004A777C" w:rsidRPr="0043425C" w:rsidRDefault="004A777C" w:rsidP="004A6284">
      <w:r w:rsidRPr="0043425C">
        <w:t xml:space="preserve">De los preceptos legales señalados, se advierte que en los casos en que la información solicitada no se encuentre en los archivos del </w:t>
      </w:r>
      <w:r w:rsidRPr="0043425C">
        <w:rPr>
          <w:b/>
        </w:rPr>
        <w:t>SUJETO OBLIGADO</w:t>
      </w:r>
      <w:r w:rsidRPr="0043425C">
        <w:t xml:space="preserve">, es el Comité de Transparencia al que le corresponde analizar el caso y tomar las medidas necesarias para localización de la información requerida y en su caso ordenará, 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43425C">
        <w:rPr>
          <w:b/>
        </w:rPr>
        <w:t>SUJETO OBLIGADO</w:t>
      </w:r>
      <w:r w:rsidRPr="0043425C">
        <w:t>, a fin de que inicie el procedimiento de responsabilidad administrativa correspondiente.</w:t>
      </w:r>
    </w:p>
    <w:p w14:paraId="742114CD" w14:textId="77777777" w:rsidR="004A777C" w:rsidRPr="0043425C" w:rsidRDefault="004A777C" w:rsidP="004A6284"/>
    <w:p w14:paraId="3428025F" w14:textId="77777777" w:rsidR="004A777C" w:rsidRPr="0043425C" w:rsidRDefault="004A777C" w:rsidP="004A6284">
      <w:r w:rsidRPr="0043425C">
        <w:t xml:space="preserve">Asimismo, se establecerá de manera fundada y motivada las razones del por qué no obra en sus archivos; así como los criterios y los métodos de búsqueda de la información utilizados; así como todas aquellas circunstancias de modo, tiempo y lugar que se tomaron en cuenta para llegar a determinar que no obra en los archivos la información requerida. </w:t>
      </w:r>
    </w:p>
    <w:p w14:paraId="7DEFC0C3" w14:textId="77777777" w:rsidR="004A777C" w:rsidRPr="0043425C" w:rsidRDefault="004A777C" w:rsidP="004A6284"/>
    <w:p w14:paraId="71C2F944" w14:textId="77777777" w:rsidR="004A777C" w:rsidRPr="0043425C" w:rsidRDefault="004A777C" w:rsidP="004A6284">
      <w:r w:rsidRPr="0043425C">
        <w:t xml:space="preserve">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w:t>
      </w:r>
      <w:r w:rsidRPr="0043425C">
        <w:lastRenderedPageBreak/>
        <w:t>Municipios, en sus numerales CUARENTA Y CUATRO, así como CUARENTA Y CINCO, para mayor referencia se insertan a continuación:</w:t>
      </w:r>
    </w:p>
    <w:p w14:paraId="5FE18C6E" w14:textId="77777777" w:rsidR="004A777C" w:rsidRPr="0043425C" w:rsidRDefault="004A777C" w:rsidP="004A6284"/>
    <w:p w14:paraId="6AD532FF" w14:textId="77777777" w:rsidR="004A777C" w:rsidRPr="0043425C" w:rsidRDefault="004A777C" w:rsidP="004A6284">
      <w:pPr>
        <w:tabs>
          <w:tab w:val="left" w:pos="851"/>
        </w:tabs>
        <w:spacing w:line="240" w:lineRule="auto"/>
        <w:ind w:left="851" w:right="901"/>
        <w:rPr>
          <w:i/>
          <w:lang w:val="es-ES"/>
        </w:rPr>
      </w:pPr>
      <w:r w:rsidRPr="0043425C">
        <w:rPr>
          <w:i/>
          <w:lang w:val="es-ES"/>
        </w:rPr>
        <w:t>“</w:t>
      </w:r>
      <w:r w:rsidRPr="0043425C">
        <w:rPr>
          <w:b/>
          <w:i/>
          <w:lang w:val="es-ES"/>
        </w:rPr>
        <w:t xml:space="preserve">CUARENTA Y CUATRO.- </w:t>
      </w:r>
      <w:r w:rsidRPr="0043425C">
        <w:rPr>
          <w:i/>
          <w:lang w:val="es-ES"/>
        </w:rPr>
        <w:t xml:space="preserve">Cuando la información solicitada no exista en lso archivos del Sujeto Obligado, el responsable de la Unidad de Información deberá turnar la solicitud al Comité de Información para su análisis y resolución y, en su caso, declaratoria de inexistencia. </w:t>
      </w:r>
    </w:p>
    <w:p w14:paraId="10125514" w14:textId="77777777" w:rsidR="004A777C" w:rsidRPr="0043425C" w:rsidRDefault="004A777C" w:rsidP="004A6284">
      <w:pPr>
        <w:tabs>
          <w:tab w:val="left" w:pos="851"/>
        </w:tabs>
        <w:spacing w:line="240" w:lineRule="auto"/>
        <w:ind w:left="851" w:right="901"/>
        <w:rPr>
          <w:i/>
          <w:lang w:val="es-ES"/>
        </w:rPr>
      </w:pPr>
    </w:p>
    <w:p w14:paraId="2A569E3C" w14:textId="77777777" w:rsidR="004A777C" w:rsidRPr="0043425C" w:rsidRDefault="004A777C" w:rsidP="004A6284">
      <w:pPr>
        <w:tabs>
          <w:tab w:val="left" w:pos="851"/>
        </w:tabs>
        <w:spacing w:line="240" w:lineRule="auto"/>
        <w:ind w:left="851" w:right="901"/>
        <w:rPr>
          <w:i/>
          <w:lang w:val="es-ES"/>
        </w:rPr>
      </w:pPr>
      <w:r w:rsidRPr="0043425C">
        <w:rPr>
          <w:b/>
          <w:i/>
          <w:lang w:val="es-ES"/>
        </w:rPr>
        <w:t xml:space="preserve">CUARENTA Y CINCO.- </w:t>
      </w:r>
      <w:r w:rsidRPr="0043425C">
        <w:rPr>
          <w:i/>
          <w:lang w:val="es-ES"/>
        </w:rPr>
        <w:t xml:space="preserve">La declaratoria de inexistencia que emita el Comité para la determinación de inexistencia en sus archivos de la información solicitada deberá precisar: </w:t>
      </w:r>
    </w:p>
    <w:p w14:paraId="58011F97" w14:textId="77777777" w:rsidR="004A777C" w:rsidRPr="0043425C" w:rsidRDefault="004A777C" w:rsidP="004A6284">
      <w:pPr>
        <w:tabs>
          <w:tab w:val="left" w:pos="851"/>
        </w:tabs>
        <w:spacing w:line="240" w:lineRule="auto"/>
        <w:ind w:left="851" w:right="901"/>
        <w:rPr>
          <w:i/>
          <w:lang w:val="es-ES"/>
        </w:rPr>
      </w:pPr>
    </w:p>
    <w:p w14:paraId="3E25BBBF"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 xml:space="preserve">Lugar  fecha de la resolución; </w:t>
      </w:r>
    </w:p>
    <w:p w14:paraId="48A06AB3"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El nombre del solicitante;</w:t>
      </w:r>
    </w:p>
    <w:p w14:paraId="4D2A2679"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 xml:space="preserve">La información Solicitada; </w:t>
      </w:r>
    </w:p>
    <w:p w14:paraId="6512DACE"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 xml:space="preserve">El fundamento y motivo por el cual se determina que la información solicitada no obra en sus archivos; </w:t>
      </w:r>
    </w:p>
    <w:p w14:paraId="1F60EB6D"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El número de acuerdo emitido;</w:t>
      </w:r>
    </w:p>
    <w:p w14:paraId="64347F39"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Hacer del conocimiento al solicitante de que tiene derecho a interponer el recurso de revisión respectivo, en el término de 15 días hábiles contados a partir del día siguiente de que haya surtido efectos la notificación de dicha resolución; y</w:t>
      </w:r>
    </w:p>
    <w:p w14:paraId="4D01AA9D" w14:textId="77777777" w:rsidR="004A777C" w:rsidRPr="0043425C" w:rsidRDefault="004A777C" w:rsidP="004A6284">
      <w:pPr>
        <w:pStyle w:val="Prrafodelista"/>
        <w:numPr>
          <w:ilvl w:val="0"/>
          <w:numId w:val="32"/>
        </w:numPr>
        <w:tabs>
          <w:tab w:val="left" w:pos="851"/>
        </w:tabs>
        <w:spacing w:line="240" w:lineRule="auto"/>
        <w:ind w:right="901"/>
        <w:contextualSpacing w:val="0"/>
        <w:rPr>
          <w:i/>
          <w:lang w:val="es-ES"/>
        </w:rPr>
      </w:pPr>
      <w:r w:rsidRPr="0043425C">
        <w:rPr>
          <w:i/>
          <w:lang w:val="es-ES"/>
        </w:rPr>
        <w:t xml:space="preserve">Los nombres y firmas autógrafas de los integrantes del Comité de información.” </w:t>
      </w:r>
    </w:p>
    <w:p w14:paraId="53FB1B01" w14:textId="77777777" w:rsidR="004A777C" w:rsidRPr="0043425C" w:rsidRDefault="004A777C" w:rsidP="004A6284">
      <w:pPr>
        <w:tabs>
          <w:tab w:val="left" w:pos="851"/>
        </w:tabs>
        <w:spacing w:line="240" w:lineRule="auto"/>
        <w:ind w:left="851" w:right="901"/>
        <w:rPr>
          <w:i/>
          <w:lang w:val="es-ES"/>
        </w:rPr>
      </w:pPr>
      <w:r w:rsidRPr="0043425C">
        <w:rPr>
          <w:i/>
          <w:lang w:val="es-ES"/>
        </w:rPr>
        <w:t>(Énfasis añadido)</w:t>
      </w:r>
    </w:p>
    <w:p w14:paraId="366A780B" w14:textId="77777777" w:rsidR="006837A8" w:rsidRPr="0043425C" w:rsidRDefault="006837A8" w:rsidP="004A6284">
      <w:pPr>
        <w:spacing w:before="240" w:after="240"/>
        <w:ind w:right="49"/>
        <w:rPr>
          <w:rFonts w:cs="Arial"/>
        </w:rPr>
      </w:pPr>
    </w:p>
    <w:p w14:paraId="5900E03A" w14:textId="77777777" w:rsidR="004A777C" w:rsidRPr="0043425C" w:rsidRDefault="004A777C" w:rsidP="004A6284">
      <w:pPr>
        <w:spacing w:before="240" w:after="240"/>
        <w:ind w:right="49"/>
        <w:rPr>
          <w:rFonts w:cs="Tahoma"/>
          <w:bCs/>
          <w:lang w:val="es-ES"/>
        </w:rPr>
      </w:pPr>
      <w:r w:rsidRPr="0043425C">
        <w:rPr>
          <w:rFonts w:cs="Arial"/>
        </w:rPr>
        <w:t xml:space="preserve">Por ello, como se prevé en los criterios anteriores, es necesario que los </w:t>
      </w:r>
      <w:r w:rsidRPr="0043425C">
        <w:rPr>
          <w:rFonts w:cs="Arial"/>
          <w:b/>
        </w:rPr>
        <w:t>SUJETOS OBLIGADOS</w:t>
      </w:r>
      <w:r w:rsidRPr="0043425C">
        <w:rPr>
          <w:rFonts w:cs="Arial"/>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deberá precisar en el Acuerdo respectivo los siguientes datos:</w:t>
      </w:r>
    </w:p>
    <w:p w14:paraId="11A704B0" w14:textId="77777777" w:rsidR="004A777C" w:rsidRPr="0043425C" w:rsidRDefault="004A777C" w:rsidP="004A6284">
      <w:pPr>
        <w:spacing w:before="240" w:after="240"/>
        <w:ind w:right="49"/>
        <w:rPr>
          <w:rFonts w:cs="Tahoma"/>
          <w:bCs/>
          <w:lang w:val="es-E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425"/>
        <w:gridCol w:w="1842"/>
      </w:tblGrid>
      <w:tr w:rsidR="004A6284" w:rsidRPr="0043425C" w14:paraId="43DF3CDB" w14:textId="77777777" w:rsidTr="004A777C">
        <w:trPr>
          <w:tblHeader/>
        </w:trPr>
        <w:tc>
          <w:tcPr>
            <w:tcW w:w="1800" w:type="dxa"/>
            <w:shd w:val="clear" w:color="auto" w:fill="BFBFBF" w:themeFill="background1" w:themeFillShade="BF"/>
            <w:vAlign w:val="center"/>
          </w:tcPr>
          <w:p w14:paraId="4F6B91D4" w14:textId="77777777" w:rsidR="004A777C" w:rsidRPr="0043425C" w:rsidRDefault="004A777C" w:rsidP="004A6284">
            <w:pPr>
              <w:widowControl w:val="0"/>
              <w:spacing w:line="276" w:lineRule="auto"/>
              <w:jc w:val="center"/>
              <w:rPr>
                <w:b/>
              </w:rPr>
            </w:pPr>
            <w:r w:rsidRPr="0043425C">
              <w:rPr>
                <w:b/>
              </w:rPr>
              <w:t xml:space="preserve">Requisitos </w:t>
            </w:r>
          </w:p>
        </w:tc>
        <w:tc>
          <w:tcPr>
            <w:tcW w:w="5425" w:type="dxa"/>
            <w:shd w:val="clear" w:color="auto" w:fill="BFBFBF" w:themeFill="background1" w:themeFillShade="BF"/>
            <w:vAlign w:val="center"/>
          </w:tcPr>
          <w:p w14:paraId="6CC64D33" w14:textId="77777777" w:rsidR="004A777C" w:rsidRPr="0043425C" w:rsidRDefault="004A777C" w:rsidP="004A6284">
            <w:pPr>
              <w:widowControl w:val="0"/>
              <w:spacing w:line="276" w:lineRule="auto"/>
              <w:jc w:val="center"/>
              <w:rPr>
                <w:b/>
              </w:rPr>
            </w:pPr>
            <w:r w:rsidRPr="0043425C">
              <w:rPr>
                <w:b/>
              </w:rPr>
              <w:t>Acuerdo</w:t>
            </w:r>
          </w:p>
        </w:tc>
        <w:tc>
          <w:tcPr>
            <w:tcW w:w="1842" w:type="dxa"/>
            <w:shd w:val="clear" w:color="auto" w:fill="BFBFBF" w:themeFill="background1" w:themeFillShade="BF"/>
            <w:vAlign w:val="center"/>
          </w:tcPr>
          <w:p w14:paraId="0E8C9FE8" w14:textId="77777777" w:rsidR="004A777C" w:rsidRPr="0043425C" w:rsidRDefault="004A777C" w:rsidP="004A6284">
            <w:pPr>
              <w:widowControl w:val="0"/>
              <w:spacing w:line="276" w:lineRule="auto"/>
              <w:jc w:val="center"/>
              <w:rPr>
                <w:b/>
              </w:rPr>
            </w:pPr>
            <w:r w:rsidRPr="0043425C">
              <w:rPr>
                <w:b/>
              </w:rPr>
              <w:t>¿Colma?</w:t>
            </w:r>
          </w:p>
        </w:tc>
      </w:tr>
      <w:tr w:rsidR="004A6284" w:rsidRPr="0043425C" w14:paraId="7D0EE369" w14:textId="77777777" w:rsidTr="004A777C">
        <w:trPr>
          <w:trHeight w:val="1680"/>
        </w:trPr>
        <w:tc>
          <w:tcPr>
            <w:tcW w:w="1800" w:type="dxa"/>
            <w:shd w:val="clear" w:color="auto" w:fill="auto"/>
            <w:tcMar>
              <w:top w:w="100" w:type="dxa"/>
              <w:left w:w="100" w:type="dxa"/>
              <w:bottom w:w="100" w:type="dxa"/>
              <w:right w:w="100" w:type="dxa"/>
            </w:tcMar>
          </w:tcPr>
          <w:p w14:paraId="662E7286" w14:textId="77777777" w:rsidR="004A777C" w:rsidRPr="0043425C" w:rsidRDefault="004A777C" w:rsidP="004A6284">
            <w:pPr>
              <w:widowControl w:val="0"/>
              <w:spacing w:line="276" w:lineRule="auto"/>
            </w:pPr>
            <w:r w:rsidRPr="0043425C">
              <w:t xml:space="preserve">Lugar y fecha de la resolución </w:t>
            </w:r>
          </w:p>
        </w:tc>
        <w:tc>
          <w:tcPr>
            <w:tcW w:w="5425" w:type="dxa"/>
          </w:tcPr>
          <w:p w14:paraId="1EEC7E23" w14:textId="32A604C3" w:rsidR="004A777C" w:rsidRPr="0043425C" w:rsidRDefault="003E3896" w:rsidP="004A6284">
            <w:pPr>
              <w:widowControl w:val="0"/>
              <w:spacing w:line="276" w:lineRule="auto"/>
              <w:rPr>
                <w:i/>
                <w:sz w:val="20"/>
              </w:rPr>
            </w:pPr>
            <w:r w:rsidRPr="0043425C">
              <w:rPr>
                <w:i/>
                <w:noProof/>
                <w:sz w:val="20"/>
              </w:rPr>
              <w:drawing>
                <wp:inline distT="0" distB="0" distL="0" distR="0" wp14:anchorId="26118CC0" wp14:editId="0A516869">
                  <wp:extent cx="3307715" cy="1085215"/>
                  <wp:effectExtent l="0" t="0" r="6985"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7715" cy="1085215"/>
                          </a:xfrm>
                          <a:prstGeom prst="rect">
                            <a:avLst/>
                          </a:prstGeom>
                        </pic:spPr>
                      </pic:pic>
                    </a:graphicData>
                  </a:graphic>
                </wp:inline>
              </w:drawing>
            </w:r>
          </w:p>
        </w:tc>
        <w:tc>
          <w:tcPr>
            <w:tcW w:w="1842" w:type="dxa"/>
            <w:vAlign w:val="center"/>
          </w:tcPr>
          <w:p w14:paraId="71AFB710" w14:textId="77777777" w:rsidR="004A777C" w:rsidRPr="0043425C" w:rsidRDefault="004A777C" w:rsidP="004A6284">
            <w:pPr>
              <w:widowControl w:val="0"/>
              <w:spacing w:line="276" w:lineRule="auto"/>
              <w:jc w:val="center"/>
              <w:rPr>
                <w:b/>
              </w:rPr>
            </w:pPr>
            <w:r w:rsidRPr="0043425C">
              <w:rPr>
                <w:b/>
              </w:rPr>
              <w:t>Sí</w:t>
            </w:r>
          </w:p>
        </w:tc>
      </w:tr>
      <w:tr w:rsidR="004A6284" w:rsidRPr="0043425C" w14:paraId="7E3044DC" w14:textId="77777777" w:rsidTr="004A777C">
        <w:trPr>
          <w:trHeight w:val="1005"/>
        </w:trPr>
        <w:tc>
          <w:tcPr>
            <w:tcW w:w="1800" w:type="dxa"/>
            <w:shd w:val="clear" w:color="auto" w:fill="auto"/>
            <w:tcMar>
              <w:top w:w="100" w:type="dxa"/>
              <w:left w:w="100" w:type="dxa"/>
              <w:bottom w:w="100" w:type="dxa"/>
              <w:right w:w="100" w:type="dxa"/>
            </w:tcMar>
          </w:tcPr>
          <w:p w14:paraId="3F372410" w14:textId="77777777" w:rsidR="004A777C" w:rsidRPr="0043425C" w:rsidRDefault="004A777C" w:rsidP="004A6284">
            <w:pPr>
              <w:widowControl w:val="0"/>
              <w:spacing w:line="276" w:lineRule="auto"/>
            </w:pPr>
            <w:r w:rsidRPr="0043425C">
              <w:t xml:space="preserve">Nombre del Solicitante </w:t>
            </w:r>
          </w:p>
        </w:tc>
        <w:tc>
          <w:tcPr>
            <w:tcW w:w="5425" w:type="dxa"/>
          </w:tcPr>
          <w:p w14:paraId="416F4976" w14:textId="701F42A2" w:rsidR="004A777C" w:rsidRPr="0043425C" w:rsidRDefault="004A777C" w:rsidP="004A6284">
            <w:pPr>
              <w:widowControl w:val="0"/>
              <w:spacing w:line="276" w:lineRule="auto"/>
              <w:rPr>
                <w:sz w:val="20"/>
              </w:rPr>
            </w:pPr>
          </w:p>
        </w:tc>
        <w:tc>
          <w:tcPr>
            <w:tcW w:w="1842" w:type="dxa"/>
            <w:vAlign w:val="center"/>
          </w:tcPr>
          <w:p w14:paraId="656210ED" w14:textId="20B4DEC4" w:rsidR="004A777C" w:rsidRPr="0043425C" w:rsidRDefault="003E3896" w:rsidP="004A6284">
            <w:pPr>
              <w:widowControl w:val="0"/>
              <w:spacing w:line="276" w:lineRule="auto"/>
              <w:jc w:val="center"/>
              <w:rPr>
                <w:b/>
              </w:rPr>
            </w:pPr>
            <w:r w:rsidRPr="0043425C">
              <w:rPr>
                <w:b/>
              </w:rPr>
              <w:t xml:space="preserve">No </w:t>
            </w:r>
          </w:p>
        </w:tc>
      </w:tr>
      <w:tr w:rsidR="004A6284" w:rsidRPr="0043425C" w14:paraId="450EB5A3" w14:textId="77777777" w:rsidTr="004A777C">
        <w:trPr>
          <w:trHeight w:val="1275"/>
        </w:trPr>
        <w:tc>
          <w:tcPr>
            <w:tcW w:w="1800" w:type="dxa"/>
            <w:shd w:val="clear" w:color="auto" w:fill="auto"/>
            <w:tcMar>
              <w:top w:w="100" w:type="dxa"/>
              <w:left w:w="100" w:type="dxa"/>
              <w:bottom w:w="100" w:type="dxa"/>
              <w:right w:w="100" w:type="dxa"/>
            </w:tcMar>
          </w:tcPr>
          <w:p w14:paraId="1CCEBA4A" w14:textId="77777777" w:rsidR="004A777C" w:rsidRPr="0043425C" w:rsidRDefault="004A777C" w:rsidP="004A6284">
            <w:pPr>
              <w:widowControl w:val="0"/>
              <w:spacing w:line="276" w:lineRule="auto"/>
            </w:pPr>
            <w:r w:rsidRPr="0043425C">
              <w:t xml:space="preserve">Información solicitada </w:t>
            </w:r>
          </w:p>
        </w:tc>
        <w:tc>
          <w:tcPr>
            <w:tcW w:w="5425" w:type="dxa"/>
          </w:tcPr>
          <w:p w14:paraId="41CD60DB" w14:textId="55D2BC46" w:rsidR="004A777C" w:rsidRPr="0043425C" w:rsidRDefault="004A777C" w:rsidP="004A6284">
            <w:pPr>
              <w:widowControl w:val="0"/>
              <w:spacing w:line="276" w:lineRule="auto"/>
              <w:rPr>
                <w:i/>
                <w:sz w:val="20"/>
              </w:rPr>
            </w:pPr>
          </w:p>
        </w:tc>
        <w:tc>
          <w:tcPr>
            <w:tcW w:w="1842" w:type="dxa"/>
            <w:vAlign w:val="center"/>
          </w:tcPr>
          <w:p w14:paraId="7F097F55" w14:textId="2378889B" w:rsidR="004A777C" w:rsidRPr="0043425C" w:rsidRDefault="003E3896" w:rsidP="004A6284">
            <w:pPr>
              <w:widowControl w:val="0"/>
              <w:spacing w:line="276" w:lineRule="auto"/>
              <w:jc w:val="center"/>
              <w:rPr>
                <w:b/>
              </w:rPr>
            </w:pPr>
            <w:r w:rsidRPr="0043425C">
              <w:rPr>
                <w:b/>
              </w:rPr>
              <w:t>No</w:t>
            </w:r>
          </w:p>
          <w:p w14:paraId="2A66CE8D" w14:textId="77777777" w:rsidR="004A777C" w:rsidRPr="0043425C" w:rsidRDefault="004A777C" w:rsidP="004A6284">
            <w:pPr>
              <w:widowControl w:val="0"/>
              <w:spacing w:line="276" w:lineRule="auto"/>
              <w:jc w:val="center"/>
              <w:rPr>
                <w:b/>
              </w:rPr>
            </w:pPr>
          </w:p>
        </w:tc>
      </w:tr>
      <w:tr w:rsidR="004A6284" w:rsidRPr="0043425C" w14:paraId="5447990F" w14:textId="77777777" w:rsidTr="004A777C">
        <w:trPr>
          <w:trHeight w:val="1650"/>
        </w:trPr>
        <w:tc>
          <w:tcPr>
            <w:tcW w:w="1800" w:type="dxa"/>
            <w:shd w:val="clear" w:color="auto" w:fill="auto"/>
            <w:tcMar>
              <w:top w:w="100" w:type="dxa"/>
              <w:left w:w="100" w:type="dxa"/>
              <w:bottom w:w="100" w:type="dxa"/>
              <w:right w:w="100" w:type="dxa"/>
            </w:tcMar>
          </w:tcPr>
          <w:p w14:paraId="605B13D1" w14:textId="77777777" w:rsidR="004A777C" w:rsidRPr="0043425C" w:rsidRDefault="004A777C" w:rsidP="004A6284">
            <w:pPr>
              <w:widowControl w:val="0"/>
              <w:spacing w:line="276" w:lineRule="auto"/>
            </w:pPr>
            <w:r w:rsidRPr="0043425C">
              <w:t xml:space="preserve">Fundamento o motivo por el cual se determina que la información no obra en los archivos. </w:t>
            </w:r>
          </w:p>
        </w:tc>
        <w:tc>
          <w:tcPr>
            <w:tcW w:w="5425" w:type="dxa"/>
          </w:tcPr>
          <w:p w14:paraId="1BE126B4" w14:textId="1D450733" w:rsidR="004A777C" w:rsidRPr="0043425C" w:rsidRDefault="004A777C" w:rsidP="004A6284">
            <w:pPr>
              <w:widowControl w:val="0"/>
              <w:spacing w:line="276" w:lineRule="auto"/>
              <w:rPr>
                <w:sz w:val="20"/>
              </w:rPr>
            </w:pPr>
          </w:p>
        </w:tc>
        <w:tc>
          <w:tcPr>
            <w:tcW w:w="1842" w:type="dxa"/>
            <w:vAlign w:val="center"/>
          </w:tcPr>
          <w:p w14:paraId="279683B6" w14:textId="3C6D7199" w:rsidR="004A777C" w:rsidRPr="0043425C" w:rsidRDefault="003E3896" w:rsidP="004A6284">
            <w:pPr>
              <w:widowControl w:val="0"/>
              <w:spacing w:line="276" w:lineRule="auto"/>
              <w:jc w:val="center"/>
              <w:rPr>
                <w:b/>
              </w:rPr>
            </w:pPr>
            <w:r w:rsidRPr="0043425C">
              <w:rPr>
                <w:b/>
              </w:rPr>
              <w:t>No</w:t>
            </w:r>
          </w:p>
        </w:tc>
      </w:tr>
      <w:tr w:rsidR="004A6284" w:rsidRPr="0043425C" w14:paraId="45ED937D" w14:textId="77777777" w:rsidTr="004A777C">
        <w:trPr>
          <w:trHeight w:val="1110"/>
        </w:trPr>
        <w:tc>
          <w:tcPr>
            <w:tcW w:w="1800" w:type="dxa"/>
            <w:shd w:val="clear" w:color="auto" w:fill="auto"/>
            <w:tcMar>
              <w:top w:w="100" w:type="dxa"/>
              <w:left w:w="100" w:type="dxa"/>
              <w:bottom w:w="100" w:type="dxa"/>
              <w:right w:w="100" w:type="dxa"/>
            </w:tcMar>
          </w:tcPr>
          <w:p w14:paraId="59C7BA47" w14:textId="77777777" w:rsidR="004A777C" w:rsidRPr="0043425C" w:rsidRDefault="004A777C" w:rsidP="004A6284">
            <w:pPr>
              <w:widowControl w:val="0"/>
              <w:spacing w:line="276" w:lineRule="auto"/>
            </w:pPr>
            <w:r w:rsidRPr="0043425C">
              <w:t xml:space="preserve">Número de acuerdo emitido </w:t>
            </w:r>
          </w:p>
        </w:tc>
        <w:tc>
          <w:tcPr>
            <w:tcW w:w="5425" w:type="dxa"/>
          </w:tcPr>
          <w:p w14:paraId="5E4209DC" w14:textId="77B5BCB9" w:rsidR="004A777C" w:rsidRPr="0043425C" w:rsidRDefault="003E3896" w:rsidP="004A6284">
            <w:pPr>
              <w:widowControl w:val="0"/>
              <w:spacing w:line="276" w:lineRule="auto"/>
              <w:rPr>
                <w:i/>
                <w:sz w:val="20"/>
              </w:rPr>
            </w:pPr>
            <w:r w:rsidRPr="0043425C">
              <w:rPr>
                <w:i/>
                <w:noProof/>
                <w:sz w:val="20"/>
              </w:rPr>
              <w:drawing>
                <wp:inline distT="0" distB="0" distL="0" distR="0" wp14:anchorId="1215F228" wp14:editId="6EF7A033">
                  <wp:extent cx="3219899" cy="30484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9899" cy="304843"/>
                          </a:xfrm>
                          <a:prstGeom prst="rect">
                            <a:avLst/>
                          </a:prstGeom>
                        </pic:spPr>
                      </pic:pic>
                    </a:graphicData>
                  </a:graphic>
                </wp:inline>
              </w:drawing>
            </w:r>
          </w:p>
        </w:tc>
        <w:tc>
          <w:tcPr>
            <w:tcW w:w="1842" w:type="dxa"/>
            <w:vAlign w:val="center"/>
          </w:tcPr>
          <w:p w14:paraId="2681357C" w14:textId="77777777" w:rsidR="004A777C" w:rsidRPr="0043425C" w:rsidRDefault="004A777C" w:rsidP="004A6284">
            <w:pPr>
              <w:widowControl w:val="0"/>
              <w:spacing w:line="276" w:lineRule="auto"/>
              <w:jc w:val="center"/>
              <w:rPr>
                <w:b/>
              </w:rPr>
            </w:pPr>
            <w:r w:rsidRPr="0043425C">
              <w:rPr>
                <w:b/>
              </w:rPr>
              <w:t>Si</w:t>
            </w:r>
          </w:p>
        </w:tc>
      </w:tr>
      <w:tr w:rsidR="004A6284" w:rsidRPr="0043425C" w14:paraId="3EE6632C" w14:textId="77777777" w:rsidTr="004A777C">
        <w:tc>
          <w:tcPr>
            <w:tcW w:w="1800" w:type="dxa"/>
            <w:shd w:val="clear" w:color="auto" w:fill="auto"/>
            <w:tcMar>
              <w:top w:w="100" w:type="dxa"/>
              <w:left w:w="100" w:type="dxa"/>
              <w:bottom w:w="100" w:type="dxa"/>
              <w:right w:w="100" w:type="dxa"/>
            </w:tcMar>
          </w:tcPr>
          <w:p w14:paraId="463FFA27" w14:textId="77777777" w:rsidR="004A777C" w:rsidRPr="0043425C" w:rsidRDefault="004A777C" w:rsidP="004A6284">
            <w:pPr>
              <w:widowControl w:val="0"/>
              <w:spacing w:line="276" w:lineRule="auto"/>
            </w:pPr>
            <w:r w:rsidRPr="0043425C">
              <w:t xml:space="preserve">Hacer del conocimiento del solicitante </w:t>
            </w:r>
            <w:r w:rsidRPr="0043425C">
              <w:lastRenderedPageBreak/>
              <w:t xml:space="preserve">que puede interponer el Recurso de Revisión respectivo en un término de 15 días </w:t>
            </w:r>
          </w:p>
        </w:tc>
        <w:tc>
          <w:tcPr>
            <w:tcW w:w="5425" w:type="dxa"/>
          </w:tcPr>
          <w:p w14:paraId="1F6C788C" w14:textId="2CC9C328" w:rsidR="004A777C" w:rsidRPr="0043425C" w:rsidRDefault="004A777C" w:rsidP="004A6284">
            <w:pPr>
              <w:widowControl w:val="0"/>
              <w:spacing w:line="276" w:lineRule="auto"/>
              <w:rPr>
                <w:b/>
                <w:i/>
                <w:sz w:val="20"/>
              </w:rPr>
            </w:pPr>
          </w:p>
        </w:tc>
        <w:tc>
          <w:tcPr>
            <w:tcW w:w="1842" w:type="dxa"/>
            <w:vAlign w:val="center"/>
          </w:tcPr>
          <w:p w14:paraId="1F594630" w14:textId="689356AB" w:rsidR="004A777C" w:rsidRPr="0043425C" w:rsidRDefault="003E3896" w:rsidP="004A6284">
            <w:pPr>
              <w:widowControl w:val="0"/>
              <w:spacing w:line="276" w:lineRule="auto"/>
              <w:jc w:val="center"/>
              <w:rPr>
                <w:b/>
              </w:rPr>
            </w:pPr>
            <w:r w:rsidRPr="0043425C">
              <w:rPr>
                <w:b/>
              </w:rPr>
              <w:t>No</w:t>
            </w:r>
          </w:p>
        </w:tc>
      </w:tr>
      <w:tr w:rsidR="004A6284" w:rsidRPr="0043425C" w14:paraId="53D8229D" w14:textId="77777777" w:rsidTr="004A777C">
        <w:trPr>
          <w:trHeight w:val="33"/>
        </w:trPr>
        <w:tc>
          <w:tcPr>
            <w:tcW w:w="1800" w:type="dxa"/>
            <w:shd w:val="clear" w:color="auto" w:fill="auto"/>
            <w:tcMar>
              <w:top w:w="100" w:type="dxa"/>
              <w:left w:w="100" w:type="dxa"/>
              <w:bottom w:w="100" w:type="dxa"/>
              <w:right w:w="100" w:type="dxa"/>
            </w:tcMar>
          </w:tcPr>
          <w:p w14:paraId="2777709E" w14:textId="77777777" w:rsidR="004A777C" w:rsidRPr="0043425C" w:rsidRDefault="004A777C" w:rsidP="004A6284">
            <w:pPr>
              <w:widowControl w:val="0"/>
              <w:spacing w:line="276" w:lineRule="auto"/>
            </w:pPr>
            <w:r w:rsidRPr="0043425C">
              <w:t xml:space="preserve">Nombres y firmas de los integrantes del Comité </w:t>
            </w:r>
          </w:p>
        </w:tc>
        <w:tc>
          <w:tcPr>
            <w:tcW w:w="5425" w:type="dxa"/>
          </w:tcPr>
          <w:p w14:paraId="0650B4D0" w14:textId="15CAD405" w:rsidR="004A777C" w:rsidRPr="0043425C" w:rsidRDefault="00B21A21" w:rsidP="004A6284">
            <w:pPr>
              <w:widowControl w:val="0"/>
              <w:spacing w:line="276" w:lineRule="auto"/>
              <w:rPr>
                <w:i/>
                <w:sz w:val="20"/>
              </w:rPr>
            </w:pPr>
            <w:r w:rsidRPr="0043425C">
              <w:rPr>
                <w:i/>
                <w:noProof/>
                <w:sz w:val="20"/>
              </w:rPr>
              <w:drawing>
                <wp:inline distT="0" distB="0" distL="0" distR="0" wp14:anchorId="21347486" wp14:editId="7466EEB3">
                  <wp:extent cx="3307715" cy="2886710"/>
                  <wp:effectExtent l="0" t="0" r="6985"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07715" cy="2886710"/>
                          </a:xfrm>
                          <a:prstGeom prst="rect">
                            <a:avLst/>
                          </a:prstGeom>
                        </pic:spPr>
                      </pic:pic>
                    </a:graphicData>
                  </a:graphic>
                </wp:inline>
              </w:drawing>
            </w:r>
          </w:p>
        </w:tc>
        <w:tc>
          <w:tcPr>
            <w:tcW w:w="1842" w:type="dxa"/>
            <w:vAlign w:val="center"/>
          </w:tcPr>
          <w:p w14:paraId="61354655" w14:textId="77777777" w:rsidR="004A777C" w:rsidRPr="0043425C" w:rsidRDefault="004A777C" w:rsidP="004A6284">
            <w:pPr>
              <w:widowControl w:val="0"/>
              <w:spacing w:line="276" w:lineRule="auto"/>
              <w:jc w:val="center"/>
              <w:rPr>
                <w:b/>
              </w:rPr>
            </w:pPr>
            <w:r w:rsidRPr="0043425C">
              <w:rPr>
                <w:b/>
              </w:rPr>
              <w:t>Sí</w:t>
            </w:r>
          </w:p>
        </w:tc>
      </w:tr>
      <w:tr w:rsidR="004A777C" w:rsidRPr="0043425C" w14:paraId="358BDCD2" w14:textId="77777777" w:rsidTr="004A777C">
        <w:trPr>
          <w:trHeight w:val="33"/>
        </w:trPr>
        <w:tc>
          <w:tcPr>
            <w:tcW w:w="1800" w:type="dxa"/>
            <w:shd w:val="clear" w:color="auto" w:fill="auto"/>
            <w:tcMar>
              <w:top w:w="100" w:type="dxa"/>
              <w:left w:w="100" w:type="dxa"/>
              <w:bottom w:w="100" w:type="dxa"/>
              <w:right w:w="100" w:type="dxa"/>
            </w:tcMar>
          </w:tcPr>
          <w:p w14:paraId="25B4C4EB" w14:textId="77777777" w:rsidR="004A777C" w:rsidRPr="0043425C" w:rsidRDefault="004A777C" w:rsidP="004A6284">
            <w:pPr>
              <w:widowControl w:val="0"/>
              <w:spacing w:line="276" w:lineRule="auto"/>
            </w:pPr>
            <w:r w:rsidRPr="0043425C">
              <w:t xml:space="preserve">Notificación al Órgano Interno de Control </w:t>
            </w:r>
          </w:p>
        </w:tc>
        <w:tc>
          <w:tcPr>
            <w:tcW w:w="5425" w:type="dxa"/>
          </w:tcPr>
          <w:p w14:paraId="6441BB04" w14:textId="77777777" w:rsidR="004A777C" w:rsidRPr="0043425C" w:rsidRDefault="004A777C" w:rsidP="004A6284">
            <w:pPr>
              <w:widowControl w:val="0"/>
              <w:spacing w:line="276" w:lineRule="auto"/>
              <w:rPr>
                <w:b/>
                <w:sz w:val="20"/>
              </w:rPr>
            </w:pPr>
          </w:p>
        </w:tc>
        <w:tc>
          <w:tcPr>
            <w:tcW w:w="1842" w:type="dxa"/>
            <w:vAlign w:val="center"/>
          </w:tcPr>
          <w:p w14:paraId="48B07BD8" w14:textId="7ED6D8ED" w:rsidR="004A777C" w:rsidRPr="0043425C" w:rsidRDefault="00B21A21" w:rsidP="004A6284">
            <w:pPr>
              <w:widowControl w:val="0"/>
              <w:spacing w:line="276" w:lineRule="auto"/>
              <w:jc w:val="center"/>
              <w:rPr>
                <w:b/>
              </w:rPr>
            </w:pPr>
            <w:r w:rsidRPr="0043425C">
              <w:rPr>
                <w:b/>
              </w:rPr>
              <w:t>No</w:t>
            </w:r>
          </w:p>
        </w:tc>
      </w:tr>
    </w:tbl>
    <w:p w14:paraId="361B2872" w14:textId="134CFD47" w:rsidR="004A777C" w:rsidRPr="0043425C" w:rsidRDefault="004A777C" w:rsidP="004A6284">
      <w:pPr>
        <w:tabs>
          <w:tab w:val="left" w:pos="426"/>
        </w:tabs>
      </w:pPr>
    </w:p>
    <w:p w14:paraId="1A6CEB67" w14:textId="43977AE3" w:rsidR="00932DB4" w:rsidRPr="0043425C" w:rsidRDefault="00B21A21" w:rsidP="004A6284">
      <w:pPr>
        <w:tabs>
          <w:tab w:val="left" w:pos="426"/>
        </w:tabs>
      </w:pPr>
      <w:r w:rsidRPr="0043425C">
        <w:t xml:space="preserve">Del análisis anterior se advierte que par el presente caso </w:t>
      </w:r>
      <w:r w:rsidR="00DB539F" w:rsidRPr="0043425C">
        <w:t>la declaratoria de inexistencia de la información, no observar las formalidades exigidas por la Ley de Transparencia y Acceso a la Información Pública del Estado de México y Municipios, la Ley General de Transparencia y Acceso a la Información Pública, por lo que a</w:t>
      </w:r>
      <w:r w:rsidR="00932DB4" w:rsidRPr="0043425C">
        <w:t xml:space="preserve">tento a lo anterior y en virtud de la respuesta </w:t>
      </w:r>
      <w:r w:rsidR="00932DB4" w:rsidRPr="0043425C">
        <w:lastRenderedPageBreak/>
        <w:t xml:space="preserve">otorgada y ante la falta de remisión de informe justificado se advierte que, el ente recurrido </w:t>
      </w:r>
      <w:r w:rsidR="00932DB4" w:rsidRPr="0043425C">
        <w:rPr>
          <w:rFonts w:cs="Tahoma"/>
        </w:rPr>
        <w:t xml:space="preserve">no satisfizo correctamente el derecho de acceso </w:t>
      </w:r>
      <w:r w:rsidR="00932DB4" w:rsidRPr="0043425C">
        <w:rPr>
          <w:rFonts w:eastAsia="Calibri" w:cs="Tahoma"/>
          <w:bCs/>
        </w:rPr>
        <w:t xml:space="preserve">a la información de </w:t>
      </w:r>
      <w:r w:rsidR="00932DB4" w:rsidRPr="0043425C">
        <w:rPr>
          <w:rFonts w:eastAsia="Calibri" w:cs="Tahoma"/>
          <w:b/>
        </w:rPr>
        <w:t>LA PARTE RECURRENTE</w:t>
      </w:r>
      <w:r w:rsidR="00932DB4" w:rsidRPr="0043425C">
        <w:rPr>
          <w:rFonts w:eastAsia="Calibri" w:cs="Tahoma"/>
          <w:bCs/>
        </w:rPr>
        <w:t xml:space="preserve">, así que, </w:t>
      </w:r>
      <w:r w:rsidR="00932DB4" w:rsidRPr="0043425C">
        <w:rPr>
          <w:rFonts w:eastAsia="Calibri" w:cs="Tahoma"/>
          <w:b/>
          <w:bCs/>
        </w:rPr>
        <w:t xml:space="preserve">al incumplir dicho principio, </w:t>
      </w:r>
      <w:r w:rsidR="00932DB4" w:rsidRPr="0043425C">
        <w:rPr>
          <w:rFonts w:eastAsia="Calibri" w:cs="Tahoma"/>
        </w:rPr>
        <w:t xml:space="preserve">da como resultado que el agravio sea </w:t>
      </w:r>
      <w:r w:rsidR="00DB539F" w:rsidRPr="0043425C">
        <w:rPr>
          <w:rFonts w:eastAsia="Calibri" w:cs="Tahoma"/>
          <w:b/>
          <w:bCs/>
        </w:rPr>
        <w:t>FUNDADO</w:t>
      </w:r>
      <w:r w:rsidR="007F7DC8" w:rsidRPr="0043425C">
        <w:t>.</w:t>
      </w:r>
    </w:p>
    <w:p w14:paraId="25521DA6" w14:textId="77777777" w:rsidR="00DB539F" w:rsidRPr="0043425C" w:rsidRDefault="00DB539F" w:rsidP="004A6284">
      <w:pPr>
        <w:tabs>
          <w:tab w:val="left" w:pos="426"/>
        </w:tabs>
      </w:pPr>
    </w:p>
    <w:p w14:paraId="2FC4E802" w14:textId="2548E98C" w:rsidR="00762151" w:rsidRPr="0043425C" w:rsidRDefault="005557F7" w:rsidP="004A6284">
      <w:pPr>
        <w:rPr>
          <w:b/>
        </w:rPr>
      </w:pPr>
      <w:r w:rsidRPr="0043425C">
        <w:rPr>
          <w:rFonts w:eastAsia="Calibri" w:cs="Tahoma"/>
          <w:bCs/>
        </w:rPr>
        <w:t>E</w:t>
      </w:r>
      <w:r w:rsidR="003442FB" w:rsidRPr="0043425C">
        <w:rPr>
          <w:rFonts w:eastAsia="Calibri" w:cs="Tahoma"/>
          <w:bCs/>
        </w:rPr>
        <w:t>n consecuencia, se determina ordenar la entrega</w:t>
      </w:r>
      <w:r w:rsidR="00DB539F" w:rsidRPr="0043425C">
        <w:rPr>
          <w:rFonts w:eastAsia="Calibri" w:cs="Tahoma"/>
          <w:bCs/>
        </w:rPr>
        <w:t xml:space="preserve"> del acuerdo que declare formalmente la inexistencia de la información requerida a través de su Comité de Transparencia en términos de los artículos 19, 49, fracciones II y XIII, 169 y 170 de la Ley de Transparencia y Acceso a la Información Pública del Estado de México y Municipios.</w:t>
      </w:r>
    </w:p>
    <w:p w14:paraId="09E02675" w14:textId="19B73A6B" w:rsidR="005749F2" w:rsidRPr="0043425C" w:rsidRDefault="005749F2" w:rsidP="004A6284">
      <w:pPr>
        <w:widowControl w:val="0"/>
        <w:tabs>
          <w:tab w:val="left" w:pos="1701"/>
          <w:tab w:val="left" w:pos="1843"/>
        </w:tabs>
        <w:spacing w:after="240"/>
        <w:ind w:right="49"/>
      </w:pPr>
    </w:p>
    <w:p w14:paraId="79F25E25" w14:textId="4DD326A6" w:rsidR="00BA58B0" w:rsidRPr="0043425C" w:rsidRDefault="00902B23" w:rsidP="004A6284">
      <w:pPr>
        <w:pStyle w:val="Ttulo3"/>
      </w:pPr>
      <w:bookmarkStart w:id="30" w:name="_Toc211450631"/>
      <w:r w:rsidRPr="0043425C">
        <w:t>f</w:t>
      </w:r>
      <w:r w:rsidR="00B12DEC" w:rsidRPr="0043425C">
        <w:t>) Conclusión</w:t>
      </w:r>
      <w:bookmarkEnd w:id="30"/>
    </w:p>
    <w:p w14:paraId="62129D69" w14:textId="009566FC" w:rsidR="00BA58B0" w:rsidRPr="0043425C" w:rsidRDefault="00B12DEC" w:rsidP="004A6284">
      <w:pPr>
        <w:widowControl w:val="0"/>
        <w:tabs>
          <w:tab w:val="left" w:pos="1701"/>
          <w:tab w:val="left" w:pos="1843"/>
        </w:tabs>
        <w:spacing w:after="240"/>
      </w:pPr>
      <w:r w:rsidRPr="0043425C">
        <w:t xml:space="preserve">En conclusión y con base en lo anteriormente expuesto, este Instituto estima que las razones o motivos de inconformidad hechos valer por </w:t>
      </w:r>
      <w:r w:rsidRPr="0043425C">
        <w:rPr>
          <w:b/>
        </w:rPr>
        <w:t xml:space="preserve">LA PARTE RECURRENTE </w:t>
      </w:r>
      <w:r w:rsidRPr="0043425C">
        <w:t xml:space="preserve">devienen </w:t>
      </w:r>
      <w:r w:rsidRPr="0043425C">
        <w:rPr>
          <w:b/>
        </w:rPr>
        <w:t>fundadas</w:t>
      </w:r>
      <w:r w:rsidRPr="0043425C">
        <w:t xml:space="preserve"> y suficientes para </w:t>
      </w:r>
      <w:r w:rsidR="00CF4B65" w:rsidRPr="0043425C">
        <w:rPr>
          <w:b/>
        </w:rPr>
        <w:t>MODIFI</w:t>
      </w:r>
      <w:r w:rsidR="00FC653D" w:rsidRPr="0043425C">
        <w:rPr>
          <w:b/>
        </w:rPr>
        <w:t>CAR</w:t>
      </w:r>
      <w:r w:rsidRPr="0043425C">
        <w:rPr>
          <w:b/>
        </w:rPr>
        <w:t xml:space="preserve"> </w:t>
      </w:r>
      <w:r w:rsidRPr="0043425C">
        <w:t xml:space="preserve">la respuesta del </w:t>
      </w:r>
      <w:r w:rsidRPr="0043425C">
        <w:rPr>
          <w:b/>
        </w:rPr>
        <w:t>SUJETO OBLIGADO</w:t>
      </w:r>
      <w:r w:rsidRPr="0043425C">
        <w:t xml:space="preserve"> y ordenarle haga entrega de la información descrita en el presente Considerando.</w:t>
      </w:r>
    </w:p>
    <w:p w14:paraId="7F2DBB9A" w14:textId="71B9AEF3" w:rsidR="00BA58B0" w:rsidRPr="0043425C" w:rsidRDefault="00B12DEC" w:rsidP="004A6284">
      <w:pPr>
        <w:spacing w:after="240"/>
      </w:pPr>
      <w:r w:rsidRPr="0043425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F21A0A" w14:textId="77777777" w:rsidR="003A4234" w:rsidRPr="0043425C" w:rsidRDefault="003A4234" w:rsidP="004A6284">
      <w:pPr>
        <w:spacing w:after="240"/>
      </w:pPr>
    </w:p>
    <w:p w14:paraId="310BDD8A" w14:textId="77777777" w:rsidR="00BA58B0" w:rsidRPr="0043425C" w:rsidRDefault="00B12DEC" w:rsidP="004A6284">
      <w:pPr>
        <w:pStyle w:val="Ttulo1"/>
        <w:spacing w:after="240"/>
      </w:pPr>
      <w:bookmarkStart w:id="31" w:name="_Toc211450632"/>
      <w:r w:rsidRPr="0043425C">
        <w:lastRenderedPageBreak/>
        <w:t>RESUELVE</w:t>
      </w:r>
      <w:bookmarkEnd w:id="31"/>
    </w:p>
    <w:p w14:paraId="2F3ECA4E" w14:textId="1B3E570B" w:rsidR="00BA58B0" w:rsidRPr="0043425C" w:rsidRDefault="00B12DEC" w:rsidP="004A6284">
      <w:pPr>
        <w:widowControl w:val="0"/>
      </w:pPr>
      <w:r w:rsidRPr="0043425C">
        <w:rPr>
          <w:b/>
        </w:rPr>
        <w:t>PRIMERO.</w:t>
      </w:r>
      <w:r w:rsidRPr="0043425C">
        <w:t xml:space="preserve"> Se </w:t>
      </w:r>
      <w:r w:rsidR="00CF4B65" w:rsidRPr="0043425C">
        <w:rPr>
          <w:b/>
        </w:rPr>
        <w:t>MODIFI</w:t>
      </w:r>
      <w:r w:rsidRPr="0043425C">
        <w:rPr>
          <w:b/>
        </w:rPr>
        <w:t xml:space="preserve">CA </w:t>
      </w:r>
      <w:r w:rsidRPr="0043425C">
        <w:t xml:space="preserve">la respuesta entregada por </w:t>
      </w:r>
      <w:r w:rsidR="001228F9" w:rsidRPr="0043425C">
        <w:rPr>
          <w:b/>
        </w:rPr>
        <w:t xml:space="preserve">EL </w:t>
      </w:r>
      <w:r w:rsidRPr="0043425C">
        <w:rPr>
          <w:b/>
        </w:rPr>
        <w:t>SUJETO OBLIGADO</w:t>
      </w:r>
      <w:r w:rsidRPr="0043425C">
        <w:t xml:space="preserve"> en la solicitud de información </w:t>
      </w:r>
      <w:r w:rsidR="004F6C6C" w:rsidRPr="0043425C">
        <w:rPr>
          <w:b/>
        </w:rPr>
        <w:t>00183/JOSERIN/IP/2025</w:t>
      </w:r>
      <w:r w:rsidRPr="0043425C">
        <w:t xml:space="preserve">, por resultar </w:t>
      </w:r>
      <w:r w:rsidRPr="0043425C">
        <w:rPr>
          <w:b/>
        </w:rPr>
        <w:t>FUNDADAS</w:t>
      </w:r>
      <w:r w:rsidRPr="0043425C">
        <w:t xml:space="preserve"> las razones o motivos de inconformidad hechos valer por </w:t>
      </w:r>
      <w:r w:rsidRPr="0043425C">
        <w:rPr>
          <w:b/>
        </w:rPr>
        <w:t>LA PARTE RECURRENTE</w:t>
      </w:r>
      <w:r w:rsidRPr="0043425C">
        <w:t xml:space="preserve"> en el Recurso de Revisión </w:t>
      </w:r>
      <w:r w:rsidR="004F6C6C" w:rsidRPr="0043425C">
        <w:rPr>
          <w:b/>
        </w:rPr>
        <w:t>10532/INFOEM/IP/RR/2025</w:t>
      </w:r>
      <w:r w:rsidRPr="0043425C">
        <w:rPr>
          <w:b/>
        </w:rPr>
        <w:t xml:space="preserve">, </w:t>
      </w:r>
      <w:r w:rsidR="00902B23" w:rsidRPr="0043425C">
        <w:t>en términos del C</w:t>
      </w:r>
      <w:r w:rsidRPr="0043425C">
        <w:t xml:space="preserve">onsiderando </w:t>
      </w:r>
      <w:r w:rsidRPr="0043425C">
        <w:rPr>
          <w:b/>
        </w:rPr>
        <w:t>SEGUNDO</w:t>
      </w:r>
      <w:r w:rsidRPr="0043425C">
        <w:t xml:space="preserve"> de la presente Resolución.</w:t>
      </w:r>
    </w:p>
    <w:p w14:paraId="2D8C01A8" w14:textId="77777777" w:rsidR="006837A8" w:rsidRPr="0043425C" w:rsidRDefault="006837A8" w:rsidP="004A6284">
      <w:pPr>
        <w:widowControl w:val="0"/>
      </w:pPr>
    </w:p>
    <w:p w14:paraId="16E3DDA4" w14:textId="4B4CEB5C" w:rsidR="00BA58B0" w:rsidRPr="0043425C" w:rsidRDefault="00B12DEC" w:rsidP="004A6284">
      <w:pPr>
        <w:spacing w:after="240"/>
        <w:ind w:right="-312"/>
      </w:pPr>
      <w:bookmarkStart w:id="32" w:name="_heading=h.abeuyk6llggi" w:colFirst="0" w:colLast="0"/>
      <w:bookmarkEnd w:id="32"/>
      <w:r w:rsidRPr="0043425C">
        <w:rPr>
          <w:b/>
        </w:rPr>
        <w:t>SEGUNDO.</w:t>
      </w:r>
      <w:r w:rsidRPr="0043425C">
        <w:t xml:space="preserve"> Se </w:t>
      </w:r>
      <w:r w:rsidRPr="0043425C">
        <w:rPr>
          <w:b/>
        </w:rPr>
        <w:t xml:space="preserve">ORDENA </w:t>
      </w:r>
      <w:r w:rsidRPr="0043425C">
        <w:t xml:space="preserve">al </w:t>
      </w:r>
      <w:r w:rsidRPr="0043425C">
        <w:rPr>
          <w:b/>
        </w:rPr>
        <w:t>SUJETO OBLIGADO</w:t>
      </w:r>
      <w:r w:rsidRPr="0043425C">
        <w:t xml:space="preserve">, a efecto de que entregue a través del </w:t>
      </w:r>
      <w:r w:rsidRPr="0043425C">
        <w:rPr>
          <w:b/>
        </w:rPr>
        <w:t>SAIMEX</w:t>
      </w:r>
      <w:r w:rsidRPr="0043425C">
        <w:t xml:space="preserve">, </w:t>
      </w:r>
      <w:r w:rsidR="009B2517" w:rsidRPr="0043425C">
        <w:t>lo siguiente:</w:t>
      </w:r>
    </w:p>
    <w:p w14:paraId="195CF66B" w14:textId="2A7D751C" w:rsidR="00FC653D" w:rsidRPr="0043425C" w:rsidRDefault="006837A8" w:rsidP="004A6284">
      <w:pPr>
        <w:pStyle w:val="Prrafodelista"/>
        <w:spacing w:after="240" w:line="240" w:lineRule="auto"/>
        <w:ind w:left="1211" w:right="822"/>
        <w:rPr>
          <w:b/>
          <w:i/>
        </w:rPr>
      </w:pPr>
      <w:r w:rsidRPr="0043425C">
        <w:rPr>
          <w:b/>
          <w:i/>
        </w:rPr>
        <w:t xml:space="preserve">El </w:t>
      </w:r>
      <w:r w:rsidR="00DB539F" w:rsidRPr="0043425C">
        <w:rPr>
          <w:b/>
          <w:i/>
        </w:rPr>
        <w:t>Acuerdo que emita el Comité de Transparencia mediante el que se declare formalmente la inexistencia de</w:t>
      </w:r>
      <w:r w:rsidR="00A04295" w:rsidRPr="0043425C">
        <w:rPr>
          <w:b/>
          <w:i/>
        </w:rPr>
        <w:t>l movimiento de baja de la persona precisada en la solicitud</w:t>
      </w:r>
      <w:r w:rsidR="00DB539F" w:rsidRPr="0043425C">
        <w:rPr>
          <w:b/>
          <w:i/>
        </w:rPr>
        <w:t>, en términos de los artículos 19, 49, fracciones II y XIII, 169 y 170 de la Ley de Transparencia y Acceso a la Información Pública del Estado de México y Municipios</w:t>
      </w:r>
      <w:r w:rsidR="001228F9" w:rsidRPr="0043425C">
        <w:rPr>
          <w:b/>
          <w:i/>
        </w:rPr>
        <w:t>.</w:t>
      </w:r>
    </w:p>
    <w:p w14:paraId="710A11EE" w14:textId="77777777" w:rsidR="00580EC3" w:rsidRPr="0043425C" w:rsidRDefault="00580EC3" w:rsidP="004A6284"/>
    <w:p w14:paraId="7A236503" w14:textId="77777777" w:rsidR="00BA58B0" w:rsidRPr="0043425C" w:rsidRDefault="00B12DEC" w:rsidP="004A6284">
      <w:r w:rsidRPr="0043425C">
        <w:rPr>
          <w:b/>
        </w:rPr>
        <w:t>TERCERO.</w:t>
      </w:r>
      <w:r w:rsidRPr="0043425C">
        <w:t xml:space="preserve"> </w:t>
      </w:r>
      <w:r w:rsidRPr="0043425C">
        <w:rPr>
          <w:b/>
        </w:rPr>
        <w:t xml:space="preserve">Notifíquese </w:t>
      </w:r>
      <w:r w:rsidRPr="0043425C">
        <w:t>vía Sistema de Acceso a la Información Mexiquense (</w:t>
      </w:r>
      <w:r w:rsidRPr="0043425C">
        <w:rPr>
          <w:b/>
        </w:rPr>
        <w:t>SAIMEX)</w:t>
      </w:r>
      <w:r w:rsidRPr="0043425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E71FF2" w14:textId="77777777" w:rsidR="00BA58B0" w:rsidRPr="0043425C" w:rsidRDefault="00B12DEC" w:rsidP="004A6284">
      <w:r w:rsidRPr="0043425C">
        <w:rPr>
          <w:b/>
        </w:rPr>
        <w:lastRenderedPageBreak/>
        <w:t>CUARTO.</w:t>
      </w:r>
      <w:r w:rsidRPr="0043425C">
        <w:t xml:space="preserve"> Notifíquese a </w:t>
      </w:r>
      <w:r w:rsidRPr="0043425C">
        <w:rPr>
          <w:b/>
        </w:rPr>
        <w:t>LA PARTE RECURRENTE</w:t>
      </w:r>
      <w:r w:rsidRPr="0043425C">
        <w:t xml:space="preserve"> la presente resolución vía Sistema de Acceso a la Información Mexiquense (SAIMEX).</w:t>
      </w:r>
    </w:p>
    <w:p w14:paraId="7DEE660E" w14:textId="77777777" w:rsidR="00DB539F" w:rsidRPr="0043425C" w:rsidRDefault="00DB539F" w:rsidP="004A6284"/>
    <w:p w14:paraId="4A1F4CF9" w14:textId="77777777" w:rsidR="00BA58B0" w:rsidRPr="0043425C" w:rsidRDefault="00B12DEC" w:rsidP="004A6284">
      <w:r w:rsidRPr="0043425C">
        <w:rPr>
          <w:b/>
        </w:rPr>
        <w:t>QUINTO</w:t>
      </w:r>
      <w:r w:rsidRPr="0043425C">
        <w:t xml:space="preserve">. Hágase del conocimiento a </w:t>
      </w:r>
      <w:r w:rsidRPr="0043425C">
        <w:rPr>
          <w:b/>
        </w:rPr>
        <w:t>LA PARTE RECURRENTE</w:t>
      </w:r>
      <w:r w:rsidRPr="0043425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FBD960D" w14:textId="77777777" w:rsidR="00A04295" w:rsidRPr="0043425C" w:rsidRDefault="00A04295" w:rsidP="004A6284"/>
    <w:p w14:paraId="705EA1BA" w14:textId="534750BC" w:rsidR="00BA58B0" w:rsidRPr="0043425C" w:rsidRDefault="00B12DEC" w:rsidP="004A6284">
      <w:r w:rsidRPr="0043425C">
        <w:rPr>
          <w:b/>
        </w:rPr>
        <w:t>SEXTO.</w:t>
      </w:r>
      <w:r w:rsidRPr="0043425C">
        <w:t xml:space="preserve"> De conformidad con el artículo 198 de la Ley de Transparencia y Acceso a la Información Pública del Estado de México y Municipios, el </w:t>
      </w:r>
      <w:r w:rsidRPr="0043425C">
        <w:rPr>
          <w:b/>
        </w:rPr>
        <w:t>SUJETO OBLIGADO</w:t>
      </w:r>
      <w:r w:rsidRPr="0043425C">
        <w:t xml:space="preserve"> podrá solicitar una ampliación de plazo de manera fundada y motivada, para el cumplimiento de la presente resolución.</w:t>
      </w:r>
    </w:p>
    <w:p w14:paraId="71F12724" w14:textId="17D54E37" w:rsidR="00902B23" w:rsidRPr="0043425C" w:rsidRDefault="00902B23" w:rsidP="004A6284"/>
    <w:p w14:paraId="3E8C3D98" w14:textId="5F848988" w:rsidR="00BA58B0" w:rsidRPr="0043425C" w:rsidRDefault="00B12DEC" w:rsidP="004A6284">
      <w:pPr>
        <w:ind w:right="-93"/>
      </w:pPr>
      <w:r w:rsidRPr="0043425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3CDB" w:rsidRPr="0043425C">
        <w:t>TRIGÉSIMA</w:t>
      </w:r>
      <w:r w:rsidRPr="0043425C">
        <w:t xml:space="preserve"> </w:t>
      </w:r>
      <w:r w:rsidR="001228F9" w:rsidRPr="0043425C">
        <w:t>SÉPTIMA</w:t>
      </w:r>
      <w:r w:rsidR="00AD3339" w:rsidRPr="0043425C">
        <w:t xml:space="preserve"> </w:t>
      </w:r>
      <w:r w:rsidRPr="0043425C">
        <w:t>SESIÓ</w:t>
      </w:r>
      <w:r w:rsidR="00FA3CDB" w:rsidRPr="0043425C">
        <w:t xml:space="preserve">N ORDINARIA, CELEBRADA EL </w:t>
      </w:r>
      <w:r w:rsidR="001228F9" w:rsidRPr="0043425C">
        <w:t>QUINCE DE OCTUBRE</w:t>
      </w:r>
      <w:r w:rsidRPr="0043425C">
        <w:t xml:space="preserve"> DE DOS MIL VEINTICINCO, ANTE EL SECRETARIO TÉCNICO DEL PLENO, ALEXIS TAPIA RAMÍREZ.</w:t>
      </w:r>
    </w:p>
    <w:p w14:paraId="2523BF1F" w14:textId="77777777" w:rsidR="00BA58B0" w:rsidRPr="004A6284" w:rsidRDefault="00B12DEC" w:rsidP="004A6284">
      <w:pPr>
        <w:ind w:right="-93"/>
      </w:pPr>
      <w:r w:rsidRPr="0043425C">
        <w:t>SCMM/AGZ/DEMF/CMP</w:t>
      </w:r>
    </w:p>
    <w:p w14:paraId="6767C600" w14:textId="77777777" w:rsidR="00BA58B0" w:rsidRPr="004A6284" w:rsidRDefault="00BA58B0" w:rsidP="004A6284">
      <w:pPr>
        <w:ind w:right="-93"/>
      </w:pPr>
    </w:p>
    <w:p w14:paraId="1323E19E" w14:textId="77777777" w:rsidR="00BA58B0" w:rsidRPr="004A6284" w:rsidRDefault="00BA58B0" w:rsidP="004A6284">
      <w:pPr>
        <w:ind w:right="-93"/>
      </w:pPr>
    </w:p>
    <w:p w14:paraId="6293284A" w14:textId="77777777" w:rsidR="00BA58B0" w:rsidRPr="004A6284" w:rsidRDefault="00BA58B0" w:rsidP="004A6284">
      <w:pPr>
        <w:ind w:right="-93"/>
      </w:pPr>
    </w:p>
    <w:p w14:paraId="427D7A12" w14:textId="77777777" w:rsidR="00BA58B0" w:rsidRPr="004A6284" w:rsidRDefault="00BA58B0" w:rsidP="004A6284">
      <w:pPr>
        <w:ind w:right="-93"/>
      </w:pPr>
    </w:p>
    <w:p w14:paraId="62C0E08D" w14:textId="77777777" w:rsidR="00BA58B0" w:rsidRPr="004A6284" w:rsidRDefault="00BA58B0" w:rsidP="004A6284">
      <w:pPr>
        <w:ind w:right="-93"/>
      </w:pPr>
    </w:p>
    <w:p w14:paraId="1C735D2A" w14:textId="77777777" w:rsidR="00BA58B0" w:rsidRPr="004A6284" w:rsidRDefault="00BA58B0" w:rsidP="004A6284">
      <w:pPr>
        <w:ind w:right="-93"/>
      </w:pPr>
    </w:p>
    <w:p w14:paraId="10C9C2DE" w14:textId="77777777" w:rsidR="00BA58B0" w:rsidRPr="004A6284" w:rsidRDefault="00BA58B0" w:rsidP="004A6284">
      <w:pPr>
        <w:ind w:right="-93"/>
      </w:pPr>
    </w:p>
    <w:p w14:paraId="27457160" w14:textId="77777777" w:rsidR="00BA58B0" w:rsidRPr="004A6284" w:rsidRDefault="00BA58B0" w:rsidP="004A6284">
      <w:pPr>
        <w:ind w:right="-93"/>
      </w:pPr>
    </w:p>
    <w:p w14:paraId="2E1B4897" w14:textId="77777777" w:rsidR="00BA58B0" w:rsidRPr="004A6284" w:rsidRDefault="00BA58B0" w:rsidP="004A6284">
      <w:pPr>
        <w:tabs>
          <w:tab w:val="center" w:pos="4568"/>
        </w:tabs>
        <w:ind w:right="-93"/>
      </w:pPr>
    </w:p>
    <w:p w14:paraId="67BCA517" w14:textId="77777777" w:rsidR="00BA58B0" w:rsidRPr="004A6284" w:rsidRDefault="00BA58B0" w:rsidP="004A6284">
      <w:pPr>
        <w:tabs>
          <w:tab w:val="center" w:pos="4568"/>
        </w:tabs>
        <w:ind w:right="-93"/>
      </w:pPr>
    </w:p>
    <w:p w14:paraId="4B165432" w14:textId="77777777" w:rsidR="00BA58B0" w:rsidRPr="004A6284" w:rsidRDefault="00BA58B0" w:rsidP="004A6284">
      <w:pPr>
        <w:tabs>
          <w:tab w:val="center" w:pos="4568"/>
        </w:tabs>
        <w:ind w:right="-93"/>
      </w:pPr>
    </w:p>
    <w:p w14:paraId="32A8F122" w14:textId="77777777" w:rsidR="00BA58B0" w:rsidRPr="004A6284" w:rsidRDefault="00BA58B0" w:rsidP="004A6284">
      <w:pPr>
        <w:tabs>
          <w:tab w:val="center" w:pos="4568"/>
        </w:tabs>
        <w:ind w:right="-93"/>
      </w:pPr>
    </w:p>
    <w:p w14:paraId="16377F91" w14:textId="77777777" w:rsidR="00BA58B0" w:rsidRPr="004A6284" w:rsidRDefault="00BA58B0" w:rsidP="004A6284">
      <w:pPr>
        <w:tabs>
          <w:tab w:val="center" w:pos="4568"/>
        </w:tabs>
        <w:ind w:right="-93"/>
      </w:pPr>
    </w:p>
    <w:p w14:paraId="6A25ABD3" w14:textId="77777777" w:rsidR="00BA58B0" w:rsidRPr="004A6284" w:rsidRDefault="00BA58B0" w:rsidP="004A6284">
      <w:pPr>
        <w:tabs>
          <w:tab w:val="center" w:pos="4568"/>
        </w:tabs>
        <w:ind w:right="-93"/>
      </w:pPr>
    </w:p>
    <w:p w14:paraId="423DA8CD" w14:textId="77777777" w:rsidR="00BA58B0" w:rsidRPr="004A6284" w:rsidRDefault="00BA58B0" w:rsidP="004A6284">
      <w:pPr>
        <w:tabs>
          <w:tab w:val="center" w:pos="4568"/>
        </w:tabs>
        <w:ind w:right="-93"/>
      </w:pPr>
    </w:p>
    <w:p w14:paraId="52819092" w14:textId="77777777" w:rsidR="00BA58B0" w:rsidRPr="004A6284" w:rsidRDefault="00BA58B0" w:rsidP="004A6284">
      <w:pPr>
        <w:tabs>
          <w:tab w:val="center" w:pos="4568"/>
        </w:tabs>
        <w:ind w:right="-93"/>
      </w:pPr>
    </w:p>
    <w:p w14:paraId="4F94118C" w14:textId="77777777" w:rsidR="00BA58B0" w:rsidRPr="004A6284" w:rsidRDefault="00BA58B0" w:rsidP="004A6284">
      <w:pPr>
        <w:tabs>
          <w:tab w:val="center" w:pos="4568"/>
        </w:tabs>
        <w:ind w:right="-93"/>
      </w:pPr>
    </w:p>
    <w:p w14:paraId="7E71FFE6" w14:textId="77777777" w:rsidR="00BA58B0" w:rsidRPr="004A6284" w:rsidRDefault="00BA58B0" w:rsidP="004A6284">
      <w:pPr>
        <w:tabs>
          <w:tab w:val="center" w:pos="4568"/>
        </w:tabs>
        <w:ind w:right="-93"/>
      </w:pPr>
    </w:p>
    <w:p w14:paraId="767304CD" w14:textId="77777777" w:rsidR="00BA58B0" w:rsidRPr="004A6284" w:rsidRDefault="00BA58B0" w:rsidP="004A6284">
      <w:pPr>
        <w:tabs>
          <w:tab w:val="center" w:pos="4568"/>
        </w:tabs>
        <w:ind w:right="-93"/>
      </w:pPr>
    </w:p>
    <w:p w14:paraId="358C1C31" w14:textId="77777777" w:rsidR="00BA58B0" w:rsidRPr="004A6284" w:rsidRDefault="00BA58B0" w:rsidP="004A6284">
      <w:pPr>
        <w:tabs>
          <w:tab w:val="center" w:pos="4568"/>
        </w:tabs>
        <w:ind w:right="-93"/>
      </w:pPr>
    </w:p>
    <w:p w14:paraId="5B22570B" w14:textId="77777777" w:rsidR="00BA58B0" w:rsidRPr="004A6284" w:rsidRDefault="00BA58B0" w:rsidP="004A6284">
      <w:pPr>
        <w:tabs>
          <w:tab w:val="center" w:pos="4568"/>
        </w:tabs>
        <w:ind w:right="-93"/>
      </w:pPr>
    </w:p>
    <w:p w14:paraId="4F7239A1" w14:textId="77777777" w:rsidR="00BA58B0" w:rsidRPr="004A6284" w:rsidRDefault="00BA58B0" w:rsidP="004A6284"/>
    <w:sectPr w:rsidR="00BA58B0" w:rsidRPr="004A6284">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AC9A6" w14:textId="77777777" w:rsidR="00E676DF" w:rsidRDefault="00E676DF">
      <w:pPr>
        <w:spacing w:line="240" w:lineRule="auto"/>
      </w:pPr>
      <w:r>
        <w:separator/>
      </w:r>
    </w:p>
  </w:endnote>
  <w:endnote w:type="continuationSeparator" w:id="0">
    <w:p w14:paraId="77CD180D" w14:textId="77777777" w:rsidR="00E676DF" w:rsidRDefault="00E67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6837A8" w:rsidRDefault="006837A8">
    <w:pPr>
      <w:tabs>
        <w:tab w:val="center" w:pos="4550"/>
        <w:tab w:val="left" w:pos="5818"/>
      </w:tabs>
      <w:ind w:right="260"/>
      <w:jc w:val="right"/>
      <w:rPr>
        <w:color w:val="071320"/>
        <w:sz w:val="24"/>
        <w:szCs w:val="24"/>
      </w:rPr>
    </w:pPr>
  </w:p>
  <w:p w14:paraId="51FB9CBA" w14:textId="77777777" w:rsidR="006837A8" w:rsidRDefault="006837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06183EAF" w:rsidR="006837A8" w:rsidRDefault="006837A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862F9">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862F9">
      <w:rPr>
        <w:noProof/>
        <w:color w:val="0A1D30"/>
        <w:sz w:val="24"/>
        <w:szCs w:val="24"/>
      </w:rPr>
      <w:t>26</w:t>
    </w:r>
    <w:r>
      <w:rPr>
        <w:color w:val="0A1D30"/>
        <w:sz w:val="24"/>
        <w:szCs w:val="24"/>
      </w:rPr>
      <w:fldChar w:fldCharType="end"/>
    </w:r>
  </w:p>
  <w:p w14:paraId="77E5BDCE" w14:textId="77777777" w:rsidR="006837A8" w:rsidRDefault="006837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2B684" w14:textId="77777777" w:rsidR="00E676DF" w:rsidRDefault="00E676DF">
      <w:pPr>
        <w:spacing w:line="240" w:lineRule="auto"/>
      </w:pPr>
      <w:r>
        <w:separator/>
      </w:r>
    </w:p>
  </w:footnote>
  <w:footnote w:type="continuationSeparator" w:id="0">
    <w:p w14:paraId="36CC261C" w14:textId="77777777" w:rsidR="00E676DF" w:rsidRDefault="00E676DF">
      <w:pPr>
        <w:spacing w:line="240" w:lineRule="auto"/>
      </w:pPr>
      <w:r>
        <w:continuationSeparator/>
      </w:r>
    </w:p>
  </w:footnote>
  <w:footnote w:id="1">
    <w:p w14:paraId="764FBBFA" w14:textId="77777777" w:rsidR="006837A8" w:rsidRDefault="006837A8" w:rsidP="004A777C">
      <w:pPr>
        <w:spacing w:line="240" w:lineRule="auto"/>
        <w:jc w:val="left"/>
        <w:rPr>
          <w:rFonts w:ascii="Aptos" w:eastAsia="Aptos" w:hAnsi="Aptos" w:cs="Aptos"/>
          <w:sz w:val="20"/>
          <w:szCs w:val="20"/>
        </w:rPr>
      </w:pPr>
      <w:r>
        <w:rPr>
          <w:vertAlign w:val="superscript"/>
        </w:rPr>
        <w:footnoteRef/>
      </w:r>
      <w:r>
        <w:rPr>
          <w:rFonts w:ascii="Aptos" w:eastAsia="Aptos" w:hAnsi="Aptos" w:cs="Aptos"/>
          <w:sz w:val="20"/>
          <w:szCs w:val="20"/>
        </w:rPr>
        <w:t xml:space="preserve"> </w:t>
      </w:r>
      <w:hyperlink r:id="rId1">
        <w:r>
          <w:rPr>
            <w:rFonts w:ascii="Aptos" w:eastAsia="Aptos" w:hAnsi="Aptos" w:cs="Aptos"/>
            <w:i/>
            <w:sz w:val="18"/>
            <w:szCs w:val="18"/>
            <w:u w:val="single"/>
          </w:rPr>
          <w:t>https://biblio.juridicas.unam.mx/bjv/resultados?ti=guia+tecnica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6837A8" w:rsidRDefault="006837A8">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837A8" w14:paraId="7A891B59" w14:textId="77777777">
      <w:trPr>
        <w:trHeight w:val="144"/>
        <w:jc w:val="right"/>
      </w:trPr>
      <w:tc>
        <w:tcPr>
          <w:tcW w:w="2727" w:type="dxa"/>
        </w:tcPr>
        <w:p w14:paraId="3F140669" w14:textId="77777777" w:rsidR="006837A8" w:rsidRDefault="006837A8">
          <w:pPr>
            <w:tabs>
              <w:tab w:val="right" w:pos="8838"/>
            </w:tabs>
            <w:ind w:left="-74" w:right="-105"/>
            <w:rPr>
              <w:b/>
            </w:rPr>
          </w:pPr>
          <w:r>
            <w:rPr>
              <w:b/>
            </w:rPr>
            <w:t>Recurso de Revisión:</w:t>
          </w:r>
        </w:p>
      </w:tc>
      <w:tc>
        <w:tcPr>
          <w:tcW w:w="3402" w:type="dxa"/>
        </w:tcPr>
        <w:p w14:paraId="7E46BB37" w14:textId="1C83EBCB" w:rsidR="006837A8" w:rsidRDefault="006837A8" w:rsidP="00B12DEC">
          <w:pPr>
            <w:tabs>
              <w:tab w:val="right" w:pos="8838"/>
            </w:tabs>
            <w:ind w:left="-74" w:right="-105"/>
          </w:pPr>
          <w:r w:rsidRPr="004F6C6C">
            <w:t>10532/INFOEM/IP/RR/2025</w:t>
          </w:r>
        </w:p>
      </w:tc>
    </w:tr>
    <w:tr w:rsidR="006837A8" w14:paraId="353B8F19" w14:textId="77777777">
      <w:trPr>
        <w:trHeight w:val="283"/>
        <w:jc w:val="right"/>
      </w:trPr>
      <w:tc>
        <w:tcPr>
          <w:tcW w:w="2727" w:type="dxa"/>
        </w:tcPr>
        <w:p w14:paraId="78EB1499" w14:textId="77777777" w:rsidR="006837A8" w:rsidRDefault="006837A8">
          <w:pPr>
            <w:tabs>
              <w:tab w:val="right" w:pos="8838"/>
            </w:tabs>
            <w:ind w:left="-74" w:right="-105"/>
            <w:rPr>
              <w:b/>
            </w:rPr>
          </w:pPr>
          <w:r>
            <w:rPr>
              <w:b/>
            </w:rPr>
            <w:t>Sujeto Obligado:</w:t>
          </w:r>
        </w:p>
      </w:tc>
      <w:tc>
        <w:tcPr>
          <w:tcW w:w="3402" w:type="dxa"/>
        </w:tcPr>
        <w:p w14:paraId="6D8227BE" w14:textId="5D3AC9E8" w:rsidR="006837A8" w:rsidRDefault="006837A8">
          <w:pPr>
            <w:tabs>
              <w:tab w:val="left" w:pos="2834"/>
              <w:tab w:val="right" w:pos="8838"/>
            </w:tabs>
            <w:ind w:left="-108" w:right="-105"/>
          </w:pPr>
          <w:r w:rsidRPr="004F6C6C">
            <w:t>Ayuntamiento de San José del Rincón</w:t>
          </w:r>
        </w:p>
      </w:tc>
    </w:tr>
    <w:tr w:rsidR="006837A8" w14:paraId="58A8D171" w14:textId="77777777">
      <w:trPr>
        <w:trHeight w:val="283"/>
        <w:jc w:val="right"/>
      </w:trPr>
      <w:tc>
        <w:tcPr>
          <w:tcW w:w="2727" w:type="dxa"/>
        </w:tcPr>
        <w:p w14:paraId="48ED7B49" w14:textId="77777777" w:rsidR="006837A8" w:rsidRDefault="006837A8">
          <w:pPr>
            <w:tabs>
              <w:tab w:val="right" w:pos="8838"/>
            </w:tabs>
            <w:ind w:left="-74" w:right="-105"/>
            <w:rPr>
              <w:b/>
            </w:rPr>
          </w:pPr>
          <w:r>
            <w:rPr>
              <w:b/>
            </w:rPr>
            <w:t>Comisionada Ponente:</w:t>
          </w:r>
        </w:p>
      </w:tc>
      <w:tc>
        <w:tcPr>
          <w:tcW w:w="3402" w:type="dxa"/>
        </w:tcPr>
        <w:p w14:paraId="599F8B1E" w14:textId="77777777" w:rsidR="006837A8" w:rsidRDefault="006837A8">
          <w:pPr>
            <w:tabs>
              <w:tab w:val="right" w:pos="8838"/>
            </w:tabs>
            <w:ind w:left="-108" w:right="-105"/>
          </w:pPr>
          <w:r>
            <w:t>Sharon Cristina Morales Martínez</w:t>
          </w:r>
        </w:p>
      </w:tc>
    </w:tr>
  </w:tbl>
  <w:p w14:paraId="5F77CA32" w14:textId="77777777" w:rsidR="006837A8" w:rsidRDefault="006837A8">
    <w:pPr>
      <w:rPr>
        <w:color w:val="000000"/>
        <w:sz w:val="14"/>
        <w:szCs w:val="14"/>
      </w:rPr>
    </w:pPr>
  </w:p>
  <w:p w14:paraId="1194BA75" w14:textId="77777777" w:rsidR="006837A8" w:rsidRDefault="006837A8">
    <w:pPr>
      <w:pBdr>
        <w:top w:val="nil"/>
        <w:left w:val="nil"/>
        <w:bottom w:val="nil"/>
        <w:right w:val="nil"/>
        <w:between w:val="nil"/>
      </w:pBdr>
      <w:rPr>
        <w:color w:val="000000"/>
        <w:sz w:val="14"/>
        <w:szCs w:val="14"/>
      </w:rPr>
    </w:pPr>
  </w:p>
  <w:p w14:paraId="11C1C943" w14:textId="77777777" w:rsidR="006837A8" w:rsidRDefault="006837A8">
    <w:pPr>
      <w:pBdr>
        <w:top w:val="nil"/>
        <w:left w:val="nil"/>
        <w:bottom w:val="nil"/>
        <w:right w:val="nil"/>
        <w:between w:val="nil"/>
      </w:pBdr>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6837A8" w:rsidRDefault="00E676DF">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margin-left:-79.65pt;margin-top:-137.1pt;width:663.5pt;height:12in;z-index:-251658240;mso-wrap-edited:f;mso-width-percent:0;mso-height-percent:0;mso-position-horizontal-relative:margin;mso-position-vertical-relative:margin;mso-width-percent:0;mso-height-percent:0">
          <v:imagedata r:id="rId1" o:title="image2"/>
          <w10:wrap anchorx="margin" anchory="margin"/>
        </v:shape>
      </w:pict>
    </w:r>
  </w:p>
  <w:tbl>
    <w:tblPr>
      <w:tblStyle w:val="2"/>
      <w:tblW w:w="6660" w:type="dxa"/>
      <w:tblInd w:w="2552" w:type="dxa"/>
      <w:tblLayout w:type="fixed"/>
      <w:tblLook w:val="0400" w:firstRow="0" w:lastRow="0" w:firstColumn="0" w:lastColumn="0" w:noHBand="0" w:noVBand="1"/>
    </w:tblPr>
    <w:tblGrid>
      <w:gridCol w:w="283"/>
      <w:gridCol w:w="6377"/>
    </w:tblGrid>
    <w:tr w:rsidR="006837A8" w14:paraId="5F417F48" w14:textId="77777777">
      <w:trPr>
        <w:trHeight w:val="1435"/>
      </w:trPr>
      <w:tc>
        <w:tcPr>
          <w:tcW w:w="283" w:type="dxa"/>
        </w:tcPr>
        <w:p w14:paraId="1C67CC07" w14:textId="77777777" w:rsidR="006837A8" w:rsidRDefault="006837A8">
          <w:pPr>
            <w:tabs>
              <w:tab w:val="right" w:pos="4273"/>
            </w:tabs>
            <w:rPr>
              <w:rFonts w:ascii="Garamond" w:eastAsia="Garamond" w:hAnsi="Garamond" w:cs="Garamond"/>
            </w:rPr>
          </w:pPr>
        </w:p>
      </w:tc>
      <w:tc>
        <w:tcPr>
          <w:tcW w:w="6377" w:type="dxa"/>
        </w:tcPr>
        <w:p w14:paraId="550AF9D7" w14:textId="77777777" w:rsidR="006837A8" w:rsidRDefault="006837A8">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6837A8" w14:paraId="35E6C6A4" w14:textId="77777777">
            <w:trPr>
              <w:trHeight w:val="144"/>
            </w:trPr>
            <w:tc>
              <w:tcPr>
                <w:tcW w:w="2581" w:type="dxa"/>
              </w:tcPr>
              <w:p w14:paraId="211F8A05" w14:textId="77777777" w:rsidR="006837A8" w:rsidRDefault="006837A8">
                <w:pPr>
                  <w:tabs>
                    <w:tab w:val="right" w:pos="8838"/>
                  </w:tabs>
                  <w:ind w:left="-74" w:right="-108"/>
                  <w:rPr>
                    <w:b/>
                  </w:rPr>
                </w:pPr>
                <w:bookmarkStart w:id="0" w:name="_heading=h.3o7alnk" w:colFirst="0" w:colLast="0"/>
                <w:bookmarkEnd w:id="0"/>
                <w:r>
                  <w:rPr>
                    <w:b/>
                  </w:rPr>
                  <w:t>Recurso de Revisión:</w:t>
                </w:r>
              </w:p>
            </w:tc>
            <w:tc>
              <w:tcPr>
                <w:tcW w:w="3548" w:type="dxa"/>
              </w:tcPr>
              <w:p w14:paraId="51FE9E48" w14:textId="33BF90C5" w:rsidR="006837A8" w:rsidRDefault="006837A8">
                <w:pPr>
                  <w:tabs>
                    <w:tab w:val="left" w:pos="2834"/>
                    <w:tab w:val="right" w:pos="8838"/>
                  </w:tabs>
                  <w:ind w:left="-108" w:right="-108"/>
                </w:pPr>
                <w:r w:rsidRPr="008754A0">
                  <w:t>10532/INFOEM/IP/RR/2025</w:t>
                </w:r>
              </w:p>
            </w:tc>
            <w:tc>
              <w:tcPr>
                <w:tcW w:w="3402" w:type="dxa"/>
              </w:tcPr>
              <w:p w14:paraId="300B2066" w14:textId="77777777" w:rsidR="006837A8" w:rsidRDefault="006837A8">
                <w:pPr>
                  <w:tabs>
                    <w:tab w:val="right" w:pos="8838"/>
                  </w:tabs>
                  <w:ind w:left="-74" w:right="-108"/>
                </w:pPr>
              </w:p>
            </w:tc>
          </w:tr>
          <w:tr w:rsidR="006837A8" w14:paraId="0CB07F0E" w14:textId="77777777">
            <w:trPr>
              <w:trHeight w:val="144"/>
            </w:trPr>
            <w:tc>
              <w:tcPr>
                <w:tcW w:w="2581" w:type="dxa"/>
              </w:tcPr>
              <w:p w14:paraId="715F5665" w14:textId="77777777" w:rsidR="006837A8" w:rsidRDefault="006837A8">
                <w:pPr>
                  <w:tabs>
                    <w:tab w:val="right" w:pos="8838"/>
                  </w:tabs>
                  <w:ind w:left="-74" w:right="-108"/>
                  <w:rPr>
                    <w:b/>
                  </w:rPr>
                </w:pPr>
                <w:bookmarkStart w:id="1" w:name="_heading=h.23ckvvd" w:colFirst="0" w:colLast="0"/>
                <w:bookmarkEnd w:id="1"/>
                <w:r>
                  <w:rPr>
                    <w:b/>
                  </w:rPr>
                  <w:t>Recurrente:</w:t>
                </w:r>
              </w:p>
            </w:tc>
            <w:tc>
              <w:tcPr>
                <w:tcW w:w="3548" w:type="dxa"/>
              </w:tcPr>
              <w:p w14:paraId="71825234" w14:textId="091E8DEC" w:rsidR="006837A8" w:rsidRDefault="006862F9">
                <w:pPr>
                  <w:tabs>
                    <w:tab w:val="left" w:pos="3122"/>
                    <w:tab w:val="right" w:pos="8838"/>
                  </w:tabs>
                  <w:ind w:left="-105" w:right="-108"/>
                </w:pPr>
                <w:r>
                  <w:t>XXXXX XXXXXXX XXXXX XXXXXXX XXXXXXXX</w:t>
                </w:r>
              </w:p>
            </w:tc>
            <w:tc>
              <w:tcPr>
                <w:tcW w:w="3402" w:type="dxa"/>
              </w:tcPr>
              <w:p w14:paraId="2F989C4A" w14:textId="77777777" w:rsidR="006837A8" w:rsidRDefault="006837A8">
                <w:pPr>
                  <w:tabs>
                    <w:tab w:val="left" w:pos="3122"/>
                    <w:tab w:val="right" w:pos="8838"/>
                  </w:tabs>
                  <w:ind w:left="-105" w:right="-108"/>
                </w:pPr>
              </w:p>
            </w:tc>
          </w:tr>
          <w:tr w:rsidR="006837A8" w14:paraId="16658A9D" w14:textId="77777777">
            <w:trPr>
              <w:trHeight w:val="283"/>
            </w:trPr>
            <w:tc>
              <w:tcPr>
                <w:tcW w:w="2581" w:type="dxa"/>
              </w:tcPr>
              <w:p w14:paraId="6A06EA17" w14:textId="77777777" w:rsidR="006837A8" w:rsidRDefault="006837A8">
                <w:pPr>
                  <w:tabs>
                    <w:tab w:val="right" w:pos="8838"/>
                  </w:tabs>
                  <w:ind w:left="-74" w:right="-108"/>
                  <w:rPr>
                    <w:b/>
                  </w:rPr>
                </w:pPr>
                <w:r>
                  <w:rPr>
                    <w:b/>
                  </w:rPr>
                  <w:t>Sujeto Obligado:</w:t>
                </w:r>
              </w:p>
            </w:tc>
            <w:tc>
              <w:tcPr>
                <w:tcW w:w="3548" w:type="dxa"/>
              </w:tcPr>
              <w:p w14:paraId="264F626D" w14:textId="08C47A2F" w:rsidR="006837A8" w:rsidRDefault="006837A8">
                <w:pPr>
                  <w:tabs>
                    <w:tab w:val="left" w:pos="2834"/>
                    <w:tab w:val="right" w:pos="8838"/>
                  </w:tabs>
                  <w:ind w:left="-108" w:right="-108"/>
                </w:pPr>
                <w:r w:rsidRPr="008754A0">
                  <w:t>Ayuntamiento de San José del Rincón</w:t>
                </w:r>
              </w:p>
            </w:tc>
            <w:tc>
              <w:tcPr>
                <w:tcW w:w="3402" w:type="dxa"/>
              </w:tcPr>
              <w:p w14:paraId="4E7FC2EB" w14:textId="77777777" w:rsidR="006837A8" w:rsidRDefault="006837A8">
                <w:pPr>
                  <w:tabs>
                    <w:tab w:val="left" w:pos="2834"/>
                    <w:tab w:val="right" w:pos="8838"/>
                  </w:tabs>
                  <w:ind w:left="-108" w:right="-108"/>
                </w:pPr>
              </w:p>
            </w:tc>
          </w:tr>
          <w:tr w:rsidR="006837A8" w14:paraId="20F6F4D6" w14:textId="77777777">
            <w:trPr>
              <w:trHeight w:val="283"/>
            </w:trPr>
            <w:tc>
              <w:tcPr>
                <w:tcW w:w="2581" w:type="dxa"/>
              </w:tcPr>
              <w:p w14:paraId="50836953" w14:textId="77777777" w:rsidR="006837A8" w:rsidRDefault="006837A8">
                <w:pPr>
                  <w:tabs>
                    <w:tab w:val="right" w:pos="8838"/>
                  </w:tabs>
                  <w:ind w:left="-74" w:right="-108"/>
                  <w:rPr>
                    <w:b/>
                  </w:rPr>
                </w:pPr>
                <w:r>
                  <w:rPr>
                    <w:b/>
                  </w:rPr>
                  <w:t>Comisionada Ponente:</w:t>
                </w:r>
              </w:p>
            </w:tc>
            <w:tc>
              <w:tcPr>
                <w:tcW w:w="3548" w:type="dxa"/>
              </w:tcPr>
              <w:p w14:paraId="5C6C6925" w14:textId="77777777" w:rsidR="006837A8" w:rsidRDefault="006837A8">
                <w:pPr>
                  <w:tabs>
                    <w:tab w:val="right" w:pos="8838"/>
                  </w:tabs>
                  <w:ind w:left="-108" w:right="-108"/>
                </w:pPr>
                <w:r>
                  <w:t>Sharon Cristina Morales Martínez</w:t>
                </w:r>
              </w:p>
            </w:tc>
            <w:tc>
              <w:tcPr>
                <w:tcW w:w="3402" w:type="dxa"/>
              </w:tcPr>
              <w:p w14:paraId="460AA208" w14:textId="77777777" w:rsidR="006837A8" w:rsidRDefault="006837A8">
                <w:pPr>
                  <w:tabs>
                    <w:tab w:val="right" w:pos="8838"/>
                  </w:tabs>
                  <w:ind w:left="-108" w:right="-108"/>
                </w:pPr>
              </w:p>
            </w:tc>
          </w:tr>
        </w:tbl>
        <w:p w14:paraId="3D1B66BF" w14:textId="77777777" w:rsidR="006837A8" w:rsidRDefault="006837A8">
          <w:pPr>
            <w:tabs>
              <w:tab w:val="right" w:pos="8838"/>
            </w:tabs>
            <w:ind w:left="-28"/>
            <w:rPr>
              <w:rFonts w:ascii="Arial" w:eastAsia="Arial" w:hAnsi="Arial" w:cs="Arial"/>
              <w:b/>
            </w:rPr>
          </w:pPr>
        </w:p>
      </w:tc>
    </w:tr>
  </w:tbl>
  <w:p w14:paraId="6EBCDB73" w14:textId="77777777" w:rsidR="006837A8" w:rsidRDefault="006837A8">
    <w:pP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9966A2"/>
    <w:multiLevelType w:val="hybridMultilevel"/>
    <w:tmpl w:val="79AC1966"/>
    <w:lvl w:ilvl="0" w:tplc="DD62A51A">
      <w:start w:val="1"/>
      <w:numFmt w:val="decimal"/>
      <w:lvlText w:val="%1."/>
      <w:lvlJc w:val="left"/>
      <w:pPr>
        <w:ind w:left="1211" w:hanging="36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FBF5F7B"/>
    <w:multiLevelType w:val="hybridMultilevel"/>
    <w:tmpl w:val="E09428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959BA"/>
    <w:multiLevelType w:val="multilevel"/>
    <w:tmpl w:val="0814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D0127"/>
    <w:multiLevelType w:val="hybridMultilevel"/>
    <w:tmpl w:val="BD04ED30"/>
    <w:lvl w:ilvl="0" w:tplc="2990C6E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43679"/>
    <w:multiLevelType w:val="hybridMultilevel"/>
    <w:tmpl w:val="B1DA746E"/>
    <w:lvl w:ilvl="0" w:tplc="CCA67CEA">
      <w:start w:val="2"/>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5" w15:restartNumberingAfterBreak="0">
    <w:nsid w:val="5FE64F90"/>
    <w:multiLevelType w:val="hybridMultilevel"/>
    <w:tmpl w:val="0830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9"/>
  </w:num>
  <w:num w:numId="3">
    <w:abstractNumId w:val="10"/>
  </w:num>
  <w:num w:numId="4">
    <w:abstractNumId w:val="2"/>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22"/>
  </w:num>
  <w:num w:numId="11">
    <w:abstractNumId w:val="4"/>
  </w:num>
  <w:num w:numId="12">
    <w:abstractNumId w:val="20"/>
  </w:num>
  <w:num w:numId="13">
    <w:abstractNumId w:val="31"/>
  </w:num>
  <w:num w:numId="14">
    <w:abstractNumId w:val="24"/>
  </w:num>
  <w:num w:numId="15">
    <w:abstractNumId w:val="16"/>
  </w:num>
  <w:num w:numId="16">
    <w:abstractNumId w:val="5"/>
  </w:num>
  <w:num w:numId="17">
    <w:abstractNumId w:val="30"/>
  </w:num>
  <w:num w:numId="18">
    <w:abstractNumId w:val="6"/>
  </w:num>
  <w:num w:numId="19">
    <w:abstractNumId w:val="23"/>
  </w:num>
  <w:num w:numId="20">
    <w:abstractNumId w:val="7"/>
  </w:num>
  <w:num w:numId="21">
    <w:abstractNumId w:val="2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25"/>
  </w:num>
  <w:num w:numId="26">
    <w:abstractNumId w:val="12"/>
  </w:num>
  <w:num w:numId="27">
    <w:abstractNumId w:val="3"/>
  </w:num>
  <w:num w:numId="28">
    <w:abstractNumId w:val="17"/>
  </w:num>
  <w:num w:numId="29">
    <w:abstractNumId w:val="8"/>
  </w:num>
  <w:num w:numId="30">
    <w:abstractNumId w:val="14"/>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7489"/>
    <w:rsid w:val="000210E0"/>
    <w:rsid w:val="00026151"/>
    <w:rsid w:val="00042EFD"/>
    <w:rsid w:val="00070636"/>
    <w:rsid w:val="00074E1A"/>
    <w:rsid w:val="000C7370"/>
    <w:rsid w:val="0010286C"/>
    <w:rsid w:val="00104E5A"/>
    <w:rsid w:val="0011288C"/>
    <w:rsid w:val="001228F9"/>
    <w:rsid w:val="00136B6A"/>
    <w:rsid w:val="001449CE"/>
    <w:rsid w:val="001505A2"/>
    <w:rsid w:val="00166075"/>
    <w:rsid w:val="00170D34"/>
    <w:rsid w:val="0018418B"/>
    <w:rsid w:val="00185C68"/>
    <w:rsid w:val="00185D7D"/>
    <w:rsid w:val="00191782"/>
    <w:rsid w:val="001A0BB6"/>
    <w:rsid w:val="001A6071"/>
    <w:rsid w:val="001F309F"/>
    <w:rsid w:val="0020158F"/>
    <w:rsid w:val="00206DB3"/>
    <w:rsid w:val="00211BC9"/>
    <w:rsid w:val="00214BBE"/>
    <w:rsid w:val="00216A72"/>
    <w:rsid w:val="0021759A"/>
    <w:rsid w:val="00226F98"/>
    <w:rsid w:val="002308D1"/>
    <w:rsid w:val="00232EBF"/>
    <w:rsid w:val="0026139C"/>
    <w:rsid w:val="0026153C"/>
    <w:rsid w:val="002766DA"/>
    <w:rsid w:val="002957D9"/>
    <w:rsid w:val="002C7E2C"/>
    <w:rsid w:val="002D194C"/>
    <w:rsid w:val="00300A1A"/>
    <w:rsid w:val="00301EDA"/>
    <w:rsid w:val="00342288"/>
    <w:rsid w:val="003442FB"/>
    <w:rsid w:val="00353493"/>
    <w:rsid w:val="00353828"/>
    <w:rsid w:val="00385C62"/>
    <w:rsid w:val="0039021C"/>
    <w:rsid w:val="00396542"/>
    <w:rsid w:val="003A23A8"/>
    <w:rsid w:val="003A4234"/>
    <w:rsid w:val="003B1F55"/>
    <w:rsid w:val="003C71F1"/>
    <w:rsid w:val="003E3896"/>
    <w:rsid w:val="004077C1"/>
    <w:rsid w:val="0040797A"/>
    <w:rsid w:val="004226CD"/>
    <w:rsid w:val="0043425C"/>
    <w:rsid w:val="00450D46"/>
    <w:rsid w:val="00473C2C"/>
    <w:rsid w:val="00496DBE"/>
    <w:rsid w:val="004A4A75"/>
    <w:rsid w:val="004A6284"/>
    <w:rsid w:val="004A6677"/>
    <w:rsid w:val="004A6ECC"/>
    <w:rsid w:val="004A777C"/>
    <w:rsid w:val="004B25D8"/>
    <w:rsid w:val="004B6E30"/>
    <w:rsid w:val="004E2A8B"/>
    <w:rsid w:val="004F6C6C"/>
    <w:rsid w:val="00524263"/>
    <w:rsid w:val="005261A7"/>
    <w:rsid w:val="00554921"/>
    <w:rsid w:val="005557F7"/>
    <w:rsid w:val="00573CA8"/>
    <w:rsid w:val="005749F2"/>
    <w:rsid w:val="00580EC3"/>
    <w:rsid w:val="0059201D"/>
    <w:rsid w:val="00595659"/>
    <w:rsid w:val="005B61BD"/>
    <w:rsid w:val="005C62AB"/>
    <w:rsid w:val="005E4FE7"/>
    <w:rsid w:val="005E5D89"/>
    <w:rsid w:val="005F600D"/>
    <w:rsid w:val="0062159F"/>
    <w:rsid w:val="00622403"/>
    <w:rsid w:val="00634EA7"/>
    <w:rsid w:val="00645964"/>
    <w:rsid w:val="0066788B"/>
    <w:rsid w:val="00674340"/>
    <w:rsid w:val="006837A8"/>
    <w:rsid w:val="006862F9"/>
    <w:rsid w:val="00695E9C"/>
    <w:rsid w:val="006D5D2F"/>
    <w:rsid w:val="006E596B"/>
    <w:rsid w:val="006F3BE7"/>
    <w:rsid w:val="00702CCC"/>
    <w:rsid w:val="00711C25"/>
    <w:rsid w:val="00724FE8"/>
    <w:rsid w:val="00725095"/>
    <w:rsid w:val="0074505C"/>
    <w:rsid w:val="00752495"/>
    <w:rsid w:val="00762151"/>
    <w:rsid w:val="007747A6"/>
    <w:rsid w:val="00780F28"/>
    <w:rsid w:val="00793C0C"/>
    <w:rsid w:val="007B1149"/>
    <w:rsid w:val="007D4954"/>
    <w:rsid w:val="007D49F7"/>
    <w:rsid w:val="007F3024"/>
    <w:rsid w:val="007F345D"/>
    <w:rsid w:val="007F4C7D"/>
    <w:rsid w:val="007F6A14"/>
    <w:rsid w:val="007F7DC8"/>
    <w:rsid w:val="00801241"/>
    <w:rsid w:val="00814CDF"/>
    <w:rsid w:val="008177B9"/>
    <w:rsid w:val="00821E30"/>
    <w:rsid w:val="008230EB"/>
    <w:rsid w:val="0082361F"/>
    <w:rsid w:val="008518C0"/>
    <w:rsid w:val="00860BB6"/>
    <w:rsid w:val="00863B7D"/>
    <w:rsid w:val="00871303"/>
    <w:rsid w:val="008754A0"/>
    <w:rsid w:val="008759F4"/>
    <w:rsid w:val="008A7680"/>
    <w:rsid w:val="008B2116"/>
    <w:rsid w:val="008C01EC"/>
    <w:rsid w:val="008D02B6"/>
    <w:rsid w:val="008D4C2E"/>
    <w:rsid w:val="00902B23"/>
    <w:rsid w:val="0090677E"/>
    <w:rsid w:val="00924BED"/>
    <w:rsid w:val="00926CB8"/>
    <w:rsid w:val="009317DA"/>
    <w:rsid w:val="00932DB4"/>
    <w:rsid w:val="009619ED"/>
    <w:rsid w:val="00973D33"/>
    <w:rsid w:val="009860AC"/>
    <w:rsid w:val="009951D3"/>
    <w:rsid w:val="009A3229"/>
    <w:rsid w:val="009B2517"/>
    <w:rsid w:val="009D0F33"/>
    <w:rsid w:val="00A033C5"/>
    <w:rsid w:val="00A04295"/>
    <w:rsid w:val="00A15D83"/>
    <w:rsid w:val="00A320F4"/>
    <w:rsid w:val="00A54B6B"/>
    <w:rsid w:val="00A642AC"/>
    <w:rsid w:val="00A64434"/>
    <w:rsid w:val="00A70FB1"/>
    <w:rsid w:val="00A7429B"/>
    <w:rsid w:val="00A824CC"/>
    <w:rsid w:val="00A90D18"/>
    <w:rsid w:val="00AB7711"/>
    <w:rsid w:val="00AB7F13"/>
    <w:rsid w:val="00AD3339"/>
    <w:rsid w:val="00AE4880"/>
    <w:rsid w:val="00B050D6"/>
    <w:rsid w:val="00B11FAA"/>
    <w:rsid w:val="00B12DEC"/>
    <w:rsid w:val="00B21A21"/>
    <w:rsid w:val="00B54BD2"/>
    <w:rsid w:val="00B75081"/>
    <w:rsid w:val="00B94A34"/>
    <w:rsid w:val="00BA58B0"/>
    <w:rsid w:val="00BA6131"/>
    <w:rsid w:val="00BB06A9"/>
    <w:rsid w:val="00BB2494"/>
    <w:rsid w:val="00BB707D"/>
    <w:rsid w:val="00BE0FC7"/>
    <w:rsid w:val="00C210F7"/>
    <w:rsid w:val="00C24482"/>
    <w:rsid w:val="00C43423"/>
    <w:rsid w:val="00C467EB"/>
    <w:rsid w:val="00C51127"/>
    <w:rsid w:val="00C65F8F"/>
    <w:rsid w:val="00C835E7"/>
    <w:rsid w:val="00C90A21"/>
    <w:rsid w:val="00C92781"/>
    <w:rsid w:val="00C92EF8"/>
    <w:rsid w:val="00C94DFB"/>
    <w:rsid w:val="00CA2BA0"/>
    <w:rsid w:val="00CD219C"/>
    <w:rsid w:val="00CD335C"/>
    <w:rsid w:val="00CD70C5"/>
    <w:rsid w:val="00CE3DE0"/>
    <w:rsid w:val="00CF4B65"/>
    <w:rsid w:val="00D01D06"/>
    <w:rsid w:val="00D16C98"/>
    <w:rsid w:val="00D20462"/>
    <w:rsid w:val="00D236CF"/>
    <w:rsid w:val="00D2512F"/>
    <w:rsid w:val="00D25786"/>
    <w:rsid w:val="00D259F2"/>
    <w:rsid w:val="00D76278"/>
    <w:rsid w:val="00D85572"/>
    <w:rsid w:val="00D87789"/>
    <w:rsid w:val="00DB2CD6"/>
    <w:rsid w:val="00DB539F"/>
    <w:rsid w:val="00DF14D9"/>
    <w:rsid w:val="00DF4B8F"/>
    <w:rsid w:val="00E01D45"/>
    <w:rsid w:val="00E02510"/>
    <w:rsid w:val="00E1047A"/>
    <w:rsid w:val="00E11837"/>
    <w:rsid w:val="00E516FD"/>
    <w:rsid w:val="00E51B32"/>
    <w:rsid w:val="00E6638C"/>
    <w:rsid w:val="00E676DF"/>
    <w:rsid w:val="00E85C5B"/>
    <w:rsid w:val="00E977BF"/>
    <w:rsid w:val="00EA41B9"/>
    <w:rsid w:val="00ED0E28"/>
    <w:rsid w:val="00F3523E"/>
    <w:rsid w:val="00F56323"/>
    <w:rsid w:val="00F70895"/>
    <w:rsid w:val="00F8131C"/>
    <w:rsid w:val="00F97EB7"/>
    <w:rsid w:val="00FA3CDB"/>
    <w:rsid w:val="00FA6D6D"/>
    <w:rsid w:val="00FC653D"/>
    <w:rsid w:val="00FD3A35"/>
    <w:rsid w:val="00FE2DC3"/>
    <w:rsid w:val="00FE518A"/>
    <w:rsid w:val="00FF12F4"/>
    <w:rsid w:val="00FF4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3BD18"/>
  <w15:docId w15:val="{3CD9A66F-4129-4D16-B24C-342785C8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qFormat/>
    <w:pPr>
      <w:pBdr>
        <w:top w:val="nil"/>
        <w:left w:val="nil"/>
        <w:bottom w:val="nil"/>
        <w:right w:val="nil"/>
        <w:between w:val="nil"/>
      </w:pBdr>
      <w:spacing w:line="240" w:lineRule="auto"/>
      <w:ind w:left="567" w:right="567" w:hanging="567"/>
    </w:pPr>
    <w:rPr>
      <w:i/>
      <w:color w:val="000000"/>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28">
    <w:name w:val="28"/>
    <w:basedOn w:val="TableNormal10"/>
    <w:pPr>
      <w:spacing w:line="240" w:lineRule="auto"/>
    </w:p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1A0BB6"/>
    <w:pPr>
      <w:tabs>
        <w:tab w:val="right" w:leader="dot" w:pos="9034"/>
      </w:tabs>
      <w:spacing w:after="100" w:line="240" w:lineRule="auto"/>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25">
    <w:name w:val="25"/>
    <w:basedOn w:val="TableNormal10"/>
    <w:pPr>
      <w:spacing w:line="240" w:lineRule="auto"/>
    </w:pPr>
    <w:tblPr>
      <w:tblStyleRowBandSize w:val="1"/>
      <w:tblStyleColBandSize w:val="1"/>
      <w:tblCellMar>
        <w:left w:w="108" w:type="dxa"/>
        <w:right w:w="108"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23">
    <w:name w:val="23"/>
    <w:basedOn w:val="TableNormal1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22">
    <w:name w:val="22"/>
    <w:basedOn w:val="TableNormal2"/>
    <w:pPr>
      <w:spacing w:line="240" w:lineRule="auto"/>
    </w:pPr>
    <w:tblPr>
      <w:tblStyleRowBandSize w:val="1"/>
      <w:tblStyleColBandSize w:val="1"/>
      <w:tblCellMar>
        <w:left w:w="108" w:type="dxa"/>
        <w:right w:w="108"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19">
    <w:name w:val="19"/>
    <w:basedOn w:val="TableNormal0"/>
    <w:tblPr>
      <w:tblStyleRowBandSize w:val="1"/>
      <w:tblStyleColBandSize w:val="1"/>
      <w:tblCellMar>
        <w:left w:w="70" w:type="dxa"/>
        <w:right w:w="70"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70" w:type="dxa"/>
        <w:right w:w="70" w:type="dxa"/>
      </w:tblCellMar>
    </w:tblPr>
  </w:style>
  <w:style w:type="table" w:customStyle="1" w:styleId="16">
    <w:name w:val="16"/>
    <w:basedOn w:val="TableNormal0"/>
    <w:tblPr>
      <w:tblStyleRowBandSize w:val="1"/>
      <w:tblStyleColBandSize w:val="1"/>
      <w:tblCellMar>
        <w:left w:w="70" w:type="dxa"/>
        <w:right w:w="70" w:type="dxa"/>
      </w:tblCellMar>
    </w:tblPr>
  </w:style>
  <w:style w:type="table" w:customStyle="1" w:styleId="15">
    <w:name w:val="15"/>
    <w:basedOn w:val="TableNormal0"/>
    <w:tblPr>
      <w:tblStyleRowBandSize w:val="1"/>
      <w:tblStyleColBandSize w:val="1"/>
      <w:tblCellMar>
        <w:left w:w="70" w:type="dxa"/>
        <w:right w:w="70" w:type="dxa"/>
      </w:tblCellMar>
    </w:tblPr>
  </w:style>
  <w:style w:type="table" w:customStyle="1" w:styleId="14">
    <w:name w:val="14"/>
    <w:basedOn w:val="TableNormal0"/>
    <w:tblPr>
      <w:tblStyleRowBandSize w:val="1"/>
      <w:tblStyleColBandSize w:val="1"/>
      <w:tblCellMar>
        <w:left w:w="70" w:type="dxa"/>
        <w:right w:w="70" w:type="dxa"/>
      </w:tblCellMar>
    </w:tblPr>
  </w:style>
  <w:style w:type="table" w:customStyle="1" w:styleId="13">
    <w:name w:val="13"/>
    <w:basedOn w:val="TableNormal0"/>
    <w:tblPr>
      <w:tblStyleRowBandSize w:val="1"/>
      <w:tblStyleColBandSize w:val="1"/>
      <w:tblCellMar>
        <w:left w:w="70" w:type="dxa"/>
        <w:right w:w="70" w:type="dxa"/>
      </w:tblCellMar>
    </w:tblPr>
  </w:style>
  <w:style w:type="table" w:customStyle="1" w:styleId="12">
    <w:name w:val="12"/>
    <w:basedOn w:val="TableNormal0"/>
    <w:tblPr>
      <w:tblStyleRowBandSize w:val="1"/>
      <w:tblStyleColBandSize w:val="1"/>
      <w:tblCellMar>
        <w:left w:w="70" w:type="dxa"/>
        <w:right w:w="70" w:type="dxa"/>
      </w:tblCellMar>
    </w:tblPr>
  </w:style>
  <w:style w:type="table" w:customStyle="1" w:styleId="11">
    <w:name w:val="11"/>
    <w:basedOn w:val="TableNormal0"/>
    <w:tblPr>
      <w:tblStyleRowBandSize w:val="1"/>
      <w:tblStyleColBandSize w:val="1"/>
      <w:tblCellMar>
        <w:left w:w="70" w:type="dxa"/>
        <w:right w:w="70" w:type="dxa"/>
      </w:tblCellMar>
    </w:tblPr>
  </w:style>
  <w:style w:type="table" w:customStyle="1" w:styleId="10">
    <w:name w:val="10"/>
    <w:basedOn w:val="TableNormal0"/>
    <w:tblPr>
      <w:tblStyleRowBandSize w:val="1"/>
      <w:tblStyleColBandSize w:val="1"/>
      <w:tblCellMar>
        <w:left w:w="70" w:type="dxa"/>
        <w:right w:w="70" w:type="dxa"/>
      </w:tblCellMar>
    </w:tblPr>
  </w:style>
  <w:style w:type="table" w:customStyle="1" w:styleId="9">
    <w:name w:val="9"/>
    <w:basedOn w:val="TableNormal0"/>
    <w:tblPr>
      <w:tblStyleRowBandSize w:val="1"/>
      <w:tblStyleColBandSize w:val="1"/>
      <w:tblCellMar>
        <w:left w:w="70" w:type="dxa"/>
        <w:right w:w="70" w:type="dxa"/>
      </w:tblCellMar>
    </w:tblPr>
  </w:style>
  <w:style w:type="table" w:customStyle="1" w:styleId="8">
    <w:name w:val="8"/>
    <w:basedOn w:val="TableNormal0"/>
    <w:tblPr>
      <w:tblStyleRowBandSize w:val="1"/>
      <w:tblStyleColBandSize w:val="1"/>
      <w:tblCellMar>
        <w:left w:w="70" w:type="dxa"/>
        <w:right w:w="70" w:type="dxa"/>
      </w:tblCellMar>
    </w:tblPr>
  </w:style>
  <w:style w:type="table" w:customStyle="1" w:styleId="7">
    <w:name w:val="7"/>
    <w:basedOn w:val="TableNormal0"/>
    <w:pPr>
      <w:spacing w:line="240" w:lineRule="auto"/>
    </w:pPr>
    <w:tblPr>
      <w:tblStyleRowBandSize w:val="1"/>
      <w:tblStyleColBandSize w:val="1"/>
      <w:tblCellMar>
        <w:left w:w="108" w:type="dxa"/>
        <w:right w:w="108"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pPr>
      <w:spacing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 w:type="character" w:styleId="Hipervnculovisitado">
    <w:name w:val="FollowedHyperlink"/>
    <w:basedOn w:val="Fuentedeprrafopredeter"/>
    <w:uiPriority w:val="99"/>
    <w:semiHidden/>
    <w:unhideWhenUsed/>
    <w:rsid w:val="009619ED"/>
    <w:rPr>
      <w:color w:val="800080" w:themeColor="followedHyperlink"/>
      <w:u w:val="single"/>
    </w:rPr>
  </w:style>
  <w:style w:type="paragraph" w:customStyle="1" w:styleId="Citas">
    <w:name w:val="Citas"/>
    <w:basedOn w:val="Normal"/>
    <w:qFormat/>
    <w:rsid w:val="00F56323"/>
    <w:pPr>
      <w:spacing w:before="240" w:after="160"/>
      <w:ind w:left="851" w:right="851"/>
    </w:pPr>
    <w:rPr>
      <w:rFonts w:eastAsiaTheme="minorHAnsi"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554">
      <w:bodyDiv w:val="1"/>
      <w:marLeft w:val="0"/>
      <w:marRight w:val="0"/>
      <w:marTop w:val="0"/>
      <w:marBottom w:val="0"/>
      <w:divBdr>
        <w:top w:val="none" w:sz="0" w:space="0" w:color="auto"/>
        <w:left w:val="none" w:sz="0" w:space="0" w:color="auto"/>
        <w:bottom w:val="none" w:sz="0" w:space="0" w:color="auto"/>
        <w:right w:val="none" w:sz="0" w:space="0" w:color="auto"/>
      </w:divBdr>
    </w:div>
    <w:div w:id="220603356">
      <w:bodyDiv w:val="1"/>
      <w:marLeft w:val="0"/>
      <w:marRight w:val="0"/>
      <w:marTop w:val="0"/>
      <w:marBottom w:val="0"/>
      <w:divBdr>
        <w:top w:val="none" w:sz="0" w:space="0" w:color="auto"/>
        <w:left w:val="none" w:sz="0" w:space="0" w:color="auto"/>
        <w:bottom w:val="none" w:sz="0" w:space="0" w:color="auto"/>
        <w:right w:val="none" w:sz="0" w:space="0" w:color="auto"/>
      </w:divBdr>
    </w:div>
    <w:div w:id="234633790">
      <w:bodyDiv w:val="1"/>
      <w:marLeft w:val="0"/>
      <w:marRight w:val="0"/>
      <w:marTop w:val="0"/>
      <w:marBottom w:val="0"/>
      <w:divBdr>
        <w:top w:val="none" w:sz="0" w:space="0" w:color="auto"/>
        <w:left w:val="none" w:sz="0" w:space="0" w:color="auto"/>
        <w:bottom w:val="none" w:sz="0" w:space="0" w:color="auto"/>
        <w:right w:val="none" w:sz="0" w:space="0" w:color="auto"/>
      </w:divBdr>
    </w:div>
    <w:div w:id="325405267">
      <w:bodyDiv w:val="1"/>
      <w:marLeft w:val="0"/>
      <w:marRight w:val="0"/>
      <w:marTop w:val="0"/>
      <w:marBottom w:val="0"/>
      <w:divBdr>
        <w:top w:val="none" w:sz="0" w:space="0" w:color="auto"/>
        <w:left w:val="none" w:sz="0" w:space="0" w:color="auto"/>
        <w:bottom w:val="none" w:sz="0" w:space="0" w:color="auto"/>
        <w:right w:val="none" w:sz="0" w:space="0" w:color="auto"/>
      </w:divBdr>
    </w:div>
    <w:div w:id="415172028">
      <w:bodyDiv w:val="1"/>
      <w:marLeft w:val="0"/>
      <w:marRight w:val="0"/>
      <w:marTop w:val="0"/>
      <w:marBottom w:val="0"/>
      <w:divBdr>
        <w:top w:val="none" w:sz="0" w:space="0" w:color="auto"/>
        <w:left w:val="none" w:sz="0" w:space="0" w:color="auto"/>
        <w:bottom w:val="none" w:sz="0" w:space="0" w:color="auto"/>
        <w:right w:val="none" w:sz="0" w:space="0" w:color="auto"/>
      </w:divBdr>
    </w:div>
    <w:div w:id="505243093">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68530565">
      <w:bodyDiv w:val="1"/>
      <w:marLeft w:val="0"/>
      <w:marRight w:val="0"/>
      <w:marTop w:val="0"/>
      <w:marBottom w:val="0"/>
      <w:divBdr>
        <w:top w:val="none" w:sz="0" w:space="0" w:color="auto"/>
        <w:left w:val="none" w:sz="0" w:space="0" w:color="auto"/>
        <w:bottom w:val="none" w:sz="0" w:space="0" w:color="auto"/>
        <w:right w:val="none" w:sz="0" w:space="0" w:color="auto"/>
      </w:divBdr>
    </w:div>
    <w:div w:id="1114859088">
      <w:bodyDiv w:val="1"/>
      <w:marLeft w:val="0"/>
      <w:marRight w:val="0"/>
      <w:marTop w:val="0"/>
      <w:marBottom w:val="0"/>
      <w:divBdr>
        <w:top w:val="none" w:sz="0" w:space="0" w:color="auto"/>
        <w:left w:val="none" w:sz="0" w:space="0" w:color="auto"/>
        <w:bottom w:val="none" w:sz="0" w:space="0" w:color="auto"/>
        <w:right w:val="none" w:sz="0" w:space="0" w:color="auto"/>
      </w:divBdr>
    </w:div>
    <w:div w:id="1388652035">
      <w:bodyDiv w:val="1"/>
      <w:marLeft w:val="0"/>
      <w:marRight w:val="0"/>
      <w:marTop w:val="0"/>
      <w:marBottom w:val="0"/>
      <w:divBdr>
        <w:top w:val="none" w:sz="0" w:space="0" w:color="auto"/>
        <w:left w:val="none" w:sz="0" w:space="0" w:color="auto"/>
        <w:bottom w:val="none" w:sz="0" w:space="0" w:color="auto"/>
        <w:right w:val="none" w:sz="0" w:space="0" w:color="auto"/>
      </w:divBdr>
    </w:div>
    <w:div w:id="205600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biblio.juridicas.unam.mx/bjv/resultados?ti=guia+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A15D52-0B04-4DCA-8756-B9FC8BA5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5858</Words>
  <Characters>32219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USUARIO</cp:lastModifiedBy>
  <cp:revision>6</cp:revision>
  <cp:lastPrinted>2025-10-17T02:57:00Z</cp:lastPrinted>
  <dcterms:created xsi:type="dcterms:W3CDTF">2025-10-09T20:39:00Z</dcterms:created>
  <dcterms:modified xsi:type="dcterms:W3CDTF">2026-01-26T20:37:00Z</dcterms:modified>
</cp:coreProperties>
</file>