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veintinueve (29) de enero de dos mil veinticinco. </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VISTOS</w:t>
      </w:r>
      <w:r w:rsidRPr="00260235">
        <w:rPr>
          <w:rFonts w:ascii="Palatino Linotype" w:eastAsia="Palatino Linotype" w:hAnsi="Palatino Linotype" w:cs="Palatino Linotype"/>
        </w:rPr>
        <w:t xml:space="preserve"> el expediente electrónico formado con motivo del recurso de revisión </w:t>
      </w:r>
      <w:r w:rsidRPr="00260235">
        <w:rPr>
          <w:rFonts w:ascii="Palatino Linotype" w:eastAsia="Palatino Linotype" w:hAnsi="Palatino Linotype" w:cs="Palatino Linotype"/>
          <w:b/>
        </w:rPr>
        <w:t>07433/INFOEM/IP/RR/2024</w:t>
      </w:r>
      <w:r w:rsidRPr="00260235">
        <w:rPr>
          <w:rFonts w:ascii="Palatino Linotype" w:eastAsia="Palatino Linotype" w:hAnsi="Palatino Linotype" w:cs="Palatino Linotype"/>
        </w:rPr>
        <w:t>,</w:t>
      </w:r>
      <w:r w:rsidRPr="00260235">
        <w:rPr>
          <w:rFonts w:ascii="Palatino Linotype" w:eastAsia="Palatino Linotype" w:hAnsi="Palatino Linotype" w:cs="Palatino Linotype"/>
          <w:b/>
        </w:rPr>
        <w:t xml:space="preserve"> </w:t>
      </w:r>
      <w:r w:rsidRPr="00260235">
        <w:rPr>
          <w:rFonts w:ascii="Palatino Linotype" w:eastAsia="Palatino Linotype" w:hAnsi="Palatino Linotype" w:cs="Palatino Linotype"/>
        </w:rPr>
        <w:t xml:space="preserve">promovido por un </w:t>
      </w:r>
      <w:r w:rsidRPr="00260235">
        <w:rPr>
          <w:rFonts w:ascii="Palatino Linotype" w:eastAsia="Palatino Linotype" w:hAnsi="Palatino Linotype" w:cs="Palatino Linotype"/>
          <w:b/>
        </w:rPr>
        <w:t>usuario que no proporcionó nombre alguno</w:t>
      </w:r>
      <w:r w:rsidR="00E501E0"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rPr>
        <w:t xml:space="preserve">a quien en lo sucesivo se le llamara </w:t>
      </w:r>
      <w:r w:rsidRPr="00260235">
        <w:rPr>
          <w:rFonts w:ascii="Palatino Linotype" w:eastAsia="Palatino Linotype" w:hAnsi="Palatino Linotype" w:cs="Palatino Linotype"/>
          <w:b/>
        </w:rPr>
        <w:t>RECURRENTE,</w:t>
      </w:r>
      <w:r w:rsidRPr="00260235">
        <w:rPr>
          <w:rFonts w:ascii="Palatino Linotype" w:eastAsia="Palatino Linotype" w:hAnsi="Palatino Linotype" w:cs="Palatino Linotype"/>
        </w:rPr>
        <w:t xml:space="preserve"> en contra de la respuesta de la </w:t>
      </w:r>
      <w:r w:rsidRPr="00260235">
        <w:rPr>
          <w:rFonts w:ascii="Palatino Linotype" w:eastAsia="Palatino Linotype" w:hAnsi="Palatino Linotype" w:cs="Palatino Linotype"/>
          <w:b/>
        </w:rPr>
        <w:t xml:space="preserve">Secretaría de Finanzas, </w:t>
      </w:r>
      <w:r w:rsidRPr="00260235">
        <w:rPr>
          <w:rFonts w:ascii="Palatino Linotype" w:eastAsia="Palatino Linotype" w:hAnsi="Palatino Linotype" w:cs="Palatino Linotype"/>
        </w:rPr>
        <w:t>en lo sucesivo el</w:t>
      </w:r>
      <w:r w:rsidRPr="00260235">
        <w:rPr>
          <w:rFonts w:ascii="Palatino Linotype" w:eastAsia="Palatino Linotype" w:hAnsi="Palatino Linotype" w:cs="Palatino Linotype"/>
          <w:b/>
        </w:rPr>
        <w:t xml:space="preserve"> SUJETO OBLIGADO</w:t>
      </w:r>
      <w:r w:rsidRPr="00260235">
        <w:rPr>
          <w:rFonts w:ascii="Palatino Linotype" w:eastAsia="Palatino Linotype" w:hAnsi="Palatino Linotype" w:cs="Palatino Linotype"/>
        </w:rPr>
        <w:t>, por lo que se procede a dictar la presente resolución, con base en los siguientes:</w:t>
      </w:r>
    </w:p>
    <w:p w:rsidR="000B449B" w:rsidRPr="00260235" w:rsidRDefault="000B449B">
      <w:pPr>
        <w:keepNext/>
        <w:keepLines/>
        <w:spacing w:line="360" w:lineRule="auto"/>
        <w:ind w:right="-307"/>
        <w:jc w:val="both"/>
        <w:rPr>
          <w:rFonts w:ascii="Palatino Linotype" w:eastAsia="Palatino Linotype" w:hAnsi="Palatino Linotype" w:cs="Palatino Linotype"/>
          <w:b/>
        </w:rPr>
      </w:pPr>
    </w:p>
    <w:p w:rsidR="000B449B" w:rsidRPr="00260235" w:rsidRDefault="00176FA6">
      <w:pPr>
        <w:keepNext/>
        <w:keepLines/>
        <w:spacing w:line="360" w:lineRule="auto"/>
        <w:ind w:right="-307"/>
        <w:jc w:val="center"/>
        <w:rPr>
          <w:rFonts w:ascii="Palatino Linotype" w:eastAsia="Palatino Linotype" w:hAnsi="Palatino Linotype" w:cs="Palatino Linotype"/>
          <w:b/>
        </w:rPr>
      </w:pPr>
      <w:r w:rsidRPr="00260235">
        <w:rPr>
          <w:rFonts w:ascii="Palatino Linotype" w:eastAsia="Palatino Linotype" w:hAnsi="Palatino Linotype" w:cs="Palatino Linotype"/>
          <w:b/>
        </w:rPr>
        <w:t>A N T E C E D E N T E S</w:t>
      </w:r>
    </w:p>
    <w:p w:rsidR="000B449B" w:rsidRPr="00260235" w:rsidRDefault="000B449B">
      <w:p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El </w:t>
      </w:r>
      <w:r w:rsidRPr="00260235">
        <w:rPr>
          <w:rFonts w:ascii="Palatino Linotype" w:eastAsia="Palatino Linotype" w:hAnsi="Palatino Linotype" w:cs="Palatino Linotype"/>
          <w:b/>
        </w:rPr>
        <w:t>siete de noviembre de dos mil veinticuatro</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b/>
        </w:rPr>
        <w:t>EL RECURRENTE,</w:t>
      </w:r>
      <w:r w:rsidRPr="00260235">
        <w:rPr>
          <w:rFonts w:ascii="Palatino Linotype" w:eastAsia="Palatino Linotype" w:hAnsi="Palatino Linotype" w:cs="Palatino Linotype"/>
        </w:rPr>
        <w:t xml:space="preserve"> ante el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vía Sistema de Acceso a la Información Mexiquense (</w:t>
      </w:r>
      <w:r w:rsidRPr="00260235">
        <w:rPr>
          <w:rFonts w:ascii="Palatino Linotype" w:eastAsia="Palatino Linotype" w:hAnsi="Palatino Linotype" w:cs="Palatino Linotype"/>
          <w:b/>
        </w:rPr>
        <w:t>SAIMEX)</w:t>
      </w:r>
      <w:r w:rsidRPr="00260235">
        <w:rPr>
          <w:rFonts w:ascii="Palatino Linotype" w:eastAsia="Palatino Linotype" w:hAnsi="Palatino Linotype" w:cs="Palatino Linotype"/>
        </w:rPr>
        <w:t xml:space="preserve">, presentó la solicitud de información registrada con el número </w:t>
      </w:r>
      <w:r w:rsidRPr="00260235">
        <w:rPr>
          <w:rFonts w:ascii="Palatino Linotype" w:eastAsia="Palatino Linotype" w:hAnsi="Palatino Linotype" w:cs="Palatino Linotype"/>
          <w:b/>
        </w:rPr>
        <w:t>00844/SF/IP/2024</w:t>
      </w:r>
      <w:r w:rsidRPr="00260235">
        <w:rPr>
          <w:rFonts w:ascii="Palatino Linotype" w:eastAsia="Palatino Linotype" w:hAnsi="Palatino Linotype" w:cs="Palatino Linotype"/>
        </w:rPr>
        <w:t>,</w:t>
      </w:r>
      <w:r w:rsidRPr="00260235">
        <w:rPr>
          <w:rFonts w:ascii="Palatino Linotype" w:eastAsia="Palatino Linotype" w:hAnsi="Palatino Linotype" w:cs="Palatino Linotype"/>
          <w:b/>
        </w:rPr>
        <w:t xml:space="preserve"> </w:t>
      </w:r>
      <w:r w:rsidRPr="00260235">
        <w:rPr>
          <w:rFonts w:ascii="Palatino Linotype" w:eastAsia="Palatino Linotype" w:hAnsi="Palatino Linotype" w:cs="Palatino Linotype"/>
        </w:rPr>
        <w:t>en la que se solicitó lo siguiente:</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left="567" w:right="-307"/>
        <w:jc w:val="both"/>
        <w:rPr>
          <w:rFonts w:ascii="Palatino Linotype" w:eastAsia="Palatino Linotype" w:hAnsi="Palatino Linotype" w:cs="Palatino Linotype"/>
          <w:i/>
          <w:color w:val="000000"/>
        </w:rPr>
      </w:pPr>
      <w:r w:rsidRPr="00260235">
        <w:rPr>
          <w:rFonts w:ascii="Palatino Linotype" w:eastAsia="Palatino Linotype" w:hAnsi="Palatino Linotype" w:cs="Palatino Linotype"/>
          <w:i/>
          <w:color w:val="000000"/>
        </w:rPr>
        <w:t>“Solicito recibos de pago de los últimos 6 meses de la servidora pública CLAUDIA NOGUEZ GONZALES</w:t>
      </w:r>
      <w:r w:rsidRPr="00260235">
        <w:rPr>
          <w:rFonts w:ascii="Palatino Linotype" w:eastAsia="Palatino Linotype" w:hAnsi="Palatino Linotype" w:cs="Palatino Linotype"/>
          <w:color w:val="000000"/>
        </w:rPr>
        <w:t>"</w:t>
      </w:r>
      <w:r w:rsidRPr="00260235">
        <w:rPr>
          <w:rFonts w:ascii="Palatino Linotype" w:eastAsia="Palatino Linotype" w:hAnsi="Palatino Linotype" w:cs="Palatino Linotype"/>
          <w:i/>
          <w:color w:val="000000"/>
        </w:rPr>
        <w:t xml:space="preserve">” </w:t>
      </w:r>
      <w:r w:rsidRPr="00260235">
        <w:rPr>
          <w:rFonts w:ascii="Palatino Linotype" w:eastAsia="Palatino Linotype" w:hAnsi="Palatino Linotype" w:cs="Palatino Linotype"/>
          <w:color w:val="000000"/>
        </w:rPr>
        <w:t>(Sic)</w:t>
      </w:r>
      <w:r w:rsidRPr="00260235">
        <w:rPr>
          <w:rFonts w:ascii="Palatino Linotype" w:eastAsia="Palatino Linotype" w:hAnsi="Palatino Linotype" w:cs="Palatino Linotype"/>
          <w:i/>
          <w:color w:val="000000"/>
        </w:rPr>
        <w:t xml:space="preserve"> </w:t>
      </w:r>
    </w:p>
    <w:p w:rsidR="000B449B" w:rsidRPr="00260235" w:rsidRDefault="000B449B">
      <w:pPr>
        <w:spacing w:line="360" w:lineRule="auto"/>
        <w:ind w:right="-307"/>
        <w:jc w:val="both"/>
        <w:rPr>
          <w:rFonts w:ascii="Palatino Linotype" w:eastAsia="Palatino Linotype" w:hAnsi="Palatino Linotype" w:cs="Palatino Linotype"/>
          <w:i/>
          <w:color w:val="000000"/>
        </w:rPr>
      </w:pPr>
    </w:p>
    <w:p w:rsidR="000B449B" w:rsidRPr="00260235" w:rsidRDefault="00176FA6">
      <w:pPr>
        <w:numPr>
          <w:ilvl w:val="0"/>
          <w:numId w:val="8"/>
        </w:num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lastRenderedPageBreak/>
        <w:t xml:space="preserve">En fecha veintinueve de noviembre de dos mil veinticuatro,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dio respuesta a través de los archivos siguientes:</w:t>
      </w:r>
    </w:p>
    <w:p w:rsidR="000B449B" w:rsidRPr="00260235" w:rsidRDefault="00533F49" w:rsidP="00E501E0">
      <w:pPr>
        <w:numPr>
          <w:ilvl w:val="0"/>
          <w:numId w:val="8"/>
        </w:numPr>
        <w:pBdr>
          <w:top w:val="nil"/>
          <w:left w:val="nil"/>
          <w:bottom w:val="nil"/>
          <w:right w:val="nil"/>
          <w:between w:val="nil"/>
        </w:pBdr>
        <w:spacing w:line="360" w:lineRule="auto"/>
        <w:ind w:right="255"/>
        <w:jc w:val="both"/>
        <w:rPr>
          <w:rFonts w:ascii="Palatino Linotype" w:eastAsia="Palatino Linotype" w:hAnsi="Palatino Linotype" w:cs="Palatino Linotype"/>
          <w:b/>
          <w:i/>
          <w:color w:val="000000"/>
          <w:sz w:val="22"/>
        </w:rPr>
      </w:pPr>
      <w:hyperlink r:id="rId8">
        <w:r w:rsidR="00176FA6" w:rsidRPr="00260235">
          <w:rPr>
            <w:rFonts w:ascii="Palatino Linotype" w:eastAsia="Palatino Linotype" w:hAnsi="Palatino Linotype" w:cs="Palatino Linotype"/>
            <w:b/>
            <w:i/>
            <w:color w:val="000000"/>
            <w:sz w:val="22"/>
          </w:rPr>
          <w:t xml:space="preserve">00854 </w:t>
        </w:r>
      </w:hyperlink>
      <w:hyperlink r:id="rId9">
        <w:r w:rsidR="00176FA6" w:rsidRPr="00260235">
          <w:rPr>
            <w:rFonts w:ascii="Palatino Linotype" w:eastAsia="Palatino Linotype" w:hAnsi="Palatino Linotype" w:cs="Palatino Linotype"/>
            <w:b/>
            <w:i/>
            <w:color w:val="000000"/>
            <w:sz w:val="22"/>
          </w:rPr>
          <w:t>COORDINACION</w:t>
        </w:r>
      </w:hyperlink>
      <w:hyperlink r:id="rId10">
        <w:r w:rsidR="00176FA6" w:rsidRPr="00260235">
          <w:rPr>
            <w:rFonts w:ascii="Palatino Linotype" w:eastAsia="Palatino Linotype" w:hAnsi="Palatino Linotype" w:cs="Palatino Linotype"/>
            <w:b/>
            <w:i/>
            <w:color w:val="000000"/>
            <w:sz w:val="22"/>
          </w:rPr>
          <w:t xml:space="preserve"> ADMINISTRATIVA (2).pdf</w:t>
        </w:r>
      </w:hyperlink>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Oficio de catorce de noviembre de dos mil catorce, la Servidora Pública Habilitada Suplente de la Coordinación Administrativa, informó que:</w:t>
      </w:r>
    </w:p>
    <w:p w:rsidR="000B449B" w:rsidRPr="00260235" w:rsidRDefault="00176FA6" w:rsidP="00E501E0">
      <w:pPr>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 xml:space="preserve">En atención al oficio 20700004S/UT-2219/2024, mediante el cual se remite la solicitud de información pública número </w:t>
      </w:r>
      <w:r w:rsidRPr="00260235">
        <w:rPr>
          <w:rFonts w:ascii="Palatino Linotype" w:eastAsia="Palatino Linotype" w:hAnsi="Palatino Linotype" w:cs="Palatino Linotype"/>
          <w:b/>
          <w:i/>
          <w:sz w:val="22"/>
        </w:rPr>
        <w:t>00854/SF/IP/2024</w:t>
      </w:r>
      <w:r w:rsidRPr="00260235">
        <w:rPr>
          <w:rFonts w:ascii="Palatino Linotype" w:eastAsia="Palatino Linotype" w:hAnsi="Palatino Linotype" w:cs="Palatino Linotype"/>
          <w:i/>
          <w:sz w:val="22"/>
        </w:rPr>
        <w:t xml:space="preserve">, recibido en esta Coordinación, en la cual se requiere lo siguiente: </w:t>
      </w:r>
    </w:p>
    <w:p w:rsidR="000B449B" w:rsidRPr="00260235" w:rsidRDefault="000B449B" w:rsidP="00E501E0">
      <w:pPr>
        <w:spacing w:line="276" w:lineRule="auto"/>
        <w:ind w:left="567" w:right="255"/>
        <w:jc w:val="both"/>
        <w:rPr>
          <w:rFonts w:ascii="Palatino Linotype" w:eastAsia="Palatino Linotype" w:hAnsi="Palatino Linotype" w:cs="Palatino Linotype"/>
          <w:i/>
          <w:sz w:val="22"/>
        </w:rPr>
      </w:pPr>
    </w:p>
    <w:p w:rsidR="000B449B" w:rsidRPr="00260235" w:rsidRDefault="00176FA6" w:rsidP="00E501E0">
      <w:pPr>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w:t>
      </w:r>
      <w:r w:rsidRPr="00260235">
        <w:rPr>
          <w:rFonts w:ascii="Palatino Linotype" w:eastAsia="Palatino Linotype" w:hAnsi="Palatino Linotype" w:cs="Palatino Linotype"/>
          <w:b/>
          <w:i/>
          <w:sz w:val="22"/>
        </w:rPr>
        <w:t>SOLICITO LAS DOCUMENTALES CONSISTENTES EN EL FUMP DE MARIO REYES SANTOS Y DE CLAUDIA NOGUEZ GONZÁLEZ, ASÍ COMO CUALQUIER DOCUMENTO EN DONDE CONSTEN LA SOLICITUD DE AUMENTOS DE NIVEL Y RANGO QUE TIENEN DESDE QUE INGRESARON A LABORAR EN LA SECRETARÍA DE FINANZAS</w:t>
      </w:r>
      <w:r w:rsidRPr="00260235">
        <w:rPr>
          <w:rFonts w:ascii="Palatino Linotype" w:eastAsia="Palatino Linotype" w:hAnsi="Palatino Linotype" w:cs="Palatino Linotype"/>
          <w:i/>
          <w:sz w:val="22"/>
        </w:rPr>
        <w:t xml:space="preserve">.” (sic) </w:t>
      </w:r>
    </w:p>
    <w:p w:rsidR="000B449B" w:rsidRPr="00260235" w:rsidRDefault="000B449B" w:rsidP="00E501E0">
      <w:pPr>
        <w:spacing w:line="276" w:lineRule="auto"/>
        <w:ind w:left="567" w:right="255"/>
        <w:jc w:val="both"/>
        <w:rPr>
          <w:rFonts w:ascii="Palatino Linotype" w:eastAsia="Palatino Linotype" w:hAnsi="Palatino Linotype" w:cs="Palatino Linotype"/>
          <w:i/>
          <w:sz w:val="22"/>
        </w:rPr>
      </w:pPr>
    </w:p>
    <w:p w:rsidR="000B449B" w:rsidRPr="00260235" w:rsidRDefault="00176FA6" w:rsidP="00E501E0">
      <w:pPr>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 xml:space="preserve">Al respecto y con la finalidad de dar cumplimiento a lo dispuesto por los artículos 3 fracción XXXIX y 59 fracciones I, II y III de la Ley de Transparencia y Acceso a la Información Pública del Estado de México y Municipios, con fundamento en lo dispuesto por los artículos 3 fracciones IX, XI, XX, XXI, XXXII, у XXXIX, 24 fracción VI, 49 fracción VIII, 59 fracción V, 137, 143 fracción I y 149 de la Ley de Transparencia y Acceso a la Información Pública del Estado de México y Municipios; 1 y 4 fracción XI de la Ley de Protección de Datos Personales en Posesión de Sujetos Obligados del Estado de México у Municipios se adjunta al presente copia simple de los FUMP solicitados, así como la tarjeta y oficio de autorización por parte de la Oficial Mayor mediante los cuales autoriza el cambio de rango de los mismos; y en concordancia con los ordinales Primero, Séptimo fracción I y Trigésimo Octavo fracción I,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solicito se someta a consideración del Comité de Transparencia la clasificación como información confidencial de los datos personales contenidos en los documentos, consistentes en el CURP, estado civil, domicilio, fecha y lugar de nacimiento, tipo de sindicato, clave de servidor público y RFC, toda vez que, de proporcionarse esta información, se tendría acceso no autorizado a información personal, lo que </w:t>
      </w:r>
      <w:r w:rsidRPr="00260235">
        <w:rPr>
          <w:rFonts w:ascii="Palatino Linotype" w:eastAsia="Palatino Linotype" w:hAnsi="Palatino Linotype" w:cs="Palatino Linotype"/>
          <w:i/>
          <w:sz w:val="22"/>
        </w:rPr>
        <w:lastRenderedPageBreak/>
        <w:t>implicaría transgresión a lo dispuesto en el artículo 16 de la Constitución Política de los Estados Unidos Mexicanos.</w:t>
      </w:r>
    </w:p>
    <w:p w:rsidR="000B449B" w:rsidRPr="00260235" w:rsidRDefault="000B449B" w:rsidP="00E501E0">
      <w:pPr>
        <w:spacing w:line="276" w:lineRule="auto"/>
        <w:ind w:left="567" w:right="255"/>
        <w:jc w:val="both"/>
        <w:rPr>
          <w:rFonts w:ascii="Palatino Linotype" w:eastAsia="Palatino Linotype" w:hAnsi="Palatino Linotype" w:cs="Palatino Linotype"/>
          <w:i/>
          <w:sz w:val="22"/>
        </w:rPr>
      </w:pPr>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Asimismo, se adjuntan Formatos Únicos de Movimiento Personal de la Secretaría de Finanzas, oficio de quince de agosto de dos mil veinticuatro firmado por el Oficial Mayor en el que se autoriza llevar a cabo la promoción de rango salarial de 22 servidores públicos que refiere en una lista.</w:t>
      </w:r>
    </w:p>
    <w:p w:rsidR="000B449B" w:rsidRPr="00260235" w:rsidRDefault="00533F49" w:rsidP="00E501E0">
      <w:pPr>
        <w:numPr>
          <w:ilvl w:val="0"/>
          <w:numId w:val="8"/>
        </w:numPr>
        <w:pBdr>
          <w:top w:val="nil"/>
          <w:left w:val="nil"/>
          <w:bottom w:val="nil"/>
          <w:right w:val="nil"/>
          <w:between w:val="nil"/>
        </w:pBdr>
        <w:spacing w:line="360" w:lineRule="auto"/>
        <w:ind w:right="255"/>
        <w:jc w:val="both"/>
        <w:rPr>
          <w:rFonts w:ascii="Palatino Linotype" w:eastAsia="Palatino Linotype" w:hAnsi="Palatino Linotype" w:cs="Palatino Linotype"/>
          <w:b/>
          <w:i/>
          <w:color w:val="000000"/>
          <w:sz w:val="22"/>
        </w:rPr>
      </w:pPr>
      <w:hyperlink r:id="rId11">
        <w:r w:rsidR="00176FA6" w:rsidRPr="00260235">
          <w:rPr>
            <w:rFonts w:ascii="Palatino Linotype" w:eastAsia="Palatino Linotype" w:hAnsi="Palatino Linotype" w:cs="Palatino Linotype"/>
            <w:b/>
            <w:i/>
            <w:color w:val="000000"/>
            <w:sz w:val="22"/>
          </w:rPr>
          <w:t>CT-2024-250.pdf</w:t>
        </w:r>
      </w:hyperlink>
    </w:p>
    <w:p w:rsidR="000B449B" w:rsidRPr="00260235" w:rsidRDefault="00176FA6" w:rsidP="00E501E0">
      <w:pPr>
        <w:spacing w:line="360" w:lineRule="auto"/>
        <w:ind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Resolución, respecto de la clasificación como información confidencial de los datos personales consistentes en: número de cuenta, número de recibo, CURP, RFC, conceptos personales deducciones, clave de ISSEMYM y clave de servidor público, contenidos en los comprobantes de percepciones y deducciones de los meses de mayo, junio, julio, agosto, septiembre y octubre de dos mil veinticuatro, de Claudia Noguez González.</w:t>
      </w:r>
    </w:p>
    <w:p w:rsidR="000B449B" w:rsidRPr="00260235" w:rsidRDefault="00533F49" w:rsidP="00E501E0">
      <w:pPr>
        <w:numPr>
          <w:ilvl w:val="0"/>
          <w:numId w:val="8"/>
        </w:numPr>
        <w:pBdr>
          <w:top w:val="nil"/>
          <w:left w:val="nil"/>
          <w:bottom w:val="nil"/>
          <w:right w:val="nil"/>
          <w:between w:val="nil"/>
        </w:pBdr>
        <w:spacing w:line="360" w:lineRule="auto"/>
        <w:ind w:right="255"/>
        <w:jc w:val="both"/>
        <w:rPr>
          <w:rFonts w:ascii="Palatino Linotype" w:eastAsia="Palatino Linotype" w:hAnsi="Palatino Linotype" w:cs="Palatino Linotype"/>
          <w:b/>
          <w:i/>
          <w:color w:val="000000"/>
          <w:sz w:val="22"/>
        </w:rPr>
      </w:pPr>
      <w:hyperlink r:id="rId12">
        <w:r w:rsidR="00176FA6" w:rsidRPr="00260235">
          <w:rPr>
            <w:rFonts w:ascii="Palatino Linotype" w:eastAsia="Palatino Linotype" w:hAnsi="Palatino Linotype" w:cs="Palatino Linotype"/>
            <w:b/>
            <w:i/>
            <w:color w:val="000000"/>
            <w:sz w:val="22"/>
          </w:rPr>
          <w:t>844 solicitante.pdf</w:t>
        </w:r>
      </w:hyperlink>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Oficio de veintiocho de noviembre de dos mil veinticuatro, firmado por el Jefe de la UIIPE y Titular de la Unidad de Transparencia de la Secretaría de Finanzas, por el que  informó</w:t>
      </w:r>
      <w:r w:rsidRPr="00260235">
        <w:rPr>
          <w:rFonts w:ascii="Palatino Linotype" w:eastAsia="Palatino Linotype" w:hAnsi="Palatino Linotype" w:cs="Palatino Linotype"/>
          <w:i/>
          <w:sz w:val="22"/>
        </w:rPr>
        <w:t>, “sírvase encontrar en los archivos adjuntos, el oficio con número 207000020001005/IP/0265/2024, de fecha 14 de noviembre del año en curso, emitido por la Servidora Pública Habilitada Suplente de la Coordinación Administrativa en el que se detalla lo referente a la solicitud de mérito.”</w:t>
      </w:r>
    </w:p>
    <w:p w:rsidR="000B449B" w:rsidRPr="00260235" w:rsidRDefault="000B449B">
      <w:pPr>
        <w:pBdr>
          <w:top w:val="nil"/>
          <w:left w:val="nil"/>
          <w:bottom w:val="nil"/>
          <w:right w:val="nil"/>
          <w:between w:val="nil"/>
        </w:pBdr>
        <w:spacing w:line="360" w:lineRule="auto"/>
        <w:ind w:left="501" w:right="-307"/>
        <w:jc w:val="both"/>
        <w:rPr>
          <w:rFonts w:ascii="Palatino Linotype" w:eastAsia="Palatino Linotype" w:hAnsi="Palatino Linotype" w:cs="Palatino Linotype"/>
          <w:color w:val="000000"/>
        </w:rPr>
      </w:pPr>
    </w:p>
    <w:p w:rsidR="000B449B" w:rsidRPr="00260235" w:rsidRDefault="00176FA6">
      <w:pPr>
        <w:numPr>
          <w:ilvl w:val="0"/>
          <w:numId w:val="1"/>
        </w:numPr>
        <w:pBdr>
          <w:top w:val="nil"/>
          <w:left w:val="nil"/>
          <w:bottom w:val="nil"/>
          <w:right w:val="nil"/>
          <w:between w:val="nil"/>
        </w:pBdr>
        <w:spacing w:line="360" w:lineRule="auto"/>
        <w:ind w:left="0" w:right="-307" w:firstLine="0"/>
        <w:jc w:val="both"/>
        <w:rPr>
          <w:color w:val="000000"/>
        </w:rPr>
      </w:pPr>
      <w:r w:rsidRPr="00260235">
        <w:rPr>
          <w:rFonts w:ascii="Palatino Linotype" w:eastAsia="Palatino Linotype" w:hAnsi="Palatino Linotype" w:cs="Palatino Linotype"/>
          <w:color w:val="000000"/>
        </w:rPr>
        <w:t>En fecha</w:t>
      </w:r>
      <w:r w:rsidRPr="00260235">
        <w:rPr>
          <w:rFonts w:ascii="Palatino Linotype" w:eastAsia="Palatino Linotype" w:hAnsi="Palatino Linotype" w:cs="Palatino Linotype"/>
          <w:b/>
          <w:color w:val="000000"/>
        </w:rPr>
        <w:t xml:space="preserve"> dos de diciembre de dos mil veinticuatro,</w:t>
      </w:r>
      <w:r w:rsidRPr="00260235">
        <w:rPr>
          <w:rFonts w:ascii="Palatino Linotype" w:eastAsia="Palatino Linotype" w:hAnsi="Palatino Linotype" w:cs="Palatino Linotype"/>
          <w:color w:val="000000"/>
        </w:rPr>
        <w:t xml:space="preserve"> </w:t>
      </w:r>
      <w:r w:rsidRPr="00260235">
        <w:rPr>
          <w:rFonts w:ascii="Palatino Linotype" w:eastAsia="Palatino Linotype" w:hAnsi="Palatino Linotype" w:cs="Palatino Linotype"/>
          <w:b/>
          <w:color w:val="000000"/>
        </w:rPr>
        <w:t>EL PARTICULAR</w:t>
      </w:r>
      <w:r w:rsidRPr="00260235">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rsidR="000B449B" w:rsidRPr="00260235" w:rsidRDefault="00176FA6" w:rsidP="00E501E0">
      <w:pPr>
        <w:pStyle w:val="Prrafodelista"/>
        <w:numPr>
          <w:ilvl w:val="0"/>
          <w:numId w:val="9"/>
        </w:numPr>
        <w:ind w:right="255"/>
        <w:jc w:val="both"/>
        <w:rPr>
          <w:rFonts w:ascii="Palatino Linotype" w:eastAsia="Palatino Linotype" w:hAnsi="Palatino Linotype" w:cs="Palatino Linotype"/>
          <w:i/>
          <w:sz w:val="22"/>
        </w:rPr>
      </w:pPr>
      <w:bookmarkStart w:id="0" w:name="_heading=h.gjdgxs" w:colFirst="0" w:colLast="0"/>
      <w:bookmarkEnd w:id="0"/>
      <w:r w:rsidRPr="00260235">
        <w:rPr>
          <w:rFonts w:ascii="Palatino Linotype" w:eastAsia="Palatino Linotype" w:hAnsi="Palatino Linotype" w:cs="Palatino Linotype"/>
          <w:b/>
          <w:sz w:val="22"/>
        </w:rPr>
        <w:t>Acto impugnado</w:t>
      </w:r>
      <w:r w:rsidRPr="00260235">
        <w:rPr>
          <w:rFonts w:ascii="Palatino Linotype" w:eastAsia="Palatino Linotype" w:hAnsi="Palatino Linotype" w:cs="Palatino Linotype"/>
          <w:sz w:val="22"/>
        </w:rPr>
        <w:t xml:space="preserve">: </w:t>
      </w:r>
      <w:r w:rsidRPr="00260235">
        <w:rPr>
          <w:rFonts w:ascii="Palatino Linotype" w:eastAsia="Palatino Linotype" w:hAnsi="Palatino Linotype" w:cs="Palatino Linotype"/>
          <w:i/>
          <w:sz w:val="22"/>
        </w:rPr>
        <w:t xml:space="preserve">“La respuesta de la Unidad de Transparencia de la Secretaría de Finanzas está mal, ya que la respuesta que dan, corresponde a otra solicitud de información 844 y la respuesta es para la solicitud 854, además someten al Comité de Transparencia la clasificación de datos personales y adjuntan el acuerdo del Comité de otra solicitud y lo mas grave es que los documentos que adjuntan no vienen testados y aparecen datos personales de servidores públicos. </w:t>
      </w:r>
      <w:r w:rsidRPr="00260235">
        <w:rPr>
          <w:rFonts w:ascii="Palatino Linotype" w:eastAsia="Palatino Linotype" w:hAnsi="Palatino Linotype" w:cs="Palatino Linotype"/>
          <w:i/>
          <w:sz w:val="22"/>
        </w:rPr>
        <w:lastRenderedPageBreak/>
        <w:t>Por lo que solicito se de vista a la Dirección General de Protección de Datos Personales del Infoem, así como a la Contraloría Interna por la negligencia al momento de dar respuesta sin proteger los datos personales que aparecen en los documentos adjuntos.” (Sic)</w:t>
      </w:r>
    </w:p>
    <w:p w:rsidR="000B449B" w:rsidRPr="00260235" w:rsidRDefault="000B449B" w:rsidP="00E501E0">
      <w:pPr>
        <w:pBdr>
          <w:top w:val="nil"/>
          <w:left w:val="nil"/>
          <w:bottom w:val="nil"/>
          <w:right w:val="nil"/>
          <w:between w:val="nil"/>
        </w:pBdr>
        <w:spacing w:line="360" w:lineRule="auto"/>
        <w:ind w:right="255" w:firstLine="708"/>
        <w:jc w:val="both"/>
        <w:rPr>
          <w:rFonts w:ascii="Palatino Linotype" w:eastAsia="Palatino Linotype" w:hAnsi="Palatino Linotype" w:cs="Palatino Linotype"/>
          <w:i/>
          <w:color w:val="000000"/>
          <w:sz w:val="22"/>
        </w:rPr>
      </w:pPr>
    </w:p>
    <w:p w:rsidR="000B449B" w:rsidRPr="00260235" w:rsidRDefault="00176FA6" w:rsidP="00E501E0">
      <w:pPr>
        <w:pStyle w:val="Prrafodelista"/>
        <w:numPr>
          <w:ilvl w:val="0"/>
          <w:numId w:val="9"/>
        </w:numPr>
        <w:pBdr>
          <w:top w:val="nil"/>
          <w:left w:val="nil"/>
          <w:bottom w:val="nil"/>
          <w:right w:val="nil"/>
          <w:between w:val="nil"/>
        </w:pBdr>
        <w:spacing w:line="276" w:lineRule="auto"/>
        <w:ind w:right="255"/>
        <w:jc w:val="both"/>
        <w:rPr>
          <w:rFonts w:ascii="Palatino Linotype" w:eastAsia="Palatino Linotype" w:hAnsi="Palatino Linotype" w:cs="Palatino Linotype"/>
          <w:i/>
          <w:color w:val="000000"/>
          <w:sz w:val="22"/>
        </w:rPr>
      </w:pPr>
      <w:bookmarkStart w:id="1" w:name="_heading=h.30j0zll" w:colFirst="0" w:colLast="0"/>
      <w:bookmarkEnd w:id="1"/>
      <w:r w:rsidRPr="00260235">
        <w:rPr>
          <w:rFonts w:ascii="Palatino Linotype" w:eastAsia="Palatino Linotype" w:hAnsi="Palatino Linotype" w:cs="Palatino Linotype"/>
          <w:b/>
          <w:color w:val="000000"/>
          <w:sz w:val="22"/>
        </w:rPr>
        <w:t xml:space="preserve">Razones o Motivos de inconformidad: </w:t>
      </w:r>
      <w:r w:rsidRPr="00260235">
        <w:rPr>
          <w:rFonts w:ascii="Palatino Linotype" w:eastAsia="Palatino Linotype" w:hAnsi="Palatino Linotype" w:cs="Palatino Linotype"/>
          <w:i/>
          <w:color w:val="000000"/>
          <w:sz w:val="22"/>
        </w:rPr>
        <w:t>“Es evidente una vez más el desconocimiento del titular de la UIPPE y de la supuesta Directora de Información, del tema de la clasificación de Datos Personales y nada más firman por firmar.”</w:t>
      </w:r>
      <w:r w:rsidRPr="00260235">
        <w:rPr>
          <w:rFonts w:ascii="Palatino Linotype" w:eastAsia="Palatino Linotype" w:hAnsi="Palatino Linotype" w:cs="Palatino Linotype"/>
          <w:color w:val="000000"/>
          <w:sz w:val="22"/>
        </w:rPr>
        <w:t xml:space="preserve"> (Sic)</w:t>
      </w:r>
    </w:p>
    <w:p w:rsidR="000B449B" w:rsidRPr="00260235" w:rsidRDefault="000B449B">
      <w:pPr>
        <w:spacing w:line="360" w:lineRule="auto"/>
        <w:ind w:right="-307"/>
        <w:jc w:val="both"/>
        <w:rPr>
          <w:rFonts w:ascii="Palatino Linotype" w:eastAsia="Palatino Linotype" w:hAnsi="Palatino Linotype" w:cs="Palatino Linotype"/>
          <w:b/>
        </w:rPr>
      </w:pPr>
    </w:p>
    <w:p w:rsidR="000B449B" w:rsidRPr="00260235" w:rsidRDefault="00176FA6">
      <w:pPr>
        <w:numPr>
          <w:ilvl w:val="0"/>
          <w:numId w:val="1"/>
        </w:numPr>
        <w:pBdr>
          <w:top w:val="nil"/>
          <w:left w:val="nil"/>
          <w:bottom w:val="nil"/>
          <w:right w:val="nil"/>
          <w:between w:val="nil"/>
        </w:pBdr>
        <w:spacing w:line="360" w:lineRule="auto"/>
        <w:ind w:left="0" w:right="-307" w:firstLine="0"/>
        <w:jc w:val="both"/>
        <w:rPr>
          <w:color w:val="000000"/>
        </w:rPr>
      </w:pPr>
      <w:r w:rsidRPr="00260235">
        <w:rPr>
          <w:rFonts w:ascii="Palatino Linotype" w:eastAsia="Palatino Linotype" w:hAnsi="Palatino Linotype" w:cs="Palatino Linotype"/>
          <w:color w:val="000000"/>
        </w:rPr>
        <w:t xml:space="preserve">Con fundamento en el artículo 185, fracción I de la Ley de Transparencia y Acceso a la Información Pública del Estado de México y Municipios, el </w:t>
      </w:r>
      <w:r w:rsidRPr="00260235">
        <w:rPr>
          <w:rFonts w:ascii="Palatino Linotype" w:eastAsia="Palatino Linotype" w:hAnsi="Palatino Linotype" w:cs="Palatino Linotype"/>
          <w:b/>
          <w:color w:val="000000"/>
        </w:rPr>
        <w:t xml:space="preserve">dos de diciembre de dos mil veinticuatro, </w:t>
      </w:r>
      <w:r w:rsidRPr="00260235">
        <w:rPr>
          <w:rFonts w:ascii="Palatino Linotype" w:eastAsia="Palatino Linotype" w:hAnsi="Palatino Linotype" w:cs="Palatino Linotype"/>
          <w:color w:val="000000"/>
        </w:rPr>
        <w:t xml:space="preserve">se </w:t>
      </w:r>
      <w:r w:rsidRPr="00260235">
        <w:rPr>
          <w:rFonts w:ascii="Palatino Linotype" w:eastAsia="Palatino Linotype" w:hAnsi="Palatino Linotype" w:cs="Palatino Linotype"/>
        </w:rPr>
        <w:t>tornó</w:t>
      </w:r>
      <w:r w:rsidRPr="00260235">
        <w:rPr>
          <w:rFonts w:ascii="Palatino Linotype" w:eastAsia="Palatino Linotype" w:hAnsi="Palatino Linotype" w:cs="Palatino Linotype"/>
          <w:color w:val="000000"/>
        </w:rPr>
        <w:t xml:space="preserve"> el recurso de revisión a través del SAIMEX a la </w:t>
      </w:r>
      <w:r w:rsidRPr="00260235">
        <w:rPr>
          <w:rFonts w:ascii="Palatino Linotype" w:eastAsia="Palatino Linotype" w:hAnsi="Palatino Linotype" w:cs="Palatino Linotype"/>
          <w:b/>
          <w:color w:val="000000"/>
        </w:rPr>
        <w:t xml:space="preserve">Comisionada María del Rosario Mejía Ayala, </w:t>
      </w:r>
      <w:r w:rsidRPr="00260235">
        <w:rPr>
          <w:rFonts w:ascii="Palatino Linotype" w:eastAsia="Palatino Linotype" w:hAnsi="Palatino Linotype" w:cs="Palatino Linotype"/>
          <w:color w:val="000000"/>
        </w:rPr>
        <w:t>a efecto de decretar su admisión o desechamiento.</w:t>
      </w:r>
    </w:p>
    <w:p w:rsidR="000B449B" w:rsidRPr="00260235" w:rsidRDefault="000B449B">
      <w:pPr>
        <w:spacing w:line="360" w:lineRule="auto"/>
        <w:ind w:right="-307"/>
        <w:jc w:val="both"/>
        <w:rPr>
          <w:rFonts w:ascii="Palatino Linotype" w:eastAsia="Palatino Linotype" w:hAnsi="Palatino Linotype" w:cs="Palatino Linotype"/>
          <w:b/>
        </w:rPr>
      </w:pPr>
    </w:p>
    <w:p w:rsidR="000B449B" w:rsidRPr="00260235" w:rsidRDefault="00176FA6">
      <w:pPr>
        <w:numPr>
          <w:ilvl w:val="0"/>
          <w:numId w:val="1"/>
        </w:numPr>
        <w:pBdr>
          <w:top w:val="nil"/>
          <w:left w:val="nil"/>
          <w:bottom w:val="nil"/>
          <w:right w:val="nil"/>
          <w:between w:val="nil"/>
        </w:pBdr>
        <w:spacing w:line="360" w:lineRule="auto"/>
        <w:ind w:left="0" w:right="-307" w:firstLine="0"/>
        <w:jc w:val="both"/>
        <w:rPr>
          <w:color w:val="000000"/>
        </w:rPr>
      </w:pPr>
      <w:r w:rsidRPr="00260235">
        <w:rPr>
          <w:rFonts w:ascii="Palatino Linotype" w:eastAsia="Palatino Linotype" w:hAnsi="Palatino Linotype" w:cs="Palatino Linotype"/>
          <w:color w:val="000000"/>
        </w:rPr>
        <w:t xml:space="preserve">En fecha </w:t>
      </w:r>
      <w:r w:rsidRPr="00260235">
        <w:rPr>
          <w:rFonts w:ascii="Palatino Linotype" w:eastAsia="Palatino Linotype" w:hAnsi="Palatino Linotype" w:cs="Palatino Linotype"/>
          <w:b/>
          <w:color w:val="000000"/>
        </w:rPr>
        <w:t>cinco de diciembre de dos mil veinticuatro,</w:t>
      </w:r>
      <w:r w:rsidRPr="00260235">
        <w:rPr>
          <w:rFonts w:ascii="Palatino Linotype" w:eastAsia="Palatino Linotype" w:hAnsi="Palatino Linotype" w:cs="Palatino Linotype"/>
          <w:color w:val="000000"/>
        </w:rPr>
        <w:t xml:space="preserve"> se acordó la admisión a trámite del Recurso de Revisión y se integraron los expedientes respectivos, mismos que se pusieron a disposición de las partes para que, con fundamento en lo dispuesto por el artículo 185 fracción II de la Ley de la materia, se acordó a las partes a efecto de que en un plazo máximo de siete días, el Recurrente </w:t>
      </w:r>
      <w:r w:rsidRPr="00260235">
        <w:rPr>
          <w:rFonts w:ascii="Palatino Linotype" w:eastAsia="Palatino Linotype" w:hAnsi="Palatino Linotype" w:cs="Palatino Linotype"/>
        </w:rPr>
        <w:t>manifiesta</w:t>
      </w:r>
      <w:r w:rsidRPr="00260235">
        <w:rPr>
          <w:rFonts w:ascii="Palatino Linotype" w:eastAsia="Palatino Linotype" w:hAnsi="Palatino Linotype" w:cs="Palatino Linotype"/>
          <w:color w:val="000000"/>
        </w:rPr>
        <w:t xml:space="preserve"> lo que a su derecho conviniera, </w:t>
      </w:r>
      <w:r w:rsidRPr="00260235">
        <w:rPr>
          <w:rFonts w:ascii="Palatino Linotype" w:eastAsia="Palatino Linotype" w:hAnsi="Palatino Linotype" w:cs="Palatino Linotype"/>
        </w:rPr>
        <w:t>ofreciera</w:t>
      </w:r>
      <w:r w:rsidRPr="00260235">
        <w:rPr>
          <w:rFonts w:ascii="Palatino Linotype" w:eastAsia="Palatino Linotype" w:hAnsi="Palatino Linotype" w:cs="Palatino Linotype"/>
          <w:color w:val="000000"/>
        </w:rPr>
        <w:t xml:space="preserve"> pruebas y alegatos, y el Sujeto Obligado </w:t>
      </w:r>
      <w:r w:rsidRPr="00260235">
        <w:rPr>
          <w:rFonts w:ascii="Palatino Linotype" w:eastAsia="Palatino Linotype" w:hAnsi="Palatino Linotype" w:cs="Palatino Linotype"/>
        </w:rPr>
        <w:t>presentará</w:t>
      </w:r>
      <w:r w:rsidRPr="00260235">
        <w:rPr>
          <w:rFonts w:ascii="Palatino Linotype" w:eastAsia="Palatino Linotype" w:hAnsi="Palatino Linotype" w:cs="Palatino Linotype"/>
          <w:color w:val="000000"/>
        </w:rPr>
        <w:t xml:space="preserve"> el informe justificado. </w:t>
      </w:r>
    </w:p>
    <w:p w:rsidR="000B449B" w:rsidRPr="00260235" w:rsidRDefault="000B449B">
      <w:p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De las constancias en el expediente electrónico SAIMEX, se advierte que el particular dejó de realizar manifestaciones que a su derecho conviniera y asistiera. Por su parte del Sujeto Obligado, en fecha </w:t>
      </w:r>
      <w:r w:rsidRPr="00260235">
        <w:rPr>
          <w:rFonts w:ascii="Palatino Linotype" w:eastAsia="Palatino Linotype" w:hAnsi="Palatino Linotype" w:cs="Palatino Linotype"/>
          <w:b/>
        </w:rPr>
        <w:t xml:space="preserve">once de diciembre de dos mil veinticuatro, </w:t>
      </w:r>
      <w:r w:rsidRPr="00260235">
        <w:rPr>
          <w:rFonts w:ascii="Palatino Linotype" w:eastAsia="Palatino Linotype" w:hAnsi="Palatino Linotype" w:cs="Palatino Linotype"/>
        </w:rPr>
        <w:t>presentó informe justificado, a través de los archivos siguientes: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533F49" w:rsidP="00E501E0">
      <w:pPr>
        <w:numPr>
          <w:ilvl w:val="0"/>
          <w:numId w:val="8"/>
        </w:numPr>
        <w:pBdr>
          <w:top w:val="nil"/>
          <w:left w:val="nil"/>
          <w:bottom w:val="nil"/>
          <w:right w:val="nil"/>
          <w:between w:val="nil"/>
        </w:pBdr>
        <w:spacing w:line="360" w:lineRule="auto"/>
        <w:ind w:right="255"/>
        <w:jc w:val="both"/>
        <w:rPr>
          <w:rFonts w:ascii="Palatino Linotype" w:eastAsia="Palatino Linotype" w:hAnsi="Palatino Linotype" w:cs="Palatino Linotype"/>
          <w:i/>
          <w:color w:val="000000"/>
          <w:sz w:val="22"/>
        </w:rPr>
      </w:pPr>
      <w:hyperlink r:id="rId13">
        <w:r w:rsidR="00176FA6" w:rsidRPr="00260235">
          <w:rPr>
            <w:rFonts w:ascii="Palatino Linotype" w:eastAsia="Palatino Linotype" w:hAnsi="Palatino Linotype" w:cs="Palatino Linotype"/>
            <w:b/>
            <w:i/>
            <w:color w:val="000000"/>
            <w:sz w:val="22"/>
          </w:rPr>
          <w:t>RR 07433-2024 INFORME JUSTIFICADO.pdf</w:t>
        </w:r>
      </w:hyperlink>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lastRenderedPageBreak/>
        <w:t>Informe Justificado firmado por el Jefe de la Unidad de Transparencia de la Unidad de Transparencia de la Secretaría de Finanzas, en el que informó que, “</w:t>
      </w:r>
      <w:r w:rsidRPr="00260235">
        <w:rPr>
          <w:rFonts w:ascii="Palatino Linotype" w:eastAsia="Palatino Linotype" w:hAnsi="Palatino Linotype" w:cs="Palatino Linotype"/>
          <w:i/>
          <w:sz w:val="22"/>
        </w:rPr>
        <w:t xml:space="preserve">Al respecto, se adjunta al presente el oficio número 20700002000100S/IP/0265/2024,de fecha catorce de noviembre de año en curso, a través del cual la servidora pública habilitada suplente de la Coordinación Administrativa remitió la versión pública de los comprobantes de percepciones y deducciones requeridos en la solicitud de información pública número 00844/SF/IP/2024.”. </w:t>
      </w:r>
      <w:r w:rsidRPr="00260235">
        <w:rPr>
          <w:rFonts w:ascii="Palatino Linotype" w:eastAsia="Palatino Linotype" w:hAnsi="Palatino Linotype" w:cs="Palatino Linotype"/>
          <w:sz w:val="22"/>
        </w:rPr>
        <w:t>Asimismo, solicita se confirme la respuesta proporcionada.</w:t>
      </w:r>
    </w:p>
    <w:p w:rsidR="000B449B" w:rsidRPr="00260235" w:rsidRDefault="00533F49" w:rsidP="00E501E0">
      <w:pPr>
        <w:numPr>
          <w:ilvl w:val="0"/>
          <w:numId w:val="8"/>
        </w:numPr>
        <w:pBdr>
          <w:top w:val="nil"/>
          <w:left w:val="nil"/>
          <w:bottom w:val="nil"/>
          <w:right w:val="nil"/>
          <w:between w:val="nil"/>
        </w:pBdr>
        <w:spacing w:line="360" w:lineRule="auto"/>
        <w:ind w:right="255"/>
        <w:jc w:val="both"/>
        <w:rPr>
          <w:rFonts w:ascii="Palatino Linotype" w:eastAsia="Palatino Linotype" w:hAnsi="Palatino Linotype" w:cs="Palatino Linotype"/>
          <w:i/>
          <w:color w:val="000000"/>
          <w:sz w:val="22"/>
        </w:rPr>
      </w:pPr>
      <w:hyperlink r:id="rId14">
        <w:r w:rsidR="00176FA6" w:rsidRPr="00260235">
          <w:rPr>
            <w:rFonts w:ascii="Palatino Linotype" w:eastAsia="Palatino Linotype" w:hAnsi="Palatino Linotype" w:cs="Palatino Linotype"/>
            <w:b/>
            <w:i/>
            <w:color w:val="000000"/>
            <w:sz w:val="22"/>
          </w:rPr>
          <w:t>00844 COORD. ADM.pdf</w:t>
        </w:r>
      </w:hyperlink>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Oficio de catorce de noviembre de dos mil veinticuatro, firmado por la Servidora Pública Habilitada Suplente de la Coordinación Administración, por el que informa que se adjunta copia simple de los comprobantes de percepciones y deducciones solicitados, también solicita que se someter a consideración del Comité de Transparencia la clasificación de la información confidencial de los datos personales contenidos en los documentos, consistentes en el número de cuenta, número de recibo, deducciones no establecidas por la Ley, CURP, RFC, clave de ISSEMYM y clave de servidor público.</w:t>
      </w:r>
    </w:p>
    <w:p w:rsidR="000B449B" w:rsidRPr="00260235" w:rsidRDefault="000B449B" w:rsidP="00E501E0">
      <w:pPr>
        <w:spacing w:line="360" w:lineRule="auto"/>
        <w:ind w:right="255"/>
        <w:jc w:val="both"/>
        <w:rPr>
          <w:rFonts w:ascii="Palatino Linotype" w:eastAsia="Palatino Linotype" w:hAnsi="Palatino Linotype" w:cs="Palatino Linotype"/>
          <w:sz w:val="22"/>
        </w:rPr>
      </w:pPr>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Del oficio se desprenden</w:t>
      </w:r>
      <w:r w:rsidRPr="00260235">
        <w:rPr>
          <w:rFonts w:ascii="Palatino Linotype" w:eastAsia="Palatino Linotype" w:hAnsi="Palatino Linotype" w:cs="Palatino Linotype"/>
          <w:b/>
          <w:sz w:val="22"/>
        </w:rPr>
        <w:t xml:space="preserve"> 12</w:t>
      </w:r>
      <w:r w:rsidRPr="00260235">
        <w:rPr>
          <w:rFonts w:ascii="Palatino Linotype" w:eastAsia="Palatino Linotype" w:hAnsi="Palatino Linotype" w:cs="Palatino Linotype"/>
          <w:sz w:val="22"/>
        </w:rPr>
        <w:t xml:space="preserve"> comprobantes de percepciones y deducciones a favor de Noguez González Claudia</w:t>
      </w:r>
    </w:p>
    <w:p w:rsidR="000B449B" w:rsidRPr="00260235" w:rsidRDefault="00533F49" w:rsidP="00E501E0">
      <w:pPr>
        <w:numPr>
          <w:ilvl w:val="0"/>
          <w:numId w:val="8"/>
        </w:numPr>
        <w:pBdr>
          <w:top w:val="nil"/>
          <w:left w:val="nil"/>
          <w:bottom w:val="nil"/>
          <w:right w:val="nil"/>
          <w:between w:val="nil"/>
        </w:pBdr>
        <w:spacing w:line="360" w:lineRule="auto"/>
        <w:ind w:right="255"/>
        <w:jc w:val="both"/>
        <w:rPr>
          <w:rFonts w:ascii="Palatino Linotype" w:eastAsia="Palatino Linotype" w:hAnsi="Palatino Linotype" w:cs="Palatino Linotype"/>
          <w:i/>
          <w:color w:val="000000"/>
          <w:sz w:val="22"/>
        </w:rPr>
      </w:pPr>
      <w:hyperlink r:id="rId15">
        <w:r w:rsidR="00176FA6" w:rsidRPr="00260235">
          <w:rPr>
            <w:rFonts w:ascii="Palatino Linotype" w:eastAsia="Palatino Linotype" w:hAnsi="Palatino Linotype" w:cs="Palatino Linotype"/>
            <w:b/>
            <w:i/>
            <w:color w:val="000000"/>
            <w:sz w:val="22"/>
          </w:rPr>
          <w:t>CT-2024-250.pdf</w:t>
        </w:r>
      </w:hyperlink>
    </w:p>
    <w:p w:rsidR="000B449B" w:rsidRPr="00260235" w:rsidRDefault="00176FA6" w:rsidP="00E501E0">
      <w:pPr>
        <w:spacing w:line="360" w:lineRule="auto"/>
        <w:ind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 xml:space="preserve">Acta de la clasificación como información confidencial de los datos personales consistentes en: número de cuenta, número de recibo, CURP, RFC, conceptos personales deducciones, clave de ISSEMYM y clave de servidor público, contenidos en los comprobantes de percepciones y deducciones de los </w:t>
      </w:r>
      <w:r w:rsidRPr="00260235">
        <w:rPr>
          <w:rFonts w:ascii="Palatino Linotype" w:eastAsia="Palatino Linotype" w:hAnsi="Palatino Linotype" w:cs="Palatino Linotype"/>
          <w:sz w:val="22"/>
          <w:u w:val="single"/>
        </w:rPr>
        <w:t>meses de mayo, junio, julio, agosto, septiembre y octubre de dos mil veinticuatro</w:t>
      </w:r>
      <w:r w:rsidRPr="00260235">
        <w:rPr>
          <w:rFonts w:ascii="Palatino Linotype" w:eastAsia="Palatino Linotype" w:hAnsi="Palatino Linotype" w:cs="Palatino Linotype"/>
          <w:sz w:val="22"/>
        </w:rPr>
        <w:t>, de Claudia Noguez González.</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lastRenderedPageBreak/>
        <w:t xml:space="preserve">El </w:t>
      </w:r>
      <w:r w:rsidRPr="00260235">
        <w:rPr>
          <w:rFonts w:ascii="Palatino Linotype" w:eastAsia="Palatino Linotype" w:hAnsi="Palatino Linotype" w:cs="Palatino Linotype"/>
          <w:b/>
        </w:rPr>
        <w:t>veintiocho de enero de dos mil veinticuatro</w:t>
      </w:r>
      <w:r w:rsidRPr="00260235">
        <w:rPr>
          <w:rFonts w:ascii="Palatino Linotype" w:eastAsia="Palatino Linotype" w:hAnsi="Palatino Linotype" w:cs="Palatino Linotype"/>
        </w:rPr>
        <w:t xml:space="preserve">, se notificó el acuerdo a través del cual se decretó el cierre de instrucción. </w:t>
      </w:r>
    </w:p>
    <w:p w:rsidR="000B449B" w:rsidRPr="00260235" w:rsidRDefault="000B449B">
      <w:p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rsidP="00E501E0">
      <w:pPr>
        <w:keepNext/>
        <w:keepLines/>
        <w:spacing w:line="360" w:lineRule="auto"/>
        <w:ind w:right="-307"/>
        <w:jc w:val="center"/>
        <w:rPr>
          <w:rFonts w:ascii="Palatino Linotype" w:eastAsia="Palatino Linotype" w:hAnsi="Palatino Linotype" w:cs="Palatino Linotype"/>
        </w:rPr>
      </w:pPr>
      <w:r w:rsidRPr="00260235">
        <w:rPr>
          <w:rFonts w:ascii="Palatino Linotype" w:eastAsia="Palatino Linotype" w:hAnsi="Palatino Linotype" w:cs="Palatino Linotype"/>
          <w:b/>
        </w:rPr>
        <w:t>C O N S I D E R A N D O</w:t>
      </w:r>
    </w:p>
    <w:p w:rsidR="000B449B" w:rsidRPr="00260235" w:rsidRDefault="00176FA6">
      <w:pPr>
        <w:keepNext/>
        <w:keepLines/>
        <w:spacing w:line="360" w:lineRule="auto"/>
        <w:ind w:right="-307"/>
        <w:jc w:val="both"/>
        <w:rPr>
          <w:rFonts w:ascii="Palatino Linotype" w:eastAsia="Palatino Linotype" w:hAnsi="Palatino Linotype" w:cs="Palatino Linotype"/>
          <w:b/>
        </w:rPr>
      </w:pPr>
      <w:bookmarkStart w:id="2" w:name="_heading=h.3znysh7" w:colFirst="0" w:colLast="0"/>
      <w:bookmarkEnd w:id="2"/>
      <w:r w:rsidRPr="00260235">
        <w:rPr>
          <w:rFonts w:ascii="Palatino Linotype" w:eastAsia="Palatino Linotype" w:hAnsi="Palatino Linotype" w:cs="Palatino Linotype"/>
          <w:b/>
        </w:rPr>
        <w:t>PRIMERO. De la competencia</w:t>
      </w: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pStyle w:val="Ttulo2"/>
        <w:spacing w:before="0" w:line="360" w:lineRule="auto"/>
        <w:ind w:right="-307"/>
        <w:jc w:val="both"/>
        <w:rPr>
          <w:rFonts w:ascii="Palatino Linotype" w:eastAsia="Palatino Linotype" w:hAnsi="Palatino Linotype" w:cs="Palatino Linotype"/>
          <w:b/>
          <w:color w:val="000000"/>
          <w:sz w:val="24"/>
          <w:szCs w:val="24"/>
        </w:rPr>
      </w:pPr>
      <w:r w:rsidRPr="00260235">
        <w:rPr>
          <w:rFonts w:ascii="Palatino Linotype" w:eastAsia="Palatino Linotype" w:hAnsi="Palatino Linotype" w:cs="Palatino Linotype"/>
          <w:b/>
          <w:color w:val="000000"/>
          <w:sz w:val="24"/>
          <w:szCs w:val="24"/>
        </w:rPr>
        <w:t>SEGUNDO. De la oportunidad y procedencia.</w:t>
      </w:r>
    </w:p>
    <w:p w:rsidR="000B449B" w:rsidRPr="00260235" w:rsidRDefault="00176FA6">
      <w:pPr>
        <w:numPr>
          <w:ilvl w:val="0"/>
          <w:numId w:val="1"/>
        </w:numPr>
        <w:spacing w:line="360" w:lineRule="auto"/>
        <w:ind w:left="0" w:right="-307" w:firstLine="0"/>
        <w:jc w:val="both"/>
        <w:rPr>
          <w:color w:val="000000"/>
        </w:rPr>
      </w:pPr>
      <w:r w:rsidRPr="00260235">
        <w:rPr>
          <w:rFonts w:ascii="Palatino Linotype" w:eastAsia="Palatino Linotype" w:hAnsi="Palatino Linotype" w:cs="Palatino Linotype"/>
          <w:color w:val="000000"/>
        </w:rPr>
        <w:t xml:space="preserve">El medio de impugnación fue presentado a través del </w:t>
      </w:r>
      <w:r w:rsidRPr="00260235">
        <w:rPr>
          <w:rFonts w:ascii="Palatino Linotype" w:eastAsia="Palatino Linotype" w:hAnsi="Palatino Linotype" w:cs="Palatino Linotype"/>
          <w:b/>
          <w:color w:val="000000"/>
        </w:rPr>
        <w:t>SAIMEX,</w:t>
      </w:r>
      <w:r w:rsidRPr="00260235">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260235">
        <w:rPr>
          <w:rFonts w:ascii="Palatino Linotype" w:eastAsia="Palatino Linotype" w:hAnsi="Palatino Linotype" w:cs="Palatino Linotype"/>
          <w:b/>
          <w:color w:val="000000"/>
        </w:rPr>
        <w:t>SUJETO OBLIGADO</w:t>
      </w:r>
      <w:r w:rsidRPr="00260235">
        <w:rPr>
          <w:rFonts w:ascii="Palatino Linotype" w:eastAsia="Palatino Linotype" w:hAnsi="Palatino Linotype" w:cs="Palatino Linotype"/>
          <w:color w:val="000000"/>
        </w:rPr>
        <w:t xml:space="preserve"> entregó su respuesta el </w:t>
      </w:r>
      <w:r w:rsidRPr="00260235">
        <w:rPr>
          <w:rFonts w:ascii="Palatino Linotype" w:eastAsia="Palatino Linotype" w:hAnsi="Palatino Linotype" w:cs="Palatino Linotype"/>
          <w:b/>
          <w:color w:val="000000"/>
        </w:rPr>
        <w:t>veintinueve de noviembre de dos mil veinticuatro</w:t>
      </w:r>
      <w:r w:rsidRPr="00260235">
        <w:rPr>
          <w:rFonts w:ascii="Palatino Linotype" w:eastAsia="Palatino Linotype" w:hAnsi="Palatino Linotype" w:cs="Palatino Linotype"/>
          <w:color w:val="000000"/>
        </w:rPr>
        <w:t xml:space="preserve">, de tal forma que el plazo para interponer el recurso de revisión transcurrió del </w:t>
      </w:r>
      <w:r w:rsidRPr="00260235">
        <w:rPr>
          <w:rFonts w:ascii="Palatino Linotype" w:eastAsia="Palatino Linotype" w:hAnsi="Palatino Linotype" w:cs="Palatino Linotype"/>
          <w:b/>
          <w:color w:val="000000"/>
        </w:rPr>
        <w:t>dos al veinte de diciembre de dos mil veinticuatro</w:t>
      </w:r>
      <w:r w:rsidRPr="00260235">
        <w:rPr>
          <w:rFonts w:ascii="Palatino Linotype" w:eastAsia="Palatino Linotype" w:hAnsi="Palatino Linotype" w:cs="Palatino Linotype"/>
          <w:color w:val="000000"/>
        </w:rPr>
        <w:t xml:space="preserve">; en consecuencia, el ahora </w:t>
      </w:r>
      <w:r w:rsidRPr="00260235">
        <w:rPr>
          <w:rFonts w:ascii="Palatino Linotype" w:eastAsia="Palatino Linotype" w:hAnsi="Palatino Linotype" w:cs="Palatino Linotype"/>
          <w:b/>
          <w:color w:val="000000"/>
        </w:rPr>
        <w:t>RECURRENTE</w:t>
      </w:r>
      <w:r w:rsidRPr="00260235">
        <w:rPr>
          <w:rFonts w:ascii="Palatino Linotype" w:eastAsia="Palatino Linotype" w:hAnsi="Palatino Linotype" w:cs="Palatino Linotype"/>
          <w:color w:val="000000"/>
        </w:rPr>
        <w:t xml:space="preserve"> presentó su inconformidad el </w:t>
      </w:r>
      <w:r w:rsidRPr="00260235">
        <w:rPr>
          <w:rFonts w:ascii="Palatino Linotype" w:eastAsia="Palatino Linotype" w:hAnsi="Palatino Linotype" w:cs="Palatino Linotype"/>
          <w:b/>
          <w:color w:val="000000"/>
        </w:rPr>
        <w:t xml:space="preserve">dos </w:t>
      </w:r>
      <w:r w:rsidRPr="00260235">
        <w:rPr>
          <w:rFonts w:ascii="Palatino Linotype" w:eastAsia="Palatino Linotype" w:hAnsi="Palatino Linotype" w:cs="Palatino Linotype"/>
          <w:b/>
          <w:color w:val="000000"/>
        </w:rPr>
        <w:lastRenderedPageBreak/>
        <w:t>de diciembre de dos mil veinticuatro</w:t>
      </w:r>
      <w:r w:rsidRPr="00260235">
        <w:rPr>
          <w:rFonts w:ascii="Palatino Linotype" w:eastAsia="Palatino Linotype" w:hAnsi="Palatino Linotype" w:cs="Palatino Linotype"/>
          <w:color w:val="000000"/>
        </w:rPr>
        <w:t>; por lo que se estima que la inconformidad se presentó dentro del lapso legalmente establecido para tal efecto.</w:t>
      </w:r>
    </w:p>
    <w:p w:rsidR="000B449B" w:rsidRPr="00260235" w:rsidRDefault="000B449B">
      <w:p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B449B" w:rsidRPr="00260235" w:rsidRDefault="000B449B">
      <w:pPr>
        <w:pBdr>
          <w:top w:val="nil"/>
          <w:left w:val="nil"/>
          <w:bottom w:val="nil"/>
          <w:right w:val="nil"/>
          <w:between w:val="nil"/>
        </w:pBdr>
        <w:ind w:left="720" w:right="-307"/>
        <w:jc w:val="both"/>
        <w:rPr>
          <w:rFonts w:ascii="Palatino Linotype" w:eastAsia="Palatino Linotype" w:hAnsi="Palatino Linotype" w:cs="Palatino Linotype"/>
          <w:color w:val="000000"/>
        </w:rPr>
      </w:pPr>
    </w:p>
    <w:p w:rsidR="000B449B" w:rsidRPr="00260235" w:rsidRDefault="00176FA6">
      <w:pPr>
        <w:keepNext/>
        <w:keepLines/>
        <w:spacing w:line="360" w:lineRule="auto"/>
        <w:ind w:right="-307"/>
        <w:jc w:val="both"/>
        <w:rPr>
          <w:rFonts w:ascii="Palatino Linotype" w:eastAsia="Palatino Linotype" w:hAnsi="Palatino Linotype" w:cs="Palatino Linotype"/>
          <w:b/>
        </w:rPr>
      </w:pPr>
      <w:bookmarkStart w:id="3" w:name="_heading=h.26in1rg" w:colFirst="0" w:colLast="0"/>
      <w:bookmarkEnd w:id="3"/>
      <w:r w:rsidRPr="00260235">
        <w:rPr>
          <w:rFonts w:ascii="Palatino Linotype" w:eastAsia="Palatino Linotype" w:hAnsi="Palatino Linotype" w:cs="Palatino Linotype"/>
          <w:b/>
        </w:rPr>
        <w:t>TERCERO. De las causales de sobreseimiento</w:t>
      </w: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Por lo que hace a las causas de sobreseimiento contenidas en la fracción III del artículo 192 de la </w:t>
      </w:r>
      <w:r w:rsidRPr="00260235">
        <w:rPr>
          <w:rFonts w:ascii="Palatino Linotype" w:eastAsia="Palatino Linotype" w:hAnsi="Palatino Linotype" w:cs="Palatino Linotype"/>
          <w:b/>
        </w:rPr>
        <w:t>Ley de Transparencia y Acceso a la Información Pública del Estado de México y Municipios</w:t>
      </w:r>
      <w:r w:rsidRPr="00260235">
        <w:rPr>
          <w:rFonts w:ascii="Palatino Linotype" w:eastAsia="Palatino Linotype" w:hAnsi="Palatino Linotype" w:cs="Palatino Linotype"/>
        </w:rPr>
        <w:t xml:space="preserve">, es oportuno señalar que estos requisitos privilegian la existencia de elementos de fondo, tales como el desistimiento o fallecimiento del </w:t>
      </w:r>
      <w:r w:rsidRPr="00260235">
        <w:rPr>
          <w:rFonts w:ascii="Palatino Linotype" w:eastAsia="Palatino Linotype" w:hAnsi="Palatino Linotype" w:cs="Palatino Linotype"/>
          <w:b/>
        </w:rPr>
        <w:t>RECURRENTE</w:t>
      </w:r>
      <w:r w:rsidRPr="00260235">
        <w:rPr>
          <w:rFonts w:ascii="Palatino Linotype" w:eastAsia="Palatino Linotype" w:hAnsi="Palatino Linotype" w:cs="Palatino Linotype"/>
        </w:rPr>
        <w:t xml:space="preserve"> o que el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b/>
          <w:u w:val="single"/>
        </w:rPr>
        <w:t>modifique o revoque el acto</w:t>
      </w:r>
      <w:r w:rsidRPr="00260235">
        <w:rPr>
          <w:rFonts w:ascii="Palatino Linotype" w:eastAsia="Palatino Linotype" w:hAnsi="Palatino Linotype" w:cs="Palatino Linotype"/>
        </w:rPr>
        <w:t>; de ahí que la actualización de alguno de éstos trae como consecuencia que el medio de impugnación se concluya sin que se analice el objeto de estudio planteado, es decir se sobresea.</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w:t>
      </w:r>
    </w:p>
    <w:p w:rsidR="000B449B" w:rsidRPr="00260235" w:rsidRDefault="00176FA6" w:rsidP="00E501E0">
      <w:pPr>
        <w:numPr>
          <w:ilvl w:val="0"/>
          <w:numId w:val="3"/>
        </w:numPr>
        <w:spacing w:line="360" w:lineRule="auto"/>
        <w:ind w:left="567" w:right="255" w:firstLine="0"/>
        <w:jc w:val="both"/>
        <w:rPr>
          <w:rFonts w:ascii="Palatino Linotype" w:eastAsia="Palatino Linotype" w:hAnsi="Palatino Linotype" w:cs="Palatino Linotype"/>
          <w:sz w:val="22"/>
        </w:rPr>
      </w:pPr>
      <w:r w:rsidRPr="00260235">
        <w:rPr>
          <w:rFonts w:ascii="Palatino Linotype" w:eastAsia="Palatino Linotype" w:hAnsi="Palatino Linotype" w:cs="Palatino Linotype"/>
          <w:b/>
          <w:sz w:val="22"/>
        </w:rPr>
        <w:t>Modifique el acto impugnado:</w:t>
      </w:r>
      <w:r w:rsidRPr="00260235">
        <w:rPr>
          <w:rFonts w:ascii="Palatino Linotype" w:eastAsia="Palatino Linotype" w:hAnsi="Palatino Linotype" w:cs="Palatino Linotype"/>
          <w:sz w:val="22"/>
        </w:rPr>
        <w:t xml:space="preserve"> Se actualiza cuando el </w:t>
      </w:r>
      <w:r w:rsidRPr="00260235">
        <w:rPr>
          <w:rFonts w:ascii="Palatino Linotype" w:eastAsia="Palatino Linotype" w:hAnsi="Palatino Linotype" w:cs="Palatino Linotype"/>
          <w:b/>
          <w:sz w:val="22"/>
        </w:rPr>
        <w:t>SUJETO OBLIGADO</w:t>
      </w:r>
      <w:r w:rsidRPr="00260235">
        <w:rPr>
          <w:rFonts w:ascii="Palatino Linotype" w:eastAsia="Palatino Linotype" w:hAnsi="Palatino Linotype" w:cs="Palatino Linotype"/>
          <w:sz w:val="22"/>
        </w:rPr>
        <w:t xml:space="preserve"> después de haber otorgado una respuesta y hasta antes de dictada la resolución del recurso de revisión, emite una diversa en la que subsane las deficiencias que hubiera tenido.</w:t>
      </w:r>
    </w:p>
    <w:p w:rsidR="000B449B" w:rsidRPr="00260235" w:rsidRDefault="00176FA6" w:rsidP="00E501E0">
      <w:pPr>
        <w:numPr>
          <w:ilvl w:val="0"/>
          <w:numId w:val="3"/>
        </w:numPr>
        <w:spacing w:line="360" w:lineRule="auto"/>
        <w:ind w:left="567" w:right="255" w:firstLine="0"/>
        <w:jc w:val="both"/>
        <w:rPr>
          <w:rFonts w:ascii="Palatino Linotype" w:eastAsia="Palatino Linotype" w:hAnsi="Palatino Linotype" w:cs="Palatino Linotype"/>
          <w:sz w:val="22"/>
        </w:rPr>
      </w:pPr>
      <w:r w:rsidRPr="00260235">
        <w:rPr>
          <w:rFonts w:ascii="Palatino Linotype" w:eastAsia="Palatino Linotype" w:hAnsi="Palatino Linotype" w:cs="Palatino Linotype"/>
          <w:b/>
          <w:sz w:val="22"/>
        </w:rPr>
        <w:lastRenderedPageBreak/>
        <w:t>Revoque el acto impugnado:</w:t>
      </w:r>
      <w:r w:rsidRPr="00260235">
        <w:rPr>
          <w:rFonts w:ascii="Palatino Linotype" w:eastAsia="Palatino Linotype" w:hAnsi="Palatino Linotype" w:cs="Palatino Linotype"/>
          <w:sz w:val="22"/>
        </w:rPr>
        <w:t xml:space="preserve"> En este supuesto, el </w:t>
      </w:r>
      <w:r w:rsidRPr="00260235">
        <w:rPr>
          <w:rFonts w:ascii="Palatino Linotype" w:eastAsia="Palatino Linotype" w:hAnsi="Palatino Linotype" w:cs="Palatino Linotype"/>
          <w:b/>
          <w:sz w:val="22"/>
        </w:rPr>
        <w:t>SUJETO OBLIGADO</w:t>
      </w:r>
      <w:r w:rsidRPr="00260235">
        <w:rPr>
          <w:rFonts w:ascii="Palatino Linotype" w:eastAsia="Palatino Linotype" w:hAnsi="Palatino Linotype" w:cs="Palatino Linotype"/>
          <w:sz w:val="22"/>
        </w:rPr>
        <w:t xml:space="preserve"> deja sin efectos la primera respuesta y en su lugar emite otra que satisfaga lo solicitado por el particular en un primer momento.</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 En el caso concreto, se actualiza la modificación de respuesta derivado de que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en la etapa de manifestaciones, mediante el Informe Justificado remitido, modificó su respuesta al hacer entrega de 12 recibos de nómina de la servidora pública referida en la solicitud de información, de los cuales no hizo entrega primigeniamente.</w:t>
      </w:r>
    </w:p>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No se soslaya que los motivos de inconformidad fueron tendientes en argüir que se entregó información que no corresponde a lo solicitado, situación que fue corroborada por este Órgano Resolutor, sin embargo,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 xml:space="preserve">a fin de subsanar tal situación, en la etapa de manifestaciones remitió 12 comprobantes de percepciones y deducciones a favor de Noguez González Claudia, con CURP, Clave de Servidor Público, RFC, Clave de ISSEMyM, Número de Recibo y Cuenta de Abono y el acuerdo de clasificación de la información que se testó en los mismos, por consiguiente, esta Ponencia realizará el estudio </w:t>
      </w:r>
      <w:r w:rsidRPr="00260235">
        <w:rPr>
          <w:rFonts w:ascii="Palatino Linotype" w:eastAsia="Palatino Linotype" w:hAnsi="Palatino Linotype" w:cs="Palatino Linotype"/>
        </w:rPr>
        <w:lastRenderedPageBreak/>
        <w:t xml:space="preserve">correspondiente a efecto de poder determinar si con la información remitida se colma en su totalidad la solicitud de información </w:t>
      </w:r>
      <w:r w:rsidRPr="00260235">
        <w:rPr>
          <w:rFonts w:ascii="Palatino Linotype" w:eastAsia="Palatino Linotype" w:hAnsi="Palatino Linotype" w:cs="Palatino Linotype"/>
          <w:b/>
        </w:rPr>
        <w:t>00844/SF/IP/2024.</w:t>
      </w:r>
    </w:p>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Primeramente, a efecto de precisión, se refiere que fueron solicitados los recibos de pago de los últimos 6 meses de la Servidora Pública referida en la solicitud de información que nos ocupa, luego entonces, si la solicitud de información fue ingresada en fecha siete de noviembre de dos mil veinticuatro, la información solicitada es de los meses de mayo, junio, julio, agosto, septiembre y a la última quincena del mes de octubre, ya que dada la temporalidad de la solicitud aún no se completaba la primera quincena del mes de noviembre.</w:t>
      </w:r>
    </w:p>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Por consiguiente,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remitió los comprobantes de percepciones y deducciones siguientes:</w:t>
      </w:r>
    </w:p>
    <w:tbl>
      <w:tblPr>
        <w:tblStyle w:val="a"/>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527"/>
        <w:gridCol w:w="1435"/>
      </w:tblGrid>
      <w:tr w:rsidR="000B449B" w:rsidRPr="00260235">
        <w:trPr>
          <w:jc w:val="center"/>
        </w:trPr>
        <w:tc>
          <w:tcPr>
            <w:tcW w:w="1696" w:type="dxa"/>
            <w:shd w:val="clear" w:color="auto" w:fill="F2F2F2"/>
            <w:vAlign w:val="center"/>
          </w:tcPr>
          <w:p w:rsidR="000B449B" w:rsidRPr="00260235" w:rsidRDefault="00176FA6">
            <w:pPr>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MES</w:t>
            </w:r>
          </w:p>
        </w:tc>
        <w:tc>
          <w:tcPr>
            <w:tcW w:w="3527" w:type="dxa"/>
            <w:shd w:val="clear" w:color="auto" w:fill="F2F2F2"/>
            <w:vAlign w:val="center"/>
          </w:tcPr>
          <w:p w:rsidR="000B449B" w:rsidRPr="00260235" w:rsidRDefault="00176FA6">
            <w:pPr>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Fechas de comprobantes remitidos</w:t>
            </w:r>
          </w:p>
        </w:tc>
        <w:tc>
          <w:tcPr>
            <w:tcW w:w="1435" w:type="dxa"/>
            <w:shd w:val="clear" w:color="auto" w:fill="F2F2F2"/>
            <w:vAlign w:val="center"/>
          </w:tcPr>
          <w:p w:rsidR="000B449B" w:rsidRPr="00260235" w:rsidRDefault="00176FA6">
            <w:pPr>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¿Colma?</w:t>
            </w:r>
          </w:p>
        </w:tc>
      </w:tr>
      <w:tr w:rsidR="000B449B" w:rsidRPr="00260235">
        <w:trPr>
          <w:trHeight w:val="240"/>
          <w:jc w:val="center"/>
        </w:trPr>
        <w:tc>
          <w:tcPr>
            <w:tcW w:w="1696"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Mayo</w:t>
            </w: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15/mayo/2024</w:t>
            </w:r>
          </w:p>
        </w:tc>
        <w:tc>
          <w:tcPr>
            <w:tcW w:w="1435"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SI</w:t>
            </w:r>
          </w:p>
        </w:tc>
      </w:tr>
      <w:tr w:rsidR="000B449B" w:rsidRPr="00260235">
        <w:trPr>
          <w:trHeight w:val="240"/>
          <w:jc w:val="center"/>
        </w:trPr>
        <w:tc>
          <w:tcPr>
            <w:tcW w:w="1696"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31/mayo/2024</w:t>
            </w:r>
          </w:p>
        </w:tc>
        <w:tc>
          <w:tcPr>
            <w:tcW w:w="1435"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r>
      <w:tr w:rsidR="000B449B" w:rsidRPr="00260235">
        <w:trPr>
          <w:trHeight w:val="240"/>
          <w:jc w:val="center"/>
        </w:trPr>
        <w:tc>
          <w:tcPr>
            <w:tcW w:w="1696"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Junio</w:t>
            </w: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15/junio/2024</w:t>
            </w:r>
          </w:p>
        </w:tc>
        <w:tc>
          <w:tcPr>
            <w:tcW w:w="1435"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SI</w:t>
            </w:r>
          </w:p>
        </w:tc>
      </w:tr>
      <w:tr w:rsidR="000B449B" w:rsidRPr="00260235">
        <w:trPr>
          <w:trHeight w:val="240"/>
          <w:jc w:val="center"/>
        </w:trPr>
        <w:tc>
          <w:tcPr>
            <w:tcW w:w="1696"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30/junio/2024</w:t>
            </w:r>
          </w:p>
        </w:tc>
        <w:tc>
          <w:tcPr>
            <w:tcW w:w="1435"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r>
      <w:tr w:rsidR="000B449B" w:rsidRPr="00260235">
        <w:trPr>
          <w:trHeight w:val="240"/>
          <w:jc w:val="center"/>
        </w:trPr>
        <w:tc>
          <w:tcPr>
            <w:tcW w:w="1696"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Julio</w:t>
            </w: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15/julio/2024</w:t>
            </w:r>
          </w:p>
        </w:tc>
        <w:tc>
          <w:tcPr>
            <w:tcW w:w="1435"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SI</w:t>
            </w:r>
          </w:p>
        </w:tc>
      </w:tr>
      <w:tr w:rsidR="000B449B" w:rsidRPr="00260235">
        <w:trPr>
          <w:trHeight w:val="240"/>
          <w:jc w:val="center"/>
        </w:trPr>
        <w:tc>
          <w:tcPr>
            <w:tcW w:w="1696"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31/julio/2024</w:t>
            </w:r>
          </w:p>
        </w:tc>
        <w:tc>
          <w:tcPr>
            <w:tcW w:w="1435"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r>
      <w:tr w:rsidR="000B449B" w:rsidRPr="00260235">
        <w:trPr>
          <w:trHeight w:val="240"/>
          <w:jc w:val="center"/>
        </w:trPr>
        <w:tc>
          <w:tcPr>
            <w:tcW w:w="1696"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Agosto</w:t>
            </w: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15/agosto/2024</w:t>
            </w:r>
          </w:p>
        </w:tc>
        <w:tc>
          <w:tcPr>
            <w:tcW w:w="1435"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SI</w:t>
            </w:r>
          </w:p>
        </w:tc>
      </w:tr>
      <w:tr w:rsidR="000B449B" w:rsidRPr="00260235">
        <w:trPr>
          <w:trHeight w:val="240"/>
          <w:jc w:val="center"/>
        </w:trPr>
        <w:tc>
          <w:tcPr>
            <w:tcW w:w="1696"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31/agosto/2024</w:t>
            </w:r>
          </w:p>
        </w:tc>
        <w:tc>
          <w:tcPr>
            <w:tcW w:w="1435"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r>
      <w:tr w:rsidR="000B449B" w:rsidRPr="00260235">
        <w:trPr>
          <w:trHeight w:val="240"/>
          <w:jc w:val="center"/>
        </w:trPr>
        <w:tc>
          <w:tcPr>
            <w:tcW w:w="1696"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Septiembre</w:t>
            </w: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15/septiembre/2024</w:t>
            </w:r>
          </w:p>
        </w:tc>
        <w:tc>
          <w:tcPr>
            <w:tcW w:w="1435"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SI</w:t>
            </w:r>
          </w:p>
        </w:tc>
      </w:tr>
      <w:tr w:rsidR="000B449B" w:rsidRPr="00260235">
        <w:trPr>
          <w:trHeight w:val="240"/>
          <w:jc w:val="center"/>
        </w:trPr>
        <w:tc>
          <w:tcPr>
            <w:tcW w:w="1696"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30/septiembre/2024</w:t>
            </w:r>
          </w:p>
        </w:tc>
        <w:tc>
          <w:tcPr>
            <w:tcW w:w="1435"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r>
      <w:tr w:rsidR="000B449B" w:rsidRPr="00260235">
        <w:trPr>
          <w:trHeight w:val="240"/>
          <w:jc w:val="center"/>
        </w:trPr>
        <w:tc>
          <w:tcPr>
            <w:tcW w:w="1696"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Octubre</w:t>
            </w: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15/octubre/2024</w:t>
            </w:r>
          </w:p>
        </w:tc>
        <w:tc>
          <w:tcPr>
            <w:tcW w:w="1435" w:type="dxa"/>
            <w:vMerge w:val="restart"/>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SI</w:t>
            </w:r>
          </w:p>
        </w:tc>
      </w:tr>
      <w:tr w:rsidR="000B449B" w:rsidRPr="00260235">
        <w:trPr>
          <w:trHeight w:val="240"/>
          <w:jc w:val="center"/>
        </w:trPr>
        <w:tc>
          <w:tcPr>
            <w:tcW w:w="1696"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c>
          <w:tcPr>
            <w:tcW w:w="3527" w:type="dxa"/>
            <w:vAlign w:val="center"/>
          </w:tcPr>
          <w:p w:rsidR="000B449B" w:rsidRPr="00260235" w:rsidRDefault="00176FA6">
            <w:pPr>
              <w:spacing w:line="360" w:lineRule="auto"/>
              <w:ind w:right="-307"/>
              <w:jc w:val="center"/>
              <w:rPr>
                <w:rFonts w:ascii="Palatino Linotype" w:eastAsia="Palatino Linotype" w:hAnsi="Palatino Linotype" w:cs="Palatino Linotype"/>
                <w:sz w:val="22"/>
                <w:szCs w:val="22"/>
              </w:rPr>
            </w:pPr>
            <w:r w:rsidRPr="00260235">
              <w:rPr>
                <w:rFonts w:ascii="Palatino Linotype" w:eastAsia="Palatino Linotype" w:hAnsi="Palatino Linotype" w:cs="Palatino Linotype"/>
                <w:sz w:val="22"/>
                <w:szCs w:val="22"/>
              </w:rPr>
              <w:t>31/octubre/2024</w:t>
            </w:r>
          </w:p>
        </w:tc>
        <w:tc>
          <w:tcPr>
            <w:tcW w:w="1435" w:type="dxa"/>
            <w:vMerge/>
            <w:vAlign w:val="center"/>
          </w:tcPr>
          <w:p w:rsidR="000B449B" w:rsidRPr="00260235" w:rsidRDefault="000B449B">
            <w:pPr>
              <w:widowControl w:val="0"/>
              <w:pBdr>
                <w:top w:val="nil"/>
                <w:left w:val="nil"/>
                <w:bottom w:val="nil"/>
                <w:right w:val="nil"/>
                <w:between w:val="nil"/>
              </w:pBdr>
              <w:spacing w:line="276" w:lineRule="auto"/>
              <w:ind w:right="-307"/>
              <w:rPr>
                <w:rFonts w:ascii="Palatino Linotype" w:eastAsia="Palatino Linotype" w:hAnsi="Palatino Linotype" w:cs="Palatino Linotype"/>
                <w:sz w:val="22"/>
                <w:szCs w:val="22"/>
              </w:rPr>
            </w:pPr>
          </w:p>
        </w:tc>
      </w:tr>
    </w:tbl>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De lo anterior y tomando en consideración que cada mes se integra de dos quincenas, se arriba a la conclusión de que los comprobantes remitidos se encuentran completos.</w:t>
      </w:r>
    </w:p>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 xml:space="preserve">  Por lo que hace al Acuerdo de Clasificación de Información con el que sustenta la información testeada en la información remitida, se advierte que este cumple con los elementos señalados para tal efecto, es decir, el número de folio de la solicitud, referencia de la información solicitada, artículo, fracción, inciso, párrafo o numeral de la ley que le otorga el carácter de confidencial, motivación y las firmas de los servidores públicos que en él intervinieron.</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1"/>
        </w:numPr>
        <w:spacing w:line="360" w:lineRule="auto"/>
        <w:ind w:left="0" w:right="-307" w:firstLine="0"/>
        <w:jc w:val="both"/>
      </w:pPr>
      <w:r w:rsidRPr="00260235">
        <w:rPr>
          <w:rFonts w:ascii="Palatino Linotype" w:eastAsia="Palatino Linotype" w:hAnsi="Palatino Linotype" w:cs="Palatino Linotype"/>
        </w:rPr>
        <w:t>Finalmente en cuanto a la información testada, se analizará si los datos mencionados, deben ser considerados confidenciales, en términos del artículo 143, fracción I, de la Ley de Transparencia y Acceso a la Información Pública del Estado de México y Municipios, o públicos.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4"/>
        </w:numPr>
        <w:spacing w:line="360" w:lineRule="auto"/>
        <w:ind w:right="-307"/>
        <w:jc w:val="both"/>
        <w:rPr>
          <w:rFonts w:ascii="Palatino Linotype" w:eastAsia="Palatino Linotype" w:hAnsi="Palatino Linotype" w:cs="Palatino Linotype"/>
          <w:b/>
        </w:rPr>
      </w:pPr>
      <w:r w:rsidRPr="00260235">
        <w:rPr>
          <w:rFonts w:ascii="Palatino Linotype" w:eastAsia="Palatino Linotype" w:hAnsi="Palatino Linotype" w:cs="Palatino Linotype"/>
          <w:b/>
        </w:rPr>
        <w:t>Clave Única de Registro de Población (CURP)</w:t>
      </w: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21</w:t>
      </w:r>
      <w:r w:rsidRPr="00260235">
        <w:rPr>
          <w:rFonts w:ascii="Palatino Linotype" w:eastAsia="Palatino Linotype" w:hAnsi="Palatino Linotype" w:cs="Palatino Linotype"/>
        </w:rPr>
        <w:t>. 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lastRenderedPageBreak/>
        <w:t xml:space="preserve">22. </w:t>
      </w:r>
      <w:r w:rsidRPr="00260235">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23. </w:t>
      </w:r>
      <w:r w:rsidRPr="00260235">
        <w:rPr>
          <w:rFonts w:ascii="Palatino Linotype" w:eastAsia="Palatino Linotype" w:hAnsi="Palatino Linotype" w:cs="Palatino Linotype"/>
        </w:rPr>
        <w:t xml:space="preserve">En ese orden de ideas, la Secretaría de Gobernación en las direcciones </w:t>
      </w:r>
      <w:hyperlink r:id="rId16">
        <w:r w:rsidRPr="00260235">
          <w:rPr>
            <w:rFonts w:ascii="Palatino Linotype" w:eastAsia="Palatino Linotype" w:hAnsi="Palatino Linotype" w:cs="Palatino Linotype"/>
            <w:color w:val="0563C1"/>
            <w:u w:val="single"/>
          </w:rPr>
          <w:t>https://consultas.curp.gob.mx/CurpSP/html/informacionecurpPS.html</w:t>
        </w:r>
      </w:hyperlink>
      <w:r w:rsidRPr="00260235">
        <w:rPr>
          <w:rFonts w:ascii="Palatino Linotype" w:eastAsia="Palatino Linotype" w:hAnsi="Palatino Linotype" w:cs="Palatino Linotype"/>
        </w:rPr>
        <w:t xml:space="preserve"> y </w:t>
      </w:r>
      <w:hyperlink r:id="rId17">
        <w:r w:rsidRPr="00260235">
          <w:rPr>
            <w:rFonts w:ascii="Palatino Linotype" w:eastAsia="Palatino Linotype" w:hAnsi="Palatino Linotype" w:cs="Palatino Linotype"/>
            <w:color w:val="0563C1"/>
            <w:u w:val="single"/>
          </w:rPr>
          <w:t>https://www.gob.mx/segob/renapo/acciones-y-programas/clave-unica-de-registro-de-poblacion-curp-142226</w:t>
        </w:r>
      </w:hyperlink>
      <w:r w:rsidRPr="00260235">
        <w:rPr>
          <w:rFonts w:ascii="Palatino Linotype" w:eastAsia="Palatino Linotype" w:hAnsi="Palatino Linotype" w:cs="Palatino Linotype"/>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260235">
        <w:rPr>
          <w:rFonts w:ascii="Palatino Linotype" w:eastAsia="Palatino Linotype" w:hAnsi="Palatino Linotype" w:cs="Palatino Linotype"/>
          <w:b/>
        </w:rPr>
        <w:t>se generan a partir de los datos contenidos en el documento probatorio de la identidad</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b/>
        </w:rPr>
        <w:t xml:space="preserve">del interesado </w:t>
      </w:r>
      <w:r w:rsidRPr="00260235">
        <w:rPr>
          <w:rFonts w:ascii="Palatino Linotype" w:eastAsia="Palatino Linotype" w:hAnsi="Palatino Linotype" w:cs="Palatino Linotype"/>
        </w:rPr>
        <w:t>(acta de nacimiento, carta de naturalización o documento migratorio) de la siguiente forma:</w:t>
      </w:r>
    </w:p>
    <w:p w:rsidR="000B449B" w:rsidRPr="00260235" w:rsidRDefault="00176FA6">
      <w:pPr>
        <w:numPr>
          <w:ilvl w:val="0"/>
          <w:numId w:val="5"/>
        </w:numPr>
        <w:spacing w:line="360" w:lineRule="auto"/>
        <w:ind w:right="-307"/>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El primero y segundo apellidos, así como al nombre de pila;</w:t>
      </w:r>
    </w:p>
    <w:p w:rsidR="000B449B" w:rsidRPr="00260235" w:rsidRDefault="00176FA6">
      <w:pPr>
        <w:numPr>
          <w:ilvl w:val="0"/>
          <w:numId w:val="5"/>
        </w:numPr>
        <w:spacing w:line="360" w:lineRule="auto"/>
        <w:ind w:right="-307"/>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La fecha de nacimiento;</w:t>
      </w:r>
    </w:p>
    <w:p w:rsidR="000B449B" w:rsidRPr="00260235" w:rsidRDefault="00176FA6">
      <w:pPr>
        <w:numPr>
          <w:ilvl w:val="0"/>
          <w:numId w:val="5"/>
        </w:numPr>
        <w:spacing w:line="360" w:lineRule="auto"/>
        <w:ind w:right="-307"/>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El sexo, y</w:t>
      </w:r>
    </w:p>
    <w:p w:rsidR="000B449B" w:rsidRPr="00260235" w:rsidRDefault="00176FA6">
      <w:pPr>
        <w:numPr>
          <w:ilvl w:val="0"/>
          <w:numId w:val="5"/>
        </w:numPr>
        <w:spacing w:line="360" w:lineRule="auto"/>
        <w:ind w:right="-307"/>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La entidad federativa de nacimiento.</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24. </w:t>
      </w:r>
      <w:r w:rsidRPr="00260235">
        <w:rPr>
          <w:rFonts w:ascii="Palatino Linotype" w:eastAsia="Palatino Linotype" w:hAnsi="Palatino Linotype" w:cs="Palatino Linotype"/>
        </w:rPr>
        <w:t>Los dos últimos elementos de la Clave Única de Registro de Población evitan la duplicidad de la Clave y garantizan su correcta integración.</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lastRenderedPageBreak/>
        <w:t>25.</w:t>
      </w:r>
      <w:r w:rsidRPr="00260235">
        <w:rPr>
          <w:rFonts w:ascii="Palatino Linotype" w:eastAsia="Palatino Linotype" w:hAnsi="Palatino Linotype" w:cs="Palatino Linotype"/>
        </w:rPr>
        <w:t xml:space="preserve">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26. </w:t>
      </w:r>
      <w:r w:rsidRPr="00260235">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0B449B" w:rsidRPr="00260235" w:rsidRDefault="00176FA6" w:rsidP="00E501E0">
      <w:pPr>
        <w:spacing w:line="360"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 xml:space="preserve">“Clave Única de Registro de Población (CURP). </w:t>
      </w:r>
      <w:r w:rsidRPr="00260235">
        <w:rPr>
          <w:rFonts w:ascii="Palatino Linotype" w:eastAsia="Palatino Linotype" w:hAnsi="Palatino Linotype" w:cs="Palatino Linotype"/>
          <w:i/>
          <w:sz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0B449B" w:rsidRPr="00260235" w:rsidRDefault="000B449B">
      <w:pPr>
        <w:spacing w:line="360" w:lineRule="auto"/>
        <w:ind w:right="-307"/>
        <w:jc w:val="both"/>
        <w:rPr>
          <w:rFonts w:ascii="Palatino Linotype" w:eastAsia="Palatino Linotype" w:hAnsi="Palatino Linotype" w:cs="Palatino Linotype"/>
          <w:b/>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27. </w:t>
      </w:r>
      <w:r w:rsidRPr="00260235">
        <w:rPr>
          <w:rFonts w:ascii="Palatino Linotype" w:eastAsia="Palatino Linotype" w:hAnsi="Palatino Linotype" w:cs="Palatino Linotype"/>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numPr>
          <w:ilvl w:val="0"/>
          <w:numId w:val="4"/>
        </w:numPr>
        <w:spacing w:line="360" w:lineRule="auto"/>
        <w:ind w:right="-307"/>
        <w:jc w:val="both"/>
        <w:rPr>
          <w:rFonts w:ascii="Palatino Linotype" w:eastAsia="Palatino Linotype" w:hAnsi="Palatino Linotype" w:cs="Palatino Linotype"/>
          <w:b/>
          <w:color w:val="000000"/>
        </w:rPr>
      </w:pPr>
      <w:r w:rsidRPr="00260235">
        <w:rPr>
          <w:rFonts w:ascii="Palatino Linotype" w:eastAsia="Palatino Linotype" w:hAnsi="Palatino Linotype" w:cs="Palatino Linotype"/>
          <w:b/>
          <w:color w:val="000000"/>
        </w:rPr>
        <w:t>Registro Federal de Contribuyentes (RFC)</w:t>
      </w: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28.</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color w:val="000000"/>
        </w:rPr>
        <w:t xml:space="preserve">Al respecto, cabe precisar que las personas físicas que deban presentar declaraciones periódicas o que están obligadas a expedir comprobantes fiscales, tienen que solicitar su </w:t>
      </w:r>
      <w:r w:rsidRPr="00260235">
        <w:rPr>
          <w:rFonts w:ascii="Palatino Linotype" w:eastAsia="Palatino Linotype" w:hAnsi="Palatino Linotype" w:cs="Palatino Linotype"/>
          <w:color w:val="000000"/>
        </w:rPr>
        <w:lastRenderedPageBreak/>
        <w:t>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E501E0"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29. </w:t>
      </w:r>
      <w:r w:rsidRPr="00260235">
        <w:rPr>
          <w:rFonts w:ascii="Palatino Linotype" w:eastAsia="Palatino Linotype" w:hAnsi="Palatino Linotype" w:cs="Palatino Linotype"/>
          <w:color w:val="000000"/>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E501E0" w:rsidRPr="00260235" w:rsidRDefault="00E501E0">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30. </w:t>
      </w:r>
      <w:r w:rsidRPr="00260235">
        <w:rPr>
          <w:rFonts w:ascii="Palatino Linotype" w:eastAsia="Palatino Linotype" w:hAnsi="Palatino Linotype" w:cs="Palatino Linotype"/>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31. </w:t>
      </w:r>
      <w:r w:rsidRPr="00260235">
        <w:rPr>
          <w:rFonts w:ascii="Palatino Linotype" w:eastAsia="Palatino Linotype" w:hAnsi="Palatino Linotype" w:cs="Palatino Linotype"/>
          <w:color w:val="000000"/>
        </w:rPr>
        <w:t xml:space="preserve">Así, el Registro Federal de Contribuyentes, es un dato personal, ya que hace a las personas físicas </w:t>
      </w:r>
      <w:r w:rsidRPr="00260235">
        <w:rPr>
          <w:rFonts w:ascii="Palatino Linotype" w:eastAsia="Palatino Linotype" w:hAnsi="Palatino Linotype" w:cs="Palatino Linotype"/>
        </w:rPr>
        <w:t>identificadas</w:t>
      </w:r>
      <w:r w:rsidRPr="00260235">
        <w:rPr>
          <w:rFonts w:ascii="Palatino Linotype" w:eastAsia="Palatino Linotype" w:hAnsi="Palatino Linotype" w:cs="Palatino Linotype"/>
          <w:color w:val="000000"/>
        </w:rPr>
        <w:t xml:space="preserve"> e identificables, además de que las relaciona como contribuyentes de las autoridades fiscales. Es de destacar que dicho dato únicamente sirve para efectos fiscales y pago de contribuciones, por lo que se trata de un dato relevante únicamente para las personas </w:t>
      </w:r>
      <w:r w:rsidRPr="00260235">
        <w:rPr>
          <w:rFonts w:ascii="Palatino Linotype" w:eastAsia="Palatino Linotype" w:hAnsi="Palatino Linotype" w:cs="Palatino Linotype"/>
        </w:rPr>
        <w:t>involucradas</w:t>
      </w:r>
      <w:r w:rsidRPr="00260235">
        <w:rPr>
          <w:rFonts w:ascii="Palatino Linotype" w:eastAsia="Palatino Linotype" w:hAnsi="Palatino Linotype" w:cs="Palatino Linotype"/>
          <w:color w:val="000000"/>
        </w:rPr>
        <w:t xml:space="preserve">, en el pago de estos, en el presente caso, del pago del Impuesto Sobre el Producto del Trabajo. </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lastRenderedPageBreak/>
        <w:t xml:space="preserve">32. </w:t>
      </w:r>
      <w:r w:rsidRPr="00260235">
        <w:rPr>
          <w:rFonts w:ascii="Palatino Linotype" w:eastAsia="Palatino Linotype" w:hAnsi="Palatino Linotype" w:cs="Palatino Linotype"/>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rsidR="000B449B" w:rsidRPr="00260235" w:rsidRDefault="00176FA6" w:rsidP="00E501E0">
      <w:pPr>
        <w:spacing w:line="360" w:lineRule="auto"/>
        <w:ind w:left="567" w:right="255"/>
        <w:jc w:val="both"/>
        <w:rPr>
          <w:rFonts w:ascii="Palatino Linotype" w:eastAsia="Palatino Linotype" w:hAnsi="Palatino Linotype" w:cs="Palatino Linotype"/>
          <w:i/>
          <w:color w:val="000000"/>
          <w:sz w:val="22"/>
        </w:rPr>
      </w:pPr>
      <w:r w:rsidRPr="00260235">
        <w:rPr>
          <w:rFonts w:ascii="Palatino Linotype" w:eastAsia="Palatino Linotype" w:hAnsi="Palatino Linotype" w:cs="Palatino Linotype"/>
          <w:b/>
          <w:i/>
          <w:color w:val="000000"/>
          <w:sz w:val="22"/>
        </w:rPr>
        <w:t>“Registro Federal de Contribuyentes (RFC) de personas físicas.</w:t>
      </w:r>
      <w:r w:rsidRPr="00260235">
        <w:rPr>
          <w:rFonts w:ascii="Palatino Linotype" w:eastAsia="Palatino Linotype" w:hAnsi="Palatino Linotype" w:cs="Palatino Linotype"/>
          <w:i/>
          <w:color w:val="000000"/>
          <w:sz w:val="22"/>
        </w:rPr>
        <w:t xml:space="preserve"> El RFC es una clave de carácter fiscal, única e irrepetible, que permite identificar al titular, su edad y fecha de nacimiento, por lo que es un dato personal de carácter confidencial.”</w:t>
      </w:r>
    </w:p>
    <w:p w:rsidR="000B449B" w:rsidRPr="00260235" w:rsidRDefault="000B449B" w:rsidP="00E501E0">
      <w:pPr>
        <w:spacing w:line="360" w:lineRule="auto"/>
        <w:ind w:right="255"/>
        <w:jc w:val="both"/>
        <w:rPr>
          <w:rFonts w:ascii="Palatino Linotype" w:eastAsia="Palatino Linotype" w:hAnsi="Palatino Linotype" w:cs="Palatino Linotype"/>
          <w:color w:val="000000"/>
          <w:sz w:val="22"/>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33. </w:t>
      </w:r>
      <w:r w:rsidRPr="00260235">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0B449B" w:rsidRPr="00260235" w:rsidRDefault="000B449B">
      <w:pPr>
        <w:tabs>
          <w:tab w:val="center" w:pos="4522"/>
        </w:tabs>
        <w:spacing w:line="360" w:lineRule="auto"/>
        <w:ind w:right="-307"/>
        <w:jc w:val="both"/>
        <w:rPr>
          <w:rFonts w:ascii="Palatino Linotype" w:eastAsia="Palatino Linotype" w:hAnsi="Palatino Linotype" w:cs="Palatino Linotype"/>
          <w:color w:val="000000"/>
        </w:rPr>
      </w:pPr>
    </w:p>
    <w:p w:rsidR="000B449B" w:rsidRPr="00260235" w:rsidRDefault="00176FA6">
      <w:pPr>
        <w:numPr>
          <w:ilvl w:val="0"/>
          <w:numId w:val="4"/>
        </w:numPr>
        <w:spacing w:line="360" w:lineRule="auto"/>
        <w:ind w:right="-307"/>
        <w:jc w:val="both"/>
        <w:rPr>
          <w:rFonts w:ascii="Palatino Linotype" w:eastAsia="Palatino Linotype" w:hAnsi="Palatino Linotype" w:cs="Palatino Linotype"/>
          <w:b/>
          <w:color w:val="000000"/>
        </w:rPr>
      </w:pPr>
      <w:r w:rsidRPr="00260235">
        <w:rPr>
          <w:rFonts w:ascii="Palatino Linotype" w:eastAsia="Palatino Linotype" w:hAnsi="Palatino Linotype" w:cs="Palatino Linotype"/>
          <w:b/>
          <w:color w:val="000000"/>
        </w:rPr>
        <w:t>Número de seguridad social del Instituto de Seguridad Social del Estado de México y Municipios</w:t>
      </w: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34. </w:t>
      </w:r>
      <w:r w:rsidRPr="00260235">
        <w:rPr>
          <w:rFonts w:ascii="Palatino Linotype" w:eastAsia="Palatino Linotype" w:hAnsi="Palatino Linotype" w:cs="Palatino Linotype"/>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35. </w:t>
      </w:r>
      <w:r w:rsidRPr="00260235">
        <w:rPr>
          <w:rFonts w:ascii="Palatino Linotype" w:eastAsia="Palatino Linotype" w:hAnsi="Palatino Linotype" w:cs="Palatino Linotype"/>
          <w:color w:val="000000"/>
        </w:rPr>
        <w:t xml:space="preserve">En ese contexto, el artículo 9° del mismo ordenamiento, dispone que el Instituto de Seguridad Social del Estado de México y Municipios expedirá documentos de identificación </w:t>
      </w:r>
      <w:r w:rsidRPr="00260235">
        <w:rPr>
          <w:rFonts w:ascii="Palatino Linotype" w:eastAsia="Palatino Linotype" w:hAnsi="Palatino Linotype" w:cs="Palatino Linotype"/>
          <w:color w:val="000000"/>
        </w:rPr>
        <w:lastRenderedPageBreak/>
        <w:t>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36. </w:t>
      </w:r>
      <w:r w:rsidRPr="00260235">
        <w:rPr>
          <w:rFonts w:ascii="Palatino Linotype" w:eastAsia="Palatino Linotype" w:hAnsi="Palatino Linotype" w:cs="Palatino Linotype"/>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37.</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E501E0" w:rsidRPr="00260235" w:rsidRDefault="00E501E0">
      <w:pPr>
        <w:spacing w:line="360" w:lineRule="auto"/>
        <w:ind w:right="-307"/>
        <w:jc w:val="both"/>
        <w:rPr>
          <w:rFonts w:ascii="Palatino Linotype" w:eastAsia="Palatino Linotype" w:hAnsi="Palatino Linotype" w:cs="Palatino Linotype"/>
          <w:color w:val="000000"/>
        </w:rPr>
      </w:pPr>
    </w:p>
    <w:p w:rsidR="00E501E0" w:rsidRPr="00260235" w:rsidRDefault="00E501E0">
      <w:pPr>
        <w:spacing w:line="360" w:lineRule="auto"/>
        <w:ind w:right="-307"/>
        <w:jc w:val="both"/>
        <w:rPr>
          <w:rFonts w:ascii="Palatino Linotype" w:eastAsia="Palatino Linotype" w:hAnsi="Palatino Linotype" w:cs="Palatino Linotype"/>
          <w:color w:val="000000"/>
        </w:rPr>
      </w:pPr>
    </w:p>
    <w:p w:rsidR="000B449B" w:rsidRPr="00260235" w:rsidRDefault="00176FA6">
      <w:pPr>
        <w:numPr>
          <w:ilvl w:val="0"/>
          <w:numId w:val="6"/>
        </w:numPr>
        <w:spacing w:line="360" w:lineRule="auto"/>
        <w:ind w:right="-307"/>
        <w:jc w:val="both"/>
        <w:rPr>
          <w:rFonts w:ascii="Palatino Linotype" w:eastAsia="Palatino Linotype" w:hAnsi="Palatino Linotype" w:cs="Palatino Linotype"/>
          <w:b/>
        </w:rPr>
      </w:pPr>
      <w:r w:rsidRPr="00260235">
        <w:rPr>
          <w:rFonts w:ascii="Palatino Linotype" w:eastAsia="Palatino Linotype" w:hAnsi="Palatino Linotype" w:cs="Palatino Linotype"/>
          <w:b/>
        </w:rPr>
        <w:lastRenderedPageBreak/>
        <w:t xml:space="preserve">Cuenta bancaria de servidores públicos. </w:t>
      </w: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38. </w:t>
      </w:r>
      <w:r w:rsidRPr="00260235">
        <w:rPr>
          <w:rFonts w:ascii="Palatino Linotype" w:eastAsia="Palatino Linotype" w:hAnsi="Palatino Linotype" w:cs="Palatino Linotype"/>
        </w:rPr>
        <w:t>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de fondos interbancarios, entre otros movimientos que sean utilizados exclusivamente en la cuenta señalada por el cliente y por lo tanto, los datos bancarios corresponden a información que se encuentra relacionada con el patrimonio de la persona titular de la cuenta.</w:t>
      </w: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rPr>
        <w:t> </w:t>
      </w: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39. </w:t>
      </w:r>
      <w:r w:rsidRPr="00260235">
        <w:rPr>
          <w:rFonts w:ascii="Palatino Linotype" w:eastAsia="Palatino Linotype" w:hAnsi="Palatino Linotype" w:cs="Palatino Linotype"/>
        </w:rPr>
        <w:t xml:space="preserve">A mayor abundamiento, resulta necesario traer a colación el Criterio </w:t>
      </w:r>
      <w:r w:rsidRPr="00260235">
        <w:rPr>
          <w:rFonts w:ascii="Palatino Linotype" w:eastAsia="Palatino Linotype" w:hAnsi="Palatino Linotype" w:cs="Palatino Linotype"/>
          <w:color w:val="000000"/>
        </w:rPr>
        <w:t xml:space="preserve">SO/010/2017, </w:t>
      </w:r>
      <w:r w:rsidRPr="00260235">
        <w:rPr>
          <w:rFonts w:ascii="Palatino Linotype" w:eastAsia="Palatino Linotype" w:hAnsi="Palatino Linotype" w:cs="Palatino Linotype"/>
        </w:rPr>
        <w:t>emitido por el Instituto Nacional de Transparencia, Acceso a la Información y Protección de Datos Personales, mismo que establece lo siguiente:</w:t>
      </w:r>
    </w:p>
    <w:p w:rsidR="000B449B" w:rsidRPr="00260235" w:rsidRDefault="00176FA6" w:rsidP="00E501E0">
      <w:pPr>
        <w:spacing w:line="360"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w:t>
      </w:r>
      <w:r w:rsidRPr="00260235">
        <w:rPr>
          <w:rFonts w:ascii="Palatino Linotype" w:eastAsia="Palatino Linotype" w:hAnsi="Palatino Linotype" w:cs="Palatino Linotype"/>
          <w:b/>
          <w:i/>
          <w:sz w:val="22"/>
        </w:rPr>
        <w:t>Cuentas bancarias y/o CLABE interbancaria de personas físicas y morales privadas.</w:t>
      </w:r>
      <w:r w:rsidRPr="00260235">
        <w:rPr>
          <w:rFonts w:ascii="Palatino Linotype" w:eastAsia="Palatino Linotype" w:hAnsi="Palatino Linotype" w:cs="Palatino Linotype"/>
          <w:i/>
          <w:sz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0B449B" w:rsidRPr="00260235" w:rsidRDefault="000B449B">
      <w:pPr>
        <w:spacing w:line="360" w:lineRule="auto"/>
        <w:ind w:right="-307"/>
        <w:jc w:val="both"/>
        <w:rPr>
          <w:rFonts w:ascii="Palatino Linotype" w:eastAsia="Palatino Linotype" w:hAnsi="Palatino Linotype" w:cs="Palatino Linotype"/>
          <w:b/>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40. </w:t>
      </w:r>
      <w:r w:rsidRPr="00260235">
        <w:rPr>
          <w:rFonts w:ascii="Palatino Linotype" w:eastAsia="Palatino Linotype" w:hAnsi="Palatino Linotype" w:cs="Palatino Linotype"/>
        </w:rPr>
        <w:t xml:space="preserve">Por lo cual, se puede colegir que dichos datos no guardan relación con el servicio público ni con los recursos públicos, pues sólo corresponde a información, que le atañe a la institución financiera y al cliente; por lo que este número constituye información </w:t>
      </w:r>
      <w:r w:rsidRPr="00260235">
        <w:rPr>
          <w:rFonts w:ascii="Palatino Linotype" w:eastAsia="Palatino Linotype" w:hAnsi="Palatino Linotype" w:cs="Palatino Linotype"/>
        </w:rPr>
        <w:lastRenderedPageBreak/>
        <w:t>confidencial al pertenecer exclusivamente al ámbito de la vida privada del trabajador y procede su eliminación de conformidad con el artículo 143, fracción I, de la Ley de Transparencia y Acceso a la Información Pública del Estado de México y Municipios.</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numPr>
          <w:ilvl w:val="0"/>
          <w:numId w:val="7"/>
        </w:numPr>
        <w:pBdr>
          <w:top w:val="nil"/>
          <w:left w:val="nil"/>
          <w:bottom w:val="nil"/>
          <w:right w:val="nil"/>
          <w:between w:val="nil"/>
        </w:pBdr>
        <w:shd w:val="clear" w:color="auto" w:fill="FFFFFF"/>
        <w:spacing w:line="360" w:lineRule="auto"/>
        <w:ind w:right="-307"/>
        <w:jc w:val="both"/>
        <w:rPr>
          <w:rFonts w:ascii="Palatino Linotype" w:eastAsia="Palatino Linotype" w:hAnsi="Palatino Linotype" w:cs="Palatino Linotype"/>
          <w:color w:val="222222"/>
        </w:rPr>
      </w:pPr>
      <w:r w:rsidRPr="00260235">
        <w:rPr>
          <w:rFonts w:ascii="Palatino Linotype" w:eastAsia="Palatino Linotype" w:hAnsi="Palatino Linotype" w:cs="Palatino Linotype"/>
          <w:b/>
          <w:color w:val="222222"/>
        </w:rPr>
        <w:t>Clave de servidor público.</w:t>
      </w:r>
    </w:p>
    <w:p w:rsidR="000B449B" w:rsidRPr="00260235" w:rsidRDefault="00176FA6">
      <w:pPr>
        <w:shd w:val="clear" w:color="auto" w:fill="FFFFFF"/>
        <w:spacing w:line="360" w:lineRule="auto"/>
        <w:ind w:right="-307"/>
        <w:jc w:val="both"/>
        <w:rPr>
          <w:rFonts w:ascii="Palatino Linotype" w:eastAsia="Palatino Linotype" w:hAnsi="Palatino Linotype" w:cs="Palatino Linotype"/>
          <w:color w:val="222222"/>
        </w:rPr>
      </w:pPr>
      <w:r w:rsidRPr="00260235">
        <w:rPr>
          <w:rFonts w:ascii="Palatino Linotype" w:eastAsia="Palatino Linotype" w:hAnsi="Palatino Linotype" w:cs="Palatino Linotype"/>
          <w:b/>
          <w:color w:val="222222"/>
        </w:rPr>
        <w:t xml:space="preserve"> 41. </w:t>
      </w:r>
      <w:r w:rsidRPr="00260235">
        <w:rPr>
          <w:rFonts w:ascii="Palatino Linotype" w:eastAsia="Palatino Linotype" w:hAnsi="Palatino Linotype" w:cs="Palatino Linotype"/>
          <w:color w:val="222222"/>
        </w:rPr>
        <w:t>En relación con la clave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rsidR="000B449B" w:rsidRPr="00260235" w:rsidRDefault="00176FA6">
      <w:pPr>
        <w:shd w:val="clear" w:color="auto" w:fill="FFFFFF"/>
        <w:spacing w:line="360" w:lineRule="auto"/>
        <w:ind w:right="-307"/>
        <w:jc w:val="both"/>
        <w:rPr>
          <w:rFonts w:ascii="Palatino Linotype" w:eastAsia="Palatino Linotype" w:hAnsi="Palatino Linotype" w:cs="Palatino Linotype"/>
          <w:color w:val="222222"/>
        </w:rPr>
      </w:pPr>
      <w:r w:rsidRPr="00260235">
        <w:rPr>
          <w:rFonts w:ascii="Palatino Linotype" w:eastAsia="Palatino Linotype" w:hAnsi="Palatino Linotype" w:cs="Palatino Linotype"/>
          <w:color w:val="222222"/>
        </w:rPr>
        <w:t> </w:t>
      </w:r>
    </w:p>
    <w:p w:rsidR="000B449B" w:rsidRPr="00260235" w:rsidRDefault="00176FA6">
      <w:pPr>
        <w:shd w:val="clear" w:color="auto" w:fill="FFFFFF"/>
        <w:spacing w:line="360" w:lineRule="auto"/>
        <w:ind w:right="-307"/>
        <w:jc w:val="both"/>
        <w:rPr>
          <w:rFonts w:ascii="Palatino Linotype" w:eastAsia="Palatino Linotype" w:hAnsi="Palatino Linotype" w:cs="Palatino Linotype"/>
          <w:color w:val="222222"/>
        </w:rPr>
      </w:pPr>
      <w:r w:rsidRPr="00260235">
        <w:rPr>
          <w:rFonts w:ascii="Palatino Linotype" w:eastAsia="Palatino Linotype" w:hAnsi="Palatino Linotype" w:cs="Palatino Linotype"/>
          <w:b/>
          <w:color w:val="222222"/>
        </w:rPr>
        <w:t>42.</w:t>
      </w:r>
      <w:r w:rsidRPr="00260235">
        <w:rPr>
          <w:rFonts w:ascii="Palatino Linotype" w:eastAsia="Palatino Linotype" w:hAnsi="Palatino Linotype" w:cs="Palatino Linotype"/>
          <w:color w:val="222222"/>
        </w:rPr>
        <w:t xml:space="preserve">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rsidR="000B449B" w:rsidRPr="00260235" w:rsidRDefault="00176FA6">
      <w:pPr>
        <w:shd w:val="clear" w:color="auto" w:fill="FFFFFF"/>
        <w:spacing w:line="360" w:lineRule="auto"/>
        <w:ind w:right="-307"/>
        <w:jc w:val="both"/>
        <w:rPr>
          <w:rFonts w:ascii="Palatino Linotype" w:eastAsia="Palatino Linotype" w:hAnsi="Palatino Linotype" w:cs="Palatino Linotype"/>
          <w:b/>
          <w:color w:val="222222"/>
        </w:rPr>
      </w:pPr>
      <w:r w:rsidRPr="00260235">
        <w:rPr>
          <w:rFonts w:ascii="Palatino Linotype" w:eastAsia="Palatino Linotype" w:hAnsi="Palatino Linotype" w:cs="Palatino Linotype"/>
          <w:b/>
          <w:color w:val="222222"/>
        </w:rPr>
        <w:t> </w:t>
      </w:r>
    </w:p>
    <w:p w:rsidR="000B449B" w:rsidRPr="00260235" w:rsidRDefault="00176FA6">
      <w:pPr>
        <w:shd w:val="clear" w:color="auto" w:fill="FFFFFF"/>
        <w:spacing w:line="360" w:lineRule="auto"/>
        <w:ind w:right="-307"/>
        <w:jc w:val="both"/>
        <w:rPr>
          <w:rFonts w:ascii="Palatino Linotype" w:eastAsia="Palatino Linotype" w:hAnsi="Palatino Linotype" w:cs="Palatino Linotype"/>
          <w:color w:val="222222"/>
        </w:rPr>
      </w:pPr>
      <w:r w:rsidRPr="00260235">
        <w:rPr>
          <w:rFonts w:ascii="Palatino Linotype" w:eastAsia="Palatino Linotype" w:hAnsi="Palatino Linotype" w:cs="Palatino Linotype"/>
          <w:b/>
          <w:color w:val="222222"/>
        </w:rPr>
        <w:t xml:space="preserve">43. </w:t>
      </w:r>
      <w:r w:rsidRPr="00260235">
        <w:rPr>
          <w:rFonts w:ascii="Palatino Linotype" w:eastAsia="Palatino Linotype" w:hAnsi="Palatino Linotype" w:cs="Palatino Linotype"/>
          <w:color w:val="222222"/>
        </w:rPr>
        <w:t>Lo anterior, se robustece con el Criterio 03/14, emitido por el Pleno del entonces Instituto Federal de Acceso a la Información y Protección de Datos, que establece lo siguiente:</w:t>
      </w:r>
    </w:p>
    <w:p w:rsidR="000B449B" w:rsidRPr="00260235" w:rsidRDefault="00176FA6" w:rsidP="00E501E0">
      <w:pPr>
        <w:shd w:val="clear" w:color="auto" w:fill="FFFFFF"/>
        <w:spacing w:line="360" w:lineRule="auto"/>
        <w:ind w:right="255"/>
        <w:jc w:val="both"/>
        <w:rPr>
          <w:rFonts w:ascii="Palatino Linotype" w:eastAsia="Palatino Linotype" w:hAnsi="Palatino Linotype" w:cs="Palatino Linotype"/>
          <w:i/>
          <w:color w:val="222222"/>
          <w:sz w:val="22"/>
        </w:rPr>
      </w:pPr>
      <w:r w:rsidRPr="00260235">
        <w:rPr>
          <w:rFonts w:ascii="Palatino Linotype" w:eastAsia="Palatino Linotype" w:hAnsi="Palatino Linotype" w:cs="Palatino Linotype"/>
          <w:color w:val="222222"/>
        </w:rPr>
        <w:t> </w:t>
      </w:r>
      <w:r w:rsidRPr="00260235">
        <w:rPr>
          <w:rFonts w:ascii="Palatino Linotype" w:eastAsia="Palatino Linotype" w:hAnsi="Palatino Linotype" w:cs="Palatino Linotype"/>
          <w:color w:val="222222"/>
        </w:rPr>
        <w:tab/>
      </w:r>
      <w:r w:rsidRPr="00260235">
        <w:rPr>
          <w:rFonts w:ascii="Palatino Linotype" w:eastAsia="Palatino Linotype" w:hAnsi="Palatino Linotype" w:cs="Palatino Linotype"/>
          <w:b/>
          <w:i/>
          <w:color w:val="222222"/>
          <w:sz w:val="22"/>
        </w:rPr>
        <w:t>“Número de empleado, o su equivalente, si se integra con datos personales del trabajador o permite acceder a éstos sin necesidad de una contraseña, constituye información confidencial.</w:t>
      </w:r>
      <w:r w:rsidRPr="00260235">
        <w:rPr>
          <w:rFonts w:ascii="Palatino Linotype" w:eastAsia="Palatino Linotype" w:hAnsi="Palatino Linotype" w:cs="Palatino Linotype"/>
          <w:i/>
          <w:color w:val="222222"/>
          <w:sz w:val="22"/>
        </w:rPr>
        <w:t xml:space="preserve"> 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w:t>
      </w:r>
      <w:r w:rsidRPr="00260235">
        <w:rPr>
          <w:rFonts w:ascii="Palatino Linotype" w:eastAsia="Palatino Linotype" w:hAnsi="Palatino Linotype" w:cs="Palatino Linotype"/>
          <w:i/>
          <w:color w:val="222222"/>
          <w:sz w:val="22"/>
        </w:rPr>
        <w:lastRenderedPageBreak/>
        <w:t>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rsidR="000B449B" w:rsidRPr="00260235" w:rsidRDefault="000B449B">
      <w:pPr>
        <w:shd w:val="clear" w:color="auto" w:fill="FFFFFF"/>
        <w:spacing w:line="360" w:lineRule="auto"/>
        <w:ind w:left="567" w:right="-307"/>
        <w:jc w:val="both"/>
        <w:rPr>
          <w:rFonts w:ascii="Palatino Linotype" w:eastAsia="Palatino Linotype" w:hAnsi="Palatino Linotype" w:cs="Palatino Linotype"/>
          <w:i/>
          <w:color w:val="222222"/>
        </w:rPr>
      </w:pPr>
    </w:p>
    <w:p w:rsidR="000B449B" w:rsidRPr="00260235" w:rsidRDefault="00176FA6">
      <w:pPr>
        <w:numPr>
          <w:ilvl w:val="0"/>
          <w:numId w:val="7"/>
        </w:numPr>
        <w:pBdr>
          <w:top w:val="nil"/>
          <w:left w:val="nil"/>
          <w:bottom w:val="nil"/>
          <w:right w:val="nil"/>
          <w:between w:val="nil"/>
        </w:pBdr>
        <w:shd w:val="clear" w:color="auto" w:fill="FFFFFF"/>
        <w:spacing w:line="360" w:lineRule="auto"/>
        <w:ind w:right="-307"/>
        <w:jc w:val="both"/>
        <w:rPr>
          <w:rFonts w:ascii="Palatino Linotype" w:eastAsia="Palatino Linotype" w:hAnsi="Palatino Linotype" w:cs="Palatino Linotype"/>
          <w:b/>
          <w:color w:val="000000"/>
        </w:rPr>
      </w:pPr>
      <w:r w:rsidRPr="00260235">
        <w:rPr>
          <w:rFonts w:ascii="Palatino Linotype" w:eastAsia="Palatino Linotype" w:hAnsi="Palatino Linotype" w:cs="Palatino Linotype"/>
          <w:b/>
          <w:color w:val="222222"/>
        </w:rPr>
        <w:t>Número de recibo</w:t>
      </w: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44.</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color w:val="000000"/>
        </w:rPr>
        <w:t xml:space="preserve">Respecto de este dato, el </w:t>
      </w:r>
      <w:r w:rsidRPr="00260235">
        <w:rPr>
          <w:rFonts w:ascii="Palatino Linotype" w:eastAsia="Palatino Linotype" w:hAnsi="Palatino Linotype" w:cs="Palatino Linotype"/>
          <w:b/>
          <w:color w:val="000000"/>
        </w:rPr>
        <w:t xml:space="preserve">SUJETO OBLIGADO </w:t>
      </w:r>
      <w:r w:rsidRPr="00260235">
        <w:rPr>
          <w:rFonts w:ascii="Palatino Linotype" w:eastAsia="Palatino Linotype" w:hAnsi="Palatino Linotype" w:cs="Palatino Linotype"/>
          <w:color w:val="000000"/>
        </w:rPr>
        <w:t xml:space="preserve">dentro del acuerdo de clasificación respectivo manifestó que dentro del asunto que nos ocupa, este </w:t>
      </w:r>
      <w:r w:rsidRPr="00260235">
        <w:rPr>
          <w:rFonts w:ascii="Palatino Linotype" w:eastAsia="Palatino Linotype" w:hAnsi="Palatino Linotype" w:cs="Palatino Linotype"/>
          <w:i/>
          <w:color w:val="000000"/>
        </w:rPr>
        <w:t xml:space="preserve">consiste en referencias numéricas almacenan información, actualmente adaptados a los dispositivos electrónicos, permitiendo descifrar el código y trasladar directamente a un enlace o archivo, decodificando la información encriptada, por lo que, al acceder a éstos, sería posible obtener el recibo de pago (comprobante fiscal digital) en versión íntegra, siendo visibles diversos datos personales de naturaleza confidencial” </w:t>
      </w:r>
      <w:r w:rsidRPr="00260235">
        <w:rPr>
          <w:rFonts w:ascii="Palatino Linotype" w:eastAsia="Palatino Linotype" w:hAnsi="Palatino Linotype" w:cs="Palatino Linotype"/>
          <w:color w:val="000000"/>
        </w:rPr>
        <w:t>por lo que se tiene por válida su clasificación.</w:t>
      </w:r>
    </w:p>
    <w:p w:rsidR="000B449B" w:rsidRPr="00260235" w:rsidRDefault="000B449B">
      <w:pPr>
        <w:spacing w:line="360" w:lineRule="auto"/>
        <w:ind w:right="-307"/>
        <w:jc w:val="both"/>
        <w:rPr>
          <w:rFonts w:ascii="Palatino Linotype" w:eastAsia="Palatino Linotype" w:hAnsi="Palatino Linotype" w:cs="Palatino Linotype"/>
          <w:i/>
        </w:rPr>
      </w:pPr>
    </w:p>
    <w:p w:rsidR="000B449B" w:rsidRPr="00260235" w:rsidRDefault="00176FA6">
      <w:pPr>
        <w:spacing w:line="360" w:lineRule="auto"/>
        <w:ind w:right="-307"/>
        <w:jc w:val="both"/>
        <w:rPr>
          <w:rFonts w:ascii="Palatino Linotype" w:eastAsia="Palatino Linotype" w:hAnsi="Palatino Linotype" w:cs="Palatino Linotype"/>
          <w:i/>
        </w:rPr>
      </w:pPr>
      <w:r w:rsidRPr="00260235">
        <w:rPr>
          <w:rFonts w:ascii="Palatino Linotype" w:eastAsia="Palatino Linotype" w:hAnsi="Palatino Linotype" w:cs="Palatino Linotype"/>
          <w:b/>
        </w:rPr>
        <w:t xml:space="preserve">45. </w:t>
      </w:r>
      <w:r w:rsidRPr="00260235">
        <w:rPr>
          <w:rFonts w:ascii="Palatino Linotype" w:eastAsia="Palatino Linotype" w:hAnsi="Palatino Linotype" w:cs="Palatino Linotype"/>
        </w:rPr>
        <w:t xml:space="preserve">En consecuencia de lo anterior, al haberse remitido los comprobantes de percepciones o deducciones, completos y  en correcta versión pública, salvaguardando la información personal de la Servidora Pública en comento, se arriba a la conclusión de que con esta nueva información se tiene por colmada la solicitud de información </w:t>
      </w:r>
      <w:r w:rsidRPr="00260235">
        <w:rPr>
          <w:rFonts w:ascii="Palatino Linotype" w:eastAsia="Palatino Linotype" w:hAnsi="Palatino Linotype" w:cs="Palatino Linotype"/>
          <w:b/>
        </w:rPr>
        <w:t>00844/SF/IP/2024.</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46. </w:t>
      </w:r>
      <w:r w:rsidRPr="00260235">
        <w:rPr>
          <w:rFonts w:ascii="Palatino Linotype" w:eastAsia="Palatino Linotype" w:hAnsi="Palatino Linotype" w:cs="Palatino Linotype"/>
        </w:rPr>
        <w:t xml:space="preserve">Además, de conformidad con lo establecido en el artículo 12 de la </w:t>
      </w:r>
      <w:r w:rsidRPr="00260235">
        <w:rPr>
          <w:rFonts w:ascii="Palatino Linotype" w:eastAsia="Palatino Linotype" w:hAnsi="Palatino Linotype" w:cs="Palatino Linotype"/>
          <w:b/>
        </w:rPr>
        <w:t>Ley de Transparencia y Acceso a la Información Pública del Estado de México y Municipios</w:t>
      </w:r>
      <w:r w:rsidRPr="00260235">
        <w:rPr>
          <w:rFonts w:ascii="Palatino Linotype" w:eastAsia="Palatino Linotype" w:hAnsi="Palatino Linotype" w:cs="Palatino Linotype"/>
        </w:rPr>
        <w:t xml:space="preserve">, anteriormente </w:t>
      </w:r>
      <w:r w:rsidRPr="00260235">
        <w:rPr>
          <w:rFonts w:ascii="Palatino Linotype" w:eastAsia="Palatino Linotype" w:hAnsi="Palatino Linotype" w:cs="Palatino Linotype"/>
        </w:rPr>
        <w:lastRenderedPageBreak/>
        <w:t xml:space="preserve">invocado, el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xml:space="preserve"> únicamente proporcionará la información que obra en sus archivos, lo que a</w:t>
      </w:r>
      <w:r w:rsidRPr="00260235">
        <w:rPr>
          <w:rFonts w:ascii="Palatino Linotype" w:eastAsia="Palatino Linotype" w:hAnsi="Palatino Linotype" w:cs="Palatino Linotype"/>
          <w:i/>
        </w:rPr>
        <w:t xml:space="preserve"> contrario sensu</w:t>
      </w:r>
      <w:r w:rsidRPr="00260235">
        <w:rPr>
          <w:rFonts w:ascii="Palatino Linotype" w:eastAsia="Palatino Linotype" w:hAnsi="Palatino Linotype" w:cs="Palatino Linotype"/>
        </w:rPr>
        <w:t xml:space="preserve"> significa que no se está obligado a proporcionar lo que no obre en sus archivos.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t xml:space="preserve">47. </w:t>
      </w:r>
      <w:r w:rsidRPr="00260235">
        <w:rPr>
          <w:rFonts w:ascii="Palatino Linotype" w:eastAsia="Palatino Linotype" w:hAnsi="Palatino Linotype" w:cs="Palatino Linotype"/>
        </w:rPr>
        <w:t xml:space="preserve">En esa tesitura, se observa que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mediante el informe justificado modificó la respuesta inicial, haciendo entrega de la información solicitada.</w:t>
      </w:r>
    </w:p>
    <w:p w:rsidR="000B449B" w:rsidRPr="00260235" w:rsidRDefault="000B449B">
      <w:pPr>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48. </w:t>
      </w:r>
      <w:r w:rsidRPr="00260235">
        <w:rPr>
          <w:rFonts w:ascii="Palatino Linotype" w:eastAsia="Palatino Linotype" w:hAnsi="Palatino Linotype" w:cs="Palatino Linotype"/>
        </w:rPr>
        <w:t xml:space="preserve">Así mismo, la </w:t>
      </w:r>
      <w:r w:rsidRPr="00260235">
        <w:rPr>
          <w:rFonts w:ascii="Palatino Linotype" w:eastAsia="Palatino Linotype" w:hAnsi="Palatino Linotype" w:cs="Palatino Linotype"/>
          <w:b/>
        </w:rPr>
        <w:t>Ley de Transparencia y Acceso a la Información Pública del Estado de México y Municipios</w:t>
      </w:r>
      <w:r w:rsidRPr="00260235">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0B449B" w:rsidRPr="00260235" w:rsidRDefault="00176FA6" w:rsidP="00E501E0">
      <w:pPr>
        <w:pBdr>
          <w:top w:val="nil"/>
          <w:left w:val="nil"/>
          <w:bottom w:val="nil"/>
          <w:right w:val="nil"/>
          <w:between w:val="nil"/>
        </w:pBdr>
        <w:spacing w:line="360" w:lineRule="auto"/>
        <w:ind w:left="644" w:right="255"/>
        <w:jc w:val="both"/>
        <w:rPr>
          <w:rFonts w:ascii="Palatino Linotype" w:eastAsia="Palatino Linotype" w:hAnsi="Palatino Linotype" w:cs="Palatino Linotype"/>
          <w:b/>
          <w:i/>
          <w:color w:val="000000"/>
          <w:sz w:val="22"/>
        </w:rPr>
      </w:pPr>
      <w:r w:rsidRPr="00260235">
        <w:rPr>
          <w:rFonts w:ascii="Palatino Linotype" w:eastAsia="Palatino Linotype" w:hAnsi="Palatino Linotype" w:cs="Palatino Linotype"/>
          <w:i/>
          <w:color w:val="000000"/>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60235">
        <w:rPr>
          <w:rFonts w:ascii="Palatino Linotype" w:eastAsia="Palatino Linotype" w:hAnsi="Palatino Linotype" w:cs="Palatino Linotype"/>
          <w:b/>
          <w:i/>
          <w:color w:val="000000"/>
          <w:sz w:val="22"/>
        </w:rPr>
        <w:t>Los Sujetos Obligados deben poner en práctica, políticas y programas de acceso a la información que se apeguen a criterios de publicidad, veracidad, oportunidad, precisión y suficiencia en beneficio de los solicitantes.</w:t>
      </w:r>
    </w:p>
    <w:p w:rsidR="000B449B" w:rsidRPr="00260235" w:rsidRDefault="000B449B">
      <w:pPr>
        <w:spacing w:line="360" w:lineRule="auto"/>
        <w:ind w:right="-307"/>
        <w:jc w:val="both"/>
        <w:rPr>
          <w:rFonts w:ascii="Palatino Linotype" w:eastAsia="Palatino Linotype" w:hAnsi="Palatino Linotype" w:cs="Palatino Linotype"/>
          <w:b/>
          <w:i/>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49.</w:t>
      </w:r>
      <w:r w:rsidRPr="00260235">
        <w:rPr>
          <w:rFonts w:ascii="Palatino Linotype" w:eastAsia="Palatino Linotype" w:hAnsi="Palatino Linotype" w:cs="Palatino Linotype"/>
        </w:rPr>
        <w:t xml:space="preserve"> Numerales que compelen al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w:t>
      </w:r>
      <w:r w:rsidRPr="00260235">
        <w:rPr>
          <w:rFonts w:ascii="Palatino Linotype" w:eastAsia="Palatino Linotype" w:hAnsi="Palatino Linotype" w:cs="Palatino Linotype"/>
        </w:rPr>
        <w:lastRenderedPageBreak/>
        <w:t xml:space="preserve">disposición la información requerida, se tiene por colmado el derecho de acceso a la información pública del particular. </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50. </w:t>
      </w:r>
      <w:r w:rsidRPr="00260235">
        <w:rPr>
          <w:rFonts w:ascii="Palatino Linotype" w:eastAsia="Palatino Linotype" w:hAnsi="Palatino Linotype" w:cs="Palatino Linotype"/>
        </w:rPr>
        <w:t xml:space="preserve">Así mismo, la </w:t>
      </w:r>
      <w:r w:rsidRPr="00260235">
        <w:rPr>
          <w:rFonts w:ascii="Palatino Linotype" w:eastAsia="Palatino Linotype" w:hAnsi="Palatino Linotype" w:cs="Palatino Linotype"/>
          <w:b/>
        </w:rPr>
        <w:t>Ley de Transparencia y Acceso a la Información Pública del Estado de México y Municipios</w:t>
      </w:r>
      <w:r w:rsidRPr="00260235">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0B449B" w:rsidRPr="00260235" w:rsidRDefault="00176FA6" w:rsidP="00E501E0">
      <w:pPr>
        <w:pBdr>
          <w:top w:val="nil"/>
          <w:left w:val="nil"/>
          <w:bottom w:val="nil"/>
          <w:right w:val="nil"/>
          <w:between w:val="nil"/>
        </w:pBdr>
        <w:spacing w:line="360" w:lineRule="auto"/>
        <w:ind w:left="644" w:right="255"/>
        <w:jc w:val="both"/>
        <w:rPr>
          <w:rFonts w:ascii="Palatino Linotype" w:eastAsia="Palatino Linotype" w:hAnsi="Palatino Linotype" w:cs="Palatino Linotype"/>
          <w:b/>
          <w:i/>
          <w:color w:val="000000"/>
          <w:sz w:val="22"/>
        </w:rPr>
      </w:pPr>
      <w:r w:rsidRPr="00260235">
        <w:rPr>
          <w:rFonts w:ascii="Palatino Linotype" w:eastAsia="Palatino Linotype" w:hAnsi="Palatino Linotype" w:cs="Palatino Linotype"/>
          <w:i/>
          <w:color w:val="000000"/>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60235">
        <w:rPr>
          <w:rFonts w:ascii="Palatino Linotype" w:eastAsia="Palatino Linotype" w:hAnsi="Palatino Linotype" w:cs="Palatino Linotype"/>
          <w:b/>
          <w:i/>
          <w:color w:val="000000"/>
          <w:sz w:val="22"/>
        </w:rPr>
        <w:t>Los Sujetos Obligados deben poner en práctica, políticas y programas de acceso a la información que se apeguen a criterios de publicidad, veracidad, oportunidad, precisión y suficiencia en beneficio de los solicitantes.</w:t>
      </w:r>
    </w:p>
    <w:p w:rsidR="000B449B" w:rsidRPr="00260235" w:rsidRDefault="000B449B">
      <w:pPr>
        <w:spacing w:line="360" w:lineRule="auto"/>
        <w:ind w:right="-307"/>
        <w:jc w:val="both"/>
        <w:rPr>
          <w:rFonts w:ascii="Palatino Linotype" w:eastAsia="Palatino Linotype" w:hAnsi="Palatino Linotype" w:cs="Palatino Linotype"/>
          <w:b/>
          <w:i/>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51. </w:t>
      </w:r>
      <w:r w:rsidRPr="00260235">
        <w:rPr>
          <w:rFonts w:ascii="Palatino Linotype" w:eastAsia="Palatino Linotype" w:hAnsi="Palatino Linotype" w:cs="Palatino Linotype"/>
        </w:rPr>
        <w:t xml:space="preserve">Numerales que compelen al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0B449B" w:rsidRPr="00260235" w:rsidRDefault="000B449B">
      <w:pPr>
        <w:spacing w:line="360" w:lineRule="auto"/>
        <w:ind w:left="360"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lastRenderedPageBreak/>
        <w:t xml:space="preserve">52. </w:t>
      </w:r>
      <w:r w:rsidRPr="00260235">
        <w:rPr>
          <w:rFonts w:ascii="Palatino Linotype" w:eastAsia="Palatino Linotype" w:hAnsi="Palatino Linotype" w:cs="Palatino Linotype"/>
        </w:rPr>
        <w:t xml:space="preserve">Es por lo expuesto con antelación que, este Pleno advierte que el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xml:space="preserve"> con la información enviada a través del informe de justificación, </w:t>
      </w:r>
      <w:r w:rsidRPr="00260235">
        <w:rPr>
          <w:rFonts w:ascii="Palatino Linotype" w:eastAsia="Palatino Linotype" w:hAnsi="Palatino Linotype" w:cs="Palatino Linotype"/>
          <w:b/>
        </w:rPr>
        <w:t>modifica</w:t>
      </w:r>
      <w:r w:rsidRPr="00260235">
        <w:rPr>
          <w:rFonts w:ascii="Palatino Linotype" w:eastAsia="Palatino Linotype" w:hAnsi="Palatino Linotype" w:cs="Palatino Linotype"/>
        </w:rPr>
        <w:t xml:space="preserve"> el acto que le dio origen al recurso de revisión,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rsidR="000B449B" w:rsidRPr="00260235" w:rsidRDefault="000B449B">
      <w:pPr>
        <w:spacing w:line="360" w:lineRule="auto"/>
        <w:ind w:left="360"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53. </w:t>
      </w:r>
      <w:r w:rsidRPr="00260235">
        <w:rPr>
          <w:rFonts w:ascii="Palatino Linotype" w:eastAsia="Palatino Linotype" w:hAnsi="Palatino Linotype" w:cs="Palatino Linotype"/>
        </w:rPr>
        <w:t>Dicho lo anterior este Órgano Resolutor arriba a la conclusión que, con la información proporcionada al momento de rendir el Informe Justificado correspondiente, se colma en su totalidad la solicitud</w:t>
      </w:r>
      <w:r w:rsidRPr="00260235">
        <w:rPr>
          <w:rFonts w:ascii="Palatino Linotype" w:eastAsia="Palatino Linotype" w:hAnsi="Palatino Linotype" w:cs="Palatino Linotype"/>
          <w:b/>
        </w:rPr>
        <w:t> 00844/SF/IP/2024.</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54. </w:t>
      </w:r>
      <w:r w:rsidRPr="00260235">
        <w:rPr>
          <w:rFonts w:ascii="Palatino Linotype" w:eastAsia="Palatino Linotype" w:hAnsi="Palatino Linotype" w:cs="Palatino Linotype"/>
        </w:rPr>
        <w:t xml:space="preserve">Es así que la ley prevé que cuando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260235">
        <w:rPr>
          <w:rFonts w:ascii="Palatino Linotype" w:eastAsia="Palatino Linotype" w:hAnsi="Palatino Linotype" w:cs="Palatino Linotype"/>
          <w:i/>
        </w:rPr>
        <w:t>Litis</w:t>
      </w:r>
      <w:r w:rsidRPr="00260235">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55. </w:t>
      </w:r>
      <w:r w:rsidRPr="00260235">
        <w:rPr>
          <w:rFonts w:ascii="Palatino Linotype" w:eastAsia="Palatino Linotype" w:hAnsi="Palatino Linotype" w:cs="Palatino Linotype"/>
        </w:rPr>
        <w:t>Sirve de sustento a lo anterior la siguiente jurisprudencia por contradicción, cuyo rubro, texto y datos de identificación son los siguientes:</w:t>
      </w:r>
    </w:p>
    <w:p w:rsidR="000B449B" w:rsidRPr="00260235" w:rsidRDefault="00176FA6" w:rsidP="00E501E0">
      <w:pPr>
        <w:spacing w:line="360"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 xml:space="preserve">CESACIÓN DE EFECTOS DEL ACTO RECLAMADO POR VIOLACIÓN AL ARTÍCULO 8o. DE LA CONSTITUCIÓN POLÍTICA DE LOS ESTADOS UNIDOS MEXICANOS. OPERA CUANDO LA AUTORIDAD RESPONSABLE AL RENDIR SU INFORME JUSTIFICADO EXHIBE LA CONTESTACIÓN A LA PETICIÓN </w:t>
      </w:r>
      <w:r w:rsidRPr="00260235">
        <w:rPr>
          <w:rFonts w:ascii="Palatino Linotype" w:eastAsia="Palatino Linotype" w:hAnsi="Palatino Linotype" w:cs="Palatino Linotype"/>
          <w:b/>
          <w:i/>
          <w:sz w:val="22"/>
        </w:rPr>
        <w:lastRenderedPageBreak/>
        <w:t>FORMULADA, QUEDANDO EXPEDITOS LOS DERECHOS DEL QUEJOSO PARA AMPLIAR SU DEMANDA INICIAL, PROMOVER OTRO JUICIO DE AMPARO O EL MEDIO ORDINARIO DE DEFENSA QUE PROCEDA.</w:t>
      </w:r>
      <w:r w:rsidRPr="00260235">
        <w:rPr>
          <w:rFonts w:ascii="Palatino Linotype" w:eastAsia="Palatino Linotype" w:hAnsi="Palatino Linotype" w:cs="Palatino Linotype"/>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0B449B" w:rsidRPr="00260235" w:rsidRDefault="000B449B">
      <w:pPr>
        <w:spacing w:line="360" w:lineRule="auto"/>
        <w:ind w:left="708" w:right="-307"/>
        <w:jc w:val="both"/>
        <w:rPr>
          <w:rFonts w:ascii="Palatino Linotype" w:eastAsia="Palatino Linotype" w:hAnsi="Palatino Linotype" w:cs="Palatino Linotype"/>
          <w:i/>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56. </w:t>
      </w:r>
      <w:r w:rsidRPr="00260235">
        <w:rPr>
          <w:rFonts w:ascii="Palatino Linotype" w:eastAsia="Palatino Linotype" w:hAnsi="Palatino Linotype" w:cs="Palatino Linotype"/>
        </w:rPr>
        <w:t>La anterior jurisprudencia resulta aplicable al presente asunto, en dos aspectos:</w:t>
      </w:r>
    </w:p>
    <w:p w:rsidR="000B449B" w:rsidRPr="00260235" w:rsidRDefault="00176FA6" w:rsidP="00E501E0">
      <w:pPr>
        <w:numPr>
          <w:ilvl w:val="0"/>
          <w:numId w:val="2"/>
        </w:numPr>
        <w:spacing w:line="360" w:lineRule="auto"/>
        <w:ind w:left="709" w:right="396" w:hanging="283"/>
        <w:jc w:val="both"/>
        <w:rPr>
          <w:rFonts w:ascii="Palatino Linotype" w:eastAsia="Palatino Linotype" w:hAnsi="Palatino Linotype" w:cs="Palatino Linotype"/>
          <w:sz w:val="22"/>
        </w:rPr>
      </w:pPr>
      <w:r w:rsidRPr="00260235">
        <w:rPr>
          <w:rFonts w:ascii="Palatino Linotype" w:eastAsia="Palatino Linotype" w:hAnsi="Palatino Linotype" w:cs="Palatino Linotype"/>
          <w:b/>
          <w:sz w:val="22"/>
        </w:rPr>
        <w:t>La cesación de los efectos perniciosos del acto de autoridad:</w:t>
      </w:r>
      <w:r w:rsidRPr="00260235">
        <w:rPr>
          <w:rFonts w:ascii="Palatino Linotype" w:eastAsia="Palatino Linotype" w:hAnsi="Palatino Linotype" w:cs="Palatino Linotype"/>
          <w:sz w:val="22"/>
        </w:rPr>
        <w:t xml:space="preserve"> Al respecto, la Ley de Transparencia contempla la figura jurídica del sobreseimiento cuando el </w:t>
      </w:r>
      <w:r w:rsidRPr="00260235">
        <w:rPr>
          <w:rFonts w:ascii="Palatino Linotype" w:eastAsia="Palatino Linotype" w:hAnsi="Palatino Linotype" w:cs="Palatino Linotype"/>
          <w:b/>
          <w:sz w:val="22"/>
        </w:rPr>
        <w:t>SUJETO OBLIGADO</w:t>
      </w:r>
      <w:r w:rsidRPr="00260235">
        <w:rPr>
          <w:rFonts w:ascii="Palatino Linotype" w:eastAsia="Palatino Linotype" w:hAnsi="Palatino Linotype" w:cs="Palatino Linotype"/>
          <w:sz w:val="22"/>
        </w:rPr>
        <w:t xml:space="preserve"> de </w:t>
      </w:r>
      <w:r w:rsidRPr="00260235">
        <w:rPr>
          <w:rFonts w:ascii="Palatino Linotype" w:eastAsia="Palatino Linotype" w:hAnsi="Palatino Linotype" w:cs="Palatino Linotype"/>
          <w:i/>
          <w:sz w:val="22"/>
        </w:rPr>
        <w:t>motu proprio</w:t>
      </w:r>
      <w:r w:rsidRPr="00260235">
        <w:rPr>
          <w:rFonts w:ascii="Palatino Linotype" w:eastAsia="Palatino Linotype" w:hAnsi="Palatino Linotype" w:cs="Palatino Linotype"/>
          <w:sz w:val="22"/>
        </w:rPr>
        <w:t xml:space="preserve"> modifica o revoca de tal manera el acto motivo de la impugnación que lo deja sin materia; es decir, cesan los efectos de éste y el derecho de acceso a la información pública se encuentra satisfecho.</w:t>
      </w:r>
    </w:p>
    <w:p w:rsidR="000B449B" w:rsidRPr="00260235" w:rsidRDefault="00176FA6" w:rsidP="00E501E0">
      <w:pPr>
        <w:numPr>
          <w:ilvl w:val="0"/>
          <w:numId w:val="2"/>
        </w:numPr>
        <w:spacing w:line="360" w:lineRule="auto"/>
        <w:ind w:left="709" w:right="396" w:hanging="283"/>
        <w:jc w:val="both"/>
        <w:rPr>
          <w:rFonts w:ascii="Palatino Linotype" w:eastAsia="Palatino Linotype" w:hAnsi="Palatino Linotype" w:cs="Palatino Linotype"/>
          <w:sz w:val="22"/>
        </w:rPr>
      </w:pPr>
      <w:r w:rsidRPr="00260235">
        <w:rPr>
          <w:rFonts w:ascii="Palatino Linotype" w:eastAsia="Palatino Linotype" w:hAnsi="Palatino Linotype" w:cs="Palatino Linotype"/>
          <w:b/>
          <w:sz w:val="22"/>
        </w:rPr>
        <w:t>El momento procesal para modificar el acto impugnado:</w:t>
      </w:r>
      <w:r w:rsidRPr="00260235">
        <w:rPr>
          <w:rFonts w:ascii="Palatino Linotype" w:eastAsia="Palatino Linotype" w:hAnsi="Palatino Linotype" w:cs="Palatino Linotype"/>
          <w:sz w:val="22"/>
        </w:rPr>
        <w:t xml:space="preserve"> Para que se actualice el sobreseimiento de un recurso de revisión, el </w:t>
      </w:r>
      <w:r w:rsidRPr="00260235">
        <w:rPr>
          <w:rFonts w:ascii="Palatino Linotype" w:eastAsia="Palatino Linotype" w:hAnsi="Palatino Linotype" w:cs="Palatino Linotype"/>
          <w:b/>
          <w:sz w:val="22"/>
        </w:rPr>
        <w:t>SUJETO OBLIGADO</w:t>
      </w:r>
      <w:r w:rsidRPr="00260235">
        <w:rPr>
          <w:rFonts w:ascii="Palatino Linotype" w:eastAsia="Palatino Linotype" w:hAnsi="Palatino Linotype" w:cs="Palatino Linotype"/>
          <w:sz w:val="22"/>
        </w:rPr>
        <w:t xml:space="preserve"> puede entregar o completar la información al momento de rendir su informe de justificación o </w:t>
      </w:r>
      <w:r w:rsidRPr="00260235">
        <w:rPr>
          <w:rFonts w:ascii="Palatino Linotype" w:eastAsia="Palatino Linotype" w:hAnsi="Palatino Linotype" w:cs="Palatino Linotype"/>
          <w:b/>
          <w:sz w:val="22"/>
          <w:u w:val="single"/>
        </w:rPr>
        <w:lastRenderedPageBreak/>
        <w:t>posteriormente</w:t>
      </w:r>
      <w:r w:rsidRPr="00260235">
        <w:rPr>
          <w:rFonts w:ascii="Palatino Linotype" w:eastAsia="Palatino Linotype" w:hAnsi="Palatino Linotype" w:cs="Palatino Linotype"/>
          <w:sz w:val="22"/>
        </w:rPr>
        <w:t xml:space="preserve"> a éste, siempre y cuando el Pleno del Instituto no haya dictado resolución definitiva.</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57. </w:t>
      </w:r>
      <w:r w:rsidRPr="00260235">
        <w:rPr>
          <w:rFonts w:ascii="Palatino Linotype" w:eastAsia="Palatino Linotype" w:hAnsi="Palatino Linotype" w:cs="Palatino Linotype"/>
        </w:rPr>
        <w:t xml:space="preserve">Eduardo Pallares, en su artículo </w:t>
      </w:r>
      <w:r w:rsidRPr="00260235">
        <w:rPr>
          <w:rFonts w:ascii="Palatino Linotype" w:eastAsia="Palatino Linotype" w:hAnsi="Palatino Linotype" w:cs="Palatino Linotype"/>
          <w:i/>
        </w:rPr>
        <w:t>“La caducidad y el sobreseimiento en el amparo”</w:t>
      </w:r>
      <w:r w:rsidRPr="00260235">
        <w:rPr>
          <w:rFonts w:ascii="Palatino Linotype" w:eastAsia="Palatino Linotype" w:hAnsi="Palatino Linotype" w:cs="Palatino Linotype"/>
        </w:rPr>
        <w:t xml:space="preserve">, cita la definición de Aguilera Paz, aduciendo que se </w:t>
      </w:r>
      <w:r w:rsidRPr="00260235">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260235">
        <w:rPr>
          <w:rFonts w:ascii="Palatino Linotype" w:eastAsia="Palatino Linotype" w:hAnsi="Palatino Linotype" w:cs="Palatino Linotype"/>
        </w:rPr>
        <w:t>. Asimismo señala que existe el sobreseimiento provisional y el definitivo</w:t>
      </w:r>
      <w:r w:rsidRPr="00260235">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rsidR="000B449B" w:rsidRPr="00260235" w:rsidRDefault="000B449B">
      <w:pPr>
        <w:spacing w:line="360" w:lineRule="auto"/>
        <w:ind w:left="360"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58. </w:t>
      </w:r>
      <w:r w:rsidRPr="00260235">
        <w:rPr>
          <w:rFonts w:ascii="Palatino Linotype" w:eastAsia="Palatino Linotype" w:hAnsi="Palatino Linotype" w:cs="Palatino Linotype"/>
        </w:rPr>
        <w:t xml:space="preserve">Asimismo, para que se actualice el sobreseimiento de un recurso de revisión, el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0B449B" w:rsidRPr="00260235" w:rsidRDefault="000B449B">
      <w:pPr>
        <w:spacing w:line="360" w:lineRule="auto"/>
        <w:ind w:left="360"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59.</w:t>
      </w:r>
      <w:r w:rsidRPr="00260235">
        <w:rPr>
          <w:rFonts w:ascii="Palatino Linotype" w:eastAsia="Palatino Linotype" w:hAnsi="Palatino Linotype" w:cs="Palatino Linotype"/>
        </w:rPr>
        <w:t xml:space="preserve"> Bajo ese tenor, se colige que con la nueva información remitida por el </w:t>
      </w:r>
      <w:r w:rsidRPr="00260235">
        <w:rPr>
          <w:rFonts w:ascii="Palatino Linotype" w:eastAsia="Palatino Linotype" w:hAnsi="Palatino Linotype" w:cs="Palatino Linotype"/>
          <w:b/>
        </w:rPr>
        <w:t xml:space="preserve">SUJETO OBLIGADO, </w:t>
      </w:r>
      <w:r w:rsidRPr="00260235">
        <w:rPr>
          <w:rFonts w:ascii="Palatino Linotype" w:eastAsia="Palatino Linotype" w:hAnsi="Palatino Linotype" w:cs="Palatino Linotype"/>
        </w:rPr>
        <w:t>se colma la solicitud de información</w:t>
      </w:r>
      <w:r w:rsidRPr="00260235">
        <w:rPr>
          <w:rFonts w:ascii="Palatino Linotype" w:eastAsia="Palatino Linotype" w:hAnsi="Palatino Linotype" w:cs="Palatino Linotype"/>
          <w:b/>
        </w:rPr>
        <w:t xml:space="preserve"> 00844/SF/IP/2024, </w:t>
      </w:r>
      <w:r w:rsidRPr="00260235">
        <w:rPr>
          <w:rFonts w:ascii="Palatino Linotype" w:eastAsia="Palatino Linotype" w:hAnsi="Palatino Linotype" w:cs="Palatino Linotype"/>
        </w:rPr>
        <w:t xml:space="preserve">y consecuentemente, los motivos de inconformidad hechos valer por </w:t>
      </w:r>
      <w:r w:rsidRPr="00260235">
        <w:rPr>
          <w:rFonts w:ascii="Palatino Linotype" w:eastAsia="Palatino Linotype" w:hAnsi="Palatino Linotype" w:cs="Palatino Linotype"/>
          <w:b/>
        </w:rPr>
        <w:t>EL RECURRENTE,</w:t>
      </w:r>
      <w:r w:rsidRPr="00260235">
        <w:rPr>
          <w:rFonts w:ascii="Palatino Linotype" w:eastAsia="Palatino Linotype" w:hAnsi="Palatino Linotype" w:cs="Palatino Linotype"/>
        </w:rPr>
        <w:t xml:space="preserve"> devienen inatendibles por actualizarse la figura del sobreseimiento, al cumplimentarse su derecho de acceso a la información y al quedarse sin materia el presente recurso, por lo que, en términos del artículo 186 fracción I de la Ley de Transparencia y Acceso a la Información Pública del Estado de México y Municipios este Pleno determina el </w:t>
      </w:r>
      <w:r w:rsidRPr="00260235">
        <w:rPr>
          <w:rFonts w:ascii="Palatino Linotype" w:eastAsia="Palatino Linotype" w:hAnsi="Palatino Linotype" w:cs="Palatino Linotype"/>
          <w:b/>
        </w:rPr>
        <w:t xml:space="preserve">SOBRESEIMIENTO </w:t>
      </w:r>
      <w:r w:rsidRPr="00260235">
        <w:rPr>
          <w:rFonts w:ascii="Palatino Linotype" w:eastAsia="Palatino Linotype" w:hAnsi="Palatino Linotype" w:cs="Palatino Linotype"/>
        </w:rPr>
        <w:t xml:space="preserve">del presente </w:t>
      </w:r>
      <w:r w:rsidRPr="00260235">
        <w:rPr>
          <w:rFonts w:ascii="Palatino Linotype" w:eastAsia="Palatino Linotype" w:hAnsi="Palatino Linotype" w:cs="Palatino Linotype"/>
        </w:rPr>
        <w:lastRenderedPageBreak/>
        <w:t>recurso de revisión, toda vez que la afectación al derecho de acceso a la información pública establecido constitucionalmente a favor del particular, ha sido resarcida.</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60. </w:t>
      </w:r>
      <w:r w:rsidRPr="00260235">
        <w:rPr>
          <w:rFonts w:ascii="Palatino Linotype" w:eastAsia="Palatino Linotype" w:hAnsi="Palatino Linotype" w:cs="Palatino Linotype"/>
        </w:rPr>
        <w:t>Finalmente, no se pierde de vista que dentro de la respuesta proporcionada se remitieron entre otros documentos, dos Formatos Únicos de Movimiento en manera Íntegra, es decir, no se testaron datos personales susceptibles de ser clasificados, que se de manera enunciativa, más no limitativa, lo son el CURP, estado civil, RFC, estado civil, entre otros, por lo que a pesar de no tener relación con lo solicitado, en aras de salvaguardar la protección de datos personales</w:t>
      </w:r>
      <w:r w:rsidRPr="00260235">
        <w:rPr>
          <w:rFonts w:ascii="Palatino Linotype" w:eastAsia="Palatino Linotype" w:hAnsi="Palatino Linotype" w:cs="Palatino Linotype"/>
          <w:b/>
        </w:rPr>
        <w:t xml:space="preserve">, </w:t>
      </w:r>
      <w:r w:rsidRPr="00260235">
        <w:rPr>
          <w:rFonts w:ascii="Palatino Linotype" w:eastAsia="Palatino Linotype" w:hAnsi="Palatino Linotype" w:cs="Palatino Linotype"/>
        </w:rPr>
        <w:t xml:space="preserve">se considera necesario dar vista a la Dirección General de Protección de Datos Personales realice lo conducente respecto a las omisiones del </w:t>
      </w:r>
      <w:r w:rsidRPr="00260235">
        <w:rPr>
          <w:rFonts w:ascii="Palatino Linotype" w:eastAsia="Palatino Linotype" w:hAnsi="Palatino Linotype" w:cs="Palatino Linotype"/>
          <w:b/>
        </w:rPr>
        <w:t>SUJETO OBLIGADO.</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F77D7C">
      <w:pPr>
        <w:tabs>
          <w:tab w:val="left" w:pos="426"/>
        </w:tabs>
        <w:spacing w:line="360" w:lineRule="auto"/>
        <w:ind w:right="-307"/>
        <w:jc w:val="both"/>
        <w:rPr>
          <w:rFonts w:ascii="Palatino Linotype" w:eastAsia="Palatino Linotype" w:hAnsi="Palatino Linotype" w:cs="Palatino Linotype"/>
          <w:b/>
          <w:color w:val="000000"/>
        </w:rPr>
      </w:pPr>
      <w:r w:rsidRPr="00260235">
        <w:rPr>
          <w:rFonts w:ascii="Palatino Linotype" w:eastAsia="Palatino Linotype" w:hAnsi="Palatino Linotype" w:cs="Palatino Linotype"/>
          <w:b/>
          <w:color w:val="000000"/>
        </w:rPr>
        <w:t>CUARTO</w:t>
      </w:r>
      <w:r w:rsidR="00176FA6" w:rsidRPr="00260235">
        <w:rPr>
          <w:rFonts w:ascii="Palatino Linotype" w:eastAsia="Palatino Linotype" w:hAnsi="Palatino Linotype" w:cs="Palatino Linotype"/>
          <w:b/>
          <w:color w:val="000000"/>
        </w:rPr>
        <w:t>. Vista a la Dirección General de Protección de Datos Personales.</w:t>
      </w: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61. </w:t>
      </w:r>
      <w:r w:rsidRPr="00260235">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que de manera enunciativa lo son el CURP, estado civil, RFC, estado civil, entre otros, por lo que es necesario dar vista al área competente para que en ejercicio de sus atribuciones realice las investigaciones pertinentes por las omisiones detectadas atribuibles al </w:t>
      </w:r>
      <w:r w:rsidRPr="00260235">
        <w:rPr>
          <w:rFonts w:ascii="Palatino Linotype" w:eastAsia="Palatino Linotype" w:hAnsi="Palatino Linotype" w:cs="Palatino Linotype"/>
          <w:b/>
        </w:rPr>
        <w:t>SUJETO OBLIGADO</w:t>
      </w:r>
      <w:r w:rsidRPr="00260235">
        <w:rPr>
          <w:rFonts w:ascii="Palatino Linotype" w:eastAsia="Palatino Linotype" w:hAnsi="Palatino Linotype" w:cs="Palatino Linotype"/>
        </w:rPr>
        <w:t>.</w:t>
      </w:r>
    </w:p>
    <w:p w:rsidR="000B449B" w:rsidRPr="00260235" w:rsidRDefault="000B449B">
      <w:pPr>
        <w:tabs>
          <w:tab w:val="left" w:pos="709"/>
        </w:tabs>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rPr>
        <w:lastRenderedPageBreak/>
        <w:t xml:space="preserve">62. </w:t>
      </w:r>
      <w:r w:rsidRPr="00260235">
        <w:rPr>
          <w:rFonts w:ascii="Palatino Linotype" w:eastAsia="Palatino Linotype" w:hAnsi="Palatino Linotype" w:cs="Palatino Linotype"/>
        </w:rPr>
        <w:t>Por ello, es conveniente señalar las fracciones XIV, XXII, XXIII y XXV, del artículo 82, de la Ley de Protección de Datos Personales en Posesión de Sujetos Obligados del Estado de México y Municipios, que establece:</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b/>
          <w:i/>
          <w:sz w:val="22"/>
        </w:rPr>
      </w:pPr>
      <w:r w:rsidRPr="00260235">
        <w:rPr>
          <w:rFonts w:ascii="Palatino Linotype" w:eastAsia="Palatino Linotype" w:hAnsi="Palatino Linotype" w:cs="Palatino Linotype"/>
          <w:b/>
          <w:i/>
          <w:sz w:val="22"/>
        </w:rPr>
        <w:t xml:space="preserve">Atribuciones del Instituto </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Artículo 82.</w:t>
      </w:r>
      <w:r w:rsidRPr="00260235">
        <w:rPr>
          <w:rFonts w:ascii="Palatino Linotype" w:eastAsia="Palatino Linotype" w:hAnsi="Palatino Linotype" w:cs="Palatino Linotype"/>
          <w:i/>
          <w:sz w:val="22"/>
        </w:rPr>
        <w:t xml:space="preserve"> El Instituto, además de las atribuciones encomendadas por la Ley de Transparencia y normatividad aplicable, tendrá las atribuciones siguientes:</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XIV.</w:t>
      </w:r>
      <w:r w:rsidRPr="00260235">
        <w:rPr>
          <w:rFonts w:ascii="Palatino Linotype" w:eastAsia="Palatino Linotype" w:hAnsi="Palatino Linotype" w:cs="Palatino Linotype"/>
          <w:i/>
          <w:sz w:val="22"/>
        </w:rPr>
        <w:t xml:space="preserve"> </w:t>
      </w:r>
      <w:r w:rsidRPr="00260235">
        <w:rPr>
          <w:rFonts w:ascii="Palatino Linotype" w:eastAsia="Palatino Linotype" w:hAnsi="Palatino Linotype" w:cs="Palatino Linotype"/>
          <w:b/>
          <w:i/>
          <w:sz w:val="22"/>
        </w:rPr>
        <w:t>Formular observaciones y recomendaciones</w:t>
      </w:r>
      <w:r w:rsidRPr="00260235">
        <w:rPr>
          <w:rFonts w:ascii="Palatino Linotype" w:eastAsia="Palatino Linotype" w:hAnsi="Palatino Linotype" w:cs="Palatino Linotype"/>
          <w:i/>
          <w:sz w:val="22"/>
        </w:rPr>
        <w:t xml:space="preserve"> a los sujetos obligados que incumplan esta Ley.</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XXII.</w:t>
      </w:r>
      <w:r w:rsidRPr="00260235">
        <w:rPr>
          <w:rFonts w:ascii="Palatino Linotype" w:eastAsia="Palatino Linotype" w:hAnsi="Palatino Linotype" w:cs="Palatino Linotype"/>
          <w:i/>
          <w:sz w:val="22"/>
        </w:rPr>
        <w:t xml:space="preserve"> </w:t>
      </w:r>
      <w:r w:rsidRPr="00260235">
        <w:rPr>
          <w:rFonts w:ascii="Palatino Linotype" w:eastAsia="Palatino Linotype" w:hAnsi="Palatino Linotype" w:cs="Palatino Linotype"/>
          <w:b/>
          <w:i/>
          <w:sz w:val="22"/>
        </w:rPr>
        <w:t>Verificar el cumplimiento</w:t>
      </w:r>
      <w:r w:rsidRPr="00260235">
        <w:rPr>
          <w:rFonts w:ascii="Palatino Linotype" w:eastAsia="Palatino Linotype" w:hAnsi="Palatino Linotype" w:cs="Palatino Linotype"/>
          <w:i/>
          <w:sz w:val="22"/>
        </w:rPr>
        <w:t xml:space="preserve"> de las disposiciones previstas en esta Ley a través de los procedimientos de revisión que resulten compatibles con las disposiciones de esta Ley.</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XXIII.</w:t>
      </w:r>
      <w:r w:rsidRPr="00260235">
        <w:rPr>
          <w:rFonts w:ascii="Palatino Linotype" w:eastAsia="Palatino Linotype" w:hAnsi="Palatino Linotype" w:cs="Palatino Linotype"/>
          <w:i/>
          <w:sz w:val="22"/>
        </w:rPr>
        <w:t xml:space="preserve"> </w:t>
      </w:r>
      <w:r w:rsidRPr="00260235">
        <w:rPr>
          <w:rFonts w:ascii="Palatino Linotype" w:eastAsia="Palatino Linotype" w:hAnsi="Palatino Linotype" w:cs="Palatino Linotype"/>
          <w:b/>
          <w:i/>
          <w:sz w:val="22"/>
        </w:rPr>
        <w:t>Implementar</w:t>
      </w:r>
      <w:r w:rsidRPr="00260235">
        <w:rPr>
          <w:rFonts w:ascii="Palatino Linotype" w:eastAsia="Palatino Linotype" w:hAnsi="Palatino Linotype" w:cs="Palatino Linotype"/>
          <w:i/>
          <w:sz w:val="22"/>
        </w:rPr>
        <w:t xml:space="preserve"> los </w:t>
      </w:r>
      <w:r w:rsidRPr="00260235">
        <w:rPr>
          <w:rFonts w:ascii="Palatino Linotype" w:eastAsia="Palatino Linotype" w:hAnsi="Palatino Linotype" w:cs="Palatino Linotype"/>
          <w:b/>
          <w:i/>
          <w:sz w:val="22"/>
        </w:rPr>
        <w:t>procedimientos</w:t>
      </w:r>
      <w:r w:rsidRPr="00260235">
        <w:rPr>
          <w:rFonts w:ascii="Palatino Linotype" w:eastAsia="Palatino Linotype" w:hAnsi="Palatino Linotype" w:cs="Palatino Linotype"/>
          <w:i/>
          <w:sz w:val="22"/>
        </w:rPr>
        <w:t xml:space="preserve"> que resulten necesarios </w:t>
      </w:r>
      <w:r w:rsidRPr="00260235">
        <w:rPr>
          <w:rFonts w:ascii="Palatino Linotype" w:eastAsia="Palatino Linotype" w:hAnsi="Palatino Linotype" w:cs="Palatino Linotype"/>
          <w:b/>
          <w:i/>
          <w:sz w:val="22"/>
        </w:rPr>
        <w:t xml:space="preserve">para el cumplimiento </w:t>
      </w:r>
      <w:r w:rsidRPr="00260235">
        <w:rPr>
          <w:rFonts w:ascii="Palatino Linotype" w:eastAsia="Palatino Linotype" w:hAnsi="Palatino Linotype" w:cs="Palatino Linotype"/>
          <w:i/>
          <w:sz w:val="22"/>
        </w:rPr>
        <w:t>de las disposiciones de esta Ley y para asegurar la protección de datos personales de los titulares. (…)</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b/>
          <w:i/>
          <w:sz w:val="22"/>
        </w:rPr>
        <w:t>XXV.</w:t>
      </w:r>
      <w:r w:rsidRPr="00260235">
        <w:rPr>
          <w:rFonts w:ascii="Palatino Linotype" w:eastAsia="Palatino Linotype" w:hAnsi="Palatino Linotype" w:cs="Palatino Linotype"/>
          <w:i/>
          <w:sz w:val="22"/>
        </w:rPr>
        <w:t xml:space="preserve"> </w:t>
      </w:r>
      <w:r w:rsidRPr="00260235">
        <w:rPr>
          <w:rFonts w:ascii="Palatino Linotype" w:eastAsia="Palatino Linotype" w:hAnsi="Palatino Linotype" w:cs="Palatino Linotype"/>
          <w:b/>
          <w:i/>
          <w:sz w:val="22"/>
        </w:rPr>
        <w:t>Investigar</w:t>
      </w:r>
      <w:r w:rsidRPr="00260235">
        <w:rPr>
          <w:rFonts w:ascii="Palatino Linotype" w:eastAsia="Palatino Linotype" w:hAnsi="Palatino Linotype" w:cs="Palatino Linotype"/>
          <w:i/>
          <w:sz w:val="22"/>
        </w:rPr>
        <w:t xml:space="preserve"> las </w:t>
      </w:r>
      <w:r w:rsidRPr="00260235">
        <w:rPr>
          <w:rFonts w:ascii="Palatino Linotype" w:eastAsia="Palatino Linotype" w:hAnsi="Palatino Linotype" w:cs="Palatino Linotype"/>
          <w:b/>
          <w:i/>
          <w:sz w:val="22"/>
        </w:rPr>
        <w:t>posibles violaciones</w:t>
      </w:r>
      <w:r w:rsidRPr="00260235">
        <w:rPr>
          <w:rFonts w:ascii="Palatino Linotype" w:eastAsia="Palatino Linotype" w:hAnsi="Palatino Linotype" w:cs="Palatino Linotype"/>
          <w:i/>
          <w:sz w:val="22"/>
        </w:rPr>
        <w:t xml:space="preserve"> a la seguridad de los datos personales a fin de determinar la práctica de verificaciones.</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w:t>
      </w:r>
    </w:p>
    <w:p w:rsidR="000B449B" w:rsidRPr="00260235" w:rsidRDefault="00176FA6" w:rsidP="00E501E0">
      <w:pPr>
        <w:tabs>
          <w:tab w:val="left" w:pos="142"/>
          <w:tab w:val="left" w:pos="284"/>
          <w:tab w:val="left" w:pos="426"/>
          <w:tab w:val="left" w:pos="993"/>
        </w:tabs>
        <w:spacing w:line="276" w:lineRule="auto"/>
        <w:ind w:left="567" w:right="255"/>
        <w:jc w:val="both"/>
        <w:rPr>
          <w:rFonts w:ascii="Palatino Linotype" w:eastAsia="Palatino Linotype" w:hAnsi="Palatino Linotype" w:cs="Palatino Linotype"/>
          <w:sz w:val="22"/>
        </w:rPr>
      </w:pPr>
      <w:r w:rsidRPr="00260235">
        <w:rPr>
          <w:rFonts w:ascii="Palatino Linotype" w:eastAsia="Palatino Linotype" w:hAnsi="Palatino Linotype" w:cs="Palatino Linotype"/>
          <w:sz w:val="22"/>
        </w:rPr>
        <w:t>(Énfasis añadido)</w:t>
      </w:r>
    </w:p>
    <w:p w:rsidR="000B449B" w:rsidRPr="00260235" w:rsidRDefault="000B449B">
      <w:pPr>
        <w:tabs>
          <w:tab w:val="left" w:pos="426"/>
        </w:tabs>
        <w:spacing w:line="360" w:lineRule="auto"/>
        <w:ind w:right="-307"/>
        <w:jc w:val="both"/>
        <w:rPr>
          <w:rFonts w:ascii="Palatino Linotype" w:eastAsia="Palatino Linotype" w:hAnsi="Palatino Linotype" w:cs="Palatino Linotype"/>
          <w:color w:val="000000"/>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63. </w:t>
      </w:r>
      <w:r w:rsidRPr="00260235">
        <w:rPr>
          <w:rFonts w:ascii="Palatino Linotype" w:eastAsia="Palatino Linotype" w:hAnsi="Palatino Linotype" w:cs="Palatino Linotype"/>
        </w:rPr>
        <w:t xml:space="preserve">Por </w:t>
      </w:r>
      <w:r w:rsidRPr="00260235">
        <w:rPr>
          <w:rFonts w:ascii="Palatino Linotype" w:eastAsia="Palatino Linotype" w:hAnsi="Palatino Linotype" w:cs="Palatino Linotype"/>
          <w:color w:val="000000"/>
        </w:rPr>
        <w:t xml:space="preserve">lo tanto, es menester dar vista a la Dirección General de Protección de Datos Personales de este Instituto para que en ejercicio de sus atribuciones </w:t>
      </w:r>
      <w:r w:rsidRPr="00260235">
        <w:rPr>
          <w:rFonts w:ascii="Palatino Linotype" w:eastAsia="Palatino Linotype" w:hAnsi="Palatino Linotype" w:cs="Palatino Linotype"/>
        </w:rPr>
        <w:t>atiendan</w:t>
      </w:r>
      <w:r w:rsidRPr="00260235">
        <w:rPr>
          <w:rFonts w:ascii="Palatino Linotype" w:eastAsia="Palatino Linotype" w:hAnsi="Palatino Linotype" w:cs="Palatino Linotype"/>
          <w:color w:val="000000"/>
        </w:rPr>
        <w:t xml:space="preserve"> las directivas marcadas en la propia Ley de la materia, con fundamento en el artículo 82 de la Ley de la materia, el cual señala la atribución de este Órgano Garante para </w:t>
      </w:r>
      <w:r w:rsidRPr="00260235">
        <w:rPr>
          <w:rFonts w:ascii="Palatino Linotype" w:eastAsia="Palatino Linotype" w:hAnsi="Palatino Linotype" w:cs="Palatino Linotype"/>
        </w:rPr>
        <w:t>Investigar las posibles violaciones a la seguridad de los datos personales a fin de determinar la práctica de verificaciones.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64. </w:t>
      </w:r>
      <w:r w:rsidRPr="00260235">
        <w:rPr>
          <w:rFonts w:ascii="Palatino Linotype" w:eastAsia="Palatino Linotype" w:hAnsi="Palatino Linotype" w:cs="Palatino Linotype"/>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w:t>
      </w:r>
      <w:r w:rsidRPr="00260235">
        <w:rPr>
          <w:rFonts w:ascii="Palatino Linotype" w:eastAsia="Palatino Linotype" w:hAnsi="Palatino Linotype" w:cs="Palatino Linotype"/>
        </w:rPr>
        <w:lastRenderedPageBreak/>
        <w:t xml:space="preserve">servidores públicos. Por dicha información es menester hacer del conocimiento de la persona que solicitó la información, que ahora se encuentra sujeto a la </w:t>
      </w:r>
      <w:r w:rsidRPr="00260235">
        <w:rPr>
          <w:rFonts w:ascii="Palatino Linotype" w:eastAsia="Palatino Linotype" w:hAnsi="Palatino Linotype" w:cs="Palatino Linotype"/>
          <w:b/>
        </w:rPr>
        <w:t>LEY FEDERAL DE PROTECCIÓN DE DATOS PERSONALES EN POSESIÓN DE LOS PARTICULARES</w:t>
      </w:r>
      <w:r w:rsidRPr="00260235">
        <w:rPr>
          <w:rFonts w:ascii="Palatino Linotype" w:eastAsia="Palatino Linotype" w:hAnsi="Palatino Linotype" w:cs="Palatino Linotype"/>
        </w:rPr>
        <w:t xml:space="preserve"> que señala puntualmente en su artículo 1 lo siguiente:</w:t>
      </w:r>
    </w:p>
    <w:p w:rsidR="000B449B" w:rsidRPr="00260235" w:rsidRDefault="00176FA6" w:rsidP="00E501E0">
      <w:pPr>
        <w:spacing w:line="360" w:lineRule="auto"/>
        <w:ind w:left="567" w:right="396"/>
        <w:jc w:val="both"/>
        <w:rPr>
          <w:rFonts w:ascii="Palatino Linotype" w:eastAsia="Palatino Linotype" w:hAnsi="Palatino Linotype" w:cs="Palatino Linotype"/>
          <w:i/>
          <w:sz w:val="22"/>
        </w:rPr>
      </w:pPr>
      <w:r w:rsidRPr="00260235">
        <w:rPr>
          <w:rFonts w:ascii="Palatino Linotype" w:eastAsia="Palatino Linotype" w:hAnsi="Palatino Linotype" w:cs="Palatino Linotype"/>
          <w:i/>
          <w:sz w:val="22"/>
        </w:rPr>
        <w:t xml:space="preserve">Artículo 1.- La presente Ley es de orden público y de observancia general en toda la República y </w:t>
      </w:r>
      <w:r w:rsidRPr="00260235">
        <w:rPr>
          <w:rFonts w:ascii="Palatino Linotype" w:eastAsia="Palatino Linotype" w:hAnsi="Palatino Linotype" w:cs="Palatino Linotype"/>
          <w:b/>
          <w:i/>
          <w:sz w:val="22"/>
        </w:rPr>
        <w:t>tiene por objeto la protección de los datos personales en posesión de los particulares</w:t>
      </w:r>
      <w:r w:rsidRPr="00260235">
        <w:rPr>
          <w:rFonts w:ascii="Palatino Linotype" w:eastAsia="Palatino Linotype" w:hAnsi="Palatino Linotype" w:cs="Palatino Linotype"/>
          <w:i/>
          <w:sz w:val="22"/>
        </w:rPr>
        <w:t>, con la finalidad de regular su tratamiento legítimo, controlado e informado, a efecto de garantizar la privacidad y el derecho a la autodeterminación informativa de las personas.</w:t>
      </w:r>
    </w:p>
    <w:p w:rsidR="000B449B" w:rsidRPr="00260235" w:rsidRDefault="000B449B">
      <w:pPr>
        <w:spacing w:line="360" w:lineRule="auto"/>
        <w:ind w:left="708" w:right="-307" w:hanging="708"/>
        <w:jc w:val="both"/>
        <w:rPr>
          <w:rFonts w:ascii="Palatino Linotype" w:eastAsia="Palatino Linotype" w:hAnsi="Palatino Linotype" w:cs="Palatino Linotype"/>
          <w:b/>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 xml:space="preserve">65. </w:t>
      </w:r>
      <w:r w:rsidRPr="00260235">
        <w:rPr>
          <w:rFonts w:ascii="Palatino Linotype" w:eastAsia="Palatino Linotype" w:hAnsi="Palatino Linotype" w:cs="Palatino Linotype"/>
        </w:rPr>
        <w:t>En ese escenario, el particular deberá de ser responsable en el buen uso de la información proporcionada, pues se trata de datos personales que le fueron proporcionados por haber incurrido en una probable violación a la privacidad de las personas.</w:t>
      </w:r>
    </w:p>
    <w:p w:rsidR="000B449B" w:rsidRPr="00260235" w:rsidRDefault="000B449B">
      <w:pPr>
        <w:spacing w:line="360" w:lineRule="auto"/>
        <w:ind w:left="360" w:right="-307"/>
        <w:jc w:val="both"/>
        <w:rPr>
          <w:rFonts w:ascii="Palatino Linotype" w:eastAsia="Palatino Linotype" w:hAnsi="Palatino Linotype" w:cs="Palatino Linotype"/>
        </w:rPr>
      </w:pPr>
    </w:p>
    <w:p w:rsidR="000B449B" w:rsidRPr="00260235" w:rsidRDefault="00176FA6">
      <w:pPr>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66.</w:t>
      </w:r>
      <w:r w:rsidRPr="00260235">
        <w:rPr>
          <w:rFonts w:ascii="Palatino Linotype" w:eastAsia="Palatino Linotype" w:hAnsi="Palatino Linotype" w:cs="Palatino Linotype"/>
        </w:rPr>
        <w:t xml:space="preserve"> </w:t>
      </w:r>
      <w:r w:rsidRPr="00260235">
        <w:rPr>
          <w:rFonts w:ascii="Palatino Linotype" w:eastAsia="Palatino Linotype" w:hAnsi="Palatino Linotype" w:cs="Palatino Linotype"/>
          <w:color w:val="000000"/>
        </w:rPr>
        <w:t xml:space="preserve">Por lo anteriormente expuesto y fundado, este </w:t>
      </w:r>
      <w:r w:rsidRPr="00260235">
        <w:rPr>
          <w:rFonts w:ascii="Palatino Linotype" w:eastAsia="Palatino Linotype" w:hAnsi="Palatino Linotype" w:cs="Palatino Linotype"/>
          <w:b/>
          <w:color w:val="000000"/>
        </w:rPr>
        <w:t>ÓRGANO GARANTE</w:t>
      </w:r>
      <w:r w:rsidRPr="00260235">
        <w:rPr>
          <w:rFonts w:ascii="Palatino Linotype" w:eastAsia="Palatino Linotype" w:hAnsi="Palatino Linotype" w:cs="Palatino Linotype"/>
          <w:color w:val="000000"/>
        </w:rPr>
        <w:t xml:space="preserve"> emite los siguientes:</w:t>
      </w:r>
    </w:p>
    <w:p w:rsidR="000B449B" w:rsidRPr="00260235" w:rsidRDefault="000B449B">
      <w:pPr>
        <w:spacing w:line="360" w:lineRule="auto"/>
        <w:ind w:right="-307"/>
        <w:jc w:val="both"/>
        <w:rPr>
          <w:rFonts w:ascii="Palatino Linotype" w:eastAsia="Palatino Linotype" w:hAnsi="Palatino Linotype" w:cs="Palatino Linotype"/>
        </w:rPr>
      </w:pPr>
    </w:p>
    <w:p w:rsidR="000B449B" w:rsidRPr="00260235" w:rsidRDefault="00176FA6">
      <w:pPr>
        <w:keepNext/>
        <w:keepLines/>
        <w:spacing w:line="360" w:lineRule="auto"/>
        <w:ind w:right="-307"/>
        <w:jc w:val="center"/>
        <w:rPr>
          <w:rFonts w:ascii="Palatino Linotype" w:eastAsia="Palatino Linotype" w:hAnsi="Palatino Linotype" w:cs="Palatino Linotype"/>
          <w:b/>
        </w:rPr>
      </w:pPr>
      <w:bookmarkStart w:id="4" w:name="_heading=h.lnxbz9" w:colFirst="0" w:colLast="0"/>
      <w:bookmarkEnd w:id="4"/>
      <w:r w:rsidRPr="00260235">
        <w:rPr>
          <w:rFonts w:ascii="Palatino Linotype" w:eastAsia="Palatino Linotype" w:hAnsi="Palatino Linotype" w:cs="Palatino Linotype"/>
          <w:b/>
        </w:rPr>
        <w:t>R E S O L U T I V O S</w:t>
      </w:r>
    </w:p>
    <w:p w:rsidR="000B449B" w:rsidRPr="00260235" w:rsidRDefault="000B449B">
      <w:pPr>
        <w:keepNext/>
        <w:keepLines/>
        <w:spacing w:line="360" w:lineRule="auto"/>
        <w:ind w:right="-307"/>
        <w:jc w:val="center"/>
        <w:rPr>
          <w:rFonts w:ascii="Palatino Linotype" w:eastAsia="Palatino Linotype" w:hAnsi="Palatino Linotype" w:cs="Palatino Linotype"/>
          <w:b/>
        </w:rPr>
      </w:pPr>
    </w:p>
    <w:p w:rsidR="000B449B" w:rsidRPr="00260235" w:rsidRDefault="00176FA6">
      <w:p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color w:val="000000"/>
        </w:rPr>
        <w:t xml:space="preserve">PRIMERO. </w:t>
      </w:r>
      <w:r w:rsidRPr="00260235">
        <w:rPr>
          <w:rFonts w:ascii="Palatino Linotype" w:eastAsia="Palatino Linotype" w:hAnsi="Palatino Linotype" w:cs="Palatino Linotype"/>
          <w:color w:val="000000"/>
        </w:rPr>
        <w:t xml:space="preserve">Se </w:t>
      </w:r>
      <w:r w:rsidRPr="00260235">
        <w:rPr>
          <w:rFonts w:ascii="Palatino Linotype" w:eastAsia="Palatino Linotype" w:hAnsi="Palatino Linotype" w:cs="Palatino Linotype"/>
          <w:b/>
          <w:color w:val="000000"/>
        </w:rPr>
        <w:t>SOBRESEE</w:t>
      </w:r>
      <w:r w:rsidR="00F77D7C" w:rsidRPr="00260235">
        <w:rPr>
          <w:rFonts w:ascii="Palatino Linotype" w:eastAsia="Palatino Linotype" w:hAnsi="Palatino Linotype" w:cs="Palatino Linotype"/>
          <w:color w:val="000000"/>
        </w:rPr>
        <w:t xml:space="preserve"> el Recurso de Revisión número</w:t>
      </w:r>
      <w:r w:rsidRPr="00260235">
        <w:rPr>
          <w:rFonts w:ascii="Palatino Linotype" w:eastAsia="Palatino Linotype" w:hAnsi="Palatino Linotype" w:cs="Palatino Linotype"/>
          <w:b/>
          <w:color w:val="000000"/>
        </w:rPr>
        <w:t> 07433/INFOEM/IP/RR/2024</w:t>
      </w:r>
      <w:r w:rsidRPr="00260235">
        <w:rPr>
          <w:rFonts w:ascii="Palatino Linotype" w:eastAsia="Palatino Linotype" w:hAnsi="Palatino Linotype" w:cs="Palatino Linotype"/>
          <w:color w:val="000000"/>
        </w:rPr>
        <w:t>, conforme al artículo 192</w:t>
      </w:r>
      <w:r w:rsidR="00F77D7C" w:rsidRPr="00260235">
        <w:rPr>
          <w:rFonts w:ascii="Palatino Linotype" w:eastAsia="Palatino Linotype" w:hAnsi="Palatino Linotype" w:cs="Palatino Linotype"/>
          <w:color w:val="000000"/>
        </w:rPr>
        <w:t>,</w:t>
      </w:r>
      <w:r w:rsidRPr="00260235">
        <w:rPr>
          <w:rFonts w:ascii="Palatino Linotype" w:eastAsia="Palatino Linotype" w:hAnsi="Palatino Linotype" w:cs="Palatino Linotype"/>
          <w:color w:val="000000"/>
        </w:rPr>
        <w:t xml:space="preserve"> fracción III</w:t>
      </w:r>
      <w:r w:rsidR="00F77D7C" w:rsidRPr="00260235">
        <w:rPr>
          <w:rFonts w:ascii="Palatino Linotype" w:eastAsia="Palatino Linotype" w:hAnsi="Palatino Linotype" w:cs="Palatino Linotype"/>
          <w:color w:val="000000"/>
        </w:rPr>
        <w:t>,</w:t>
      </w:r>
      <w:r w:rsidRPr="00260235">
        <w:rPr>
          <w:rFonts w:ascii="Palatino Linotype" w:eastAsia="Palatino Linotype" w:hAnsi="Palatino Linotype" w:cs="Palatino Linotype"/>
          <w:color w:val="000000"/>
        </w:rPr>
        <w:t xml:space="preserve"> </w:t>
      </w:r>
      <w:r w:rsidRPr="00260235">
        <w:rPr>
          <w:rFonts w:ascii="Palatino Linotype" w:eastAsia="Palatino Linotype" w:hAnsi="Palatino Linotype" w:cs="Palatino Linotype"/>
        </w:rPr>
        <w:t>de la Ley de Transparencia y Acceso a la Información Pública del Estado de México y Municipios</w:t>
      </w:r>
      <w:r w:rsidRPr="00260235">
        <w:rPr>
          <w:rFonts w:ascii="Palatino Linotype" w:eastAsia="Palatino Linotype" w:hAnsi="Palatino Linotype" w:cs="Palatino Linotype"/>
          <w:color w:val="000000"/>
        </w:rPr>
        <w:t xml:space="preserve">, porque al modificar la respuesta el </w:t>
      </w:r>
      <w:r w:rsidRPr="00260235">
        <w:rPr>
          <w:rFonts w:ascii="Palatino Linotype" w:eastAsia="Palatino Linotype" w:hAnsi="Palatino Linotype" w:cs="Palatino Linotype"/>
          <w:b/>
          <w:color w:val="000000"/>
        </w:rPr>
        <w:t>SUJETO OBLIGADO</w:t>
      </w:r>
      <w:r w:rsidRPr="00260235">
        <w:rPr>
          <w:rFonts w:ascii="Palatino Linotype" w:eastAsia="Palatino Linotype" w:hAnsi="Palatino Linotype" w:cs="Palatino Linotype"/>
          <w:color w:val="000000"/>
        </w:rPr>
        <w:t xml:space="preserve">, el recurso de revisión quedó sin materia en términos del  Considerando </w:t>
      </w:r>
      <w:r w:rsidRPr="00260235">
        <w:rPr>
          <w:rFonts w:ascii="Palatino Linotype" w:eastAsia="Palatino Linotype" w:hAnsi="Palatino Linotype" w:cs="Palatino Linotype"/>
          <w:b/>
          <w:color w:val="000000"/>
        </w:rPr>
        <w:t>TERCERO</w:t>
      </w:r>
      <w:r w:rsidRPr="00260235">
        <w:rPr>
          <w:rFonts w:ascii="Palatino Linotype" w:eastAsia="Palatino Linotype" w:hAnsi="Palatino Linotype" w:cs="Palatino Linotype"/>
          <w:color w:val="000000"/>
        </w:rPr>
        <w:t xml:space="preserve"> de la presente resolución.</w:t>
      </w:r>
    </w:p>
    <w:p w:rsidR="000B449B" w:rsidRPr="00260235" w:rsidRDefault="000B449B">
      <w:pPr>
        <w:spacing w:line="360" w:lineRule="auto"/>
        <w:ind w:right="-307"/>
        <w:jc w:val="both"/>
        <w:rPr>
          <w:rFonts w:ascii="Palatino Linotype" w:eastAsia="Palatino Linotype" w:hAnsi="Palatino Linotype" w:cs="Palatino Linotype"/>
          <w:b/>
        </w:rPr>
      </w:pPr>
    </w:p>
    <w:p w:rsidR="000B449B" w:rsidRPr="00260235" w:rsidRDefault="00176FA6">
      <w:pPr>
        <w:pBdr>
          <w:top w:val="nil"/>
          <w:left w:val="nil"/>
          <w:bottom w:val="nil"/>
          <w:right w:val="nil"/>
          <w:between w:val="nil"/>
        </w:pBdr>
        <w:spacing w:line="360" w:lineRule="auto"/>
        <w:ind w:right="-307"/>
        <w:jc w:val="both"/>
        <w:rPr>
          <w:rFonts w:ascii="Palatino Linotype" w:eastAsia="Palatino Linotype" w:hAnsi="Palatino Linotype" w:cs="Palatino Linotype"/>
          <w:b/>
          <w:color w:val="000000"/>
        </w:rPr>
      </w:pPr>
      <w:bookmarkStart w:id="5" w:name="_heading=h.35nkun2" w:colFirst="0" w:colLast="0"/>
      <w:bookmarkEnd w:id="5"/>
      <w:r w:rsidRPr="00260235">
        <w:rPr>
          <w:rFonts w:ascii="Palatino Linotype" w:eastAsia="Palatino Linotype" w:hAnsi="Palatino Linotype" w:cs="Palatino Linotype"/>
          <w:b/>
          <w:color w:val="000000"/>
        </w:rPr>
        <w:lastRenderedPageBreak/>
        <w:t xml:space="preserve">SEGUNDO. Notifíquese </w:t>
      </w:r>
      <w:r w:rsidRPr="00260235">
        <w:rPr>
          <w:rFonts w:ascii="Palatino Linotype" w:eastAsia="Palatino Linotype" w:hAnsi="Palatino Linotype" w:cs="Palatino Linotype"/>
          <w:color w:val="000000"/>
        </w:rPr>
        <w:t xml:space="preserve">a través del Sistema de Acceso a la Información Mexiquense </w:t>
      </w:r>
      <w:r w:rsidRPr="00260235">
        <w:rPr>
          <w:rFonts w:ascii="Palatino Linotype" w:eastAsia="Palatino Linotype" w:hAnsi="Palatino Linotype" w:cs="Palatino Linotype"/>
          <w:b/>
          <w:color w:val="000000"/>
        </w:rPr>
        <w:t xml:space="preserve">(SAIMEX) </w:t>
      </w:r>
      <w:r w:rsidRPr="00260235">
        <w:rPr>
          <w:rFonts w:ascii="Palatino Linotype" w:eastAsia="Palatino Linotype" w:hAnsi="Palatino Linotype" w:cs="Palatino Linotype"/>
          <w:color w:val="000000"/>
        </w:rPr>
        <w:t>la presente resolución al Titular de la Unidad de Transparencia del</w:t>
      </w:r>
      <w:r w:rsidRPr="00260235">
        <w:rPr>
          <w:rFonts w:ascii="Palatino Linotype" w:eastAsia="Palatino Linotype" w:hAnsi="Palatino Linotype" w:cs="Palatino Linotype"/>
          <w:b/>
          <w:color w:val="000000"/>
        </w:rPr>
        <w:t xml:space="preserve"> SUJETO OBLIGADO. </w:t>
      </w:r>
    </w:p>
    <w:p w:rsidR="000B449B" w:rsidRPr="00260235" w:rsidRDefault="000B449B">
      <w:pPr>
        <w:pBdr>
          <w:top w:val="nil"/>
          <w:left w:val="nil"/>
          <w:bottom w:val="nil"/>
          <w:right w:val="nil"/>
          <w:between w:val="nil"/>
        </w:pBdr>
        <w:spacing w:line="360" w:lineRule="auto"/>
        <w:ind w:right="-307"/>
        <w:jc w:val="both"/>
        <w:rPr>
          <w:rFonts w:ascii="Palatino Linotype" w:eastAsia="Palatino Linotype" w:hAnsi="Palatino Linotype" w:cs="Palatino Linotype"/>
          <w:b/>
          <w:color w:val="000000"/>
        </w:rPr>
      </w:pPr>
    </w:p>
    <w:p w:rsidR="000B449B" w:rsidRPr="00260235" w:rsidRDefault="00176FA6">
      <w:pPr>
        <w:pBdr>
          <w:top w:val="nil"/>
          <w:left w:val="nil"/>
          <w:bottom w:val="nil"/>
          <w:right w:val="nil"/>
          <w:between w:val="nil"/>
        </w:pBdr>
        <w:spacing w:line="360" w:lineRule="auto"/>
        <w:ind w:right="-307"/>
        <w:jc w:val="both"/>
        <w:rPr>
          <w:rFonts w:ascii="Palatino Linotype" w:eastAsia="Palatino Linotype" w:hAnsi="Palatino Linotype" w:cs="Palatino Linotype"/>
          <w:color w:val="000000"/>
        </w:rPr>
      </w:pPr>
      <w:r w:rsidRPr="00260235">
        <w:rPr>
          <w:rFonts w:ascii="Palatino Linotype" w:eastAsia="Palatino Linotype" w:hAnsi="Palatino Linotype" w:cs="Palatino Linotype"/>
          <w:b/>
          <w:color w:val="000000"/>
        </w:rPr>
        <w:t xml:space="preserve">TERCERO. Notifíquese </w:t>
      </w:r>
      <w:r w:rsidRPr="00260235">
        <w:rPr>
          <w:rFonts w:ascii="Palatino Linotype" w:eastAsia="Palatino Linotype" w:hAnsi="Palatino Linotype" w:cs="Palatino Linotype"/>
          <w:color w:val="000000"/>
        </w:rPr>
        <w:t xml:space="preserve">al </w:t>
      </w:r>
      <w:r w:rsidRPr="00260235">
        <w:rPr>
          <w:rFonts w:ascii="Palatino Linotype" w:eastAsia="Palatino Linotype" w:hAnsi="Palatino Linotype" w:cs="Palatino Linotype"/>
          <w:b/>
          <w:color w:val="000000"/>
        </w:rPr>
        <w:t xml:space="preserve">RECURRENTE </w:t>
      </w:r>
      <w:r w:rsidRPr="00260235">
        <w:rPr>
          <w:rFonts w:ascii="Palatino Linotype" w:eastAsia="Palatino Linotype" w:hAnsi="Palatino Linotype" w:cs="Palatino Linotype"/>
          <w:color w:val="000000"/>
        </w:rPr>
        <w:t>la presente resolución, vía SAIMEX.</w:t>
      </w:r>
    </w:p>
    <w:p w:rsidR="000B449B" w:rsidRPr="00260235" w:rsidRDefault="000B449B">
      <w:pPr>
        <w:tabs>
          <w:tab w:val="left" w:pos="8080"/>
        </w:tabs>
        <w:spacing w:line="360" w:lineRule="auto"/>
        <w:ind w:right="-307"/>
        <w:jc w:val="both"/>
        <w:rPr>
          <w:rFonts w:ascii="Palatino Linotype" w:eastAsia="Palatino Linotype" w:hAnsi="Palatino Linotype" w:cs="Palatino Linotype"/>
          <w:b/>
        </w:rPr>
      </w:pPr>
    </w:p>
    <w:p w:rsidR="000B449B" w:rsidRPr="00260235" w:rsidRDefault="00176FA6">
      <w:pPr>
        <w:shd w:val="clear" w:color="auto" w:fill="FFFFFF"/>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CUARTO.</w:t>
      </w:r>
      <w:r w:rsidRPr="00260235">
        <w:rPr>
          <w:rFonts w:ascii="Palatino Linotype" w:eastAsia="Palatino Linotype" w:hAnsi="Palatino Linotype" w:cs="Palatino Linotype"/>
        </w:rPr>
        <w:t xml:space="preserve"> Se hace del conocimiento del </w:t>
      </w:r>
      <w:r w:rsidRPr="00260235">
        <w:rPr>
          <w:rFonts w:ascii="Palatino Linotype" w:eastAsia="Palatino Linotype" w:hAnsi="Palatino Linotype" w:cs="Palatino Linotype"/>
          <w:b/>
        </w:rPr>
        <w:t xml:space="preserve">RECURRENTE </w:t>
      </w:r>
      <w:r w:rsidRPr="00260235">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0B449B" w:rsidRPr="00260235" w:rsidRDefault="000B449B">
      <w:pPr>
        <w:shd w:val="clear" w:color="auto" w:fill="FFFFFF"/>
        <w:spacing w:line="360" w:lineRule="auto"/>
        <w:ind w:right="-307"/>
        <w:jc w:val="both"/>
        <w:rPr>
          <w:rFonts w:ascii="Palatino Linotype" w:eastAsia="Palatino Linotype" w:hAnsi="Palatino Linotype" w:cs="Palatino Linotype"/>
        </w:rPr>
      </w:pPr>
    </w:p>
    <w:p w:rsidR="000B449B" w:rsidRPr="00260235" w:rsidRDefault="00176FA6">
      <w:pPr>
        <w:shd w:val="clear" w:color="auto" w:fill="FFFFFF"/>
        <w:spacing w:line="360" w:lineRule="auto"/>
        <w:ind w:right="-307"/>
        <w:jc w:val="both"/>
        <w:rPr>
          <w:rFonts w:ascii="Palatino Linotype" w:eastAsia="Palatino Linotype" w:hAnsi="Palatino Linotype" w:cs="Palatino Linotype"/>
        </w:rPr>
      </w:pPr>
      <w:r w:rsidRPr="00260235">
        <w:rPr>
          <w:rFonts w:ascii="Palatino Linotype" w:eastAsia="Palatino Linotype" w:hAnsi="Palatino Linotype" w:cs="Palatino Linotype"/>
          <w:b/>
        </w:rPr>
        <w:t>QUINTO</w:t>
      </w:r>
      <w:r w:rsidRPr="00260235">
        <w:rPr>
          <w:rFonts w:ascii="Palatino Linotype" w:eastAsia="Palatino Linotype" w:hAnsi="Palatino Linotype" w:cs="Palatino Linotype"/>
        </w:rPr>
        <w:t>.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w:t>
      </w:r>
      <w:r w:rsidR="00F77D7C" w:rsidRPr="00260235">
        <w:rPr>
          <w:rFonts w:ascii="Palatino Linotype" w:eastAsia="Palatino Linotype" w:hAnsi="Palatino Linotype" w:cs="Palatino Linotype"/>
        </w:rPr>
        <w:t>uesto en el Considerando CUARTO</w:t>
      </w:r>
      <w:r w:rsidRPr="00260235">
        <w:rPr>
          <w:rFonts w:ascii="Palatino Linotype" w:eastAsia="Palatino Linotype" w:hAnsi="Palatino Linotype" w:cs="Palatino Linotype"/>
        </w:rPr>
        <w:t xml:space="preserve"> de la presente Resolución.</w:t>
      </w:r>
    </w:p>
    <w:p w:rsidR="00F77D7C" w:rsidRPr="00260235" w:rsidRDefault="00F77D7C">
      <w:pPr>
        <w:shd w:val="clear" w:color="auto" w:fill="FFFFFF"/>
        <w:spacing w:line="360" w:lineRule="auto"/>
        <w:ind w:right="-307"/>
        <w:jc w:val="both"/>
        <w:rPr>
          <w:rFonts w:ascii="Palatino Linotype" w:eastAsia="Palatino Linotype" w:hAnsi="Palatino Linotype" w:cs="Palatino Linotype"/>
        </w:rPr>
      </w:pPr>
    </w:p>
    <w:p w:rsidR="00F77D7C" w:rsidRPr="003C7186" w:rsidRDefault="00F77D7C" w:rsidP="00F77D7C">
      <w:pPr>
        <w:spacing w:line="360" w:lineRule="auto"/>
        <w:ind w:left="-142" w:right="-234" w:firstLine="1"/>
        <w:jc w:val="both"/>
        <w:rPr>
          <w:rFonts w:ascii="Palatino Linotype" w:hAnsi="Palatino Linotype"/>
        </w:rPr>
      </w:pPr>
      <w:bookmarkStart w:id="6" w:name="_heading=h.1fob9te" w:colFirst="0" w:colLast="0"/>
      <w:bookmarkEnd w:id="6"/>
      <w:r w:rsidRPr="00260235">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w:t>
      </w:r>
      <w:r w:rsidRPr="00260235">
        <w:rPr>
          <w:rFonts w:ascii="Palatino Linotype" w:hAnsi="Palatino Linotype"/>
        </w:rPr>
        <w:lastRenderedPageBreak/>
        <w:t>CELEBRADA EL VEINTINUEVE (29) DE ENERO DE DOS MIL VEINTICINCO, ANTE EL SECRETARIO TÉCNICO DEL PLENO ALEXIS TAPIA RAMÍREZ.</w:t>
      </w:r>
      <w:bookmarkStart w:id="7" w:name="_GoBack"/>
      <w:bookmarkEnd w:id="7"/>
      <w:r w:rsidRPr="003C7186">
        <w:rPr>
          <w:rFonts w:ascii="Palatino Linotype" w:hAnsi="Palatino Linotype"/>
        </w:rPr>
        <w:t xml:space="preserve"> </w:t>
      </w:r>
    </w:p>
    <w:p w:rsidR="00F77D7C" w:rsidRPr="00902BA4" w:rsidRDefault="00F77D7C" w:rsidP="00F77D7C">
      <w:pPr>
        <w:widowControl w:val="0"/>
        <w:autoSpaceDE w:val="0"/>
        <w:autoSpaceDN w:val="0"/>
        <w:adjustRightInd w:val="0"/>
        <w:spacing w:after="200" w:line="276" w:lineRule="auto"/>
        <w:ind w:left="-142" w:right="-234"/>
        <w:rPr>
          <w:rFonts w:ascii="Calibri" w:hAnsi="Calibri" w:cs="Calibri"/>
        </w:rPr>
      </w:pPr>
    </w:p>
    <w:p w:rsidR="000B449B" w:rsidRDefault="000B449B">
      <w:pPr>
        <w:spacing w:before="240" w:after="240" w:line="360" w:lineRule="auto"/>
        <w:ind w:right="-307"/>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E501E0" w:rsidRDefault="00E501E0">
      <w:pPr>
        <w:spacing w:before="240" w:after="240" w:line="360" w:lineRule="auto"/>
        <w:ind w:right="-307" w:firstLine="1"/>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0B449B" w:rsidRDefault="000B449B">
      <w:pPr>
        <w:spacing w:before="240" w:after="240" w:line="360" w:lineRule="auto"/>
        <w:ind w:right="-307" w:firstLine="1"/>
        <w:jc w:val="both"/>
        <w:rPr>
          <w:rFonts w:ascii="Palatino Linotype" w:eastAsia="Palatino Linotype" w:hAnsi="Palatino Linotype" w:cs="Palatino Linotype"/>
        </w:rPr>
      </w:pPr>
    </w:p>
    <w:p w:rsidR="000B449B" w:rsidRDefault="000B449B">
      <w:pPr>
        <w:spacing w:line="360" w:lineRule="auto"/>
        <w:ind w:right="-307"/>
        <w:jc w:val="both"/>
        <w:rPr>
          <w:rFonts w:ascii="Palatino Linotype" w:eastAsia="Palatino Linotype" w:hAnsi="Palatino Linotype" w:cs="Palatino Linotype"/>
        </w:rPr>
      </w:pPr>
    </w:p>
    <w:sectPr w:rsidR="000B449B">
      <w:headerReference w:type="even" r:id="rId18"/>
      <w:headerReference w:type="default" r:id="rId19"/>
      <w:footerReference w:type="default" r:id="rId20"/>
      <w:headerReference w:type="first" r:id="rId21"/>
      <w:footerReference w:type="first" r:id="rId22"/>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49" w:rsidRDefault="00533F49">
      <w:r>
        <w:separator/>
      </w:r>
    </w:p>
  </w:endnote>
  <w:endnote w:type="continuationSeparator" w:id="0">
    <w:p w:rsidR="00533F49" w:rsidRDefault="0053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9B" w:rsidRDefault="00176FA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60235">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60235">
      <w:rPr>
        <w:b/>
        <w:noProof/>
        <w:color w:val="000000"/>
      </w:rPr>
      <w:t>29</w:t>
    </w:r>
    <w:r>
      <w:rPr>
        <w:b/>
        <w:color w:val="000000"/>
      </w:rPr>
      <w:fldChar w:fldCharType="end"/>
    </w:r>
  </w:p>
  <w:p w:rsidR="000B449B" w:rsidRDefault="000B449B">
    <w:pPr>
      <w:pBdr>
        <w:top w:val="nil"/>
        <w:left w:val="nil"/>
        <w:bottom w:val="nil"/>
        <w:right w:val="nil"/>
        <w:between w:val="nil"/>
      </w:pBdr>
      <w:tabs>
        <w:tab w:val="center" w:pos="4419"/>
        <w:tab w:val="right" w:pos="8838"/>
      </w:tabs>
      <w:rPr>
        <w:color w:val="000000"/>
      </w:rPr>
    </w:pPr>
  </w:p>
  <w:p w:rsidR="000B449B" w:rsidRDefault="000B44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9B" w:rsidRDefault="00176FA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6023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60235">
      <w:rPr>
        <w:b/>
        <w:noProof/>
        <w:color w:val="000000"/>
      </w:rPr>
      <w:t>29</w:t>
    </w:r>
    <w:r>
      <w:rPr>
        <w:b/>
        <w:color w:val="000000"/>
      </w:rPr>
      <w:fldChar w:fldCharType="end"/>
    </w:r>
  </w:p>
  <w:p w:rsidR="000B449B" w:rsidRDefault="000B449B">
    <w:pPr>
      <w:pBdr>
        <w:top w:val="nil"/>
        <w:left w:val="nil"/>
        <w:bottom w:val="nil"/>
        <w:right w:val="nil"/>
        <w:between w:val="nil"/>
      </w:pBdr>
      <w:tabs>
        <w:tab w:val="center" w:pos="4419"/>
        <w:tab w:val="right" w:pos="8838"/>
      </w:tabs>
      <w:rPr>
        <w:color w:val="000000"/>
      </w:rPr>
    </w:pPr>
  </w:p>
  <w:p w:rsidR="000B449B" w:rsidRDefault="000B44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49" w:rsidRDefault="00533F49">
      <w:r>
        <w:separator/>
      </w:r>
    </w:p>
  </w:footnote>
  <w:footnote w:type="continuationSeparator" w:id="0">
    <w:p w:rsidR="00533F49" w:rsidRDefault="00533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9B" w:rsidRDefault="00533F4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p w:rsidR="000B449B" w:rsidRDefault="000B44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9697" w:type="dxa"/>
      <w:tblInd w:w="0" w:type="dxa"/>
      <w:tblLayout w:type="fixed"/>
      <w:tblLook w:val="0400" w:firstRow="0" w:lastRow="0" w:firstColumn="0" w:lastColumn="0" w:noHBand="0" w:noVBand="1"/>
    </w:tblPr>
    <w:tblGrid>
      <w:gridCol w:w="2185"/>
      <w:gridCol w:w="7512"/>
    </w:tblGrid>
    <w:tr w:rsidR="000B449B" w:rsidTr="00E501E0">
      <w:trPr>
        <w:trHeight w:val="685"/>
      </w:trPr>
      <w:tc>
        <w:tcPr>
          <w:tcW w:w="2185" w:type="dxa"/>
        </w:tcPr>
        <w:p w:rsidR="000B449B" w:rsidRDefault="000B449B">
          <w:pPr>
            <w:tabs>
              <w:tab w:val="right" w:pos="4273"/>
            </w:tabs>
            <w:rPr>
              <w:rFonts w:ascii="Garamond" w:eastAsia="Garamond" w:hAnsi="Garamond" w:cs="Garamond"/>
              <w:sz w:val="16"/>
              <w:szCs w:val="16"/>
            </w:rPr>
          </w:pPr>
        </w:p>
      </w:tc>
      <w:tc>
        <w:tcPr>
          <w:tcW w:w="7512" w:type="dxa"/>
        </w:tcPr>
        <w:tbl>
          <w:tblPr>
            <w:tblStyle w:val="a1"/>
            <w:tblW w:w="5843" w:type="dxa"/>
            <w:tblInd w:w="1661" w:type="dxa"/>
            <w:tblLayout w:type="fixed"/>
            <w:tblLook w:val="0400" w:firstRow="0" w:lastRow="0" w:firstColumn="0" w:lastColumn="0" w:noHBand="0" w:noVBand="1"/>
          </w:tblPr>
          <w:tblGrid>
            <w:gridCol w:w="2456"/>
            <w:gridCol w:w="3387"/>
          </w:tblGrid>
          <w:tr w:rsidR="000B449B" w:rsidRPr="00E501E0" w:rsidTr="00E501E0">
            <w:trPr>
              <w:trHeight w:val="35"/>
            </w:trPr>
            <w:tc>
              <w:tcPr>
                <w:tcW w:w="2456" w:type="dxa"/>
                <w:tcBorders>
                  <w:top w:val="nil"/>
                  <w:left w:val="nil"/>
                  <w:bottom w:val="nil"/>
                  <w:right w:val="nil"/>
                </w:tcBorders>
              </w:tcPr>
              <w:p w:rsidR="000B449B" w:rsidRPr="00E501E0" w:rsidRDefault="00176FA6">
                <w:pPr>
                  <w:tabs>
                    <w:tab w:val="right" w:pos="8838"/>
                  </w:tabs>
                  <w:ind w:left="-264" w:right="-105" w:firstLine="195"/>
                  <w:rPr>
                    <w:rFonts w:ascii="Palatino Linotype" w:eastAsia="Palatino Linotype" w:hAnsi="Palatino Linotype" w:cs="Palatino Linotype"/>
                    <w:b/>
                    <w:sz w:val="22"/>
                    <w:szCs w:val="22"/>
                  </w:rPr>
                </w:pPr>
                <w:r w:rsidRPr="00E501E0">
                  <w:rPr>
                    <w:rFonts w:ascii="Palatino Linotype" w:eastAsia="Palatino Linotype" w:hAnsi="Palatino Linotype" w:cs="Palatino Linotype"/>
                    <w:b/>
                    <w:sz w:val="22"/>
                    <w:szCs w:val="22"/>
                  </w:rPr>
                  <w:t>Recurso de Revisión:</w:t>
                </w:r>
              </w:p>
            </w:tc>
            <w:tc>
              <w:tcPr>
                <w:tcW w:w="3387" w:type="dxa"/>
                <w:tcBorders>
                  <w:top w:val="nil"/>
                  <w:left w:val="nil"/>
                  <w:bottom w:val="nil"/>
                  <w:right w:val="nil"/>
                </w:tcBorders>
              </w:tcPr>
              <w:p w:rsidR="000B449B" w:rsidRPr="00E501E0" w:rsidRDefault="00176FA6">
                <w:pPr>
                  <w:tabs>
                    <w:tab w:val="right" w:pos="8838"/>
                  </w:tabs>
                  <w:ind w:left="-74" w:right="-1415"/>
                  <w:rPr>
                    <w:rFonts w:ascii="Palatino Linotype" w:eastAsia="Palatino Linotype" w:hAnsi="Palatino Linotype" w:cs="Palatino Linotype"/>
                    <w:sz w:val="22"/>
                    <w:szCs w:val="22"/>
                  </w:rPr>
                </w:pPr>
                <w:r w:rsidRPr="00E501E0">
                  <w:rPr>
                    <w:rFonts w:ascii="Palatino Linotype" w:eastAsia="Palatino Linotype" w:hAnsi="Palatino Linotype" w:cs="Palatino Linotype"/>
                    <w:sz w:val="22"/>
                    <w:szCs w:val="22"/>
                  </w:rPr>
                  <w:t>07433/INFOEM/IP/RR/2024</w:t>
                </w:r>
              </w:p>
            </w:tc>
          </w:tr>
          <w:tr w:rsidR="000B449B" w:rsidRPr="00E501E0" w:rsidTr="00E501E0">
            <w:trPr>
              <w:trHeight w:val="69"/>
            </w:trPr>
            <w:tc>
              <w:tcPr>
                <w:tcW w:w="2456" w:type="dxa"/>
                <w:tcBorders>
                  <w:top w:val="nil"/>
                  <w:left w:val="nil"/>
                  <w:bottom w:val="nil"/>
                  <w:right w:val="nil"/>
                </w:tcBorders>
              </w:tcPr>
              <w:p w:rsidR="000B449B" w:rsidRPr="00E501E0" w:rsidRDefault="00176FA6">
                <w:pPr>
                  <w:tabs>
                    <w:tab w:val="right" w:pos="8838"/>
                  </w:tabs>
                  <w:ind w:left="-74" w:right="-105"/>
                  <w:rPr>
                    <w:rFonts w:ascii="Palatino Linotype" w:eastAsia="Palatino Linotype" w:hAnsi="Palatino Linotype" w:cs="Palatino Linotype"/>
                    <w:b/>
                    <w:sz w:val="22"/>
                    <w:szCs w:val="22"/>
                  </w:rPr>
                </w:pPr>
                <w:r w:rsidRPr="00E501E0">
                  <w:rPr>
                    <w:rFonts w:ascii="Palatino Linotype" w:eastAsia="Palatino Linotype" w:hAnsi="Palatino Linotype" w:cs="Palatino Linotype"/>
                    <w:b/>
                    <w:sz w:val="22"/>
                    <w:szCs w:val="22"/>
                  </w:rPr>
                  <w:t>Sujeto Obligado:</w:t>
                </w:r>
              </w:p>
            </w:tc>
            <w:tc>
              <w:tcPr>
                <w:tcW w:w="3387" w:type="dxa"/>
                <w:tcBorders>
                  <w:top w:val="nil"/>
                  <w:left w:val="nil"/>
                  <w:bottom w:val="nil"/>
                  <w:right w:val="nil"/>
                </w:tcBorders>
              </w:tcPr>
              <w:p w:rsidR="000B449B" w:rsidRPr="00E501E0" w:rsidRDefault="00176FA6">
                <w:pPr>
                  <w:tabs>
                    <w:tab w:val="left" w:pos="2834"/>
                  </w:tabs>
                  <w:ind w:left="-74" w:right="-1415"/>
                  <w:rPr>
                    <w:rFonts w:ascii="Palatino Linotype" w:eastAsia="Palatino Linotype" w:hAnsi="Palatino Linotype" w:cs="Palatino Linotype"/>
                    <w:sz w:val="22"/>
                    <w:szCs w:val="22"/>
                  </w:rPr>
                </w:pPr>
                <w:r w:rsidRPr="00E501E0">
                  <w:rPr>
                    <w:rFonts w:ascii="Palatino Linotype" w:eastAsia="Palatino Linotype" w:hAnsi="Palatino Linotype" w:cs="Palatino Linotype"/>
                    <w:sz w:val="22"/>
                    <w:szCs w:val="22"/>
                  </w:rPr>
                  <w:t>Secretaría de Finanzas</w:t>
                </w:r>
              </w:p>
            </w:tc>
          </w:tr>
          <w:tr w:rsidR="000B449B" w:rsidRPr="00E501E0" w:rsidTr="00E501E0">
            <w:trPr>
              <w:trHeight w:val="69"/>
            </w:trPr>
            <w:tc>
              <w:tcPr>
                <w:tcW w:w="2456" w:type="dxa"/>
                <w:tcBorders>
                  <w:top w:val="nil"/>
                  <w:left w:val="nil"/>
                  <w:bottom w:val="nil"/>
                  <w:right w:val="nil"/>
                </w:tcBorders>
              </w:tcPr>
              <w:p w:rsidR="000B449B" w:rsidRPr="00E501E0" w:rsidRDefault="00176FA6">
                <w:pPr>
                  <w:tabs>
                    <w:tab w:val="right" w:pos="8838"/>
                  </w:tabs>
                  <w:ind w:left="-74" w:right="-105"/>
                  <w:rPr>
                    <w:rFonts w:ascii="Palatino Linotype" w:eastAsia="Palatino Linotype" w:hAnsi="Palatino Linotype" w:cs="Palatino Linotype"/>
                    <w:b/>
                    <w:sz w:val="22"/>
                    <w:szCs w:val="22"/>
                  </w:rPr>
                </w:pPr>
                <w:r w:rsidRPr="00E501E0">
                  <w:rPr>
                    <w:rFonts w:ascii="Palatino Linotype" w:eastAsia="Palatino Linotype" w:hAnsi="Palatino Linotype" w:cs="Palatino Linotype"/>
                    <w:b/>
                    <w:sz w:val="22"/>
                    <w:szCs w:val="22"/>
                  </w:rPr>
                  <w:t>Comisionada ponente:</w:t>
                </w:r>
              </w:p>
            </w:tc>
            <w:tc>
              <w:tcPr>
                <w:tcW w:w="3387" w:type="dxa"/>
                <w:tcBorders>
                  <w:top w:val="nil"/>
                  <w:left w:val="nil"/>
                  <w:bottom w:val="nil"/>
                  <w:right w:val="nil"/>
                </w:tcBorders>
              </w:tcPr>
              <w:p w:rsidR="000B449B" w:rsidRPr="00E501E0" w:rsidRDefault="00176FA6">
                <w:pPr>
                  <w:tabs>
                    <w:tab w:val="right" w:pos="8838"/>
                  </w:tabs>
                  <w:ind w:left="-74" w:right="-1415"/>
                  <w:rPr>
                    <w:rFonts w:ascii="Palatino Linotype" w:eastAsia="Palatino Linotype" w:hAnsi="Palatino Linotype" w:cs="Palatino Linotype"/>
                    <w:sz w:val="22"/>
                    <w:szCs w:val="22"/>
                  </w:rPr>
                </w:pPr>
                <w:r w:rsidRPr="00E501E0">
                  <w:rPr>
                    <w:rFonts w:ascii="Palatino Linotype" w:eastAsia="Palatino Linotype" w:hAnsi="Palatino Linotype" w:cs="Palatino Linotype"/>
                    <w:sz w:val="22"/>
                    <w:szCs w:val="22"/>
                  </w:rPr>
                  <w:t>María del Rosario Mejía Ayala</w:t>
                </w:r>
              </w:p>
              <w:p w:rsidR="000B449B" w:rsidRPr="00E501E0" w:rsidRDefault="000B449B">
                <w:pPr>
                  <w:tabs>
                    <w:tab w:val="right" w:pos="8838"/>
                  </w:tabs>
                  <w:ind w:left="-74" w:right="-1415"/>
                  <w:rPr>
                    <w:rFonts w:ascii="Palatino Linotype" w:eastAsia="Palatino Linotype" w:hAnsi="Palatino Linotype" w:cs="Palatino Linotype"/>
                    <w:sz w:val="22"/>
                    <w:szCs w:val="22"/>
                  </w:rPr>
                </w:pPr>
              </w:p>
            </w:tc>
          </w:tr>
        </w:tbl>
        <w:p w:rsidR="000B449B" w:rsidRDefault="000B449B">
          <w:pPr>
            <w:tabs>
              <w:tab w:val="right" w:pos="8838"/>
            </w:tabs>
            <w:ind w:left="-28"/>
            <w:jc w:val="both"/>
            <w:rPr>
              <w:rFonts w:ascii="Arial" w:eastAsia="Arial" w:hAnsi="Arial" w:cs="Arial"/>
              <w:b/>
            </w:rPr>
          </w:pPr>
        </w:p>
      </w:tc>
    </w:tr>
  </w:tbl>
  <w:p w:rsidR="000B449B" w:rsidRDefault="00533F49">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52.2pt;margin-top:-131.6pt;width:589.8pt;height:768pt;z-index:-251659776;mso-position-horizontal-relative:margin;mso-position-vertical-relative:margin">
          <v:imagedata r:id="rId1" o:title="image1"/>
          <w10:wrap anchorx="margin" anchory="margin"/>
        </v:shape>
      </w:pict>
    </w:r>
  </w:p>
  <w:p w:rsidR="000B449B" w:rsidRDefault="000B44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9846" w:type="dxa"/>
      <w:tblInd w:w="0" w:type="dxa"/>
      <w:tblLayout w:type="fixed"/>
      <w:tblLook w:val="0400" w:firstRow="0" w:lastRow="0" w:firstColumn="0" w:lastColumn="0" w:noHBand="0" w:noVBand="1"/>
    </w:tblPr>
    <w:tblGrid>
      <w:gridCol w:w="2249"/>
      <w:gridCol w:w="7597"/>
    </w:tblGrid>
    <w:tr w:rsidR="000B449B" w:rsidTr="00E501E0">
      <w:trPr>
        <w:trHeight w:val="1284"/>
      </w:trPr>
      <w:tc>
        <w:tcPr>
          <w:tcW w:w="2249" w:type="dxa"/>
        </w:tcPr>
        <w:p w:rsidR="000B449B" w:rsidRDefault="000B449B">
          <w:pPr>
            <w:tabs>
              <w:tab w:val="right" w:pos="4273"/>
            </w:tabs>
            <w:rPr>
              <w:rFonts w:ascii="Garamond" w:eastAsia="Garamond" w:hAnsi="Garamond" w:cs="Garamond"/>
            </w:rPr>
          </w:pPr>
        </w:p>
      </w:tc>
      <w:tc>
        <w:tcPr>
          <w:tcW w:w="7597" w:type="dxa"/>
        </w:tcPr>
        <w:tbl>
          <w:tblPr>
            <w:tblStyle w:val="a3"/>
            <w:tblW w:w="6196" w:type="dxa"/>
            <w:tblInd w:w="1577" w:type="dxa"/>
            <w:tblLayout w:type="fixed"/>
            <w:tblLook w:val="0400" w:firstRow="0" w:lastRow="0" w:firstColumn="0" w:lastColumn="0" w:noHBand="0" w:noVBand="1"/>
          </w:tblPr>
          <w:tblGrid>
            <w:gridCol w:w="2600"/>
            <w:gridCol w:w="3596"/>
          </w:tblGrid>
          <w:tr w:rsidR="000B449B" w:rsidTr="00E501E0">
            <w:trPr>
              <w:trHeight w:val="87"/>
            </w:trPr>
            <w:tc>
              <w:tcPr>
                <w:tcW w:w="2600" w:type="dxa"/>
                <w:tcBorders>
                  <w:top w:val="nil"/>
                  <w:left w:val="nil"/>
                  <w:bottom w:val="nil"/>
                  <w:right w:val="nil"/>
                </w:tcBorders>
              </w:tcPr>
              <w:p w:rsidR="000B449B" w:rsidRDefault="00176FA6">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6" w:type="dxa"/>
                <w:tcBorders>
                  <w:top w:val="nil"/>
                  <w:left w:val="nil"/>
                  <w:bottom w:val="nil"/>
                  <w:right w:val="nil"/>
                </w:tcBorders>
              </w:tcPr>
              <w:p w:rsidR="000B449B" w:rsidRDefault="00176FA6">
                <w:pPr>
                  <w:ind w:right="-494"/>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07433/INFOEM/IP/RR/2024</w:t>
                </w:r>
              </w:p>
            </w:tc>
          </w:tr>
          <w:tr w:rsidR="000B449B" w:rsidTr="00E501E0">
            <w:trPr>
              <w:trHeight w:val="87"/>
            </w:trPr>
            <w:tc>
              <w:tcPr>
                <w:tcW w:w="2600" w:type="dxa"/>
                <w:tcBorders>
                  <w:top w:val="nil"/>
                  <w:left w:val="nil"/>
                  <w:bottom w:val="nil"/>
                  <w:right w:val="nil"/>
                </w:tcBorders>
              </w:tcPr>
              <w:p w:rsidR="000B449B" w:rsidRDefault="00176FA6">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96" w:type="dxa"/>
                <w:tcBorders>
                  <w:top w:val="nil"/>
                  <w:left w:val="nil"/>
                  <w:bottom w:val="nil"/>
                  <w:right w:val="nil"/>
                </w:tcBorders>
              </w:tcPr>
              <w:p w:rsidR="000B449B" w:rsidRDefault="000B449B">
                <w:pPr>
                  <w:tabs>
                    <w:tab w:val="left" w:pos="3827"/>
                  </w:tabs>
                  <w:ind w:right="-494"/>
                  <w:rPr>
                    <w:rFonts w:ascii="Palatino Linotype" w:eastAsia="Palatino Linotype" w:hAnsi="Palatino Linotype" w:cs="Palatino Linotype"/>
                    <w:sz w:val="22"/>
                    <w:szCs w:val="22"/>
                  </w:rPr>
                </w:pPr>
              </w:p>
            </w:tc>
          </w:tr>
          <w:tr w:rsidR="000B449B" w:rsidTr="00E501E0">
            <w:trPr>
              <w:trHeight w:val="172"/>
            </w:trPr>
            <w:tc>
              <w:tcPr>
                <w:tcW w:w="2600" w:type="dxa"/>
                <w:tcBorders>
                  <w:top w:val="nil"/>
                  <w:left w:val="nil"/>
                  <w:bottom w:val="nil"/>
                  <w:right w:val="nil"/>
                </w:tcBorders>
              </w:tcPr>
              <w:p w:rsidR="000B449B" w:rsidRDefault="00176FA6">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6" w:type="dxa"/>
                <w:tcBorders>
                  <w:top w:val="nil"/>
                  <w:left w:val="nil"/>
                  <w:bottom w:val="nil"/>
                  <w:right w:val="nil"/>
                </w:tcBorders>
              </w:tcPr>
              <w:p w:rsidR="000B449B" w:rsidRDefault="00176FA6">
                <w:pPr>
                  <w:tabs>
                    <w:tab w:val="left" w:pos="2834"/>
                  </w:tabs>
                  <w:ind w:right="-494"/>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0B449B" w:rsidTr="00E501E0">
            <w:trPr>
              <w:trHeight w:val="172"/>
            </w:trPr>
            <w:tc>
              <w:tcPr>
                <w:tcW w:w="2600" w:type="dxa"/>
                <w:tcBorders>
                  <w:top w:val="nil"/>
                  <w:left w:val="nil"/>
                  <w:bottom w:val="nil"/>
                  <w:right w:val="nil"/>
                </w:tcBorders>
              </w:tcPr>
              <w:p w:rsidR="000B449B" w:rsidRDefault="00176FA6">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96" w:type="dxa"/>
                <w:tcBorders>
                  <w:top w:val="nil"/>
                  <w:left w:val="nil"/>
                  <w:bottom w:val="nil"/>
                  <w:right w:val="nil"/>
                </w:tcBorders>
              </w:tcPr>
              <w:p w:rsidR="000B449B" w:rsidRDefault="00176FA6">
                <w:pPr>
                  <w:ind w:right="-494"/>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0B449B" w:rsidRDefault="000B449B">
                <w:pPr>
                  <w:ind w:right="-494"/>
                  <w:rPr>
                    <w:rFonts w:ascii="Palatino Linotype" w:eastAsia="Palatino Linotype" w:hAnsi="Palatino Linotype" w:cs="Palatino Linotype"/>
                    <w:sz w:val="22"/>
                    <w:szCs w:val="22"/>
                  </w:rPr>
                </w:pPr>
              </w:p>
            </w:tc>
          </w:tr>
        </w:tbl>
        <w:p w:rsidR="000B449B" w:rsidRDefault="000B449B">
          <w:pPr>
            <w:tabs>
              <w:tab w:val="right" w:pos="8838"/>
            </w:tabs>
            <w:ind w:left="-28"/>
            <w:jc w:val="both"/>
            <w:rPr>
              <w:rFonts w:ascii="Arial" w:eastAsia="Arial" w:hAnsi="Arial" w:cs="Arial"/>
              <w:b/>
            </w:rPr>
          </w:pPr>
        </w:p>
      </w:tc>
    </w:tr>
  </w:tbl>
  <w:p w:rsidR="000B449B" w:rsidRDefault="00533F49">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05pt;margin-top:-118.4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4170"/>
    <w:multiLevelType w:val="multilevel"/>
    <w:tmpl w:val="2F206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7A0CCC"/>
    <w:multiLevelType w:val="multilevel"/>
    <w:tmpl w:val="5B042B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4976F1B"/>
    <w:multiLevelType w:val="multilevel"/>
    <w:tmpl w:val="5B8C7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8A4F63"/>
    <w:multiLevelType w:val="multilevel"/>
    <w:tmpl w:val="95161A86"/>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4" w15:restartNumberingAfterBreak="0">
    <w:nsid w:val="56177B6B"/>
    <w:multiLevelType w:val="multilevel"/>
    <w:tmpl w:val="36CC7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7D0F61"/>
    <w:multiLevelType w:val="multilevel"/>
    <w:tmpl w:val="6E10F4FC"/>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62084F"/>
    <w:multiLevelType w:val="hybridMultilevel"/>
    <w:tmpl w:val="D4ECE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6F5D10"/>
    <w:multiLevelType w:val="multilevel"/>
    <w:tmpl w:val="D086528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992010"/>
    <w:multiLevelType w:val="multilevel"/>
    <w:tmpl w:val="55AE8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7"/>
  </w:num>
  <w:num w:numId="5">
    <w:abstractNumId w:val="4"/>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9B"/>
    <w:rsid w:val="000B449B"/>
    <w:rsid w:val="00176FA6"/>
    <w:rsid w:val="00260235"/>
    <w:rsid w:val="00533F49"/>
    <w:rsid w:val="00A22AD2"/>
    <w:rsid w:val="00E501E0"/>
    <w:rsid w:val="00F77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5A3FB91-6045-4979-9F43-7D76C434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A5B68"/>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7A5B68"/>
    <w:pPr>
      <w:ind w:left="567" w:right="567"/>
      <w:contextualSpacing/>
      <w:jc w:val="both"/>
    </w:pPr>
    <w:rPr>
      <w:rFonts w:ascii="Palatino Linotype" w:eastAsiaTheme="majorEastAsia" w:hAnsi="Palatino Linotype" w:cstheme="majorBidi"/>
      <w:i/>
      <w:kern w:val="28"/>
      <w:szCs w:val="56"/>
      <w:lang w:eastAsia="es-ES"/>
    </w:rPr>
  </w:style>
  <w:style w:type="character" w:customStyle="1" w:styleId="Ttulo1Car">
    <w:name w:val="Título 1 Car"/>
    <w:basedOn w:val="Fuentedeprrafopredeter"/>
    <w:link w:val="Ttulo1"/>
    <w:uiPriority w:val="9"/>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paragraph" w:styleId="Sangradetextonormal">
    <w:name w:val="Body Text Indent"/>
    <w:basedOn w:val="Normal"/>
    <w:link w:val="SangradetextonormalCar"/>
    <w:uiPriority w:val="99"/>
    <w:semiHidden/>
    <w:unhideWhenUsed/>
    <w:rsid w:val="00A96516"/>
    <w:pPr>
      <w:spacing w:after="120"/>
      <w:ind w:left="283"/>
    </w:pPr>
  </w:style>
  <w:style w:type="character" w:customStyle="1" w:styleId="SangradetextonormalCar">
    <w:name w:val="Sangría de texto normal Car"/>
    <w:basedOn w:val="Fuentedeprrafopredeter"/>
    <w:link w:val="Sangradetextonormal"/>
    <w:uiPriority w:val="99"/>
    <w:semiHidden/>
    <w:rsid w:val="00A96516"/>
    <w:rPr>
      <w:rFonts w:ascii="Times New Roman" w:eastAsia="Times New Roman" w:hAnsi="Times New Roman" w:cs="Times New Roman"/>
      <w:kern w:val="0"/>
      <w:sz w:val="24"/>
      <w:szCs w:val="24"/>
      <w:lang w:eastAsia="es-MX"/>
    </w:rPr>
  </w:style>
  <w:style w:type="paragraph" w:styleId="Textoindependienteprimerasangra2">
    <w:name w:val="Body Text First Indent 2"/>
    <w:basedOn w:val="Sangradetextonormal"/>
    <w:link w:val="Textoindependienteprimerasangra2Car"/>
    <w:uiPriority w:val="99"/>
    <w:semiHidden/>
    <w:unhideWhenUsed/>
    <w:rsid w:val="00A9651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96516"/>
    <w:rPr>
      <w:rFonts w:ascii="Times New Roman" w:eastAsia="Times New Roman" w:hAnsi="Times New Roman" w:cs="Times New Roman"/>
      <w:kern w:val="0"/>
      <w:sz w:val="24"/>
      <w:szCs w:val="24"/>
      <w:lang w:eastAsia="es-MX"/>
    </w:rPr>
  </w:style>
  <w:style w:type="character" w:customStyle="1" w:styleId="normaltextrun">
    <w:name w:val="normaltextrun"/>
    <w:basedOn w:val="Fuentedeprrafopredeter"/>
    <w:rsid w:val="00FF3C4B"/>
  </w:style>
  <w:style w:type="character" w:customStyle="1" w:styleId="eop">
    <w:name w:val="eop"/>
    <w:basedOn w:val="Fuentedeprrafopredeter"/>
    <w:rsid w:val="00FF3C4B"/>
  </w:style>
  <w:style w:type="paragraph" w:customStyle="1" w:styleId="paragraph">
    <w:name w:val="paragraph"/>
    <w:basedOn w:val="Normal"/>
    <w:rsid w:val="00FF3C4B"/>
    <w:pPr>
      <w:spacing w:before="100" w:beforeAutospacing="1" w:after="100" w:afterAutospacing="1"/>
    </w:pPr>
  </w:style>
  <w:style w:type="paragraph" w:styleId="Sinespaciado">
    <w:name w:val="No Spacing"/>
    <w:aliases w:val="Francesa,INAI"/>
    <w:link w:val="SinespaciadoCar"/>
    <w:uiPriority w:val="1"/>
    <w:qFormat/>
    <w:rsid w:val="00FF3C4B"/>
    <w:rPr>
      <w:lang w:eastAsia="es-ES"/>
    </w:rPr>
  </w:style>
  <w:style w:type="character" w:customStyle="1" w:styleId="SinespaciadoCar">
    <w:name w:val="Sin espaciado Car"/>
    <w:aliases w:val="Francesa Car,INAI Car"/>
    <w:link w:val="Sinespaciado"/>
    <w:uiPriority w:val="1"/>
    <w:locked/>
    <w:rsid w:val="00FF3C4B"/>
    <w:rPr>
      <w:rFonts w:ascii="Times New Roman" w:eastAsia="Times New Roman" w:hAnsi="Times New Roman" w:cs="Times New Roman"/>
      <w:kern w:val="0"/>
      <w:sz w:val="24"/>
      <w:szCs w:val="24"/>
      <w:lang w:eastAsia="es-ES"/>
    </w:rPr>
  </w:style>
  <w:style w:type="character" w:customStyle="1" w:styleId="Ttulo3Car">
    <w:name w:val="Título 3 Car"/>
    <w:basedOn w:val="Fuentedeprrafopredeter"/>
    <w:link w:val="Ttulo3"/>
    <w:uiPriority w:val="9"/>
    <w:semiHidden/>
    <w:rsid w:val="007A5B68"/>
    <w:rPr>
      <w:rFonts w:asciiTheme="majorHAnsi" w:eastAsiaTheme="majorEastAsia" w:hAnsiTheme="majorHAnsi" w:cstheme="majorBidi"/>
      <w:color w:val="1F3763" w:themeColor="accent1" w:themeShade="7F"/>
      <w:kern w:val="0"/>
      <w:sz w:val="24"/>
      <w:szCs w:val="24"/>
      <w:lang w:eastAsia="es-MX"/>
    </w:rPr>
  </w:style>
  <w:style w:type="character" w:customStyle="1" w:styleId="PuestoCar">
    <w:name w:val="Puesto Car"/>
    <w:aliases w:val="Cita textual Car"/>
    <w:basedOn w:val="Fuentedeprrafopredeter"/>
    <w:link w:val="Puesto"/>
    <w:uiPriority w:val="10"/>
    <w:rsid w:val="007A5B68"/>
    <w:rPr>
      <w:rFonts w:ascii="Palatino Linotype" w:eastAsiaTheme="majorEastAsia" w:hAnsi="Palatino Linotype" w:cstheme="majorBidi"/>
      <w:i/>
      <w:kern w:val="28"/>
      <w:szCs w:val="5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99082.page" TargetMode="External"/><Relationship Id="rId13" Type="http://schemas.openxmlformats.org/officeDocument/2006/relationships/hyperlink" Target="https://saimex.org.mx/saimex/solicitud/downloadAttach/2310453.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aimex.org.mx/saimex/solicitud/downloadAttach/2299092.page" TargetMode="External"/><Relationship Id="rId17" Type="http://schemas.openxmlformats.org/officeDocument/2006/relationships/hyperlink" Target="https://www.gob.mx/segob/renapo/acciones-y-programas/clave-unica-de-registro-de-poblacion-curp-142226" TargetMode="External"/><Relationship Id="rId2" Type="http://schemas.openxmlformats.org/officeDocument/2006/relationships/numbering" Target="numbering.xml"/><Relationship Id="rId16" Type="http://schemas.openxmlformats.org/officeDocument/2006/relationships/hyperlink" Target="https://consultas.curp.gob.mx/CurpSP/html/informacionecurpP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99091.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mex.org.mx/saimex/solicitud/downloadAttach/2310455.page" TargetMode="External"/><Relationship Id="rId23" Type="http://schemas.openxmlformats.org/officeDocument/2006/relationships/fontTable" Target="fontTable.xml"/><Relationship Id="rId10" Type="http://schemas.openxmlformats.org/officeDocument/2006/relationships/hyperlink" Target="https://saimex.org.mx/saimex/solicitud/downloadAttach/2299082.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299082.page" TargetMode="External"/><Relationship Id="rId14" Type="http://schemas.openxmlformats.org/officeDocument/2006/relationships/hyperlink" Target="https://saimex.org.mx/saimex/solicitud/downloadAttach/2310454.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8OHXsCW82phrQF/QOL7MXne6w==">CgMxLjAyCGguZ2pkZ3hzMghoLmdqZGd4czIJaC4zMGowemxsMgloLjFmb2I5dGUyCWguM3pueXNoNzIJaC4yNmluMXJnMghoLmxueGJ6OTIJaC4zNW5rdW4yMgloLjFmb2I5dGUyCWguMWZvYjl0ZTgAciExX2FDQzc4dnJsTWJIVW5wQk1STmNEZlpjXy13bWdVZFE=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7052</Words>
  <Characters>38790</Characters>
  <Application>Microsoft Office Word</Application>
  <DocSecurity>0</DocSecurity>
  <Lines>323</Lines>
  <Paragraphs>91</Paragraphs>
  <ScaleCrop>false</ScaleCrop>
  <Company>HP Inc.</Company>
  <LinksUpToDate>false</LinksUpToDate>
  <CharactersWithSpaces>45751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INFOEM403</cp:lastModifiedBy>
  <cp:revision>4</cp:revision>
  <dcterms:created xsi:type="dcterms:W3CDTF">2025-01-23T01:36:00Z</dcterms:created>
  <dcterms:modified xsi:type="dcterms:W3CDTF">2025-02-11T02:42:00Z</dcterms:modified>
</cp:coreProperties>
</file>