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81FA96"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bookmarkStart w:id="0" w:name="_GoBack"/>
      <w:bookmarkEnd w:id="0"/>
      <w:r w:rsidRPr="0005134E">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tres de diciembre de dos mil veinticinco. </w:t>
      </w:r>
    </w:p>
    <w:p w14:paraId="53773D7C" w14:textId="77777777" w:rsidR="00885D54" w:rsidRPr="0005134E" w:rsidRDefault="00E5363F">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05134E">
        <w:rPr>
          <w:rFonts w:ascii="Palatino Linotype" w:eastAsia="Palatino Linotype" w:hAnsi="Palatino Linotype" w:cs="Palatino Linotype"/>
          <w:b/>
          <w:bCs/>
          <w:sz w:val="22"/>
          <w:szCs w:val="22"/>
        </w:rPr>
        <w:t>VISTO</w:t>
      </w:r>
      <w:r w:rsidRPr="0005134E">
        <w:rPr>
          <w:rFonts w:ascii="Palatino Linotype" w:eastAsia="Palatino Linotype" w:hAnsi="Palatino Linotype" w:cs="Palatino Linotype"/>
          <w:sz w:val="22"/>
          <w:szCs w:val="22"/>
        </w:rPr>
        <w:t xml:space="preserve"> el expediente formado con motivo del recurso de revisión </w:t>
      </w:r>
      <w:r w:rsidRPr="0005134E">
        <w:rPr>
          <w:rFonts w:ascii="Palatino Linotype" w:eastAsia="Palatino Linotype" w:hAnsi="Palatino Linotype" w:cs="Palatino Linotype"/>
          <w:b/>
          <w:bCs/>
          <w:sz w:val="22"/>
          <w:szCs w:val="22"/>
        </w:rPr>
        <w:t>09554/INFOEM/IP/RR/2025</w:t>
      </w:r>
      <w:r w:rsidRPr="0005134E">
        <w:rPr>
          <w:rFonts w:ascii="Palatino Linotype" w:eastAsia="Palatino Linotype" w:hAnsi="Palatino Linotype" w:cs="Palatino Linotype"/>
          <w:sz w:val="22"/>
          <w:szCs w:val="22"/>
        </w:rPr>
        <w:t xml:space="preserve">, interpuesto por  </w:t>
      </w:r>
      <w:r w:rsidRPr="0005134E">
        <w:rPr>
          <w:rFonts w:ascii="Palatino Linotype" w:eastAsia="Palatino Linotype" w:hAnsi="Palatino Linotype" w:cs="Palatino Linotype"/>
          <w:b/>
          <w:bCs/>
          <w:sz w:val="22"/>
          <w:szCs w:val="22"/>
        </w:rPr>
        <w:t>una persona que no proporcionó su nombre</w:t>
      </w:r>
      <w:r w:rsidRPr="0005134E">
        <w:rPr>
          <w:rFonts w:ascii="Palatino Linotype" w:eastAsia="Palatino Linotype" w:hAnsi="Palatino Linotype" w:cs="Palatino Linotype"/>
          <w:sz w:val="22"/>
          <w:szCs w:val="22"/>
        </w:rPr>
        <w:t>,</w:t>
      </w:r>
      <w:r w:rsidRPr="0005134E">
        <w:rPr>
          <w:rFonts w:ascii="Palatino Linotype" w:eastAsia="Palatino Linotype" w:hAnsi="Palatino Linotype" w:cs="Palatino Linotype"/>
          <w:b/>
          <w:bCs/>
          <w:sz w:val="22"/>
          <w:szCs w:val="22"/>
        </w:rPr>
        <w:t xml:space="preserve"> </w:t>
      </w:r>
      <w:r w:rsidRPr="0005134E">
        <w:rPr>
          <w:rFonts w:ascii="Palatino Linotype" w:eastAsia="Palatino Linotype" w:hAnsi="Palatino Linotype" w:cs="Palatino Linotype"/>
          <w:sz w:val="22"/>
          <w:szCs w:val="22"/>
        </w:rPr>
        <w:t>en lo sucesivo</w:t>
      </w:r>
      <w:r w:rsidRPr="0005134E">
        <w:rPr>
          <w:rFonts w:ascii="Palatino Linotype" w:eastAsia="Palatino Linotype" w:hAnsi="Palatino Linotype" w:cs="Palatino Linotype"/>
          <w:b/>
          <w:bCs/>
          <w:sz w:val="22"/>
          <w:szCs w:val="22"/>
        </w:rPr>
        <w:t xml:space="preserve"> </w:t>
      </w:r>
      <w:r w:rsidRPr="0005134E">
        <w:rPr>
          <w:rFonts w:ascii="Palatino Linotype" w:eastAsia="Palatino Linotype" w:hAnsi="Palatino Linotype" w:cs="Palatino Linotype"/>
          <w:sz w:val="22"/>
          <w:szCs w:val="22"/>
        </w:rPr>
        <w:t xml:space="preserve">la parte </w:t>
      </w:r>
      <w:r w:rsidRPr="0005134E">
        <w:rPr>
          <w:rFonts w:ascii="Palatino Linotype" w:eastAsia="Palatino Linotype" w:hAnsi="Palatino Linotype" w:cs="Palatino Linotype"/>
          <w:b/>
          <w:bCs/>
          <w:sz w:val="22"/>
          <w:szCs w:val="22"/>
        </w:rPr>
        <w:t>Recurrente,</w:t>
      </w:r>
      <w:r w:rsidRPr="0005134E">
        <w:rPr>
          <w:rFonts w:ascii="Palatino Linotype" w:eastAsia="Palatino Linotype" w:hAnsi="Palatino Linotype" w:cs="Palatino Linotype"/>
          <w:sz w:val="22"/>
          <w:szCs w:val="22"/>
        </w:rPr>
        <w:t xml:space="preserve"> en contra de la respuesta a la solicitud de información con número de folio</w:t>
      </w:r>
      <w:r w:rsidRPr="0005134E">
        <w:rPr>
          <w:rFonts w:ascii="Palatino Linotype" w:eastAsia="Palatino Linotype" w:hAnsi="Palatino Linotype" w:cs="Palatino Linotype"/>
          <w:b/>
          <w:bCs/>
          <w:sz w:val="22"/>
          <w:szCs w:val="22"/>
        </w:rPr>
        <w:t xml:space="preserve"> 00304/TEPOTZOT/IP/2025, </w:t>
      </w:r>
      <w:r w:rsidRPr="0005134E">
        <w:rPr>
          <w:rFonts w:ascii="Palatino Linotype" w:eastAsia="Palatino Linotype" w:hAnsi="Palatino Linotype" w:cs="Palatino Linotype"/>
          <w:sz w:val="22"/>
          <w:szCs w:val="22"/>
        </w:rPr>
        <w:t xml:space="preserve">por parte del </w:t>
      </w:r>
      <w:r w:rsidRPr="0005134E">
        <w:rPr>
          <w:rFonts w:ascii="Palatino Linotype" w:eastAsia="Palatino Linotype" w:hAnsi="Palatino Linotype" w:cs="Palatino Linotype"/>
          <w:b/>
          <w:bCs/>
          <w:sz w:val="22"/>
          <w:szCs w:val="22"/>
        </w:rPr>
        <w:t xml:space="preserve">Ayuntamiento de Tepotzotlán, </w:t>
      </w:r>
      <w:r w:rsidRPr="0005134E">
        <w:rPr>
          <w:rFonts w:ascii="Palatino Linotype" w:eastAsia="Palatino Linotype" w:hAnsi="Palatino Linotype" w:cs="Palatino Linotype"/>
          <w:sz w:val="22"/>
          <w:szCs w:val="22"/>
        </w:rPr>
        <w:t xml:space="preserve">en lo sucesivo el </w:t>
      </w:r>
      <w:r w:rsidRPr="0005134E">
        <w:rPr>
          <w:rFonts w:ascii="Palatino Linotype" w:eastAsia="Palatino Linotype" w:hAnsi="Palatino Linotype" w:cs="Palatino Linotype"/>
          <w:b/>
          <w:bCs/>
          <w:sz w:val="22"/>
          <w:szCs w:val="22"/>
        </w:rPr>
        <w:t xml:space="preserve">Sujeto Obligado, </w:t>
      </w:r>
      <w:r w:rsidRPr="0005134E">
        <w:rPr>
          <w:rFonts w:ascii="Palatino Linotype" w:eastAsia="Palatino Linotype" w:hAnsi="Palatino Linotype" w:cs="Palatino Linotype"/>
          <w:sz w:val="22"/>
          <w:szCs w:val="22"/>
        </w:rPr>
        <w:t xml:space="preserve">se procede a dictar la presente resolución con base en los siguientes: </w:t>
      </w:r>
    </w:p>
    <w:p w14:paraId="207E9497" w14:textId="77777777" w:rsidR="00885D54" w:rsidRPr="0005134E" w:rsidRDefault="00E5363F">
      <w:pPr>
        <w:spacing w:before="240" w:after="240" w:line="360" w:lineRule="auto"/>
        <w:jc w:val="center"/>
        <w:rPr>
          <w:rFonts w:ascii="Palatino Linotype" w:eastAsia="Palatino Linotype" w:hAnsi="Palatino Linotype" w:cs="Palatino Linotype"/>
          <w:b/>
          <w:bCs/>
          <w:sz w:val="22"/>
          <w:szCs w:val="22"/>
        </w:rPr>
      </w:pPr>
      <w:r w:rsidRPr="0005134E">
        <w:rPr>
          <w:rFonts w:ascii="Palatino Linotype" w:eastAsia="Palatino Linotype" w:hAnsi="Palatino Linotype" w:cs="Palatino Linotype"/>
          <w:b/>
          <w:bCs/>
          <w:sz w:val="22"/>
          <w:szCs w:val="22"/>
        </w:rPr>
        <w:t>I. A N T E C E D E N T E S</w:t>
      </w:r>
    </w:p>
    <w:p w14:paraId="331736D4"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05134E">
        <w:rPr>
          <w:rFonts w:ascii="Palatino Linotype" w:eastAsia="Palatino Linotype" w:hAnsi="Palatino Linotype" w:cs="Palatino Linotype"/>
          <w:b/>
          <w:bCs/>
          <w:sz w:val="22"/>
          <w:szCs w:val="22"/>
        </w:rPr>
        <w:t>1. Solicitud de acceso a la información.</w:t>
      </w:r>
      <w:r w:rsidRPr="0005134E">
        <w:rPr>
          <w:rFonts w:ascii="Palatino Linotype" w:eastAsia="Palatino Linotype" w:hAnsi="Palatino Linotype" w:cs="Palatino Linotype"/>
          <w:sz w:val="22"/>
          <w:szCs w:val="22"/>
        </w:rPr>
        <w:t xml:space="preserve"> El </w:t>
      </w:r>
      <w:r w:rsidRPr="0005134E">
        <w:rPr>
          <w:rFonts w:ascii="Palatino Linotype" w:eastAsia="Palatino Linotype" w:hAnsi="Palatino Linotype" w:cs="Palatino Linotype"/>
          <w:b/>
          <w:bCs/>
          <w:sz w:val="22"/>
          <w:szCs w:val="22"/>
        </w:rPr>
        <w:t>dieciséis de junio de dos mil veinticinco,</w:t>
      </w:r>
      <w:r w:rsidRPr="0005134E">
        <w:rPr>
          <w:rFonts w:ascii="Palatino Linotype" w:eastAsia="Palatino Linotype" w:hAnsi="Palatino Linotype" w:cs="Palatino Linotype"/>
          <w:sz w:val="22"/>
          <w:szCs w:val="22"/>
        </w:rPr>
        <w:t xml:space="preserve"> la parte </w:t>
      </w:r>
      <w:r w:rsidRPr="0005134E">
        <w:rPr>
          <w:rFonts w:ascii="Palatino Linotype" w:eastAsia="Palatino Linotype" w:hAnsi="Palatino Linotype" w:cs="Palatino Linotype"/>
          <w:b/>
          <w:bCs/>
          <w:sz w:val="22"/>
          <w:szCs w:val="22"/>
        </w:rPr>
        <w:t xml:space="preserve">Recurrente </w:t>
      </w:r>
      <w:r w:rsidRPr="0005134E">
        <w:rPr>
          <w:rFonts w:ascii="Palatino Linotype" w:eastAsia="Palatino Linotype" w:hAnsi="Palatino Linotype" w:cs="Palatino Linotype"/>
          <w:sz w:val="22"/>
          <w:szCs w:val="22"/>
        </w:rPr>
        <w:t xml:space="preserve">presentó la solicitud de acceso a la información pública ante el </w:t>
      </w:r>
      <w:r w:rsidRPr="0005134E">
        <w:rPr>
          <w:rFonts w:ascii="Palatino Linotype" w:eastAsia="Palatino Linotype" w:hAnsi="Palatino Linotype" w:cs="Palatino Linotype"/>
          <w:b/>
          <w:bCs/>
          <w:sz w:val="22"/>
          <w:szCs w:val="22"/>
        </w:rPr>
        <w:t>Sujeto Obligado</w:t>
      </w:r>
      <w:r w:rsidRPr="0005134E">
        <w:rPr>
          <w:rFonts w:ascii="Palatino Linotype" w:eastAsia="Palatino Linotype" w:hAnsi="Palatino Linotype" w:cs="Palatino Linotype"/>
          <w:sz w:val="22"/>
          <w:szCs w:val="22"/>
        </w:rPr>
        <w:t xml:space="preserve">, a través del Sistema de Acceso a la Información Mexiquense, en lo subsecuente el </w:t>
      </w:r>
      <w:r w:rsidRPr="0005134E">
        <w:rPr>
          <w:rFonts w:ascii="Palatino Linotype" w:eastAsia="Palatino Linotype" w:hAnsi="Palatino Linotype" w:cs="Palatino Linotype"/>
          <w:b/>
          <w:bCs/>
          <w:sz w:val="22"/>
          <w:szCs w:val="22"/>
        </w:rPr>
        <w:t>SAIMEX,</w:t>
      </w:r>
      <w:r w:rsidRPr="0005134E">
        <w:rPr>
          <w:rFonts w:ascii="Palatino Linotype" w:eastAsia="Palatino Linotype" w:hAnsi="Palatino Linotype" w:cs="Palatino Linotype"/>
          <w:sz w:val="22"/>
          <w:szCs w:val="22"/>
        </w:rPr>
        <w:t xml:space="preserve"> mediante la cual requirió lo siguiente:</w:t>
      </w:r>
    </w:p>
    <w:p w14:paraId="1C9F31EB" w14:textId="77777777" w:rsidR="00885D54" w:rsidRPr="0005134E" w:rsidRDefault="00E5363F">
      <w:pPr>
        <w:spacing w:before="120" w:after="120"/>
        <w:ind w:left="851" w:right="902"/>
        <w:jc w:val="both"/>
        <w:rPr>
          <w:rFonts w:ascii="Palatino Linotype" w:eastAsia="Palatino Linotype" w:hAnsi="Palatino Linotype" w:cs="Palatino Linotype"/>
          <w:b/>
          <w:bCs/>
          <w:i/>
          <w:iCs/>
          <w:sz w:val="22"/>
          <w:szCs w:val="22"/>
        </w:rPr>
      </w:pPr>
      <w:r w:rsidRPr="0005134E">
        <w:rPr>
          <w:rFonts w:ascii="Palatino Linotype" w:eastAsia="Palatino Linotype" w:hAnsi="Palatino Linotype" w:cs="Palatino Linotype"/>
          <w:i/>
          <w:iCs/>
          <w:sz w:val="22"/>
          <w:szCs w:val="22"/>
        </w:rPr>
        <w:t xml:space="preserve"> “La fecha de ingreso a laborar de Andrea Cervantes Omaña y todos los sueldos y cambios de sueldo que ha tenido, mostrando los recibos de nómina donde se reflejen esos cambios, así como el documento que los autoriza</w:t>
      </w:r>
      <w:r w:rsidRPr="0005134E">
        <w:rPr>
          <w:rFonts w:ascii="Palatino Linotype" w:eastAsia="Palatino Linotype" w:hAnsi="Palatino Linotype" w:cs="Palatino Linotype"/>
          <w:b/>
          <w:bCs/>
          <w:i/>
          <w:iCs/>
          <w:sz w:val="22"/>
          <w:szCs w:val="22"/>
        </w:rPr>
        <w:t>”</w:t>
      </w:r>
      <w:r w:rsidRPr="0005134E">
        <w:rPr>
          <w:rFonts w:ascii="Palatino Linotype" w:eastAsia="Palatino Linotype" w:hAnsi="Palatino Linotype" w:cs="Palatino Linotype"/>
          <w:i/>
          <w:iCs/>
          <w:sz w:val="22"/>
          <w:szCs w:val="22"/>
        </w:rPr>
        <w:t xml:space="preserve"> (sic) </w:t>
      </w:r>
    </w:p>
    <w:p w14:paraId="224AC21D"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bookmarkStart w:id="3" w:name="_heading=h.3dy6vkm" w:colFirst="0" w:colLast="0"/>
      <w:bookmarkEnd w:id="3"/>
      <w:r w:rsidRPr="0005134E">
        <w:rPr>
          <w:rFonts w:ascii="Palatino Linotype" w:eastAsia="Palatino Linotype" w:hAnsi="Palatino Linotype" w:cs="Palatino Linotype"/>
          <w:b/>
          <w:bCs/>
          <w:sz w:val="22"/>
          <w:szCs w:val="22"/>
        </w:rPr>
        <w:t>Modalidad de Entrega:</w:t>
      </w:r>
      <w:r w:rsidRPr="0005134E">
        <w:rPr>
          <w:rFonts w:ascii="Palatino Linotype" w:eastAsia="Palatino Linotype" w:hAnsi="Palatino Linotype" w:cs="Palatino Linotype"/>
          <w:sz w:val="22"/>
          <w:szCs w:val="22"/>
        </w:rPr>
        <w:t xml:space="preserve"> a través del</w:t>
      </w:r>
      <w:r w:rsidRPr="0005134E">
        <w:rPr>
          <w:rFonts w:ascii="Palatino Linotype" w:eastAsia="Palatino Linotype" w:hAnsi="Palatino Linotype" w:cs="Palatino Linotype"/>
          <w:b/>
          <w:bCs/>
          <w:sz w:val="22"/>
          <w:szCs w:val="22"/>
        </w:rPr>
        <w:t xml:space="preserve"> SAIMEX.</w:t>
      </w:r>
    </w:p>
    <w:p w14:paraId="29059FCA"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b/>
          <w:bCs/>
          <w:sz w:val="22"/>
          <w:szCs w:val="22"/>
        </w:rPr>
        <w:t xml:space="preserve">2. Respuesta. </w:t>
      </w:r>
      <w:r w:rsidRPr="0005134E">
        <w:rPr>
          <w:rFonts w:ascii="Palatino Linotype" w:eastAsia="Palatino Linotype" w:hAnsi="Palatino Linotype" w:cs="Palatino Linotype"/>
          <w:sz w:val="22"/>
          <w:szCs w:val="22"/>
        </w:rPr>
        <w:t xml:space="preserve">El </w:t>
      </w:r>
      <w:r w:rsidRPr="0005134E">
        <w:rPr>
          <w:rFonts w:ascii="Palatino Linotype" w:eastAsia="Palatino Linotype" w:hAnsi="Palatino Linotype" w:cs="Palatino Linotype"/>
          <w:b/>
          <w:bCs/>
          <w:sz w:val="22"/>
          <w:szCs w:val="22"/>
        </w:rPr>
        <w:t>seis de agosto de dos mil veinticinco,</w:t>
      </w:r>
      <w:r w:rsidRPr="0005134E">
        <w:rPr>
          <w:rFonts w:ascii="Palatino Linotype" w:eastAsia="Palatino Linotype" w:hAnsi="Palatino Linotype" w:cs="Palatino Linotype"/>
          <w:sz w:val="22"/>
          <w:szCs w:val="22"/>
        </w:rPr>
        <w:t xml:space="preserve"> el </w:t>
      </w:r>
      <w:r w:rsidRPr="0005134E">
        <w:rPr>
          <w:rFonts w:ascii="Palatino Linotype" w:eastAsia="Palatino Linotype" w:hAnsi="Palatino Linotype" w:cs="Palatino Linotype"/>
          <w:b/>
          <w:bCs/>
          <w:sz w:val="22"/>
          <w:szCs w:val="22"/>
        </w:rPr>
        <w:t xml:space="preserve">Sujeto Obligado </w:t>
      </w:r>
      <w:r w:rsidRPr="0005134E">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57CFC646" w14:textId="77777777" w:rsidR="00885D54" w:rsidRPr="0005134E" w:rsidRDefault="00E5363F">
      <w:pPr>
        <w:spacing w:before="240" w:after="24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“…SE ADJUNTA RESPUESTA DE SERVIDOR PÚBLICO HABILITADO...” (sic)</w:t>
      </w:r>
    </w:p>
    <w:p w14:paraId="58F6469E" w14:textId="77777777" w:rsidR="00885D54" w:rsidRPr="0005134E" w:rsidRDefault="00E5363F">
      <w:pPr>
        <w:spacing w:before="240" w:after="240" w:line="360" w:lineRule="auto"/>
        <w:ind w:right="49"/>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lastRenderedPageBreak/>
        <w:t xml:space="preserve">El </w:t>
      </w:r>
      <w:r w:rsidRPr="0005134E">
        <w:rPr>
          <w:rFonts w:ascii="Palatino Linotype" w:eastAsia="Palatino Linotype" w:hAnsi="Palatino Linotype" w:cs="Palatino Linotype"/>
          <w:b/>
          <w:bCs/>
          <w:sz w:val="22"/>
          <w:szCs w:val="22"/>
        </w:rPr>
        <w:t xml:space="preserve">Sujeto Obligado </w:t>
      </w:r>
      <w:r w:rsidRPr="0005134E">
        <w:rPr>
          <w:rFonts w:ascii="Palatino Linotype" w:eastAsia="Palatino Linotype" w:hAnsi="Palatino Linotype" w:cs="Palatino Linotype"/>
          <w:sz w:val="22"/>
          <w:szCs w:val="22"/>
        </w:rPr>
        <w:t>adjuntó lo siguiente:</w:t>
      </w:r>
    </w:p>
    <w:p w14:paraId="7AFFF768" w14:textId="77777777" w:rsidR="00885D54" w:rsidRPr="0005134E" w:rsidRDefault="00E5363F">
      <w:pPr>
        <w:spacing w:before="240" w:after="240" w:line="360" w:lineRule="auto"/>
        <w:ind w:right="49"/>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Oficio número JRH*355*2025, mediante el cual el Jefe de Recursos Humanos proporcionó la fecha de ingreso de la servidora pública referida en la solicitud, así como su sueldo quincenal bruto.</w:t>
      </w:r>
    </w:p>
    <w:p w14:paraId="48C35315" w14:textId="77777777" w:rsidR="00885D54" w:rsidRPr="0005134E" w:rsidRDefault="00E5363F">
      <w:pPr>
        <w:spacing w:before="240" w:after="240" w:line="360" w:lineRule="auto"/>
        <w:ind w:right="49"/>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b/>
          <w:bCs/>
          <w:sz w:val="22"/>
          <w:szCs w:val="22"/>
        </w:rPr>
        <w:t xml:space="preserve">3. Interposición del recurso de revisión. </w:t>
      </w:r>
      <w:r w:rsidRPr="0005134E">
        <w:rPr>
          <w:rFonts w:ascii="Palatino Linotype" w:eastAsia="Palatino Linotype" w:hAnsi="Palatino Linotype" w:cs="Palatino Linotype"/>
          <w:sz w:val="22"/>
          <w:szCs w:val="22"/>
        </w:rPr>
        <w:t xml:space="preserve">Inconforme con los términos de la respuesta emitida por parte del </w:t>
      </w:r>
      <w:r w:rsidRPr="0005134E">
        <w:rPr>
          <w:rFonts w:ascii="Palatino Linotype" w:eastAsia="Palatino Linotype" w:hAnsi="Palatino Linotype" w:cs="Palatino Linotype"/>
          <w:b/>
          <w:bCs/>
          <w:sz w:val="22"/>
          <w:szCs w:val="22"/>
        </w:rPr>
        <w:t>Sujeto Obligado</w:t>
      </w:r>
      <w:r w:rsidRPr="0005134E">
        <w:rPr>
          <w:rFonts w:ascii="Palatino Linotype" w:eastAsia="Palatino Linotype" w:hAnsi="Palatino Linotype" w:cs="Palatino Linotype"/>
          <w:sz w:val="22"/>
          <w:szCs w:val="22"/>
        </w:rPr>
        <w:t xml:space="preserve">, el </w:t>
      </w:r>
      <w:r w:rsidRPr="0005134E">
        <w:rPr>
          <w:rFonts w:ascii="Palatino Linotype" w:eastAsia="Palatino Linotype" w:hAnsi="Palatino Linotype" w:cs="Palatino Linotype"/>
          <w:b/>
          <w:bCs/>
          <w:sz w:val="22"/>
          <w:szCs w:val="22"/>
        </w:rPr>
        <w:t>catorce de agosto de dos mil veinticinco,</w:t>
      </w:r>
      <w:r w:rsidRPr="0005134E">
        <w:rPr>
          <w:rFonts w:ascii="Palatino Linotype" w:eastAsia="Palatino Linotype" w:hAnsi="Palatino Linotype" w:cs="Palatino Linotype"/>
          <w:sz w:val="22"/>
          <w:szCs w:val="22"/>
        </w:rPr>
        <w:t xml:space="preserve"> la parte </w:t>
      </w:r>
      <w:r w:rsidRPr="0005134E">
        <w:rPr>
          <w:rFonts w:ascii="Palatino Linotype" w:eastAsia="Palatino Linotype" w:hAnsi="Palatino Linotype" w:cs="Palatino Linotype"/>
          <w:b/>
          <w:bCs/>
          <w:sz w:val="22"/>
          <w:szCs w:val="22"/>
        </w:rPr>
        <w:t>Recurrente</w:t>
      </w:r>
      <w:r w:rsidRPr="0005134E">
        <w:rPr>
          <w:rFonts w:ascii="Palatino Linotype" w:eastAsia="Palatino Linotype" w:hAnsi="Palatino Linotype" w:cs="Palatino Linotype"/>
          <w:sz w:val="22"/>
          <w:szCs w:val="22"/>
        </w:rPr>
        <w:t xml:space="preserve"> interpuso el recurso de revisión a través de </w:t>
      </w:r>
      <w:r w:rsidRPr="0005134E">
        <w:rPr>
          <w:rFonts w:ascii="Palatino Linotype" w:eastAsia="Palatino Linotype" w:hAnsi="Palatino Linotype" w:cs="Palatino Linotype"/>
          <w:b/>
          <w:bCs/>
          <w:sz w:val="22"/>
          <w:szCs w:val="22"/>
        </w:rPr>
        <w:t xml:space="preserve">SAIMEX, </w:t>
      </w:r>
      <w:r w:rsidRPr="0005134E">
        <w:rPr>
          <w:rFonts w:ascii="Palatino Linotype" w:eastAsia="Palatino Linotype" w:hAnsi="Palatino Linotype" w:cs="Palatino Linotype"/>
          <w:sz w:val="22"/>
          <w:szCs w:val="22"/>
        </w:rPr>
        <w:t xml:space="preserve">sin embargo, al corresponder con un día inhábil, se tuvo por interpuesto el </w:t>
      </w:r>
      <w:r w:rsidRPr="0005134E">
        <w:rPr>
          <w:rFonts w:ascii="Palatino Linotype" w:eastAsia="Palatino Linotype" w:hAnsi="Palatino Linotype" w:cs="Palatino Linotype"/>
          <w:b/>
          <w:bCs/>
          <w:sz w:val="22"/>
          <w:szCs w:val="22"/>
        </w:rPr>
        <w:t xml:space="preserve">cuatro de agosto de dos mil veinticinco, </w:t>
      </w:r>
      <w:r w:rsidRPr="0005134E">
        <w:rPr>
          <w:rFonts w:ascii="Palatino Linotype" w:eastAsia="Palatino Linotype" w:hAnsi="Palatino Linotype" w:cs="Palatino Linotype"/>
          <w:sz w:val="22"/>
          <w:szCs w:val="22"/>
        </w:rPr>
        <w:t>en donde se manifestó de la siguiente manera:</w:t>
      </w:r>
    </w:p>
    <w:p w14:paraId="085721AD" w14:textId="77777777" w:rsidR="00885D54" w:rsidRPr="0005134E" w:rsidRDefault="00E5363F">
      <w:pPr>
        <w:spacing w:before="240" w:after="240" w:line="360" w:lineRule="auto"/>
        <w:ind w:right="49"/>
        <w:jc w:val="both"/>
        <w:rPr>
          <w:rFonts w:ascii="Palatino Linotype" w:eastAsia="Palatino Linotype" w:hAnsi="Palatino Linotype" w:cs="Palatino Linotype"/>
          <w:b/>
          <w:bCs/>
          <w:sz w:val="22"/>
          <w:szCs w:val="22"/>
        </w:rPr>
      </w:pPr>
      <w:r w:rsidRPr="0005134E">
        <w:rPr>
          <w:rFonts w:ascii="Palatino Linotype" w:eastAsia="Palatino Linotype" w:hAnsi="Palatino Linotype" w:cs="Palatino Linotype"/>
          <w:b/>
          <w:bCs/>
          <w:sz w:val="22"/>
          <w:szCs w:val="22"/>
        </w:rPr>
        <w:t xml:space="preserve">Acto impugnado: </w:t>
      </w:r>
    </w:p>
    <w:p w14:paraId="11B3A38C" w14:textId="77777777" w:rsidR="00885D54" w:rsidRPr="0005134E" w:rsidRDefault="00E5363F">
      <w:pPr>
        <w:ind w:left="851" w:right="900"/>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“Ocultan información. Proporcionan información incompleta que obviamente recursos humanos si tiene” (sic)</w:t>
      </w:r>
    </w:p>
    <w:p w14:paraId="3395E017" w14:textId="77777777" w:rsidR="00885D54" w:rsidRPr="0005134E" w:rsidRDefault="00E5363F">
      <w:pPr>
        <w:spacing w:line="360" w:lineRule="auto"/>
        <w:jc w:val="both"/>
        <w:rPr>
          <w:rFonts w:ascii="Palatino Linotype" w:eastAsia="Palatino Linotype" w:hAnsi="Palatino Linotype" w:cs="Palatino Linotype"/>
          <w:sz w:val="22"/>
          <w:szCs w:val="22"/>
        </w:rPr>
      </w:pPr>
      <w:bookmarkStart w:id="4" w:name="_heading=h.30j0zll" w:colFirst="0" w:colLast="0"/>
      <w:bookmarkEnd w:id="4"/>
      <w:r w:rsidRPr="0005134E">
        <w:rPr>
          <w:rFonts w:ascii="Palatino Linotype" w:eastAsia="Palatino Linotype" w:hAnsi="Palatino Linotype" w:cs="Palatino Linotype"/>
          <w:b/>
          <w:bCs/>
          <w:sz w:val="22"/>
          <w:szCs w:val="22"/>
        </w:rPr>
        <w:t>Y, Razones o motivos de inconformidad</w:t>
      </w:r>
      <w:r w:rsidRPr="0005134E">
        <w:rPr>
          <w:rFonts w:ascii="Palatino Linotype" w:eastAsia="Palatino Linotype" w:hAnsi="Palatino Linotype" w:cs="Palatino Linotype"/>
          <w:sz w:val="22"/>
          <w:szCs w:val="22"/>
        </w:rPr>
        <w:t>:</w:t>
      </w:r>
    </w:p>
    <w:p w14:paraId="17C2AEF8" w14:textId="77777777" w:rsidR="00885D54" w:rsidRPr="0005134E" w:rsidRDefault="00E5363F">
      <w:pPr>
        <w:tabs>
          <w:tab w:val="left" w:pos="2745"/>
        </w:tabs>
        <w:spacing w:before="240" w:after="24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“Niegan la información. Ocultan información que recursos humanos si tiene en sus registros, como la fecha de ingreso y los sueldos que ha tenido la persona.” (sic)</w:t>
      </w:r>
    </w:p>
    <w:p w14:paraId="22BF270E" w14:textId="77777777" w:rsidR="00885D54" w:rsidRPr="0005134E" w:rsidRDefault="00E5363F">
      <w:pPr>
        <w:spacing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b/>
          <w:bCs/>
          <w:sz w:val="22"/>
          <w:szCs w:val="22"/>
        </w:rPr>
        <w:t xml:space="preserve">4. Turno. </w:t>
      </w:r>
      <w:r w:rsidRPr="0005134E">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5134E">
        <w:rPr>
          <w:rFonts w:ascii="Palatino Linotype" w:eastAsia="Palatino Linotype" w:hAnsi="Palatino Linotype" w:cs="Palatino Linotype"/>
          <w:b/>
          <w:bCs/>
          <w:sz w:val="22"/>
          <w:szCs w:val="22"/>
        </w:rPr>
        <w:t xml:space="preserve">Guadalupe Ramírez Peña, </w:t>
      </w:r>
      <w:r w:rsidRPr="0005134E">
        <w:rPr>
          <w:rFonts w:ascii="Palatino Linotype" w:eastAsia="Palatino Linotype" w:hAnsi="Palatino Linotype" w:cs="Palatino Linotype"/>
          <w:sz w:val="22"/>
          <w:szCs w:val="22"/>
        </w:rPr>
        <w:t>a efecto de que analizara sobre su admisión o su desechamiento.</w:t>
      </w:r>
    </w:p>
    <w:p w14:paraId="1A49F817" w14:textId="77777777" w:rsidR="00885D54" w:rsidRPr="0005134E" w:rsidRDefault="00E5363F">
      <w:pPr>
        <w:spacing w:before="240" w:after="240" w:line="360" w:lineRule="auto"/>
        <w:jc w:val="both"/>
        <w:rPr>
          <w:rFonts w:ascii="Palatino Linotype" w:eastAsia="Palatino Linotype" w:hAnsi="Palatino Linotype" w:cs="Palatino Linotype"/>
          <w:b/>
          <w:bCs/>
          <w:sz w:val="22"/>
          <w:szCs w:val="22"/>
        </w:rPr>
      </w:pPr>
      <w:r w:rsidRPr="0005134E">
        <w:rPr>
          <w:rFonts w:ascii="Palatino Linotype" w:eastAsia="Palatino Linotype" w:hAnsi="Palatino Linotype" w:cs="Palatino Linotype"/>
          <w:b/>
          <w:bCs/>
          <w:sz w:val="22"/>
          <w:szCs w:val="22"/>
        </w:rPr>
        <w:t>5. Admisión del Recurso de revisión.</w:t>
      </w:r>
      <w:r w:rsidRPr="0005134E">
        <w:rPr>
          <w:rFonts w:ascii="Palatino Linotype" w:eastAsia="Palatino Linotype" w:hAnsi="Palatino Linotype" w:cs="Palatino Linotype"/>
          <w:sz w:val="22"/>
          <w:szCs w:val="22"/>
        </w:rPr>
        <w:t xml:space="preserve"> El</w:t>
      </w:r>
      <w:r w:rsidRPr="0005134E">
        <w:rPr>
          <w:rFonts w:ascii="Palatino Linotype" w:eastAsia="Palatino Linotype" w:hAnsi="Palatino Linotype" w:cs="Palatino Linotype"/>
          <w:b/>
          <w:bCs/>
          <w:sz w:val="22"/>
          <w:szCs w:val="22"/>
        </w:rPr>
        <w:t xml:space="preserve"> veinte de agosto de dos mil veinticinco, </w:t>
      </w:r>
      <w:r w:rsidRPr="0005134E">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w:t>
      </w:r>
      <w:r w:rsidRPr="0005134E">
        <w:rPr>
          <w:rFonts w:ascii="Palatino Linotype" w:eastAsia="Palatino Linotype" w:hAnsi="Palatino Linotype" w:cs="Palatino Linotype"/>
          <w:sz w:val="22"/>
          <w:szCs w:val="22"/>
        </w:rPr>
        <w:lastRenderedPageBreak/>
        <w:t xml:space="preserve">ahora se resuelve, dando un plazo máximo de siete días hábiles para que las partes manifestaran lo que a su derecho resultara conveniente, ofrecieran pruebas, formularan alegatos y el </w:t>
      </w:r>
      <w:r w:rsidRPr="0005134E">
        <w:rPr>
          <w:rFonts w:ascii="Palatino Linotype" w:eastAsia="Palatino Linotype" w:hAnsi="Palatino Linotype" w:cs="Palatino Linotype"/>
          <w:b/>
          <w:bCs/>
          <w:sz w:val="22"/>
          <w:szCs w:val="22"/>
        </w:rPr>
        <w:t xml:space="preserve">Sujeto Obligado </w:t>
      </w:r>
      <w:r w:rsidRPr="0005134E">
        <w:rPr>
          <w:rFonts w:ascii="Palatino Linotype" w:eastAsia="Palatino Linotype" w:hAnsi="Palatino Linotype" w:cs="Palatino Linotype"/>
          <w:sz w:val="22"/>
          <w:szCs w:val="22"/>
        </w:rPr>
        <w:t>presentara su informe justificado.</w:t>
      </w:r>
    </w:p>
    <w:p w14:paraId="22BF4015"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bookmarkStart w:id="5" w:name="_heading=h.2s8eyo1" w:colFirst="0" w:colLast="0"/>
      <w:bookmarkEnd w:id="5"/>
      <w:r w:rsidRPr="0005134E">
        <w:rPr>
          <w:rFonts w:ascii="Palatino Linotype" w:eastAsia="Palatino Linotype" w:hAnsi="Palatino Linotype" w:cs="Palatino Linotype"/>
          <w:b/>
          <w:bCs/>
          <w:sz w:val="22"/>
          <w:szCs w:val="22"/>
        </w:rPr>
        <w:t>6. Manifestaciones</w:t>
      </w:r>
      <w:r w:rsidRPr="0005134E">
        <w:rPr>
          <w:rFonts w:ascii="Palatino Linotype" w:eastAsia="Palatino Linotype" w:hAnsi="Palatino Linotype" w:cs="Palatino Linotype"/>
          <w:sz w:val="22"/>
          <w:szCs w:val="22"/>
        </w:rPr>
        <w:t xml:space="preserve">. De las constancias que obran en el expediente electrónico del SAIMEX se desprende que el </w:t>
      </w:r>
      <w:r w:rsidRPr="0005134E">
        <w:rPr>
          <w:rFonts w:ascii="Palatino Linotype" w:eastAsia="Palatino Linotype" w:hAnsi="Palatino Linotype" w:cs="Palatino Linotype"/>
          <w:b/>
          <w:bCs/>
          <w:sz w:val="22"/>
          <w:szCs w:val="22"/>
        </w:rPr>
        <w:t>Sujeto Obligado</w:t>
      </w:r>
      <w:r w:rsidRPr="0005134E">
        <w:rPr>
          <w:rFonts w:ascii="Palatino Linotype" w:eastAsia="Palatino Linotype" w:hAnsi="Palatino Linotype" w:cs="Palatino Linotype"/>
          <w:sz w:val="22"/>
          <w:szCs w:val="22"/>
        </w:rPr>
        <w:t xml:space="preserve"> no rindió su Informe Justificado, como se observa a continuación:</w:t>
      </w:r>
    </w:p>
    <w:p w14:paraId="1E0A222C"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noProof/>
          <w:sz w:val="22"/>
          <w:szCs w:val="22"/>
        </w:rPr>
        <w:drawing>
          <wp:inline distT="0" distB="0" distL="0" distR="0" wp14:anchorId="18DC30A5" wp14:editId="5242E7C2">
            <wp:extent cx="5612130" cy="1590040"/>
            <wp:effectExtent l="0" t="0" r="0" b="0"/>
            <wp:docPr id="19520825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12130" cy="1590040"/>
                    </a:xfrm>
                    <a:prstGeom prst="rect">
                      <a:avLst/>
                    </a:prstGeom>
                    <a:ln/>
                  </pic:spPr>
                </pic:pic>
              </a:graphicData>
            </a:graphic>
          </wp:inline>
        </w:drawing>
      </w:r>
    </w:p>
    <w:p w14:paraId="05CDC2D6" w14:textId="77777777" w:rsidR="00885D54" w:rsidRPr="0005134E" w:rsidRDefault="00E5363F">
      <w:pPr>
        <w:widowControl w:val="0"/>
        <w:spacing w:before="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b/>
          <w:bCs/>
          <w:sz w:val="22"/>
          <w:szCs w:val="22"/>
        </w:rPr>
        <w:t xml:space="preserve">7. Cierre de instrucción. </w:t>
      </w:r>
      <w:r w:rsidRPr="0005134E">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05134E">
        <w:rPr>
          <w:rFonts w:ascii="Palatino Linotype" w:eastAsia="Palatino Linotype" w:hAnsi="Palatino Linotype" w:cs="Palatino Linotype"/>
          <w:b/>
          <w:bCs/>
          <w:sz w:val="22"/>
          <w:szCs w:val="22"/>
        </w:rPr>
        <w:t>cuatro de noviembre de dos mil veinticinco</w:t>
      </w:r>
      <w:r w:rsidRPr="0005134E">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1B83ED8" w14:textId="77777777" w:rsidR="00885D54" w:rsidRPr="0005134E" w:rsidRDefault="00E5363F">
      <w:pPr>
        <w:widowControl w:val="0"/>
        <w:spacing w:before="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b/>
          <w:bCs/>
          <w:sz w:val="22"/>
          <w:szCs w:val="22"/>
        </w:rPr>
        <w:t>8.</w:t>
      </w:r>
      <w:r w:rsidRPr="0005134E">
        <w:rPr>
          <w:rFonts w:ascii="Palatino Linotype" w:eastAsia="Palatino Linotype" w:hAnsi="Palatino Linotype" w:cs="Palatino Linotype"/>
          <w:sz w:val="22"/>
          <w:szCs w:val="22"/>
        </w:rPr>
        <w:t xml:space="preserve"> </w:t>
      </w:r>
      <w:r w:rsidRPr="0005134E">
        <w:rPr>
          <w:rFonts w:ascii="Palatino Linotype" w:eastAsia="Palatino Linotype" w:hAnsi="Palatino Linotype" w:cs="Palatino Linotype"/>
          <w:b/>
          <w:bCs/>
          <w:sz w:val="22"/>
          <w:szCs w:val="22"/>
        </w:rPr>
        <w:t>Ampliación del término para resolver</w:t>
      </w:r>
      <w:r w:rsidRPr="0005134E">
        <w:rPr>
          <w:rFonts w:ascii="Palatino Linotype" w:eastAsia="Palatino Linotype" w:hAnsi="Palatino Linotype" w:cs="Palatino Linotype"/>
          <w:sz w:val="22"/>
          <w:szCs w:val="22"/>
        </w:rPr>
        <w:t xml:space="preserve">. El </w:t>
      </w:r>
      <w:r w:rsidRPr="0005134E">
        <w:rPr>
          <w:rFonts w:ascii="Palatino Linotype" w:eastAsia="Palatino Linotype" w:hAnsi="Palatino Linotype" w:cs="Palatino Linotype"/>
          <w:b/>
          <w:bCs/>
          <w:sz w:val="22"/>
          <w:szCs w:val="22"/>
        </w:rPr>
        <w:t>veintisiete de noviembre de dos mil veinticinco</w:t>
      </w:r>
      <w:r w:rsidRPr="0005134E">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544FB9A9"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1927664"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AD4A6AE"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B0B3E93"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96C4D51"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ADEF3F1" w14:textId="77777777" w:rsidR="00885D54" w:rsidRPr="0005134E" w:rsidRDefault="00E5363F">
      <w:pPr>
        <w:numPr>
          <w:ilvl w:val="0"/>
          <w:numId w:val="1"/>
        </w:numPr>
        <w:tabs>
          <w:tab w:val="left" w:pos="851"/>
        </w:tabs>
        <w:spacing w:before="240" w:after="240" w:line="276" w:lineRule="auto"/>
        <w:ind w:left="567" w:firstLine="0"/>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36414463" w14:textId="77777777" w:rsidR="00885D54" w:rsidRPr="0005134E" w:rsidRDefault="00E5363F">
      <w:pPr>
        <w:numPr>
          <w:ilvl w:val="0"/>
          <w:numId w:val="1"/>
        </w:numPr>
        <w:tabs>
          <w:tab w:val="left" w:pos="851"/>
        </w:tabs>
        <w:spacing w:before="240" w:after="240" w:line="276" w:lineRule="auto"/>
        <w:ind w:left="567" w:firstLine="0"/>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Actividad Procesal del interesado. Acciones u omisiones del interesado.</w:t>
      </w:r>
    </w:p>
    <w:p w14:paraId="00E949A8" w14:textId="77777777" w:rsidR="00885D54" w:rsidRPr="0005134E" w:rsidRDefault="00E5363F">
      <w:pPr>
        <w:numPr>
          <w:ilvl w:val="0"/>
          <w:numId w:val="1"/>
        </w:numPr>
        <w:tabs>
          <w:tab w:val="left" w:pos="851"/>
        </w:tabs>
        <w:spacing w:before="240" w:after="240" w:line="276" w:lineRule="auto"/>
        <w:ind w:left="567" w:firstLine="0"/>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10BB74A5" w14:textId="77777777" w:rsidR="00885D54" w:rsidRPr="0005134E" w:rsidRDefault="00E5363F">
      <w:pPr>
        <w:spacing w:before="240" w:after="240" w:line="360" w:lineRule="auto"/>
        <w:ind w:left="567"/>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0276A3C8"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C75D35D" w14:textId="77777777" w:rsidR="00885D54" w:rsidRPr="0005134E" w:rsidRDefault="00E5363F">
      <w:pPr>
        <w:spacing w:before="240" w:after="240" w:line="360" w:lineRule="auto"/>
        <w:jc w:val="both"/>
        <w:rPr>
          <w:rFonts w:ascii="Palatino Linotype" w:eastAsia="Palatino Linotype" w:hAnsi="Palatino Linotype" w:cs="Palatino Linotype"/>
          <w:b/>
          <w:bCs/>
          <w:sz w:val="22"/>
          <w:szCs w:val="22"/>
        </w:rPr>
      </w:pPr>
      <w:r w:rsidRPr="0005134E">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05134E">
        <w:rPr>
          <w:rFonts w:ascii="Palatino Linotype" w:eastAsia="Palatino Linotype" w:hAnsi="Palatino Linotype" w:cs="Palatino Linotype"/>
          <w:i/>
          <w:iCs/>
          <w:sz w:val="22"/>
          <w:szCs w:val="22"/>
        </w:rPr>
        <w:t>“TÉRMINOS PROCESALES. PARA DETERMINAR SI UN FUNCIONARIO JUDICIAL ACTUÓ INDEBIDAMENTE POR NO RESPETARLOS SE DEBE ATENDER AL PRESUPUESTO QUE CONSIDERÓ EL LEGISLADOR AL FIJARLOS Y LAS CARACTERÍSTICAS DEL CASO.”</w:t>
      </w:r>
      <w:r w:rsidRPr="0005134E">
        <w:rPr>
          <w:rFonts w:ascii="Palatino Linotype" w:eastAsia="Palatino Linotype" w:hAnsi="Palatino Linotype" w:cs="Palatino Linotype"/>
          <w:sz w:val="22"/>
          <w:szCs w:val="22"/>
        </w:rPr>
        <w:t>, visible en la Gaceta del Seminario Judicial de la Federación con el registro digital 205635.</w:t>
      </w:r>
    </w:p>
    <w:p w14:paraId="6F3A4C3F"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A8C0197"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5825C0EA" w14:textId="77777777" w:rsidR="00885D54" w:rsidRPr="0005134E" w:rsidRDefault="00E5363F">
      <w:pPr>
        <w:spacing w:before="120" w:after="120"/>
        <w:ind w:left="851" w:right="902"/>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 </w:t>
      </w: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PLAZO RAZONABLE PARA RESOLVER. DIMENSIÓN Y EFECTOS DE ESTE CONCEPTO CUANDO SE ADUCE EXCESIVA CARGA DE TRABAJO</w:t>
      </w: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sz w:val="22"/>
          <w:szCs w:val="22"/>
        </w:rPr>
        <w:t xml:space="preserve"> consultable en el Seminario Judicial de la Federación y su gaceta, con el registro digital 2002351.</w:t>
      </w:r>
    </w:p>
    <w:p w14:paraId="3B66C0A7" w14:textId="77777777" w:rsidR="00885D54" w:rsidRPr="0005134E" w:rsidRDefault="00E5363F">
      <w:pPr>
        <w:spacing w:before="120" w:after="120"/>
        <w:ind w:left="851" w:right="902"/>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PLAZO RAZONABLE PARA RESOLVER. CONCEPTO Y ELEMENTOS QUE LO INTEGRAN A LA LUZ DEL DERECHO INTERNACIONAL DE LOS DERECHOS HUMANOS</w:t>
      </w: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sz w:val="22"/>
          <w:szCs w:val="22"/>
        </w:rPr>
        <w:t>, visible en el Seminario Judicial de la Federación y su gaceta, con el registro digital 2002350.</w:t>
      </w:r>
    </w:p>
    <w:p w14:paraId="6FF992DE"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5484446F"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14244D7" w14:textId="77777777" w:rsidR="00885D54" w:rsidRPr="0005134E" w:rsidRDefault="00E5363F">
      <w:pPr>
        <w:widowControl w:val="0"/>
        <w:spacing w:before="240" w:after="240" w:line="360" w:lineRule="auto"/>
        <w:jc w:val="center"/>
        <w:rPr>
          <w:rFonts w:ascii="Palatino Linotype" w:eastAsia="Palatino Linotype" w:hAnsi="Palatino Linotype" w:cs="Palatino Linotype"/>
          <w:b/>
          <w:bCs/>
          <w:sz w:val="22"/>
          <w:szCs w:val="22"/>
        </w:rPr>
      </w:pPr>
      <w:r w:rsidRPr="0005134E">
        <w:rPr>
          <w:rFonts w:ascii="Palatino Linotype" w:eastAsia="Palatino Linotype" w:hAnsi="Palatino Linotype" w:cs="Palatino Linotype"/>
          <w:b/>
          <w:bCs/>
          <w:sz w:val="22"/>
          <w:szCs w:val="22"/>
        </w:rPr>
        <w:t>II. C O N S I D E R A N D O S</w:t>
      </w:r>
    </w:p>
    <w:p w14:paraId="1657E93D"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b/>
          <w:bCs/>
          <w:sz w:val="22"/>
          <w:szCs w:val="22"/>
        </w:rPr>
        <w:t>Primero. Competencia.</w:t>
      </w:r>
      <w:r w:rsidRPr="0005134E">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59B89D3"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bookmarkStart w:id="6" w:name="_heading=h.tyjcwt" w:colFirst="0" w:colLast="0"/>
      <w:bookmarkEnd w:id="6"/>
      <w:r w:rsidRPr="0005134E">
        <w:rPr>
          <w:rFonts w:ascii="Palatino Linotype" w:eastAsia="Palatino Linotype" w:hAnsi="Palatino Linotype" w:cs="Palatino Linotype"/>
          <w:b/>
          <w:bCs/>
          <w:sz w:val="22"/>
          <w:szCs w:val="22"/>
        </w:rPr>
        <w:t>Segundo. Oportunidad y Procedibilidad del Recurso de Revisión</w:t>
      </w:r>
      <w:r w:rsidRPr="0005134E">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B03341F"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05134E">
        <w:rPr>
          <w:rFonts w:ascii="Palatino Linotype" w:eastAsia="Palatino Linotype" w:hAnsi="Palatino Linotype" w:cs="Palatino Linotype"/>
          <w:b/>
          <w:bCs/>
          <w:sz w:val="22"/>
          <w:szCs w:val="22"/>
        </w:rPr>
        <w:t xml:space="preserve">Sujeto Obligado </w:t>
      </w:r>
      <w:r w:rsidRPr="0005134E">
        <w:rPr>
          <w:rFonts w:ascii="Palatino Linotype" w:eastAsia="Palatino Linotype" w:hAnsi="Palatino Linotype" w:cs="Palatino Linotype"/>
          <w:sz w:val="22"/>
          <w:szCs w:val="22"/>
        </w:rPr>
        <w:t xml:space="preserve">remitió la respuesta a la solicitud de información el día </w:t>
      </w:r>
      <w:r w:rsidRPr="0005134E">
        <w:rPr>
          <w:rFonts w:ascii="Palatino Linotype" w:eastAsia="Palatino Linotype" w:hAnsi="Palatino Linotype" w:cs="Palatino Linotype"/>
          <w:b/>
          <w:bCs/>
          <w:sz w:val="22"/>
          <w:szCs w:val="22"/>
        </w:rPr>
        <w:t xml:space="preserve">seis de agosto de dos mil veinticinco, </w:t>
      </w:r>
      <w:r w:rsidRPr="0005134E">
        <w:rPr>
          <w:rFonts w:ascii="Palatino Linotype" w:eastAsia="Palatino Linotype" w:hAnsi="Palatino Linotype" w:cs="Palatino Linotype"/>
          <w:sz w:val="22"/>
          <w:szCs w:val="22"/>
        </w:rPr>
        <w:t xml:space="preserve">mientras que el recurso de revisión interpuesto por la parte </w:t>
      </w:r>
      <w:r w:rsidRPr="0005134E">
        <w:rPr>
          <w:rFonts w:ascii="Palatino Linotype" w:eastAsia="Palatino Linotype" w:hAnsi="Palatino Linotype" w:cs="Palatino Linotype"/>
          <w:b/>
          <w:bCs/>
          <w:sz w:val="22"/>
          <w:szCs w:val="22"/>
        </w:rPr>
        <w:t xml:space="preserve">Recurrente, </w:t>
      </w:r>
      <w:r w:rsidRPr="0005134E">
        <w:rPr>
          <w:rFonts w:ascii="Palatino Linotype" w:eastAsia="Palatino Linotype" w:hAnsi="Palatino Linotype" w:cs="Palatino Linotype"/>
          <w:sz w:val="22"/>
          <w:szCs w:val="22"/>
        </w:rPr>
        <w:t>se tuvo por presentado el día</w:t>
      </w:r>
      <w:r w:rsidRPr="0005134E">
        <w:rPr>
          <w:rFonts w:ascii="Palatino Linotype" w:eastAsia="Palatino Linotype" w:hAnsi="Palatino Linotype" w:cs="Palatino Linotype"/>
          <w:b/>
          <w:bCs/>
          <w:sz w:val="22"/>
          <w:szCs w:val="22"/>
        </w:rPr>
        <w:t xml:space="preserve"> catorce de agosto de dos mil veinticinco, </w:t>
      </w:r>
      <w:r w:rsidRPr="0005134E">
        <w:rPr>
          <w:rFonts w:ascii="Palatino Linotype" w:eastAsia="Palatino Linotype" w:hAnsi="Palatino Linotype" w:cs="Palatino Linotype"/>
          <w:sz w:val="22"/>
          <w:szCs w:val="22"/>
        </w:rPr>
        <w:t>esto es, al sexto día hábil posterior a aquel en el que tuvo conocimiento de la respuesta impugnada. En este sentido, se concluye que el presente recurso de revisión se encuentra dentro de los márgenes temporales previstos en las disposiciones legales referidas.</w:t>
      </w:r>
    </w:p>
    <w:p w14:paraId="44F38C9C" w14:textId="77777777" w:rsidR="00885D54" w:rsidRPr="0005134E" w:rsidRDefault="00E5363F">
      <w:pPr>
        <w:spacing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Además, por cuanto hace a la procedibilidad del recurso de revisión, es de suma importancia señalar que la parte</w:t>
      </w:r>
      <w:r w:rsidRPr="0005134E">
        <w:rPr>
          <w:rFonts w:ascii="Palatino Linotype" w:eastAsia="Palatino Linotype" w:hAnsi="Palatino Linotype" w:cs="Palatino Linotype"/>
          <w:b/>
          <w:bCs/>
          <w:sz w:val="22"/>
          <w:szCs w:val="22"/>
        </w:rPr>
        <w:t xml:space="preserve"> Recurrente</w:t>
      </w:r>
      <w:r w:rsidRPr="0005134E">
        <w:rPr>
          <w:rFonts w:ascii="Palatino Linotype" w:eastAsia="Palatino Linotype" w:hAnsi="Palatino Linotype" w:cs="Palatino Linotype"/>
          <w:sz w:val="22"/>
          <w:szCs w:val="22"/>
        </w:rPr>
        <w:t xml:space="preserve">, no señaló un </w:t>
      </w:r>
      <w:r w:rsidRPr="0005134E">
        <w:rPr>
          <w:rFonts w:ascii="Palatino Linotype" w:eastAsia="Palatino Linotype" w:hAnsi="Palatino Linotype" w:cs="Palatino Linotype"/>
          <w:b/>
          <w:bCs/>
          <w:sz w:val="22"/>
          <w:szCs w:val="22"/>
        </w:rPr>
        <w:t>nombre</w:t>
      </w:r>
      <w:r w:rsidRPr="0005134E">
        <w:rPr>
          <w:rFonts w:ascii="Palatino Linotype" w:eastAsia="Palatino Linotype" w:hAnsi="Palatino Linotype" w:cs="Palatino Linotype"/>
          <w:sz w:val="22"/>
          <w:szCs w:val="22"/>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E66268C"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Las solicitudes anónimas</w:t>
      </w:r>
      <w:r w:rsidRPr="0005134E">
        <w:rPr>
          <w:rFonts w:ascii="Palatino Linotype" w:eastAsia="Palatino Linotype" w:hAnsi="Palatino Linotype" w:cs="Palatino Linotype"/>
          <w:i/>
          <w:iCs/>
          <w:sz w:val="22"/>
          <w:szCs w:val="22"/>
        </w:rPr>
        <w:t xml:space="preserve">, con nombre incompleto o </w:t>
      </w:r>
      <w:r w:rsidRPr="0005134E">
        <w:rPr>
          <w:rFonts w:ascii="Palatino Linotype" w:eastAsia="Palatino Linotype" w:hAnsi="Palatino Linotype" w:cs="Palatino Linotype"/>
          <w:b/>
          <w:bCs/>
          <w:i/>
          <w:iCs/>
          <w:sz w:val="22"/>
          <w:szCs w:val="22"/>
        </w:rPr>
        <w:t>seudónimo</w:t>
      </w:r>
      <w:r w:rsidRPr="0005134E">
        <w:rPr>
          <w:rFonts w:ascii="Palatino Linotype" w:eastAsia="Palatino Linotype" w:hAnsi="Palatino Linotype" w:cs="Palatino Linotype"/>
          <w:i/>
          <w:iCs/>
          <w:sz w:val="22"/>
          <w:szCs w:val="22"/>
        </w:rPr>
        <w:t xml:space="preserve"> serán procedentes para su trámite por parte del sujeto obligado ante quien se presente. No podrá requerirse información adicional con motivo del nombre proporcionado por el solicitante."</w:t>
      </w:r>
    </w:p>
    <w:p w14:paraId="3FE19596" w14:textId="77777777" w:rsidR="00885D54" w:rsidRPr="0005134E" w:rsidRDefault="00E5363F">
      <w:pPr>
        <w:spacing w:before="240" w:after="240" w:line="360" w:lineRule="auto"/>
        <w:jc w:val="both"/>
        <w:rPr>
          <w:rFonts w:ascii="Palatino Linotype" w:eastAsia="Palatino Linotype" w:hAnsi="Palatino Linotype" w:cs="Palatino Linotype"/>
          <w:b/>
          <w:bCs/>
          <w:sz w:val="22"/>
          <w:szCs w:val="22"/>
        </w:rPr>
      </w:pPr>
      <w:r w:rsidRPr="0005134E">
        <w:rPr>
          <w:rFonts w:ascii="Palatino Linotype" w:eastAsia="Palatino Linotype" w:hAnsi="Palatino Linotype" w:cs="Palatino Linotype"/>
          <w:sz w:val="22"/>
          <w:szCs w:val="22"/>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05134E">
        <w:rPr>
          <w:rFonts w:ascii="Palatino Linotype" w:eastAsia="Palatino Linotype" w:hAnsi="Palatino Linotype" w:cs="Palatino Linotype"/>
          <w:b/>
          <w:bCs/>
          <w:sz w:val="22"/>
          <w:szCs w:val="22"/>
        </w:rPr>
        <w:t xml:space="preserve"> SAIMEX.</w:t>
      </w:r>
    </w:p>
    <w:p w14:paraId="4C347555"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05134E">
        <w:rPr>
          <w:rFonts w:ascii="Palatino Linotype" w:eastAsia="Palatino Linotype" w:hAnsi="Palatino Linotype" w:cs="Palatino Linotype"/>
          <w:b/>
          <w:bCs/>
          <w:sz w:val="22"/>
          <w:szCs w:val="22"/>
        </w:rPr>
        <w:t>Recurrente</w:t>
      </w:r>
      <w:r w:rsidRPr="0005134E">
        <w:rPr>
          <w:rFonts w:ascii="Palatino Linotype" w:eastAsia="Palatino Linotype" w:hAnsi="Palatino Linotype" w:cs="Palatino Linotype"/>
          <w:sz w:val="22"/>
          <w:szCs w:val="22"/>
        </w:rPr>
        <w:t xml:space="preserve"> en sus motivos de inconformidad, de acuerdo al artículo 179, fracciones I y V del ordenamiento legal citado, que a la letra dice: </w:t>
      </w:r>
    </w:p>
    <w:p w14:paraId="13860F8E" w14:textId="77777777" w:rsidR="00885D54" w:rsidRPr="0005134E" w:rsidRDefault="00E5363F">
      <w:pPr>
        <w:tabs>
          <w:tab w:val="left" w:pos="7938"/>
        </w:tabs>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Artículo 179.</w:t>
      </w:r>
      <w:r w:rsidRPr="0005134E">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190F6D9D" w14:textId="77777777" w:rsidR="00885D54" w:rsidRPr="0005134E" w:rsidRDefault="00E5363F">
      <w:pPr>
        <w:tabs>
          <w:tab w:val="left" w:pos="7938"/>
        </w:tabs>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w:t>
      </w:r>
      <w:r w:rsidRPr="0005134E">
        <w:rPr>
          <w:rFonts w:ascii="Palatino Linotype" w:eastAsia="Palatino Linotype" w:hAnsi="Palatino Linotype" w:cs="Palatino Linotype"/>
          <w:i/>
          <w:iCs/>
          <w:sz w:val="22"/>
          <w:szCs w:val="22"/>
        </w:rPr>
        <w:t>. La negativa a la información solicitada;</w:t>
      </w:r>
    </w:p>
    <w:p w14:paraId="7FECEE42" w14:textId="77777777" w:rsidR="00885D54" w:rsidRPr="0005134E" w:rsidRDefault="00E5363F">
      <w:pPr>
        <w:tabs>
          <w:tab w:val="left" w:pos="7938"/>
        </w:tabs>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p>
    <w:p w14:paraId="3F7D4C18" w14:textId="77777777" w:rsidR="00885D54" w:rsidRPr="0005134E" w:rsidRDefault="00E5363F">
      <w:pPr>
        <w:tabs>
          <w:tab w:val="left" w:pos="7938"/>
        </w:tabs>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V</w:t>
      </w:r>
      <w:r w:rsidRPr="0005134E">
        <w:rPr>
          <w:rFonts w:ascii="Palatino Linotype" w:eastAsia="Palatino Linotype" w:hAnsi="Palatino Linotype" w:cs="Palatino Linotype"/>
          <w:i/>
          <w:iCs/>
          <w:sz w:val="22"/>
          <w:szCs w:val="22"/>
        </w:rPr>
        <w:t>. La entrega de información incompleta;”</w:t>
      </w:r>
    </w:p>
    <w:p w14:paraId="44DD00C5" w14:textId="77777777" w:rsidR="00885D54" w:rsidRPr="0005134E" w:rsidRDefault="00E5363F">
      <w:pPr>
        <w:spacing w:before="240" w:after="240" w:line="360" w:lineRule="auto"/>
        <w:jc w:val="both"/>
        <w:rPr>
          <w:rFonts w:ascii="Palatino Linotype" w:eastAsia="Palatino Linotype" w:hAnsi="Palatino Linotype" w:cs="Palatino Linotype"/>
          <w:b/>
          <w:bCs/>
          <w:sz w:val="22"/>
          <w:szCs w:val="22"/>
        </w:rPr>
      </w:pPr>
      <w:r w:rsidRPr="0005134E">
        <w:rPr>
          <w:rFonts w:ascii="Palatino Linotype" w:eastAsia="Palatino Linotype" w:hAnsi="Palatino Linotype" w:cs="Palatino Linotype"/>
          <w:b/>
          <w:bCs/>
          <w:sz w:val="22"/>
          <w:szCs w:val="22"/>
        </w:rPr>
        <w:t xml:space="preserve">Tercero. Materia de la revisión. </w:t>
      </w:r>
      <w:r w:rsidRPr="0005134E">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05134E">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05134E">
        <w:rPr>
          <w:rFonts w:ascii="Palatino Linotype" w:eastAsia="Palatino Linotype" w:hAnsi="Palatino Linotype" w:cs="Palatino Linotype"/>
          <w:sz w:val="22"/>
          <w:szCs w:val="22"/>
        </w:rPr>
        <w:t xml:space="preserve">de la parte </w:t>
      </w:r>
      <w:r w:rsidRPr="0005134E">
        <w:rPr>
          <w:rFonts w:ascii="Palatino Linotype" w:eastAsia="Palatino Linotype" w:hAnsi="Palatino Linotype" w:cs="Palatino Linotype"/>
          <w:b/>
          <w:bCs/>
          <w:sz w:val="22"/>
          <w:szCs w:val="22"/>
        </w:rPr>
        <w:t>Recurrente</w:t>
      </w:r>
      <w:r w:rsidRPr="0005134E">
        <w:rPr>
          <w:rFonts w:ascii="Palatino Linotype" w:eastAsia="Palatino Linotype" w:hAnsi="Palatino Linotype" w:cs="Palatino Linotype"/>
          <w:sz w:val="22"/>
          <w:szCs w:val="22"/>
        </w:rPr>
        <w:t>, o en su defecto, en caso de ser procedente, ordenar la entrega de información.</w:t>
      </w:r>
    </w:p>
    <w:p w14:paraId="6D736D6A"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bookmarkStart w:id="7" w:name="_heading=h.2et92p0" w:colFirst="0" w:colLast="0"/>
      <w:bookmarkEnd w:id="7"/>
      <w:r w:rsidRPr="0005134E">
        <w:rPr>
          <w:rFonts w:ascii="Palatino Linotype" w:eastAsia="Palatino Linotype" w:hAnsi="Palatino Linotype" w:cs="Palatino Linotype"/>
          <w:b/>
          <w:bCs/>
          <w:sz w:val="22"/>
          <w:szCs w:val="22"/>
        </w:rPr>
        <w:t xml:space="preserve">Cuarto. Estudio del asunto. </w:t>
      </w:r>
      <w:r w:rsidRPr="0005134E">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00397246"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Artículo 4</w:t>
      </w:r>
      <w:r w:rsidRPr="0005134E">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6E19729"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05134E">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770CE6D"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05134E">
        <w:rPr>
          <w:rFonts w:ascii="Palatino Linotype" w:eastAsia="Palatino Linotype" w:hAnsi="Palatino Linotype" w:cs="Palatino Linotype"/>
          <w:i/>
          <w:iCs/>
          <w:sz w:val="22"/>
          <w:szCs w:val="22"/>
        </w:rPr>
        <w:t>.”</w:t>
      </w:r>
    </w:p>
    <w:p w14:paraId="0DABD4E3"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412BF2A"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“Artículo 12.-</w:t>
      </w:r>
      <w:r w:rsidRPr="0005134E">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2E3C78AA"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05134E">
        <w:rPr>
          <w:rFonts w:ascii="Palatino Linotype" w:eastAsia="Palatino Linotype" w:hAnsi="Palatino Linotype" w:cs="Palatino Linotype"/>
          <w:i/>
          <w:iCs/>
          <w:sz w:val="22"/>
          <w:szCs w:val="22"/>
        </w:rPr>
        <w:t xml:space="preserve">. </w:t>
      </w:r>
      <w:r w:rsidRPr="0005134E">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60EDD365" w14:textId="77777777" w:rsidR="00885D54" w:rsidRPr="0005134E" w:rsidRDefault="00E5363F">
      <w:pPr>
        <w:spacing w:before="240" w:after="240" w:line="360" w:lineRule="auto"/>
        <w:ind w:right="-93"/>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1ED3A807" w14:textId="77777777" w:rsidR="00885D54" w:rsidRPr="0005134E" w:rsidRDefault="00E5363F">
      <w:pPr>
        <w:spacing w:before="240" w:after="240" w:line="360" w:lineRule="auto"/>
        <w:jc w:val="both"/>
        <w:rPr>
          <w:rFonts w:ascii="Palatino Linotype" w:eastAsia="Palatino Linotype" w:hAnsi="Palatino Linotype" w:cs="Palatino Linotype"/>
          <w:b/>
          <w:bCs/>
          <w:sz w:val="22"/>
          <w:szCs w:val="22"/>
        </w:rPr>
      </w:pPr>
      <w:r w:rsidRPr="0005134E">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05134E">
        <w:rPr>
          <w:rFonts w:ascii="Palatino Linotype" w:eastAsia="Palatino Linotype" w:hAnsi="Palatino Linotype" w:cs="Palatino Linotype"/>
          <w:b/>
          <w:bCs/>
          <w:sz w:val="22"/>
          <w:szCs w:val="22"/>
        </w:rPr>
        <w:t xml:space="preserve"> </w:t>
      </w:r>
    </w:p>
    <w:p w14:paraId="38E1E252" w14:textId="77777777" w:rsidR="00885D54" w:rsidRPr="0005134E" w:rsidRDefault="00E5363F">
      <w:pPr>
        <w:spacing w:before="120" w:after="120"/>
        <w:ind w:left="1134"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 xml:space="preserve"> “</w:t>
      </w:r>
      <w:r w:rsidRPr="0005134E">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05134E">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CB42C18" w14:textId="77777777" w:rsidR="00885D54" w:rsidRPr="0005134E" w:rsidRDefault="00E5363F">
      <w:pPr>
        <w:spacing w:before="120" w:after="12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70C796C" w14:textId="77777777" w:rsidR="00885D54" w:rsidRPr="0005134E" w:rsidRDefault="00E5363F">
      <w:pPr>
        <w:spacing w:before="120" w:after="12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49B02DE"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 xml:space="preserve">Artículo 3. </w:t>
      </w:r>
      <w:r w:rsidRPr="0005134E">
        <w:rPr>
          <w:rFonts w:ascii="Palatino Linotype" w:eastAsia="Palatino Linotype" w:hAnsi="Palatino Linotype" w:cs="Palatino Linotype"/>
          <w:i/>
          <w:iCs/>
          <w:sz w:val="22"/>
          <w:szCs w:val="22"/>
        </w:rPr>
        <w:t>Para los efectos de la presente Ley se entenderá por:</w:t>
      </w:r>
    </w:p>
    <w:p w14:paraId="79C9E84B"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p>
    <w:p w14:paraId="51E189F1"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XI. Documento:</w:t>
      </w:r>
      <w:r w:rsidRPr="0005134E">
        <w:rPr>
          <w:rFonts w:ascii="Palatino Linotype" w:eastAsia="Palatino Linotype" w:hAnsi="Palatino Linotype" w:cs="Palatino Linotype"/>
          <w:i/>
          <w:iCs/>
          <w:sz w:val="22"/>
          <w:szCs w:val="22"/>
        </w:rPr>
        <w:t xml:space="preserve"> Los expedientes, reportes, estudios, actas</w:t>
      </w:r>
      <w:r w:rsidRPr="0005134E">
        <w:rPr>
          <w:rFonts w:ascii="Palatino Linotype" w:eastAsia="Palatino Linotype" w:hAnsi="Palatino Linotype" w:cs="Palatino Linotype"/>
          <w:b/>
          <w:bCs/>
          <w:i/>
          <w:iCs/>
          <w:sz w:val="22"/>
          <w:szCs w:val="22"/>
        </w:rPr>
        <w:t>,</w:t>
      </w:r>
      <w:r w:rsidRPr="0005134E">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5475D6C3"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7BCEC7A"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sz w:val="22"/>
          <w:szCs w:val="22"/>
        </w:rPr>
        <w:t>“</w:t>
      </w:r>
      <w:r w:rsidRPr="0005134E">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05134E">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5C8E4E7"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770250ED"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2EE77A3A"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0148CCBB"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60E2C440" w14:textId="77777777" w:rsidR="00885D54" w:rsidRPr="0005134E" w:rsidRDefault="00E5363F">
      <w:pPr>
        <w:spacing w:before="240" w:after="240" w:line="360" w:lineRule="auto"/>
        <w:ind w:right="51"/>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68FAC6E"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0D6F3D2" w14:textId="77777777" w:rsidR="00885D54" w:rsidRPr="0005134E" w:rsidRDefault="00E5363F">
      <w:pPr>
        <w:spacing w:before="240" w:after="240" w:line="360" w:lineRule="auto"/>
        <w:ind w:right="51"/>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05134E">
        <w:rPr>
          <w:rFonts w:ascii="Palatino Linotype" w:eastAsia="Palatino Linotype" w:hAnsi="Palatino Linotype" w:cs="Palatino Linotype"/>
          <w:b/>
          <w:bCs/>
          <w:sz w:val="22"/>
          <w:szCs w:val="22"/>
        </w:rPr>
        <w:t>Recurrente</w:t>
      </w:r>
      <w:r w:rsidRPr="0005134E">
        <w:rPr>
          <w:rFonts w:ascii="Palatino Linotype" w:eastAsia="Palatino Linotype" w:hAnsi="Palatino Linotype" w:cs="Palatino Linotype"/>
          <w:sz w:val="22"/>
          <w:szCs w:val="22"/>
        </w:rPr>
        <w:t xml:space="preserve"> requirió al </w:t>
      </w:r>
      <w:r w:rsidRPr="0005134E">
        <w:rPr>
          <w:rFonts w:ascii="Palatino Linotype" w:eastAsia="Palatino Linotype" w:hAnsi="Palatino Linotype" w:cs="Palatino Linotype"/>
          <w:b/>
          <w:bCs/>
          <w:sz w:val="22"/>
          <w:szCs w:val="22"/>
        </w:rPr>
        <w:t xml:space="preserve">Sujeto Obligado </w:t>
      </w:r>
      <w:r w:rsidRPr="0005134E">
        <w:rPr>
          <w:rFonts w:ascii="Palatino Linotype" w:eastAsia="Palatino Linotype" w:hAnsi="Palatino Linotype" w:cs="Palatino Linotype"/>
          <w:sz w:val="22"/>
          <w:szCs w:val="22"/>
        </w:rPr>
        <w:t>le proporcione, información consistente en lo siguiente:</w:t>
      </w:r>
    </w:p>
    <w:p w14:paraId="51547C81" w14:textId="77777777" w:rsidR="00885D54" w:rsidRPr="0005134E" w:rsidRDefault="00E5363F">
      <w:pPr>
        <w:spacing w:before="240" w:after="240" w:line="360" w:lineRule="auto"/>
        <w:ind w:right="51"/>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De la servidora pública referida en la solicitud:</w:t>
      </w:r>
    </w:p>
    <w:p w14:paraId="31394A11" w14:textId="77777777" w:rsidR="00885D54" w:rsidRPr="0005134E" w:rsidRDefault="00E5363F">
      <w:pPr>
        <w:spacing w:before="240" w:after="240" w:line="360" w:lineRule="auto"/>
        <w:ind w:left="284" w:right="51"/>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1. La fecha de ingreso.</w:t>
      </w:r>
    </w:p>
    <w:p w14:paraId="7DDB2E03" w14:textId="77777777" w:rsidR="00885D54" w:rsidRPr="0005134E" w:rsidRDefault="00E5363F">
      <w:pPr>
        <w:spacing w:before="240" w:after="240" w:line="360" w:lineRule="auto"/>
        <w:ind w:left="284" w:right="51"/>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2. Todos los sueldos y cambios de sueldo que ha tenido, mostrando los recibos de nómina donde se reflejan esos cambios, así como el documento que los autoriza.</w:t>
      </w:r>
    </w:p>
    <w:p w14:paraId="5C812000" w14:textId="77777777" w:rsidR="00885D54" w:rsidRPr="0005134E" w:rsidRDefault="00E5363F">
      <w:pPr>
        <w:pBdr>
          <w:top w:val="nil"/>
          <w:left w:val="nil"/>
          <w:bottom w:val="nil"/>
          <w:right w:val="nil"/>
          <w:between w:val="nil"/>
        </w:pBdr>
        <w:spacing w:before="280" w:after="28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Por otro lado, es de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60B58407"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2E96ED31" w14:textId="77777777" w:rsidR="00885D54" w:rsidRPr="0005134E" w:rsidRDefault="00E5363F">
      <w:pPr>
        <w:spacing w:before="240" w:after="240" w:line="360" w:lineRule="auto"/>
        <w:ind w:right="51"/>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la Ley de Transparencia y Acceso a la Información Pública del Estado de México y Municipios.</w:t>
      </w:r>
    </w:p>
    <w:p w14:paraId="6F1632CF"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41A83060" w14:textId="77777777" w:rsidR="00885D54" w:rsidRPr="0005134E" w:rsidRDefault="00E5363F">
      <w:pPr>
        <w:spacing w:before="280" w:after="28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En el caso particular, la Unidad de Transparencia turnó la solicitud a la Jefatura de Recursos Humanos, cuyo objetivo, de conformidad con el Manual de Organización de la Dirección de Administración y Finanzas, consiste en contar con el capital humano adecuado que permita el desarrollo y crecimiento de los colaboradores para el aumento de la productividad organizacional, así como desarrollar la comunicación interna capaz de crear lazos de conexión entre los colaboradores y directivos, entre cuyas atribuciones se encuentran las siguientes en su parte conducente:</w:t>
      </w:r>
    </w:p>
    <w:p w14:paraId="6C54B268" w14:textId="77777777" w:rsidR="00885D54" w:rsidRPr="0005134E" w:rsidRDefault="00E5363F">
      <w:pPr>
        <w:spacing w:before="280" w:after="280" w:line="360" w:lineRule="auto"/>
        <w:ind w:left="284"/>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Actualizar los expedientes del personal para su control y resguardo.</w:t>
      </w:r>
    </w:p>
    <w:p w14:paraId="084D3054" w14:textId="77777777" w:rsidR="00885D54" w:rsidRPr="0005134E" w:rsidRDefault="00E5363F">
      <w:pPr>
        <w:spacing w:before="280" w:after="280" w:line="360" w:lineRule="auto"/>
        <w:ind w:left="284"/>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Apegarse a las remuneraciones aprobadas para los miembros del ayuntamiento y para los servidores públicos municipales, incluyendo mandos medios y superiores de la administración pública municipal.</w:t>
      </w:r>
    </w:p>
    <w:p w14:paraId="1443B367" w14:textId="77777777" w:rsidR="00885D54" w:rsidRPr="0005134E" w:rsidRDefault="00E5363F">
      <w:pPr>
        <w:spacing w:before="280" w:after="280" w:line="360" w:lineRule="auto"/>
        <w:ind w:left="284"/>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Realizar el reclutamiento y la selección del personal de nuevo ingreso, vigilando el cumplimiento de los perfiles requeridos para cada puesto y la documentación que lo sustente.</w:t>
      </w:r>
    </w:p>
    <w:p w14:paraId="04462254" w14:textId="77777777" w:rsidR="00885D54" w:rsidRPr="0005134E" w:rsidRDefault="00E5363F">
      <w:pPr>
        <w:spacing w:before="280" w:after="280" w:line="360" w:lineRule="auto"/>
        <w:ind w:left="284"/>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Tramitar altas, bajas y cambios de situación de los servidores públicos municipales.</w:t>
      </w:r>
    </w:p>
    <w:p w14:paraId="119FB4EE" w14:textId="77777777" w:rsidR="00885D54" w:rsidRPr="0005134E" w:rsidRDefault="00E5363F">
      <w:pPr>
        <w:spacing w:before="280" w:after="280" w:line="360" w:lineRule="auto"/>
        <w:ind w:left="284"/>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Integrar, actualizar y resguardar los expedientes de los servidores públicos municipales.</w:t>
      </w:r>
    </w:p>
    <w:p w14:paraId="36ECBBB8" w14:textId="77777777" w:rsidR="00885D54" w:rsidRPr="0005134E" w:rsidRDefault="00E5363F">
      <w:pPr>
        <w:spacing w:before="240" w:after="240" w:line="360" w:lineRule="auto"/>
        <w:ind w:right="49"/>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Como logra vislumbrarse, es la Jefatura de Recursos Humanos, adscrita a la Dirección de Administración y Finanzas, es la dependencia competente para dar atención a la solicitud, al ser esta la facultada para registrar, controlar y dar seguimiento a los movimientos de personal como las altas; integrar el expediente de personal; así como de elaborar y distribuir de manera oportuna de la nómina para el pago al personal que labora en el Ayuntamiento por concepto de sueldos.</w:t>
      </w:r>
    </w:p>
    <w:p w14:paraId="32EA5098" w14:textId="77777777" w:rsidR="00885D54" w:rsidRPr="0005134E" w:rsidRDefault="00E5363F">
      <w:pPr>
        <w:spacing w:before="240" w:after="240" w:line="360" w:lineRule="auto"/>
        <w:ind w:right="49"/>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Ahora bien, en respuesta, el servidor público habilitado proporcionó la fecha de ingreso de la servidora pública, así como el sueldo quincenal neto de la servidora pública referida en la solicitud, como se ilustra a continuación:</w:t>
      </w:r>
    </w:p>
    <w:p w14:paraId="6222AD62" w14:textId="77777777" w:rsidR="00885D54" w:rsidRPr="0005134E" w:rsidRDefault="00E5363F">
      <w:pPr>
        <w:spacing w:before="240" w:after="240" w:line="360" w:lineRule="auto"/>
        <w:ind w:right="49"/>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noProof/>
          <w:sz w:val="22"/>
          <w:szCs w:val="22"/>
        </w:rPr>
        <w:drawing>
          <wp:inline distT="0" distB="0" distL="0" distR="0" wp14:anchorId="6BC1D1B2" wp14:editId="059679CD">
            <wp:extent cx="5612130" cy="602615"/>
            <wp:effectExtent l="0" t="0" r="0" b="0"/>
            <wp:docPr id="19520825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612130" cy="602615"/>
                    </a:xfrm>
                    <a:prstGeom prst="rect">
                      <a:avLst/>
                    </a:prstGeom>
                    <a:ln/>
                  </pic:spPr>
                </pic:pic>
              </a:graphicData>
            </a:graphic>
          </wp:inline>
        </w:drawing>
      </w:r>
    </w:p>
    <w:p w14:paraId="67628475" w14:textId="77777777" w:rsidR="00885D54" w:rsidRPr="0005134E" w:rsidRDefault="00E5363F">
      <w:pPr>
        <w:spacing w:before="240" w:after="240" w:line="360" w:lineRule="auto"/>
        <w:ind w:right="49"/>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Sin embargo, al no estar conforme con los términos de la respuesta proporcionada, la parte </w:t>
      </w:r>
      <w:r w:rsidRPr="0005134E">
        <w:rPr>
          <w:rFonts w:ascii="Palatino Linotype" w:eastAsia="Palatino Linotype" w:hAnsi="Palatino Linotype" w:cs="Palatino Linotype"/>
          <w:b/>
          <w:bCs/>
          <w:sz w:val="22"/>
          <w:szCs w:val="22"/>
        </w:rPr>
        <w:t xml:space="preserve">Recurrente </w:t>
      </w:r>
      <w:r w:rsidRPr="0005134E">
        <w:rPr>
          <w:rFonts w:ascii="Palatino Linotype" w:eastAsia="Palatino Linotype" w:hAnsi="Palatino Linotype" w:cs="Palatino Linotype"/>
          <w:sz w:val="22"/>
          <w:szCs w:val="22"/>
        </w:rPr>
        <w:t>presentó el recurso de revisión que nos ocupa, donde señaló que la información se entregó incompleta, al haberse ocultado la información que tiene recursos humanos en sus registros, como la fecha de ingreso y los sueldos que ha tenido la persona referida en la solicitud.</w:t>
      </w:r>
    </w:p>
    <w:p w14:paraId="49806002" w14:textId="77777777" w:rsidR="00885D54" w:rsidRPr="0005134E" w:rsidRDefault="00E5363F">
      <w:pPr>
        <w:spacing w:before="240" w:after="240" w:line="360" w:lineRule="auto"/>
        <w:ind w:right="49"/>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En la etapa de manifestaciones el </w:t>
      </w:r>
      <w:r w:rsidRPr="0005134E">
        <w:rPr>
          <w:rFonts w:ascii="Palatino Linotype" w:eastAsia="Palatino Linotype" w:hAnsi="Palatino Linotype" w:cs="Palatino Linotype"/>
          <w:b/>
          <w:bCs/>
          <w:sz w:val="22"/>
          <w:szCs w:val="22"/>
        </w:rPr>
        <w:t xml:space="preserve">Sujeto Obligado </w:t>
      </w:r>
      <w:r w:rsidRPr="0005134E">
        <w:rPr>
          <w:rFonts w:ascii="Palatino Linotype" w:eastAsia="Palatino Linotype" w:hAnsi="Palatino Linotype" w:cs="Palatino Linotype"/>
          <w:sz w:val="22"/>
          <w:szCs w:val="22"/>
        </w:rPr>
        <w:t xml:space="preserve">fue omiso en rendir su informe justificado, y la parte </w:t>
      </w:r>
      <w:r w:rsidRPr="0005134E">
        <w:rPr>
          <w:rFonts w:ascii="Palatino Linotype" w:eastAsia="Palatino Linotype" w:hAnsi="Palatino Linotype" w:cs="Palatino Linotype"/>
          <w:b/>
          <w:bCs/>
          <w:sz w:val="22"/>
          <w:szCs w:val="22"/>
        </w:rPr>
        <w:t xml:space="preserve">Recurrente </w:t>
      </w:r>
      <w:r w:rsidRPr="0005134E">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5CF00EF5"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Una vez establecidas las posturas de las partes, se procede al análisis del requerimiento de información combatido, así como la información proporcionada por el </w:t>
      </w:r>
      <w:r w:rsidRPr="0005134E">
        <w:rPr>
          <w:rFonts w:ascii="Palatino Linotype" w:eastAsia="Palatino Linotype" w:hAnsi="Palatino Linotype" w:cs="Palatino Linotype"/>
          <w:b/>
          <w:bCs/>
          <w:sz w:val="22"/>
          <w:szCs w:val="22"/>
        </w:rPr>
        <w:t xml:space="preserve">Sujeto Obligado, </w:t>
      </w:r>
      <w:r w:rsidRPr="0005134E">
        <w:rPr>
          <w:rFonts w:ascii="Palatino Linotype" w:eastAsia="Palatino Linotype" w:hAnsi="Palatino Linotype" w:cs="Palatino Linotype"/>
          <w:sz w:val="22"/>
          <w:szCs w:val="22"/>
        </w:rPr>
        <w:t xml:space="preserve">en contraposición con el motivo de inconformidad alegado por la parte </w:t>
      </w:r>
      <w:r w:rsidRPr="0005134E">
        <w:rPr>
          <w:rFonts w:ascii="Palatino Linotype" w:eastAsia="Palatino Linotype" w:hAnsi="Palatino Linotype" w:cs="Palatino Linotype"/>
          <w:b/>
          <w:bCs/>
          <w:sz w:val="22"/>
          <w:szCs w:val="22"/>
        </w:rPr>
        <w:t xml:space="preserve">Recurrente, </w:t>
      </w:r>
      <w:r w:rsidRPr="0005134E">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007AABDE" w14:textId="77777777" w:rsidR="00885D54" w:rsidRPr="0005134E" w:rsidRDefault="00E5363F">
      <w:pPr>
        <w:tabs>
          <w:tab w:val="left" w:pos="709"/>
        </w:tabs>
        <w:spacing w:before="240" w:after="240" w:line="360" w:lineRule="auto"/>
        <w:jc w:val="both"/>
        <w:rPr>
          <w:rFonts w:ascii="Palatino Linotype" w:eastAsia="Palatino Linotype" w:hAnsi="Palatino Linotype" w:cs="Palatino Linotype"/>
          <w:b/>
          <w:bCs/>
          <w:sz w:val="22"/>
          <w:szCs w:val="22"/>
        </w:rPr>
      </w:pPr>
      <w:r w:rsidRPr="0005134E">
        <w:rPr>
          <w:rFonts w:ascii="Palatino Linotype" w:eastAsia="Palatino Linotype" w:hAnsi="Palatino Linotype" w:cs="Palatino Linotype"/>
          <w:sz w:val="22"/>
          <w:szCs w:val="22"/>
        </w:rPr>
        <w:t xml:space="preserve">En este tenor, por lo que se refiere al </w:t>
      </w:r>
      <w:r w:rsidRPr="0005134E">
        <w:rPr>
          <w:rFonts w:ascii="Palatino Linotype" w:eastAsia="Palatino Linotype" w:hAnsi="Palatino Linotype" w:cs="Palatino Linotype"/>
          <w:b/>
          <w:bCs/>
          <w:sz w:val="22"/>
          <w:szCs w:val="22"/>
        </w:rPr>
        <w:t>punto 1</w:t>
      </w:r>
      <w:r w:rsidRPr="0005134E">
        <w:rPr>
          <w:rFonts w:ascii="Palatino Linotype" w:eastAsia="Palatino Linotype" w:hAnsi="Palatino Linotype" w:cs="Palatino Linotype"/>
          <w:sz w:val="22"/>
          <w:szCs w:val="22"/>
        </w:rPr>
        <w:t xml:space="preserve"> de la solicitud en el cual se requirió la fecha de ingreso de la servidora pública referida en la solicitud, el servidor público habilitado de la Jefatura de Recursos Humanos, por medio de un documento ad hoc proporcionó la fecha de ingreso de la servidora pública, siendo esta el </w:t>
      </w:r>
      <w:r w:rsidRPr="0005134E">
        <w:rPr>
          <w:rFonts w:ascii="Palatino Linotype" w:eastAsia="Palatino Linotype" w:hAnsi="Palatino Linotype" w:cs="Palatino Linotype"/>
          <w:b/>
          <w:bCs/>
          <w:sz w:val="22"/>
          <w:szCs w:val="22"/>
        </w:rPr>
        <w:t>uno de agosto de dos mil diecinueve.</w:t>
      </w:r>
    </w:p>
    <w:p w14:paraId="7D201579"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Al respecto, cabe señalar que el Derecho de acceso a la información pública se satisface en aquellos casos en que se entregue el soporte documental en que conste la información pública, sin la necesidad de elaborar documentos </w:t>
      </w:r>
      <w:r w:rsidRPr="0005134E">
        <w:rPr>
          <w:rFonts w:ascii="Palatino Linotype" w:eastAsia="Palatino Linotype" w:hAnsi="Palatino Linotype" w:cs="Palatino Linotype"/>
          <w:i/>
          <w:iCs/>
          <w:sz w:val="22"/>
          <w:szCs w:val="22"/>
        </w:rPr>
        <w:t>ad hoc</w:t>
      </w:r>
      <w:r w:rsidRPr="0005134E">
        <w:rPr>
          <w:rFonts w:ascii="Palatino Linotype" w:eastAsia="Palatino Linotype" w:hAnsi="Palatino Linotype" w:cs="Palatino Linotype"/>
          <w:sz w:val="22"/>
          <w:szCs w:val="22"/>
        </w:rPr>
        <w:t xml:space="preserve">; lo cual, toma sustento en el artículo 160 de la Ley de Transparencia y Acceso a la Información Pública del Estado de México y Municipios, el cual refiere que los Sujetos Obligados deberán entregar la información que obre en sus archivos; sin embargo, se aprecia que el </w:t>
      </w:r>
      <w:r w:rsidRPr="0005134E">
        <w:rPr>
          <w:rFonts w:ascii="Palatino Linotype" w:eastAsia="Palatino Linotype" w:hAnsi="Palatino Linotype" w:cs="Palatino Linotype"/>
          <w:b/>
          <w:bCs/>
          <w:sz w:val="22"/>
          <w:szCs w:val="22"/>
        </w:rPr>
        <w:t>Sujeto Obligado</w:t>
      </w:r>
      <w:r w:rsidRPr="0005134E">
        <w:rPr>
          <w:rFonts w:ascii="Palatino Linotype" w:eastAsia="Palatino Linotype" w:hAnsi="Palatino Linotype" w:cs="Palatino Linotype"/>
          <w:sz w:val="22"/>
          <w:szCs w:val="22"/>
        </w:rPr>
        <w:t xml:space="preserve">, elaboró un documento ad hoc para dar cabal cumplimiento al derecho de acceso a la información de la persona solicitante, aún y </w:t>
      </w:r>
      <w:r w:rsidRPr="0005134E">
        <w:rPr>
          <w:rFonts w:ascii="Palatino Linotype" w:eastAsia="Palatino Linotype" w:hAnsi="Palatino Linotype" w:cs="Palatino Linotype"/>
          <w:b/>
          <w:bCs/>
          <w:sz w:val="22"/>
          <w:szCs w:val="22"/>
        </w:rPr>
        <w:t>cuando no es una obligación de las autoridades</w:t>
      </w:r>
      <w:r w:rsidRPr="0005134E">
        <w:rPr>
          <w:rFonts w:ascii="Palatino Linotype" w:eastAsia="Palatino Linotype" w:hAnsi="Palatino Linotype" w:cs="Palatino Linotype"/>
          <w:sz w:val="22"/>
          <w:szCs w:val="22"/>
        </w:rPr>
        <w:t xml:space="preserve"> tal y como lo señala el Criterio de Interpretación con clave de control SO/003/2017, emitido por el entonces Instituto Nacional de Transparencia, Acceso a la Información y Protección de Datos Personales,  INAI, que dispone lo siguiente:</w:t>
      </w:r>
      <w:r w:rsidRPr="0005134E">
        <w:rPr>
          <w:rFonts w:ascii="Palatino Linotype" w:eastAsia="Palatino Linotype" w:hAnsi="Palatino Linotype" w:cs="Palatino Linotype"/>
          <w:b/>
          <w:bCs/>
          <w:sz w:val="22"/>
          <w:szCs w:val="22"/>
        </w:rPr>
        <w:t> </w:t>
      </w:r>
    </w:p>
    <w:p w14:paraId="52E4BB24" w14:textId="77777777" w:rsidR="00885D54" w:rsidRPr="0005134E" w:rsidRDefault="00E5363F">
      <w:pPr>
        <w:pBdr>
          <w:top w:val="nil"/>
          <w:left w:val="nil"/>
          <w:bottom w:val="nil"/>
          <w:right w:val="nil"/>
          <w:between w:val="nil"/>
        </w:pBdr>
        <w:spacing w:before="120" w:after="120"/>
        <w:ind w:left="851" w:right="851"/>
        <w:jc w:val="both"/>
        <w:rPr>
          <w:sz w:val="22"/>
          <w:szCs w:val="22"/>
        </w:rPr>
      </w:pP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 xml:space="preserve">No existe obligación de elaborar documentos ad hoc para atender las solicitudes de acceso a la información. </w:t>
      </w:r>
      <w:r w:rsidRPr="0005134E">
        <w:rPr>
          <w:rFonts w:ascii="Palatino Linotype" w:eastAsia="Palatino Linotype" w:hAnsi="Palatino Linotype" w:cs="Palatino Linotype"/>
          <w:i/>
          <w:iCs/>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BEC46F2" w14:textId="77777777" w:rsidR="00885D54" w:rsidRPr="0005134E" w:rsidRDefault="00E5363F">
      <w:pPr>
        <w:pBdr>
          <w:top w:val="nil"/>
          <w:left w:val="nil"/>
          <w:bottom w:val="nil"/>
          <w:right w:val="nil"/>
          <w:between w:val="nil"/>
        </w:pBdr>
        <w:spacing w:before="240" w:after="240" w:line="360" w:lineRule="auto"/>
        <w:ind w:right="-93"/>
        <w:jc w:val="both"/>
        <w:rPr>
          <w:sz w:val="22"/>
          <w:szCs w:val="22"/>
        </w:rPr>
      </w:pPr>
      <w:r w:rsidRPr="0005134E">
        <w:rPr>
          <w:rFonts w:ascii="Palatino Linotype" w:eastAsia="Palatino Linotype" w:hAnsi="Palatino Linotype" w:cs="Palatino Linotype"/>
          <w:sz w:val="22"/>
          <w:szCs w:val="22"/>
        </w:rPr>
        <w:t xml:space="preserve">Entonces, dado a que el criterio en mención establece que las autoridades </w:t>
      </w:r>
      <w:r w:rsidRPr="0005134E">
        <w:rPr>
          <w:rFonts w:ascii="Palatino Linotype" w:eastAsia="Palatino Linotype" w:hAnsi="Palatino Linotype" w:cs="Palatino Linotype"/>
          <w:b/>
          <w:bCs/>
          <w:sz w:val="22"/>
          <w:szCs w:val="22"/>
        </w:rPr>
        <w:t xml:space="preserve">no están obligadas a generar documentos “ad hoc” </w:t>
      </w:r>
      <w:r w:rsidRPr="0005134E">
        <w:rPr>
          <w:rFonts w:ascii="Palatino Linotype" w:eastAsia="Palatino Linotype" w:hAnsi="Palatino Linotype" w:cs="Palatino Linotype"/>
          <w:sz w:val="22"/>
          <w:szCs w:val="22"/>
        </w:rPr>
        <w:t>en contrario sensu, dicho criterio se puede interpretar resultando que las autoridades no están impedidas a generar documentos “ad hoc”, esto, siempre que con dicho documento elaborado se dé cabal cumplimiento a los requerimientos planteados.</w:t>
      </w:r>
    </w:p>
    <w:p w14:paraId="226A76DA" w14:textId="77777777" w:rsidR="00885D54" w:rsidRPr="0005134E" w:rsidRDefault="00E5363F">
      <w:pPr>
        <w:spacing w:before="240" w:after="360" w:line="360" w:lineRule="auto"/>
        <w:ind w:right="18"/>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En tal sentido, basta con el pronunciamiento del </w:t>
      </w:r>
      <w:r w:rsidRPr="0005134E">
        <w:rPr>
          <w:rFonts w:ascii="Palatino Linotype" w:eastAsia="Palatino Linotype" w:hAnsi="Palatino Linotype" w:cs="Palatino Linotype"/>
          <w:b/>
          <w:bCs/>
          <w:sz w:val="22"/>
          <w:szCs w:val="22"/>
        </w:rPr>
        <w:t xml:space="preserve">Sujeto Obligado, </w:t>
      </w:r>
      <w:r w:rsidRPr="0005134E">
        <w:rPr>
          <w:rFonts w:ascii="Palatino Linotype" w:eastAsia="Palatino Linotype" w:hAnsi="Palatino Linotype" w:cs="Palatino Linotype"/>
          <w:sz w:val="22"/>
          <w:szCs w:val="22"/>
        </w:rPr>
        <w:t>a través del área competente para tener por atendido el requerimiento de información en análisis, siendo importante dejar claro que este Pleno no está facultado para manifestarse sobre la veracidad de la información proporcionada, conforme lo prevé el artículo 36 de la Ley de Transparencia y Acceso a la Información Pública del Estado de México y Municipios.</w:t>
      </w:r>
    </w:p>
    <w:p w14:paraId="695E40DD" w14:textId="77777777" w:rsidR="00885D54" w:rsidRPr="0005134E" w:rsidRDefault="00E5363F">
      <w:pPr>
        <w:spacing w:before="240" w:after="360" w:line="360" w:lineRule="auto"/>
        <w:ind w:right="18"/>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No obstante, por lo que se refiere al </w:t>
      </w:r>
      <w:r w:rsidRPr="0005134E">
        <w:rPr>
          <w:rFonts w:ascii="Palatino Linotype" w:eastAsia="Palatino Linotype" w:hAnsi="Palatino Linotype" w:cs="Palatino Linotype"/>
          <w:b/>
          <w:bCs/>
          <w:sz w:val="22"/>
          <w:szCs w:val="22"/>
        </w:rPr>
        <w:t xml:space="preserve">punto 2 </w:t>
      </w:r>
      <w:r w:rsidRPr="0005134E">
        <w:rPr>
          <w:rFonts w:ascii="Palatino Linotype" w:eastAsia="Palatino Linotype" w:hAnsi="Palatino Linotype" w:cs="Palatino Linotype"/>
          <w:sz w:val="22"/>
          <w:szCs w:val="22"/>
        </w:rPr>
        <w:t>mediante el cual se solicitó la entrega de todos los sueldos y cambios de sueldo que ha tenido la persona servidora pública, esto a través de los recibos de nómina que reflejan dichos cambios y el documento que los autoriza, es de señalar que la persona servidora pública habilitada de la Jefatura de Recursos Humanos, se limitó a proporcionar el monto del sueldo quincenal bruto de la persona servidora pública referida en la solicitud, información que si bien se relaciona con lo solicitado, no satisface el requerimiento de la persona solicitante, ya que, además de no haber proporcionado el o los documentos en los que se refleja dicho sueldo y el documento que lo autoriza, no se mencionó si este corresponde a aquel que la servidora pública referida en la solicitud ha percibido desde su ingreso hasta la fecha de presentación de la solicitud, así como tampoco se proporcionó el monto del sueldo quincenal neto.</w:t>
      </w:r>
    </w:p>
    <w:p w14:paraId="5FEB5CEA"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Sobre el tema, el artículo 1.8, fracción XIII, del Código Administrativo del Estado de México, establece que para que tenga validez, todo acto administrativo deberá resolver todos los puntos propuestos por los interesados.</w:t>
      </w:r>
    </w:p>
    <w:p w14:paraId="635855CC"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Situación que se robustece, con el Criterio orientador, con clave de control SO/002/2017, emitido por el entonces Instituto Nacional de Transparencia, Acceso a la Información y Protección de Datos Personales, el cual establece que todo acto administrativo debe apegarse a los </w:t>
      </w:r>
      <w:r w:rsidRPr="0005134E">
        <w:rPr>
          <w:rFonts w:ascii="Palatino Linotype" w:eastAsia="Palatino Linotype" w:hAnsi="Palatino Linotype" w:cs="Palatino Linotype"/>
          <w:b/>
          <w:bCs/>
          <w:sz w:val="22"/>
          <w:szCs w:val="22"/>
        </w:rPr>
        <w:t>principios de congruencia y exhaustividad,</w:t>
      </w:r>
      <w:r w:rsidRPr="0005134E">
        <w:rPr>
          <w:rFonts w:ascii="Palatino Linotype" w:eastAsia="Palatino Linotype" w:hAnsi="Palatino Linotype" w:cs="Palatino Linotype"/>
          <w:sz w:val="22"/>
          <w:szCs w:val="22"/>
        </w:rPr>
        <w:t xml:space="preserve"> entendiendo por estos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4EE05650" w14:textId="77777777" w:rsidR="00885D54" w:rsidRPr="0005134E" w:rsidRDefault="00E5363F">
      <w:pPr>
        <w:pBdr>
          <w:top w:val="nil"/>
          <w:left w:val="nil"/>
          <w:bottom w:val="nil"/>
          <w:right w:val="nil"/>
          <w:between w:val="nil"/>
        </w:pBdr>
        <w:ind w:left="851" w:right="851"/>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 xml:space="preserve"> “Congruencia y exhaustividad. Sus alcances para garantizar el derecho de acceso a la información. </w:t>
      </w:r>
      <w:r w:rsidRPr="0005134E">
        <w:rPr>
          <w:rFonts w:ascii="Palatino Linotype" w:eastAsia="Palatino Linotype" w:hAnsi="Palatino Linotype" w:cs="Palatino Linotype"/>
          <w:i/>
          <w:iCs/>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05134E">
        <w:rPr>
          <w:rFonts w:ascii="Palatino Linotype" w:eastAsia="Palatino Linotype" w:hAnsi="Palatino Linotype" w:cs="Palatino Linotype"/>
          <w:b/>
          <w:bCs/>
          <w:i/>
          <w:iCs/>
          <w:sz w:val="22"/>
          <w:szCs w:val="22"/>
        </w:rPr>
        <w:t>la congruencia implica que exista concordancia entre el requerimiento formulado por el particular y la respuesta proporcionada por el sujeto obligado</w:t>
      </w:r>
      <w:r w:rsidRPr="0005134E">
        <w:rPr>
          <w:rFonts w:ascii="Palatino Linotype" w:eastAsia="Palatino Linotype" w:hAnsi="Palatino Linotype" w:cs="Palatino Linotype"/>
          <w:i/>
          <w:iCs/>
          <w:sz w:val="22"/>
          <w:szCs w:val="22"/>
        </w:rPr>
        <w:t xml:space="preserve">; mientras que </w:t>
      </w:r>
      <w:r w:rsidRPr="0005134E">
        <w:rPr>
          <w:rFonts w:ascii="Palatino Linotype" w:eastAsia="Palatino Linotype" w:hAnsi="Palatino Linotype" w:cs="Palatino Linotype"/>
          <w:b/>
          <w:bCs/>
          <w:i/>
          <w:iCs/>
          <w:sz w:val="22"/>
          <w:szCs w:val="22"/>
        </w:rPr>
        <w:t>la exhaustividad significa que dicha respuesta se refiera expresamente a cada uno de los puntos solicitados</w:t>
      </w:r>
      <w:r w:rsidRPr="0005134E">
        <w:rPr>
          <w:rFonts w:ascii="Palatino Linotype" w:eastAsia="Palatino Linotype" w:hAnsi="Palatino Linotype" w:cs="Palatino Linotype"/>
          <w:i/>
          <w:iCs/>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F5C27C9" w14:textId="77777777" w:rsidR="00885D54" w:rsidRPr="0005134E" w:rsidRDefault="00E5363F">
      <w:pPr>
        <w:spacing w:before="240" w:after="360" w:line="360" w:lineRule="auto"/>
        <w:ind w:right="18"/>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Por consiguiente, se estima que para tener por satisfecho el requerimiento de información en estudio, es necesario que el </w:t>
      </w:r>
      <w:r w:rsidRPr="0005134E">
        <w:rPr>
          <w:rFonts w:ascii="Palatino Linotype" w:eastAsia="Palatino Linotype" w:hAnsi="Palatino Linotype" w:cs="Palatino Linotype"/>
          <w:b/>
          <w:bCs/>
          <w:sz w:val="22"/>
          <w:szCs w:val="22"/>
        </w:rPr>
        <w:t xml:space="preserve">Sujeto Obligado, </w:t>
      </w:r>
      <w:r w:rsidRPr="0005134E">
        <w:rPr>
          <w:rFonts w:ascii="Palatino Linotype" w:eastAsia="Palatino Linotype" w:hAnsi="Palatino Linotype" w:cs="Palatino Linotype"/>
          <w:sz w:val="22"/>
          <w:szCs w:val="22"/>
        </w:rPr>
        <w:t>previa búsqueda exhaustiva y razonable en los archivos del área competente, haga entrega de los  recibos de nómina que den cuenta del o los sueldos asignados a la persona referida en la solicitud, desde su ingreso hasta la fecha de presentación de la solicitud, así como el documento mediante el cual se autorizaron los cambios de sueldo, pudiendo ser, de manera enunciativa, mas no limitativa, el nombramiento, contrato o formato único de movimiento de personal de la servidora pública, o bien algún oficio de autorización.</w:t>
      </w:r>
    </w:p>
    <w:p w14:paraId="5D6F1300"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Respecto a los recibos de nómina conviene referir que la Ley del Trabajo de los Servidores Públicos del Estado y Municipios hace referencia a los comprobantes que las instituciones públicas realizan para documentar el pago de salarios, prima vacacional, aguinaldo y demás prestaciones otorgadas a un servidor público, denominándose "recibos o comprobantes de pago", los cuales constituyen un instrumento mediante el cual el sujeto obligado acredita las remuneraciones al personal y, que de acuerdo al uso implantado en la colectividad se denominan "recibos de nómina".</w:t>
      </w:r>
    </w:p>
    <w:p w14:paraId="0938BDB2"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A efecto de robustecer lo anterior, es preciso hacer alusión, en primera instancia, a lo establecido en las normas de carácter general del Manual Único de Contabilidad Gubernamental para las Dependencias y Entidades Públicas del Gobierno y Municipios del Estado de México</w:t>
      </w:r>
      <w:r w:rsidRPr="0005134E">
        <w:rPr>
          <w:rFonts w:ascii="Palatino Linotype" w:eastAsia="Palatino Linotype" w:hAnsi="Palatino Linotype" w:cs="Palatino Linotype"/>
          <w:i/>
          <w:iCs/>
          <w:sz w:val="22"/>
          <w:szCs w:val="22"/>
        </w:rPr>
        <w:t xml:space="preserve">,  </w:t>
      </w:r>
      <w:r w:rsidRPr="0005134E">
        <w:rPr>
          <w:rFonts w:ascii="Palatino Linotype" w:eastAsia="Palatino Linotype" w:hAnsi="Palatino Linotype" w:cs="Palatino Linotype"/>
          <w:sz w:val="22"/>
          <w:szCs w:val="22"/>
        </w:rPr>
        <w:t xml:space="preserve">en donde se señala que el Régimen Fiscal para las entidades públicas es el correspondiente a </w:t>
      </w:r>
      <w:r w:rsidRPr="0005134E">
        <w:rPr>
          <w:rFonts w:ascii="Palatino Linotype" w:eastAsia="Palatino Linotype" w:hAnsi="Palatino Linotype" w:cs="Palatino Linotype"/>
          <w:i/>
          <w:iCs/>
          <w:sz w:val="22"/>
          <w:szCs w:val="22"/>
        </w:rPr>
        <w:t xml:space="preserve">personas morales con fines no lucrativos, </w:t>
      </w:r>
      <w:r w:rsidRPr="0005134E">
        <w:rPr>
          <w:rFonts w:ascii="Palatino Linotype" w:eastAsia="Palatino Linotype" w:hAnsi="Palatino Linotype" w:cs="Palatino Linotype"/>
          <w:sz w:val="22"/>
          <w:szCs w:val="22"/>
        </w:rPr>
        <w:t>y en segundo lugar remitirnos al párrafo séptimo del artículo 86 del Título III del Régimen de las Personas Morales con fines no lucrativos, de la Ley del Impuesto Sobre la Renta</w:t>
      </w:r>
      <w:r w:rsidRPr="0005134E">
        <w:rPr>
          <w:rFonts w:ascii="Palatino Linotype" w:eastAsia="Palatino Linotype" w:hAnsi="Palatino Linotype" w:cs="Palatino Linotype"/>
          <w:i/>
          <w:iCs/>
          <w:sz w:val="22"/>
          <w:szCs w:val="22"/>
        </w:rPr>
        <w:t xml:space="preserve">, </w:t>
      </w:r>
      <w:r w:rsidRPr="0005134E">
        <w:rPr>
          <w:rFonts w:ascii="Palatino Linotype" w:eastAsia="Palatino Linotype" w:hAnsi="Palatino Linotype" w:cs="Palatino Linotype"/>
          <w:sz w:val="22"/>
          <w:szCs w:val="22"/>
        </w:rPr>
        <w:t>que a la letra señala lo siguiente:</w:t>
      </w:r>
    </w:p>
    <w:p w14:paraId="60D20F35" w14:textId="77777777" w:rsidR="00885D54" w:rsidRPr="0005134E" w:rsidRDefault="00E5363F">
      <w:pPr>
        <w:spacing w:before="120" w:after="120"/>
        <w:ind w:left="851" w:right="902"/>
        <w:jc w:val="both"/>
        <w:rPr>
          <w:rFonts w:ascii="Palatino Linotype" w:eastAsia="Palatino Linotype" w:hAnsi="Palatino Linotype" w:cs="Palatino Linotype"/>
          <w:b/>
          <w:bCs/>
          <w:i/>
          <w:iCs/>
          <w:sz w:val="22"/>
          <w:szCs w:val="22"/>
        </w:rPr>
      </w:pPr>
      <w:r w:rsidRPr="0005134E">
        <w:rPr>
          <w:rFonts w:ascii="Palatino Linotype" w:eastAsia="Palatino Linotype" w:hAnsi="Palatino Linotype" w:cs="Palatino Linotype"/>
          <w:sz w:val="22"/>
          <w:szCs w:val="22"/>
        </w:rPr>
        <w:t xml:space="preserve"> </w:t>
      </w:r>
      <w:r w:rsidRPr="0005134E">
        <w:rPr>
          <w:rFonts w:ascii="Palatino Linotype" w:eastAsia="Palatino Linotype" w:hAnsi="Palatino Linotype" w:cs="Palatino Linotype"/>
          <w:b/>
          <w:bCs/>
          <w:i/>
          <w:iCs/>
          <w:sz w:val="22"/>
          <w:szCs w:val="22"/>
        </w:rPr>
        <w:t xml:space="preserve">“Artículo.- 86 </w:t>
      </w:r>
    </w:p>
    <w:p w14:paraId="759E5146"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p>
    <w:p w14:paraId="55A0CF48" w14:textId="77777777" w:rsidR="00885D54" w:rsidRPr="0005134E" w:rsidRDefault="00E5363F">
      <w:pPr>
        <w:spacing w:before="120" w:after="120"/>
        <w:ind w:left="851" w:right="902"/>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i/>
          <w:iCs/>
          <w:sz w:val="22"/>
          <w:szCs w:val="22"/>
        </w:rPr>
        <w:t xml:space="preserve">Los partidos y asociaciones políticas, legalmente reconocidos, la Federación, las entidades federativas, </w:t>
      </w:r>
      <w:r w:rsidRPr="0005134E">
        <w:rPr>
          <w:rFonts w:ascii="Palatino Linotype" w:eastAsia="Palatino Linotype" w:hAnsi="Palatino Linotype" w:cs="Palatino Linotype"/>
          <w:b/>
          <w:bCs/>
          <w:i/>
          <w:iCs/>
          <w:sz w:val="22"/>
          <w:szCs w:val="22"/>
        </w:rPr>
        <w:t>los municipios</w:t>
      </w:r>
      <w:r w:rsidRPr="0005134E">
        <w:rPr>
          <w:rFonts w:ascii="Palatino Linotype" w:eastAsia="Palatino Linotype" w:hAnsi="Palatino Linotype" w:cs="Palatino Linotype"/>
          <w:i/>
          <w:iCs/>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05134E">
        <w:rPr>
          <w:rFonts w:ascii="Palatino Linotype" w:eastAsia="Palatino Linotype" w:hAnsi="Palatino Linotype" w:cs="Palatino Linotype"/>
          <w:b/>
          <w:bCs/>
          <w:i/>
          <w:iCs/>
          <w:sz w:val="22"/>
          <w:szCs w:val="22"/>
        </w:rPr>
        <w:t>están obligados a expedir y entregar comprobantes fiscales a las personas que reciban pagos por concepto de salarios y, en general, por la prestación de un servicio personal subordinado, en la fecha en que se realice la erogación correspondiente, los cuales podrán utilizarse como constancia o recibo de pago</w:t>
      </w:r>
      <w:r w:rsidRPr="0005134E">
        <w:rPr>
          <w:rFonts w:ascii="Palatino Linotype" w:eastAsia="Palatino Linotype" w:hAnsi="Palatino Linotype" w:cs="Palatino Linotype"/>
          <w:i/>
          <w:iCs/>
          <w:sz w:val="22"/>
          <w:szCs w:val="22"/>
        </w:rPr>
        <w:t xml:space="preserve"> para efectos de la legislación laboral a que se refieren los artículos 132 fracciones VII y VIII, y 804 primer párrafo fracciones II y IV de la Ley Federal del Trabajo…</w:t>
      </w:r>
      <w:r w:rsidRPr="0005134E">
        <w:rPr>
          <w:rFonts w:ascii="Palatino Linotype" w:eastAsia="Palatino Linotype" w:hAnsi="Palatino Linotype" w:cs="Palatino Linotype"/>
          <w:sz w:val="22"/>
          <w:szCs w:val="22"/>
        </w:rPr>
        <w:t xml:space="preserve">” </w:t>
      </w:r>
    </w:p>
    <w:p w14:paraId="153CE9E1"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Del precepto citado, se advierte que los municipios al ser entes públicos se encuentran constreñidos a expedir y entregar los </w:t>
      </w:r>
      <w:r w:rsidRPr="0005134E">
        <w:rPr>
          <w:rFonts w:ascii="Palatino Linotype" w:eastAsia="Palatino Linotype" w:hAnsi="Palatino Linotype" w:cs="Palatino Linotype"/>
          <w:b/>
          <w:bCs/>
          <w:sz w:val="22"/>
          <w:szCs w:val="22"/>
        </w:rPr>
        <w:t xml:space="preserve">comprobantes fiscales correspondientes a las personas que reciban pagos por conceptos de salarios, </w:t>
      </w:r>
      <w:r w:rsidRPr="0005134E">
        <w:rPr>
          <w:rFonts w:ascii="Palatino Linotype" w:eastAsia="Palatino Linotype" w:hAnsi="Palatino Linotype" w:cs="Palatino Linotype"/>
          <w:sz w:val="22"/>
          <w:szCs w:val="22"/>
        </w:rPr>
        <w:t xml:space="preserve">mismos que pueden ser utilizados como </w:t>
      </w:r>
      <w:r w:rsidRPr="0005134E">
        <w:rPr>
          <w:rFonts w:ascii="Palatino Linotype" w:eastAsia="Palatino Linotype" w:hAnsi="Palatino Linotype" w:cs="Palatino Linotype"/>
          <w:b/>
          <w:bCs/>
          <w:sz w:val="22"/>
          <w:szCs w:val="22"/>
        </w:rPr>
        <w:t>constancia o</w:t>
      </w:r>
      <w:r w:rsidRPr="0005134E">
        <w:rPr>
          <w:rFonts w:ascii="Palatino Linotype" w:eastAsia="Palatino Linotype" w:hAnsi="Palatino Linotype" w:cs="Palatino Linotype"/>
          <w:sz w:val="22"/>
          <w:szCs w:val="22"/>
        </w:rPr>
        <w:t xml:space="preserve"> </w:t>
      </w:r>
      <w:r w:rsidRPr="0005134E">
        <w:rPr>
          <w:rFonts w:ascii="Palatino Linotype" w:eastAsia="Palatino Linotype" w:hAnsi="Palatino Linotype" w:cs="Palatino Linotype"/>
          <w:b/>
          <w:bCs/>
          <w:sz w:val="22"/>
          <w:szCs w:val="22"/>
        </w:rPr>
        <w:t>recibo de pago</w:t>
      </w:r>
      <w:r w:rsidRPr="0005134E">
        <w:rPr>
          <w:rFonts w:ascii="Palatino Linotype" w:eastAsia="Palatino Linotype" w:hAnsi="Palatino Linotype" w:cs="Palatino Linotype"/>
          <w:sz w:val="22"/>
          <w:szCs w:val="22"/>
        </w:rPr>
        <w:t>.</w:t>
      </w:r>
    </w:p>
    <w:p w14:paraId="5CE525B8"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Por su parte la Ley del Trabajo de los Servidores Públicos del Estado y Municipios, en su artículo 220-K fracciones II y IV y último párrafo, establecen lo siguiente:</w:t>
      </w:r>
    </w:p>
    <w:p w14:paraId="5DE4DA89" w14:textId="77777777" w:rsidR="00885D54" w:rsidRPr="0005134E" w:rsidRDefault="00E5363F">
      <w:pPr>
        <w:tabs>
          <w:tab w:val="left" w:pos="9072"/>
        </w:tabs>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“ARTÍCULO 220 K.-</w:t>
      </w:r>
      <w:r w:rsidRPr="0005134E">
        <w:rPr>
          <w:rFonts w:ascii="Palatino Linotype" w:eastAsia="Palatino Linotype" w:hAnsi="Palatino Linotype" w:cs="Palatino Linotype"/>
          <w:i/>
          <w:iCs/>
          <w:sz w:val="22"/>
          <w:szCs w:val="22"/>
        </w:rPr>
        <w:t xml:space="preserve"> La institución o dependencia pública tiene la obligación de conservar y exhibir en el proceso los documentos que a continuación se precisan:</w:t>
      </w:r>
    </w:p>
    <w:p w14:paraId="2FA099AE" w14:textId="77777777" w:rsidR="00885D54" w:rsidRPr="0005134E" w:rsidRDefault="00E5363F">
      <w:pPr>
        <w:tabs>
          <w:tab w:val="left" w:pos="9072"/>
        </w:tabs>
        <w:spacing w:before="120" w:after="120"/>
        <w:ind w:left="1134"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p>
    <w:p w14:paraId="3F346EDE" w14:textId="77777777" w:rsidR="00885D54" w:rsidRPr="0005134E" w:rsidRDefault="00E5363F">
      <w:pPr>
        <w:tabs>
          <w:tab w:val="left" w:pos="9072"/>
        </w:tabs>
        <w:spacing w:before="120" w:after="120"/>
        <w:ind w:left="1134"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II</w:t>
      </w:r>
      <w:r w:rsidRPr="0005134E">
        <w:rPr>
          <w:rFonts w:ascii="Palatino Linotype" w:eastAsia="Palatino Linotype" w:hAnsi="Palatino Linotype" w:cs="Palatino Linotype"/>
          <w:i/>
          <w:iCs/>
          <w:sz w:val="22"/>
          <w:szCs w:val="22"/>
        </w:rPr>
        <w:t>. Recibos de pagos de salarios o las constancias documentales del pago de salario cuando sea por depósito o mediante información electrónica;</w:t>
      </w:r>
    </w:p>
    <w:p w14:paraId="598E1F80" w14:textId="77777777" w:rsidR="00885D54" w:rsidRPr="0005134E" w:rsidRDefault="00E5363F">
      <w:pPr>
        <w:tabs>
          <w:tab w:val="left" w:pos="9072"/>
        </w:tabs>
        <w:spacing w:before="120" w:after="120"/>
        <w:ind w:left="1134"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p>
    <w:p w14:paraId="3C5B5E12" w14:textId="77777777" w:rsidR="00885D54" w:rsidRPr="0005134E" w:rsidRDefault="00E5363F">
      <w:pPr>
        <w:tabs>
          <w:tab w:val="left" w:pos="9072"/>
        </w:tabs>
        <w:spacing w:before="120" w:after="120"/>
        <w:ind w:left="1134"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IV</w:t>
      </w:r>
      <w:r w:rsidRPr="0005134E">
        <w:rPr>
          <w:rFonts w:ascii="Palatino Linotype" w:eastAsia="Palatino Linotype" w:hAnsi="Palatino Linotype" w:cs="Palatino Linotype"/>
          <w:i/>
          <w:iCs/>
          <w:sz w:val="22"/>
          <w:szCs w:val="22"/>
        </w:rPr>
        <w:t>. Recibos o las constancias de depósito o del medio de información magnética o electrónica que sean utilizadas para el pago de salarios, prima vacacional, aguinaldo y demás prestaciones establecidas en la presente ley; y…</w:t>
      </w:r>
    </w:p>
    <w:p w14:paraId="1834B9F3" w14:textId="77777777" w:rsidR="00885D54" w:rsidRPr="0005134E" w:rsidRDefault="00E5363F">
      <w:pPr>
        <w:tabs>
          <w:tab w:val="left" w:pos="9072"/>
        </w:tabs>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39CE57D9" w14:textId="77777777" w:rsidR="00885D54" w:rsidRPr="0005134E" w:rsidRDefault="00E5363F">
      <w:pPr>
        <w:tabs>
          <w:tab w:val="left" w:pos="9072"/>
        </w:tabs>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3C0CFEFE"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El incumplimiento por lo dispuesto por este artículo, establecerá la presunción de ser ciertos los hechos que el actor exprese en su demanda, en relación con tales documentos, salvo prueba en contrario.”</w:t>
      </w:r>
    </w:p>
    <w:p w14:paraId="599F23F9"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Sobre la base del precepto legal citado, se advierte que </w:t>
      </w:r>
      <w:r w:rsidRPr="0005134E">
        <w:rPr>
          <w:rFonts w:ascii="Palatino Linotype" w:eastAsia="Palatino Linotype" w:hAnsi="Palatino Linotype" w:cs="Palatino Linotype"/>
          <w:i/>
          <w:iCs/>
          <w:sz w:val="22"/>
          <w:szCs w:val="22"/>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05134E">
        <w:rPr>
          <w:rFonts w:ascii="Palatino Linotype" w:eastAsia="Palatino Linotype" w:hAnsi="Palatino Linotype" w:cs="Palatino Linotype"/>
          <w:sz w:val="22"/>
          <w:szCs w:val="22"/>
        </w:rPr>
        <w:t>.</w:t>
      </w:r>
    </w:p>
    <w:p w14:paraId="4933EF28"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Por tanto, los recibos de nómina o comprobantes digitales por concepto de nómina tienen como objetivo presentar la información del pago de las remuneraciones de cada uno de los servidores públicos de la entidad fiscalizable de que se trate correspondiente a un periodo determinado.</w:t>
      </w:r>
    </w:p>
    <w:p w14:paraId="686ABA5B" w14:textId="77777777" w:rsidR="00885D54" w:rsidRPr="0005134E" w:rsidRDefault="00E5363F">
      <w:pPr>
        <w:spacing w:before="240" w:after="240" w:line="360" w:lineRule="auto"/>
        <w:ind w:right="49"/>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Por lo que se refiere al nombramiento, contrato o formato único de movimiento de personal, como se desprende del artículo 49 de la Ley del Trabajo de los Servidores Públicos del Estado de México y Municipios, debe contener, entre otros datos, la remuneración correspondiente al puesto, a saber:</w:t>
      </w:r>
    </w:p>
    <w:p w14:paraId="617C1351"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“ARTÍCULO 49</w:t>
      </w:r>
      <w:r w:rsidRPr="0005134E">
        <w:rPr>
          <w:rFonts w:ascii="Palatino Linotype" w:eastAsia="Palatino Linotype" w:hAnsi="Palatino Linotype" w:cs="Palatino Linotype"/>
          <w:i/>
          <w:iCs/>
          <w:sz w:val="22"/>
          <w:szCs w:val="22"/>
        </w:rPr>
        <w:t>.- Los nombramientos, contratos o formato único de Movimientos de Personal de los servidores públicos deberán contener:</w:t>
      </w:r>
    </w:p>
    <w:p w14:paraId="6FFDF798" w14:textId="77777777" w:rsidR="00885D54" w:rsidRPr="0005134E" w:rsidRDefault="00E5363F">
      <w:pPr>
        <w:spacing w:before="120" w:after="120"/>
        <w:ind w:left="851" w:right="902"/>
        <w:jc w:val="both"/>
        <w:rPr>
          <w:rFonts w:ascii="Palatino Linotype" w:eastAsia="Palatino Linotype" w:hAnsi="Palatino Linotype" w:cs="Palatino Linotype"/>
          <w:b/>
          <w:bCs/>
          <w:i/>
          <w:iCs/>
          <w:sz w:val="22"/>
          <w:szCs w:val="22"/>
        </w:rPr>
      </w:pPr>
      <w:r w:rsidRPr="0005134E">
        <w:rPr>
          <w:rFonts w:ascii="Palatino Linotype" w:eastAsia="Palatino Linotype" w:hAnsi="Palatino Linotype" w:cs="Palatino Linotype"/>
          <w:b/>
          <w:bCs/>
          <w:i/>
          <w:iCs/>
          <w:sz w:val="22"/>
          <w:szCs w:val="22"/>
        </w:rPr>
        <w:t>I. Nombre completo del servidor público;</w:t>
      </w:r>
    </w:p>
    <w:p w14:paraId="7D107501"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 xml:space="preserve">II. </w:t>
      </w:r>
      <w:r w:rsidRPr="0005134E">
        <w:rPr>
          <w:rFonts w:ascii="Palatino Linotype" w:eastAsia="Palatino Linotype" w:hAnsi="Palatino Linotype" w:cs="Palatino Linotype"/>
          <w:i/>
          <w:iCs/>
          <w:sz w:val="22"/>
          <w:szCs w:val="22"/>
        </w:rPr>
        <w:t xml:space="preserve">Cargo para el que es designado, fecha de inicio de sus servicios y lugar de adscripción; </w:t>
      </w:r>
    </w:p>
    <w:p w14:paraId="7B65B20D"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III</w:t>
      </w:r>
      <w:r w:rsidRPr="0005134E">
        <w:rPr>
          <w:rFonts w:ascii="Palatino Linotype" w:eastAsia="Palatino Linotype" w:hAnsi="Palatino Linotype" w:cs="Palatino Linotype"/>
          <w:i/>
          <w:iCs/>
          <w:sz w:val="22"/>
          <w:szCs w:val="22"/>
        </w:rPr>
        <w:t xml:space="preserve">. Carácter del nombramiento, ya sea de servidores públicos generales o de confianza, así como la temporalidad del mismo; </w:t>
      </w:r>
    </w:p>
    <w:p w14:paraId="076CA552" w14:textId="77777777" w:rsidR="00885D54" w:rsidRPr="0005134E" w:rsidRDefault="00E5363F">
      <w:pPr>
        <w:spacing w:before="120" w:after="120"/>
        <w:ind w:left="851" w:right="902"/>
        <w:jc w:val="both"/>
        <w:rPr>
          <w:rFonts w:ascii="Palatino Linotype" w:eastAsia="Palatino Linotype" w:hAnsi="Palatino Linotype" w:cs="Palatino Linotype"/>
          <w:b/>
          <w:bCs/>
          <w:i/>
          <w:iCs/>
          <w:sz w:val="22"/>
          <w:szCs w:val="22"/>
        </w:rPr>
      </w:pPr>
      <w:r w:rsidRPr="0005134E">
        <w:rPr>
          <w:rFonts w:ascii="Palatino Linotype" w:eastAsia="Palatino Linotype" w:hAnsi="Palatino Linotype" w:cs="Palatino Linotype"/>
          <w:b/>
          <w:bCs/>
          <w:i/>
          <w:iCs/>
          <w:sz w:val="22"/>
          <w:szCs w:val="22"/>
        </w:rPr>
        <w:t xml:space="preserve">IV. </w:t>
      </w:r>
      <w:r w:rsidRPr="0005134E">
        <w:rPr>
          <w:rFonts w:ascii="Palatino Linotype" w:eastAsia="Palatino Linotype" w:hAnsi="Palatino Linotype" w:cs="Palatino Linotype"/>
          <w:b/>
          <w:bCs/>
          <w:i/>
          <w:iCs/>
          <w:sz w:val="22"/>
          <w:szCs w:val="22"/>
          <w:u w:val="single"/>
        </w:rPr>
        <w:t>Remuneración correspondiente al puesto</w:t>
      </w: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 xml:space="preserve"> </w:t>
      </w:r>
    </w:p>
    <w:p w14:paraId="6E0EF35C"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V</w:t>
      </w:r>
      <w:r w:rsidRPr="0005134E">
        <w:rPr>
          <w:rFonts w:ascii="Palatino Linotype" w:eastAsia="Palatino Linotype" w:hAnsi="Palatino Linotype" w:cs="Palatino Linotype"/>
          <w:i/>
          <w:iCs/>
          <w:sz w:val="22"/>
          <w:szCs w:val="22"/>
        </w:rPr>
        <w:t xml:space="preserve">. Jornada de trabajo; </w:t>
      </w:r>
    </w:p>
    <w:p w14:paraId="4E9AEF95"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VI.</w:t>
      </w:r>
      <w:r w:rsidRPr="0005134E">
        <w:rPr>
          <w:rFonts w:ascii="Palatino Linotype" w:eastAsia="Palatino Linotype" w:hAnsi="Palatino Linotype" w:cs="Palatino Linotype"/>
          <w:i/>
          <w:iCs/>
          <w:sz w:val="22"/>
          <w:szCs w:val="22"/>
        </w:rPr>
        <w:t xml:space="preserve"> Derogada; </w:t>
      </w:r>
    </w:p>
    <w:p w14:paraId="28E5F4FB"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VII.</w:t>
      </w:r>
      <w:r w:rsidRPr="0005134E">
        <w:rPr>
          <w:rFonts w:ascii="Palatino Linotype" w:eastAsia="Palatino Linotype" w:hAnsi="Palatino Linotype" w:cs="Palatino Linotype"/>
          <w:i/>
          <w:iCs/>
          <w:sz w:val="22"/>
          <w:szCs w:val="22"/>
        </w:rPr>
        <w:t xml:space="preserve"> </w:t>
      </w:r>
      <w:r w:rsidRPr="0005134E">
        <w:rPr>
          <w:rFonts w:ascii="Palatino Linotype" w:eastAsia="Palatino Linotype" w:hAnsi="Palatino Linotype" w:cs="Palatino Linotype"/>
          <w:b/>
          <w:bCs/>
          <w:i/>
          <w:iCs/>
          <w:sz w:val="22"/>
          <w:szCs w:val="22"/>
          <w:u w:val="single"/>
        </w:rPr>
        <w:t>Firma del servidor público autorizado para emitir el nombramiento, contrato o formato único de Movimientos de Personal</w:t>
      </w:r>
      <w:r w:rsidRPr="0005134E">
        <w:rPr>
          <w:rFonts w:ascii="Palatino Linotype" w:eastAsia="Palatino Linotype" w:hAnsi="Palatino Linotype" w:cs="Palatino Linotype"/>
          <w:i/>
          <w:iCs/>
          <w:sz w:val="22"/>
          <w:szCs w:val="22"/>
        </w:rPr>
        <w:t>, así como el fundamento legal de esa atribución.</w:t>
      </w:r>
    </w:p>
    <w:p w14:paraId="18F41076" w14:textId="77777777" w:rsidR="00885D54" w:rsidRPr="0005134E" w:rsidRDefault="00E5363F">
      <w:pPr>
        <w:spacing w:before="240" w:after="240" w:line="360" w:lineRule="auto"/>
        <w:ind w:right="51"/>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No obstante, si derivado de la búsqueda que se ordena, no se llegara a localizar información referente al cambio de sueldo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66283916"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Artículo 19</w:t>
      </w:r>
      <w:r w:rsidRPr="0005134E">
        <w:rPr>
          <w:rFonts w:ascii="Palatino Linotype" w:eastAsia="Palatino Linotype" w:hAnsi="Palatino Linotype" w:cs="Palatino Linotype"/>
          <w:i/>
          <w:iCs/>
          <w:sz w:val="22"/>
          <w:szCs w:val="22"/>
        </w:rPr>
        <w:t>…</w:t>
      </w:r>
    </w:p>
    <w:p w14:paraId="3022E001"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En los casos en que ciertas facultades, competencias o funciones no se hayan ejercido, se debe motivar la respuesta en función de las causas que motiven tal circunstancia.”</w:t>
      </w:r>
    </w:p>
    <w:p w14:paraId="44F84621"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De lo hasta aquí expuesto, se concluye que los motivos de inconformidad de la parte </w:t>
      </w:r>
      <w:r w:rsidRPr="0005134E">
        <w:rPr>
          <w:rFonts w:ascii="Palatino Linotype" w:eastAsia="Palatino Linotype" w:hAnsi="Palatino Linotype" w:cs="Palatino Linotype"/>
          <w:b/>
          <w:bCs/>
          <w:sz w:val="22"/>
          <w:szCs w:val="22"/>
        </w:rPr>
        <w:t xml:space="preserve">Recurrente </w:t>
      </w:r>
      <w:r w:rsidRPr="0005134E">
        <w:rPr>
          <w:rFonts w:ascii="Palatino Linotype" w:eastAsia="Palatino Linotype" w:hAnsi="Palatino Linotype" w:cs="Palatino Linotype"/>
          <w:sz w:val="22"/>
          <w:szCs w:val="22"/>
        </w:rPr>
        <w:t xml:space="preserve">devienen parcialmente fundados, siendo procedente </w:t>
      </w:r>
      <w:r w:rsidRPr="0005134E">
        <w:rPr>
          <w:rFonts w:ascii="Palatino Linotype" w:eastAsia="Palatino Linotype" w:hAnsi="Palatino Linotype" w:cs="Palatino Linotype"/>
          <w:i/>
          <w:iCs/>
          <w:sz w:val="22"/>
          <w:szCs w:val="22"/>
        </w:rPr>
        <w:t xml:space="preserve">Modificar </w:t>
      </w:r>
      <w:r w:rsidRPr="0005134E">
        <w:rPr>
          <w:rFonts w:ascii="Palatino Linotype" w:eastAsia="Palatino Linotype" w:hAnsi="Palatino Linotype" w:cs="Palatino Linotype"/>
          <w:sz w:val="22"/>
          <w:szCs w:val="22"/>
        </w:rPr>
        <w:t xml:space="preserve">la respuesta proporcionada por el </w:t>
      </w:r>
      <w:r w:rsidRPr="0005134E">
        <w:rPr>
          <w:rFonts w:ascii="Palatino Linotype" w:eastAsia="Palatino Linotype" w:hAnsi="Palatino Linotype" w:cs="Palatino Linotype"/>
          <w:b/>
          <w:bCs/>
          <w:sz w:val="22"/>
          <w:szCs w:val="22"/>
        </w:rPr>
        <w:t xml:space="preserve">Sujeto Obligado </w:t>
      </w:r>
      <w:r w:rsidRPr="0005134E">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03A72992" w14:textId="77777777" w:rsidR="00885D54" w:rsidRPr="0005134E" w:rsidRDefault="00885D54">
      <w:pPr>
        <w:spacing w:before="240" w:after="360" w:line="360" w:lineRule="auto"/>
        <w:ind w:right="18"/>
        <w:jc w:val="both"/>
        <w:rPr>
          <w:rFonts w:ascii="Palatino Linotype" w:eastAsia="Palatino Linotype" w:hAnsi="Palatino Linotype" w:cs="Palatino Linotype"/>
          <w:sz w:val="22"/>
          <w:szCs w:val="22"/>
        </w:rPr>
      </w:pPr>
    </w:p>
    <w:p w14:paraId="3EF287C0" w14:textId="77777777" w:rsidR="00885D54" w:rsidRPr="0005134E" w:rsidRDefault="00885D54">
      <w:pPr>
        <w:spacing w:before="240" w:after="360" w:line="360" w:lineRule="auto"/>
        <w:ind w:right="18"/>
        <w:jc w:val="both"/>
        <w:rPr>
          <w:rFonts w:ascii="Palatino Linotype" w:eastAsia="Palatino Linotype" w:hAnsi="Palatino Linotype" w:cs="Palatino Linotype"/>
          <w:sz w:val="22"/>
          <w:szCs w:val="22"/>
        </w:rPr>
      </w:pPr>
    </w:p>
    <w:p w14:paraId="794EB60D" w14:textId="77777777" w:rsidR="00885D54" w:rsidRPr="0005134E" w:rsidRDefault="00E5363F">
      <w:pPr>
        <w:spacing w:before="240" w:after="240" w:line="360" w:lineRule="auto"/>
        <w:ind w:right="51"/>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b/>
          <w:bCs/>
          <w:sz w:val="22"/>
          <w:szCs w:val="22"/>
        </w:rPr>
        <w:t xml:space="preserve">Quinto. Versión Pública. </w:t>
      </w:r>
      <w:r w:rsidRPr="0005134E">
        <w:rPr>
          <w:rFonts w:ascii="Palatino Linotype" w:eastAsia="Palatino Linotype" w:hAnsi="Palatino Linotype" w:cs="Palatino Linotype"/>
          <w:sz w:val="22"/>
          <w:szCs w:val="22"/>
        </w:rPr>
        <w:t>Como fue debidamente apuntado, el </w:t>
      </w:r>
      <w:r w:rsidRPr="0005134E">
        <w:rPr>
          <w:rFonts w:ascii="Palatino Linotype" w:eastAsia="Palatino Linotype" w:hAnsi="Palatino Linotype" w:cs="Palatino Linotype"/>
          <w:b/>
          <w:bCs/>
          <w:sz w:val="22"/>
          <w:szCs w:val="22"/>
        </w:rPr>
        <w:t>Sujeto Obligado</w:t>
      </w:r>
      <w:r w:rsidRPr="0005134E">
        <w:rPr>
          <w:rFonts w:ascii="Palatino Linotype" w:eastAsia="Palatino Linotype" w:hAnsi="Palatino Linotype" w:cs="Palatino Linotype"/>
          <w:sz w:val="22"/>
          <w:szCs w:val="22"/>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14:paraId="5BAB00BD" w14:textId="77777777" w:rsidR="00885D54" w:rsidRPr="0005134E" w:rsidRDefault="00E5363F">
      <w:pPr>
        <w:spacing w:before="240" w:after="240" w:line="360" w:lineRule="auto"/>
        <w:ind w:right="49"/>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14:paraId="4A4841C7" w14:textId="77777777" w:rsidR="00885D54" w:rsidRPr="0005134E" w:rsidRDefault="00E5363F">
      <w:pPr>
        <w:spacing w:before="240" w:after="240" w:line="360" w:lineRule="auto"/>
        <w:ind w:right="49"/>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14:paraId="51105771" w14:textId="77777777" w:rsidR="00885D54" w:rsidRPr="0005134E" w:rsidRDefault="00E5363F">
      <w:pPr>
        <w:spacing w:before="240" w:after="240" w:line="360" w:lineRule="auto"/>
        <w:ind w:right="49"/>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Al respecto, los artículos 3, fracciones IX, XX, XXI, XXXII, XLV; 6, 91, 132, 137, 143, fracción I, de la Ley de Transparencia y Acceso a la Información Pública del Estado de México y Municipios vigente establecen:</w:t>
      </w:r>
    </w:p>
    <w:p w14:paraId="7AF77652"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sz w:val="22"/>
          <w:szCs w:val="22"/>
        </w:rPr>
        <w:t> </w:t>
      </w: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Artículo 3.</w:t>
      </w:r>
      <w:r w:rsidRPr="0005134E">
        <w:rPr>
          <w:rFonts w:ascii="Palatino Linotype" w:eastAsia="Palatino Linotype" w:hAnsi="Palatino Linotype" w:cs="Palatino Linotype"/>
          <w:i/>
          <w:iCs/>
          <w:sz w:val="22"/>
          <w:szCs w:val="22"/>
        </w:rPr>
        <w:t xml:space="preserve"> Para los efectos de la presente Ley se entenderá por:</w:t>
      </w:r>
    </w:p>
    <w:p w14:paraId="028313B1" w14:textId="77777777" w:rsidR="00885D54" w:rsidRPr="0005134E" w:rsidRDefault="00E5363F">
      <w:pPr>
        <w:tabs>
          <w:tab w:val="left" w:pos="1276"/>
        </w:tabs>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p>
    <w:p w14:paraId="79970FFD" w14:textId="77777777" w:rsidR="00885D54" w:rsidRPr="0005134E" w:rsidRDefault="00E5363F">
      <w:pPr>
        <w:tabs>
          <w:tab w:val="left" w:pos="1276"/>
        </w:tabs>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IX. Datos personales</w:t>
      </w:r>
      <w:r w:rsidRPr="0005134E">
        <w:rPr>
          <w:rFonts w:ascii="Palatino Linotype" w:eastAsia="Palatino Linotype" w:hAnsi="Palatino Linotype" w:cs="Palatino Linotype"/>
          <w:i/>
          <w:iCs/>
          <w:sz w:val="22"/>
          <w:szCs w:val="22"/>
        </w:rPr>
        <w:t>: La información concerniente a una persona, identificada o identificable según lo dispuesto por la Ley de Protección de Datos Personales del Estado de México;</w:t>
      </w:r>
    </w:p>
    <w:p w14:paraId="334D60F0" w14:textId="77777777" w:rsidR="00885D54" w:rsidRPr="0005134E" w:rsidRDefault="00E5363F">
      <w:pPr>
        <w:tabs>
          <w:tab w:val="left" w:pos="1276"/>
        </w:tabs>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p>
    <w:p w14:paraId="3A8CA3B1" w14:textId="77777777" w:rsidR="00885D54" w:rsidRPr="0005134E" w:rsidRDefault="00E5363F">
      <w:pPr>
        <w:tabs>
          <w:tab w:val="left" w:pos="1276"/>
        </w:tabs>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XX. Información clasificada</w:t>
      </w:r>
      <w:r w:rsidRPr="0005134E">
        <w:rPr>
          <w:rFonts w:ascii="Palatino Linotype" w:eastAsia="Palatino Linotype" w:hAnsi="Palatino Linotype" w:cs="Palatino Linotype"/>
          <w:i/>
          <w:iCs/>
          <w:sz w:val="22"/>
          <w:szCs w:val="22"/>
        </w:rPr>
        <w:t>: Aquella considerada por la presente Ley como reservada o confidencial;</w:t>
      </w:r>
    </w:p>
    <w:p w14:paraId="4070823C" w14:textId="77777777" w:rsidR="00885D54" w:rsidRPr="0005134E" w:rsidRDefault="00E5363F">
      <w:pPr>
        <w:tabs>
          <w:tab w:val="left" w:pos="1276"/>
        </w:tabs>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XXI. Información confidencial</w:t>
      </w:r>
      <w:r w:rsidRPr="0005134E">
        <w:rPr>
          <w:rFonts w:ascii="Palatino Linotype" w:eastAsia="Palatino Linotype" w:hAnsi="Palatino Linotype" w:cs="Palatino Linotype"/>
          <w:i/>
          <w:iCs/>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74115D5" w14:textId="77777777" w:rsidR="00885D54" w:rsidRPr="0005134E" w:rsidRDefault="00E5363F">
      <w:pPr>
        <w:tabs>
          <w:tab w:val="left" w:pos="1276"/>
        </w:tabs>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p>
    <w:p w14:paraId="56EF64A5" w14:textId="77777777" w:rsidR="00885D54" w:rsidRPr="0005134E" w:rsidRDefault="00E5363F">
      <w:pPr>
        <w:tabs>
          <w:tab w:val="left" w:pos="1276"/>
        </w:tabs>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XXXII. Protección de Datos Personales</w:t>
      </w:r>
      <w:r w:rsidRPr="0005134E">
        <w:rPr>
          <w:rFonts w:ascii="Palatino Linotype" w:eastAsia="Palatino Linotype" w:hAnsi="Palatino Linotype" w:cs="Palatino Linotype"/>
          <w:i/>
          <w:iCs/>
          <w:sz w:val="22"/>
          <w:szCs w:val="22"/>
        </w:rPr>
        <w:t>: Derecho humano que tutela la privacidad de datos personales en poder de los sujetos obligados y sujetos particulares;</w:t>
      </w:r>
    </w:p>
    <w:p w14:paraId="38F4E6BB" w14:textId="77777777" w:rsidR="00885D54" w:rsidRPr="0005134E" w:rsidRDefault="00E5363F">
      <w:pPr>
        <w:tabs>
          <w:tab w:val="left" w:pos="1276"/>
        </w:tabs>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p>
    <w:p w14:paraId="26447724" w14:textId="77777777" w:rsidR="00885D54" w:rsidRPr="0005134E" w:rsidRDefault="00E5363F">
      <w:pPr>
        <w:tabs>
          <w:tab w:val="left" w:pos="1276"/>
        </w:tabs>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XLV. Versión pública</w:t>
      </w:r>
      <w:r w:rsidRPr="0005134E">
        <w:rPr>
          <w:rFonts w:ascii="Palatino Linotype" w:eastAsia="Palatino Linotype" w:hAnsi="Palatino Linotype" w:cs="Palatino Linotype"/>
          <w:i/>
          <w:iCs/>
          <w:sz w:val="22"/>
          <w:szCs w:val="22"/>
        </w:rPr>
        <w:t>: Documento en el que se elimine, suprime o borra la información clasificada como reservada o confidencial para permitir su acceso.</w:t>
      </w:r>
    </w:p>
    <w:p w14:paraId="2B9B6670"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 Artículo 6</w:t>
      </w:r>
      <w:r w:rsidRPr="0005134E">
        <w:rPr>
          <w:rFonts w:ascii="Palatino Linotype" w:eastAsia="Palatino Linotype" w:hAnsi="Palatino Linotype" w:cs="Palatino Linotype"/>
          <w:i/>
          <w:iCs/>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03B59FAC"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p>
    <w:p w14:paraId="69BB39D0"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Artículo 91.</w:t>
      </w:r>
      <w:r w:rsidRPr="0005134E">
        <w:rPr>
          <w:rFonts w:ascii="Palatino Linotype" w:eastAsia="Palatino Linotype" w:hAnsi="Palatino Linotype" w:cs="Palatino Linotype"/>
          <w:i/>
          <w:iCs/>
          <w:sz w:val="22"/>
          <w:szCs w:val="22"/>
        </w:rPr>
        <w:t xml:space="preserve"> El acceso a la información pública será restringido excepcionalmente, cuando ésta sea clasificada como reservada o confidencial.</w:t>
      </w:r>
      <w:r w:rsidRPr="0005134E">
        <w:rPr>
          <w:rFonts w:ascii="Palatino Linotype" w:eastAsia="Palatino Linotype" w:hAnsi="Palatino Linotype" w:cs="Palatino Linotype"/>
          <w:i/>
          <w:iCs/>
          <w:sz w:val="22"/>
          <w:szCs w:val="22"/>
        </w:rPr>
        <w:br/>
        <w:t>…</w:t>
      </w:r>
    </w:p>
    <w:p w14:paraId="4EA5C078"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Artículo 132.</w:t>
      </w:r>
      <w:r w:rsidRPr="0005134E">
        <w:rPr>
          <w:rFonts w:ascii="Palatino Linotype" w:eastAsia="Palatino Linotype" w:hAnsi="Palatino Linotype" w:cs="Palatino Linotype"/>
          <w:i/>
          <w:iCs/>
          <w:sz w:val="22"/>
          <w:szCs w:val="22"/>
        </w:rPr>
        <w:t xml:space="preserve"> La clasificación de la información se llevará a cabo en el momento en que:</w:t>
      </w:r>
    </w:p>
    <w:p w14:paraId="47D5A89D"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w:t>
      </w:r>
      <w:r w:rsidRPr="0005134E">
        <w:rPr>
          <w:rFonts w:ascii="Palatino Linotype" w:eastAsia="Palatino Linotype" w:hAnsi="Palatino Linotype" w:cs="Palatino Linotype"/>
          <w:i/>
          <w:iCs/>
          <w:sz w:val="22"/>
          <w:szCs w:val="22"/>
        </w:rPr>
        <w:t>. Se reciba una solicitud de acceso a la información;</w:t>
      </w:r>
    </w:p>
    <w:p w14:paraId="6AB273E3"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II.</w:t>
      </w:r>
      <w:r w:rsidRPr="0005134E">
        <w:rPr>
          <w:rFonts w:ascii="Palatino Linotype" w:eastAsia="Palatino Linotype" w:hAnsi="Palatino Linotype" w:cs="Palatino Linotype"/>
          <w:i/>
          <w:iCs/>
          <w:sz w:val="22"/>
          <w:szCs w:val="22"/>
        </w:rPr>
        <w:t xml:space="preserve"> Se determine mediante resolución de autoridad competente; o</w:t>
      </w:r>
    </w:p>
    <w:p w14:paraId="5B14B809"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III.</w:t>
      </w:r>
      <w:r w:rsidRPr="0005134E">
        <w:rPr>
          <w:rFonts w:ascii="Palatino Linotype" w:eastAsia="Palatino Linotype" w:hAnsi="Palatino Linotype" w:cs="Palatino Linotype"/>
          <w:i/>
          <w:iCs/>
          <w:sz w:val="22"/>
          <w:szCs w:val="22"/>
        </w:rPr>
        <w:t xml:space="preserve"> Se generen versiones públicas para dar cumplimiento a las obligaciones de transparencia previstas en esta Ley.</w:t>
      </w:r>
    </w:p>
    <w:p w14:paraId="44E512AD"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w:t>
      </w:r>
    </w:p>
    <w:p w14:paraId="230A55C9"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Artículo 137.</w:t>
      </w:r>
      <w:r w:rsidRPr="0005134E">
        <w:rPr>
          <w:rFonts w:ascii="Palatino Linotype" w:eastAsia="Palatino Linotype" w:hAnsi="Palatino Linotype" w:cs="Palatino Linotype"/>
          <w:i/>
          <w:iCs/>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E89B8D0"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 Artículo 143.</w:t>
      </w:r>
      <w:r w:rsidRPr="0005134E">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w:t>
      </w:r>
    </w:p>
    <w:p w14:paraId="6483F7A0"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w:t>
      </w:r>
      <w:r w:rsidRPr="0005134E">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w:t>
      </w:r>
    </w:p>
    <w:p w14:paraId="35BF9CD4" w14:textId="77777777" w:rsidR="00885D54" w:rsidRPr="0005134E" w:rsidRDefault="00E5363F">
      <w:pPr>
        <w:spacing w:before="240" w:after="240" w:line="360" w:lineRule="auto"/>
        <w:ind w:right="50"/>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05134E">
        <w:rPr>
          <w:rFonts w:ascii="Palatino Linotype" w:eastAsia="Palatino Linotype" w:hAnsi="Palatino Linotype" w:cs="Palatino Linotype"/>
          <w:b/>
          <w:bCs/>
          <w:sz w:val="22"/>
          <w:szCs w:val="22"/>
        </w:rPr>
        <w:t>Sujeto Obligado</w:t>
      </w:r>
      <w:r w:rsidRPr="0005134E">
        <w:rPr>
          <w:rFonts w:ascii="Palatino Linotype" w:eastAsia="Palatino Linotype" w:hAnsi="Palatino Linotype" w:cs="Palatino Linotype"/>
          <w:sz w:val="22"/>
          <w:szCs w:val="22"/>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12F0337B" w14:textId="77777777" w:rsidR="00885D54" w:rsidRPr="0005134E" w:rsidRDefault="00E5363F">
      <w:pPr>
        <w:spacing w:before="240" w:after="240" w:line="360" w:lineRule="auto"/>
        <w:ind w:right="50"/>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23F3AD95"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En el caso específico, la información que se ordena si bien tiene el carácter información pública en razón de que se trata de documentos que se encuentran en posesión del </w:t>
      </w:r>
      <w:r w:rsidRPr="0005134E">
        <w:rPr>
          <w:rFonts w:ascii="Palatino Linotype" w:eastAsia="Palatino Linotype" w:hAnsi="Palatino Linotype" w:cs="Palatino Linotype"/>
          <w:b/>
          <w:bCs/>
          <w:sz w:val="22"/>
          <w:szCs w:val="22"/>
        </w:rPr>
        <w:t>Sujeto Obligado</w:t>
      </w:r>
      <w:r w:rsidRPr="0005134E">
        <w:rPr>
          <w:rFonts w:ascii="Palatino Linotype" w:eastAsia="Palatino Linotype" w:hAnsi="Palatino Linotype" w:cs="Palatino Linotype"/>
          <w:sz w:val="22"/>
          <w:szCs w:val="22"/>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05134E">
        <w:rPr>
          <w:rFonts w:ascii="Palatino Linotype" w:eastAsia="Palatino Linotype" w:hAnsi="Palatino Linotype" w:cs="Palatino Linotype"/>
          <w:b/>
          <w:bCs/>
          <w:sz w:val="22"/>
          <w:szCs w:val="22"/>
        </w:rPr>
        <w:t>Registro Federal de Contribuyentes</w:t>
      </w:r>
      <w:r w:rsidRPr="0005134E">
        <w:rPr>
          <w:rFonts w:ascii="Palatino Linotype" w:eastAsia="Palatino Linotype" w:hAnsi="Palatino Linotype" w:cs="Palatino Linotype"/>
          <w:sz w:val="22"/>
          <w:szCs w:val="22"/>
        </w:rPr>
        <w:t xml:space="preserve"> (RFC), la </w:t>
      </w:r>
      <w:r w:rsidRPr="0005134E">
        <w:rPr>
          <w:rFonts w:ascii="Palatino Linotype" w:eastAsia="Palatino Linotype" w:hAnsi="Palatino Linotype" w:cs="Palatino Linotype"/>
          <w:b/>
          <w:bCs/>
          <w:sz w:val="22"/>
          <w:szCs w:val="22"/>
        </w:rPr>
        <w:t>Clave Única de Registro de Población</w:t>
      </w:r>
      <w:r w:rsidRPr="0005134E">
        <w:rPr>
          <w:rFonts w:ascii="Palatino Linotype" w:eastAsia="Palatino Linotype" w:hAnsi="Palatino Linotype" w:cs="Palatino Linotype"/>
          <w:sz w:val="22"/>
          <w:szCs w:val="22"/>
        </w:rPr>
        <w:t xml:space="preserve"> (CURP), la </w:t>
      </w:r>
      <w:r w:rsidRPr="0005134E">
        <w:rPr>
          <w:rFonts w:ascii="Palatino Linotype" w:eastAsia="Palatino Linotype" w:hAnsi="Palatino Linotype" w:cs="Palatino Linotype"/>
          <w:b/>
          <w:bCs/>
          <w:sz w:val="22"/>
          <w:szCs w:val="22"/>
        </w:rPr>
        <w:t>Clave de cualquier tipo de seguridad social</w:t>
      </w:r>
      <w:r w:rsidRPr="0005134E">
        <w:rPr>
          <w:rFonts w:ascii="Palatino Linotype" w:eastAsia="Palatino Linotype" w:hAnsi="Palatino Linotype" w:cs="Palatino Linotype"/>
          <w:sz w:val="22"/>
          <w:szCs w:val="22"/>
        </w:rPr>
        <w:t xml:space="preserve"> (ISSEMYM, u otros), los </w:t>
      </w:r>
      <w:r w:rsidRPr="0005134E">
        <w:rPr>
          <w:rFonts w:ascii="Palatino Linotype" w:eastAsia="Palatino Linotype" w:hAnsi="Palatino Linotype" w:cs="Palatino Linotype"/>
          <w:b/>
          <w:bCs/>
          <w:sz w:val="22"/>
          <w:szCs w:val="22"/>
        </w:rPr>
        <w:t>números de cuentas bancarias</w:t>
      </w:r>
      <w:r w:rsidRPr="0005134E">
        <w:rPr>
          <w:rFonts w:ascii="Palatino Linotype" w:eastAsia="Palatino Linotype" w:hAnsi="Palatino Linotype" w:cs="Palatino Linotype"/>
          <w:sz w:val="22"/>
          <w:szCs w:val="22"/>
        </w:rPr>
        <w:t xml:space="preserve">, claves estandarizadas – interbancarias - (CLABES) y de tarjetas, los </w:t>
      </w:r>
      <w:r w:rsidRPr="0005134E">
        <w:rPr>
          <w:rFonts w:ascii="Palatino Linotype" w:eastAsia="Palatino Linotype" w:hAnsi="Palatino Linotype" w:cs="Palatino Linotype"/>
          <w:b/>
          <w:bCs/>
          <w:sz w:val="22"/>
          <w:szCs w:val="22"/>
        </w:rPr>
        <w:t>préstamos o descuentos</w:t>
      </w:r>
      <w:r w:rsidRPr="0005134E">
        <w:rPr>
          <w:rFonts w:ascii="Palatino Linotype" w:eastAsia="Palatino Linotype" w:hAnsi="Palatino Linotype" w:cs="Palatino Linotype"/>
          <w:sz w:val="22"/>
          <w:szCs w:val="22"/>
        </w:rPr>
        <w:t xml:space="preserve"> que se le hagan a la persona y que no tengan relación con los impuestos o la cuota por seguridad social, el</w:t>
      </w:r>
      <w:r w:rsidRPr="0005134E">
        <w:rPr>
          <w:rFonts w:ascii="Palatino Linotype" w:eastAsia="Palatino Linotype" w:hAnsi="Palatino Linotype" w:cs="Palatino Linotype"/>
          <w:b/>
          <w:bCs/>
          <w:sz w:val="22"/>
          <w:szCs w:val="22"/>
        </w:rPr>
        <w:t xml:space="preserve"> número de empleado, </w:t>
      </w:r>
      <w:r w:rsidRPr="0005134E">
        <w:rPr>
          <w:rFonts w:ascii="Palatino Linotype" w:eastAsia="Palatino Linotype" w:hAnsi="Palatino Linotype" w:cs="Palatino Linotype"/>
          <w:sz w:val="22"/>
          <w:szCs w:val="22"/>
        </w:rPr>
        <w:t xml:space="preserve">y, de ser el caso, el </w:t>
      </w:r>
      <w:r w:rsidRPr="0005134E">
        <w:rPr>
          <w:rFonts w:ascii="Palatino Linotype" w:eastAsia="Palatino Linotype" w:hAnsi="Palatino Linotype" w:cs="Palatino Linotype"/>
          <w:b/>
          <w:bCs/>
          <w:sz w:val="22"/>
          <w:szCs w:val="22"/>
        </w:rPr>
        <w:t>folio fiscal</w:t>
      </w:r>
      <w:r w:rsidRPr="0005134E">
        <w:rPr>
          <w:rFonts w:ascii="Palatino Linotype" w:eastAsia="Palatino Linotype" w:hAnsi="Palatino Linotype" w:cs="Palatino Linotype"/>
          <w:sz w:val="22"/>
          <w:szCs w:val="22"/>
        </w:rPr>
        <w:t xml:space="preserve">, la </w:t>
      </w:r>
      <w:r w:rsidRPr="0005134E">
        <w:rPr>
          <w:rFonts w:ascii="Palatino Linotype" w:eastAsia="Palatino Linotype" w:hAnsi="Palatino Linotype" w:cs="Palatino Linotype"/>
          <w:b/>
          <w:bCs/>
          <w:sz w:val="22"/>
          <w:szCs w:val="22"/>
        </w:rPr>
        <w:t xml:space="preserve">cadena original, </w:t>
      </w:r>
      <w:r w:rsidRPr="0005134E">
        <w:rPr>
          <w:rFonts w:ascii="Palatino Linotype" w:eastAsia="Palatino Linotype" w:hAnsi="Palatino Linotype" w:cs="Palatino Linotype"/>
          <w:sz w:val="22"/>
          <w:szCs w:val="22"/>
        </w:rPr>
        <w:t>los</w:t>
      </w:r>
      <w:r w:rsidRPr="0005134E">
        <w:rPr>
          <w:rFonts w:ascii="Palatino Linotype" w:eastAsia="Palatino Linotype" w:hAnsi="Palatino Linotype" w:cs="Palatino Linotype"/>
          <w:b/>
          <w:bCs/>
          <w:sz w:val="22"/>
          <w:szCs w:val="22"/>
        </w:rPr>
        <w:t xml:space="preserve"> códigos bidimensionales o códigos QR,</w:t>
      </w:r>
      <w:r w:rsidRPr="0005134E">
        <w:rPr>
          <w:rFonts w:ascii="Palatino Linotype" w:eastAsia="Palatino Linotype" w:hAnsi="Palatino Linotype" w:cs="Palatino Linotype"/>
          <w:sz w:val="22"/>
          <w:szCs w:val="22"/>
        </w:rPr>
        <w:t xml:space="preserve"> y cualquier información de carácter fiscal.</w:t>
      </w:r>
    </w:p>
    <w:p w14:paraId="5656F3EF" w14:textId="77777777" w:rsidR="00885D54" w:rsidRPr="0005134E" w:rsidRDefault="00E5363F">
      <w:pPr>
        <w:spacing w:before="240" w:after="240" w:line="360" w:lineRule="auto"/>
        <w:ind w:right="50"/>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0D90A9D"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Por cuanto hace al </w:t>
      </w:r>
      <w:r w:rsidRPr="0005134E">
        <w:rPr>
          <w:rFonts w:ascii="Palatino Linotype" w:eastAsia="Palatino Linotype" w:hAnsi="Palatino Linotype" w:cs="Palatino Linotype"/>
          <w:b/>
          <w:bCs/>
          <w:sz w:val="22"/>
          <w:szCs w:val="22"/>
        </w:rPr>
        <w:t>Registro Federal de Contribuyentes, RFC,</w:t>
      </w:r>
      <w:r w:rsidRPr="0005134E">
        <w:rPr>
          <w:rFonts w:ascii="Palatino Linotype" w:eastAsia="Palatino Linotype" w:hAnsi="Palatino Linotype" w:cs="Palatino Linotype"/>
          <w:sz w:val="22"/>
          <w:szCs w:val="22"/>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01790D5E"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C028AF2" w14:textId="77777777" w:rsidR="00885D54" w:rsidRPr="0005134E" w:rsidRDefault="00E5363F">
      <w:pPr>
        <w:spacing w:before="240" w:after="240" w:line="360" w:lineRule="auto"/>
        <w:jc w:val="both"/>
        <w:rPr>
          <w:rFonts w:ascii="Palatino Linotype" w:eastAsia="Palatino Linotype" w:hAnsi="Palatino Linotype" w:cs="Palatino Linotype"/>
          <w:b/>
          <w:bCs/>
          <w:sz w:val="22"/>
          <w:szCs w:val="22"/>
        </w:rPr>
      </w:pPr>
      <w:r w:rsidRPr="0005134E">
        <w:rPr>
          <w:rFonts w:ascii="Palatino Linotype" w:eastAsia="Palatino Linotype" w:hAnsi="Palatino Linotype" w:cs="Palatino Linotype"/>
          <w:sz w:val="22"/>
          <w:szCs w:val="22"/>
        </w:rPr>
        <w:t>Sirve de apoyo a lo anterior, el criterio orientador con clave de control SO/019/2017, emitido por el entonces Instituto Nacional de Transparencia, Acceso a la Información y Protección de Datos Personales, que por rubro y texto, dispone lo siguiente:</w:t>
      </w:r>
      <w:r w:rsidRPr="0005134E">
        <w:rPr>
          <w:rFonts w:ascii="Palatino Linotype" w:eastAsia="Palatino Linotype" w:hAnsi="Palatino Linotype" w:cs="Palatino Linotype"/>
          <w:b/>
          <w:bCs/>
          <w:sz w:val="22"/>
          <w:szCs w:val="22"/>
        </w:rPr>
        <w:t xml:space="preserve"> </w:t>
      </w:r>
    </w:p>
    <w:p w14:paraId="28991772" w14:textId="77777777" w:rsidR="00885D54" w:rsidRPr="0005134E" w:rsidRDefault="00E5363F">
      <w:pPr>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“Registro Federal de Contribuyentes (RFC) de personas físicas</w:t>
      </w:r>
      <w:r w:rsidRPr="0005134E">
        <w:rPr>
          <w:rFonts w:ascii="Palatino Linotype" w:eastAsia="Palatino Linotype" w:hAnsi="Palatino Linotype" w:cs="Palatino Linotype"/>
          <w:i/>
          <w:iCs/>
          <w:sz w:val="22"/>
          <w:szCs w:val="22"/>
        </w:rPr>
        <w:t>. El RFC es una clave de carácter fiscal, única e irrepetible, que permite identificar al titular, su edad y fecha de nacimiento, por lo que es un dato personal de carácter confidencial.”</w:t>
      </w:r>
    </w:p>
    <w:p w14:paraId="142531DE" w14:textId="77777777" w:rsidR="00885D54" w:rsidRPr="0005134E" w:rsidRDefault="00E536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14:paraId="71F6CB61" w14:textId="77777777" w:rsidR="00885D54" w:rsidRPr="0005134E" w:rsidRDefault="00E536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De igual manera la </w:t>
      </w:r>
      <w:r w:rsidRPr="0005134E">
        <w:rPr>
          <w:rFonts w:ascii="Palatino Linotype" w:eastAsia="Palatino Linotype" w:hAnsi="Palatino Linotype" w:cs="Palatino Linotype"/>
          <w:b/>
          <w:bCs/>
          <w:sz w:val="22"/>
          <w:szCs w:val="22"/>
        </w:rPr>
        <w:t>Clave Única de Registro de Población</w:t>
      </w:r>
      <w:r w:rsidRPr="0005134E">
        <w:rPr>
          <w:rFonts w:ascii="Palatino Linotype" w:eastAsia="Palatino Linotype" w:hAnsi="Palatino Linotype" w:cs="Palatino Linotype"/>
          <w:sz w:val="22"/>
          <w:szCs w:val="22"/>
        </w:rPr>
        <w:t xml:space="preserve">, </w:t>
      </w:r>
      <w:r w:rsidRPr="0005134E">
        <w:rPr>
          <w:rFonts w:ascii="Palatino Linotype" w:eastAsia="Palatino Linotype" w:hAnsi="Palatino Linotype" w:cs="Palatino Linotype"/>
          <w:b/>
          <w:bCs/>
          <w:sz w:val="22"/>
          <w:szCs w:val="22"/>
        </w:rPr>
        <w:t>CURP,</w:t>
      </w:r>
      <w:r w:rsidRPr="0005134E">
        <w:rPr>
          <w:rFonts w:ascii="Palatino Linotype" w:eastAsia="Palatino Linotype" w:hAnsi="Palatino Linotype" w:cs="Palatino Linotype"/>
          <w:sz w:val="22"/>
          <w:szCs w:val="22"/>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23E53380" w14:textId="77777777" w:rsidR="00885D54" w:rsidRPr="0005134E" w:rsidRDefault="00E536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Argumento que se sustenta con el criterio orientador con clave de control SO/018/2017 emitido por el entonces Instituto Nacional de Transparencia, Acceso a la Información y Protección de Datos Personales, INAI, el cual refiere:</w:t>
      </w:r>
    </w:p>
    <w:p w14:paraId="2AF57CE9" w14:textId="77777777" w:rsidR="00885D54" w:rsidRPr="0005134E" w:rsidRDefault="00E5363F">
      <w:pPr>
        <w:ind w:left="851" w:right="851"/>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 xml:space="preserve"> “Clave Única de Registro de Población (CURP). </w:t>
      </w:r>
      <w:r w:rsidRPr="0005134E">
        <w:rPr>
          <w:rFonts w:ascii="Palatino Linotype" w:eastAsia="Palatino Linotype" w:hAnsi="Palatino Linotype" w:cs="Palatino Linotype"/>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6C5AE18"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Por lo que respecta a la </w:t>
      </w:r>
      <w:r w:rsidRPr="0005134E">
        <w:rPr>
          <w:rFonts w:ascii="Palatino Linotype" w:eastAsia="Palatino Linotype" w:hAnsi="Palatino Linotype" w:cs="Palatino Linotype"/>
          <w:b/>
          <w:bCs/>
          <w:sz w:val="22"/>
          <w:szCs w:val="22"/>
        </w:rPr>
        <w:t>clave de seguridad social</w:t>
      </w:r>
      <w:r w:rsidRPr="0005134E">
        <w:rPr>
          <w:rFonts w:ascii="Palatino Linotype" w:eastAsia="Palatino Linotype" w:hAnsi="Palatino Linotype" w:cs="Palatino Linotype"/>
          <w:sz w:val="22"/>
          <w:szCs w:val="22"/>
        </w:rPr>
        <w:t>, en virtud de que su divulgación no aporta a la transparencia o a la rendición de cuentas y sí provoca una transgresión a la vida privada e intimidad de la persona, esta información también resulta ser de carácter confidencial.</w:t>
      </w:r>
    </w:p>
    <w:p w14:paraId="08B49215"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Respecto de los </w:t>
      </w:r>
      <w:r w:rsidRPr="0005134E">
        <w:rPr>
          <w:rFonts w:ascii="Palatino Linotype" w:eastAsia="Palatino Linotype" w:hAnsi="Palatino Linotype" w:cs="Palatino Linotype"/>
          <w:b/>
          <w:bCs/>
          <w:sz w:val="22"/>
          <w:szCs w:val="22"/>
        </w:rPr>
        <w:t>números de cuentas bancari</w:t>
      </w:r>
      <w:r w:rsidRPr="0005134E">
        <w:rPr>
          <w:rFonts w:ascii="Palatino Linotype" w:eastAsia="Palatino Linotype" w:hAnsi="Palatino Linotype" w:cs="Palatino Linotype"/>
          <w:sz w:val="22"/>
          <w:szCs w:val="22"/>
        </w:rPr>
        <w:t xml:space="preserve">as, </w:t>
      </w:r>
      <w:r w:rsidRPr="0005134E">
        <w:rPr>
          <w:rFonts w:ascii="Palatino Linotype" w:eastAsia="Palatino Linotype" w:hAnsi="Palatino Linotype" w:cs="Palatino Linotype"/>
          <w:b/>
          <w:bCs/>
          <w:sz w:val="22"/>
          <w:szCs w:val="22"/>
        </w:rPr>
        <w:t>claves estandarizadas –interbancarias- (CLABES) y de tarjetas</w:t>
      </w:r>
      <w:r w:rsidRPr="0005134E">
        <w:rPr>
          <w:rFonts w:ascii="Palatino Linotype" w:eastAsia="Palatino Linotype" w:hAnsi="Palatino Linotype" w:cs="Palatino Linotype"/>
          <w:sz w:val="22"/>
          <w:szCs w:val="22"/>
        </w:rPr>
        <w:t>, el Pleno de este Instituto ha determinado que esa información debe clasificarse como confidencial, y elaborarse una versión pública en la que se teste la misma.</w:t>
      </w:r>
    </w:p>
    <w:p w14:paraId="1254EE6C"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14:paraId="5F4B60F3"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14:paraId="69D34190" w14:textId="77777777" w:rsidR="00885D54" w:rsidRPr="0005134E" w:rsidRDefault="00E536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En esa virtud, este Pleno determina que dicha información no puede ser del dominio público, toda vez que se podría dar un uso inadecuado a la misma o cometer algún ilícito o fraude como ya ha sido expuesto. </w:t>
      </w:r>
    </w:p>
    <w:p w14:paraId="688711BE"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Lo anterior no es así tratándose de las cuentas bancarias o claves interbancarias de los Sujetos Obligados ya que su publicidad cede a la rendición de cuentas al transparentar la forma en que son administrados los recursos públicos.</w:t>
      </w:r>
    </w:p>
    <w:p w14:paraId="20C09D76"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Lo argumentado encuentra sustento en los Criterios orientadores con  Clave de control SO/010/2017 y SO/011/2017, emitidos por el entonces Instituto Nacional de Transparencia, Acceso a la Información y Protección de Datos Personales, INAI, que llevan por rubro y texto los siguientes:</w:t>
      </w:r>
    </w:p>
    <w:p w14:paraId="18657FE0" w14:textId="77777777" w:rsidR="00885D54" w:rsidRPr="0005134E" w:rsidRDefault="00E5363F">
      <w:pPr>
        <w:spacing w:before="240" w:after="24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Cuentas bancarias y/o CLABE interbancaria de personas físicas y morales privadas.</w:t>
      </w:r>
      <w:r w:rsidRPr="0005134E">
        <w:rPr>
          <w:rFonts w:ascii="Palatino Linotype" w:eastAsia="Palatino Linotype" w:hAnsi="Palatino Linotype" w:cs="Palatino Linotype"/>
          <w:i/>
          <w:iCs/>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8E77D36" w14:textId="77777777" w:rsidR="00885D54" w:rsidRPr="0005134E" w:rsidRDefault="00E5363F">
      <w:pPr>
        <w:spacing w:before="240" w:after="24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“Cuentas bancarias y/o CLABE interbancaria de sujetos obligados que reciben y/o transfieren recursos públicos, son información pública.</w:t>
      </w:r>
      <w:r w:rsidRPr="0005134E">
        <w:rPr>
          <w:rFonts w:ascii="Palatino Linotype" w:eastAsia="Palatino Linotype" w:hAnsi="Palatino Linotype" w:cs="Palatino Linotype"/>
          <w:i/>
          <w:iCs/>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33BB2303"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Por cuanto hace a los </w:t>
      </w:r>
      <w:r w:rsidRPr="0005134E">
        <w:rPr>
          <w:rFonts w:ascii="Palatino Linotype" w:eastAsia="Palatino Linotype" w:hAnsi="Palatino Linotype" w:cs="Palatino Linotype"/>
          <w:b/>
          <w:bCs/>
          <w:sz w:val="22"/>
          <w:szCs w:val="22"/>
        </w:rPr>
        <w:t>préstamos o descuentos de carácter personal</w:t>
      </w:r>
      <w:r w:rsidRPr="0005134E">
        <w:rPr>
          <w:rFonts w:ascii="Palatino Linotype" w:eastAsia="Palatino Linotype" w:hAnsi="Palatino Linotype" w:cs="Palatino Linotype"/>
          <w:sz w:val="22"/>
          <w:szCs w:val="22"/>
        </w:rPr>
        <w:t>, en virtud de no tener relación con la prestación del servicio y al no involucrar instituciones públicas, se consideran datos confidenciales.</w:t>
      </w:r>
    </w:p>
    <w:p w14:paraId="2D3AEBE1"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14:paraId="4877DCA5" w14:textId="77777777" w:rsidR="00885D54" w:rsidRPr="0005134E" w:rsidRDefault="00E5363F">
      <w:pPr>
        <w:spacing w:before="120" w:after="120"/>
        <w:ind w:left="851" w:right="900"/>
        <w:jc w:val="both"/>
        <w:rPr>
          <w:rFonts w:ascii="Palatino Linotype" w:eastAsia="Palatino Linotype" w:hAnsi="Palatino Linotype" w:cs="Palatino Linotype"/>
          <w:b/>
          <w:bCs/>
          <w:i/>
          <w:iCs/>
          <w:sz w:val="22"/>
          <w:szCs w:val="22"/>
        </w:rPr>
      </w:pPr>
      <w:r w:rsidRPr="0005134E">
        <w:rPr>
          <w:rFonts w:ascii="Palatino Linotype" w:eastAsia="Palatino Linotype" w:hAnsi="Palatino Linotype" w:cs="Palatino Linotype"/>
          <w:b/>
          <w:bCs/>
          <w:i/>
          <w:iCs/>
          <w:sz w:val="22"/>
          <w:szCs w:val="22"/>
        </w:rPr>
        <w:t xml:space="preserve">“ARTÍCULO 84. </w:t>
      </w:r>
      <w:r w:rsidRPr="0005134E">
        <w:rPr>
          <w:rFonts w:ascii="Palatino Linotype" w:eastAsia="Palatino Linotype" w:hAnsi="Palatino Linotype" w:cs="Palatino Linotype"/>
          <w:i/>
          <w:iCs/>
          <w:sz w:val="22"/>
          <w:szCs w:val="22"/>
        </w:rPr>
        <w:t>Sólo podrán hacerse retenciones, descuentos o deducciones al sueldo de los servidores públicos por concepto de:</w:t>
      </w:r>
    </w:p>
    <w:p w14:paraId="395891D7"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w:t>
      </w:r>
      <w:r w:rsidRPr="0005134E">
        <w:rPr>
          <w:rFonts w:ascii="Palatino Linotype" w:eastAsia="Palatino Linotype" w:hAnsi="Palatino Linotype" w:cs="Palatino Linotype"/>
          <w:i/>
          <w:iCs/>
          <w:sz w:val="22"/>
          <w:szCs w:val="22"/>
        </w:rPr>
        <w:t xml:space="preserve"> Gravámenes fiscales relacionados con el sueldo;</w:t>
      </w:r>
    </w:p>
    <w:p w14:paraId="15DFAE2A"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II.</w:t>
      </w:r>
      <w:r w:rsidRPr="0005134E">
        <w:rPr>
          <w:rFonts w:ascii="Palatino Linotype" w:eastAsia="Palatino Linotype" w:hAnsi="Palatino Linotype" w:cs="Palatino Linotype"/>
          <w:i/>
          <w:iCs/>
          <w:sz w:val="22"/>
          <w:szCs w:val="22"/>
        </w:rPr>
        <w:t xml:space="preserve"> Deudas contraídas con las instituciones públicas o dependencias por concepto de anticipos de sueldo, pagos hechos con exceso, errores o pérdidas debidamente comprobados;</w:t>
      </w:r>
    </w:p>
    <w:p w14:paraId="4129388E"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III.</w:t>
      </w:r>
      <w:r w:rsidRPr="0005134E">
        <w:rPr>
          <w:rFonts w:ascii="Palatino Linotype" w:eastAsia="Palatino Linotype" w:hAnsi="Palatino Linotype" w:cs="Palatino Linotype"/>
          <w:i/>
          <w:iCs/>
          <w:sz w:val="22"/>
          <w:szCs w:val="22"/>
        </w:rPr>
        <w:t xml:space="preserve"> </w:t>
      </w:r>
      <w:r w:rsidRPr="0005134E">
        <w:rPr>
          <w:rFonts w:ascii="Palatino Linotype" w:eastAsia="Palatino Linotype" w:hAnsi="Palatino Linotype" w:cs="Palatino Linotype"/>
          <w:b/>
          <w:bCs/>
          <w:i/>
          <w:iCs/>
          <w:sz w:val="22"/>
          <w:szCs w:val="22"/>
        </w:rPr>
        <w:t>Cuotas sindicales</w:t>
      </w:r>
      <w:r w:rsidRPr="0005134E">
        <w:rPr>
          <w:rFonts w:ascii="Palatino Linotype" w:eastAsia="Palatino Linotype" w:hAnsi="Palatino Linotype" w:cs="Palatino Linotype"/>
          <w:i/>
          <w:iCs/>
          <w:sz w:val="22"/>
          <w:szCs w:val="22"/>
        </w:rPr>
        <w:t>;</w:t>
      </w:r>
    </w:p>
    <w:p w14:paraId="656B7B5F"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IV.</w:t>
      </w:r>
      <w:r w:rsidRPr="0005134E">
        <w:rPr>
          <w:rFonts w:ascii="Palatino Linotype" w:eastAsia="Palatino Linotype" w:hAnsi="Palatino Linotype" w:cs="Palatino Linotype"/>
          <w:i/>
          <w:iCs/>
          <w:sz w:val="22"/>
          <w:szCs w:val="22"/>
        </w:rPr>
        <w:t xml:space="preserve"> Cuotas de aportación a fondos para la constitución de cooperativas y de cajas de ahorro, siempre que el servidor público hubiese manifestado previamente, de manera expresa, su conformidad;</w:t>
      </w:r>
    </w:p>
    <w:p w14:paraId="6768D8E8"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V.</w:t>
      </w:r>
      <w:r w:rsidRPr="0005134E">
        <w:rPr>
          <w:rFonts w:ascii="Palatino Linotype" w:eastAsia="Palatino Linotype" w:hAnsi="Palatino Linotype" w:cs="Palatino Linotype"/>
          <w:i/>
          <w:iCs/>
          <w:sz w:val="22"/>
          <w:szCs w:val="22"/>
        </w:rPr>
        <w:t xml:space="preserve"> Descuentos ordenados por el Instituto de Seguridad Social del Estado de México y Municipios, con motivo de cuotas y obligaciones contraídas con éste por los servidores públicos;</w:t>
      </w:r>
    </w:p>
    <w:p w14:paraId="3C561D9D"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VI.</w:t>
      </w:r>
      <w:r w:rsidRPr="0005134E">
        <w:rPr>
          <w:rFonts w:ascii="Palatino Linotype" w:eastAsia="Palatino Linotype" w:hAnsi="Palatino Linotype" w:cs="Palatino Linotype"/>
          <w:i/>
          <w:iCs/>
          <w:sz w:val="22"/>
          <w:szCs w:val="22"/>
        </w:rPr>
        <w:t xml:space="preserve"> Obligaciones a cargo del servidor público con las que haya consentido, derivadas de la adquisición o del uso de habitaciones consideradas como de interés social;</w:t>
      </w:r>
    </w:p>
    <w:p w14:paraId="4EBAE800"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VII.</w:t>
      </w:r>
      <w:r w:rsidRPr="0005134E">
        <w:rPr>
          <w:rFonts w:ascii="Palatino Linotype" w:eastAsia="Palatino Linotype" w:hAnsi="Palatino Linotype" w:cs="Palatino Linotype"/>
          <w:i/>
          <w:iCs/>
          <w:sz w:val="22"/>
          <w:szCs w:val="22"/>
        </w:rPr>
        <w:t xml:space="preserve"> Faltas de puntualidad o de asistencia injustificadas;</w:t>
      </w:r>
    </w:p>
    <w:p w14:paraId="73632B47"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VIII. Pensiones alimenticias ordenadas por la autoridad judicial;</w:t>
      </w:r>
      <w:r w:rsidRPr="0005134E">
        <w:rPr>
          <w:rFonts w:ascii="Palatino Linotype" w:eastAsia="Palatino Linotype" w:hAnsi="Palatino Linotype" w:cs="Palatino Linotype"/>
          <w:i/>
          <w:iCs/>
          <w:sz w:val="22"/>
          <w:szCs w:val="22"/>
        </w:rPr>
        <w:t xml:space="preserve"> o</w:t>
      </w:r>
    </w:p>
    <w:p w14:paraId="3E80367C" w14:textId="77777777" w:rsidR="00885D54" w:rsidRPr="0005134E" w:rsidRDefault="00E5363F">
      <w:pPr>
        <w:spacing w:before="120" w:after="120"/>
        <w:ind w:left="851" w:right="902"/>
        <w:jc w:val="both"/>
        <w:rPr>
          <w:rFonts w:ascii="Palatino Linotype" w:eastAsia="Palatino Linotype" w:hAnsi="Palatino Linotype" w:cs="Palatino Linotype"/>
          <w:b/>
          <w:bCs/>
          <w:i/>
          <w:iCs/>
          <w:sz w:val="22"/>
          <w:szCs w:val="22"/>
        </w:rPr>
      </w:pPr>
      <w:r w:rsidRPr="0005134E">
        <w:rPr>
          <w:rFonts w:ascii="Palatino Linotype" w:eastAsia="Palatino Linotype" w:hAnsi="Palatino Linotype" w:cs="Palatino Linotype"/>
          <w:b/>
          <w:bCs/>
          <w:i/>
          <w:iCs/>
          <w:sz w:val="22"/>
          <w:szCs w:val="22"/>
        </w:rPr>
        <w:t>IX. Cualquier otro convenido con instituciones de servicios y aceptado por el servidor público.</w:t>
      </w:r>
    </w:p>
    <w:p w14:paraId="57B6F7E8" w14:textId="77777777" w:rsidR="00885D54" w:rsidRPr="0005134E" w:rsidRDefault="00E5363F">
      <w:pP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w:t>
      </w:r>
    </w:p>
    <w:p w14:paraId="2151565A"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Como se puede observar, el precepto citado establece claramente cuáles son esos descuentos o gravámenes que directamente se relacionan con las obligaciones adquiridas como servidores públicos y aquéllos que únicamente inciden en su vida privada. </w:t>
      </w:r>
    </w:p>
    <w:p w14:paraId="486A70B8"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De este modo, los </w:t>
      </w:r>
      <w:r w:rsidRPr="0005134E">
        <w:rPr>
          <w:rFonts w:ascii="Palatino Linotype" w:eastAsia="Palatino Linotype" w:hAnsi="Palatino Linotype" w:cs="Palatino Linotype"/>
          <w:b/>
          <w:bCs/>
          <w:sz w:val="22"/>
          <w:szCs w:val="22"/>
        </w:rPr>
        <w:t>descuentos o deducciones por cuotas sindicales</w:t>
      </w:r>
      <w:r w:rsidRPr="0005134E">
        <w:rPr>
          <w:rFonts w:ascii="Palatino Linotype" w:eastAsia="Palatino Linotype" w:hAnsi="Palatino Linotype" w:cs="Palatino Linotype"/>
          <w:sz w:val="22"/>
          <w:szCs w:val="22"/>
        </w:rPr>
        <w:t xml:space="preserve">, </w:t>
      </w:r>
      <w:r w:rsidRPr="0005134E">
        <w:rPr>
          <w:rFonts w:ascii="Palatino Linotype" w:eastAsia="Palatino Linotype" w:hAnsi="Palatino Linotype" w:cs="Palatino Linotype"/>
          <w:b/>
          <w:bCs/>
          <w:sz w:val="22"/>
          <w:szCs w:val="22"/>
        </w:rPr>
        <w:t>pensiones alimenticias</w:t>
      </w:r>
      <w:r w:rsidRPr="0005134E">
        <w:rPr>
          <w:rFonts w:ascii="Palatino Linotype" w:eastAsia="Palatino Linotype" w:hAnsi="Palatino Linotype" w:cs="Palatino Linotype"/>
          <w:sz w:val="22"/>
          <w:szCs w:val="22"/>
        </w:rPr>
        <w:t xml:space="preserve"> o </w:t>
      </w:r>
      <w:r w:rsidRPr="0005134E">
        <w:rPr>
          <w:rFonts w:ascii="Palatino Linotype" w:eastAsia="Palatino Linotype" w:hAnsi="Palatino Linotype" w:cs="Palatino Linotype"/>
          <w:b/>
          <w:bCs/>
          <w:sz w:val="22"/>
          <w:szCs w:val="22"/>
        </w:rPr>
        <w:t>créditos adquiridos con instituciones privadas</w:t>
      </w:r>
      <w:r w:rsidRPr="0005134E">
        <w:rPr>
          <w:rFonts w:ascii="Palatino Linotype" w:eastAsia="Palatino Linotype" w:hAnsi="Palatino Linotype" w:cs="Palatino Linotype"/>
          <w:sz w:val="22"/>
          <w:szCs w:val="22"/>
        </w:rPr>
        <w:t xml:space="preserve">, entre otros que no se relacionen con el gasto público, al revelar parte de las decisiones que adopta una persona respecto del uso y destino de su remuneración salarial, lo cual incide en la manera en que se integra su patrimonio, </w:t>
      </w:r>
      <w:r w:rsidRPr="0005134E">
        <w:rPr>
          <w:rFonts w:ascii="Palatino Linotype" w:eastAsia="Palatino Linotype" w:hAnsi="Palatino Linotype" w:cs="Palatino Linotype"/>
          <w:b/>
          <w:bCs/>
          <w:sz w:val="22"/>
          <w:szCs w:val="22"/>
        </w:rPr>
        <w:t>es información que no es de carácter público, sino que constituye información confidencial</w:t>
      </w:r>
      <w:r w:rsidRPr="0005134E">
        <w:rPr>
          <w:rFonts w:ascii="Palatino Linotype" w:eastAsia="Palatino Linotype" w:hAnsi="Palatino Linotype" w:cs="Palatino Linotype"/>
          <w:sz w:val="22"/>
          <w:szCs w:val="22"/>
        </w:rPr>
        <w:t xml:space="preserve"> en virtud de que corresponde con decisiones personales, y por tanto, se debe clasificar.</w:t>
      </w:r>
    </w:p>
    <w:p w14:paraId="36731B43" w14:textId="77777777" w:rsidR="00885D54" w:rsidRPr="0005134E" w:rsidRDefault="00E5363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Las claves y conceptos de los descuentos personales guardan también la misma naturaleza que los importes, ya que al hacerse públicas, es posible inferir que cierto servidor público tiene determinada deducción personal, misma que se relaciona con su esfera más íntima de privacidad, asimismo, en aquellos casos en los que sólo se tenga una deducción, inclusive es posible deducir el importe de la misma, derivado de los cálculos que se hagan respecto al sueldo bruto y sueldo neto.</w:t>
      </w:r>
    </w:p>
    <w:p w14:paraId="78E999B3" w14:textId="77777777" w:rsidR="00885D54" w:rsidRPr="0005134E" w:rsidRDefault="00E5363F">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En conclusión, la información relacionada con los préstamos o descuentos de carácter personal, en virtud de no tener relación con la prestación del servicio y al no involucrar instituciones públicas, se consideran datos confidenciales.</w:t>
      </w:r>
    </w:p>
    <w:p w14:paraId="34BA695B"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Con relación al </w:t>
      </w:r>
      <w:r w:rsidRPr="0005134E">
        <w:rPr>
          <w:rFonts w:ascii="Palatino Linotype" w:eastAsia="Palatino Linotype" w:hAnsi="Palatino Linotype" w:cs="Palatino Linotype"/>
          <w:b/>
          <w:bCs/>
          <w:sz w:val="22"/>
          <w:szCs w:val="22"/>
        </w:rPr>
        <w:t>número de empleado</w:t>
      </w:r>
      <w:r w:rsidRPr="0005134E">
        <w:rPr>
          <w:rFonts w:ascii="Palatino Linotype" w:eastAsia="Palatino Linotype" w:hAnsi="Palatino Linotype" w:cs="Palatino Linotype"/>
          <w:sz w:val="22"/>
          <w:szCs w:val="22"/>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05134E">
        <w:rPr>
          <w:rFonts w:ascii="Palatino Linotype" w:eastAsia="Palatino Linotype" w:hAnsi="Palatino Linotype" w:cs="Palatino Linotype"/>
          <w:sz w:val="22"/>
          <w:szCs w:val="22"/>
          <w:vertAlign w:val="superscript"/>
        </w:rPr>
        <w:footnoteReference w:id="1"/>
      </w:r>
      <w:r w:rsidRPr="0005134E">
        <w:rPr>
          <w:rFonts w:ascii="Palatino Linotype" w:eastAsia="Palatino Linotype" w:hAnsi="Palatino Linotype" w:cs="Palatino Linotype"/>
          <w:sz w:val="22"/>
          <w:szCs w:val="22"/>
        </w:rPr>
        <w:t>.</w:t>
      </w:r>
    </w:p>
    <w:p w14:paraId="6E688F50"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Bajo esos argumentos, se entendería que la información relativa al número de empleado constituye información confidencial al tratarse de un número de identificación personal a través del cual se puede consultar la situación laboral personal, empero el Pleno del entonces Instituto Nacional de Transparencia, Acceso a la Información, y Protección de Datos Personales, INAI  se ha pronunciado sobre su publicidad, a través del Criterio orientador con clave de control SO/006/2019, que indica lo siguiente:</w:t>
      </w:r>
    </w:p>
    <w:p w14:paraId="3C4EE64D" w14:textId="77777777" w:rsidR="00885D54" w:rsidRPr="0005134E" w:rsidRDefault="00E5363F">
      <w:pPr>
        <w:tabs>
          <w:tab w:val="left" w:pos="7655"/>
        </w:tabs>
        <w:spacing w:before="240" w:after="240"/>
        <w:ind w:left="993" w:right="99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 xml:space="preserve">“Número de empleado. </w:t>
      </w:r>
      <w:r w:rsidRPr="0005134E">
        <w:rPr>
          <w:rFonts w:ascii="Palatino Linotype" w:eastAsia="Palatino Linotype" w:hAnsi="Palatino Linotype" w:cs="Palatino Linotype"/>
          <w:i/>
          <w:iCs/>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39E5E3BA" w14:textId="77777777" w:rsidR="00885D54" w:rsidRPr="0005134E" w:rsidRDefault="00E5363F">
      <w:pPr>
        <w:spacing w:before="240" w:after="240" w:line="360" w:lineRule="auto"/>
        <w:jc w:val="both"/>
        <w:rPr>
          <w:rFonts w:ascii="Palatino Linotype" w:eastAsia="Palatino Linotype" w:hAnsi="Palatino Linotype" w:cs="Palatino Linotype"/>
        </w:rPr>
      </w:pPr>
      <w:r w:rsidRPr="0005134E">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05134E">
        <w:rPr>
          <w:rFonts w:ascii="Palatino Linotype" w:eastAsia="Palatino Linotype" w:hAnsi="Palatino Linotype" w:cs="Palatino Linotype"/>
          <w:b/>
          <w:bCs/>
        </w:rPr>
        <w:t>Sujeto Obligado</w:t>
      </w:r>
      <w:r w:rsidRPr="0005134E">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14:paraId="435E228C" w14:textId="77777777" w:rsidR="00885D54" w:rsidRPr="0005134E" w:rsidRDefault="00E5363F">
      <w:pPr>
        <w:spacing w:before="240" w:after="240" w:line="360" w:lineRule="auto"/>
        <w:jc w:val="both"/>
        <w:rPr>
          <w:rFonts w:ascii="Palatino Linotype" w:eastAsia="Palatino Linotype" w:hAnsi="Palatino Linotype" w:cs="Palatino Linotype"/>
        </w:rPr>
      </w:pPr>
      <w:r w:rsidRPr="0005134E">
        <w:rPr>
          <w:rFonts w:ascii="Palatino Linotype" w:eastAsia="Palatino Linotype" w:hAnsi="Palatino Linotype" w:cs="Palatino Linotype"/>
          <w:b/>
          <w:bCs/>
        </w:rPr>
        <w:t>De la información fiscal</w:t>
      </w:r>
      <w:r w:rsidRPr="0005134E">
        <w:rPr>
          <w:rFonts w:ascii="Palatino Linotype" w:eastAsia="Palatino Linotype" w:hAnsi="Palatino Linotype" w:cs="Palatino Linotype"/>
        </w:rPr>
        <w:t xml:space="preserve">: </w:t>
      </w:r>
    </w:p>
    <w:p w14:paraId="0D6035BF" w14:textId="77777777" w:rsidR="00885D54" w:rsidRPr="0005134E" w:rsidRDefault="00E5363F">
      <w:pPr>
        <w:spacing w:before="240" w:after="240" w:line="360" w:lineRule="auto"/>
        <w:jc w:val="both"/>
        <w:rPr>
          <w:rFonts w:ascii="Palatino Linotype" w:eastAsia="Palatino Linotype" w:hAnsi="Palatino Linotype" w:cs="Palatino Linotype"/>
        </w:rPr>
      </w:pPr>
      <w:r w:rsidRPr="0005134E">
        <w:rPr>
          <w:rFonts w:ascii="Palatino Linotype" w:eastAsia="Palatino Linotype" w:hAnsi="Palatino Linotype" w:cs="Palatino Linotype"/>
        </w:rPr>
        <w:t xml:space="preserve">La </w:t>
      </w:r>
      <w:r w:rsidRPr="0005134E">
        <w:rPr>
          <w:rFonts w:ascii="Palatino Linotype" w:eastAsia="Palatino Linotype" w:hAnsi="Palatino Linotype" w:cs="Palatino Linotype"/>
          <w:b/>
          <w:bCs/>
        </w:rPr>
        <w:t>Cadena Original</w:t>
      </w:r>
      <w:r w:rsidRPr="0005134E">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05134E">
        <w:rPr>
          <w:rFonts w:ascii="Palatino Linotype" w:eastAsia="Palatino Linotype" w:hAnsi="Palatino Linotype" w:cs="Palatino Linotype"/>
          <w:b/>
          <w:bCs/>
          <w:sz w:val="22"/>
          <w:szCs w:val="22"/>
        </w:rPr>
        <w:t>Sujeto Obligado</w:t>
      </w:r>
      <w:r w:rsidRPr="0005134E">
        <w:rPr>
          <w:rFonts w:ascii="Palatino Linotype" w:eastAsia="Palatino Linotype" w:hAnsi="Palatino Linotype" w:cs="Palatino Linotype"/>
          <w:sz w:val="22"/>
          <w:szCs w:val="22"/>
        </w:rPr>
        <w:t> </w:t>
      </w:r>
      <w:r w:rsidRPr="0005134E">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3EFA8E8B" w14:textId="77777777" w:rsidR="00885D54" w:rsidRPr="0005134E" w:rsidRDefault="00E5363F">
      <w:pPr>
        <w:spacing w:before="240" w:after="240" w:line="360" w:lineRule="auto"/>
        <w:jc w:val="both"/>
        <w:rPr>
          <w:rFonts w:ascii="Palatino Linotype" w:eastAsia="Palatino Linotype" w:hAnsi="Palatino Linotype" w:cs="Palatino Linotype"/>
        </w:rPr>
      </w:pPr>
      <w:r w:rsidRPr="0005134E">
        <w:rPr>
          <w:rFonts w:ascii="Palatino Linotype" w:eastAsia="Palatino Linotype" w:hAnsi="Palatino Linotype" w:cs="Palatino Linotype"/>
        </w:rPr>
        <w:t xml:space="preserve">Los </w:t>
      </w:r>
      <w:r w:rsidRPr="0005134E">
        <w:rPr>
          <w:rFonts w:ascii="Palatino Linotype" w:eastAsia="Palatino Linotype" w:hAnsi="Palatino Linotype" w:cs="Palatino Linotype"/>
          <w:b/>
          <w:bCs/>
        </w:rPr>
        <w:t>códigos bidimensionales</w:t>
      </w:r>
      <w:r w:rsidRPr="0005134E">
        <w:rPr>
          <w:rFonts w:ascii="Palatino Linotype" w:eastAsia="Palatino Linotype" w:hAnsi="Palatino Linotype" w:cs="Palatino Linotype"/>
        </w:rPr>
        <w:t xml:space="preserve"> o </w:t>
      </w:r>
      <w:r w:rsidRPr="0005134E">
        <w:rPr>
          <w:rFonts w:ascii="Palatino Linotype" w:eastAsia="Palatino Linotype" w:hAnsi="Palatino Linotype" w:cs="Palatino Linotype"/>
          <w:b/>
          <w:bCs/>
        </w:rPr>
        <w:t xml:space="preserve">códigos QR, </w:t>
      </w:r>
      <w:r w:rsidRPr="0005134E">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05134E">
        <w:rPr>
          <w:rFonts w:ascii="Palatino Linotype" w:eastAsia="Palatino Linotype" w:hAnsi="Palatino Linotype" w:cs="Palatino Linotype"/>
          <w:b/>
          <w:bCs/>
        </w:rPr>
        <w:t>Sujeto Obligado</w:t>
      </w:r>
      <w:r w:rsidRPr="0005134E">
        <w:rPr>
          <w:rFonts w:ascii="Palatino Linotype" w:eastAsia="Palatino Linotype" w:hAnsi="Palatino Linotype" w:cs="Palatino Linotype"/>
        </w:rPr>
        <w:t xml:space="preserve"> analizar dicha circunstancia con la finalidad de determinar si se actualiza algún supuesto de confidencialidad.</w:t>
      </w:r>
    </w:p>
    <w:p w14:paraId="2D3B4024" w14:textId="77777777" w:rsidR="00885D54" w:rsidRPr="0005134E" w:rsidRDefault="00E5363F">
      <w:pPr>
        <w:spacing w:before="240" w:after="240" w:line="360" w:lineRule="auto"/>
        <w:jc w:val="both"/>
        <w:rPr>
          <w:rFonts w:ascii="Palatino Linotype" w:eastAsia="Palatino Linotype" w:hAnsi="Palatino Linotype" w:cs="Palatino Linotype"/>
        </w:rPr>
      </w:pPr>
      <w:r w:rsidRPr="0005134E">
        <w:rPr>
          <w:rFonts w:ascii="Palatino Linotype" w:eastAsia="Palatino Linotype" w:hAnsi="Palatino Linotype" w:cs="Palatino Linotype"/>
        </w:rPr>
        <w:t xml:space="preserve">En tal sentido, si derivado del análisis efectuado por el </w:t>
      </w:r>
      <w:r w:rsidRPr="0005134E">
        <w:rPr>
          <w:rFonts w:ascii="Palatino Linotype" w:eastAsia="Palatino Linotype" w:hAnsi="Palatino Linotype" w:cs="Palatino Linotype"/>
          <w:b/>
          <w:bCs/>
        </w:rPr>
        <w:t>Sujeto Obligado</w:t>
      </w:r>
      <w:r w:rsidRPr="0005134E">
        <w:rPr>
          <w:rFonts w:ascii="Palatino Linotype" w:eastAsia="Palatino Linotype" w:hAnsi="Palatino Linotype" w:cs="Palatino Linotype"/>
        </w:rPr>
        <w:t xml:space="preserve"> 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vulnerar la esfera más íntima de privacidad de su titular, deberá clasificarla como confidencial, de manera fundada y motivada en términos del artículo 143, fracción I de la Ley de Transparencia y Acceso a la Información Pública del Estado de México y Municipios.</w:t>
      </w:r>
    </w:p>
    <w:p w14:paraId="55187028" w14:textId="77777777" w:rsidR="00885D54" w:rsidRPr="0005134E" w:rsidRDefault="00E5363F">
      <w:pPr>
        <w:spacing w:before="240" w:after="240" w:line="360" w:lineRule="auto"/>
        <w:ind w:right="50"/>
        <w:jc w:val="both"/>
        <w:rPr>
          <w:rFonts w:ascii="Palatino Linotype" w:eastAsia="Palatino Linotype" w:hAnsi="Palatino Linotype" w:cs="Palatino Linotype"/>
        </w:rPr>
      </w:pPr>
      <w:r w:rsidRPr="0005134E">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25938886" w14:textId="77777777" w:rsidR="00885D54" w:rsidRPr="0005134E" w:rsidRDefault="00E5363F">
      <w:pP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“Artículo 49.</w:t>
      </w:r>
      <w:r w:rsidRPr="0005134E">
        <w:rPr>
          <w:rFonts w:ascii="Palatino Linotype" w:eastAsia="Palatino Linotype" w:hAnsi="Palatino Linotype" w:cs="Palatino Linotype"/>
          <w:i/>
          <w:iCs/>
          <w:sz w:val="22"/>
          <w:szCs w:val="22"/>
        </w:rPr>
        <w:t xml:space="preserve"> </w:t>
      </w:r>
      <w:r w:rsidRPr="0005134E">
        <w:rPr>
          <w:rFonts w:ascii="Palatino Linotype" w:eastAsia="Palatino Linotype" w:hAnsi="Palatino Linotype" w:cs="Palatino Linotype"/>
          <w:b/>
          <w:bCs/>
          <w:i/>
          <w:iCs/>
          <w:sz w:val="22"/>
          <w:szCs w:val="22"/>
        </w:rPr>
        <w:t>Los Comités de Transparencia</w:t>
      </w:r>
      <w:r w:rsidRPr="0005134E">
        <w:rPr>
          <w:rFonts w:ascii="Palatino Linotype" w:eastAsia="Palatino Linotype" w:hAnsi="Palatino Linotype" w:cs="Palatino Linotype"/>
          <w:i/>
          <w:iCs/>
          <w:sz w:val="22"/>
          <w:szCs w:val="22"/>
        </w:rPr>
        <w:t xml:space="preserve"> tendrán las siguientes atribuciones:</w:t>
      </w:r>
    </w:p>
    <w:p w14:paraId="27E935ED" w14:textId="77777777" w:rsidR="00885D54" w:rsidRPr="0005134E" w:rsidRDefault="00E5363F">
      <w:pP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VIII. Aprobar, modificar o revocar la clasificación de la información</w:t>
      </w:r>
      <w:r w:rsidRPr="0005134E">
        <w:rPr>
          <w:rFonts w:ascii="Palatino Linotype" w:eastAsia="Palatino Linotype" w:hAnsi="Palatino Linotype" w:cs="Palatino Linotype"/>
          <w:i/>
          <w:iCs/>
          <w:sz w:val="22"/>
          <w:szCs w:val="22"/>
        </w:rPr>
        <w:t>…”</w:t>
      </w:r>
    </w:p>
    <w:p w14:paraId="38C6963F" w14:textId="77777777" w:rsidR="00885D54" w:rsidRPr="0005134E" w:rsidRDefault="00E5363F">
      <w:pP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Artículo 53.</w:t>
      </w:r>
      <w:r w:rsidRPr="0005134E">
        <w:rPr>
          <w:rFonts w:ascii="Palatino Linotype" w:eastAsia="Palatino Linotype" w:hAnsi="Palatino Linotype" w:cs="Palatino Linotype"/>
          <w:i/>
          <w:iCs/>
          <w:sz w:val="22"/>
          <w:szCs w:val="22"/>
        </w:rPr>
        <w:t xml:space="preserve"> Las </w:t>
      </w:r>
      <w:r w:rsidRPr="0005134E">
        <w:rPr>
          <w:rFonts w:ascii="Palatino Linotype" w:eastAsia="Palatino Linotype" w:hAnsi="Palatino Linotype" w:cs="Palatino Linotype"/>
          <w:b/>
          <w:bCs/>
          <w:i/>
          <w:iCs/>
          <w:sz w:val="22"/>
          <w:szCs w:val="22"/>
        </w:rPr>
        <w:t>Unidades de Transparencia</w:t>
      </w:r>
      <w:r w:rsidRPr="0005134E">
        <w:rPr>
          <w:rFonts w:ascii="Palatino Linotype" w:eastAsia="Palatino Linotype" w:hAnsi="Palatino Linotype" w:cs="Palatino Linotype"/>
          <w:i/>
          <w:iCs/>
          <w:sz w:val="22"/>
          <w:szCs w:val="22"/>
        </w:rPr>
        <w:t xml:space="preserve"> tendrán las siguientes </w:t>
      </w:r>
      <w:r w:rsidRPr="0005134E">
        <w:rPr>
          <w:rFonts w:ascii="Palatino Linotype" w:eastAsia="Palatino Linotype" w:hAnsi="Palatino Linotype" w:cs="Palatino Linotype"/>
          <w:b/>
          <w:bCs/>
          <w:i/>
          <w:iCs/>
          <w:sz w:val="22"/>
          <w:szCs w:val="22"/>
        </w:rPr>
        <w:t>funciones</w:t>
      </w:r>
      <w:r w:rsidRPr="0005134E">
        <w:rPr>
          <w:rFonts w:ascii="Palatino Linotype" w:eastAsia="Palatino Linotype" w:hAnsi="Palatino Linotype" w:cs="Palatino Linotype"/>
          <w:i/>
          <w:iCs/>
          <w:sz w:val="22"/>
          <w:szCs w:val="22"/>
        </w:rPr>
        <w:t>:</w:t>
      </w:r>
    </w:p>
    <w:p w14:paraId="357EBDDD" w14:textId="77777777" w:rsidR="00885D54" w:rsidRPr="0005134E" w:rsidRDefault="00E5363F">
      <w:pP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X. Presentar ante el Comité, el proyecto de clasificación de información</w:t>
      </w:r>
      <w:r w:rsidRPr="0005134E">
        <w:rPr>
          <w:rFonts w:ascii="Palatino Linotype" w:eastAsia="Palatino Linotype" w:hAnsi="Palatino Linotype" w:cs="Palatino Linotype"/>
          <w:i/>
          <w:iCs/>
          <w:sz w:val="22"/>
          <w:szCs w:val="22"/>
        </w:rPr>
        <w:t xml:space="preserve">…” </w:t>
      </w:r>
    </w:p>
    <w:p w14:paraId="5A468BFE" w14:textId="77777777" w:rsidR="00885D54" w:rsidRPr="0005134E" w:rsidRDefault="00E5363F">
      <w:pP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“Artículo 59.</w:t>
      </w:r>
      <w:r w:rsidRPr="0005134E">
        <w:rPr>
          <w:rFonts w:ascii="Palatino Linotype" w:eastAsia="Palatino Linotype" w:hAnsi="Palatino Linotype" w:cs="Palatino Linotype"/>
          <w:i/>
          <w:iCs/>
          <w:sz w:val="22"/>
          <w:szCs w:val="22"/>
        </w:rPr>
        <w:t xml:space="preserve"> Los </w:t>
      </w:r>
      <w:r w:rsidRPr="0005134E">
        <w:rPr>
          <w:rFonts w:ascii="Palatino Linotype" w:eastAsia="Palatino Linotype" w:hAnsi="Palatino Linotype" w:cs="Palatino Linotype"/>
          <w:b/>
          <w:bCs/>
          <w:i/>
          <w:iCs/>
          <w:sz w:val="22"/>
          <w:szCs w:val="22"/>
        </w:rPr>
        <w:t>servidores públicos habilitados</w:t>
      </w:r>
      <w:r w:rsidRPr="0005134E">
        <w:rPr>
          <w:rFonts w:ascii="Palatino Linotype" w:eastAsia="Palatino Linotype" w:hAnsi="Palatino Linotype" w:cs="Palatino Linotype"/>
          <w:i/>
          <w:iCs/>
          <w:sz w:val="22"/>
          <w:szCs w:val="22"/>
        </w:rPr>
        <w:t xml:space="preserve"> tendrán las </w:t>
      </w:r>
      <w:r w:rsidRPr="0005134E">
        <w:rPr>
          <w:rFonts w:ascii="Palatino Linotype" w:eastAsia="Palatino Linotype" w:hAnsi="Palatino Linotype" w:cs="Palatino Linotype"/>
          <w:b/>
          <w:bCs/>
          <w:i/>
          <w:iCs/>
          <w:sz w:val="22"/>
          <w:szCs w:val="22"/>
        </w:rPr>
        <w:t>funciones</w:t>
      </w:r>
      <w:r w:rsidRPr="0005134E">
        <w:rPr>
          <w:rFonts w:ascii="Palatino Linotype" w:eastAsia="Palatino Linotype" w:hAnsi="Palatino Linotype" w:cs="Palatino Linotype"/>
          <w:i/>
          <w:iCs/>
          <w:sz w:val="22"/>
          <w:szCs w:val="22"/>
        </w:rPr>
        <w:t xml:space="preserve"> siguientes:</w:t>
      </w:r>
    </w:p>
    <w:p w14:paraId="5F757EC4" w14:textId="77777777" w:rsidR="00885D54" w:rsidRPr="0005134E" w:rsidRDefault="00E5363F">
      <w:pP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V. Integrar y presentar al responsable de la Unidad de Transparencia la propuesta de clasificación de información</w:t>
      </w:r>
      <w:r w:rsidRPr="0005134E">
        <w:rPr>
          <w:rFonts w:ascii="Palatino Linotype" w:eastAsia="Palatino Linotype" w:hAnsi="Palatino Linotype" w:cs="Palatino Linotype"/>
          <w:i/>
          <w:iCs/>
          <w:sz w:val="22"/>
          <w:szCs w:val="22"/>
        </w:rPr>
        <w:t>, la cual tendrá los fundamentos y argumentos en que se basa dicha propuesta…”</w:t>
      </w:r>
    </w:p>
    <w:p w14:paraId="398D09D5" w14:textId="77777777" w:rsidR="00885D54" w:rsidRPr="0005134E" w:rsidRDefault="00E5363F">
      <w:pPr>
        <w:spacing w:before="240" w:after="240" w:line="360" w:lineRule="auto"/>
        <w:jc w:val="both"/>
        <w:rPr>
          <w:rFonts w:ascii="Palatino Linotype" w:eastAsia="Palatino Linotype" w:hAnsi="Palatino Linotype" w:cs="Palatino Linotype"/>
        </w:rPr>
      </w:pPr>
      <w:r w:rsidRPr="0005134E">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72BF080B" w14:textId="77777777" w:rsidR="00885D54" w:rsidRPr="0005134E" w:rsidRDefault="00E5363F">
      <w:pPr>
        <w:spacing w:before="240" w:after="240" w:line="360" w:lineRule="auto"/>
        <w:jc w:val="both"/>
        <w:rPr>
          <w:rFonts w:ascii="Palatino Linotype" w:eastAsia="Palatino Linotype" w:hAnsi="Palatino Linotype" w:cs="Palatino Linotype"/>
        </w:rPr>
      </w:pPr>
      <w:r w:rsidRPr="0005134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25A47BC5"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Artículo 149.</w:t>
      </w:r>
      <w:r w:rsidRPr="0005134E">
        <w:rPr>
          <w:rFonts w:ascii="Palatino Linotype" w:eastAsia="Palatino Linotype" w:hAnsi="Palatino Linotype" w:cs="Palatino Linotype"/>
          <w:i/>
          <w:iCs/>
          <w:sz w:val="22"/>
          <w:szCs w:val="22"/>
        </w:rPr>
        <w:t xml:space="preserve"> El </w:t>
      </w:r>
      <w:r w:rsidRPr="0005134E">
        <w:rPr>
          <w:rFonts w:ascii="Palatino Linotype" w:eastAsia="Palatino Linotype" w:hAnsi="Palatino Linotype" w:cs="Palatino Linotype"/>
          <w:b/>
          <w:bCs/>
          <w:i/>
          <w:iCs/>
          <w:sz w:val="22"/>
          <w:szCs w:val="22"/>
        </w:rPr>
        <w:t>acuerdo que clasifique la información como confidencial</w:t>
      </w:r>
      <w:r w:rsidRPr="0005134E">
        <w:rPr>
          <w:rFonts w:ascii="Palatino Linotype" w:eastAsia="Palatino Linotype" w:hAnsi="Palatino Linotype" w:cs="Palatino Linotype"/>
          <w:i/>
          <w:iCs/>
          <w:sz w:val="22"/>
          <w:szCs w:val="22"/>
        </w:rPr>
        <w:t xml:space="preserve"> deberá contener un razonamiento lógico en el que demuestre que la información se encuentra en alguna o algunas de las hipótesis previstas en la presente Ley.” </w:t>
      </w:r>
    </w:p>
    <w:p w14:paraId="322CEC17" w14:textId="77777777" w:rsidR="00885D54" w:rsidRPr="0005134E" w:rsidRDefault="00E5363F">
      <w:pPr>
        <w:spacing w:before="240" w:after="240" w:line="360" w:lineRule="auto"/>
        <w:ind w:right="51"/>
        <w:jc w:val="both"/>
        <w:rPr>
          <w:rFonts w:ascii="Palatino Linotype" w:eastAsia="Palatino Linotype" w:hAnsi="Palatino Linotype" w:cs="Palatino Linotype"/>
        </w:rPr>
      </w:pPr>
      <w:r w:rsidRPr="0005134E">
        <w:rPr>
          <w:rFonts w:ascii="Palatino Linotype" w:eastAsia="Palatino Linotype" w:hAnsi="Palatino Linotype" w:cs="Palatino Linotype"/>
        </w:rPr>
        <w:t xml:space="preserve">Es decir, el </w:t>
      </w:r>
      <w:r w:rsidRPr="0005134E">
        <w:rPr>
          <w:rFonts w:ascii="Palatino Linotype" w:eastAsia="Palatino Linotype" w:hAnsi="Palatino Linotype" w:cs="Palatino Linotype"/>
          <w:b/>
          <w:bCs/>
        </w:rPr>
        <w:t>Sujeto Obligado</w:t>
      </w:r>
      <w:r w:rsidRPr="0005134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persona solicitante.</w:t>
      </w:r>
    </w:p>
    <w:p w14:paraId="0069F8B0" w14:textId="77777777" w:rsidR="00885D54" w:rsidRPr="0005134E" w:rsidRDefault="00E5363F">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rPr>
      </w:pPr>
      <w:r w:rsidRPr="0005134E">
        <w:rPr>
          <w:rFonts w:ascii="Palatino Linotype" w:eastAsia="Palatino Linotype" w:hAnsi="Palatino Linotype" w:cs="Palatino Linotype"/>
        </w:rPr>
        <w:t xml:space="preserve">Asimismo, respecto a las formalidades que deberá llevar el acuerdo de clasificación que deberá emitir el </w:t>
      </w:r>
      <w:r w:rsidRPr="0005134E">
        <w:rPr>
          <w:rFonts w:ascii="Palatino Linotype" w:eastAsia="Palatino Linotype" w:hAnsi="Palatino Linotype" w:cs="Palatino Linotype"/>
          <w:b/>
          <w:bCs/>
        </w:rPr>
        <w:t>Sujeto Obligado</w:t>
      </w:r>
      <w:r w:rsidRPr="0005134E">
        <w:rPr>
          <w:rFonts w:ascii="Palatino Linotype" w:eastAsia="Palatino Linotype" w:hAnsi="Palatino Linotype" w:cs="Palatino Linotype"/>
        </w:rPr>
        <w:t xml:space="preserve"> a través de su Comité de Transparencia, los Lineamientos Quincuagésimo y Quincuagésimo primero de los Lineamientos Generales en Materia de Clasificación y Desclasificación de la Información, así como para la Elaboración de Versiones Públicas, señalan lo siguiente:</w:t>
      </w:r>
    </w:p>
    <w:p w14:paraId="7C76329A"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 xml:space="preserve"> “Quincuagésimo. </w:t>
      </w:r>
      <w:r w:rsidRPr="0005134E">
        <w:rPr>
          <w:rFonts w:ascii="Palatino Linotype" w:eastAsia="Palatino Linotype" w:hAnsi="Palatino Linotype" w:cs="Palatino Linotype"/>
          <w:i/>
          <w:iCs/>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5D8046C4" w14:textId="77777777" w:rsidR="00885D54" w:rsidRPr="0005134E" w:rsidRDefault="00E5363F">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 xml:space="preserve">Quincuagésimo primero. </w:t>
      </w:r>
      <w:r w:rsidRPr="0005134E">
        <w:rPr>
          <w:rFonts w:ascii="Palatino Linotype" w:eastAsia="Palatino Linotype" w:hAnsi="Palatino Linotype" w:cs="Palatino Linotype"/>
          <w:i/>
          <w:iCs/>
          <w:sz w:val="22"/>
          <w:szCs w:val="22"/>
        </w:rPr>
        <w:t xml:space="preserve">Toda acta del Comité de Transparencia deberá contener: </w:t>
      </w:r>
    </w:p>
    <w:p w14:paraId="1D27A8FE" w14:textId="77777777" w:rsidR="00885D54" w:rsidRPr="0005134E" w:rsidRDefault="00E5363F">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w:t>
      </w:r>
      <w:r w:rsidRPr="0005134E">
        <w:rPr>
          <w:rFonts w:ascii="Palatino Linotype" w:eastAsia="Palatino Linotype" w:hAnsi="Palatino Linotype" w:cs="Palatino Linotype"/>
          <w:i/>
          <w:iCs/>
          <w:sz w:val="22"/>
          <w:szCs w:val="22"/>
        </w:rPr>
        <w:t xml:space="preserve"> El número de sesión y fecha; </w:t>
      </w:r>
    </w:p>
    <w:p w14:paraId="158ADF4F" w14:textId="77777777" w:rsidR="00885D54" w:rsidRPr="0005134E" w:rsidRDefault="00E5363F">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II</w:t>
      </w:r>
      <w:r w:rsidRPr="0005134E">
        <w:rPr>
          <w:rFonts w:ascii="Palatino Linotype" w:eastAsia="Palatino Linotype" w:hAnsi="Palatino Linotype" w:cs="Palatino Linotype"/>
          <w:i/>
          <w:iCs/>
          <w:sz w:val="22"/>
          <w:szCs w:val="22"/>
        </w:rPr>
        <w:t xml:space="preserve">. El nombre del área que solicitó la clasificación de información; </w:t>
      </w:r>
    </w:p>
    <w:p w14:paraId="0BA594AC" w14:textId="77777777" w:rsidR="00885D54" w:rsidRPr="0005134E" w:rsidRDefault="00E5363F">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III</w:t>
      </w:r>
      <w:r w:rsidRPr="0005134E">
        <w:rPr>
          <w:rFonts w:ascii="Palatino Linotype" w:eastAsia="Palatino Linotype" w:hAnsi="Palatino Linotype" w:cs="Palatino Linotype"/>
          <w:i/>
          <w:iCs/>
          <w:sz w:val="22"/>
          <w:szCs w:val="22"/>
        </w:rPr>
        <w:t xml:space="preserve">. La fundamentación legal y motivación correspondiente; </w:t>
      </w:r>
    </w:p>
    <w:p w14:paraId="6A453C16" w14:textId="77777777" w:rsidR="00885D54" w:rsidRPr="0005134E" w:rsidRDefault="00E5363F">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IV</w:t>
      </w:r>
      <w:r w:rsidRPr="0005134E">
        <w:rPr>
          <w:rFonts w:ascii="Palatino Linotype" w:eastAsia="Palatino Linotype" w:hAnsi="Palatino Linotype" w:cs="Palatino Linotype"/>
          <w:i/>
          <w:iCs/>
          <w:sz w:val="22"/>
          <w:szCs w:val="22"/>
        </w:rPr>
        <w:t xml:space="preserve">. La resolución o resoluciones aprobadas; y </w:t>
      </w:r>
    </w:p>
    <w:p w14:paraId="7D1EFB45" w14:textId="77777777" w:rsidR="00885D54" w:rsidRPr="0005134E" w:rsidRDefault="00E5363F">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V</w:t>
      </w:r>
      <w:r w:rsidRPr="0005134E">
        <w:rPr>
          <w:rFonts w:ascii="Palatino Linotype" w:eastAsia="Palatino Linotype" w:hAnsi="Palatino Linotype" w:cs="Palatino Linotype"/>
          <w:i/>
          <w:iCs/>
          <w:sz w:val="22"/>
          <w:szCs w:val="22"/>
        </w:rPr>
        <w:t xml:space="preserve">. La rúbrica o firma digital de cada integrante del Comité de Transparencia. </w:t>
      </w:r>
    </w:p>
    <w:p w14:paraId="289A79C2" w14:textId="77777777" w:rsidR="00885D54" w:rsidRPr="0005134E" w:rsidRDefault="00E5363F">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 xml:space="preserve">Las resoluciones del Comité en las que se haya determinado confirmar o modificar la clasificación de información pública como reservada, deberán incluir, cuando menos: </w:t>
      </w:r>
    </w:p>
    <w:p w14:paraId="493DCC56" w14:textId="77777777" w:rsidR="00885D54" w:rsidRPr="0005134E" w:rsidRDefault="00E5363F">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w:t>
      </w:r>
      <w:r w:rsidRPr="0005134E">
        <w:rPr>
          <w:rFonts w:ascii="Palatino Linotype" w:eastAsia="Palatino Linotype" w:hAnsi="Palatino Linotype" w:cs="Palatino Linotype"/>
          <w:i/>
          <w:iCs/>
          <w:sz w:val="22"/>
          <w:szCs w:val="22"/>
        </w:rPr>
        <w:t xml:space="preserve"> Los motivos y razonamientos que sustenten la confirmación o modificación de la prueba de daño;</w:t>
      </w:r>
    </w:p>
    <w:p w14:paraId="62D4D64F" w14:textId="77777777" w:rsidR="00885D54" w:rsidRPr="0005134E" w:rsidRDefault="00E5363F">
      <w:pPr>
        <w:pBdr>
          <w:top w:val="nil"/>
          <w:left w:val="nil"/>
          <w:bottom w:val="nil"/>
          <w:right w:val="nil"/>
          <w:between w:val="nil"/>
        </w:pBdr>
        <w:spacing w:before="120" w:after="120"/>
        <w:ind w:left="851" w:right="902"/>
        <w:jc w:val="both"/>
        <w:rPr>
          <w:rFonts w:ascii="Palatino Linotype" w:eastAsia="Palatino Linotype" w:hAnsi="Palatino Linotype" w:cs="Palatino Linotype"/>
          <w:b/>
          <w:bCs/>
          <w:i/>
          <w:iCs/>
          <w:sz w:val="22"/>
          <w:szCs w:val="22"/>
        </w:rPr>
      </w:pPr>
      <w:r w:rsidRPr="0005134E">
        <w:rPr>
          <w:rFonts w:ascii="Palatino Linotype" w:eastAsia="Palatino Linotype" w:hAnsi="Palatino Linotype" w:cs="Palatino Linotype"/>
          <w:b/>
          <w:bCs/>
          <w:i/>
          <w:iCs/>
          <w:sz w:val="22"/>
          <w:szCs w:val="22"/>
        </w:rPr>
        <w:t>II</w:t>
      </w:r>
      <w:r w:rsidRPr="0005134E">
        <w:rPr>
          <w:rFonts w:ascii="Palatino Linotype" w:eastAsia="Palatino Linotype" w:hAnsi="Palatino Linotype" w:cs="Palatino Linotype"/>
          <w:i/>
          <w:iCs/>
          <w:sz w:val="22"/>
          <w:szCs w:val="22"/>
        </w:rPr>
        <w:t>. Descripción de las partes o secciones reservadas, en caso de clasificación parcial</w:t>
      </w:r>
      <w:r w:rsidRPr="0005134E">
        <w:rPr>
          <w:rFonts w:ascii="Palatino Linotype" w:eastAsia="Palatino Linotype" w:hAnsi="Palatino Linotype" w:cs="Palatino Linotype"/>
          <w:b/>
          <w:bCs/>
          <w:i/>
          <w:iCs/>
          <w:sz w:val="22"/>
          <w:szCs w:val="22"/>
        </w:rPr>
        <w:t xml:space="preserve">; </w:t>
      </w:r>
    </w:p>
    <w:p w14:paraId="1A2E7117" w14:textId="77777777" w:rsidR="00885D54" w:rsidRPr="0005134E" w:rsidRDefault="00E5363F">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III.</w:t>
      </w:r>
      <w:r w:rsidRPr="0005134E">
        <w:rPr>
          <w:rFonts w:ascii="Palatino Linotype" w:eastAsia="Palatino Linotype" w:hAnsi="Palatino Linotype" w:cs="Palatino Linotype"/>
          <w:i/>
          <w:iCs/>
          <w:sz w:val="22"/>
          <w:szCs w:val="22"/>
        </w:rPr>
        <w:t xml:space="preserve"> El periodo por el que mantendrá su clasificación y fecha de expiración; y </w:t>
      </w:r>
    </w:p>
    <w:p w14:paraId="02B53169" w14:textId="77777777" w:rsidR="00885D54" w:rsidRPr="0005134E" w:rsidRDefault="00E5363F">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IV.</w:t>
      </w:r>
      <w:r w:rsidRPr="0005134E">
        <w:rPr>
          <w:rFonts w:ascii="Palatino Linotype" w:eastAsia="Palatino Linotype" w:hAnsi="Palatino Linotype" w:cs="Palatino Linotype"/>
          <w:i/>
          <w:iCs/>
          <w:sz w:val="22"/>
          <w:szCs w:val="22"/>
        </w:rPr>
        <w:t xml:space="preserve"> El nombre del titular y área encargada de realizar la versión pública del documento, en su caso. </w:t>
      </w:r>
    </w:p>
    <w:p w14:paraId="7C354981" w14:textId="77777777" w:rsidR="00885D54" w:rsidRPr="0005134E" w:rsidRDefault="00E5363F">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 xml:space="preserve">En los casos en que se clasifique la información como reservada siempre se entregará o anexará la prueba de daño con la respuesta al solicitante. </w:t>
      </w:r>
    </w:p>
    <w:p w14:paraId="2351DB32" w14:textId="77777777" w:rsidR="00885D54" w:rsidRPr="0005134E" w:rsidRDefault="00E5363F">
      <w:pPr>
        <w:pBdr>
          <w:top w:val="nil"/>
          <w:left w:val="nil"/>
          <w:bottom w:val="nil"/>
          <w:right w:val="nil"/>
          <w:between w:val="nil"/>
        </w:pBd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652C4FD" w14:textId="77777777" w:rsidR="00885D54" w:rsidRPr="0005134E" w:rsidRDefault="00E5363F">
      <w:pPr>
        <w:spacing w:before="240" w:after="240" w:line="360" w:lineRule="auto"/>
        <w:jc w:val="both"/>
        <w:rPr>
          <w:rFonts w:ascii="Palatino Linotype" w:eastAsia="Palatino Linotype" w:hAnsi="Palatino Linotype" w:cs="Palatino Linotype"/>
        </w:rPr>
      </w:pPr>
      <w:r w:rsidRPr="0005134E">
        <w:rPr>
          <w:rFonts w:ascii="Palatino Linotype" w:eastAsia="Palatino Linotype" w:hAnsi="Palatino Linotype" w:cs="Palatino Linotype"/>
        </w:rPr>
        <w:t>Para la elaboración de las versiones públicas, además, se deberán observar las formalidades establecidas en los Lineamientos Quincuagésimo segundo, Quincuagésimo cuarto, Quincuagésimo quinto, Quincuagésimo séptimo y Quincuagésimo octavo, que establecen lo siguiente:</w:t>
      </w:r>
    </w:p>
    <w:p w14:paraId="005BDDC1" w14:textId="77777777" w:rsidR="00885D54" w:rsidRPr="0005134E" w:rsidRDefault="00E5363F">
      <w:pP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r w:rsidRPr="0005134E">
        <w:rPr>
          <w:rFonts w:ascii="Palatino Linotype" w:eastAsia="Palatino Linotype" w:hAnsi="Palatino Linotype" w:cs="Palatino Linotype"/>
          <w:b/>
          <w:bCs/>
          <w:i/>
          <w:iCs/>
          <w:sz w:val="22"/>
          <w:szCs w:val="22"/>
        </w:rPr>
        <w:t>Quincuagésimo segundo</w:t>
      </w:r>
      <w:r w:rsidRPr="0005134E">
        <w:rPr>
          <w:rFonts w:ascii="Palatino Linotype" w:eastAsia="Palatino Linotype" w:hAnsi="Palatino Linotype" w:cs="Palatino Linotype"/>
          <w:i/>
          <w:iCs/>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F56DF4C" w14:textId="77777777" w:rsidR="00885D54" w:rsidRPr="0005134E" w:rsidRDefault="00E5363F">
      <w:pP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 xml:space="preserve">En el caso específico de la clasificación y elaboración de versiones públicas de documentos que contengan información confidencial, las áreas de los sujetos obligados deberán: </w:t>
      </w:r>
    </w:p>
    <w:p w14:paraId="22C14A91" w14:textId="77777777" w:rsidR="00885D54" w:rsidRPr="0005134E" w:rsidRDefault="00E5363F">
      <w:pP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w:t>
      </w:r>
      <w:r w:rsidRPr="0005134E">
        <w:rPr>
          <w:rFonts w:ascii="Palatino Linotype" w:eastAsia="Palatino Linotype" w:hAnsi="Palatino Linotype" w:cs="Palatino Linotype"/>
          <w:i/>
          <w:iCs/>
          <w:sz w:val="22"/>
          <w:szCs w:val="22"/>
        </w:rPr>
        <w:t xml:space="preserve"> Fijar la fecha en que se elaboró la versión pública y la fecha en la cual el Comité de Transparencia confirmó dicha versión;</w:t>
      </w:r>
    </w:p>
    <w:p w14:paraId="6C566A60" w14:textId="77777777" w:rsidR="00885D54" w:rsidRPr="0005134E" w:rsidRDefault="00E5363F">
      <w:pP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II.</w:t>
      </w:r>
      <w:r w:rsidRPr="0005134E">
        <w:rPr>
          <w:rFonts w:ascii="Palatino Linotype" w:eastAsia="Palatino Linotype" w:hAnsi="Palatino Linotype" w:cs="Palatino Linotype"/>
          <w:i/>
          <w:iCs/>
          <w:sz w:val="22"/>
          <w:szCs w:val="22"/>
        </w:rPr>
        <w:t xml:space="preserve"> Señalar dentro del documento el tipo de información confidencial que fue testada en cada caso específico, de conformidad con el lineamiento trigésimo octavo; y</w:t>
      </w:r>
    </w:p>
    <w:p w14:paraId="4A3BCC93" w14:textId="77777777" w:rsidR="00885D54" w:rsidRPr="0005134E" w:rsidRDefault="00E5363F">
      <w:pP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III.</w:t>
      </w:r>
      <w:r w:rsidRPr="0005134E">
        <w:rPr>
          <w:rFonts w:ascii="Palatino Linotype" w:eastAsia="Palatino Linotype" w:hAnsi="Palatino Linotype" w:cs="Palatino Linotype"/>
          <w:i/>
          <w:iCs/>
          <w:sz w:val="22"/>
          <w:szCs w:val="22"/>
        </w:rPr>
        <w:t xml:space="preserve"> Señalar las personas o instancias autorizadas a acceder a la información clasificada.</w:t>
      </w:r>
    </w:p>
    <w:p w14:paraId="73240C39" w14:textId="77777777" w:rsidR="00885D54" w:rsidRPr="0005134E" w:rsidRDefault="00E5363F">
      <w:pP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En los documentos de difusión electrónica, señalar en la primera hoja y en el nombre del archivo, que la versión pública corresponde a un documento que contiene información confidencial.”</w:t>
      </w:r>
    </w:p>
    <w:p w14:paraId="48F5EB54" w14:textId="77777777" w:rsidR="00885D54" w:rsidRPr="0005134E" w:rsidRDefault="00E5363F">
      <w:pPr>
        <w:pBdr>
          <w:top w:val="nil"/>
          <w:left w:val="nil"/>
          <w:bottom w:val="nil"/>
          <w:right w:val="nil"/>
          <w:between w:val="nil"/>
        </w:pBdr>
        <w:spacing w:before="120" w:after="120"/>
        <w:ind w:left="851" w:right="900"/>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w:t>
      </w:r>
    </w:p>
    <w:p w14:paraId="1D51E2D7" w14:textId="77777777" w:rsidR="00885D54" w:rsidRPr="0005134E" w:rsidRDefault="00E5363F">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05134E">
        <w:rPr>
          <w:rFonts w:ascii="Palatino Linotype" w:eastAsia="Palatino Linotype" w:hAnsi="Palatino Linotype" w:cs="Palatino Linotype"/>
          <w:b/>
          <w:bCs/>
          <w:i/>
          <w:iCs/>
          <w:sz w:val="22"/>
          <w:szCs w:val="22"/>
        </w:rPr>
        <w:t xml:space="preserve">Quincuagésimo cuarto. </w:t>
      </w:r>
      <w:r w:rsidRPr="0005134E">
        <w:rPr>
          <w:rFonts w:ascii="Palatino Linotype" w:eastAsia="Palatino Linotype" w:hAnsi="Palatino Linotype" w:cs="Palatino Linotype"/>
          <w:i/>
          <w:iCs/>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05134E">
        <w:rPr>
          <w:rFonts w:ascii="Palatino Linotype" w:eastAsia="Palatino Linotype" w:hAnsi="Palatino Linotype" w:cs="Palatino Linotype"/>
          <w:b/>
          <w:bCs/>
          <w:i/>
          <w:iCs/>
          <w:sz w:val="22"/>
          <w:szCs w:val="22"/>
        </w:rPr>
        <w:t xml:space="preserve"> </w:t>
      </w:r>
    </w:p>
    <w:p w14:paraId="6978061A"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 xml:space="preserve">Quincuagésimo quinto. </w:t>
      </w:r>
      <w:r w:rsidRPr="0005134E">
        <w:rPr>
          <w:rFonts w:ascii="Palatino Linotype" w:eastAsia="Palatino Linotype" w:hAnsi="Palatino Linotype" w:cs="Palatino Linotype"/>
          <w:i/>
          <w:iCs/>
          <w:sz w:val="22"/>
          <w:szCs w:val="22"/>
        </w:rPr>
        <w:t>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3C8F15E5" w14:textId="77777777" w:rsidR="00885D54" w:rsidRPr="0005134E" w:rsidRDefault="00E5363F">
      <w:pPr>
        <w:spacing w:before="120" w:after="120"/>
        <w:ind w:left="851" w:right="902"/>
        <w:jc w:val="both"/>
        <w:rPr>
          <w:rFonts w:ascii="Palatino Linotype" w:eastAsia="Palatino Linotype" w:hAnsi="Palatino Linotype" w:cs="Palatino Linotype"/>
          <w:b/>
          <w:bCs/>
          <w:i/>
          <w:iCs/>
          <w:sz w:val="22"/>
          <w:szCs w:val="22"/>
        </w:rPr>
      </w:pPr>
      <w:r w:rsidRPr="0005134E">
        <w:rPr>
          <w:rFonts w:ascii="Palatino Linotype" w:eastAsia="Palatino Linotype" w:hAnsi="Palatino Linotype" w:cs="Palatino Linotype"/>
          <w:b/>
          <w:bCs/>
          <w:i/>
          <w:iCs/>
          <w:sz w:val="22"/>
          <w:szCs w:val="22"/>
        </w:rPr>
        <w:t>...</w:t>
      </w:r>
    </w:p>
    <w:p w14:paraId="5847D518"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Quincuagésimo séptimo</w:t>
      </w:r>
      <w:r w:rsidRPr="0005134E">
        <w:rPr>
          <w:rFonts w:ascii="Palatino Linotype" w:eastAsia="Palatino Linotype" w:hAnsi="Palatino Linotype" w:cs="Palatino Linotype"/>
          <w:i/>
          <w:iCs/>
          <w:sz w:val="22"/>
          <w:szCs w:val="22"/>
        </w:rPr>
        <w:t xml:space="preserve">. Se considera, en principio, como información pública y no podrá omitirse de las versiones públicas la siguiente: </w:t>
      </w:r>
    </w:p>
    <w:p w14:paraId="56C6F0EE"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w:t>
      </w:r>
      <w:r w:rsidRPr="0005134E">
        <w:rPr>
          <w:rFonts w:ascii="Palatino Linotype" w:eastAsia="Palatino Linotype" w:hAnsi="Palatino Linotype" w:cs="Palatino Linotype"/>
          <w:i/>
          <w:iCs/>
          <w:sz w:val="22"/>
          <w:szCs w:val="22"/>
        </w:rPr>
        <w:t xml:space="preserve">. La relativa a las Obligaciones de Transparencia que contempla el Título V de la Ley General y las demás disposiciones legales aplicables; </w:t>
      </w:r>
    </w:p>
    <w:p w14:paraId="2915B3ED"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II.</w:t>
      </w:r>
      <w:r w:rsidRPr="0005134E">
        <w:rPr>
          <w:rFonts w:ascii="Palatino Linotype" w:eastAsia="Palatino Linotype" w:hAnsi="Palatino Linotype" w:cs="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40A4604B"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III</w:t>
      </w:r>
      <w:r w:rsidRPr="0005134E">
        <w:rPr>
          <w:rFonts w:ascii="Palatino Linotype" w:eastAsia="Palatino Linotype" w:hAnsi="Palatino Linotype" w:cs="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7D0EE4E0"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i/>
          <w:iCs/>
          <w:sz w:val="22"/>
          <w:szCs w:val="22"/>
        </w:rPr>
        <w:t xml:space="preserve">Lo anterior, siempre y cuando no se acredite alguna causal de clasificación, prevista en las leyes o en los tratados internacionales suscritas por el Estado mexicano.  </w:t>
      </w:r>
    </w:p>
    <w:p w14:paraId="3F6F5817" w14:textId="77777777" w:rsidR="00885D54" w:rsidRPr="0005134E" w:rsidRDefault="00E5363F">
      <w:pPr>
        <w:spacing w:before="120" w:after="120"/>
        <w:ind w:left="851" w:right="902"/>
        <w:jc w:val="both"/>
        <w:rPr>
          <w:rFonts w:ascii="Palatino Linotype" w:eastAsia="Palatino Linotype" w:hAnsi="Palatino Linotype" w:cs="Palatino Linotype"/>
          <w:i/>
          <w:iCs/>
          <w:sz w:val="22"/>
          <w:szCs w:val="22"/>
        </w:rPr>
      </w:pPr>
      <w:r w:rsidRPr="0005134E">
        <w:rPr>
          <w:rFonts w:ascii="Palatino Linotype" w:eastAsia="Palatino Linotype" w:hAnsi="Palatino Linotype" w:cs="Palatino Linotype"/>
          <w:b/>
          <w:bCs/>
          <w:i/>
          <w:iCs/>
          <w:sz w:val="22"/>
          <w:szCs w:val="22"/>
        </w:rPr>
        <w:t>Quincuagésimo octavo</w:t>
      </w:r>
      <w:r w:rsidRPr="0005134E">
        <w:rPr>
          <w:rFonts w:ascii="Palatino Linotype" w:eastAsia="Palatino Linotype" w:hAnsi="Palatino Linotype" w:cs="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2D9347CB" w14:textId="77777777" w:rsidR="00885D54" w:rsidRPr="0005134E" w:rsidRDefault="00885D54">
      <w:pPr>
        <w:spacing w:before="240" w:after="240" w:line="360" w:lineRule="auto"/>
        <w:jc w:val="both"/>
        <w:rPr>
          <w:rFonts w:ascii="Palatino Linotype" w:eastAsia="Palatino Linotype" w:hAnsi="Palatino Linotype" w:cs="Palatino Linotype"/>
          <w:sz w:val="22"/>
          <w:szCs w:val="22"/>
        </w:rPr>
      </w:pPr>
    </w:p>
    <w:p w14:paraId="0635FDA2"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Así, con fundamento en lo prescrito en los artículos 5 párrafos cuadragésimo cuarto, cuadragésimo quinto y cuadragésimo sexto, de la Constitución Política del Estado Libre y Soberano de México; transitorio Cuarto del Decreto número 198 de la “LXII” Legislatura del Estado de México; 2, fracción II; 29, 36 fracciones I y II; 176, 178, 181, 185 y 186 fracción II de la Ley de Transparencia y Acceso a la Información Pública del Estado de México y Municipios, este Pleno:</w:t>
      </w:r>
    </w:p>
    <w:p w14:paraId="604FDCE2" w14:textId="77777777" w:rsidR="00885D54" w:rsidRPr="0005134E" w:rsidRDefault="00885D54">
      <w:pPr>
        <w:spacing w:before="240" w:after="240" w:line="360" w:lineRule="auto"/>
        <w:jc w:val="both"/>
        <w:rPr>
          <w:rFonts w:ascii="Palatino Linotype" w:eastAsia="Palatino Linotype" w:hAnsi="Palatino Linotype" w:cs="Palatino Linotype"/>
          <w:sz w:val="22"/>
          <w:szCs w:val="22"/>
        </w:rPr>
      </w:pPr>
    </w:p>
    <w:p w14:paraId="72D9AA4F" w14:textId="77777777" w:rsidR="00885D54" w:rsidRPr="0005134E" w:rsidRDefault="00E5363F">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05134E">
        <w:rPr>
          <w:rFonts w:ascii="Palatino Linotype" w:eastAsia="Palatino Linotype" w:hAnsi="Palatino Linotype" w:cs="Palatino Linotype"/>
          <w:b/>
          <w:bCs/>
          <w:sz w:val="22"/>
          <w:szCs w:val="22"/>
        </w:rPr>
        <w:t>III. R E S U E L V E</w:t>
      </w:r>
    </w:p>
    <w:p w14:paraId="23677B3B"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bookmarkStart w:id="8" w:name="_heading=h.26in1rg" w:colFirst="0" w:colLast="0"/>
      <w:bookmarkEnd w:id="8"/>
      <w:r w:rsidRPr="0005134E">
        <w:rPr>
          <w:rFonts w:ascii="Palatino Linotype" w:eastAsia="Palatino Linotype" w:hAnsi="Palatino Linotype" w:cs="Palatino Linotype"/>
          <w:b/>
          <w:bCs/>
          <w:sz w:val="22"/>
          <w:szCs w:val="22"/>
        </w:rPr>
        <w:t xml:space="preserve">Primero. </w:t>
      </w:r>
      <w:r w:rsidRPr="0005134E">
        <w:rPr>
          <w:rFonts w:ascii="Palatino Linotype" w:eastAsia="Palatino Linotype" w:hAnsi="Palatino Linotype" w:cs="Palatino Linotype"/>
          <w:sz w:val="22"/>
          <w:szCs w:val="22"/>
        </w:rPr>
        <w:t>Resultan</w:t>
      </w:r>
      <w:r w:rsidRPr="0005134E">
        <w:rPr>
          <w:rFonts w:ascii="Palatino Linotype" w:eastAsia="Palatino Linotype" w:hAnsi="Palatino Linotype" w:cs="Palatino Linotype"/>
          <w:b/>
          <w:bCs/>
          <w:sz w:val="22"/>
          <w:szCs w:val="22"/>
        </w:rPr>
        <w:t xml:space="preserve"> parcialmente fundadas</w:t>
      </w:r>
      <w:r w:rsidRPr="0005134E">
        <w:rPr>
          <w:rFonts w:ascii="Palatino Linotype" w:eastAsia="Palatino Linotype" w:hAnsi="Palatino Linotype" w:cs="Palatino Linotype"/>
          <w:sz w:val="22"/>
          <w:szCs w:val="22"/>
        </w:rPr>
        <w:t xml:space="preserve"> las razones o motivos de inconformidad hechos valer por la parte</w:t>
      </w:r>
      <w:r w:rsidRPr="0005134E">
        <w:rPr>
          <w:rFonts w:ascii="Palatino Linotype" w:eastAsia="Palatino Linotype" w:hAnsi="Palatino Linotype" w:cs="Palatino Linotype"/>
          <w:b/>
          <w:bCs/>
          <w:sz w:val="22"/>
          <w:szCs w:val="22"/>
        </w:rPr>
        <w:t xml:space="preserve"> Recurrente</w:t>
      </w:r>
      <w:r w:rsidRPr="0005134E">
        <w:rPr>
          <w:rFonts w:ascii="Palatino Linotype" w:eastAsia="Palatino Linotype" w:hAnsi="Palatino Linotype" w:cs="Palatino Linotype"/>
          <w:sz w:val="22"/>
          <w:szCs w:val="22"/>
        </w:rPr>
        <w:t xml:space="preserve"> en el recurso de revisión </w:t>
      </w:r>
      <w:r w:rsidRPr="0005134E">
        <w:rPr>
          <w:rFonts w:ascii="Palatino Linotype" w:eastAsia="Palatino Linotype" w:hAnsi="Palatino Linotype" w:cs="Palatino Linotype"/>
          <w:b/>
          <w:bCs/>
          <w:sz w:val="22"/>
          <w:szCs w:val="22"/>
        </w:rPr>
        <w:t>09554/INFOEM/IP/RR/2025</w:t>
      </w:r>
      <w:r w:rsidRPr="0005134E">
        <w:rPr>
          <w:rFonts w:ascii="Palatino Linotype" w:eastAsia="Palatino Linotype" w:hAnsi="Palatino Linotype" w:cs="Palatino Linotype"/>
          <w:sz w:val="22"/>
          <w:szCs w:val="22"/>
        </w:rPr>
        <w:t xml:space="preserve">; por lo que, en términos del </w:t>
      </w:r>
      <w:r w:rsidRPr="0005134E">
        <w:rPr>
          <w:rFonts w:ascii="Palatino Linotype" w:eastAsia="Palatino Linotype" w:hAnsi="Palatino Linotype" w:cs="Palatino Linotype"/>
          <w:b/>
          <w:bCs/>
          <w:sz w:val="22"/>
          <w:szCs w:val="22"/>
        </w:rPr>
        <w:t>Considerando</w:t>
      </w:r>
      <w:r w:rsidRPr="0005134E">
        <w:rPr>
          <w:rFonts w:ascii="Palatino Linotype" w:eastAsia="Palatino Linotype" w:hAnsi="Palatino Linotype" w:cs="Palatino Linotype"/>
          <w:sz w:val="22"/>
          <w:szCs w:val="22"/>
        </w:rPr>
        <w:t xml:space="preserve"> </w:t>
      </w:r>
      <w:r w:rsidRPr="0005134E">
        <w:rPr>
          <w:rFonts w:ascii="Palatino Linotype" w:eastAsia="Palatino Linotype" w:hAnsi="Palatino Linotype" w:cs="Palatino Linotype"/>
          <w:b/>
          <w:bCs/>
          <w:sz w:val="22"/>
          <w:szCs w:val="22"/>
        </w:rPr>
        <w:t xml:space="preserve">Cuarto </w:t>
      </w:r>
      <w:r w:rsidRPr="0005134E">
        <w:rPr>
          <w:rFonts w:ascii="Palatino Linotype" w:eastAsia="Palatino Linotype" w:hAnsi="Palatino Linotype" w:cs="Palatino Linotype"/>
          <w:sz w:val="22"/>
          <w:szCs w:val="22"/>
        </w:rPr>
        <w:t xml:space="preserve">de esta resolución, se </w:t>
      </w:r>
      <w:r w:rsidRPr="0005134E">
        <w:rPr>
          <w:rFonts w:ascii="Palatino Linotype" w:eastAsia="Palatino Linotype" w:hAnsi="Palatino Linotype" w:cs="Palatino Linotype"/>
          <w:b/>
          <w:bCs/>
          <w:sz w:val="22"/>
          <w:szCs w:val="22"/>
        </w:rPr>
        <w:t xml:space="preserve">Modifica </w:t>
      </w:r>
      <w:r w:rsidRPr="0005134E">
        <w:rPr>
          <w:rFonts w:ascii="Palatino Linotype" w:eastAsia="Palatino Linotype" w:hAnsi="Palatino Linotype" w:cs="Palatino Linotype"/>
          <w:sz w:val="22"/>
          <w:szCs w:val="22"/>
        </w:rPr>
        <w:t xml:space="preserve">la respuesta emitida por el </w:t>
      </w:r>
      <w:r w:rsidRPr="0005134E">
        <w:rPr>
          <w:rFonts w:ascii="Palatino Linotype" w:eastAsia="Palatino Linotype" w:hAnsi="Palatino Linotype" w:cs="Palatino Linotype"/>
          <w:b/>
          <w:bCs/>
          <w:sz w:val="22"/>
          <w:szCs w:val="22"/>
        </w:rPr>
        <w:t xml:space="preserve">Sujeto Obligado. </w:t>
      </w:r>
    </w:p>
    <w:p w14:paraId="53EF5AE0"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b/>
          <w:bCs/>
          <w:sz w:val="22"/>
          <w:szCs w:val="22"/>
        </w:rPr>
        <w:t xml:space="preserve">Segundo. </w:t>
      </w:r>
      <w:r w:rsidRPr="0005134E">
        <w:rPr>
          <w:rFonts w:ascii="Palatino Linotype" w:eastAsia="Palatino Linotype" w:hAnsi="Palatino Linotype" w:cs="Palatino Linotype"/>
          <w:sz w:val="22"/>
          <w:szCs w:val="22"/>
        </w:rPr>
        <w:t xml:space="preserve">Se </w:t>
      </w:r>
      <w:r w:rsidRPr="0005134E">
        <w:rPr>
          <w:rFonts w:ascii="Palatino Linotype" w:eastAsia="Palatino Linotype" w:hAnsi="Palatino Linotype" w:cs="Palatino Linotype"/>
          <w:b/>
          <w:bCs/>
          <w:sz w:val="22"/>
          <w:szCs w:val="22"/>
        </w:rPr>
        <w:t>Ordena</w:t>
      </w:r>
      <w:r w:rsidRPr="0005134E">
        <w:rPr>
          <w:rFonts w:ascii="Palatino Linotype" w:eastAsia="Palatino Linotype" w:hAnsi="Palatino Linotype" w:cs="Palatino Linotype"/>
          <w:sz w:val="22"/>
          <w:szCs w:val="22"/>
        </w:rPr>
        <w:t xml:space="preserve"> al </w:t>
      </w:r>
      <w:r w:rsidRPr="0005134E">
        <w:rPr>
          <w:rFonts w:ascii="Palatino Linotype" w:eastAsia="Palatino Linotype" w:hAnsi="Palatino Linotype" w:cs="Palatino Linotype"/>
          <w:b/>
          <w:bCs/>
          <w:sz w:val="22"/>
          <w:szCs w:val="22"/>
        </w:rPr>
        <w:t>Sujeto Obligado</w:t>
      </w:r>
      <w:r w:rsidRPr="0005134E">
        <w:rPr>
          <w:rFonts w:ascii="Palatino Linotype" w:eastAsia="Palatino Linotype" w:hAnsi="Palatino Linotype" w:cs="Palatino Linotype"/>
          <w:sz w:val="22"/>
          <w:szCs w:val="22"/>
        </w:rPr>
        <w:t xml:space="preserve">, en términos de los Considerandos </w:t>
      </w:r>
      <w:r w:rsidRPr="0005134E">
        <w:rPr>
          <w:rFonts w:ascii="Palatino Linotype" w:eastAsia="Palatino Linotype" w:hAnsi="Palatino Linotype" w:cs="Palatino Linotype"/>
          <w:b/>
          <w:bCs/>
          <w:sz w:val="22"/>
          <w:szCs w:val="22"/>
        </w:rPr>
        <w:t xml:space="preserve">Cuarto </w:t>
      </w:r>
      <w:r w:rsidRPr="0005134E">
        <w:rPr>
          <w:rFonts w:ascii="Palatino Linotype" w:eastAsia="Palatino Linotype" w:hAnsi="Palatino Linotype" w:cs="Palatino Linotype"/>
          <w:sz w:val="22"/>
          <w:szCs w:val="22"/>
        </w:rPr>
        <w:t xml:space="preserve">y </w:t>
      </w:r>
      <w:r w:rsidRPr="0005134E">
        <w:rPr>
          <w:rFonts w:ascii="Palatino Linotype" w:eastAsia="Palatino Linotype" w:hAnsi="Palatino Linotype" w:cs="Palatino Linotype"/>
          <w:b/>
          <w:bCs/>
          <w:sz w:val="22"/>
          <w:szCs w:val="22"/>
        </w:rPr>
        <w:t xml:space="preserve">Quinto </w:t>
      </w:r>
      <w:r w:rsidRPr="0005134E">
        <w:rPr>
          <w:rFonts w:ascii="Palatino Linotype" w:eastAsia="Palatino Linotype" w:hAnsi="Palatino Linotype" w:cs="Palatino Linotype"/>
          <w:sz w:val="22"/>
          <w:szCs w:val="22"/>
        </w:rPr>
        <w:t xml:space="preserve">de esta resolución, haga entrega, vía </w:t>
      </w:r>
      <w:r w:rsidRPr="0005134E">
        <w:rPr>
          <w:rFonts w:ascii="Palatino Linotype" w:eastAsia="Palatino Linotype" w:hAnsi="Palatino Linotype" w:cs="Palatino Linotype"/>
          <w:b/>
          <w:bCs/>
          <w:sz w:val="22"/>
          <w:szCs w:val="22"/>
        </w:rPr>
        <w:t>SAIMEX</w:t>
      </w:r>
      <w:r w:rsidRPr="0005134E">
        <w:rPr>
          <w:rFonts w:ascii="Palatino Linotype" w:eastAsia="Palatino Linotype" w:hAnsi="Palatino Linotype" w:cs="Palatino Linotype"/>
          <w:sz w:val="22"/>
          <w:szCs w:val="22"/>
        </w:rPr>
        <w:t>, en versión pública de ser necesario, de lo siguiente:</w:t>
      </w:r>
    </w:p>
    <w:p w14:paraId="207E386A" w14:textId="77777777" w:rsidR="00885D54" w:rsidRPr="0005134E" w:rsidRDefault="00E5363F">
      <w:pPr>
        <w:pBdr>
          <w:top w:val="nil"/>
          <w:left w:val="nil"/>
          <w:bottom w:val="nil"/>
          <w:right w:val="nil"/>
          <w:between w:val="nil"/>
        </w:pBdr>
        <w:spacing w:before="240" w:after="240" w:line="360" w:lineRule="auto"/>
        <w:ind w:left="284" w:right="-91"/>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De la servidora pública referida en la solicitud, del uno de agosto de dos mil diecinueve al dieciséis de junio de dos mil veinticinco.</w:t>
      </w:r>
    </w:p>
    <w:p w14:paraId="254709B5" w14:textId="77777777" w:rsidR="00885D54" w:rsidRPr="0005134E" w:rsidRDefault="00E5363F">
      <w:pPr>
        <w:pBdr>
          <w:top w:val="nil"/>
          <w:left w:val="nil"/>
          <w:bottom w:val="nil"/>
          <w:right w:val="nil"/>
          <w:between w:val="nil"/>
        </w:pBdr>
        <w:spacing w:before="240" w:after="240" w:line="360" w:lineRule="auto"/>
        <w:ind w:left="284" w:right="-91"/>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1. Los recibos de nómina que den cuenta del sueldo mensual bruto y neto que se le ha asignado.</w:t>
      </w:r>
    </w:p>
    <w:p w14:paraId="314C3E5F" w14:textId="77777777" w:rsidR="00885D54" w:rsidRPr="0005134E" w:rsidRDefault="00E5363F">
      <w:pPr>
        <w:pBdr>
          <w:top w:val="nil"/>
          <w:left w:val="nil"/>
          <w:bottom w:val="nil"/>
          <w:right w:val="nil"/>
          <w:between w:val="nil"/>
        </w:pBdr>
        <w:spacing w:before="240" w:after="240" w:line="360" w:lineRule="auto"/>
        <w:ind w:left="284" w:right="-91"/>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2. El o los documentos mediante los cuales se autorizaron los cambios de sueldo que ha tenido.</w:t>
      </w:r>
    </w:p>
    <w:p w14:paraId="55017F47" w14:textId="77777777" w:rsidR="00885D54" w:rsidRPr="0005134E" w:rsidRDefault="00E5363F">
      <w:pPr>
        <w:spacing w:before="120" w:after="120"/>
        <w:ind w:left="284"/>
        <w:jc w:val="both"/>
        <w:rPr>
          <w:rFonts w:ascii="Palatino Linotype" w:eastAsia="Palatino Linotype" w:hAnsi="Palatino Linotype" w:cs="Palatino Linotype"/>
          <w:i/>
          <w:iCs/>
          <w:sz w:val="20"/>
          <w:szCs w:val="20"/>
        </w:rPr>
      </w:pPr>
      <w:r w:rsidRPr="0005134E">
        <w:rPr>
          <w:rFonts w:ascii="Palatino Linotype" w:eastAsia="Palatino Linotype" w:hAnsi="Palatino Linotype" w:cs="Palatino Linotype"/>
          <w:i/>
          <w:iCs/>
          <w:sz w:val="20"/>
          <w:szCs w:val="20"/>
        </w:rPr>
        <w:t>Para la entrega de información en versión pública, se deberá emitir el Acuerdo del Comité de Transparencia de acuerdo con la Ley de Transparencia y Acceso a la Información Pública del Estado de México y Municipios, en el que funde y motive las razones sobre los datos que se supriman, mismo que también hará de conocimiento del particular.</w:t>
      </w:r>
    </w:p>
    <w:p w14:paraId="357CAC8C" w14:textId="77777777" w:rsidR="00885D54" w:rsidRPr="0005134E" w:rsidRDefault="00E5363F">
      <w:pPr>
        <w:spacing w:before="120" w:after="120"/>
        <w:ind w:left="284"/>
        <w:jc w:val="both"/>
        <w:rPr>
          <w:rFonts w:ascii="Palatino Linotype" w:eastAsia="Palatino Linotype" w:hAnsi="Palatino Linotype" w:cs="Palatino Linotype"/>
          <w:i/>
          <w:iCs/>
          <w:sz w:val="20"/>
          <w:szCs w:val="20"/>
        </w:rPr>
      </w:pPr>
      <w:bookmarkStart w:id="9" w:name="_heading=h.pfueq2pz72s1" w:colFirst="0" w:colLast="0"/>
      <w:bookmarkEnd w:id="9"/>
      <w:r w:rsidRPr="0005134E">
        <w:rPr>
          <w:rFonts w:ascii="Palatino Linotype" w:eastAsia="Palatino Linotype" w:hAnsi="Palatino Linotype" w:cs="Palatino Linotype"/>
          <w:i/>
          <w:iCs/>
          <w:sz w:val="20"/>
          <w:szCs w:val="20"/>
        </w:rPr>
        <w:t xml:space="preserve">En el supuesto que la información ordenada en el </w:t>
      </w:r>
      <w:r w:rsidRPr="0005134E">
        <w:rPr>
          <w:rFonts w:ascii="Palatino Linotype" w:eastAsia="Palatino Linotype" w:hAnsi="Palatino Linotype" w:cs="Palatino Linotype"/>
          <w:b/>
          <w:bCs/>
          <w:i/>
          <w:iCs/>
          <w:sz w:val="20"/>
          <w:szCs w:val="20"/>
        </w:rPr>
        <w:t>punto 2</w:t>
      </w:r>
      <w:r w:rsidRPr="0005134E">
        <w:rPr>
          <w:rFonts w:ascii="Palatino Linotype" w:eastAsia="Palatino Linotype" w:hAnsi="Palatino Linotype" w:cs="Palatino Linotype"/>
          <w:i/>
          <w:iCs/>
          <w:sz w:val="20"/>
          <w:szCs w:val="20"/>
        </w:rPr>
        <w:t xml:space="preserve"> no obre en los archivos del </w:t>
      </w:r>
      <w:r w:rsidRPr="0005134E">
        <w:rPr>
          <w:rFonts w:ascii="Palatino Linotype" w:eastAsia="Palatino Linotype" w:hAnsi="Palatino Linotype" w:cs="Palatino Linotype"/>
          <w:b/>
          <w:bCs/>
          <w:i/>
          <w:iCs/>
          <w:sz w:val="20"/>
          <w:szCs w:val="20"/>
        </w:rPr>
        <w:t xml:space="preserve">Sujeto Obligado, </w:t>
      </w:r>
      <w:r w:rsidRPr="0005134E">
        <w:rPr>
          <w:rFonts w:ascii="Palatino Linotype" w:eastAsia="Palatino Linotype" w:hAnsi="Palatino Linotype" w:cs="Palatino Linotype"/>
          <w:i/>
          <w:iCs/>
          <w:sz w:val="20"/>
          <w:szCs w:val="20"/>
        </w:rPr>
        <w:t xml:space="preserve">por no haberse generado, bastará con que así se haga del conocimiento de la parte </w:t>
      </w:r>
      <w:r w:rsidRPr="0005134E">
        <w:rPr>
          <w:rFonts w:ascii="Palatino Linotype" w:eastAsia="Palatino Linotype" w:hAnsi="Palatino Linotype" w:cs="Palatino Linotype"/>
          <w:b/>
          <w:bCs/>
          <w:i/>
          <w:iCs/>
          <w:sz w:val="20"/>
          <w:szCs w:val="20"/>
        </w:rPr>
        <w:t>Recurrente</w:t>
      </w:r>
      <w:r w:rsidRPr="0005134E">
        <w:rPr>
          <w:rFonts w:ascii="Palatino Linotype" w:eastAsia="Palatino Linotype" w:hAnsi="Palatino Linotype" w:cs="Palatino Linotype"/>
          <w:i/>
          <w:iCs/>
          <w:sz w:val="20"/>
          <w:szCs w:val="20"/>
        </w:rPr>
        <w:t>, en términos del artículo 19, párrafo segundo de la Ley de Transparencia y Acceso a la Información Pública del Estado de México y Municipios.</w:t>
      </w:r>
    </w:p>
    <w:p w14:paraId="0AF443F7" w14:textId="77777777" w:rsidR="00885D54" w:rsidRPr="0005134E" w:rsidRDefault="00885D54">
      <w:pPr>
        <w:spacing w:before="120" w:after="120"/>
        <w:ind w:left="284"/>
        <w:jc w:val="both"/>
        <w:rPr>
          <w:rFonts w:ascii="Palatino Linotype" w:eastAsia="Palatino Linotype" w:hAnsi="Palatino Linotype" w:cs="Palatino Linotype"/>
          <w:i/>
          <w:iCs/>
          <w:sz w:val="20"/>
          <w:szCs w:val="20"/>
        </w:rPr>
      </w:pPr>
    </w:p>
    <w:p w14:paraId="57E00AAF"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b/>
          <w:bCs/>
          <w:sz w:val="22"/>
          <w:szCs w:val="22"/>
        </w:rPr>
        <w:t xml:space="preserve">Tercero. Notifíquese, </w:t>
      </w:r>
      <w:r w:rsidRPr="0005134E">
        <w:rPr>
          <w:rFonts w:ascii="Palatino Linotype" w:eastAsia="Palatino Linotype" w:hAnsi="Palatino Linotype" w:cs="Palatino Linotype"/>
          <w:sz w:val="22"/>
          <w:szCs w:val="22"/>
        </w:rPr>
        <w:t xml:space="preserve">vía </w:t>
      </w:r>
      <w:r w:rsidRPr="0005134E">
        <w:rPr>
          <w:rFonts w:ascii="Palatino Linotype" w:eastAsia="Palatino Linotype" w:hAnsi="Palatino Linotype" w:cs="Palatino Linotype"/>
          <w:b/>
          <w:bCs/>
          <w:sz w:val="22"/>
          <w:szCs w:val="22"/>
        </w:rPr>
        <w:t>SAIMEX</w:t>
      </w:r>
      <w:r w:rsidRPr="0005134E">
        <w:rPr>
          <w:rFonts w:ascii="Palatino Linotype" w:eastAsia="Palatino Linotype" w:hAnsi="Palatino Linotype" w:cs="Palatino Linotype"/>
          <w:sz w:val="22"/>
          <w:szCs w:val="22"/>
        </w:rPr>
        <w:t xml:space="preserve">, al Titular de la Unidad de Transparencia del </w:t>
      </w:r>
      <w:r w:rsidRPr="0005134E">
        <w:rPr>
          <w:rFonts w:ascii="Palatino Linotype" w:eastAsia="Palatino Linotype" w:hAnsi="Palatino Linotype" w:cs="Palatino Linotype"/>
          <w:b/>
          <w:bCs/>
          <w:sz w:val="22"/>
          <w:szCs w:val="22"/>
        </w:rPr>
        <w:t>Sujeto Obligado,</w:t>
      </w:r>
      <w:r w:rsidRPr="0005134E">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906BF01" w14:textId="77777777" w:rsidR="00885D54" w:rsidRPr="0005134E" w:rsidRDefault="00E5363F">
      <w:pPr>
        <w:spacing w:before="240" w:after="240" w:line="360" w:lineRule="auto"/>
        <w:jc w:val="both"/>
        <w:rPr>
          <w:rFonts w:ascii="Palatino Linotype" w:eastAsia="Palatino Linotype" w:hAnsi="Palatino Linotype" w:cs="Palatino Linotype"/>
          <w:sz w:val="22"/>
          <w:szCs w:val="22"/>
        </w:rPr>
      </w:pPr>
      <w:r w:rsidRPr="0005134E">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05134E">
        <w:rPr>
          <w:rFonts w:ascii="Palatino Linotype" w:eastAsia="Palatino Linotype" w:hAnsi="Palatino Linotype" w:cs="Palatino Linotype"/>
          <w:b/>
          <w:bCs/>
          <w:sz w:val="22"/>
          <w:szCs w:val="22"/>
        </w:rPr>
        <w:t>Sujeto Obligado</w:t>
      </w:r>
      <w:r w:rsidRPr="0005134E">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22DA64A1" w14:textId="5AC634EC" w:rsidR="00885D54" w:rsidRPr="0005134E" w:rsidRDefault="00E5363F">
      <w:pPr>
        <w:spacing w:before="240" w:after="240" w:line="360" w:lineRule="auto"/>
        <w:jc w:val="both"/>
        <w:rPr>
          <w:rFonts w:ascii="Palatino Linotype" w:eastAsia="Palatino Linotype" w:hAnsi="Palatino Linotype" w:cs="Palatino Linotype"/>
          <w:sz w:val="22"/>
          <w:szCs w:val="22"/>
        </w:rPr>
      </w:pPr>
      <w:bookmarkStart w:id="10" w:name="_heading=h.17dp8vu" w:colFirst="0" w:colLast="0"/>
      <w:bookmarkEnd w:id="10"/>
      <w:r w:rsidRPr="0005134E">
        <w:rPr>
          <w:rFonts w:ascii="Palatino Linotype" w:eastAsia="Palatino Linotype" w:hAnsi="Palatino Linotype" w:cs="Palatino Linotype"/>
          <w:b/>
          <w:bCs/>
          <w:sz w:val="22"/>
          <w:szCs w:val="22"/>
        </w:rPr>
        <w:t xml:space="preserve">Cuarto.  Notifíquese, </w:t>
      </w:r>
      <w:r w:rsidRPr="0005134E">
        <w:rPr>
          <w:rFonts w:ascii="Palatino Linotype" w:eastAsia="Palatino Linotype" w:hAnsi="Palatino Linotype" w:cs="Palatino Linotype"/>
          <w:sz w:val="22"/>
          <w:szCs w:val="22"/>
        </w:rPr>
        <w:t xml:space="preserve">vía </w:t>
      </w:r>
      <w:r w:rsidRPr="0005134E">
        <w:rPr>
          <w:rFonts w:ascii="Palatino Linotype" w:eastAsia="Palatino Linotype" w:hAnsi="Palatino Linotype" w:cs="Palatino Linotype"/>
          <w:b/>
          <w:bCs/>
          <w:sz w:val="22"/>
          <w:szCs w:val="22"/>
        </w:rPr>
        <w:t>SAIMEX</w:t>
      </w:r>
      <w:r w:rsidRPr="0005134E">
        <w:rPr>
          <w:rFonts w:ascii="Palatino Linotype" w:eastAsia="Palatino Linotype" w:hAnsi="Palatino Linotype" w:cs="Palatino Linotype"/>
          <w:sz w:val="22"/>
          <w:szCs w:val="22"/>
        </w:rPr>
        <w:t xml:space="preserve">, a la parte </w:t>
      </w:r>
      <w:r w:rsidRPr="0005134E">
        <w:rPr>
          <w:rFonts w:ascii="Palatino Linotype" w:eastAsia="Palatino Linotype" w:hAnsi="Palatino Linotype" w:cs="Palatino Linotype"/>
          <w:b/>
          <w:bCs/>
          <w:sz w:val="22"/>
          <w:szCs w:val="22"/>
        </w:rPr>
        <w:t>Recurrente</w:t>
      </w:r>
      <w:r w:rsidRPr="0005134E">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00E93308" w14:textId="0D575F99" w:rsidR="000823B7" w:rsidRPr="0005134E" w:rsidRDefault="000823B7">
      <w:pPr>
        <w:spacing w:before="240" w:after="240" w:line="360" w:lineRule="auto"/>
        <w:jc w:val="both"/>
        <w:rPr>
          <w:rFonts w:ascii="Palatino Linotype" w:eastAsia="Palatino Linotype" w:hAnsi="Palatino Linotype" w:cs="Palatino Linotype"/>
          <w:sz w:val="22"/>
          <w:szCs w:val="22"/>
        </w:rPr>
      </w:pPr>
    </w:p>
    <w:p w14:paraId="2F53311B" w14:textId="3F179FEF" w:rsidR="00885D54" w:rsidRPr="000823B7" w:rsidRDefault="00E5363F">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1" w:name="_heading=h.lnxbz9" w:colFirst="0" w:colLast="0"/>
      <w:bookmarkEnd w:id="11"/>
      <w:r w:rsidRPr="0005134E">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w:t>
      </w:r>
      <w:r w:rsidR="0005134E">
        <w:rPr>
          <w:rFonts w:ascii="Palatino Linotype" w:eastAsia="Palatino Linotype" w:hAnsi="Palatino Linotype" w:cs="Palatino Linotype"/>
          <w:sz w:val="22"/>
          <w:szCs w:val="22"/>
        </w:rPr>
        <w:t>TERCERA</w:t>
      </w:r>
      <w:r w:rsidRPr="0005134E">
        <w:rPr>
          <w:rFonts w:ascii="Palatino Linotype" w:eastAsia="Palatino Linotype" w:hAnsi="Palatino Linotype" w:cs="Palatino Linotype"/>
          <w:sz w:val="22"/>
          <w:szCs w:val="22"/>
        </w:rPr>
        <w:t xml:space="preserve"> SESIÓN ORDINARIA CELEBRADA EL TRES DE DICIEMBRE DE DOS MIL VEINTICINCO, ANTE EL SECRETARIO TÉCNICO DEL PLENO ALEXIS TAPIA RAMÍREZ.</w:t>
      </w:r>
    </w:p>
    <w:p w14:paraId="258FB0A0"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1477BF79" w14:textId="77777777" w:rsidR="00885D54" w:rsidRPr="000823B7" w:rsidRDefault="00885D54">
      <w:pPr>
        <w:spacing w:line="360" w:lineRule="auto"/>
        <w:jc w:val="center"/>
        <w:rPr>
          <w:rFonts w:ascii="Palatino Linotype" w:eastAsia="Palatino Linotype" w:hAnsi="Palatino Linotype" w:cs="Palatino Linotype"/>
          <w:sz w:val="22"/>
          <w:szCs w:val="22"/>
        </w:rPr>
      </w:pPr>
    </w:p>
    <w:p w14:paraId="50F93429"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0352F35F"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204F3B43"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1AA13237"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35102D4A"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48A64A65"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2E80EEB7"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2352BD25"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382F060A"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7F07800D"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5DC86B6E"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6CCE4CC6"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416444C3"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3EAEB7FE"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4FD56C3B"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49A5EEEC"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7DCBA541"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088FA06F"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090A7282" w14:textId="77777777" w:rsidR="00885D54" w:rsidRPr="000823B7" w:rsidRDefault="00885D54">
      <w:pPr>
        <w:spacing w:line="360" w:lineRule="auto"/>
        <w:jc w:val="both"/>
        <w:rPr>
          <w:rFonts w:ascii="Palatino Linotype" w:eastAsia="Palatino Linotype" w:hAnsi="Palatino Linotype" w:cs="Palatino Linotype"/>
          <w:sz w:val="22"/>
          <w:szCs w:val="22"/>
        </w:rPr>
      </w:pPr>
    </w:p>
    <w:p w14:paraId="70D790D5" w14:textId="77777777" w:rsidR="00885D54" w:rsidRPr="000823B7" w:rsidRDefault="00885D54">
      <w:pPr>
        <w:spacing w:line="360" w:lineRule="auto"/>
        <w:jc w:val="both"/>
        <w:rPr>
          <w:rFonts w:ascii="Palatino Linotype" w:eastAsia="Palatino Linotype" w:hAnsi="Palatino Linotype" w:cs="Palatino Linotype"/>
          <w:sz w:val="22"/>
          <w:szCs w:val="22"/>
        </w:rPr>
      </w:pPr>
    </w:p>
    <w:sectPr w:rsidR="00885D54" w:rsidRPr="000823B7">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87AFAA" w14:textId="77777777" w:rsidR="00065B82" w:rsidRDefault="00065B82">
      <w:r>
        <w:separator/>
      </w:r>
    </w:p>
  </w:endnote>
  <w:endnote w:type="continuationSeparator" w:id="0">
    <w:p w14:paraId="14DB8740" w14:textId="77777777" w:rsidR="00065B82" w:rsidRDefault="00065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0EBAB2-44E1-4A7B-B0EC-908667C92A02}"/>
    <w:embedBold r:id="rId2" w:fontKey="{2FA7B476-5586-4BA4-BF6C-622C33E7CFF6}"/>
  </w:font>
  <w:font w:name="Cambria">
    <w:panose1 w:val="02040503050406030204"/>
    <w:charset w:val="00"/>
    <w:family w:val="roman"/>
    <w:pitch w:val="variable"/>
    <w:sig w:usb0="E00006FF" w:usb1="420024FF" w:usb2="02000000" w:usb3="00000000" w:csb0="0000019F" w:csb1="00000000"/>
    <w:embedRegular r:id="rId3" w:fontKey="{94063795-4AD3-445F-8865-7762348469F0}"/>
    <w:embedBold r:id="rId4" w:fontKey="{448FDDD0-3209-4A5E-A0D0-B9C7F645BC92}"/>
    <w:embedBoldItalic r:id="rId5" w:fontKey="{FD135EA4-8394-4509-9366-DE3A8DD97073}"/>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79473D0C-F935-43C8-8839-BE932247D602}"/>
  </w:font>
  <w:font w:name="Georgia">
    <w:panose1 w:val="02040502050405020303"/>
    <w:charset w:val="00"/>
    <w:family w:val="roman"/>
    <w:pitch w:val="variable"/>
    <w:sig w:usb0="00000287" w:usb1="00000000" w:usb2="00000000" w:usb3="00000000" w:csb0="0000009F" w:csb1="00000000"/>
    <w:embedItalic r:id="rId7" w:fontKey="{F1182ACC-7279-4DE9-92EE-7403B323C246}"/>
  </w:font>
  <w:font w:name="Palatino Linotype">
    <w:panose1 w:val="02040502050505030304"/>
    <w:charset w:val="00"/>
    <w:family w:val="roman"/>
    <w:pitch w:val="variable"/>
    <w:sig w:usb0="E0000287" w:usb1="40000013" w:usb2="00000000" w:usb3="00000000" w:csb0="0000019F" w:csb1="00000000"/>
    <w:embedRegular r:id="rId8" w:fontKey="{5C5B9363-79CB-46B9-81D6-13EC406E778B}"/>
    <w:embedBold r:id="rId9" w:fontKey="{2EDDD3EB-D790-4059-8664-AC2FF343A57A}"/>
    <w:embedItalic r:id="rId10" w:fontKey="{977A72CA-6B35-4BBF-B0CF-F46F6C725BE1}"/>
    <w:embedBoldItalic r:id="rId11" w:fontKey="{2D43B7AB-F688-42B3-811A-8558AF621EE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F5A5D" w14:textId="2008A2C1" w:rsidR="00885D54" w:rsidRDefault="00E5363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5214DE">
      <w:rPr>
        <w:rFonts w:ascii="Palatino Linotype" w:eastAsia="Palatino Linotype" w:hAnsi="Palatino Linotype" w:cs="Palatino Linotype"/>
        <w:b/>
        <w:bCs/>
        <w:noProof/>
        <w:color w:val="000000"/>
        <w:sz w:val="20"/>
        <w:szCs w:val="20"/>
      </w:rPr>
      <w:t>2</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5214DE">
      <w:rPr>
        <w:rFonts w:ascii="Palatino Linotype" w:eastAsia="Palatino Linotype" w:hAnsi="Palatino Linotype" w:cs="Palatino Linotype"/>
        <w:b/>
        <w:bCs/>
        <w:noProof/>
        <w:color w:val="000000"/>
        <w:sz w:val="20"/>
        <w:szCs w:val="20"/>
      </w:rPr>
      <w:t>41</w:t>
    </w:r>
    <w:r>
      <w:rPr>
        <w:rFonts w:ascii="Palatino Linotype" w:eastAsia="Palatino Linotype" w:hAnsi="Palatino Linotype" w:cs="Palatino Linotype"/>
        <w:b/>
        <w:bCs/>
        <w:color w:val="000000"/>
        <w:sz w:val="20"/>
        <w:szCs w:val="20"/>
      </w:rPr>
      <w:fldChar w:fldCharType="end"/>
    </w:r>
  </w:p>
  <w:p w14:paraId="4D1A4A79" w14:textId="77777777" w:rsidR="00885D54" w:rsidRDefault="00885D54">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D9AC9" w14:textId="505D1418" w:rsidR="00885D54" w:rsidRDefault="00E5363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5214DE">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5214DE">
      <w:rPr>
        <w:rFonts w:ascii="Palatino Linotype" w:eastAsia="Palatino Linotype" w:hAnsi="Palatino Linotype" w:cs="Palatino Linotype"/>
        <w:b/>
        <w:bCs/>
        <w:noProof/>
        <w:color w:val="000000"/>
        <w:sz w:val="20"/>
        <w:szCs w:val="20"/>
      </w:rPr>
      <w:t>41</w:t>
    </w:r>
    <w:r>
      <w:rPr>
        <w:rFonts w:ascii="Palatino Linotype" w:eastAsia="Palatino Linotype" w:hAnsi="Palatino Linotype" w:cs="Palatino Linotype"/>
        <w:b/>
        <w:bCs/>
        <w:color w:val="000000"/>
        <w:sz w:val="20"/>
        <w:szCs w:val="20"/>
      </w:rPr>
      <w:fldChar w:fldCharType="end"/>
    </w:r>
  </w:p>
  <w:p w14:paraId="1027CC84" w14:textId="77777777" w:rsidR="00885D54" w:rsidRDefault="00885D54">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727ADA" w14:textId="77777777" w:rsidR="00065B82" w:rsidRDefault="00065B82">
      <w:r>
        <w:separator/>
      </w:r>
    </w:p>
  </w:footnote>
  <w:footnote w:type="continuationSeparator" w:id="0">
    <w:p w14:paraId="73344D4B" w14:textId="77777777" w:rsidR="00065B82" w:rsidRDefault="00065B82">
      <w:r>
        <w:continuationSeparator/>
      </w:r>
    </w:p>
  </w:footnote>
  <w:footnote w:id="1">
    <w:p w14:paraId="6C563BE4" w14:textId="77777777" w:rsidR="00885D54" w:rsidRDefault="00E5363F">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CB093" w14:textId="77777777" w:rsidR="00885D54" w:rsidRDefault="00E5363F">
    <w:pPr>
      <w:rPr>
        <w:rFonts w:ascii="Cambria" w:eastAsia="Cambria" w:hAnsi="Cambria" w:cs="Cambria"/>
        <w:color w:val="000000"/>
      </w:rPr>
    </w:pPr>
    <w:r>
      <w:rPr>
        <w:noProof/>
      </w:rPr>
      <w:drawing>
        <wp:anchor distT="0" distB="0" distL="0" distR="0" simplePos="0" relativeHeight="251658240" behindDoc="1" locked="0" layoutInCell="1" hidden="0" allowOverlap="1" wp14:anchorId="0209CFC8" wp14:editId="4D74D7DD">
          <wp:simplePos x="0" y="0"/>
          <wp:positionH relativeFrom="column">
            <wp:posOffset>-1080088</wp:posOffset>
          </wp:positionH>
          <wp:positionV relativeFrom="paragraph">
            <wp:posOffset>-488257</wp:posOffset>
          </wp:positionV>
          <wp:extent cx="7809865" cy="10165715"/>
          <wp:effectExtent l="0" t="0" r="0" b="0"/>
          <wp:wrapNone/>
          <wp:docPr id="19520825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5953" w:type="dxa"/>
      <w:tblInd w:w="3261" w:type="dxa"/>
      <w:tblLayout w:type="fixed"/>
      <w:tblLook w:val="0400" w:firstRow="0" w:lastRow="0" w:firstColumn="0" w:lastColumn="0" w:noHBand="0" w:noVBand="1"/>
    </w:tblPr>
    <w:tblGrid>
      <w:gridCol w:w="2489"/>
      <w:gridCol w:w="3464"/>
    </w:tblGrid>
    <w:tr w:rsidR="00885D54" w14:paraId="1516BF69" w14:textId="77777777">
      <w:tc>
        <w:tcPr>
          <w:tcW w:w="2489" w:type="dxa"/>
        </w:tcPr>
        <w:p w14:paraId="47AEE27A" w14:textId="77777777" w:rsidR="00885D54" w:rsidRDefault="00E5363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1B332B74" w14:textId="77777777" w:rsidR="00885D54" w:rsidRDefault="00E5363F">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09554/INFOEM/IP/RR/2025</w:t>
          </w:r>
        </w:p>
      </w:tc>
    </w:tr>
    <w:tr w:rsidR="00885D54" w14:paraId="1DE14FE3" w14:textId="77777777">
      <w:trPr>
        <w:trHeight w:val="228"/>
      </w:trPr>
      <w:tc>
        <w:tcPr>
          <w:tcW w:w="2489" w:type="dxa"/>
          <w:vAlign w:val="center"/>
        </w:tcPr>
        <w:p w14:paraId="24B9D073" w14:textId="77777777" w:rsidR="00885D54" w:rsidRDefault="00E5363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077E9330" w14:textId="77777777" w:rsidR="00885D54" w:rsidRDefault="00E5363F">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Tepotzotlán</w:t>
          </w:r>
        </w:p>
      </w:tc>
    </w:tr>
    <w:tr w:rsidR="00885D54" w14:paraId="278D21EB" w14:textId="77777777">
      <w:tc>
        <w:tcPr>
          <w:tcW w:w="2489" w:type="dxa"/>
          <w:vAlign w:val="center"/>
        </w:tcPr>
        <w:p w14:paraId="67C27AD3" w14:textId="77777777" w:rsidR="00885D54" w:rsidRDefault="00E5363F">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2AEED5CF" w14:textId="77777777" w:rsidR="00885D54" w:rsidRDefault="00E5363F">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6C5B054B" w14:textId="77777777" w:rsidR="00885D54" w:rsidRDefault="00E5363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5653A" w14:textId="77777777" w:rsidR="00885D54" w:rsidRDefault="00E5363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68A1993" wp14:editId="4B03D02D">
          <wp:simplePos x="0" y="0"/>
          <wp:positionH relativeFrom="column">
            <wp:posOffset>-1080132</wp:posOffset>
          </wp:positionH>
          <wp:positionV relativeFrom="paragraph">
            <wp:posOffset>-369889</wp:posOffset>
          </wp:positionV>
          <wp:extent cx="7809865" cy="10165715"/>
          <wp:effectExtent l="0" t="0" r="0" b="0"/>
          <wp:wrapNone/>
          <wp:docPr id="19520825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885D54" w14:paraId="525E7594" w14:textId="77777777">
      <w:tc>
        <w:tcPr>
          <w:tcW w:w="2489" w:type="dxa"/>
        </w:tcPr>
        <w:p w14:paraId="799920B5" w14:textId="77777777" w:rsidR="00885D54" w:rsidRDefault="00E5363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0288BA44" w14:textId="77777777" w:rsidR="00885D54" w:rsidRDefault="00E5363F">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09554/INFOEM/IP/RR/2025</w:t>
          </w:r>
        </w:p>
      </w:tc>
    </w:tr>
    <w:tr w:rsidR="00885D54" w14:paraId="3753712D" w14:textId="77777777">
      <w:tc>
        <w:tcPr>
          <w:tcW w:w="2489" w:type="dxa"/>
        </w:tcPr>
        <w:p w14:paraId="0CD1956C" w14:textId="77777777" w:rsidR="00885D54" w:rsidRDefault="00E5363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5F5E14DE" w14:textId="77777777" w:rsidR="00885D54" w:rsidRDefault="00885D54">
          <w:pPr>
            <w:ind w:right="175"/>
            <w:jc w:val="both"/>
            <w:rPr>
              <w:rFonts w:ascii="Palatino Linotype" w:eastAsia="Palatino Linotype" w:hAnsi="Palatino Linotype" w:cs="Palatino Linotype"/>
              <w:b/>
              <w:bCs/>
              <w:sz w:val="22"/>
              <w:szCs w:val="22"/>
              <w:highlight w:val="yellow"/>
            </w:rPr>
          </w:pPr>
        </w:p>
      </w:tc>
    </w:tr>
    <w:tr w:rsidR="00885D54" w14:paraId="1F3437C9" w14:textId="77777777">
      <w:trPr>
        <w:trHeight w:val="228"/>
      </w:trPr>
      <w:tc>
        <w:tcPr>
          <w:tcW w:w="2489" w:type="dxa"/>
          <w:vAlign w:val="center"/>
        </w:tcPr>
        <w:p w14:paraId="17298DBD" w14:textId="77777777" w:rsidR="00885D54" w:rsidRDefault="00E5363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302F3C97" w14:textId="77777777" w:rsidR="00885D54" w:rsidRDefault="00E5363F">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Ayuntamiento de Tepotzotlán</w:t>
          </w:r>
        </w:p>
      </w:tc>
    </w:tr>
    <w:tr w:rsidR="00885D54" w14:paraId="55D154BA" w14:textId="77777777">
      <w:tc>
        <w:tcPr>
          <w:tcW w:w="2489" w:type="dxa"/>
          <w:vAlign w:val="center"/>
        </w:tcPr>
        <w:p w14:paraId="314CE613" w14:textId="77777777" w:rsidR="00885D54" w:rsidRDefault="00E5363F">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6E232863" w14:textId="77777777" w:rsidR="00885D54" w:rsidRDefault="00E5363F">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AAC39A9" w14:textId="77777777" w:rsidR="00885D54" w:rsidRDefault="00885D54"/>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430F1F"/>
    <w:multiLevelType w:val="multilevel"/>
    <w:tmpl w:val="A65ED0AA"/>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5D54"/>
    <w:rsid w:val="0005134E"/>
    <w:rsid w:val="00065B82"/>
    <w:rsid w:val="000823B7"/>
    <w:rsid w:val="00396F29"/>
    <w:rsid w:val="005214DE"/>
    <w:rsid w:val="00885D54"/>
    <w:rsid w:val="00E536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3AC9BD"/>
  <w15:docId w15:val="{03DAD4AE-DE63-47BF-8096-F9B7CC046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3">
    <w:name w:val="TableNormal3"/>
    <w:tblPr>
      <w:tblCellMar>
        <w:top w:w="0" w:type="dxa"/>
        <w:left w:w="0" w:type="dxa"/>
        <w:bottom w:w="0" w:type="dxa"/>
        <w:right w:w="0" w:type="dxa"/>
      </w:tblCellMar>
    </w:tblPr>
  </w:style>
  <w:style w:type="table" w:customStyle="1" w:styleId="TableNormal2">
    <w:name w:val="TableNormal2"/>
    <w:tblPr>
      <w:tblCellMar>
        <w:top w:w="0" w:type="dxa"/>
        <w:left w:w="0" w:type="dxa"/>
        <w:bottom w:w="0" w:type="dxa"/>
        <w:right w:w="0" w:type="dxa"/>
      </w:tblCellMar>
    </w:tblPr>
  </w:style>
  <w:style w:type="table" w:customStyle="1" w:styleId="TableNormal10">
    <w:name w:val="TableNormal1"/>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6">
    <w:name w:val="Table Normal1"/>
    <w:tblPr>
      <w:tblCellMar>
        <w:top w:w="0" w:type="dxa"/>
        <w:left w:w="0" w:type="dxa"/>
        <w:bottom w:w="0" w:type="dxa"/>
        <w:right w:w="0" w:type="dxa"/>
      </w:tblCellMar>
    </w:tblPr>
  </w:style>
  <w:style w:type="table" w:customStyle="1" w:styleId="47">
    <w:name w:val="47"/>
    <w:basedOn w:val="TableNormal16"/>
    <w:tblPr>
      <w:tblStyleRowBandSize w:val="1"/>
      <w:tblStyleColBandSize w:val="1"/>
      <w:tblCellMar>
        <w:left w:w="115" w:type="dxa"/>
        <w:right w:w="115" w:type="dxa"/>
      </w:tblCellMar>
    </w:tblPr>
  </w:style>
  <w:style w:type="table" w:customStyle="1" w:styleId="46">
    <w:name w:val="46"/>
    <w:basedOn w:val="TableNormal16"/>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45">
    <w:name w:val="45"/>
    <w:basedOn w:val="TableNormal16"/>
    <w:tblPr>
      <w:tblStyleRowBandSize w:val="1"/>
      <w:tblStyleColBandSize w:val="1"/>
      <w:tblCellMar>
        <w:left w:w="115" w:type="dxa"/>
        <w:right w:w="115" w:type="dxa"/>
      </w:tblCellMar>
    </w:tblPr>
  </w:style>
  <w:style w:type="table" w:customStyle="1" w:styleId="44">
    <w:name w:val="44"/>
    <w:basedOn w:val="TableNormal16"/>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43"/>
    <w:basedOn w:val="TableNormal20"/>
    <w:tblPr>
      <w:tblStyleRowBandSize w:val="1"/>
      <w:tblStyleColBandSize w:val="1"/>
      <w:tblCellMar>
        <w:left w:w="115" w:type="dxa"/>
        <w:right w:w="115" w:type="dxa"/>
      </w:tblCellMar>
    </w:tblPr>
  </w:style>
  <w:style w:type="table" w:customStyle="1" w:styleId="42">
    <w:name w:val="42"/>
    <w:basedOn w:val="TableNormal20"/>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41">
    <w:name w:val="41"/>
    <w:basedOn w:val="TableNormal30"/>
    <w:tblPr>
      <w:tblStyleRowBandSize w:val="1"/>
      <w:tblStyleColBandSize w:val="1"/>
      <w:tblCellMar>
        <w:left w:w="108" w:type="dxa"/>
        <w:right w:w="108" w:type="dxa"/>
      </w:tblCellMar>
    </w:tblPr>
  </w:style>
  <w:style w:type="table" w:customStyle="1" w:styleId="40">
    <w:name w:val="40"/>
    <w:basedOn w:val="TableNormal30"/>
    <w:tblPr>
      <w:tblStyleRowBandSize w:val="1"/>
      <w:tblStyleColBandSize w:val="1"/>
      <w:tblCellMar>
        <w:left w:w="108" w:type="dxa"/>
        <w:right w:w="108" w:type="dxa"/>
      </w:tblCellMar>
    </w:tblPr>
  </w:style>
  <w:style w:type="table" w:customStyle="1" w:styleId="39">
    <w:name w:val="39"/>
    <w:basedOn w:val="TableNormal30"/>
    <w:tblPr>
      <w:tblStyleRowBandSize w:val="1"/>
      <w:tblStyleColBandSize w:val="1"/>
      <w:tblCellMar>
        <w:left w:w="108" w:type="dxa"/>
        <w:right w:w="108" w:type="dxa"/>
      </w:tblCellMar>
    </w:tblPr>
  </w:style>
  <w:style w:type="table" w:customStyle="1" w:styleId="38">
    <w:name w:val="38"/>
    <w:basedOn w:val="TableNormal30"/>
    <w:tblPr>
      <w:tblStyleRowBandSize w:val="1"/>
      <w:tblStyleColBandSize w:val="1"/>
      <w:tblCellMar>
        <w:left w:w="108" w:type="dxa"/>
        <w:right w:w="108" w:type="dxa"/>
      </w:tblCellMar>
    </w:tblPr>
  </w:style>
  <w:style w:type="table" w:customStyle="1" w:styleId="37">
    <w:name w:val="37"/>
    <w:basedOn w:val="TableNormal30"/>
    <w:tblPr>
      <w:tblStyleRowBandSize w:val="1"/>
      <w:tblStyleColBandSize w:val="1"/>
      <w:tblCellMar>
        <w:left w:w="108" w:type="dxa"/>
        <w:right w:w="108" w:type="dxa"/>
      </w:tblCellMar>
    </w:tblPr>
  </w:style>
  <w:style w:type="table" w:customStyle="1" w:styleId="36">
    <w:name w:val="36"/>
    <w:basedOn w:val="TableNormal30"/>
    <w:tblPr>
      <w:tblStyleRowBandSize w:val="1"/>
      <w:tblStyleColBandSize w:val="1"/>
      <w:tblCellMar>
        <w:left w:w="115" w:type="dxa"/>
        <w:right w:w="115" w:type="dxa"/>
      </w:tblCellMar>
    </w:tblPr>
  </w:style>
  <w:style w:type="table" w:customStyle="1" w:styleId="35">
    <w:name w:val="35"/>
    <w:basedOn w:val="TableNormal30"/>
    <w:tblPr>
      <w:tblStyleRowBandSize w:val="1"/>
      <w:tblStyleColBandSize w:val="1"/>
      <w:tblCellMar>
        <w:left w:w="115" w:type="dxa"/>
        <w:right w:w="115" w:type="dxa"/>
      </w:tblCellMar>
    </w:tblPr>
  </w:style>
  <w:style w:type="table" w:customStyle="1" w:styleId="34">
    <w:name w:val="34"/>
    <w:basedOn w:val="TableNormal40"/>
    <w:tblPr>
      <w:tblStyleRowBandSize w:val="1"/>
      <w:tblStyleColBandSize w:val="1"/>
      <w:tblCellMar>
        <w:left w:w="108" w:type="dxa"/>
        <w:right w:w="108" w:type="dxa"/>
      </w:tblCellMar>
    </w:tblPr>
  </w:style>
  <w:style w:type="table" w:customStyle="1" w:styleId="33">
    <w:name w:val="33"/>
    <w:basedOn w:val="TableNormal40"/>
    <w:tblPr>
      <w:tblStyleRowBandSize w:val="1"/>
      <w:tblStyleColBandSize w:val="1"/>
      <w:tblCellMar>
        <w:left w:w="115" w:type="dxa"/>
        <w:right w:w="115" w:type="dxa"/>
      </w:tblCellMar>
    </w:tblPr>
  </w:style>
  <w:style w:type="table" w:customStyle="1" w:styleId="32">
    <w:name w:val="32"/>
    <w:basedOn w:val="TableNormal40"/>
    <w:tblPr>
      <w:tblStyleRowBandSize w:val="1"/>
      <w:tblStyleColBandSize w:val="1"/>
      <w:tblCellMar>
        <w:left w:w="115" w:type="dxa"/>
        <w:right w:w="115" w:type="dxa"/>
      </w:tblCellMar>
    </w:tblPr>
  </w:style>
  <w:style w:type="table" w:customStyle="1" w:styleId="31">
    <w:name w:val="31"/>
    <w:basedOn w:val="TableNormal5"/>
    <w:tblPr>
      <w:tblStyleRowBandSize w:val="1"/>
      <w:tblStyleColBandSize w:val="1"/>
      <w:tblCellMar>
        <w:left w:w="115" w:type="dxa"/>
        <w:right w:w="115" w:type="dxa"/>
      </w:tblCellMar>
    </w:tblPr>
  </w:style>
  <w:style w:type="table" w:customStyle="1" w:styleId="30">
    <w:name w:val="30"/>
    <w:basedOn w:val="TableNormal5"/>
    <w:tblPr>
      <w:tblStyleRowBandSize w:val="1"/>
      <w:tblStyleColBandSize w:val="1"/>
      <w:tblCellMar>
        <w:left w:w="115" w:type="dxa"/>
        <w:right w:w="115" w:type="dxa"/>
      </w:tblCellMar>
    </w:tblPr>
  </w:style>
  <w:style w:type="table" w:customStyle="1" w:styleId="29">
    <w:name w:val="29"/>
    <w:basedOn w:val="TableNormal5"/>
    <w:tblPr>
      <w:tblStyleRowBandSize w:val="1"/>
      <w:tblStyleColBandSize w:val="1"/>
      <w:tblCellMar>
        <w:left w:w="115" w:type="dxa"/>
        <w:right w:w="115" w:type="dxa"/>
      </w:tblCellMar>
    </w:tblPr>
  </w:style>
  <w:style w:type="table" w:customStyle="1" w:styleId="28">
    <w:name w:val="28"/>
    <w:basedOn w:val="TableNormal6"/>
    <w:tblPr>
      <w:tblStyleRowBandSize w:val="1"/>
      <w:tblStyleColBandSize w:val="1"/>
      <w:tblCellMar>
        <w:left w:w="115" w:type="dxa"/>
        <w:right w:w="115" w:type="dxa"/>
      </w:tblCellMar>
    </w:tblPr>
  </w:style>
  <w:style w:type="table" w:customStyle="1" w:styleId="27">
    <w:name w:val="27"/>
    <w:basedOn w:val="TableNormal6"/>
    <w:tblPr>
      <w:tblStyleRowBandSize w:val="1"/>
      <w:tblStyleColBandSize w:val="1"/>
      <w:tblCellMar>
        <w:left w:w="115" w:type="dxa"/>
        <w:right w:w="115" w:type="dxa"/>
      </w:tblCellMar>
    </w:tblPr>
  </w:style>
  <w:style w:type="table" w:customStyle="1" w:styleId="26">
    <w:name w:val="26"/>
    <w:basedOn w:val="TableNormal7"/>
    <w:tblPr>
      <w:tblStyleRowBandSize w:val="1"/>
      <w:tblStyleColBandSize w:val="1"/>
      <w:tblCellMar>
        <w:left w:w="115" w:type="dxa"/>
        <w:right w:w="115" w:type="dxa"/>
      </w:tblCellMar>
    </w:tblPr>
  </w:style>
  <w:style w:type="table" w:customStyle="1" w:styleId="25">
    <w:name w:val="25"/>
    <w:basedOn w:val="TableNormal7"/>
    <w:tblPr>
      <w:tblStyleRowBandSize w:val="1"/>
      <w:tblStyleColBandSize w:val="1"/>
      <w:tblCellMar>
        <w:left w:w="115" w:type="dxa"/>
        <w:right w:w="115" w:type="dxa"/>
      </w:tblCellMar>
    </w:tblPr>
  </w:style>
  <w:style w:type="table" w:customStyle="1" w:styleId="24">
    <w:name w:val="24"/>
    <w:basedOn w:val="TableNormal8"/>
    <w:tblPr>
      <w:tblStyleRowBandSize w:val="1"/>
      <w:tblStyleColBandSize w:val="1"/>
      <w:tblCellMar>
        <w:left w:w="115" w:type="dxa"/>
        <w:right w:w="115" w:type="dxa"/>
      </w:tblCellMar>
    </w:tblPr>
  </w:style>
  <w:style w:type="table" w:customStyle="1" w:styleId="23">
    <w:name w:val="23"/>
    <w:basedOn w:val="TableNormal8"/>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20">
    <w:name w:val="20"/>
    <w:basedOn w:val="TableNormal100"/>
    <w:tblPr>
      <w:tblStyleRowBandSize w:val="1"/>
      <w:tblStyleColBandSize w:val="1"/>
      <w:tblCellMar>
        <w:left w:w="115" w:type="dxa"/>
        <w:right w:w="115" w:type="dxa"/>
      </w:tblCellMar>
    </w:tblPr>
  </w:style>
  <w:style w:type="table" w:customStyle="1" w:styleId="19">
    <w:name w:val="19"/>
    <w:basedOn w:val="TableNormal100"/>
    <w:tblPr>
      <w:tblStyleRowBandSize w:val="1"/>
      <w:tblStyleColBandSize w:val="1"/>
      <w:tblCellMar>
        <w:left w:w="115" w:type="dxa"/>
        <w:right w:w="115" w:type="dxa"/>
      </w:tblCellMar>
    </w:tblPr>
  </w:style>
  <w:style w:type="table" w:customStyle="1" w:styleId="18">
    <w:name w:val="18"/>
    <w:basedOn w:val="TableNormal11"/>
    <w:tblPr>
      <w:tblStyleRowBandSize w:val="1"/>
      <w:tblStyleColBandSize w:val="1"/>
      <w:tblCellMar>
        <w:left w:w="115" w:type="dxa"/>
        <w:right w:w="115" w:type="dxa"/>
      </w:tblCellMar>
    </w:tblPr>
  </w:style>
  <w:style w:type="table" w:customStyle="1" w:styleId="17">
    <w:name w:val="17"/>
    <w:basedOn w:val="TableNormal11"/>
    <w:tblPr>
      <w:tblStyleRowBandSize w:val="1"/>
      <w:tblStyleColBandSize w:val="1"/>
      <w:tblCellMar>
        <w:left w:w="115" w:type="dxa"/>
        <w:right w:w="115" w:type="dxa"/>
      </w:tblCellMar>
    </w:tblPr>
  </w:style>
  <w:style w:type="table" w:customStyle="1" w:styleId="16">
    <w:name w:val="16"/>
    <w:basedOn w:val="TableNormal12"/>
    <w:tblPr>
      <w:tblStyleRowBandSize w:val="1"/>
      <w:tblStyleColBandSize w:val="1"/>
      <w:tblCellMar>
        <w:left w:w="115" w:type="dxa"/>
        <w:right w:w="115" w:type="dxa"/>
      </w:tblCellMar>
    </w:tblPr>
  </w:style>
  <w:style w:type="table" w:customStyle="1" w:styleId="15">
    <w:name w:val="15"/>
    <w:basedOn w:val="TableNormal12"/>
    <w:tblPr>
      <w:tblStyleRowBandSize w:val="1"/>
      <w:tblStyleColBandSize w:val="1"/>
      <w:tblCellMar>
        <w:left w:w="115" w:type="dxa"/>
        <w:right w:w="115" w:type="dxa"/>
      </w:tblCellMar>
    </w:tblPr>
  </w:style>
  <w:style w:type="table" w:customStyle="1" w:styleId="14">
    <w:name w:val="14"/>
    <w:basedOn w:val="TableNormal13"/>
    <w:tblPr>
      <w:tblStyleRowBandSize w:val="1"/>
      <w:tblStyleColBandSize w:val="1"/>
      <w:tblCellMar>
        <w:left w:w="115" w:type="dxa"/>
        <w:right w:w="115" w:type="dxa"/>
      </w:tblCellMar>
    </w:tblPr>
  </w:style>
  <w:style w:type="table" w:customStyle="1" w:styleId="13">
    <w:name w:val="13"/>
    <w:basedOn w:val="TableNormal13"/>
    <w:tblPr>
      <w:tblStyleRowBandSize w:val="1"/>
      <w:tblStyleColBandSize w:val="1"/>
      <w:tblCellMar>
        <w:left w:w="115" w:type="dxa"/>
        <w:right w:w="115" w:type="dxa"/>
      </w:tblCellMar>
    </w:tblPr>
  </w:style>
  <w:style w:type="table" w:customStyle="1" w:styleId="12">
    <w:name w:val="12"/>
    <w:basedOn w:val="TableNormal14"/>
    <w:tblPr>
      <w:tblStyleRowBandSize w:val="1"/>
      <w:tblStyleColBandSize w:val="1"/>
      <w:tblCellMar>
        <w:left w:w="115" w:type="dxa"/>
        <w:right w:w="115" w:type="dxa"/>
      </w:tblCellMar>
    </w:tblPr>
  </w:style>
  <w:style w:type="table" w:customStyle="1" w:styleId="11">
    <w:name w:val="11"/>
    <w:basedOn w:val="TableNormal14"/>
    <w:tblPr>
      <w:tblStyleRowBandSize w:val="1"/>
      <w:tblStyleColBandSize w:val="1"/>
      <w:tblCellMar>
        <w:left w:w="115" w:type="dxa"/>
        <w:right w:w="115" w:type="dxa"/>
      </w:tblCellMar>
    </w:tblPr>
  </w:style>
  <w:style w:type="table" w:customStyle="1" w:styleId="10">
    <w:name w:val="10"/>
    <w:basedOn w:val="TableNormal15"/>
    <w:tblPr>
      <w:tblStyleRowBandSize w:val="1"/>
      <w:tblStyleColBandSize w:val="1"/>
      <w:tblCellMar>
        <w:left w:w="115" w:type="dxa"/>
        <w:right w:w="115" w:type="dxa"/>
      </w:tblCellMar>
    </w:tblPr>
  </w:style>
  <w:style w:type="table" w:customStyle="1" w:styleId="9">
    <w:name w:val="9"/>
    <w:basedOn w:val="TableNormal15"/>
    <w:tblPr>
      <w:tblStyleRowBandSize w:val="1"/>
      <w:tblStyleColBandSize w:val="1"/>
      <w:tblCellMar>
        <w:left w:w="115" w:type="dxa"/>
        <w:right w:w="115" w:type="dxa"/>
      </w:tblCellMar>
    </w:tbl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2"/>
    <w:tblPr>
      <w:tblStyleRowBandSize w:val="1"/>
      <w:tblStyleColBandSize w:val="1"/>
      <w:tblCellMar>
        <w:left w:w="115" w:type="dxa"/>
        <w:right w:w="115" w:type="dxa"/>
      </w:tblCellMar>
    </w:tblPr>
  </w:style>
  <w:style w:type="table" w:customStyle="1" w:styleId="3">
    <w:name w:val="3"/>
    <w:basedOn w:val="TableNormal2"/>
    <w:tblPr>
      <w:tblStyleRowBandSize w:val="1"/>
      <w:tblStyleColBandSize w:val="1"/>
      <w:tblCellMar>
        <w:left w:w="115" w:type="dxa"/>
        <w:right w:w="115" w:type="dxa"/>
      </w:tblCellMar>
    </w:tblPr>
  </w:style>
  <w:style w:type="table" w:customStyle="1" w:styleId="2">
    <w:name w:val="2"/>
    <w:basedOn w:val="TableNormal3"/>
    <w:tblPr>
      <w:tblStyleRowBandSize w:val="1"/>
      <w:tblStyleColBandSize w:val="1"/>
      <w:tblCellMar>
        <w:left w:w="115" w:type="dxa"/>
        <w:right w:w="115" w:type="dxa"/>
      </w:tblCellMar>
    </w:tblPr>
  </w:style>
  <w:style w:type="table" w:customStyle="1" w:styleId="1">
    <w:name w:val="1"/>
    <w:basedOn w:val="TableNormal3"/>
    <w:tblPr>
      <w:tblStyleRowBandSize w:val="1"/>
      <w:tblStyleColBandSize w:val="1"/>
      <w:tblCellMar>
        <w:left w:w="115" w:type="dxa"/>
        <w:right w:w="115" w:type="dxa"/>
      </w:tblCellMar>
    </w:tblPr>
  </w:style>
  <w:style w:type="paragraph" w:styleId="Lista">
    <w:name w:val="List"/>
    <w:basedOn w:val="Normal"/>
    <w:uiPriority w:val="99"/>
    <w:unhideWhenUsed/>
    <w:rsid w:val="0076259D"/>
    <w:pPr>
      <w:ind w:left="283" w:hanging="283"/>
      <w:contextualSpacing/>
    </w:pPr>
  </w:style>
  <w:style w:type="paragraph" w:styleId="Lista2">
    <w:name w:val="List 2"/>
    <w:basedOn w:val="Normal"/>
    <w:uiPriority w:val="99"/>
    <w:unhideWhenUsed/>
    <w:rsid w:val="0076259D"/>
    <w:pPr>
      <w:ind w:left="566" w:hanging="283"/>
      <w:contextualSpacing/>
    </w:pPr>
  </w:style>
  <w:style w:type="paragraph" w:styleId="Lista3">
    <w:name w:val="List 3"/>
    <w:basedOn w:val="Normal"/>
    <w:uiPriority w:val="99"/>
    <w:unhideWhenUsed/>
    <w:rsid w:val="0076259D"/>
    <w:pPr>
      <w:ind w:left="849" w:hanging="283"/>
      <w:contextualSpacing/>
    </w:pPr>
  </w:style>
  <w:style w:type="paragraph" w:styleId="Lista4">
    <w:name w:val="List 4"/>
    <w:basedOn w:val="Normal"/>
    <w:uiPriority w:val="99"/>
    <w:unhideWhenUsed/>
    <w:rsid w:val="0076259D"/>
    <w:pPr>
      <w:ind w:left="1132" w:hanging="283"/>
      <w:contextualSpacing/>
    </w:pPr>
  </w:style>
  <w:style w:type="paragraph" w:styleId="Lista5">
    <w:name w:val="List 5"/>
    <w:basedOn w:val="Normal"/>
    <w:uiPriority w:val="99"/>
    <w:unhideWhenUsed/>
    <w:rsid w:val="0076259D"/>
    <w:pPr>
      <w:ind w:left="1415" w:hanging="283"/>
      <w:contextualSpacing/>
    </w:pPr>
  </w:style>
  <w:style w:type="paragraph" w:styleId="Saludo">
    <w:name w:val="Salutation"/>
    <w:basedOn w:val="Normal"/>
    <w:next w:val="Normal"/>
    <w:link w:val="SaludoCar"/>
    <w:uiPriority w:val="99"/>
    <w:unhideWhenUsed/>
    <w:rsid w:val="0076259D"/>
  </w:style>
  <w:style w:type="character" w:customStyle="1" w:styleId="SaludoCar">
    <w:name w:val="Saludo Car"/>
    <w:basedOn w:val="Fuentedeprrafopredeter"/>
    <w:link w:val="Saludo"/>
    <w:uiPriority w:val="99"/>
    <w:rsid w:val="0076259D"/>
  </w:style>
  <w:style w:type="paragraph" w:styleId="Listaconvietas">
    <w:name w:val="List Bullet"/>
    <w:basedOn w:val="Normal"/>
    <w:uiPriority w:val="99"/>
    <w:unhideWhenUsed/>
    <w:rsid w:val="0076259D"/>
    <w:pPr>
      <w:tabs>
        <w:tab w:val="num" w:pos="720"/>
      </w:tabs>
      <w:ind w:left="720" w:hanging="720"/>
      <w:contextualSpacing/>
    </w:pPr>
  </w:style>
  <w:style w:type="paragraph" w:styleId="Listaconvietas2">
    <w:name w:val="List Bullet 2"/>
    <w:basedOn w:val="Normal"/>
    <w:uiPriority w:val="99"/>
    <w:unhideWhenUsed/>
    <w:rsid w:val="0076259D"/>
    <w:pPr>
      <w:tabs>
        <w:tab w:val="num" w:pos="720"/>
      </w:tabs>
      <w:ind w:left="720" w:hanging="720"/>
      <w:contextualSpacing/>
    </w:pPr>
  </w:style>
  <w:style w:type="paragraph" w:styleId="Continuarlista">
    <w:name w:val="List Continue"/>
    <w:basedOn w:val="Normal"/>
    <w:uiPriority w:val="99"/>
    <w:unhideWhenUsed/>
    <w:rsid w:val="0076259D"/>
    <w:pPr>
      <w:spacing w:after="120"/>
      <w:ind w:left="283"/>
      <w:contextualSpacing/>
    </w:pPr>
  </w:style>
  <w:style w:type="paragraph" w:styleId="Textoindependiente">
    <w:name w:val="Body Text"/>
    <w:basedOn w:val="Normal"/>
    <w:link w:val="TextoindependienteCar"/>
    <w:uiPriority w:val="99"/>
    <w:unhideWhenUsed/>
    <w:rsid w:val="0076259D"/>
    <w:pPr>
      <w:spacing w:after="120"/>
    </w:pPr>
  </w:style>
  <w:style w:type="character" w:customStyle="1" w:styleId="TextoindependienteCar">
    <w:name w:val="Texto independiente Car"/>
    <w:basedOn w:val="Fuentedeprrafopredeter"/>
    <w:link w:val="Textoindependiente"/>
    <w:uiPriority w:val="99"/>
    <w:rsid w:val="0076259D"/>
  </w:style>
  <w:style w:type="paragraph" w:styleId="Sangradetextonormal">
    <w:name w:val="Body Text Indent"/>
    <w:basedOn w:val="Normal"/>
    <w:link w:val="SangradetextonormalCar"/>
    <w:uiPriority w:val="99"/>
    <w:unhideWhenUsed/>
    <w:rsid w:val="0076259D"/>
    <w:pPr>
      <w:spacing w:after="120"/>
      <w:ind w:left="283"/>
    </w:pPr>
  </w:style>
  <w:style w:type="character" w:customStyle="1" w:styleId="SangradetextonormalCar">
    <w:name w:val="Sangría de texto normal Car"/>
    <w:basedOn w:val="Fuentedeprrafopredeter"/>
    <w:link w:val="Sangradetextonormal"/>
    <w:uiPriority w:val="99"/>
    <w:rsid w:val="0076259D"/>
  </w:style>
  <w:style w:type="paragraph" w:styleId="Textoindependienteprimerasangra2">
    <w:name w:val="Body Text First Indent 2"/>
    <w:basedOn w:val="Sangradetextonormal"/>
    <w:link w:val="Textoindependienteprimerasangra2Car"/>
    <w:uiPriority w:val="99"/>
    <w:unhideWhenUsed/>
    <w:rsid w:val="0076259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76259D"/>
  </w:style>
  <w:style w:type="character" w:customStyle="1" w:styleId="Mencinsinresolver3">
    <w:name w:val="Mención sin resolver3"/>
    <w:basedOn w:val="Fuentedeprrafopredeter"/>
    <w:uiPriority w:val="99"/>
    <w:semiHidden/>
    <w:unhideWhenUsed/>
    <w:rsid w:val="00C90819"/>
    <w:rPr>
      <w:color w:val="605E5C"/>
      <w:shd w:val="clear" w:color="auto" w:fill="E1DFDD"/>
    </w:r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BG4iMKFmYsudxEXezH9/t6kprg==">CgMxLjAyDmguZGFqM2oyeG82cTY2MghoLmdqZGd4czIJaC4zZHk2dmttMgloLjMwajB6bGwyCWguMnM4ZXlvMTIIaC50eWpjd3QyCWguMmV0OTJwMDIJaC4yNmluMXJnMg5oLnBmdWVxMnB6NzJzMTIJaC4xN2RwOHZ1MghoLmxueGJ6OTgAciExMkNwaHo5TjFJTWpKSF8xbTJnR0MyM3kxUEhmUENWNDU=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C7AEB9A-61DB-4DC5-B4CF-A06B039A9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11532</Words>
  <Characters>63432</Characters>
  <Application>Microsoft Office Word</Application>
  <DocSecurity>0</DocSecurity>
  <Lines>528</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2025-12-05T17:34:00Z</cp:lastPrinted>
  <dcterms:created xsi:type="dcterms:W3CDTF">2026-01-14T17:31:00Z</dcterms:created>
  <dcterms:modified xsi:type="dcterms:W3CDTF">2026-01-14T17:31:00Z</dcterms:modified>
</cp:coreProperties>
</file>