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3DE4DECC" w:rsidR="00611EC6" w:rsidRPr="00CC2284" w:rsidRDefault="00947C3B" w:rsidP="00CC2284">
      <w:pPr>
        <w:tabs>
          <w:tab w:val="left" w:pos="3465"/>
        </w:tabs>
        <w:spacing w:line="360" w:lineRule="auto"/>
        <w:jc w:val="both"/>
        <w:rPr>
          <w:rFonts w:ascii="Palatino Linotype" w:hAnsi="Palatino Linotype"/>
          <w:b/>
          <w:color w:val="000000" w:themeColor="text1"/>
          <w:lang w:val="es-MX"/>
        </w:rPr>
      </w:pPr>
      <w:bookmarkStart w:id="0" w:name="_GoBack"/>
      <w:bookmarkEnd w:id="0"/>
      <w:r w:rsidRPr="00CC228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C2284">
        <w:rPr>
          <w:rFonts w:ascii="Palatino Linotype" w:hAnsi="Palatino Linotype"/>
          <w:b/>
          <w:color w:val="000000" w:themeColor="text1"/>
        </w:rPr>
        <w:t xml:space="preserve">de fecha </w:t>
      </w:r>
      <w:r w:rsidR="00F6469F" w:rsidRPr="00CC2284">
        <w:rPr>
          <w:rFonts w:ascii="Palatino Linotype" w:hAnsi="Palatino Linotype"/>
          <w:b/>
          <w:color w:val="000000" w:themeColor="text1"/>
        </w:rPr>
        <w:t>veinticuatro</w:t>
      </w:r>
      <w:r w:rsidR="00EF7B8A">
        <w:rPr>
          <w:rFonts w:ascii="Palatino Linotype" w:hAnsi="Palatino Linotype"/>
          <w:b/>
          <w:color w:val="000000" w:themeColor="text1"/>
        </w:rPr>
        <w:t xml:space="preserve"> (24)</w:t>
      </w:r>
      <w:r w:rsidR="00A74392" w:rsidRPr="00CC2284">
        <w:rPr>
          <w:rFonts w:ascii="Palatino Linotype" w:hAnsi="Palatino Linotype"/>
          <w:b/>
          <w:color w:val="000000" w:themeColor="text1"/>
        </w:rPr>
        <w:t xml:space="preserve"> de septiembre</w:t>
      </w:r>
      <w:r w:rsidR="00C86A6F" w:rsidRPr="00CC2284">
        <w:rPr>
          <w:rFonts w:ascii="Palatino Linotype" w:hAnsi="Palatino Linotype"/>
          <w:b/>
          <w:color w:val="000000" w:themeColor="text1"/>
        </w:rPr>
        <w:t xml:space="preserve"> de </w:t>
      </w:r>
      <w:r w:rsidR="0041452A" w:rsidRPr="00CC2284">
        <w:rPr>
          <w:rFonts w:ascii="Palatino Linotype" w:hAnsi="Palatino Linotype"/>
          <w:b/>
          <w:color w:val="000000" w:themeColor="text1"/>
        </w:rPr>
        <w:t>dos mil veinticinco</w:t>
      </w:r>
      <w:r w:rsidR="00611EC6" w:rsidRPr="00CC2284">
        <w:rPr>
          <w:rFonts w:ascii="Palatino Linotype" w:hAnsi="Palatino Linotype"/>
          <w:b/>
          <w:color w:val="000000" w:themeColor="text1"/>
        </w:rPr>
        <w:t>.</w:t>
      </w:r>
    </w:p>
    <w:p w14:paraId="70BA5E97" w14:textId="77777777" w:rsidR="00947C3B" w:rsidRPr="00CC2284" w:rsidRDefault="00947C3B" w:rsidP="00CC2284">
      <w:pPr>
        <w:tabs>
          <w:tab w:val="left" w:pos="3465"/>
        </w:tabs>
        <w:spacing w:line="360" w:lineRule="auto"/>
        <w:jc w:val="both"/>
        <w:rPr>
          <w:rFonts w:ascii="Palatino Linotype" w:hAnsi="Palatino Linotype"/>
          <w:color w:val="000000" w:themeColor="text1"/>
        </w:rPr>
      </w:pPr>
    </w:p>
    <w:p w14:paraId="38CBC7E2" w14:textId="2D4381A6" w:rsidR="00947C3B" w:rsidRPr="00CC2284" w:rsidRDefault="00947C3B" w:rsidP="00CC2284">
      <w:pPr>
        <w:spacing w:line="360" w:lineRule="auto"/>
        <w:jc w:val="both"/>
        <w:rPr>
          <w:rFonts w:ascii="Palatino Linotype" w:hAnsi="Palatino Linotype"/>
          <w:color w:val="000000" w:themeColor="text1"/>
        </w:rPr>
      </w:pPr>
      <w:r w:rsidRPr="00CC2284">
        <w:rPr>
          <w:rFonts w:ascii="Palatino Linotype" w:hAnsi="Palatino Linotype"/>
          <w:b/>
          <w:color w:val="000000" w:themeColor="text1"/>
        </w:rPr>
        <w:t>VISTO</w:t>
      </w:r>
      <w:r w:rsidRPr="00CC2284">
        <w:rPr>
          <w:rFonts w:ascii="Palatino Linotype" w:hAnsi="Palatino Linotype"/>
          <w:color w:val="000000" w:themeColor="text1"/>
        </w:rPr>
        <w:t xml:space="preserve"> el expediente electrónico formado con motivo del </w:t>
      </w:r>
      <w:r w:rsidR="006F721C" w:rsidRPr="00CC2284">
        <w:rPr>
          <w:rFonts w:ascii="Palatino Linotype" w:hAnsi="Palatino Linotype"/>
          <w:color w:val="000000" w:themeColor="text1"/>
        </w:rPr>
        <w:t>Recurso de R</w:t>
      </w:r>
      <w:r w:rsidRPr="00CC2284">
        <w:rPr>
          <w:rFonts w:ascii="Palatino Linotype" w:hAnsi="Palatino Linotype"/>
          <w:color w:val="000000" w:themeColor="text1"/>
        </w:rPr>
        <w:t xml:space="preserve">evisión </w:t>
      </w:r>
      <w:r w:rsidR="00501BA4" w:rsidRPr="00CC2284">
        <w:rPr>
          <w:rFonts w:ascii="Palatino Linotype" w:hAnsi="Palatino Linotype"/>
          <w:b/>
          <w:color w:val="000000" w:themeColor="text1"/>
        </w:rPr>
        <w:t>03828/INFOEM/IP/RR/2025</w:t>
      </w:r>
      <w:r w:rsidRPr="00CC2284">
        <w:rPr>
          <w:rFonts w:ascii="Palatino Linotype" w:hAnsi="Palatino Linotype"/>
          <w:color w:val="000000" w:themeColor="text1"/>
        </w:rPr>
        <w:t>,</w:t>
      </w:r>
      <w:r w:rsidRPr="00CC2284">
        <w:rPr>
          <w:rFonts w:ascii="Palatino Linotype" w:hAnsi="Palatino Linotype" w:cs="Arial"/>
          <w:b/>
          <w:bCs/>
          <w:color w:val="000000" w:themeColor="text1"/>
        </w:rPr>
        <w:t xml:space="preserve"> </w:t>
      </w:r>
      <w:r w:rsidRPr="00CC2284">
        <w:rPr>
          <w:rFonts w:ascii="Palatino Linotype" w:hAnsi="Palatino Linotype"/>
          <w:color w:val="000000" w:themeColor="text1"/>
        </w:rPr>
        <w:t xml:space="preserve">promovido por </w:t>
      </w:r>
      <w:r w:rsidR="00E37317" w:rsidRPr="00CC2284">
        <w:rPr>
          <w:rFonts w:ascii="Palatino Linotype" w:hAnsi="Palatino Linotype"/>
          <w:b/>
          <w:color w:val="000000" w:themeColor="text1"/>
        </w:rPr>
        <w:t>una persona que no proporcionó datos para ser reconocido</w:t>
      </w:r>
      <w:r w:rsidRPr="00CC2284">
        <w:rPr>
          <w:rFonts w:ascii="Palatino Linotype" w:hAnsi="Palatino Linotype"/>
          <w:b/>
          <w:color w:val="000000" w:themeColor="text1"/>
        </w:rPr>
        <w:t>,</w:t>
      </w:r>
      <w:r w:rsidRPr="00CC2284">
        <w:rPr>
          <w:rFonts w:ascii="Palatino Linotype" w:hAnsi="Palatino Linotype"/>
          <w:color w:val="000000" w:themeColor="text1"/>
        </w:rPr>
        <w:t xml:space="preserve"> a quien en lo sucesivo se le identificará como </w:t>
      </w:r>
      <w:r w:rsidR="00C862A5" w:rsidRPr="00CC2284">
        <w:rPr>
          <w:rFonts w:ascii="Palatino Linotype" w:hAnsi="Palatino Linotype"/>
          <w:b/>
          <w:color w:val="000000" w:themeColor="text1"/>
        </w:rPr>
        <w:t>EL RECURRENTE</w:t>
      </w:r>
      <w:r w:rsidRPr="00CC2284">
        <w:rPr>
          <w:rFonts w:ascii="Palatino Linotype" w:hAnsi="Palatino Linotype" w:cs="Arial"/>
          <w:color w:val="000000" w:themeColor="text1"/>
        </w:rPr>
        <w:t xml:space="preserve">, en contra de la respuesta del </w:t>
      </w:r>
      <w:r w:rsidR="006E6FA3" w:rsidRPr="00CC2284">
        <w:rPr>
          <w:rFonts w:ascii="Palatino Linotype" w:hAnsi="Palatino Linotype" w:cs="Arial"/>
          <w:b/>
          <w:bCs/>
          <w:color w:val="000000" w:themeColor="text1"/>
        </w:rPr>
        <w:t>Ayuntamiento de Toluca</w:t>
      </w:r>
      <w:r w:rsidRPr="00CC2284">
        <w:rPr>
          <w:rFonts w:ascii="Palatino Linotype" w:hAnsi="Palatino Linotype" w:cs="Arial"/>
          <w:b/>
          <w:color w:val="000000" w:themeColor="text1"/>
        </w:rPr>
        <w:t>,</w:t>
      </w:r>
      <w:r w:rsidRPr="00CC2284">
        <w:rPr>
          <w:rFonts w:ascii="Palatino Linotype" w:hAnsi="Palatino Linotype"/>
          <w:b/>
          <w:color w:val="000000" w:themeColor="text1"/>
        </w:rPr>
        <w:t xml:space="preserve"> </w:t>
      </w:r>
      <w:r w:rsidRPr="00CC2284">
        <w:rPr>
          <w:rFonts w:ascii="Palatino Linotype" w:hAnsi="Palatino Linotype"/>
          <w:color w:val="000000" w:themeColor="text1"/>
        </w:rPr>
        <w:t xml:space="preserve">en </w:t>
      </w:r>
      <w:r w:rsidR="00EF7B8A">
        <w:rPr>
          <w:rFonts w:ascii="Palatino Linotype" w:hAnsi="Palatino Linotype"/>
          <w:color w:val="000000" w:themeColor="text1"/>
        </w:rPr>
        <w:t>adelante</w:t>
      </w:r>
      <w:r w:rsidRPr="00CC2284">
        <w:rPr>
          <w:rFonts w:ascii="Palatino Linotype" w:hAnsi="Palatino Linotype"/>
          <w:color w:val="000000" w:themeColor="text1"/>
        </w:rPr>
        <w:t xml:space="preserve"> el</w:t>
      </w:r>
      <w:r w:rsidRPr="00CC2284">
        <w:rPr>
          <w:rFonts w:ascii="Palatino Linotype" w:hAnsi="Palatino Linotype"/>
          <w:b/>
          <w:color w:val="000000" w:themeColor="text1"/>
        </w:rPr>
        <w:t xml:space="preserve"> SUJETO OBLIGADO</w:t>
      </w:r>
      <w:r w:rsidRPr="00CC2284">
        <w:rPr>
          <w:rFonts w:ascii="Palatino Linotype" w:hAnsi="Palatino Linotype"/>
          <w:color w:val="000000" w:themeColor="text1"/>
        </w:rPr>
        <w:t xml:space="preserve">, se procede a dictar la presente </w:t>
      </w:r>
      <w:r w:rsidR="009366E5" w:rsidRPr="00CC2284">
        <w:rPr>
          <w:rFonts w:ascii="Palatino Linotype" w:hAnsi="Palatino Linotype"/>
          <w:color w:val="000000" w:themeColor="text1"/>
        </w:rPr>
        <w:t>R</w:t>
      </w:r>
      <w:r w:rsidRPr="00CC2284">
        <w:rPr>
          <w:rFonts w:ascii="Palatino Linotype" w:hAnsi="Palatino Linotype"/>
          <w:color w:val="000000" w:themeColor="text1"/>
        </w:rPr>
        <w:t>esolución, con base en los siguientes:</w:t>
      </w:r>
    </w:p>
    <w:p w14:paraId="7CBFFAD8" w14:textId="77777777" w:rsidR="00947C3B" w:rsidRPr="00CC2284" w:rsidRDefault="00947C3B" w:rsidP="00CC2284">
      <w:pPr>
        <w:spacing w:line="360" w:lineRule="auto"/>
        <w:jc w:val="both"/>
        <w:rPr>
          <w:rFonts w:ascii="Palatino Linotype" w:hAnsi="Palatino Linotype"/>
          <w:color w:val="000000" w:themeColor="text1"/>
        </w:rPr>
      </w:pPr>
    </w:p>
    <w:p w14:paraId="6C073730" w14:textId="67B39D88" w:rsidR="00947C3B" w:rsidRPr="00CC2284" w:rsidRDefault="00947C3B" w:rsidP="00CC2284">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CC2284">
        <w:rPr>
          <w:rFonts w:ascii="Palatino Linotype" w:hAnsi="Palatino Linotype"/>
          <w:b/>
          <w:color w:val="000000" w:themeColor="text1"/>
          <w:sz w:val="24"/>
          <w:szCs w:val="24"/>
        </w:rPr>
        <w:t>A</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N</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T</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E</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C</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E</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D</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E</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N</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T</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E</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S</w:t>
      </w:r>
      <w:bookmarkEnd w:id="1"/>
      <w:bookmarkEnd w:id="2"/>
      <w:bookmarkEnd w:id="3"/>
    </w:p>
    <w:p w14:paraId="6BDD1D0D" w14:textId="77777777" w:rsidR="00947C3B" w:rsidRPr="00CC2284" w:rsidRDefault="00947C3B" w:rsidP="00CC2284">
      <w:pPr>
        <w:pStyle w:val="Prrafodelista"/>
        <w:spacing w:line="360" w:lineRule="auto"/>
        <w:ind w:left="0"/>
        <w:jc w:val="both"/>
        <w:rPr>
          <w:rFonts w:ascii="Palatino Linotype" w:eastAsia="Calibri" w:hAnsi="Palatino Linotype" w:cs="Arial"/>
          <w:color w:val="000000" w:themeColor="text1"/>
          <w:lang w:val="es-ES"/>
        </w:rPr>
      </w:pPr>
    </w:p>
    <w:p w14:paraId="1CB07C3A" w14:textId="4E5A0213" w:rsidR="00947C3B" w:rsidRPr="00CC2284" w:rsidRDefault="00947C3B" w:rsidP="00CC2284">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CC2284">
        <w:rPr>
          <w:rFonts w:ascii="Palatino Linotype" w:eastAsia="Calibri" w:hAnsi="Palatino Linotype" w:cs="Arial"/>
          <w:color w:val="000000" w:themeColor="text1"/>
          <w:lang w:val="es-ES"/>
        </w:rPr>
        <w:t xml:space="preserve">El día </w:t>
      </w:r>
      <w:r w:rsidR="008120F0" w:rsidRPr="00CC2284">
        <w:rPr>
          <w:rFonts w:ascii="Palatino Linotype" w:eastAsia="Calibri" w:hAnsi="Palatino Linotype" w:cs="Arial"/>
          <w:b/>
          <w:color w:val="000000" w:themeColor="text1"/>
          <w:lang w:val="es-ES"/>
        </w:rPr>
        <w:t>treinta de enero</w:t>
      </w:r>
      <w:r w:rsidR="00C86A6F" w:rsidRPr="00CC2284">
        <w:rPr>
          <w:rFonts w:ascii="Palatino Linotype" w:eastAsia="Calibri" w:hAnsi="Palatino Linotype" w:cs="Arial"/>
          <w:b/>
          <w:color w:val="000000" w:themeColor="text1"/>
          <w:lang w:val="es-ES"/>
        </w:rPr>
        <w:t xml:space="preserve"> de dos mil veinticinco</w:t>
      </w:r>
      <w:r w:rsidRPr="00CC2284">
        <w:rPr>
          <w:rFonts w:ascii="Palatino Linotype" w:hAnsi="Palatino Linotype"/>
          <w:b/>
          <w:color w:val="000000" w:themeColor="text1"/>
        </w:rPr>
        <w:t xml:space="preserve">, </w:t>
      </w:r>
      <w:r w:rsidRPr="00CC2284">
        <w:rPr>
          <w:rFonts w:ascii="Palatino Linotype" w:eastAsia="Calibri" w:hAnsi="Palatino Linotype" w:cs="Arial"/>
          <w:color w:val="000000" w:themeColor="text1"/>
          <w:lang w:val="es-ES"/>
        </w:rPr>
        <w:t xml:space="preserve">se presentó ante el </w:t>
      </w:r>
      <w:r w:rsidRPr="00CC2284">
        <w:rPr>
          <w:rFonts w:ascii="Palatino Linotype" w:eastAsia="Calibri" w:hAnsi="Palatino Linotype" w:cs="Arial"/>
          <w:b/>
          <w:color w:val="000000" w:themeColor="text1"/>
          <w:lang w:val="es-ES"/>
        </w:rPr>
        <w:t>SUJETO OBLIGADO</w:t>
      </w:r>
      <w:r w:rsidRPr="00CC2284">
        <w:rPr>
          <w:rFonts w:ascii="Palatino Linotype" w:eastAsia="Calibri" w:hAnsi="Palatino Linotype" w:cs="Arial"/>
          <w:color w:val="000000" w:themeColor="text1"/>
        </w:rPr>
        <w:t xml:space="preserve"> vía </w:t>
      </w:r>
      <w:r w:rsidR="00D177AD" w:rsidRPr="00CC2284">
        <w:rPr>
          <w:rFonts w:ascii="Palatino Linotype" w:eastAsia="Calibri" w:hAnsi="Palatino Linotype" w:cs="Arial"/>
          <w:color w:val="000000" w:themeColor="text1"/>
        </w:rPr>
        <w:t>Sistema de Acceso a la Información Mexiquense (</w:t>
      </w:r>
      <w:r w:rsidRPr="00CC2284">
        <w:rPr>
          <w:rFonts w:ascii="Palatino Linotype" w:eastAsia="Calibri" w:hAnsi="Palatino Linotype" w:cs="Arial"/>
          <w:color w:val="000000" w:themeColor="text1"/>
          <w:lang w:val="es-ES"/>
        </w:rPr>
        <w:t>SAIMEX</w:t>
      </w:r>
      <w:r w:rsidR="00D177AD" w:rsidRPr="00CC2284">
        <w:rPr>
          <w:rFonts w:ascii="Palatino Linotype" w:eastAsia="Calibri" w:hAnsi="Palatino Linotype" w:cs="Arial"/>
          <w:color w:val="000000" w:themeColor="text1"/>
          <w:lang w:val="es-ES"/>
        </w:rPr>
        <w:t>)</w:t>
      </w:r>
      <w:r w:rsidRPr="00CC2284">
        <w:rPr>
          <w:rFonts w:ascii="Palatino Linotype" w:eastAsia="Calibri" w:hAnsi="Palatino Linotype" w:cs="Arial"/>
          <w:color w:val="000000" w:themeColor="text1"/>
          <w:lang w:val="es-ES"/>
        </w:rPr>
        <w:t xml:space="preserve">, la </w:t>
      </w:r>
      <w:r w:rsidR="00ED6C32" w:rsidRPr="00CC2284">
        <w:rPr>
          <w:rFonts w:ascii="Palatino Linotype" w:eastAsia="Calibri" w:hAnsi="Palatino Linotype" w:cs="Arial"/>
          <w:color w:val="000000" w:themeColor="text1"/>
          <w:lang w:val="es-ES"/>
        </w:rPr>
        <w:t>S</w:t>
      </w:r>
      <w:r w:rsidRPr="00CC2284">
        <w:rPr>
          <w:rFonts w:ascii="Palatino Linotype" w:eastAsia="Calibri" w:hAnsi="Palatino Linotype" w:cs="Arial"/>
          <w:color w:val="000000" w:themeColor="text1"/>
          <w:lang w:val="es-ES"/>
        </w:rPr>
        <w:t xml:space="preserve">olicitud de </w:t>
      </w:r>
      <w:r w:rsidR="00ED6C32" w:rsidRPr="00CC2284">
        <w:rPr>
          <w:rFonts w:ascii="Palatino Linotype" w:eastAsia="Calibri" w:hAnsi="Palatino Linotype" w:cs="Arial"/>
          <w:color w:val="000000" w:themeColor="text1"/>
          <w:lang w:val="es-ES"/>
        </w:rPr>
        <w:t>Información P</w:t>
      </w:r>
      <w:r w:rsidRPr="00CC2284">
        <w:rPr>
          <w:rFonts w:ascii="Palatino Linotype" w:eastAsia="Calibri" w:hAnsi="Palatino Linotype" w:cs="Arial"/>
          <w:color w:val="000000" w:themeColor="text1"/>
          <w:lang w:val="es-ES"/>
        </w:rPr>
        <w:t>ública registrada con el número</w:t>
      </w:r>
      <w:r w:rsidRPr="00CC2284">
        <w:rPr>
          <w:rFonts w:ascii="Palatino Linotype" w:hAnsi="Palatino Linotype"/>
          <w:b/>
          <w:bCs/>
          <w:color w:val="000000" w:themeColor="text1"/>
        </w:rPr>
        <w:t xml:space="preserve"> </w:t>
      </w:r>
      <w:r w:rsidR="00006A19" w:rsidRPr="00CC2284">
        <w:rPr>
          <w:rFonts w:ascii="Palatino Linotype" w:hAnsi="Palatino Linotype"/>
          <w:b/>
          <w:bCs/>
          <w:color w:val="000000" w:themeColor="text1"/>
        </w:rPr>
        <w:t>00901/TOLUCA/IP/2025</w:t>
      </w:r>
      <w:r w:rsidRPr="00CC2284">
        <w:rPr>
          <w:rFonts w:ascii="Palatino Linotype" w:hAnsi="Palatino Linotype"/>
          <w:b/>
          <w:bCs/>
          <w:color w:val="000000" w:themeColor="text1"/>
        </w:rPr>
        <w:t xml:space="preserve">; </w:t>
      </w:r>
      <w:r w:rsidR="00EF7B8A">
        <w:rPr>
          <w:rFonts w:ascii="Palatino Linotype" w:eastAsia="Calibri" w:hAnsi="Palatino Linotype" w:cs="Arial"/>
          <w:color w:val="000000" w:themeColor="text1"/>
          <w:lang w:val="es-ES"/>
        </w:rPr>
        <w:t>en la que</w:t>
      </w:r>
      <w:r w:rsidRPr="00CC2284">
        <w:rPr>
          <w:rFonts w:ascii="Palatino Linotype" w:eastAsia="Calibri" w:hAnsi="Palatino Linotype" w:cs="Arial"/>
          <w:color w:val="000000" w:themeColor="text1"/>
          <w:lang w:val="es-ES"/>
        </w:rPr>
        <w:t xml:space="preserve"> se solicitó la siguiente información:</w:t>
      </w:r>
    </w:p>
    <w:p w14:paraId="6B526C57" w14:textId="77777777" w:rsidR="005F346E" w:rsidRPr="00CC2284" w:rsidRDefault="005F346E" w:rsidP="00CC2284">
      <w:pPr>
        <w:pStyle w:val="Prrafodelista"/>
        <w:spacing w:line="360" w:lineRule="auto"/>
        <w:ind w:left="0"/>
        <w:jc w:val="both"/>
        <w:rPr>
          <w:rFonts w:ascii="Palatino Linotype" w:eastAsia="Calibri" w:hAnsi="Palatino Linotype" w:cs="Arial"/>
          <w:color w:val="000000" w:themeColor="text1"/>
          <w:lang w:val="es-ES"/>
        </w:rPr>
      </w:pPr>
    </w:p>
    <w:p w14:paraId="399A8454" w14:textId="33D7F608" w:rsidR="00947C3B" w:rsidRPr="00CC2284" w:rsidRDefault="00C86A6F" w:rsidP="00CC2284">
      <w:pPr>
        <w:pStyle w:val="Prrafodelista"/>
        <w:spacing w:line="360" w:lineRule="auto"/>
        <w:ind w:left="0"/>
        <w:jc w:val="both"/>
        <w:rPr>
          <w:rFonts w:ascii="Palatino Linotype" w:hAnsi="Palatino Linotype"/>
          <w:i/>
          <w:color w:val="000000" w:themeColor="text1"/>
        </w:rPr>
      </w:pPr>
      <w:r w:rsidRPr="00CC2284">
        <w:rPr>
          <w:rFonts w:ascii="Palatino Linotype" w:hAnsi="Palatino Linotype"/>
          <w:i/>
          <w:color w:val="000000" w:themeColor="text1"/>
        </w:rPr>
        <w:t>“</w:t>
      </w:r>
      <w:r w:rsidR="00006A19" w:rsidRPr="00CC2284">
        <w:rPr>
          <w:rFonts w:ascii="Palatino Linotype" w:hAnsi="Palatino Linotype"/>
          <w:i/>
          <w:color w:val="000000" w:themeColor="text1"/>
        </w:rPr>
        <w:t xml:space="preserve">Se me proporcione versión pública: A) Contratos que el Gobierno Municipal de Toluca han celebrado para la compra y/o arrendamiento de equipo para la Comisaría General de Seguridad Pública y en la presente gestión municipal y la pasada gestión (desde el inicio de la administración hasta hasta diciembre de 2024: Equipo policial, cámaras, torre de vigilancia, vehículos, motocicletas, postes, uniformes, mantenimiento, entre otros. Especificando características, costos, forma de adquisición, </w:t>
      </w:r>
      <w:r w:rsidR="00006A19" w:rsidRPr="00CC2284">
        <w:rPr>
          <w:rFonts w:ascii="Palatino Linotype" w:hAnsi="Palatino Linotype"/>
          <w:i/>
          <w:color w:val="000000" w:themeColor="text1"/>
        </w:rPr>
        <w:lastRenderedPageBreak/>
        <w:t>contratos, inventario en el que se especifique lugar de asignación y estado en el que se encuentra. Solicitando además: 1. La solicitud del área o justificación para llevar a cabo la adquisición de bienes o contratación. 2. Convocatoria (s) 3. Recibos de pago de los participantes en la licitación. 4. Expedientes recabados y completos de las empresas participantes. 5. Listas de asistencia y registros de los participantes. 6. Bases. 7. Invitaciones. 8. Tipo de fondo o recurso (Federal, Estatal o Municipal). 9. Fallo. B) Expedientes laborales del Titular de la Comisaría General de Seguridad Pública y Tránsito Municipal (Comisario) y Subdirectores de la misma.</w:t>
      </w:r>
      <w:r w:rsidR="00947C3B" w:rsidRPr="00CC2284">
        <w:rPr>
          <w:rFonts w:ascii="Palatino Linotype" w:hAnsi="Palatino Linotype"/>
          <w:i/>
          <w:color w:val="000000" w:themeColor="text1"/>
        </w:rPr>
        <w:t>”</w:t>
      </w:r>
    </w:p>
    <w:p w14:paraId="7AD5871D" w14:textId="77777777" w:rsidR="009E5F74" w:rsidRPr="00CC2284" w:rsidRDefault="009E5F74" w:rsidP="00CC2284">
      <w:pPr>
        <w:pStyle w:val="Prrafodelista"/>
        <w:spacing w:line="360" w:lineRule="auto"/>
        <w:ind w:left="0"/>
        <w:jc w:val="both"/>
        <w:rPr>
          <w:rFonts w:ascii="Palatino Linotype" w:hAnsi="Palatino Linotype"/>
          <w:i/>
          <w:color w:val="000000" w:themeColor="text1"/>
        </w:rPr>
      </w:pPr>
    </w:p>
    <w:p w14:paraId="3D5318FE" w14:textId="4CB298F4" w:rsidR="00F46CF8" w:rsidRPr="00CC2284" w:rsidRDefault="00F443D1" w:rsidP="00EF7B8A">
      <w:pPr>
        <w:pStyle w:val="Prrafodelista"/>
        <w:numPr>
          <w:ilvl w:val="0"/>
          <w:numId w:val="3"/>
        </w:numPr>
        <w:spacing w:line="360" w:lineRule="auto"/>
        <w:ind w:left="0" w:firstLine="0"/>
        <w:jc w:val="both"/>
        <w:rPr>
          <w:rFonts w:ascii="Palatino Linotype" w:hAnsi="Palatino Linotype" w:cs="Arial"/>
          <w:color w:val="000000" w:themeColor="text1"/>
          <w:lang w:val="es-ES"/>
        </w:rPr>
      </w:pPr>
      <w:r w:rsidRPr="00CC2284">
        <w:rPr>
          <w:rFonts w:ascii="Palatino Linotype" w:hAnsi="Palatino Linotype" w:cs="Arial"/>
          <w:color w:val="000000" w:themeColor="text1"/>
          <w:lang w:val="es-ES"/>
        </w:rPr>
        <w:t>Modalidad de entrega de la información</w:t>
      </w:r>
      <w:r w:rsidR="00F46CF8" w:rsidRPr="00CC2284">
        <w:rPr>
          <w:rFonts w:ascii="Palatino Linotype" w:hAnsi="Palatino Linotype" w:cs="Arial"/>
          <w:color w:val="000000" w:themeColor="text1"/>
          <w:lang w:val="es-ES"/>
        </w:rPr>
        <w:t xml:space="preserve">: </w:t>
      </w:r>
      <w:r w:rsidR="00BC2E4D" w:rsidRPr="00CC2284">
        <w:rPr>
          <w:rFonts w:ascii="Palatino Linotype" w:hAnsi="Palatino Linotype" w:cs="Arial"/>
          <w:color w:val="000000" w:themeColor="text1"/>
          <w:lang w:val="es-ES"/>
        </w:rPr>
        <w:t>Vía SAIMEX</w:t>
      </w:r>
      <w:r w:rsidR="001B7993" w:rsidRPr="00CC2284">
        <w:rPr>
          <w:rFonts w:ascii="Palatino Linotype" w:hAnsi="Palatino Linotype" w:cs="Arial"/>
          <w:color w:val="000000" w:themeColor="text1"/>
          <w:lang w:val="es-ES"/>
        </w:rPr>
        <w:t>.</w:t>
      </w:r>
    </w:p>
    <w:p w14:paraId="75AF85A1" w14:textId="77777777" w:rsidR="008120F0" w:rsidRPr="00CC2284" w:rsidRDefault="008120F0" w:rsidP="00CC2284">
      <w:pPr>
        <w:pStyle w:val="Prrafodelista"/>
        <w:spacing w:line="360" w:lineRule="auto"/>
        <w:ind w:left="0"/>
        <w:jc w:val="both"/>
        <w:rPr>
          <w:rFonts w:ascii="Palatino Linotype" w:hAnsi="Palatino Linotype" w:cs="Arial"/>
          <w:color w:val="000000" w:themeColor="text1"/>
          <w:lang w:val="es-ES"/>
        </w:rPr>
      </w:pPr>
    </w:p>
    <w:p w14:paraId="1867221F" w14:textId="2E8E679A" w:rsidR="009059B4" w:rsidRPr="00CC2284" w:rsidRDefault="00600CAF" w:rsidP="00CC2284">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C2284">
        <w:rPr>
          <w:rFonts w:ascii="Palatino Linotype" w:eastAsia="Palatino Linotype" w:hAnsi="Palatino Linotype" w:cs="Palatino Linotype"/>
          <w:color w:val="000000" w:themeColor="text1"/>
        </w:rPr>
        <w:t>El</w:t>
      </w:r>
      <w:r w:rsidRPr="00CC2284">
        <w:rPr>
          <w:rFonts w:ascii="Palatino Linotype" w:eastAsia="Palatino Linotype" w:hAnsi="Palatino Linotype" w:cs="Palatino Linotype"/>
          <w:b/>
          <w:color w:val="000000" w:themeColor="text1"/>
        </w:rPr>
        <w:t xml:space="preserve"> </w:t>
      </w:r>
      <w:r w:rsidR="00006A19" w:rsidRPr="00CC2284">
        <w:rPr>
          <w:rFonts w:ascii="Palatino Linotype" w:eastAsia="Palatino Linotype" w:hAnsi="Palatino Linotype" w:cs="Palatino Linotype"/>
          <w:b/>
          <w:color w:val="000000" w:themeColor="text1"/>
        </w:rPr>
        <w:t>diez de marzo</w:t>
      </w:r>
      <w:r w:rsidRPr="00CC2284">
        <w:rPr>
          <w:rFonts w:ascii="Palatino Linotype" w:eastAsia="Palatino Linotype" w:hAnsi="Palatino Linotype" w:cs="Palatino Linotype"/>
          <w:b/>
          <w:color w:val="000000" w:themeColor="text1"/>
        </w:rPr>
        <w:t xml:space="preserve"> de dos mil veinticinco,</w:t>
      </w:r>
      <w:r w:rsidRPr="00CC2284">
        <w:rPr>
          <w:rFonts w:ascii="Palatino Linotype" w:eastAsia="Palatino Linotype" w:hAnsi="Palatino Linotype" w:cs="Palatino Linotype"/>
          <w:color w:val="000000" w:themeColor="text1"/>
        </w:rPr>
        <w:t xml:space="preserve"> el </w:t>
      </w:r>
      <w:r w:rsidRPr="00CC2284">
        <w:rPr>
          <w:rFonts w:ascii="Palatino Linotype" w:eastAsia="Palatino Linotype" w:hAnsi="Palatino Linotype" w:cs="Palatino Linotype"/>
          <w:b/>
          <w:color w:val="000000" w:themeColor="text1"/>
        </w:rPr>
        <w:t>SUJETO OBLIGADO</w:t>
      </w:r>
      <w:r w:rsidRPr="00CC2284">
        <w:rPr>
          <w:rFonts w:ascii="Palatino Linotype" w:eastAsia="Palatino Linotype" w:hAnsi="Palatino Linotype" w:cs="Palatino Linotype"/>
          <w:color w:val="000000" w:themeColor="text1"/>
        </w:rPr>
        <w:t xml:space="preserve"> </w:t>
      </w:r>
      <w:r w:rsidR="009E5F74" w:rsidRPr="00CC2284">
        <w:rPr>
          <w:rFonts w:ascii="Palatino Linotype" w:hAnsi="Palatino Linotype" w:cs="Arial"/>
          <w:color w:val="000000" w:themeColor="text1"/>
        </w:rPr>
        <w:t xml:space="preserve">en respuesta remitió </w:t>
      </w:r>
      <w:r w:rsidR="009059B4" w:rsidRPr="00CC2284">
        <w:rPr>
          <w:rFonts w:ascii="Palatino Linotype" w:hAnsi="Palatino Linotype" w:cs="Arial"/>
          <w:color w:val="000000" w:themeColor="text1"/>
        </w:rPr>
        <w:t>dos</w:t>
      </w:r>
      <w:r w:rsidR="003310EF" w:rsidRPr="00CC2284">
        <w:rPr>
          <w:rFonts w:ascii="Palatino Linotype" w:hAnsi="Palatino Linotype" w:cs="Arial"/>
          <w:color w:val="000000" w:themeColor="text1"/>
        </w:rPr>
        <w:t xml:space="preserve"> archivo</w:t>
      </w:r>
      <w:r w:rsidR="009059B4" w:rsidRPr="00CC2284">
        <w:rPr>
          <w:rFonts w:ascii="Palatino Linotype" w:hAnsi="Palatino Linotype" w:cs="Arial"/>
          <w:color w:val="000000" w:themeColor="text1"/>
        </w:rPr>
        <w:t>s</w:t>
      </w:r>
      <w:r w:rsidR="003310EF" w:rsidRPr="00CC2284">
        <w:rPr>
          <w:rFonts w:ascii="Palatino Linotype" w:hAnsi="Palatino Linotype" w:cs="Arial"/>
          <w:color w:val="000000" w:themeColor="text1"/>
        </w:rPr>
        <w:t xml:space="preserve"> electrónico</w:t>
      </w:r>
      <w:r w:rsidR="009059B4" w:rsidRPr="00CC2284">
        <w:rPr>
          <w:rFonts w:ascii="Palatino Linotype" w:hAnsi="Palatino Linotype" w:cs="Arial"/>
          <w:color w:val="000000" w:themeColor="text1"/>
        </w:rPr>
        <w:t>s</w:t>
      </w:r>
      <w:r w:rsidR="003310EF" w:rsidRPr="00CC2284">
        <w:rPr>
          <w:rFonts w:ascii="Palatino Linotype" w:hAnsi="Palatino Linotype" w:cs="Arial"/>
          <w:color w:val="000000" w:themeColor="text1"/>
        </w:rPr>
        <w:t xml:space="preserve"> </w:t>
      </w:r>
      <w:r w:rsidR="009059B4" w:rsidRPr="00CC2284">
        <w:rPr>
          <w:rFonts w:ascii="Palatino Linotype" w:hAnsi="Palatino Linotype" w:cs="Arial"/>
          <w:color w:val="000000" w:themeColor="text1"/>
        </w:rPr>
        <w:t>a saber:</w:t>
      </w:r>
    </w:p>
    <w:p w14:paraId="567DB93E" w14:textId="4ABB7D2B" w:rsidR="00002E89" w:rsidRPr="00CC2284" w:rsidRDefault="00006A19" w:rsidP="00EF7B8A">
      <w:pPr>
        <w:pStyle w:val="Prrafodelista"/>
        <w:numPr>
          <w:ilvl w:val="0"/>
          <w:numId w:val="3"/>
        </w:numPr>
        <w:spacing w:line="360" w:lineRule="auto"/>
        <w:ind w:left="0" w:firstLine="0"/>
        <w:jc w:val="both"/>
        <w:rPr>
          <w:rFonts w:ascii="Palatino Linotype" w:hAnsi="Palatino Linotype" w:cs="Arial"/>
          <w:color w:val="000000" w:themeColor="text1"/>
        </w:rPr>
      </w:pPr>
      <w:r w:rsidRPr="00CC2284">
        <w:rPr>
          <w:rFonts w:ascii="Palatino Linotype" w:hAnsi="Palatino Linotype" w:cs="Arial"/>
          <w:b/>
          <w:i/>
          <w:color w:val="000000" w:themeColor="text1"/>
        </w:rPr>
        <w:t>R. 0901.2025 .pdf</w:t>
      </w:r>
      <w:r w:rsidR="009059B4" w:rsidRPr="00CC2284">
        <w:rPr>
          <w:rFonts w:ascii="Palatino Linotype" w:hAnsi="Palatino Linotype" w:cs="Arial"/>
          <w:b/>
          <w:i/>
          <w:color w:val="000000" w:themeColor="text1"/>
        </w:rPr>
        <w:t xml:space="preserve">, </w:t>
      </w:r>
      <w:r w:rsidR="00002E89" w:rsidRPr="00CC2284">
        <w:rPr>
          <w:rFonts w:ascii="Palatino Linotype" w:hAnsi="Palatino Linotype" w:cs="Arial"/>
          <w:color w:val="000000" w:themeColor="text1"/>
        </w:rPr>
        <w:t>que corresponde a un oficio signado por el Titula</w:t>
      </w:r>
      <w:r w:rsidR="003A4C01" w:rsidRPr="00CC2284">
        <w:rPr>
          <w:rFonts w:ascii="Palatino Linotype" w:hAnsi="Palatino Linotype" w:cs="Arial"/>
          <w:color w:val="000000" w:themeColor="text1"/>
        </w:rPr>
        <w:t>r de la Unidad de Transparencia</w:t>
      </w:r>
      <w:r w:rsidR="00002E89" w:rsidRPr="00CC2284">
        <w:rPr>
          <w:rFonts w:ascii="Palatino Linotype" w:hAnsi="Palatino Linotype" w:cs="Arial"/>
          <w:color w:val="000000" w:themeColor="text1"/>
        </w:rPr>
        <w:t xml:space="preserve"> quien informa que la Dirección General de Administración</w:t>
      </w:r>
      <w:r w:rsidR="003A4C01" w:rsidRPr="00CC2284">
        <w:rPr>
          <w:rFonts w:ascii="Palatino Linotype" w:hAnsi="Palatino Linotype" w:cs="Arial"/>
          <w:color w:val="000000" w:themeColor="text1"/>
        </w:rPr>
        <w:t>,</w:t>
      </w:r>
      <w:r w:rsidR="00002E89" w:rsidRPr="00CC2284">
        <w:rPr>
          <w:rFonts w:ascii="Palatino Linotype" w:hAnsi="Palatino Linotype" w:cs="Arial"/>
          <w:color w:val="000000" w:themeColor="text1"/>
        </w:rPr>
        <w:t xml:space="preserve"> manifestó que la Dirección de Recursos Materiales, </w:t>
      </w:r>
      <w:r w:rsidR="003A4C01" w:rsidRPr="00CC2284">
        <w:rPr>
          <w:rFonts w:ascii="Palatino Linotype" w:hAnsi="Palatino Linotype" w:cs="Arial"/>
          <w:color w:val="000000" w:themeColor="text1"/>
        </w:rPr>
        <w:t>después</w:t>
      </w:r>
      <w:r w:rsidR="00002E89" w:rsidRPr="00CC2284">
        <w:rPr>
          <w:rFonts w:ascii="Palatino Linotype" w:hAnsi="Palatino Linotype" w:cs="Arial"/>
          <w:color w:val="000000" w:themeColor="text1"/>
        </w:rPr>
        <w:t xml:space="preserve"> de una búsqueda exhaustiva y razonable en los archivos físicos y electrónicos que guarda, no se localizó contrato alguno para la compra y/o arrendamiento de equipo para la "Comisaria General de Seguridad Pública" en 2024.</w:t>
      </w:r>
    </w:p>
    <w:p w14:paraId="15BDB1FE" w14:textId="4DA95586" w:rsidR="003A4C01" w:rsidRPr="00CC2284" w:rsidRDefault="003A4C01" w:rsidP="00CC2284">
      <w:pPr>
        <w:pStyle w:val="Prrafodelista"/>
        <w:spacing w:line="360" w:lineRule="auto"/>
        <w:ind w:left="0"/>
        <w:jc w:val="both"/>
        <w:rPr>
          <w:rFonts w:ascii="Palatino Linotype" w:hAnsi="Palatino Linotype" w:cs="Arial"/>
          <w:color w:val="000000" w:themeColor="text1"/>
        </w:rPr>
      </w:pPr>
      <w:r w:rsidRPr="00CC2284">
        <w:rPr>
          <w:rFonts w:ascii="Palatino Linotype" w:hAnsi="Palatino Linotype" w:cs="Arial"/>
          <w:color w:val="000000" w:themeColor="text1"/>
        </w:rPr>
        <w:t>Por lo que respecta a la Dirección General de Seguridad Pública y Protección Ciudadana, informó que no es atribución de la Coordinación Administrativa; por su parte la Tesorería Municipal, informó que no cuenta con la información solicitada debido a que no forma parte de sus atribuciones.</w:t>
      </w:r>
    </w:p>
    <w:p w14:paraId="42638D5B" w14:textId="77777777" w:rsidR="009059B4" w:rsidRPr="00CC2284" w:rsidRDefault="009059B4" w:rsidP="00CC2284">
      <w:pPr>
        <w:pStyle w:val="Prrafodelista"/>
        <w:spacing w:line="360" w:lineRule="auto"/>
        <w:ind w:left="0"/>
        <w:jc w:val="both"/>
        <w:rPr>
          <w:rFonts w:ascii="Palatino Linotype" w:hAnsi="Palatino Linotype" w:cs="Arial"/>
          <w:color w:val="000000" w:themeColor="text1"/>
        </w:rPr>
      </w:pPr>
    </w:p>
    <w:p w14:paraId="7231C6E3" w14:textId="63FFA0E0" w:rsidR="00C86A6F" w:rsidRPr="00CC2284" w:rsidRDefault="005B3CB5" w:rsidP="00CC2284">
      <w:pPr>
        <w:pStyle w:val="Prrafodelista"/>
        <w:numPr>
          <w:ilvl w:val="0"/>
          <w:numId w:val="1"/>
        </w:numPr>
        <w:spacing w:line="360" w:lineRule="auto"/>
        <w:ind w:left="0" w:firstLine="0"/>
        <w:jc w:val="both"/>
        <w:rPr>
          <w:rFonts w:ascii="Palatino Linotype" w:hAnsi="Palatino Linotype" w:cs="Arial"/>
          <w:color w:val="000000" w:themeColor="text1"/>
        </w:rPr>
      </w:pPr>
      <w:r w:rsidRPr="00CC2284">
        <w:rPr>
          <w:rFonts w:ascii="Palatino Linotype" w:hAnsi="Palatino Linotype" w:cs="Arial"/>
          <w:bCs/>
          <w:color w:val="000000" w:themeColor="text1"/>
        </w:rPr>
        <w:lastRenderedPageBreak/>
        <w:t>Inconforme con la respuesta emitida</w:t>
      </w:r>
      <w:r w:rsidR="00C86A6F" w:rsidRPr="00CC2284">
        <w:rPr>
          <w:rFonts w:ascii="Palatino Linotype" w:hAnsi="Palatino Linotype" w:cs="Arial"/>
          <w:color w:val="000000" w:themeColor="text1"/>
        </w:rPr>
        <w:t xml:space="preserve">, </w:t>
      </w:r>
      <w:r w:rsidR="003A4C01" w:rsidRPr="00CC2284">
        <w:rPr>
          <w:rFonts w:ascii="Palatino Linotype" w:hAnsi="Palatino Linotype" w:cs="Arial"/>
          <w:color w:val="000000" w:themeColor="text1"/>
        </w:rPr>
        <w:t xml:space="preserve">el </w:t>
      </w:r>
      <w:r w:rsidR="003A4C01" w:rsidRPr="00CC2284">
        <w:rPr>
          <w:rFonts w:ascii="Palatino Linotype" w:hAnsi="Palatino Linotype" w:cs="Arial"/>
          <w:b/>
          <w:color w:val="000000" w:themeColor="text1"/>
        </w:rPr>
        <w:t>uno de abril de dos mil veinticinco</w:t>
      </w:r>
      <w:r w:rsidR="003A4C01" w:rsidRPr="00CC2284">
        <w:rPr>
          <w:rFonts w:ascii="Palatino Linotype" w:hAnsi="Palatino Linotype" w:cs="Arial"/>
          <w:color w:val="000000" w:themeColor="text1"/>
        </w:rPr>
        <w:t xml:space="preserve">, </w:t>
      </w:r>
      <w:r w:rsidR="00C86A6F" w:rsidRPr="00CC2284">
        <w:rPr>
          <w:rFonts w:ascii="Palatino Linotype" w:hAnsi="Palatino Linotype" w:cs="Arial"/>
          <w:color w:val="000000" w:themeColor="text1"/>
        </w:rPr>
        <w:t xml:space="preserve">la parte </w:t>
      </w:r>
      <w:r w:rsidRPr="00CC2284">
        <w:rPr>
          <w:rFonts w:ascii="Palatino Linotype" w:hAnsi="Palatino Linotype" w:cs="Arial"/>
          <w:b/>
          <w:color w:val="000000" w:themeColor="text1"/>
        </w:rPr>
        <w:t>RECURRENTE</w:t>
      </w:r>
      <w:r w:rsidRPr="00CC2284">
        <w:rPr>
          <w:rFonts w:ascii="Palatino Linotype" w:hAnsi="Palatino Linotype" w:cs="Arial"/>
          <w:color w:val="000000" w:themeColor="text1"/>
        </w:rPr>
        <w:t xml:space="preserve"> </w:t>
      </w:r>
      <w:r w:rsidR="00C86A6F" w:rsidRPr="00CC2284">
        <w:rPr>
          <w:rFonts w:ascii="Palatino Linotype" w:hAnsi="Palatino Linotype" w:cs="Arial"/>
          <w:color w:val="000000" w:themeColor="text1"/>
        </w:rPr>
        <w:t>interpuso su Recurso de Revisión, señalando como acto impugnado y razones o motivos de inconformidad, lo siguiente:</w:t>
      </w:r>
    </w:p>
    <w:p w14:paraId="63133CBC" w14:textId="77777777" w:rsidR="007D6876" w:rsidRPr="00CC2284" w:rsidRDefault="007D6876" w:rsidP="00CC2284">
      <w:pPr>
        <w:pStyle w:val="Prrafodelista"/>
        <w:spacing w:line="360" w:lineRule="auto"/>
        <w:ind w:left="0"/>
        <w:jc w:val="both"/>
        <w:rPr>
          <w:rFonts w:ascii="Palatino Linotype" w:hAnsi="Palatino Linotype" w:cs="Arial"/>
          <w:i/>
          <w:color w:val="000000" w:themeColor="text1"/>
        </w:rPr>
      </w:pPr>
    </w:p>
    <w:p w14:paraId="5D8BD90A" w14:textId="77777777" w:rsidR="00D5494C" w:rsidRPr="00CC2284" w:rsidRDefault="00D5494C" w:rsidP="00EF7B8A">
      <w:pPr>
        <w:pStyle w:val="Prrafodelista"/>
        <w:numPr>
          <w:ilvl w:val="0"/>
          <w:numId w:val="3"/>
        </w:numPr>
        <w:spacing w:line="360" w:lineRule="auto"/>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CC2284">
        <w:rPr>
          <w:rStyle w:val="Ttulo2Car"/>
          <w:rFonts w:ascii="Palatino Linotype" w:hAnsi="Palatino Linotype"/>
          <w:b/>
          <w:color w:val="000000" w:themeColor="text1"/>
          <w:sz w:val="24"/>
          <w:szCs w:val="24"/>
        </w:rPr>
        <w:t>ACTO IMPUGNADO:</w:t>
      </w:r>
    </w:p>
    <w:p w14:paraId="332B30C8" w14:textId="6426A912" w:rsidR="00961A06" w:rsidRPr="00CC2284" w:rsidRDefault="00D5494C" w:rsidP="00EF7B8A">
      <w:pPr>
        <w:pStyle w:val="Prrafodelista"/>
        <w:spacing w:line="360" w:lineRule="auto"/>
        <w:ind w:left="284"/>
        <w:jc w:val="both"/>
        <w:rPr>
          <w:rStyle w:val="Ttulo2Car"/>
          <w:rFonts w:ascii="Palatino Linotype" w:hAnsi="Palatino Linotype"/>
          <w:i/>
          <w:color w:val="000000" w:themeColor="text1"/>
          <w:sz w:val="24"/>
          <w:szCs w:val="24"/>
        </w:rPr>
      </w:pPr>
      <w:r w:rsidRPr="00CC2284">
        <w:rPr>
          <w:rStyle w:val="Ttulo2Car"/>
          <w:rFonts w:ascii="Palatino Linotype" w:hAnsi="Palatino Linotype"/>
          <w:i/>
          <w:color w:val="000000" w:themeColor="text1"/>
          <w:sz w:val="24"/>
          <w:szCs w:val="24"/>
        </w:rPr>
        <w:t>“</w:t>
      </w:r>
      <w:r w:rsidR="003A4C01" w:rsidRPr="00CC2284">
        <w:rPr>
          <w:rStyle w:val="Ttulo2Car"/>
          <w:rFonts w:ascii="Palatino Linotype" w:hAnsi="Palatino Linotype"/>
          <w:i/>
          <w:color w:val="000000" w:themeColor="text1"/>
          <w:sz w:val="24"/>
          <w:szCs w:val="24"/>
        </w:rPr>
        <w:t>Que verguenza para el derecho de acceso a la información de conformidad con el artpciulo 11 los Sujetos Obligados deben transparentar la respuesta y este Sujeto Obligado solo se la pasa ocultando y negando la información que OPACIDAD TIENE EL MUNICIPIO DE TOLUCA</w:t>
      </w:r>
      <w:r w:rsidRPr="00CC2284">
        <w:rPr>
          <w:rStyle w:val="Ttulo2Car"/>
          <w:rFonts w:ascii="Palatino Linotype" w:hAnsi="Palatino Linotype"/>
          <w:i/>
          <w:color w:val="000000" w:themeColor="text1"/>
          <w:sz w:val="24"/>
          <w:szCs w:val="24"/>
        </w:rPr>
        <w:t>”</w:t>
      </w:r>
    </w:p>
    <w:p w14:paraId="0E3238EF" w14:textId="77777777" w:rsidR="00EA6CE3" w:rsidRPr="00CC2284" w:rsidRDefault="00EA6CE3" w:rsidP="00CC2284">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CC2284" w:rsidRDefault="00942B6E" w:rsidP="00EF7B8A">
      <w:pPr>
        <w:pStyle w:val="Prrafodelista"/>
        <w:numPr>
          <w:ilvl w:val="0"/>
          <w:numId w:val="3"/>
        </w:numPr>
        <w:spacing w:line="360" w:lineRule="auto"/>
        <w:jc w:val="both"/>
        <w:rPr>
          <w:rStyle w:val="Ttulo2Car"/>
          <w:rFonts w:ascii="Palatino Linotype" w:hAnsi="Palatino Linotype"/>
          <w:b/>
          <w:color w:val="000000" w:themeColor="text1"/>
          <w:sz w:val="24"/>
          <w:szCs w:val="24"/>
        </w:rPr>
      </w:pPr>
      <w:r w:rsidRPr="00CC2284">
        <w:rPr>
          <w:rStyle w:val="Ttulo2Car"/>
          <w:rFonts w:ascii="Palatino Linotype" w:hAnsi="Palatino Linotype"/>
          <w:b/>
          <w:color w:val="000000" w:themeColor="text1"/>
          <w:sz w:val="24"/>
          <w:szCs w:val="24"/>
        </w:rPr>
        <w:t>RAZONES O MOTIVOS DE LA INCONFORMIDAD</w:t>
      </w:r>
      <w:r w:rsidRPr="00CC2284">
        <w:rPr>
          <w:rStyle w:val="Ttulo2Car"/>
          <w:rFonts w:ascii="Palatino Linotype" w:hAnsi="Palatino Linotype"/>
          <w:b/>
          <w:color w:val="000000" w:themeColor="text1"/>
          <w:sz w:val="24"/>
          <w:szCs w:val="24"/>
        </w:rPr>
        <w:tab/>
      </w:r>
    </w:p>
    <w:p w14:paraId="66898454" w14:textId="569B76D5" w:rsidR="00942B6E" w:rsidRPr="00CC2284" w:rsidRDefault="00942B6E" w:rsidP="00EF7B8A">
      <w:pPr>
        <w:pStyle w:val="Prrafodelista"/>
        <w:spacing w:line="360" w:lineRule="auto"/>
        <w:ind w:left="284"/>
        <w:jc w:val="both"/>
        <w:rPr>
          <w:rStyle w:val="Ttulo2Car"/>
          <w:rFonts w:ascii="Palatino Linotype" w:hAnsi="Palatino Linotype"/>
          <w:i/>
          <w:color w:val="000000" w:themeColor="text1"/>
          <w:sz w:val="24"/>
          <w:szCs w:val="24"/>
        </w:rPr>
      </w:pPr>
      <w:r w:rsidRPr="00CC2284">
        <w:rPr>
          <w:rStyle w:val="Ttulo2Car"/>
          <w:rFonts w:ascii="Palatino Linotype" w:hAnsi="Palatino Linotype"/>
          <w:i/>
          <w:color w:val="000000" w:themeColor="text1"/>
          <w:sz w:val="24"/>
          <w:szCs w:val="24"/>
        </w:rPr>
        <w:t>“</w:t>
      </w:r>
      <w:r w:rsidR="003A4C01" w:rsidRPr="00CC2284">
        <w:rPr>
          <w:rStyle w:val="Ttulo2Car"/>
          <w:rFonts w:ascii="Palatino Linotype" w:hAnsi="Palatino Linotype"/>
          <w:i/>
          <w:color w:val="000000" w:themeColor="text1"/>
          <w:sz w:val="24"/>
          <w:szCs w:val="24"/>
        </w:rPr>
        <w:t>NO atiende la solicitud, argumentando que no le corresponde y otros que no compraron cuando el evento fue de imagen publica y algunos particupamos en la entrega de esos insumos y uniformes fueimos beneficados pero ahora lo niega esperamos que el instituto nos apoye para que nuestro derecho constitucional sea garantizado y no entreguen la información que se solicita en el SAIMEX</w:t>
      </w:r>
      <w:r w:rsidRPr="00CC2284">
        <w:rPr>
          <w:rStyle w:val="Ttulo2Car"/>
          <w:rFonts w:ascii="Palatino Linotype" w:hAnsi="Palatino Linotype"/>
          <w:i/>
          <w:color w:val="000000" w:themeColor="text1"/>
          <w:sz w:val="24"/>
          <w:szCs w:val="24"/>
        </w:rPr>
        <w:t>”</w:t>
      </w:r>
    </w:p>
    <w:p w14:paraId="0EE8D61B" w14:textId="77777777" w:rsidR="00067EAC" w:rsidRPr="00CC2284" w:rsidRDefault="00067EAC" w:rsidP="00CC2284">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41CA206A" w:rsidR="00947C3B" w:rsidRPr="00CC2284" w:rsidRDefault="00947C3B" w:rsidP="00CC2284">
      <w:pPr>
        <w:pStyle w:val="Prrafodelista"/>
        <w:numPr>
          <w:ilvl w:val="0"/>
          <w:numId w:val="1"/>
        </w:numPr>
        <w:spacing w:line="360" w:lineRule="auto"/>
        <w:ind w:left="0" w:firstLine="0"/>
        <w:jc w:val="both"/>
        <w:rPr>
          <w:rFonts w:ascii="Palatino Linotype" w:hAnsi="Palatino Linotype"/>
          <w:i/>
          <w:color w:val="000000" w:themeColor="text1"/>
        </w:rPr>
      </w:pPr>
      <w:r w:rsidRPr="00CC2284">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 fecha </w:t>
      </w:r>
      <w:r w:rsidR="003A4C01" w:rsidRPr="00CC2284">
        <w:rPr>
          <w:rFonts w:ascii="Palatino Linotype" w:eastAsia="Calibri" w:hAnsi="Palatino Linotype" w:cs="Arial"/>
          <w:b/>
          <w:color w:val="000000" w:themeColor="text1"/>
          <w:lang w:val="es-ES"/>
        </w:rPr>
        <w:t>siete de abril</w:t>
      </w:r>
      <w:r w:rsidR="005F78BC" w:rsidRPr="00CC2284">
        <w:rPr>
          <w:rFonts w:ascii="Palatino Linotype" w:eastAsia="Calibri" w:hAnsi="Palatino Linotype" w:cs="Arial"/>
          <w:b/>
          <w:color w:val="000000" w:themeColor="text1"/>
          <w:lang w:val="es-ES"/>
        </w:rPr>
        <w:t xml:space="preserve"> </w:t>
      </w:r>
      <w:r w:rsidR="005E75E6" w:rsidRPr="00CC2284">
        <w:rPr>
          <w:rFonts w:ascii="Palatino Linotype" w:eastAsia="Calibri" w:hAnsi="Palatino Linotype" w:cs="Arial"/>
          <w:b/>
          <w:color w:val="000000" w:themeColor="text1"/>
          <w:lang w:val="es-ES"/>
        </w:rPr>
        <w:t xml:space="preserve">dos mil </w:t>
      </w:r>
      <w:r w:rsidR="00067EAC" w:rsidRPr="00CC2284">
        <w:rPr>
          <w:rFonts w:ascii="Palatino Linotype" w:eastAsia="Calibri" w:hAnsi="Palatino Linotype" w:cs="Arial"/>
          <w:b/>
          <w:color w:val="000000" w:themeColor="text1"/>
          <w:lang w:val="es-ES"/>
        </w:rPr>
        <w:t>vein</w:t>
      </w:r>
      <w:r w:rsidR="00DA5EB8" w:rsidRPr="00CC2284">
        <w:rPr>
          <w:rFonts w:ascii="Palatino Linotype" w:eastAsia="Calibri" w:hAnsi="Palatino Linotype" w:cs="Arial"/>
          <w:b/>
          <w:color w:val="000000" w:themeColor="text1"/>
          <w:lang w:val="es-ES"/>
        </w:rPr>
        <w:t>ticinco</w:t>
      </w:r>
      <w:r w:rsidRPr="00CC2284">
        <w:rPr>
          <w:rFonts w:ascii="Palatino Linotype" w:eastAsia="Calibri" w:hAnsi="Palatino Linotype" w:cs="Arial"/>
          <w:color w:val="000000" w:themeColor="text1"/>
          <w:lang w:val="es-ES"/>
        </w:rPr>
        <w:t xml:space="preserve">, puso a disposición de las partes el expediente electrónico </w:t>
      </w:r>
      <w:r w:rsidRPr="00CC2284">
        <w:rPr>
          <w:rFonts w:ascii="Palatino Linotype" w:eastAsia="Calibri" w:hAnsi="Palatino Linotype" w:cs="Arial"/>
          <w:color w:val="000000" w:themeColor="text1"/>
        </w:rPr>
        <w:t xml:space="preserve">vía </w:t>
      </w:r>
      <w:r w:rsidRPr="00CC2284">
        <w:rPr>
          <w:rFonts w:ascii="Palatino Linotype" w:eastAsia="Calibri" w:hAnsi="Palatino Linotype" w:cs="Arial"/>
          <w:b/>
          <w:color w:val="000000" w:themeColor="text1"/>
          <w:lang w:val="es-ES"/>
        </w:rPr>
        <w:t xml:space="preserve">SAIMEX </w:t>
      </w:r>
      <w:r w:rsidRPr="00CC2284">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CC2284">
        <w:rPr>
          <w:rFonts w:ascii="Palatino Linotype" w:eastAsia="Calibri" w:hAnsi="Palatino Linotype" w:cs="Arial"/>
          <w:b/>
          <w:color w:val="000000" w:themeColor="text1"/>
          <w:lang w:val="es-ES"/>
        </w:rPr>
        <w:t>SUJETO OBLIGADO</w:t>
      </w:r>
      <w:r w:rsidRPr="00CC2284">
        <w:rPr>
          <w:rFonts w:ascii="Palatino Linotype" w:eastAsia="Calibri" w:hAnsi="Palatino Linotype" w:cs="Arial"/>
          <w:color w:val="000000" w:themeColor="text1"/>
          <w:lang w:val="es-ES"/>
        </w:rPr>
        <w:t xml:space="preserve"> presentará el Informe Justificado procedente.</w:t>
      </w:r>
    </w:p>
    <w:p w14:paraId="198F57DF" w14:textId="31E3412C" w:rsidR="00947C3B" w:rsidRPr="00CC2284" w:rsidRDefault="00947C3B" w:rsidP="00CC2284">
      <w:pPr>
        <w:pStyle w:val="Prrafodelista"/>
        <w:spacing w:line="360" w:lineRule="auto"/>
        <w:ind w:left="0"/>
        <w:jc w:val="both"/>
        <w:rPr>
          <w:rFonts w:ascii="Palatino Linotype" w:hAnsi="Palatino Linotype"/>
          <w:color w:val="000000" w:themeColor="text1"/>
        </w:rPr>
      </w:pPr>
    </w:p>
    <w:p w14:paraId="06973C56" w14:textId="3E34D36E" w:rsidR="004C3E30" w:rsidRPr="00CC2284" w:rsidRDefault="00D177AD" w:rsidP="00CC2284">
      <w:pPr>
        <w:pStyle w:val="Prrafodelista"/>
        <w:numPr>
          <w:ilvl w:val="0"/>
          <w:numId w:val="1"/>
        </w:numPr>
        <w:spacing w:line="360" w:lineRule="auto"/>
        <w:ind w:left="0" w:firstLine="0"/>
        <w:jc w:val="both"/>
        <w:rPr>
          <w:rFonts w:ascii="Palatino Linotype" w:hAnsi="Palatino Linotype"/>
          <w:color w:val="000000" w:themeColor="text1"/>
        </w:rPr>
      </w:pPr>
      <w:r w:rsidRPr="00CC2284">
        <w:rPr>
          <w:rFonts w:ascii="Palatino Linotype" w:hAnsi="Palatino Linotype"/>
          <w:color w:val="000000" w:themeColor="text1"/>
        </w:rPr>
        <w:lastRenderedPageBreak/>
        <w:t xml:space="preserve">El </w:t>
      </w:r>
      <w:r w:rsidRPr="00CC2284">
        <w:rPr>
          <w:rFonts w:ascii="Palatino Linotype" w:hAnsi="Palatino Linotype"/>
          <w:b/>
          <w:color w:val="000000" w:themeColor="text1"/>
        </w:rPr>
        <w:t xml:space="preserve">SUJETO </w:t>
      </w:r>
      <w:r w:rsidRPr="00CC2284">
        <w:rPr>
          <w:rFonts w:ascii="Palatino Linotype" w:eastAsia="Calibri" w:hAnsi="Palatino Linotype" w:cs="Arial"/>
          <w:b/>
          <w:color w:val="000000" w:themeColor="text1"/>
          <w:lang w:val="es-ES"/>
        </w:rPr>
        <w:t>OBLIGADO</w:t>
      </w:r>
      <w:r w:rsidRPr="00CC2284">
        <w:rPr>
          <w:rFonts w:ascii="Palatino Linotype" w:hAnsi="Palatino Linotype"/>
          <w:color w:val="000000" w:themeColor="text1"/>
        </w:rPr>
        <w:t xml:space="preserve"> </w:t>
      </w:r>
      <w:r w:rsidR="001A7D36" w:rsidRPr="00CC2284">
        <w:rPr>
          <w:rFonts w:ascii="Palatino Linotype" w:hAnsi="Palatino Linotype"/>
          <w:color w:val="000000" w:themeColor="text1"/>
        </w:rPr>
        <w:t xml:space="preserve">en fecha </w:t>
      </w:r>
      <w:r w:rsidR="00D0123C" w:rsidRPr="00CC2284">
        <w:rPr>
          <w:rFonts w:ascii="Palatino Linotype" w:hAnsi="Palatino Linotype"/>
          <w:b/>
          <w:color w:val="000000" w:themeColor="text1"/>
        </w:rPr>
        <w:t>veintitrés</w:t>
      </w:r>
      <w:r w:rsidR="003310EF" w:rsidRPr="00CC2284">
        <w:rPr>
          <w:rFonts w:ascii="Palatino Linotype" w:hAnsi="Palatino Linotype"/>
          <w:b/>
          <w:color w:val="000000" w:themeColor="text1"/>
        </w:rPr>
        <w:t xml:space="preserve"> de abril</w:t>
      </w:r>
      <w:r w:rsidR="004C3E30" w:rsidRPr="00CC2284">
        <w:rPr>
          <w:rFonts w:ascii="Palatino Linotype" w:hAnsi="Palatino Linotype"/>
          <w:b/>
          <w:color w:val="000000" w:themeColor="text1"/>
        </w:rPr>
        <w:t xml:space="preserve"> de dos mil veinticinco</w:t>
      </w:r>
      <w:r w:rsidR="00CD6CD8" w:rsidRPr="00CC2284">
        <w:rPr>
          <w:rFonts w:ascii="Palatino Linotype" w:hAnsi="Palatino Linotype"/>
          <w:color w:val="000000" w:themeColor="text1"/>
        </w:rPr>
        <w:t>,</w:t>
      </w:r>
      <w:r w:rsidR="00CB1F02" w:rsidRPr="00CC2284">
        <w:rPr>
          <w:rFonts w:ascii="Palatino Linotype" w:hAnsi="Palatino Linotype"/>
          <w:color w:val="000000" w:themeColor="text1"/>
        </w:rPr>
        <w:t xml:space="preserve"> </w:t>
      </w:r>
      <w:r w:rsidR="00CB1F02" w:rsidRPr="00CC2284">
        <w:rPr>
          <w:rFonts w:ascii="Palatino Linotype" w:eastAsia="Calibri" w:hAnsi="Palatino Linotype" w:cs="Arial"/>
          <w:color w:val="000000" w:themeColor="text1"/>
          <w:lang w:val="es-ES"/>
        </w:rPr>
        <w:t>rindió</w:t>
      </w:r>
      <w:r w:rsidR="00CB1F02" w:rsidRPr="00CC2284">
        <w:rPr>
          <w:rFonts w:ascii="Palatino Linotype" w:hAnsi="Palatino Linotype"/>
          <w:color w:val="000000" w:themeColor="text1"/>
        </w:rPr>
        <w:t xml:space="preserve"> el informe </w:t>
      </w:r>
      <w:r w:rsidR="00CB1F02" w:rsidRPr="00CC2284">
        <w:rPr>
          <w:rFonts w:ascii="Palatino Linotype" w:eastAsia="Calibri" w:hAnsi="Palatino Linotype" w:cs="Arial"/>
          <w:color w:val="000000" w:themeColor="text1"/>
          <w:lang w:val="es-ES"/>
        </w:rPr>
        <w:t>justific</w:t>
      </w:r>
      <w:r w:rsidR="00C47088" w:rsidRPr="00CC2284">
        <w:rPr>
          <w:rFonts w:ascii="Palatino Linotype" w:eastAsia="Calibri" w:hAnsi="Palatino Linotype" w:cs="Arial"/>
          <w:color w:val="000000" w:themeColor="text1"/>
          <w:lang w:val="es-ES"/>
        </w:rPr>
        <w:t>ado</w:t>
      </w:r>
      <w:r w:rsidR="003310EF" w:rsidRPr="00CC2284">
        <w:rPr>
          <w:rFonts w:ascii="Palatino Linotype" w:hAnsi="Palatino Linotype"/>
          <w:color w:val="000000" w:themeColor="text1"/>
        </w:rPr>
        <w:t xml:space="preserve"> correspondiente por </w:t>
      </w:r>
      <w:r w:rsidR="003310EF" w:rsidRPr="00CC2284">
        <w:rPr>
          <w:rFonts w:ascii="Palatino Linotype" w:eastAsia="Palatino Linotype" w:hAnsi="Palatino Linotype" w:cs="Palatino Linotype"/>
          <w:color w:val="000000" w:themeColor="text1"/>
        </w:rPr>
        <w:t>medio</w:t>
      </w:r>
      <w:r w:rsidR="00D3761C" w:rsidRPr="00CC2284">
        <w:rPr>
          <w:rFonts w:ascii="Palatino Linotype" w:hAnsi="Palatino Linotype"/>
          <w:color w:val="000000" w:themeColor="text1"/>
        </w:rPr>
        <w:t xml:space="preserve"> de un archivo</w:t>
      </w:r>
      <w:r w:rsidR="003310EF" w:rsidRPr="00CC2284">
        <w:rPr>
          <w:rFonts w:ascii="Palatino Linotype" w:hAnsi="Palatino Linotype"/>
          <w:color w:val="000000" w:themeColor="text1"/>
        </w:rPr>
        <w:t xml:space="preserve"> denominado </w:t>
      </w:r>
      <w:r w:rsidR="00D0123C" w:rsidRPr="00CC2284">
        <w:rPr>
          <w:rFonts w:ascii="Palatino Linotype" w:hAnsi="Palatino Linotype"/>
          <w:i/>
          <w:color w:val="000000" w:themeColor="text1"/>
        </w:rPr>
        <w:t xml:space="preserve">ANEXOS 03828-2025.pdf </w:t>
      </w:r>
      <w:r w:rsidR="00D0123C" w:rsidRPr="00CC2284">
        <w:rPr>
          <w:rFonts w:ascii="Palatino Linotype" w:hAnsi="Palatino Linotype"/>
          <w:color w:val="000000" w:themeColor="text1"/>
        </w:rPr>
        <w:t>y</w:t>
      </w:r>
      <w:r w:rsidR="00D0123C" w:rsidRPr="00CC2284">
        <w:rPr>
          <w:rFonts w:ascii="Palatino Linotype" w:hAnsi="Palatino Linotype"/>
          <w:i/>
          <w:color w:val="000000" w:themeColor="text1"/>
        </w:rPr>
        <w:t xml:space="preserve"> Ratificación 03828-2025.pdf</w:t>
      </w:r>
      <w:r w:rsidR="003310EF" w:rsidRPr="00CC2284">
        <w:rPr>
          <w:rFonts w:ascii="Palatino Linotype" w:hAnsi="Palatino Linotype"/>
          <w:color w:val="000000" w:themeColor="text1"/>
        </w:rPr>
        <w:t xml:space="preserve">, </w:t>
      </w:r>
      <w:r w:rsidR="00D0123C" w:rsidRPr="00CC2284">
        <w:rPr>
          <w:rFonts w:ascii="Palatino Linotype" w:hAnsi="Palatino Linotype"/>
          <w:color w:val="000000" w:themeColor="text1"/>
        </w:rPr>
        <w:t>cuyo contenido</w:t>
      </w:r>
      <w:r w:rsidR="00C44421" w:rsidRPr="00CC2284">
        <w:rPr>
          <w:rFonts w:ascii="Palatino Linotype" w:hAnsi="Palatino Linotype"/>
          <w:color w:val="000000" w:themeColor="text1"/>
        </w:rPr>
        <w:t xml:space="preserve"> corresponde a un oficio signado por la Dirección Jurídica, de la Dirección General de Seguridad y Protección del Ayuntamiento de Toluca, quien ratificó en todas y cada una de sus partes de la respuesta inicial y, un escrito del Titular de la Unidad de Transparencia, donde se informa de la ratificación de la respuesta inicial antes señalada, por parte del servidor público habilitado</w:t>
      </w:r>
      <w:r w:rsidR="003310EF" w:rsidRPr="00CC2284">
        <w:rPr>
          <w:rFonts w:ascii="Palatino Linotype" w:hAnsi="Palatino Linotype"/>
          <w:color w:val="000000" w:themeColor="text1"/>
        </w:rPr>
        <w:t xml:space="preserve">. Por su parte el </w:t>
      </w:r>
      <w:r w:rsidR="003310EF" w:rsidRPr="00CC2284">
        <w:rPr>
          <w:rFonts w:ascii="Palatino Linotype" w:hAnsi="Palatino Linotype"/>
          <w:b/>
          <w:color w:val="000000" w:themeColor="text1"/>
        </w:rPr>
        <w:t>RECURRENTE</w:t>
      </w:r>
      <w:r w:rsidR="003310EF" w:rsidRPr="00CC2284">
        <w:rPr>
          <w:rFonts w:ascii="Palatino Linotype" w:hAnsi="Palatino Linotype"/>
          <w:color w:val="000000" w:themeColor="text1"/>
        </w:rPr>
        <w:t xml:space="preserve"> no realizó manifestaciones que a su derecho conviniera y asistiera.</w:t>
      </w:r>
    </w:p>
    <w:p w14:paraId="548F5806" w14:textId="77777777" w:rsidR="006A284C" w:rsidRPr="00CC2284" w:rsidRDefault="006A284C" w:rsidP="00CC2284">
      <w:pPr>
        <w:pStyle w:val="Prrafodelista"/>
        <w:spacing w:line="360" w:lineRule="auto"/>
        <w:ind w:left="0"/>
        <w:rPr>
          <w:rFonts w:ascii="Palatino Linotype" w:hAnsi="Palatino Linotype"/>
          <w:color w:val="000000" w:themeColor="text1"/>
        </w:rPr>
      </w:pPr>
    </w:p>
    <w:p w14:paraId="000B9257" w14:textId="79491A3E" w:rsidR="006A284C" w:rsidRDefault="006A284C" w:rsidP="00CC228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El </w:t>
      </w:r>
      <w:r w:rsidR="00064D6B" w:rsidRPr="00CC2284">
        <w:rPr>
          <w:rFonts w:ascii="Palatino Linotype" w:eastAsia="Palatino Linotype" w:hAnsi="Palatino Linotype" w:cs="Palatino Linotype"/>
          <w:b/>
          <w:color w:val="000000" w:themeColor="text1"/>
        </w:rPr>
        <w:t>diecisiet</w:t>
      </w:r>
      <w:r w:rsidR="00C96D93" w:rsidRPr="00CC2284">
        <w:rPr>
          <w:rFonts w:ascii="Palatino Linotype" w:eastAsia="Palatino Linotype" w:hAnsi="Palatino Linotype" w:cs="Palatino Linotype"/>
          <w:b/>
          <w:color w:val="000000" w:themeColor="text1"/>
        </w:rPr>
        <w:t>e</w:t>
      </w:r>
      <w:r w:rsidR="00D3761C" w:rsidRPr="00CC2284">
        <w:rPr>
          <w:rFonts w:ascii="Palatino Linotype" w:eastAsia="Palatino Linotype" w:hAnsi="Palatino Linotype" w:cs="Palatino Linotype"/>
          <w:b/>
          <w:color w:val="000000" w:themeColor="text1"/>
        </w:rPr>
        <w:t xml:space="preserve"> de septiembre</w:t>
      </w:r>
      <w:r w:rsidRPr="00CC2284">
        <w:rPr>
          <w:rFonts w:ascii="Palatino Linotype" w:eastAsia="Palatino Linotype" w:hAnsi="Palatino Linotype" w:cs="Palatino Linotype"/>
          <w:b/>
          <w:color w:val="000000" w:themeColor="text1"/>
        </w:rPr>
        <w:t xml:space="preserve"> del año en curso</w:t>
      </w:r>
      <w:r w:rsidRPr="00CC2284">
        <w:rPr>
          <w:rFonts w:ascii="Palatino Linotype" w:eastAsia="Palatino Linotype" w:hAnsi="Palatino Linotype" w:cs="Palatino Linotype"/>
          <w:color w:val="000000" w:themeColor="text1"/>
        </w:rPr>
        <w:t xml:space="preserve">, con fundamento en el artículo 181, tercer párrafo, de la Ley de Transparencia y Acceso a la Información Pública del Estado de México y Municipios se </w:t>
      </w:r>
      <w:r w:rsidRPr="00CC2284">
        <w:rPr>
          <w:rFonts w:ascii="Palatino Linotype" w:hAnsi="Palatino Linotype"/>
          <w:color w:val="000000" w:themeColor="text1"/>
        </w:rPr>
        <w:t>notificó</w:t>
      </w:r>
      <w:r w:rsidRPr="00CC2284">
        <w:rPr>
          <w:rFonts w:ascii="Palatino Linotype" w:eastAsia="Palatino Linotype" w:hAnsi="Palatino Linotype" w:cs="Palatino Linotype"/>
          <w:color w:val="000000" w:themeColor="text1"/>
        </w:rPr>
        <w:t xml:space="preserve"> que el plazo de treinta días para resolver el </w:t>
      </w:r>
      <w:r w:rsidR="00ED6C32" w:rsidRPr="00CC2284">
        <w:rPr>
          <w:rFonts w:ascii="Palatino Linotype" w:eastAsia="Palatino Linotype" w:hAnsi="Palatino Linotype" w:cs="Palatino Linotype"/>
          <w:color w:val="000000" w:themeColor="text1"/>
        </w:rPr>
        <w:t>Recurso de R</w:t>
      </w:r>
      <w:r w:rsidRPr="00CC2284">
        <w:rPr>
          <w:rFonts w:ascii="Palatino Linotype" w:eastAsia="Palatino Linotype" w:hAnsi="Palatino Linotype" w:cs="Palatino Linotype"/>
          <w:color w:val="000000" w:themeColor="text1"/>
        </w:rPr>
        <w:t>evisión sería ampliado por un periodo de quince días hábiles adicionales.</w:t>
      </w:r>
    </w:p>
    <w:p w14:paraId="70CF2FA6" w14:textId="77777777" w:rsidR="00CC2284" w:rsidRPr="00CC2284" w:rsidRDefault="00CC2284" w:rsidP="00CC2284">
      <w:pPr>
        <w:pStyle w:val="Prrafodelista"/>
        <w:spacing w:line="360" w:lineRule="auto"/>
        <w:ind w:left="0"/>
        <w:jc w:val="both"/>
        <w:rPr>
          <w:rFonts w:ascii="Palatino Linotype" w:eastAsia="Palatino Linotype" w:hAnsi="Palatino Linotype" w:cs="Palatino Linotype"/>
          <w:color w:val="000000" w:themeColor="text1"/>
        </w:rPr>
      </w:pPr>
    </w:p>
    <w:p w14:paraId="49962870" w14:textId="06907128" w:rsidR="006A284C" w:rsidRPr="00CC2284" w:rsidRDefault="006A284C" w:rsidP="00CC228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Este </w:t>
      </w:r>
      <w:r w:rsidR="006F721C" w:rsidRPr="00CC2284">
        <w:rPr>
          <w:rFonts w:ascii="Palatino Linotype" w:eastAsia="Palatino Linotype" w:hAnsi="Palatino Linotype" w:cs="Palatino Linotype"/>
          <w:color w:val="000000" w:themeColor="text1"/>
        </w:rPr>
        <w:t>O</w:t>
      </w:r>
      <w:r w:rsidRPr="00CC2284">
        <w:rPr>
          <w:rFonts w:ascii="Palatino Linotype" w:eastAsia="Palatino Linotype" w:hAnsi="Palatino Linotype" w:cs="Palatino Linotype"/>
          <w:color w:val="000000" w:themeColor="text1"/>
        </w:rPr>
        <w:t xml:space="preserve">rganismo </w:t>
      </w:r>
      <w:r w:rsidR="006F721C" w:rsidRPr="00CC2284">
        <w:rPr>
          <w:rFonts w:ascii="Palatino Linotype" w:eastAsia="Palatino Linotype" w:hAnsi="Palatino Linotype" w:cs="Palatino Linotype"/>
          <w:color w:val="000000" w:themeColor="text1"/>
        </w:rPr>
        <w:t>G</w:t>
      </w:r>
      <w:r w:rsidRPr="00CC2284">
        <w:rPr>
          <w:rFonts w:ascii="Palatino Linotype" w:eastAsia="Palatino Linotype" w:hAnsi="Palatino Linotype" w:cs="Palatino Linotype"/>
          <w:color w:val="000000" w:themeColor="text1"/>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10B3D130" w14:textId="77777777" w:rsidR="00C96D93" w:rsidRPr="00CC2284" w:rsidRDefault="00C96D93" w:rsidP="00CC2284">
      <w:pPr>
        <w:pStyle w:val="Prrafodelista"/>
        <w:spacing w:line="360" w:lineRule="auto"/>
        <w:ind w:left="0"/>
        <w:rPr>
          <w:rFonts w:ascii="Palatino Linotype" w:eastAsia="Palatino Linotype" w:hAnsi="Palatino Linotype" w:cs="Palatino Linotype"/>
          <w:color w:val="000000" w:themeColor="text1"/>
        </w:rPr>
      </w:pPr>
    </w:p>
    <w:p w14:paraId="7370C9C3" w14:textId="3DC363AB" w:rsidR="00CA3F0F" w:rsidRPr="00CC2284" w:rsidRDefault="00CA3F0F" w:rsidP="00CC228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lastRenderedPageBreak/>
        <w:t>Seguidamente</w:t>
      </w:r>
      <w:r w:rsidR="005F78BC" w:rsidRPr="00CC2284">
        <w:rPr>
          <w:rFonts w:ascii="Palatino Linotype" w:eastAsia="Palatino Linotype" w:hAnsi="Palatino Linotype" w:cs="Palatino Linotype"/>
          <w:color w:val="000000" w:themeColor="text1"/>
        </w:rPr>
        <w:t xml:space="preserve"> al no existir pendientes o diligencia por desahogar,</w:t>
      </w:r>
      <w:r w:rsidRPr="00CC2284">
        <w:rPr>
          <w:rFonts w:ascii="Palatino Linotype" w:eastAsia="Palatino Linotype" w:hAnsi="Palatino Linotype" w:cs="Palatino Linotype"/>
          <w:color w:val="000000" w:themeColor="text1"/>
        </w:rPr>
        <w:t xml:space="preserve"> mediante Acuerdo de </w:t>
      </w:r>
      <w:r w:rsidR="00C96D93" w:rsidRPr="00CC2284">
        <w:rPr>
          <w:rFonts w:ascii="Palatino Linotype" w:eastAsia="Palatino Linotype" w:hAnsi="Palatino Linotype" w:cs="Palatino Linotype"/>
          <w:color w:val="000000" w:themeColor="text1"/>
        </w:rPr>
        <w:t xml:space="preserve">fecha </w:t>
      </w:r>
      <w:r w:rsidR="00064D6B" w:rsidRPr="00CC2284">
        <w:rPr>
          <w:rFonts w:ascii="Palatino Linotype" w:eastAsia="Palatino Linotype" w:hAnsi="Palatino Linotype" w:cs="Palatino Linotype"/>
          <w:b/>
          <w:color w:val="000000" w:themeColor="text1"/>
        </w:rPr>
        <w:t>veintitrés</w:t>
      </w:r>
      <w:r w:rsidR="00C96D93" w:rsidRPr="00CC2284">
        <w:rPr>
          <w:rFonts w:ascii="Palatino Linotype" w:eastAsia="Palatino Linotype" w:hAnsi="Palatino Linotype" w:cs="Palatino Linotype"/>
          <w:b/>
          <w:color w:val="000000" w:themeColor="text1"/>
        </w:rPr>
        <w:t xml:space="preserve"> de septiembre del año en curso</w:t>
      </w:r>
      <w:r w:rsidR="009D3E7B" w:rsidRPr="00CC2284">
        <w:rPr>
          <w:rFonts w:ascii="Palatino Linotype" w:eastAsia="Palatino Linotype" w:hAnsi="Palatino Linotype" w:cs="Palatino Linotype"/>
          <w:color w:val="000000" w:themeColor="text1"/>
        </w:rPr>
        <w:t xml:space="preserve"> </w:t>
      </w:r>
      <w:r w:rsidR="00CE6F0C" w:rsidRPr="00CC2284">
        <w:rPr>
          <w:rFonts w:ascii="Palatino Linotype" w:eastAsia="Palatino Linotype" w:hAnsi="Palatino Linotype" w:cs="Palatino Linotype"/>
          <w:color w:val="000000" w:themeColor="text1"/>
        </w:rPr>
        <w:t xml:space="preserve">se </w:t>
      </w:r>
      <w:r w:rsidRPr="00CC2284">
        <w:rPr>
          <w:rFonts w:ascii="Palatino Linotype" w:eastAsia="Palatino Linotype" w:hAnsi="Palatino Linotype" w:cs="Palatino Linotype"/>
          <w:color w:val="000000" w:themeColor="text1"/>
        </w:rPr>
        <w:t xml:space="preserve">decretó el cierre de instrucción, por lo que: </w:t>
      </w:r>
    </w:p>
    <w:p w14:paraId="57D0B568" w14:textId="77777777" w:rsidR="003B2BC8" w:rsidRPr="00CC2284" w:rsidRDefault="003B2BC8" w:rsidP="00CC2284">
      <w:pPr>
        <w:pStyle w:val="Prrafodelista"/>
        <w:spacing w:line="360" w:lineRule="auto"/>
        <w:ind w:left="0"/>
        <w:jc w:val="both"/>
        <w:rPr>
          <w:rFonts w:ascii="Palatino Linotype" w:eastAsia="Palatino Linotype" w:hAnsi="Palatino Linotype" w:cs="Palatino Linotype"/>
          <w:color w:val="000000" w:themeColor="text1"/>
        </w:rPr>
      </w:pPr>
    </w:p>
    <w:p w14:paraId="6967D00B" w14:textId="26576E80" w:rsidR="00947C3B" w:rsidRPr="00CC2284" w:rsidRDefault="00947C3B" w:rsidP="00CC2284">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CC2284">
        <w:rPr>
          <w:rFonts w:ascii="Palatino Linotype" w:hAnsi="Palatino Linotype"/>
          <w:b/>
          <w:color w:val="000000" w:themeColor="text1"/>
          <w:sz w:val="24"/>
          <w:szCs w:val="24"/>
        </w:rPr>
        <w:t>C</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O</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N</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S</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I</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D</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E</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R</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A</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N</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D</w:t>
      </w:r>
      <w:r w:rsidR="00EF7B8A">
        <w:rPr>
          <w:rFonts w:ascii="Palatino Linotype" w:hAnsi="Palatino Linotype"/>
          <w:b/>
          <w:color w:val="000000" w:themeColor="text1"/>
          <w:sz w:val="24"/>
          <w:szCs w:val="24"/>
        </w:rPr>
        <w:t xml:space="preserve"> </w:t>
      </w:r>
      <w:r w:rsidRPr="00CC2284">
        <w:rPr>
          <w:rFonts w:ascii="Palatino Linotype" w:hAnsi="Palatino Linotype"/>
          <w:b/>
          <w:color w:val="000000" w:themeColor="text1"/>
          <w:sz w:val="24"/>
          <w:szCs w:val="24"/>
        </w:rPr>
        <w:t>O</w:t>
      </w:r>
      <w:bookmarkEnd w:id="63"/>
      <w:bookmarkEnd w:id="64"/>
      <w:r w:rsidR="00EF7B8A">
        <w:rPr>
          <w:rFonts w:ascii="Palatino Linotype" w:hAnsi="Palatino Linotype"/>
          <w:b/>
          <w:color w:val="000000" w:themeColor="text1"/>
          <w:sz w:val="24"/>
          <w:szCs w:val="24"/>
        </w:rPr>
        <w:t xml:space="preserve"> </w:t>
      </w:r>
    </w:p>
    <w:p w14:paraId="4EA515D4" w14:textId="77777777" w:rsidR="00947C3B" w:rsidRPr="00CC2284" w:rsidRDefault="00947C3B" w:rsidP="00CC2284">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CC2284" w:rsidRDefault="00947C3B" w:rsidP="00CC2284">
      <w:pPr>
        <w:pStyle w:val="Ttulo2"/>
        <w:spacing w:before="0" w:line="360" w:lineRule="auto"/>
        <w:rPr>
          <w:rFonts w:ascii="Palatino Linotype" w:hAnsi="Palatino Linotype"/>
          <w:b/>
          <w:color w:val="000000" w:themeColor="text1"/>
          <w:sz w:val="24"/>
          <w:szCs w:val="24"/>
        </w:rPr>
      </w:pPr>
      <w:r w:rsidRPr="00CC2284">
        <w:rPr>
          <w:rFonts w:ascii="Palatino Linotype" w:hAnsi="Palatino Linotype"/>
          <w:b/>
          <w:color w:val="000000" w:themeColor="text1"/>
          <w:sz w:val="24"/>
          <w:szCs w:val="24"/>
        </w:rPr>
        <w:t>PRIMERO. De la competencia</w:t>
      </w:r>
      <w:bookmarkEnd w:id="65"/>
      <w:bookmarkEnd w:id="66"/>
    </w:p>
    <w:p w14:paraId="66CA1126" w14:textId="31E37E13" w:rsidR="00947C3B" w:rsidRPr="00CC2284" w:rsidRDefault="009D3E7B" w:rsidP="00CC2284">
      <w:pPr>
        <w:pStyle w:val="Prrafodelista"/>
        <w:numPr>
          <w:ilvl w:val="0"/>
          <w:numId w:val="1"/>
        </w:numPr>
        <w:spacing w:line="360" w:lineRule="auto"/>
        <w:ind w:left="0" w:firstLine="0"/>
        <w:jc w:val="both"/>
        <w:rPr>
          <w:rFonts w:ascii="Palatino Linotype" w:hAnsi="Palatino Linotype"/>
          <w:color w:val="000000" w:themeColor="text1"/>
        </w:rPr>
      </w:pPr>
      <w:r w:rsidRPr="00CC228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CC2284">
        <w:rPr>
          <w:rFonts w:ascii="Palatino Linotype" w:eastAsia="Palatino Linotype" w:hAnsi="Palatino Linotype" w:cs="Palatino Linotype"/>
          <w:color w:val="000000" w:themeColor="text1"/>
        </w:rPr>
        <w:t>trigésimo</w:t>
      </w:r>
      <w:r w:rsidRPr="00CC2284">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CC2284" w:rsidRDefault="00C47088" w:rsidP="00CC2284">
      <w:pPr>
        <w:spacing w:line="360" w:lineRule="auto"/>
        <w:contextualSpacing/>
        <w:jc w:val="both"/>
        <w:rPr>
          <w:rFonts w:ascii="Palatino Linotype" w:hAnsi="Palatino Linotype"/>
          <w:color w:val="000000" w:themeColor="text1"/>
        </w:rPr>
      </w:pPr>
    </w:p>
    <w:p w14:paraId="4678A3EE" w14:textId="1F5DA7A0" w:rsidR="00947C3B" w:rsidRPr="00CC2284" w:rsidRDefault="00947C3B" w:rsidP="00CC2284">
      <w:pPr>
        <w:spacing w:line="360" w:lineRule="auto"/>
        <w:contextualSpacing/>
        <w:jc w:val="both"/>
        <w:rPr>
          <w:rFonts w:ascii="Palatino Linotype" w:hAnsi="Palatino Linotype"/>
          <w:b/>
          <w:color w:val="000000" w:themeColor="text1"/>
        </w:rPr>
      </w:pPr>
      <w:r w:rsidRPr="00CC2284">
        <w:rPr>
          <w:rFonts w:ascii="Palatino Linotype" w:hAnsi="Palatino Linotype"/>
          <w:color w:val="000000" w:themeColor="text1"/>
        </w:rPr>
        <w:t xml:space="preserve"> </w:t>
      </w:r>
      <w:bookmarkStart w:id="67" w:name="_Toc491791304"/>
      <w:bookmarkStart w:id="68" w:name="_Toc83128580"/>
      <w:r w:rsidRPr="00CC2284">
        <w:rPr>
          <w:rFonts w:ascii="Palatino Linotype" w:hAnsi="Palatino Linotype"/>
          <w:b/>
          <w:color w:val="000000" w:themeColor="text1"/>
        </w:rPr>
        <w:t>SEGUNDO. De la oportunidad y procedencia.</w:t>
      </w:r>
      <w:bookmarkEnd w:id="67"/>
      <w:bookmarkEnd w:id="68"/>
    </w:p>
    <w:p w14:paraId="60E72AD3" w14:textId="77777777" w:rsidR="00A72EED" w:rsidRPr="00CC2284" w:rsidRDefault="00A72EED" w:rsidP="00CC2284">
      <w:pPr>
        <w:numPr>
          <w:ilvl w:val="0"/>
          <w:numId w:val="1"/>
        </w:numPr>
        <w:spacing w:line="360" w:lineRule="auto"/>
        <w:ind w:left="0" w:firstLine="0"/>
        <w:contextualSpacing/>
        <w:jc w:val="both"/>
        <w:rPr>
          <w:rFonts w:ascii="Palatino Linotype" w:hAnsi="Palatino Linotype"/>
          <w:color w:val="000000" w:themeColor="text1"/>
        </w:rPr>
      </w:pPr>
      <w:r w:rsidRPr="00CC2284">
        <w:rPr>
          <w:rFonts w:ascii="Palatino Linotype" w:eastAsia="Calibri" w:hAnsi="Palatino Linotype" w:cs="Arial"/>
          <w:color w:val="000000" w:themeColor="text1"/>
        </w:rPr>
        <w:t xml:space="preserve">Este Órgano Garante considera que el medio de impugnación reúne los requisitos de procedencia </w:t>
      </w:r>
      <w:r w:rsidRPr="00CC2284">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CC2284">
        <w:rPr>
          <w:rFonts w:ascii="Palatino Linotype" w:eastAsia="Calibri" w:hAnsi="Palatino Linotype" w:cs="Tahoma"/>
          <w:b/>
          <w:color w:val="000000" w:themeColor="text1"/>
          <w:lang w:eastAsia="es-MX"/>
        </w:rPr>
        <w:t>LA RECURRENTE</w:t>
      </w:r>
      <w:r w:rsidRPr="00CC2284">
        <w:rPr>
          <w:rFonts w:ascii="Palatino Linotype" w:eastAsia="Calibri" w:hAnsi="Palatino Linotype" w:cs="Tahoma"/>
          <w:color w:val="000000" w:themeColor="text1"/>
          <w:lang w:eastAsia="es-MX"/>
        </w:rPr>
        <w:t xml:space="preserve"> ante otra instancia.</w:t>
      </w:r>
    </w:p>
    <w:p w14:paraId="1C46471B" w14:textId="77777777" w:rsidR="008A5B46" w:rsidRPr="00CC2284" w:rsidRDefault="008A5B46"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lastRenderedPageBreak/>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CC2284">
        <w:rPr>
          <w:rFonts w:ascii="Palatino Linotype" w:eastAsia="Calibri" w:hAnsi="Palatino Linotype" w:cs="Arial"/>
          <w:color w:val="000000" w:themeColor="text1"/>
        </w:rPr>
        <w:t>archivar</w:t>
      </w:r>
      <w:r w:rsidRPr="00CC2284">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CC2284" w:rsidRDefault="008A5B46"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w:t>
      </w:r>
      <w:r w:rsidRPr="00CC2284">
        <w:rPr>
          <w:rFonts w:ascii="Palatino Linotype" w:eastAsia="Palatino Linotype" w:hAnsi="Palatino Linotype" w:cs="Palatino Linotype"/>
          <w:b/>
          <w:i/>
          <w:color w:val="000000" w:themeColor="text1"/>
        </w:rPr>
        <w:t>Las solicitudes anónimas</w:t>
      </w:r>
      <w:r w:rsidRPr="00CC2284">
        <w:rPr>
          <w:rFonts w:ascii="Palatino Linotype" w:eastAsia="Palatino Linotype" w:hAnsi="Palatino Linotype" w:cs="Palatino Linotype"/>
          <w:i/>
          <w:color w:val="000000" w:themeColor="text1"/>
        </w:rPr>
        <w:t xml:space="preserve">, con nombre incompleto o seudónimo </w:t>
      </w:r>
      <w:r w:rsidRPr="00CC2284">
        <w:rPr>
          <w:rFonts w:ascii="Palatino Linotype" w:eastAsia="Palatino Linotype" w:hAnsi="Palatino Linotype" w:cs="Palatino Linotype"/>
          <w:b/>
          <w:i/>
          <w:color w:val="000000" w:themeColor="text1"/>
        </w:rPr>
        <w:t>serán procedentes para su trámite por parte del sujeto obligado ante quien se presente</w:t>
      </w:r>
      <w:r w:rsidRPr="00CC2284">
        <w:rPr>
          <w:rFonts w:ascii="Palatino Linotype" w:eastAsia="Palatino Linotype" w:hAnsi="Palatino Linotype" w:cs="Palatino Linotype"/>
          <w:i/>
          <w:color w:val="000000" w:themeColor="text1"/>
        </w:rPr>
        <w:t>. No podrá requerirse información adicional con motivo del nombre proporcionado por el solicitante."</w:t>
      </w:r>
    </w:p>
    <w:p w14:paraId="0CA475C2" w14:textId="77777777" w:rsidR="008A5B46" w:rsidRPr="00CC2284" w:rsidRDefault="008A5B46" w:rsidP="00CC2284">
      <w:pPr>
        <w:spacing w:line="360" w:lineRule="auto"/>
        <w:rPr>
          <w:rFonts w:ascii="Palatino Linotype" w:eastAsia="Calibri" w:hAnsi="Palatino Linotype" w:cs="Arial"/>
          <w:color w:val="000000" w:themeColor="text1"/>
        </w:rPr>
      </w:pPr>
    </w:p>
    <w:p w14:paraId="2D05FE01" w14:textId="77777777" w:rsidR="00A72EED" w:rsidRPr="00CC2284" w:rsidRDefault="00A72EED" w:rsidP="00CC2284">
      <w:pPr>
        <w:numPr>
          <w:ilvl w:val="0"/>
          <w:numId w:val="1"/>
        </w:numPr>
        <w:spacing w:line="360" w:lineRule="auto"/>
        <w:ind w:left="0" w:firstLine="0"/>
        <w:contextualSpacing/>
        <w:jc w:val="both"/>
        <w:rPr>
          <w:rFonts w:ascii="Palatino Linotype" w:eastAsia="Calibri" w:hAnsi="Palatino Linotype" w:cs="Arial"/>
          <w:color w:val="000000" w:themeColor="text1"/>
        </w:rPr>
      </w:pPr>
      <w:r w:rsidRPr="00CC2284">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CC2284" w:rsidRDefault="00ED6C32" w:rsidP="00CC2284">
      <w:pPr>
        <w:spacing w:line="360" w:lineRule="auto"/>
        <w:contextualSpacing/>
        <w:jc w:val="both"/>
        <w:rPr>
          <w:rFonts w:ascii="Palatino Linotype" w:eastAsia="Calibri" w:hAnsi="Palatino Linotype" w:cs="Arial"/>
          <w:color w:val="000000" w:themeColor="text1"/>
        </w:rPr>
      </w:pPr>
    </w:p>
    <w:p w14:paraId="016C3D4C" w14:textId="77777777" w:rsidR="00947C3B" w:rsidRPr="00CC2284" w:rsidRDefault="00947C3B" w:rsidP="00CC2284">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CC2284">
        <w:rPr>
          <w:rFonts w:ascii="Palatino Linotype" w:hAnsi="Palatino Linotype"/>
          <w:b/>
          <w:color w:val="000000" w:themeColor="text1"/>
          <w:sz w:val="24"/>
          <w:szCs w:val="24"/>
        </w:rPr>
        <w:t xml:space="preserve">TERCERO. </w:t>
      </w:r>
      <w:bookmarkEnd w:id="69"/>
      <w:bookmarkEnd w:id="70"/>
      <w:bookmarkEnd w:id="71"/>
      <w:bookmarkEnd w:id="72"/>
      <w:r w:rsidRPr="00CC2284">
        <w:rPr>
          <w:rFonts w:ascii="Palatino Linotype" w:hAnsi="Palatino Linotype"/>
          <w:b/>
          <w:color w:val="000000" w:themeColor="text1"/>
          <w:sz w:val="24"/>
          <w:szCs w:val="24"/>
        </w:rPr>
        <w:t>Del planteamiento de la</w:t>
      </w:r>
      <w:r w:rsidRPr="00CC2284">
        <w:rPr>
          <w:rFonts w:ascii="Palatino Linotype" w:hAnsi="Palatino Linotype"/>
          <w:b/>
          <w:i/>
          <w:color w:val="000000" w:themeColor="text1"/>
          <w:sz w:val="24"/>
          <w:szCs w:val="24"/>
        </w:rPr>
        <w:t xml:space="preserve"> Litis</w:t>
      </w:r>
    </w:p>
    <w:p w14:paraId="0E599386" w14:textId="45F0EF7D" w:rsidR="00947C3B" w:rsidRPr="00CC2284" w:rsidRDefault="00947C3B" w:rsidP="00CC2284">
      <w:pPr>
        <w:pStyle w:val="Prrafodelista"/>
        <w:numPr>
          <w:ilvl w:val="0"/>
          <w:numId w:val="1"/>
        </w:numPr>
        <w:spacing w:line="360" w:lineRule="auto"/>
        <w:ind w:left="0" w:firstLine="0"/>
        <w:jc w:val="both"/>
        <w:rPr>
          <w:rFonts w:ascii="Palatino Linotype" w:hAnsi="Palatino Linotype" w:cs="Arial"/>
          <w:color w:val="000000" w:themeColor="text1"/>
        </w:rPr>
      </w:pPr>
      <w:r w:rsidRPr="00CC2284">
        <w:rPr>
          <w:rFonts w:ascii="Palatino Linotype" w:hAnsi="Palatino Linotype" w:cs="Arial"/>
          <w:color w:val="000000" w:themeColor="text1"/>
        </w:rPr>
        <w:t xml:space="preserve">Se </w:t>
      </w:r>
      <w:r w:rsidRPr="00CC2284">
        <w:rPr>
          <w:rFonts w:ascii="Palatino Linotype" w:eastAsia="Calibri" w:hAnsi="Palatino Linotype" w:cs="Arial"/>
          <w:color w:val="000000" w:themeColor="text1"/>
        </w:rPr>
        <w:t>solicitó</w:t>
      </w:r>
      <w:r w:rsidRPr="00CC2284">
        <w:rPr>
          <w:rFonts w:ascii="Palatino Linotype" w:hAnsi="Palatino Linotype" w:cs="Arial"/>
          <w:color w:val="000000" w:themeColor="text1"/>
        </w:rPr>
        <w:t xml:space="preserve"> tener acceso, a la información</w:t>
      </w:r>
      <w:r w:rsidR="00432F10" w:rsidRPr="00CC2284">
        <w:rPr>
          <w:rFonts w:ascii="Palatino Linotype" w:hAnsi="Palatino Linotype" w:cs="Arial"/>
          <w:color w:val="000000" w:themeColor="text1"/>
        </w:rPr>
        <w:t xml:space="preserve"> que a continuación se desagrega:</w:t>
      </w:r>
    </w:p>
    <w:p w14:paraId="50B283C5" w14:textId="77777777" w:rsidR="004D0A62" w:rsidRPr="00CC2284" w:rsidRDefault="00064D6B" w:rsidP="00EF7B8A">
      <w:pPr>
        <w:pStyle w:val="Prrafodelista"/>
        <w:numPr>
          <w:ilvl w:val="0"/>
          <w:numId w:val="2"/>
        </w:numPr>
        <w:spacing w:line="360" w:lineRule="auto"/>
        <w:ind w:left="0" w:firstLine="0"/>
        <w:jc w:val="both"/>
        <w:rPr>
          <w:rFonts w:ascii="Palatino Linotype" w:hAnsi="Palatino Linotype" w:cs="Arial"/>
          <w:b/>
          <w:color w:val="000000" w:themeColor="text1"/>
        </w:rPr>
      </w:pPr>
      <w:r w:rsidRPr="00CC2284">
        <w:rPr>
          <w:rFonts w:ascii="Palatino Linotype" w:hAnsi="Palatino Linotype" w:cs="Arial"/>
          <w:b/>
          <w:color w:val="000000" w:themeColor="text1"/>
        </w:rPr>
        <w:t xml:space="preserve">Contratos que el </w:t>
      </w:r>
      <w:r w:rsidR="004D0A62" w:rsidRPr="00CC2284">
        <w:rPr>
          <w:rFonts w:ascii="Palatino Linotype" w:hAnsi="Palatino Linotype" w:cs="Arial"/>
          <w:b/>
          <w:color w:val="000000" w:themeColor="text1"/>
        </w:rPr>
        <w:t>Gobierno Municipal de Toluca ha</w:t>
      </w:r>
      <w:r w:rsidRPr="00CC2284">
        <w:rPr>
          <w:rFonts w:ascii="Palatino Linotype" w:hAnsi="Palatino Linotype" w:cs="Arial"/>
          <w:b/>
          <w:color w:val="000000" w:themeColor="text1"/>
        </w:rPr>
        <w:t xml:space="preserve"> celebrado para la compra y/o arrendamiento de equipo </w:t>
      </w:r>
      <w:r w:rsidR="004D0A62" w:rsidRPr="00CC2284">
        <w:rPr>
          <w:rFonts w:ascii="Palatino Linotype" w:hAnsi="Palatino Linotype" w:cs="Arial"/>
          <w:b/>
          <w:color w:val="000000" w:themeColor="text1"/>
        </w:rPr>
        <w:t xml:space="preserve">policial, cámaras, torre de vigilancia, vehículos, motocicletas, postes, uniformes, mantenimiento, entre otros, </w:t>
      </w:r>
      <w:r w:rsidRPr="00CC2284">
        <w:rPr>
          <w:rFonts w:ascii="Palatino Linotype" w:hAnsi="Palatino Linotype" w:cs="Arial"/>
          <w:b/>
          <w:color w:val="000000" w:themeColor="text1"/>
        </w:rPr>
        <w:t xml:space="preserve">para la Comisaría General de Seguridad Pública y </w:t>
      </w:r>
      <w:r w:rsidR="004D0A62" w:rsidRPr="00CC2284">
        <w:rPr>
          <w:rFonts w:ascii="Palatino Linotype" w:hAnsi="Palatino Linotype" w:cs="Arial"/>
          <w:b/>
          <w:color w:val="000000" w:themeColor="text1"/>
        </w:rPr>
        <w:t xml:space="preserve">en la pasada y actual administración pública municipal. </w:t>
      </w:r>
      <w:r w:rsidRPr="00CC2284">
        <w:rPr>
          <w:rFonts w:ascii="Palatino Linotype" w:hAnsi="Palatino Linotype" w:cs="Arial"/>
          <w:b/>
          <w:color w:val="000000" w:themeColor="text1"/>
        </w:rPr>
        <w:t>Especificando características, costos, forma de adquisición, contratos, inventario en el que se especifique lugar de asignación y estado en el que se encuentra.</w:t>
      </w:r>
    </w:p>
    <w:p w14:paraId="446352D5" w14:textId="77777777" w:rsidR="004D0A62" w:rsidRPr="00CC2284" w:rsidRDefault="004D0A62" w:rsidP="00EF7B8A">
      <w:pPr>
        <w:pStyle w:val="Prrafodelista"/>
        <w:numPr>
          <w:ilvl w:val="0"/>
          <w:numId w:val="2"/>
        </w:numPr>
        <w:spacing w:line="360" w:lineRule="auto"/>
        <w:ind w:left="0" w:firstLine="0"/>
        <w:jc w:val="both"/>
        <w:rPr>
          <w:rFonts w:ascii="Palatino Linotype" w:hAnsi="Palatino Linotype" w:cs="Arial"/>
          <w:b/>
          <w:color w:val="000000" w:themeColor="text1"/>
        </w:rPr>
      </w:pPr>
      <w:r w:rsidRPr="00CC2284">
        <w:rPr>
          <w:rFonts w:ascii="Palatino Linotype" w:hAnsi="Palatino Linotype" w:cs="Arial"/>
          <w:b/>
          <w:color w:val="000000" w:themeColor="text1"/>
        </w:rPr>
        <w:lastRenderedPageBreak/>
        <w:t>Asimismo,</w:t>
      </w:r>
      <w:r w:rsidR="00064D6B" w:rsidRPr="00CC2284">
        <w:rPr>
          <w:rFonts w:ascii="Palatino Linotype" w:hAnsi="Palatino Linotype" w:cs="Arial"/>
          <w:b/>
          <w:color w:val="000000" w:themeColor="text1"/>
        </w:rPr>
        <w:t xml:space="preserve"> </w:t>
      </w:r>
      <w:r w:rsidRPr="00CC2284">
        <w:rPr>
          <w:rFonts w:ascii="Palatino Linotype" w:hAnsi="Palatino Linotype" w:cs="Arial"/>
          <w:b/>
          <w:color w:val="000000" w:themeColor="text1"/>
        </w:rPr>
        <w:t>l</w:t>
      </w:r>
      <w:r w:rsidR="00064D6B" w:rsidRPr="00CC2284">
        <w:rPr>
          <w:rFonts w:ascii="Palatino Linotype" w:hAnsi="Palatino Linotype" w:cs="Arial"/>
          <w:b/>
          <w:color w:val="000000" w:themeColor="text1"/>
        </w:rPr>
        <w:t>a solicitud del área o justificación para llevar a cabo la adquisic</w:t>
      </w:r>
      <w:r w:rsidRPr="00CC2284">
        <w:rPr>
          <w:rFonts w:ascii="Palatino Linotype" w:hAnsi="Palatino Linotype" w:cs="Arial"/>
          <w:b/>
          <w:color w:val="000000" w:themeColor="text1"/>
        </w:rPr>
        <w:t>ión de bienes o contratación;</w:t>
      </w:r>
      <w:r w:rsidR="00064D6B" w:rsidRPr="00CC2284">
        <w:rPr>
          <w:rFonts w:ascii="Palatino Linotype" w:hAnsi="Palatino Linotype" w:cs="Arial"/>
          <w:b/>
          <w:color w:val="000000" w:themeColor="text1"/>
        </w:rPr>
        <w:t xml:space="preserve"> Convocatoria</w:t>
      </w:r>
      <w:r w:rsidRPr="00CC2284">
        <w:rPr>
          <w:rFonts w:ascii="Palatino Linotype" w:hAnsi="Palatino Linotype" w:cs="Arial"/>
          <w:b/>
          <w:color w:val="000000" w:themeColor="text1"/>
        </w:rPr>
        <w:t xml:space="preserve">; </w:t>
      </w:r>
      <w:r w:rsidR="00064D6B" w:rsidRPr="00CC2284">
        <w:rPr>
          <w:rFonts w:ascii="Palatino Linotype" w:hAnsi="Palatino Linotype" w:cs="Arial"/>
          <w:b/>
          <w:color w:val="000000" w:themeColor="text1"/>
        </w:rPr>
        <w:t>Recibos de pago de los participantes en la licitación</w:t>
      </w:r>
      <w:r w:rsidRPr="00CC2284">
        <w:rPr>
          <w:rFonts w:ascii="Palatino Linotype" w:hAnsi="Palatino Linotype" w:cs="Arial"/>
          <w:b/>
          <w:color w:val="000000" w:themeColor="text1"/>
        </w:rPr>
        <w:t>;</w:t>
      </w:r>
      <w:r w:rsidR="00064D6B" w:rsidRPr="00CC2284">
        <w:rPr>
          <w:rFonts w:ascii="Palatino Linotype" w:hAnsi="Palatino Linotype" w:cs="Arial"/>
          <w:b/>
          <w:color w:val="000000" w:themeColor="text1"/>
        </w:rPr>
        <w:t xml:space="preserve"> Expedientes recabados y completos de las empresas participantes</w:t>
      </w:r>
      <w:r w:rsidRPr="00CC2284">
        <w:rPr>
          <w:rFonts w:ascii="Palatino Linotype" w:hAnsi="Palatino Linotype" w:cs="Arial"/>
          <w:b/>
          <w:color w:val="000000" w:themeColor="text1"/>
        </w:rPr>
        <w:t>;</w:t>
      </w:r>
      <w:r w:rsidR="00064D6B" w:rsidRPr="00CC2284">
        <w:rPr>
          <w:rFonts w:ascii="Palatino Linotype" w:hAnsi="Palatino Linotype" w:cs="Arial"/>
          <w:b/>
          <w:color w:val="000000" w:themeColor="text1"/>
        </w:rPr>
        <w:t xml:space="preserve"> Listas de asistencia y registros de los p</w:t>
      </w:r>
      <w:r w:rsidRPr="00CC2284">
        <w:rPr>
          <w:rFonts w:ascii="Palatino Linotype" w:hAnsi="Palatino Linotype" w:cs="Arial"/>
          <w:b/>
          <w:color w:val="000000" w:themeColor="text1"/>
        </w:rPr>
        <w:t>articipantes; Bases; Invitaciones;</w:t>
      </w:r>
      <w:r w:rsidR="00064D6B" w:rsidRPr="00CC2284">
        <w:rPr>
          <w:rFonts w:ascii="Palatino Linotype" w:hAnsi="Palatino Linotype" w:cs="Arial"/>
          <w:b/>
          <w:color w:val="000000" w:themeColor="text1"/>
        </w:rPr>
        <w:t xml:space="preserve"> Tipo de fondo o recurso (F</w:t>
      </w:r>
      <w:r w:rsidRPr="00CC2284">
        <w:rPr>
          <w:rFonts w:ascii="Palatino Linotype" w:hAnsi="Palatino Linotype" w:cs="Arial"/>
          <w:b/>
          <w:color w:val="000000" w:themeColor="text1"/>
        </w:rPr>
        <w:t>ederal, Estatal o Municipal);</w:t>
      </w:r>
      <w:r w:rsidR="00064D6B" w:rsidRPr="00CC2284">
        <w:rPr>
          <w:rFonts w:ascii="Palatino Linotype" w:hAnsi="Palatino Linotype" w:cs="Arial"/>
          <w:b/>
          <w:color w:val="000000" w:themeColor="text1"/>
        </w:rPr>
        <w:t xml:space="preserve"> Fallo</w:t>
      </w:r>
      <w:r w:rsidRPr="00CC2284">
        <w:rPr>
          <w:rFonts w:ascii="Palatino Linotype" w:hAnsi="Palatino Linotype" w:cs="Arial"/>
          <w:b/>
          <w:color w:val="000000" w:themeColor="text1"/>
        </w:rPr>
        <w:t>; y</w:t>
      </w:r>
    </w:p>
    <w:p w14:paraId="752B54B3" w14:textId="4D6484F7" w:rsidR="00E0091E" w:rsidRPr="00CC2284" w:rsidRDefault="00064D6B" w:rsidP="00EF7B8A">
      <w:pPr>
        <w:pStyle w:val="Prrafodelista"/>
        <w:numPr>
          <w:ilvl w:val="0"/>
          <w:numId w:val="2"/>
        </w:numPr>
        <w:spacing w:line="360" w:lineRule="auto"/>
        <w:ind w:left="0" w:firstLine="0"/>
        <w:jc w:val="both"/>
        <w:rPr>
          <w:rFonts w:ascii="Palatino Linotype" w:hAnsi="Palatino Linotype" w:cs="Arial"/>
          <w:b/>
          <w:color w:val="000000" w:themeColor="text1"/>
        </w:rPr>
      </w:pPr>
      <w:r w:rsidRPr="00CC2284">
        <w:rPr>
          <w:rFonts w:ascii="Palatino Linotype" w:hAnsi="Palatino Linotype" w:cs="Arial"/>
          <w:b/>
          <w:color w:val="000000" w:themeColor="text1"/>
        </w:rPr>
        <w:t>Expedientes laborales del Titular de la Comisaría General de Seguridad Pública y Tránsito Municipal (Comisario) y Subdirectores de la misma.</w:t>
      </w:r>
    </w:p>
    <w:p w14:paraId="2A7877D4" w14:textId="77777777" w:rsidR="00436406" w:rsidRPr="00CC2284" w:rsidRDefault="00436406" w:rsidP="00CC2284">
      <w:pPr>
        <w:spacing w:line="360" w:lineRule="auto"/>
        <w:jc w:val="both"/>
        <w:rPr>
          <w:rFonts w:ascii="Palatino Linotype" w:hAnsi="Palatino Linotype" w:cs="Arial"/>
          <w:b/>
          <w:color w:val="000000" w:themeColor="text1"/>
        </w:rPr>
      </w:pPr>
    </w:p>
    <w:p w14:paraId="08D07717" w14:textId="326A3FF3" w:rsidR="00947C3B" w:rsidRPr="00CC2284" w:rsidRDefault="00947C3B" w:rsidP="00CC2284">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CC2284">
        <w:rPr>
          <w:rFonts w:ascii="Palatino Linotype" w:hAnsi="Palatino Linotype" w:cs="Arial"/>
          <w:color w:val="000000" w:themeColor="text1"/>
        </w:rPr>
        <w:t xml:space="preserve">En respuesta, el </w:t>
      </w:r>
      <w:r w:rsidRPr="00CC2284">
        <w:rPr>
          <w:rFonts w:ascii="Palatino Linotype" w:hAnsi="Palatino Linotype" w:cs="Arial"/>
          <w:b/>
          <w:color w:val="000000" w:themeColor="text1"/>
        </w:rPr>
        <w:t xml:space="preserve">SUJETO OBLIGADO </w:t>
      </w:r>
      <w:r w:rsidR="007B20F5" w:rsidRPr="00CC2284">
        <w:rPr>
          <w:rFonts w:ascii="Palatino Linotype" w:hAnsi="Palatino Linotype" w:cs="Arial"/>
          <w:color w:val="000000" w:themeColor="text1"/>
        </w:rPr>
        <w:t xml:space="preserve">remitió </w:t>
      </w:r>
      <w:r w:rsidR="00822FD3" w:rsidRPr="00CC2284">
        <w:rPr>
          <w:rFonts w:ascii="Palatino Linotype" w:hAnsi="Palatino Linotype" w:cs="Arial"/>
          <w:color w:val="000000" w:themeColor="text1"/>
        </w:rPr>
        <w:t>l</w:t>
      </w:r>
      <w:r w:rsidR="006C4519" w:rsidRPr="00CC2284">
        <w:rPr>
          <w:rFonts w:ascii="Palatino Linotype" w:hAnsi="Palatino Linotype" w:cs="Arial"/>
          <w:color w:val="000000" w:themeColor="text1"/>
        </w:rPr>
        <w:t>os</w:t>
      </w:r>
      <w:r w:rsidR="003C7116" w:rsidRPr="00CC2284">
        <w:rPr>
          <w:rFonts w:ascii="Palatino Linotype" w:hAnsi="Palatino Linotype" w:cs="Arial"/>
          <w:color w:val="000000" w:themeColor="text1"/>
        </w:rPr>
        <w:t xml:space="preserve"> archivo</w:t>
      </w:r>
      <w:r w:rsidR="006C4519" w:rsidRPr="00CC2284">
        <w:rPr>
          <w:rFonts w:ascii="Palatino Linotype" w:hAnsi="Palatino Linotype" w:cs="Arial"/>
          <w:color w:val="000000" w:themeColor="text1"/>
        </w:rPr>
        <w:t>s</w:t>
      </w:r>
      <w:r w:rsidR="00CF045D" w:rsidRPr="00CC2284">
        <w:rPr>
          <w:rFonts w:ascii="Palatino Linotype" w:hAnsi="Palatino Linotype" w:cs="Arial"/>
          <w:color w:val="000000" w:themeColor="text1"/>
        </w:rPr>
        <w:t xml:space="preserve"> ya descrito</w:t>
      </w:r>
      <w:r w:rsidR="006C4519" w:rsidRPr="00CC2284">
        <w:rPr>
          <w:rFonts w:ascii="Palatino Linotype" w:hAnsi="Palatino Linotype" w:cs="Arial"/>
          <w:color w:val="000000" w:themeColor="text1"/>
        </w:rPr>
        <w:t>s</w:t>
      </w:r>
      <w:r w:rsidR="00B77121" w:rsidRPr="00CC2284">
        <w:rPr>
          <w:rFonts w:ascii="Palatino Linotype" w:hAnsi="Palatino Linotype" w:cs="Arial"/>
          <w:color w:val="000000" w:themeColor="text1"/>
        </w:rPr>
        <w:t xml:space="preserve"> en el </w:t>
      </w:r>
      <w:r w:rsidR="00B77121" w:rsidRPr="00CC2284">
        <w:rPr>
          <w:rFonts w:ascii="Palatino Linotype" w:eastAsia="Calibri" w:hAnsi="Palatino Linotype" w:cs="Arial"/>
          <w:color w:val="000000" w:themeColor="text1"/>
        </w:rPr>
        <w:t>anterior</w:t>
      </w:r>
      <w:r w:rsidR="00B77121" w:rsidRPr="00CC2284">
        <w:rPr>
          <w:rFonts w:ascii="Palatino Linotype" w:hAnsi="Palatino Linotype" w:cs="Arial"/>
          <w:color w:val="000000" w:themeColor="text1"/>
        </w:rPr>
        <w:t xml:space="preserve"> Párrafo 2; n</w:t>
      </w:r>
      <w:r w:rsidR="008A7A76" w:rsidRPr="00CC2284">
        <w:rPr>
          <w:rFonts w:ascii="Palatino Linotype" w:eastAsia="MS Mincho" w:hAnsi="Palatino Linotype" w:cs="Arial"/>
          <w:color w:val="000000" w:themeColor="text1"/>
        </w:rPr>
        <w:t>o obstante el particular se inconform</w:t>
      </w:r>
      <w:r w:rsidR="003C7116" w:rsidRPr="00CC2284">
        <w:rPr>
          <w:rFonts w:ascii="Palatino Linotype" w:eastAsia="MS Mincho" w:hAnsi="Palatino Linotype" w:cs="Arial"/>
          <w:color w:val="000000" w:themeColor="text1"/>
        </w:rPr>
        <w:t>ó</w:t>
      </w:r>
      <w:r w:rsidR="000E6238" w:rsidRPr="00CC2284">
        <w:rPr>
          <w:rFonts w:ascii="Palatino Linotype" w:eastAsia="MS Mincho" w:hAnsi="Palatino Linotype" w:cs="Arial"/>
          <w:color w:val="000000" w:themeColor="text1"/>
        </w:rPr>
        <w:t xml:space="preserve">, </w:t>
      </w:r>
      <w:r w:rsidR="003C7116" w:rsidRPr="00CC2284">
        <w:rPr>
          <w:rFonts w:ascii="Palatino Linotype" w:eastAsia="MS Mincho" w:hAnsi="Palatino Linotype" w:cs="Arial"/>
          <w:color w:val="000000" w:themeColor="text1"/>
        </w:rPr>
        <w:t xml:space="preserve">por </w:t>
      </w:r>
      <w:r w:rsidR="00B70988" w:rsidRPr="00CC2284">
        <w:rPr>
          <w:rFonts w:ascii="Palatino Linotype" w:eastAsia="MS Mincho" w:hAnsi="Palatino Linotype" w:cs="Arial"/>
          <w:color w:val="000000" w:themeColor="text1"/>
        </w:rPr>
        <w:t xml:space="preserve">la </w:t>
      </w:r>
      <w:r w:rsidR="008E2C92" w:rsidRPr="00CC2284">
        <w:rPr>
          <w:rFonts w:ascii="Palatino Linotype" w:eastAsia="MS Mincho" w:hAnsi="Palatino Linotype" w:cs="Arial"/>
          <w:color w:val="000000" w:themeColor="text1"/>
        </w:rPr>
        <w:t>negativa a la entrega de la información</w:t>
      </w:r>
      <w:r w:rsidR="000E6238" w:rsidRPr="00CC2284">
        <w:rPr>
          <w:rFonts w:ascii="Palatino Linotype" w:eastAsia="MS Mincho" w:hAnsi="Palatino Linotype" w:cs="Arial"/>
          <w:color w:val="000000" w:themeColor="text1"/>
        </w:rPr>
        <w:t>; e</w:t>
      </w:r>
      <w:r w:rsidRPr="00CC2284">
        <w:rPr>
          <w:rFonts w:ascii="Palatino Linotype" w:eastAsia="MS Mincho" w:hAnsi="Palatino Linotype" w:cs="Arial"/>
          <w:color w:val="000000" w:themeColor="text1"/>
        </w:rPr>
        <w:t xml:space="preserve">n </w:t>
      </w:r>
      <w:r w:rsidRPr="00CC2284">
        <w:rPr>
          <w:rFonts w:ascii="Palatino Linotype" w:hAnsi="Palatino Linotype" w:cs="Arial"/>
          <w:color w:val="000000" w:themeColor="text1"/>
          <w:lang w:eastAsia="es-MX"/>
        </w:rPr>
        <w:t>dichas</w:t>
      </w:r>
      <w:r w:rsidRPr="00CC2284">
        <w:rPr>
          <w:rFonts w:ascii="Palatino Linotype" w:eastAsia="Times New Roman" w:hAnsi="Palatino Linotype" w:cs="Arial"/>
          <w:color w:val="000000" w:themeColor="text1"/>
        </w:rPr>
        <w:t xml:space="preserve"> condiciones, la </w:t>
      </w:r>
      <w:r w:rsidRPr="00CC2284">
        <w:rPr>
          <w:rFonts w:ascii="Palatino Linotype" w:eastAsia="Times New Roman" w:hAnsi="Palatino Linotype" w:cs="Arial"/>
          <w:i/>
          <w:color w:val="000000" w:themeColor="text1"/>
        </w:rPr>
        <w:t>Litis</w:t>
      </w:r>
      <w:r w:rsidR="003C4C55" w:rsidRPr="00CC2284">
        <w:rPr>
          <w:rFonts w:ascii="Palatino Linotype" w:eastAsia="Times New Roman" w:hAnsi="Palatino Linotype" w:cs="Arial"/>
          <w:color w:val="000000" w:themeColor="text1"/>
        </w:rPr>
        <w:t xml:space="preserve"> a resolver en el</w:t>
      </w:r>
      <w:r w:rsidRPr="00CC2284">
        <w:rPr>
          <w:rFonts w:ascii="Palatino Linotype" w:eastAsia="Times New Roman" w:hAnsi="Palatino Linotype" w:cs="Arial"/>
          <w:color w:val="000000" w:themeColor="text1"/>
        </w:rPr>
        <w:t xml:space="preserve"> recurso</w:t>
      </w:r>
      <w:r w:rsidR="003C4C55" w:rsidRPr="00CC2284">
        <w:rPr>
          <w:rFonts w:ascii="Palatino Linotype" w:eastAsia="Times New Roman" w:hAnsi="Palatino Linotype" w:cs="Arial"/>
          <w:color w:val="000000" w:themeColor="text1"/>
        </w:rPr>
        <w:t xml:space="preserve"> de revisión</w:t>
      </w:r>
      <w:r w:rsidRPr="00CC2284">
        <w:rPr>
          <w:rFonts w:ascii="Palatino Linotype" w:eastAsia="Times New Roman" w:hAnsi="Palatino Linotype" w:cs="Arial"/>
          <w:color w:val="000000" w:themeColor="text1"/>
        </w:rPr>
        <w:t xml:space="preserve"> se circunscribe a determinar si </w:t>
      </w:r>
      <w:r w:rsidRPr="00CC2284">
        <w:rPr>
          <w:rFonts w:ascii="Palatino Linotype" w:hAnsi="Palatino Linotype" w:cs="Arial"/>
          <w:color w:val="000000" w:themeColor="text1"/>
        </w:rPr>
        <w:t>se</w:t>
      </w:r>
      <w:r w:rsidRPr="00CC2284">
        <w:rPr>
          <w:rFonts w:ascii="Palatino Linotype" w:eastAsia="MS Mincho" w:hAnsi="Palatino Linotype" w:cs="Arial"/>
          <w:color w:val="000000" w:themeColor="text1"/>
        </w:rPr>
        <w:t xml:space="preserve"> actualiza la </w:t>
      </w:r>
      <w:r w:rsidR="00822FD3" w:rsidRPr="00CC2284">
        <w:rPr>
          <w:rFonts w:ascii="Palatino Linotype" w:eastAsia="MS Mincho" w:hAnsi="Palatino Linotype" w:cs="Arial"/>
          <w:color w:val="000000" w:themeColor="text1"/>
        </w:rPr>
        <w:t>causal</w:t>
      </w:r>
      <w:r w:rsidRPr="00CC2284">
        <w:rPr>
          <w:rFonts w:ascii="Palatino Linotype" w:eastAsia="MS Mincho" w:hAnsi="Palatino Linotype" w:cs="Arial"/>
          <w:color w:val="000000" w:themeColor="text1"/>
        </w:rPr>
        <w:t xml:space="preserve"> de procedencia prevista en el artículo 179, </w:t>
      </w:r>
      <w:r w:rsidR="00822FD3" w:rsidRPr="00CC2284">
        <w:rPr>
          <w:rFonts w:ascii="Palatino Linotype" w:eastAsia="MS Mincho" w:hAnsi="Palatino Linotype" w:cs="Arial"/>
          <w:b/>
          <w:color w:val="000000" w:themeColor="text1"/>
        </w:rPr>
        <w:t>fracción</w:t>
      </w:r>
      <w:r w:rsidRPr="00CC2284">
        <w:rPr>
          <w:rFonts w:ascii="Palatino Linotype" w:eastAsia="MS Mincho" w:hAnsi="Palatino Linotype" w:cs="Arial"/>
          <w:b/>
          <w:color w:val="000000" w:themeColor="text1"/>
        </w:rPr>
        <w:t xml:space="preserve"> </w:t>
      </w:r>
      <w:r w:rsidR="004D0A62" w:rsidRPr="00CC2284">
        <w:rPr>
          <w:rFonts w:ascii="Palatino Linotype" w:eastAsia="MS Mincho" w:hAnsi="Palatino Linotype" w:cs="Arial"/>
          <w:b/>
          <w:color w:val="000000" w:themeColor="text1"/>
        </w:rPr>
        <w:t>I</w:t>
      </w:r>
      <w:r w:rsidR="005F239F" w:rsidRPr="00CC2284">
        <w:rPr>
          <w:rFonts w:ascii="Palatino Linotype" w:eastAsia="MS Mincho" w:hAnsi="Palatino Linotype" w:cs="Arial"/>
          <w:b/>
          <w:color w:val="000000" w:themeColor="text1"/>
        </w:rPr>
        <w:t xml:space="preserve"> </w:t>
      </w:r>
      <w:r w:rsidRPr="00CC2284">
        <w:rPr>
          <w:rFonts w:ascii="Palatino Linotype" w:eastAsia="MS Mincho" w:hAnsi="Palatino Linotype" w:cs="Arial"/>
          <w:color w:val="000000" w:themeColor="text1"/>
        </w:rPr>
        <w:t xml:space="preserve">de la </w:t>
      </w:r>
      <w:r w:rsidRPr="00CC2284">
        <w:rPr>
          <w:rFonts w:ascii="Palatino Linotype" w:eastAsia="MS Mincho" w:hAnsi="Palatino Linotype" w:cs="Arial"/>
          <w:b/>
          <w:color w:val="000000" w:themeColor="text1"/>
        </w:rPr>
        <w:t>Ley de Transparencia y Acceso a la Información Pública del Estado de México y Municipios</w:t>
      </w:r>
      <w:r w:rsidRPr="00CC2284">
        <w:rPr>
          <w:rFonts w:ascii="Palatino Linotype" w:eastAsia="MS Mincho" w:hAnsi="Palatino Linotype" w:cs="Arial"/>
          <w:color w:val="000000" w:themeColor="text1"/>
        </w:rPr>
        <w:t xml:space="preserve">; </w:t>
      </w:r>
      <w:r w:rsidR="008E2C92" w:rsidRPr="00CC2284">
        <w:rPr>
          <w:rFonts w:ascii="Palatino Linotype" w:eastAsia="Times New Roman" w:hAnsi="Palatino Linotype" w:cs="Arial"/>
          <w:color w:val="000000" w:themeColor="text1"/>
          <w:lang w:val="es-ES" w:eastAsia="es-MX"/>
        </w:rPr>
        <w:t>fracción</w:t>
      </w:r>
      <w:r w:rsidRPr="00CC2284">
        <w:rPr>
          <w:rFonts w:ascii="Palatino Linotype" w:eastAsia="Times New Roman" w:hAnsi="Palatino Linotype" w:cs="Arial"/>
          <w:color w:val="000000" w:themeColor="text1"/>
          <w:lang w:val="es-ES" w:eastAsia="es-MX"/>
        </w:rPr>
        <w:t xml:space="preserve"> que</w:t>
      </w:r>
      <w:r w:rsidR="00E0091E" w:rsidRPr="00CC2284">
        <w:rPr>
          <w:rFonts w:ascii="Palatino Linotype" w:eastAsia="Times New Roman" w:hAnsi="Palatino Linotype" w:cs="Arial"/>
          <w:color w:val="000000" w:themeColor="text1"/>
          <w:lang w:val="es-ES" w:eastAsia="es-MX"/>
        </w:rPr>
        <w:t xml:space="preserve"> determina la</w:t>
      </w:r>
      <w:r w:rsidR="005F239F" w:rsidRPr="00CC2284">
        <w:rPr>
          <w:rFonts w:ascii="Palatino Linotype" w:eastAsia="Times New Roman" w:hAnsi="Palatino Linotype" w:cs="Arial"/>
          <w:color w:val="000000" w:themeColor="text1"/>
          <w:lang w:val="es-ES" w:eastAsia="es-MX"/>
        </w:rPr>
        <w:t>s</w:t>
      </w:r>
      <w:r w:rsidRPr="00CC2284">
        <w:rPr>
          <w:rFonts w:ascii="Palatino Linotype" w:eastAsia="Times New Roman" w:hAnsi="Palatino Linotype" w:cs="Arial"/>
          <w:color w:val="000000" w:themeColor="text1"/>
          <w:lang w:val="es-ES" w:eastAsia="es-MX"/>
        </w:rPr>
        <w:t xml:space="preserve"> hipótesis jurídica relativa a </w:t>
      </w:r>
      <w:r w:rsidR="00E0091E" w:rsidRPr="00CC2284">
        <w:rPr>
          <w:rFonts w:ascii="Palatino Linotype" w:eastAsia="Times New Roman" w:hAnsi="Palatino Linotype" w:cs="Arial"/>
          <w:color w:val="000000" w:themeColor="text1"/>
          <w:lang w:val="es-ES" w:eastAsia="es-MX"/>
        </w:rPr>
        <w:t>la</w:t>
      </w:r>
      <w:r w:rsidR="00822FD3" w:rsidRPr="00CC2284">
        <w:rPr>
          <w:rFonts w:ascii="Palatino Linotype" w:eastAsia="Times New Roman" w:hAnsi="Palatino Linotype" w:cs="Arial"/>
          <w:color w:val="000000" w:themeColor="text1"/>
          <w:lang w:val="es-ES" w:eastAsia="es-MX"/>
        </w:rPr>
        <w:t xml:space="preserve"> </w:t>
      </w:r>
      <w:r w:rsidR="004D0A62" w:rsidRPr="00CC2284">
        <w:rPr>
          <w:rFonts w:ascii="Palatino Linotype" w:eastAsia="Times New Roman" w:hAnsi="Palatino Linotype" w:cs="Arial"/>
          <w:color w:val="000000" w:themeColor="text1"/>
          <w:lang w:val="es-ES" w:eastAsia="es-MX"/>
        </w:rPr>
        <w:t>negativa</w:t>
      </w:r>
      <w:r w:rsidR="009A47A2" w:rsidRPr="00CC2284">
        <w:rPr>
          <w:rFonts w:ascii="Palatino Linotype" w:eastAsia="Times New Roman" w:hAnsi="Palatino Linotype" w:cs="Arial"/>
          <w:color w:val="000000" w:themeColor="text1"/>
          <w:lang w:val="es-ES" w:eastAsia="es-MX"/>
        </w:rPr>
        <w:t xml:space="preserve"> de la información </w:t>
      </w:r>
      <w:r w:rsidR="004D0A62" w:rsidRPr="00CC2284">
        <w:rPr>
          <w:rFonts w:ascii="Palatino Linotype" w:eastAsia="Times New Roman" w:hAnsi="Palatino Linotype" w:cs="Arial"/>
          <w:color w:val="000000" w:themeColor="text1"/>
          <w:lang w:val="es-ES" w:eastAsia="es-MX"/>
        </w:rPr>
        <w:t>solicitad</w:t>
      </w:r>
      <w:r w:rsidR="009A47A2" w:rsidRPr="00CC2284">
        <w:rPr>
          <w:rFonts w:ascii="Palatino Linotype" w:eastAsia="Times New Roman" w:hAnsi="Palatino Linotype" w:cs="Arial"/>
          <w:color w:val="000000" w:themeColor="text1"/>
          <w:lang w:val="es-ES" w:eastAsia="es-MX"/>
        </w:rPr>
        <w:t>a</w:t>
      </w:r>
      <w:r w:rsidR="00E0091E" w:rsidRPr="00CC2284">
        <w:rPr>
          <w:rFonts w:ascii="Palatino Linotype" w:eastAsia="Times New Roman" w:hAnsi="Palatino Linotype" w:cs="Arial"/>
          <w:color w:val="000000" w:themeColor="text1"/>
          <w:lang w:val="es-ES" w:eastAsia="es-MX"/>
        </w:rPr>
        <w:t>;</w:t>
      </w:r>
      <w:r w:rsidRPr="00CC2284">
        <w:rPr>
          <w:rFonts w:ascii="Palatino Linotype" w:eastAsia="Times New Roman" w:hAnsi="Palatino Linotype" w:cs="Arial"/>
          <w:color w:val="000000" w:themeColor="text1"/>
          <w:lang w:val="es-ES" w:eastAsia="es-MX"/>
        </w:rPr>
        <w:t xml:space="preserve"> </w:t>
      </w:r>
      <w:r w:rsidRPr="00CC2284">
        <w:rPr>
          <w:rFonts w:ascii="Palatino Linotype" w:eastAsia="MS Mincho" w:hAnsi="Palatino Linotype" w:cs="Arial"/>
          <w:color w:val="000000" w:themeColor="text1"/>
        </w:rPr>
        <w:t xml:space="preserve">contexto del cual se dolió </w:t>
      </w:r>
      <w:r w:rsidR="00C862A5" w:rsidRPr="00CC2284">
        <w:rPr>
          <w:rFonts w:ascii="Palatino Linotype" w:eastAsia="MS Mincho" w:hAnsi="Palatino Linotype" w:cs="Arial"/>
          <w:b/>
          <w:color w:val="000000" w:themeColor="text1"/>
        </w:rPr>
        <w:t>EL RECURRENTE</w:t>
      </w:r>
      <w:r w:rsidRPr="00CC2284">
        <w:rPr>
          <w:rFonts w:ascii="Palatino Linotype" w:eastAsia="MS Mincho" w:hAnsi="Palatino Linotype" w:cs="Arial"/>
          <w:b/>
          <w:color w:val="000000" w:themeColor="text1"/>
        </w:rPr>
        <w:t xml:space="preserve"> </w:t>
      </w:r>
      <w:r w:rsidRPr="00CC2284">
        <w:rPr>
          <w:rFonts w:ascii="Palatino Linotype" w:eastAsia="MS Mincho" w:hAnsi="Palatino Linotype" w:cs="Arial"/>
          <w:color w:val="000000" w:themeColor="text1"/>
        </w:rPr>
        <w:t>al momento de interponer su inconformidad.</w:t>
      </w:r>
      <w:r w:rsidRPr="00CC2284">
        <w:rPr>
          <w:rFonts w:ascii="Palatino Linotype" w:eastAsia="Times New Roman" w:hAnsi="Palatino Linotype" w:cs="Arial"/>
          <w:color w:val="000000" w:themeColor="text1"/>
          <w:lang w:val="es-ES" w:eastAsia="es-MX"/>
        </w:rPr>
        <w:t xml:space="preserve"> </w:t>
      </w:r>
    </w:p>
    <w:p w14:paraId="40755C56" w14:textId="77777777" w:rsidR="00947C3B" w:rsidRPr="00CC2284" w:rsidRDefault="00947C3B" w:rsidP="00CC2284">
      <w:pPr>
        <w:pStyle w:val="Prrafodelista"/>
        <w:spacing w:line="360" w:lineRule="auto"/>
        <w:ind w:left="0"/>
        <w:rPr>
          <w:rFonts w:ascii="Palatino Linotype" w:eastAsia="Times New Roman" w:hAnsi="Palatino Linotype" w:cs="Arial"/>
          <w:color w:val="000000" w:themeColor="text1"/>
          <w:lang w:val="es-ES" w:eastAsia="es-MX"/>
        </w:rPr>
      </w:pPr>
    </w:p>
    <w:p w14:paraId="716424CF" w14:textId="269AC9B4" w:rsidR="00947C3B" w:rsidRPr="00CC2284" w:rsidRDefault="00947C3B" w:rsidP="00CC2284">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CC2284">
        <w:rPr>
          <w:rFonts w:ascii="Palatino Linotype" w:eastAsia="Times New Roman" w:hAnsi="Palatino Linotype" w:cs="Arial"/>
          <w:color w:val="000000" w:themeColor="text1"/>
          <w:lang w:val="es-ES" w:eastAsia="es-MX"/>
        </w:rPr>
        <w:t xml:space="preserve">De modo tal </w:t>
      </w:r>
      <w:r w:rsidR="00DC3309" w:rsidRPr="00CC2284">
        <w:rPr>
          <w:rFonts w:ascii="Palatino Linotype" w:hAnsi="Palatino Linotype" w:cs="Arial"/>
          <w:color w:val="000000" w:themeColor="text1"/>
        </w:rPr>
        <w:t>que el presente Recurso de R</w:t>
      </w:r>
      <w:r w:rsidRPr="00CC2284">
        <w:rPr>
          <w:rFonts w:ascii="Palatino Linotype" w:hAnsi="Palatino Linotype" w:cs="Arial"/>
          <w:color w:val="000000" w:themeColor="text1"/>
        </w:rPr>
        <w:t xml:space="preserve">evisión se abocara en determinar si el </w:t>
      </w:r>
      <w:r w:rsidRPr="00CC2284">
        <w:rPr>
          <w:rFonts w:ascii="Palatino Linotype" w:hAnsi="Palatino Linotype" w:cs="Arial"/>
          <w:b/>
          <w:color w:val="000000" w:themeColor="text1"/>
        </w:rPr>
        <w:t>SUJETO</w:t>
      </w:r>
      <w:r w:rsidRPr="00CC2284">
        <w:rPr>
          <w:rFonts w:ascii="Palatino Linotype" w:hAnsi="Palatino Linotype" w:cs="Arial"/>
          <w:color w:val="000000" w:themeColor="text1"/>
        </w:rPr>
        <w:t xml:space="preserve"> </w:t>
      </w:r>
      <w:r w:rsidRPr="00CC2284">
        <w:rPr>
          <w:rFonts w:ascii="Palatino Linotype" w:hAnsi="Palatino Linotype" w:cs="Arial"/>
          <w:b/>
          <w:color w:val="000000" w:themeColor="text1"/>
        </w:rPr>
        <w:t>OBLIGADO</w:t>
      </w:r>
      <w:r w:rsidRPr="00CC2284">
        <w:rPr>
          <w:rFonts w:ascii="Palatino Linotype" w:hAnsi="Palatino Linotype" w:cs="Arial"/>
          <w:color w:val="000000" w:themeColor="text1"/>
        </w:rPr>
        <w:t xml:space="preserve"> con su respuesta ciertamente </w:t>
      </w:r>
      <w:r w:rsidRPr="00CC2284">
        <w:rPr>
          <w:rFonts w:ascii="Palatino Linotype" w:eastAsia="Times New Roman" w:hAnsi="Palatino Linotype"/>
          <w:color w:val="000000" w:themeColor="text1"/>
        </w:rPr>
        <w:t>actualiza la</w:t>
      </w:r>
      <w:r w:rsidR="008A5B46" w:rsidRPr="00CC2284">
        <w:rPr>
          <w:rFonts w:ascii="Palatino Linotype" w:eastAsia="Times New Roman" w:hAnsi="Palatino Linotype"/>
          <w:color w:val="000000" w:themeColor="text1"/>
        </w:rPr>
        <w:t xml:space="preserve"> causal</w:t>
      </w:r>
      <w:r w:rsidRPr="00CC2284">
        <w:rPr>
          <w:rFonts w:ascii="Palatino Linotype" w:eastAsia="Times New Roman" w:hAnsi="Palatino Linotype"/>
          <w:color w:val="000000" w:themeColor="text1"/>
        </w:rPr>
        <w:t xml:space="preserve"> de procedencia</w:t>
      </w:r>
      <w:r w:rsidRPr="00CC2284">
        <w:rPr>
          <w:rFonts w:ascii="Palatino Linotype" w:eastAsia="Times New Roman" w:hAnsi="Palatino Linotype"/>
          <w:b/>
          <w:color w:val="000000" w:themeColor="text1"/>
        </w:rPr>
        <w:t xml:space="preserve"> </w:t>
      </w:r>
      <w:r w:rsidR="008A5B46" w:rsidRPr="00CC2284">
        <w:rPr>
          <w:rFonts w:ascii="Palatino Linotype" w:eastAsia="Times New Roman" w:hAnsi="Palatino Linotype" w:cs="Arial"/>
          <w:color w:val="000000" w:themeColor="text1"/>
          <w:lang w:eastAsia="es-MX"/>
        </w:rPr>
        <w:t>antes señalada</w:t>
      </w:r>
      <w:r w:rsidRPr="00CC2284">
        <w:rPr>
          <w:rFonts w:ascii="Palatino Linotype" w:hAnsi="Palatino Linotype" w:cs="Arial"/>
          <w:color w:val="000000" w:themeColor="text1"/>
        </w:rPr>
        <w:t xml:space="preserve">; asimismo, determinar si se vulnera el derecho de acceso a la información del particular por la inobservancia a los principios contenidos en el artículo 11 de la Ley de Transparencia y Acceso a la Información Pública del Estado de México y Municipios, los </w:t>
      </w:r>
      <w:r w:rsidRPr="00CC2284">
        <w:rPr>
          <w:rFonts w:ascii="Palatino Linotype" w:hAnsi="Palatino Linotype" w:cs="Arial"/>
          <w:color w:val="000000" w:themeColor="text1"/>
        </w:rPr>
        <w:lastRenderedPageBreak/>
        <w:t>cuales señala entre otros, que en la generación y entrega de información se deberá garantizar que sea oportuna, expedita, completa e integral.</w:t>
      </w:r>
    </w:p>
    <w:p w14:paraId="51CABBAB" w14:textId="77777777" w:rsidR="00947C3B" w:rsidRPr="00CC2284" w:rsidRDefault="00947C3B" w:rsidP="00CC2284">
      <w:pPr>
        <w:pStyle w:val="Ttulo2"/>
        <w:spacing w:before="0" w:line="360" w:lineRule="auto"/>
        <w:rPr>
          <w:rFonts w:ascii="Palatino Linotype" w:hAnsi="Palatino Linotype"/>
          <w:b/>
          <w:color w:val="000000" w:themeColor="text1"/>
          <w:sz w:val="24"/>
          <w:szCs w:val="24"/>
        </w:rPr>
      </w:pPr>
      <w:r w:rsidRPr="00CC2284">
        <w:rPr>
          <w:rFonts w:ascii="Palatino Linotype" w:hAnsi="Palatino Linotype"/>
          <w:b/>
          <w:color w:val="000000" w:themeColor="text1"/>
          <w:sz w:val="24"/>
          <w:szCs w:val="24"/>
        </w:rPr>
        <w:t>CUARTO. Del estudio y resolución del estudio</w:t>
      </w:r>
    </w:p>
    <w:p w14:paraId="29E2B79F" w14:textId="77777777" w:rsidR="008D17FB" w:rsidRPr="00CC2284" w:rsidRDefault="008D17FB" w:rsidP="00CC2284">
      <w:pPr>
        <w:pStyle w:val="Prrafodelista"/>
        <w:tabs>
          <w:tab w:val="left" w:pos="567"/>
        </w:tabs>
        <w:spacing w:line="360" w:lineRule="auto"/>
        <w:ind w:left="0"/>
        <w:jc w:val="both"/>
        <w:rPr>
          <w:rFonts w:ascii="Palatino Linotype" w:hAnsi="Palatino Linotype" w:cs="Arial"/>
          <w:color w:val="000000" w:themeColor="text1"/>
        </w:rPr>
      </w:pPr>
    </w:p>
    <w:p w14:paraId="23FA3F75" w14:textId="77777777" w:rsidR="008176E4" w:rsidRPr="00CC2284" w:rsidRDefault="008176E4"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CC2284">
        <w:rPr>
          <w:rFonts w:ascii="Palatino Linotype" w:eastAsia="Times New Roman" w:hAnsi="Palatino Linotype" w:cs="Arial"/>
          <w:color w:val="000000" w:themeColor="text1"/>
          <w:lang w:val="es-ES" w:eastAsia="es-MX"/>
        </w:rPr>
        <w:t>Transparencia</w:t>
      </w:r>
      <w:r w:rsidRPr="00CC2284">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1240C85" w14:textId="77777777" w:rsidR="004D0A62" w:rsidRPr="00CC2284" w:rsidRDefault="004D0A62" w:rsidP="00CC2284">
      <w:pPr>
        <w:spacing w:line="360" w:lineRule="auto"/>
        <w:contextualSpacing/>
        <w:jc w:val="both"/>
        <w:rPr>
          <w:rFonts w:ascii="Palatino Linotype" w:eastAsia="Palatino Linotype" w:hAnsi="Palatino Linotype" w:cs="Palatino Linotype"/>
          <w:color w:val="000000" w:themeColor="text1"/>
        </w:rPr>
      </w:pPr>
    </w:p>
    <w:p w14:paraId="77804037" w14:textId="77777777" w:rsidR="008176E4" w:rsidRPr="00CC2284" w:rsidRDefault="008176E4"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CC2284" w:rsidRDefault="008176E4" w:rsidP="00CC2284">
      <w:pPr>
        <w:spacing w:line="360" w:lineRule="auto"/>
        <w:rPr>
          <w:rFonts w:ascii="Palatino Linotype" w:eastAsia="Palatino Linotype" w:hAnsi="Palatino Linotype" w:cs="Palatino Linotype"/>
          <w:color w:val="000000" w:themeColor="text1"/>
        </w:rPr>
      </w:pPr>
    </w:p>
    <w:p w14:paraId="768EDD26" w14:textId="0740E9A9" w:rsidR="005F346E" w:rsidRPr="00CC2284" w:rsidRDefault="008176E4"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w:t>
      </w:r>
      <w:r w:rsidRPr="00CC2284">
        <w:rPr>
          <w:rFonts w:ascii="Palatino Linotype" w:eastAsia="Palatino Linotype" w:hAnsi="Palatino Linotype" w:cs="Palatino Linotype"/>
          <w:color w:val="000000" w:themeColor="text1"/>
        </w:rPr>
        <w:lastRenderedPageBreak/>
        <w:t>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CC2284" w:rsidRDefault="00362AAF" w:rsidP="00CC2284">
      <w:pPr>
        <w:pStyle w:val="Prrafodelista"/>
        <w:tabs>
          <w:tab w:val="left" w:pos="567"/>
        </w:tabs>
        <w:spacing w:line="360" w:lineRule="auto"/>
        <w:ind w:left="0"/>
        <w:jc w:val="both"/>
        <w:rPr>
          <w:rFonts w:ascii="Palatino Linotype" w:hAnsi="Palatino Linotype" w:cs="Arial"/>
          <w:color w:val="000000" w:themeColor="text1"/>
        </w:rPr>
      </w:pPr>
    </w:p>
    <w:p w14:paraId="1120B97A" w14:textId="38815B27" w:rsidR="00EC1825" w:rsidRPr="00CC2284" w:rsidRDefault="002B117D" w:rsidP="00CC2284">
      <w:pPr>
        <w:numPr>
          <w:ilvl w:val="0"/>
          <w:numId w:val="1"/>
        </w:numPr>
        <w:spacing w:line="360" w:lineRule="auto"/>
        <w:ind w:left="0" w:firstLine="0"/>
        <w:contextualSpacing/>
        <w:jc w:val="both"/>
        <w:rPr>
          <w:rFonts w:ascii="Palatino Linotype" w:hAnsi="Palatino Linotype"/>
          <w:color w:val="000000" w:themeColor="text1"/>
        </w:rPr>
      </w:pPr>
      <w:r w:rsidRPr="00CC2284">
        <w:rPr>
          <w:rFonts w:ascii="Palatino Linotype" w:eastAsia="Palatino Linotype" w:hAnsi="Palatino Linotype" w:cs="Palatino Linotype"/>
          <w:color w:val="000000" w:themeColor="text1"/>
        </w:rPr>
        <w:t xml:space="preserve">Acotado lo anterior, es dable primeramente </w:t>
      </w:r>
      <w:r w:rsidR="00027E0A" w:rsidRPr="00CC2284">
        <w:rPr>
          <w:rFonts w:ascii="Palatino Linotype" w:eastAsia="Palatino Linotype" w:hAnsi="Palatino Linotype" w:cs="Palatino Linotype"/>
          <w:color w:val="000000" w:themeColor="text1"/>
        </w:rPr>
        <w:t>recordar</w:t>
      </w:r>
      <w:r w:rsidR="0094220B" w:rsidRPr="00CC2284">
        <w:rPr>
          <w:rFonts w:ascii="Palatino Linotype" w:eastAsia="Palatino Linotype" w:hAnsi="Palatino Linotype" w:cs="Palatino Linotype"/>
          <w:color w:val="000000" w:themeColor="text1"/>
        </w:rPr>
        <w:t xml:space="preserve"> </w:t>
      </w:r>
      <w:r w:rsidR="00482083" w:rsidRPr="00CC2284">
        <w:rPr>
          <w:rFonts w:ascii="Palatino Linotype" w:eastAsia="Palatino Linotype" w:hAnsi="Palatino Linotype" w:cs="Palatino Linotype"/>
          <w:color w:val="000000" w:themeColor="text1"/>
        </w:rPr>
        <w:t xml:space="preserve">primeramente el rubro impugnado tocante a la adquisición de equipo policial, del cual </w:t>
      </w:r>
      <w:r w:rsidR="00482083" w:rsidRPr="00CC2284">
        <w:rPr>
          <w:rFonts w:ascii="Palatino Linotype" w:hAnsi="Palatino Linotype"/>
          <w:color w:val="000000" w:themeColor="text1"/>
        </w:rPr>
        <w:t>se</w:t>
      </w:r>
      <w:r w:rsidR="00250F40" w:rsidRPr="00CC2284">
        <w:rPr>
          <w:rFonts w:ascii="Palatino Linotype" w:hAnsi="Palatino Linotype"/>
          <w:color w:val="000000" w:themeColor="text1"/>
        </w:rPr>
        <w:t xml:space="preserve"> obtuvo una respuesta en el sentido que luego de la búsqueda emp</w:t>
      </w:r>
      <w:r w:rsidR="00A726AD" w:rsidRPr="00CC2284">
        <w:rPr>
          <w:rFonts w:ascii="Palatino Linotype" w:hAnsi="Palatino Linotype"/>
          <w:color w:val="000000" w:themeColor="text1"/>
        </w:rPr>
        <w:t xml:space="preserve">rendida, no se localizó </w:t>
      </w:r>
      <w:r w:rsidR="00250F40" w:rsidRPr="00CC2284">
        <w:rPr>
          <w:rFonts w:ascii="Palatino Linotype" w:hAnsi="Palatino Linotype"/>
          <w:color w:val="000000" w:themeColor="text1"/>
        </w:rPr>
        <w:t>ningún contrato para la compra y/o arrendamiento de equipo para la Comisaria General de Seguridad Pública</w:t>
      </w:r>
      <w:r w:rsidR="00EC1825" w:rsidRPr="00CC2284">
        <w:rPr>
          <w:rFonts w:ascii="Palatino Linotype" w:hAnsi="Palatino Linotype"/>
          <w:color w:val="000000" w:themeColor="text1"/>
        </w:rPr>
        <w:t xml:space="preserve">. </w:t>
      </w:r>
    </w:p>
    <w:p w14:paraId="31B56B1E" w14:textId="77777777" w:rsidR="00EC1825" w:rsidRPr="00CC2284" w:rsidRDefault="00EC1825" w:rsidP="00CC2284">
      <w:pPr>
        <w:spacing w:line="360" w:lineRule="auto"/>
        <w:contextualSpacing/>
        <w:jc w:val="both"/>
        <w:rPr>
          <w:rFonts w:ascii="Palatino Linotype" w:hAnsi="Palatino Linotype"/>
          <w:color w:val="000000" w:themeColor="text1"/>
        </w:rPr>
      </w:pPr>
    </w:p>
    <w:p w14:paraId="5C4AA845" w14:textId="66D822A9" w:rsidR="004D0A62" w:rsidRPr="00CC2284" w:rsidRDefault="00EC1825" w:rsidP="00CC2284">
      <w:pPr>
        <w:numPr>
          <w:ilvl w:val="0"/>
          <w:numId w:val="1"/>
        </w:numPr>
        <w:spacing w:line="360" w:lineRule="auto"/>
        <w:ind w:left="0" w:firstLine="0"/>
        <w:contextualSpacing/>
        <w:jc w:val="both"/>
        <w:rPr>
          <w:rFonts w:ascii="Palatino Linotype" w:hAnsi="Palatino Linotype"/>
          <w:color w:val="000000" w:themeColor="text1"/>
        </w:rPr>
      </w:pPr>
      <w:r w:rsidRPr="00CC2284">
        <w:rPr>
          <w:rFonts w:ascii="Palatino Linotype" w:hAnsi="Palatino Linotype"/>
          <w:color w:val="000000" w:themeColor="text1"/>
        </w:rPr>
        <w:t xml:space="preserve">Respuesta que se considera parcialmente procedente; toda vez que </w:t>
      </w:r>
      <w:r w:rsidR="00A9065D" w:rsidRPr="00CC2284">
        <w:rPr>
          <w:rFonts w:ascii="Palatino Linotype" w:hAnsi="Palatino Linotype"/>
          <w:color w:val="000000" w:themeColor="text1"/>
        </w:rPr>
        <w:t xml:space="preserve">la respuesta </w:t>
      </w:r>
      <w:r w:rsidRPr="00CC2284">
        <w:rPr>
          <w:rFonts w:ascii="Palatino Linotype" w:hAnsi="Palatino Linotype"/>
          <w:color w:val="000000" w:themeColor="text1"/>
        </w:rPr>
        <w:t>obedece al hecho que en el Código Reglamentario del Municipio de Toluca, de la pasada y actual administración pública municipal, no se advierte ninguna área denominada Comisaria General de Seguridad Pública</w:t>
      </w:r>
      <w:r w:rsidR="002E6729" w:rsidRPr="00CC2284">
        <w:rPr>
          <w:rFonts w:ascii="Palatino Linotype" w:hAnsi="Palatino Linotype"/>
          <w:color w:val="000000" w:themeColor="text1"/>
        </w:rPr>
        <w:t>, siendo su análoga la Dirección General de Seguridad y Protección</w:t>
      </w:r>
      <w:r w:rsidR="00E03B45" w:rsidRPr="00CC2284">
        <w:rPr>
          <w:rFonts w:ascii="Palatino Linotype" w:hAnsi="Palatino Linotype"/>
          <w:color w:val="000000" w:themeColor="text1"/>
        </w:rPr>
        <w:t>; sin embargo ello no resultaba motivo suficiente para negar la información.</w:t>
      </w:r>
    </w:p>
    <w:p w14:paraId="37264BDD" w14:textId="77777777" w:rsidR="004D0A62" w:rsidRPr="00CC2284" w:rsidRDefault="004D0A62" w:rsidP="00CC2284">
      <w:pPr>
        <w:pStyle w:val="Prrafodelista"/>
        <w:spacing w:line="360" w:lineRule="auto"/>
        <w:ind w:left="0"/>
        <w:rPr>
          <w:rFonts w:ascii="Palatino Linotype" w:eastAsia="Palatino Linotype" w:hAnsi="Palatino Linotype" w:cs="Palatino Linotype"/>
          <w:color w:val="000000" w:themeColor="text1"/>
        </w:rPr>
      </w:pPr>
    </w:p>
    <w:p w14:paraId="4143920E" w14:textId="2619DDA1" w:rsidR="003151F2" w:rsidRPr="00CC2284" w:rsidRDefault="00E03B45" w:rsidP="00CC2284">
      <w:pPr>
        <w:numPr>
          <w:ilvl w:val="0"/>
          <w:numId w:val="1"/>
        </w:numPr>
        <w:spacing w:line="360" w:lineRule="auto"/>
        <w:ind w:left="0" w:firstLine="0"/>
        <w:contextualSpacing/>
        <w:jc w:val="both"/>
        <w:rPr>
          <w:rFonts w:ascii="Palatino Linotype" w:hAnsi="Palatino Linotype"/>
          <w:color w:val="000000" w:themeColor="text1"/>
        </w:rPr>
      </w:pPr>
      <w:r w:rsidRPr="00CC2284">
        <w:rPr>
          <w:rFonts w:ascii="Palatino Linotype" w:hAnsi="Palatino Linotype"/>
          <w:color w:val="000000" w:themeColor="text1"/>
        </w:rPr>
        <w:t xml:space="preserve">Lo anterior, en virtud que si bien el ahora </w:t>
      </w:r>
      <w:r w:rsidRPr="00CC2284">
        <w:rPr>
          <w:rFonts w:ascii="Palatino Linotype" w:hAnsi="Palatino Linotype"/>
          <w:b/>
          <w:color w:val="000000" w:themeColor="text1"/>
        </w:rPr>
        <w:t>RECURRENTE</w:t>
      </w:r>
      <w:r w:rsidRPr="00CC2284">
        <w:rPr>
          <w:rFonts w:ascii="Palatino Linotype" w:hAnsi="Palatino Linotype"/>
          <w:color w:val="000000" w:themeColor="text1"/>
        </w:rPr>
        <w:t xml:space="preserve"> fue enfático en señalar erróneamente el nombre de un área</w:t>
      </w:r>
      <w:r w:rsidR="003151F2" w:rsidRPr="00CC2284">
        <w:rPr>
          <w:rFonts w:ascii="Palatino Linotype" w:hAnsi="Palatino Linotype"/>
          <w:color w:val="000000" w:themeColor="text1"/>
        </w:rPr>
        <w:t xml:space="preserve"> administrativa</w:t>
      </w:r>
      <w:r w:rsidRPr="00CC2284">
        <w:rPr>
          <w:rFonts w:ascii="Palatino Linotype" w:hAnsi="Palatino Linotype"/>
          <w:color w:val="000000" w:themeColor="text1"/>
        </w:rPr>
        <w:t xml:space="preserve">; también lo es que existían elementos suficientes para fijar la información que se </w:t>
      </w:r>
      <w:r w:rsidR="00A9065D" w:rsidRPr="00CC2284">
        <w:rPr>
          <w:rFonts w:ascii="Palatino Linotype" w:hAnsi="Palatino Linotype"/>
          <w:color w:val="000000" w:themeColor="text1"/>
        </w:rPr>
        <w:t>requirió</w:t>
      </w:r>
      <w:r w:rsidR="003151F2" w:rsidRPr="00CC2284">
        <w:rPr>
          <w:rFonts w:ascii="Palatino Linotype" w:hAnsi="Palatino Linotype"/>
          <w:color w:val="000000" w:themeColor="text1"/>
        </w:rPr>
        <w:t>, t</w:t>
      </w:r>
      <w:r w:rsidRPr="00CC2284">
        <w:rPr>
          <w:rFonts w:ascii="Palatino Linotype" w:hAnsi="Palatino Linotype"/>
          <w:color w:val="000000" w:themeColor="text1"/>
        </w:rPr>
        <w:t xml:space="preserve">oda vez que </w:t>
      </w:r>
      <w:r w:rsidR="00A9065D" w:rsidRPr="00CC2284">
        <w:rPr>
          <w:rFonts w:ascii="Palatino Linotype" w:hAnsi="Palatino Linotype"/>
          <w:color w:val="000000" w:themeColor="text1"/>
        </w:rPr>
        <w:t xml:space="preserve">la solicitud de información </w:t>
      </w:r>
      <w:r w:rsidRPr="00CC2284">
        <w:rPr>
          <w:rFonts w:ascii="Palatino Linotype" w:hAnsi="Palatino Linotype"/>
          <w:color w:val="000000" w:themeColor="text1"/>
        </w:rPr>
        <w:lastRenderedPageBreak/>
        <w:t>señal</w:t>
      </w:r>
      <w:r w:rsidR="00A9065D" w:rsidRPr="00CC2284">
        <w:rPr>
          <w:rFonts w:ascii="Palatino Linotype" w:hAnsi="Palatino Linotype"/>
          <w:color w:val="000000" w:themeColor="text1"/>
        </w:rPr>
        <w:t>ó</w:t>
      </w:r>
      <w:r w:rsidR="003151F2" w:rsidRPr="00CC2284">
        <w:rPr>
          <w:rFonts w:ascii="Palatino Linotype" w:hAnsi="Palatino Linotype"/>
          <w:color w:val="000000" w:themeColor="text1"/>
        </w:rPr>
        <w:t xml:space="preserve"> que se requerían</w:t>
      </w:r>
      <w:r w:rsidRPr="00CC2284">
        <w:rPr>
          <w:rFonts w:ascii="Palatino Linotype" w:hAnsi="Palatino Linotype"/>
          <w:color w:val="000000" w:themeColor="text1"/>
        </w:rPr>
        <w:t xml:space="preserve"> contratos celebrados por el Gobierno Municipal de Toluca para la compra y/o arrendamiento de equipamiento </w:t>
      </w:r>
      <w:r w:rsidR="003151F2" w:rsidRPr="00CC2284">
        <w:rPr>
          <w:rFonts w:ascii="Palatino Linotype" w:hAnsi="Palatino Linotype"/>
          <w:color w:val="000000" w:themeColor="text1"/>
        </w:rPr>
        <w:t>policial y de seguridad pública;</w:t>
      </w:r>
      <w:r w:rsidR="0012027D" w:rsidRPr="00CC2284">
        <w:rPr>
          <w:rFonts w:ascii="Palatino Linotype" w:hAnsi="Palatino Linotype"/>
          <w:color w:val="000000" w:themeColor="text1"/>
        </w:rPr>
        <w:t xml:space="preserve"> elemento</w:t>
      </w:r>
      <w:r w:rsidRPr="00CC2284">
        <w:rPr>
          <w:rFonts w:ascii="Palatino Linotype" w:hAnsi="Palatino Linotype"/>
          <w:color w:val="000000" w:themeColor="text1"/>
        </w:rPr>
        <w:t xml:space="preserve"> </w:t>
      </w:r>
      <w:r w:rsidR="0012027D" w:rsidRPr="00CC2284">
        <w:rPr>
          <w:rFonts w:ascii="Palatino Linotype" w:hAnsi="Palatino Linotype"/>
          <w:color w:val="000000" w:themeColor="text1"/>
        </w:rPr>
        <w:t>suficiente</w:t>
      </w:r>
      <w:r w:rsidR="00A9065D" w:rsidRPr="00CC2284">
        <w:rPr>
          <w:rFonts w:ascii="Palatino Linotype" w:hAnsi="Palatino Linotype"/>
          <w:color w:val="000000" w:themeColor="text1"/>
        </w:rPr>
        <w:t xml:space="preserve"> para la búsqueda de la información,</w:t>
      </w:r>
      <w:r w:rsidRPr="00CC2284">
        <w:rPr>
          <w:rFonts w:ascii="Palatino Linotype" w:hAnsi="Palatino Linotype"/>
          <w:color w:val="000000" w:themeColor="text1"/>
        </w:rPr>
        <w:t xml:space="preserve"> </w:t>
      </w:r>
      <w:r w:rsidR="003151F2" w:rsidRPr="00CC2284">
        <w:rPr>
          <w:rFonts w:ascii="Palatino Linotype" w:hAnsi="Palatino Linotype"/>
          <w:color w:val="000000" w:themeColor="text1"/>
        </w:rPr>
        <w:t xml:space="preserve">estando en condiciones de </w:t>
      </w:r>
      <w:r w:rsidRPr="00CC2284">
        <w:rPr>
          <w:rFonts w:ascii="Palatino Linotype" w:hAnsi="Palatino Linotype"/>
          <w:color w:val="000000" w:themeColor="text1"/>
        </w:rPr>
        <w:t>subsana</w:t>
      </w:r>
      <w:r w:rsidR="003151F2" w:rsidRPr="00CC2284">
        <w:rPr>
          <w:rFonts w:ascii="Palatino Linotype" w:hAnsi="Palatino Linotype"/>
          <w:color w:val="000000" w:themeColor="text1"/>
        </w:rPr>
        <w:t>r cualquier</w:t>
      </w:r>
      <w:r w:rsidRPr="00CC2284">
        <w:rPr>
          <w:rFonts w:ascii="Palatino Linotype" w:hAnsi="Palatino Linotype"/>
          <w:color w:val="000000" w:themeColor="text1"/>
        </w:rPr>
        <w:t xml:space="preserve"> deficiencia de la solicitud de información</w:t>
      </w:r>
      <w:r w:rsidR="003151F2" w:rsidRPr="00CC2284">
        <w:rPr>
          <w:rFonts w:ascii="Palatino Linotype" w:hAnsi="Palatino Linotype"/>
          <w:color w:val="000000" w:themeColor="text1"/>
        </w:rPr>
        <w:t xml:space="preserve"> como lo fue el nombre de un área.</w:t>
      </w:r>
    </w:p>
    <w:p w14:paraId="337C4323" w14:textId="77777777" w:rsidR="003151F2" w:rsidRPr="00CC2284" w:rsidRDefault="003151F2" w:rsidP="00CC2284">
      <w:pPr>
        <w:pStyle w:val="Prrafodelista"/>
        <w:spacing w:line="360" w:lineRule="auto"/>
        <w:ind w:left="0"/>
        <w:rPr>
          <w:rFonts w:ascii="Palatino Linotype" w:hAnsi="Palatino Linotype"/>
          <w:color w:val="000000" w:themeColor="text1"/>
        </w:rPr>
      </w:pPr>
    </w:p>
    <w:p w14:paraId="56683334" w14:textId="51392406" w:rsidR="00094E89" w:rsidRPr="00CC2284" w:rsidRDefault="0012027D" w:rsidP="00CC2284">
      <w:pPr>
        <w:numPr>
          <w:ilvl w:val="0"/>
          <w:numId w:val="1"/>
        </w:numPr>
        <w:spacing w:line="360" w:lineRule="auto"/>
        <w:ind w:left="0" w:firstLine="0"/>
        <w:contextualSpacing/>
        <w:jc w:val="both"/>
        <w:rPr>
          <w:rFonts w:ascii="Palatino Linotype" w:hAnsi="Palatino Linotype"/>
          <w:color w:val="000000" w:themeColor="text1"/>
        </w:rPr>
      </w:pPr>
      <w:r w:rsidRPr="00CC2284">
        <w:rPr>
          <w:rFonts w:ascii="Palatino Linotype" w:hAnsi="Palatino Linotype"/>
          <w:color w:val="000000" w:themeColor="text1"/>
        </w:rPr>
        <w:t>Al respecto</w:t>
      </w:r>
      <w:r w:rsidR="00A9065D" w:rsidRPr="00CC2284">
        <w:rPr>
          <w:rFonts w:ascii="Palatino Linotype" w:hAnsi="Palatino Linotype"/>
          <w:color w:val="000000" w:themeColor="text1"/>
        </w:rPr>
        <w:t xml:space="preserve"> es de explorado derecho que para el ejercicio del derecho de ac</w:t>
      </w:r>
      <w:r w:rsidRPr="00CC2284">
        <w:rPr>
          <w:rFonts w:ascii="Palatino Linotype" w:hAnsi="Palatino Linotype"/>
          <w:color w:val="000000" w:themeColor="text1"/>
        </w:rPr>
        <w:t>ceso a la información pública basta que</w:t>
      </w:r>
      <w:r w:rsidR="00A9065D" w:rsidRPr="00CC2284">
        <w:rPr>
          <w:rFonts w:ascii="Palatino Linotype" w:hAnsi="Palatino Linotype"/>
          <w:color w:val="000000" w:themeColor="text1"/>
        </w:rPr>
        <w:t xml:space="preserve"> los solicitantes </w:t>
      </w:r>
      <w:r w:rsidRPr="00CC2284">
        <w:rPr>
          <w:rFonts w:ascii="Palatino Linotype" w:hAnsi="Palatino Linotype"/>
          <w:color w:val="000000" w:themeColor="text1"/>
        </w:rPr>
        <w:t>aporten</w:t>
      </w:r>
      <w:r w:rsidR="00A9065D" w:rsidRPr="00CC2284">
        <w:rPr>
          <w:rFonts w:ascii="Palatino Linotype" w:hAnsi="Palatino Linotype"/>
          <w:color w:val="000000" w:themeColor="text1"/>
        </w:rPr>
        <w:t xml:space="preserve"> elementos de identificación necesarios del soporte documental de su interés</w:t>
      </w:r>
      <w:r w:rsidR="003151F2" w:rsidRPr="00CC2284">
        <w:rPr>
          <w:rFonts w:ascii="Palatino Linotype" w:hAnsi="Palatino Linotype"/>
          <w:color w:val="000000" w:themeColor="text1"/>
        </w:rPr>
        <w:t>, al no tener la obligación de conocer con exactitud el nombre jurídico, técnico o administrativo de los documentos que pretende o de las áreas administrativas de las estructuras de los sujetos obligados</w:t>
      </w:r>
      <w:r w:rsidRPr="00CC2284">
        <w:rPr>
          <w:rFonts w:ascii="Palatino Linotype" w:hAnsi="Palatino Linotype"/>
          <w:color w:val="000000" w:themeColor="text1"/>
        </w:rPr>
        <w:t>.</w:t>
      </w:r>
    </w:p>
    <w:p w14:paraId="57E9FA5E" w14:textId="77777777" w:rsidR="00094E89" w:rsidRPr="00CC2284" w:rsidRDefault="00094E89" w:rsidP="00CC2284">
      <w:pPr>
        <w:pStyle w:val="Prrafodelista"/>
        <w:spacing w:line="360" w:lineRule="auto"/>
        <w:ind w:left="0"/>
        <w:rPr>
          <w:rFonts w:ascii="Palatino Linotype" w:hAnsi="Palatino Linotype"/>
          <w:color w:val="000000" w:themeColor="text1"/>
        </w:rPr>
      </w:pPr>
    </w:p>
    <w:p w14:paraId="2A92A317" w14:textId="3F251189" w:rsidR="00094E89" w:rsidRPr="00CC2284" w:rsidRDefault="00094E89" w:rsidP="00CC2284">
      <w:pPr>
        <w:numPr>
          <w:ilvl w:val="0"/>
          <w:numId w:val="1"/>
        </w:numPr>
        <w:spacing w:line="360" w:lineRule="auto"/>
        <w:ind w:left="0" w:firstLine="0"/>
        <w:contextualSpacing/>
        <w:jc w:val="both"/>
        <w:rPr>
          <w:rFonts w:ascii="Palatino Linotype" w:hAnsi="Palatino Linotype"/>
          <w:color w:val="000000" w:themeColor="text1"/>
          <w:lang w:eastAsia="es-ES_tradnl"/>
        </w:rPr>
      </w:pPr>
      <w:r w:rsidRPr="00CC2284">
        <w:rPr>
          <w:rFonts w:ascii="Palatino Linotype" w:hAnsi="Palatino Linotype"/>
          <w:color w:val="000000" w:themeColor="text1"/>
        </w:rPr>
        <w:t>Lo anterior aplicando la suplencia de la queja a favor del solicitante, contemplada en la</w:t>
      </w:r>
      <w:r w:rsidRPr="00CC2284">
        <w:rPr>
          <w:rFonts w:ascii="Palatino Linotype" w:hAnsi="Palatino Linotype"/>
          <w:color w:val="000000" w:themeColor="text1"/>
          <w:lang w:eastAsia="es-ES_tradnl"/>
        </w:rPr>
        <w:t xml:space="preserve"> Ley de Transparencia y Acceso a la información Pública del Estado de México y Municipios a efecto de garantizar el derecho de acceso de acceso a la información pública a favor del solicitante, sin que se cambien los hechos expuestos por éste; lo cual, encuentra sustento en la jurisprudencia emitida por la Suprema Corte de Justicia de la Nación que a continuación se inserta:</w:t>
      </w:r>
    </w:p>
    <w:p w14:paraId="56877A94" w14:textId="77777777" w:rsidR="00094E89" w:rsidRPr="00CC2284" w:rsidRDefault="00094E89" w:rsidP="00CC2284">
      <w:pPr>
        <w:spacing w:line="360" w:lineRule="auto"/>
        <w:jc w:val="both"/>
        <w:rPr>
          <w:rFonts w:ascii="Palatino Linotype" w:hAnsi="Palatino Linotype"/>
          <w:i/>
          <w:color w:val="000000" w:themeColor="text1"/>
        </w:rPr>
      </w:pPr>
      <w:r w:rsidRPr="00CC2284">
        <w:rPr>
          <w:rFonts w:ascii="Palatino Linotype" w:hAnsi="Palatino Linotype"/>
          <w:b/>
          <w:i/>
          <w:color w:val="000000" w:themeColor="text1"/>
        </w:rPr>
        <w:t xml:space="preserve">“SUPLENCIA DE LA QUEJA DEFICIENTE. DEBE HACERSE A PARTIR DE LOS CONCEPTOS DE VIOLACIÓN O, EN SU CASO, DE LOS AGRAVIOS EXPRESADOS, POR LO TANTO NO ES ILIMITADA. </w:t>
      </w:r>
      <w:r w:rsidRPr="00CC2284">
        <w:rPr>
          <w:rFonts w:ascii="Palatino Linotype" w:hAnsi="Palatino Linotype"/>
          <w:i/>
          <w:color w:val="000000" w:themeColor="text1"/>
        </w:rPr>
        <w:t xml:space="preserve">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w:t>
      </w:r>
      <w:r w:rsidRPr="00CC2284">
        <w:rPr>
          <w:rFonts w:ascii="Palatino Linotype" w:hAnsi="Palatino Linotype"/>
          <w:i/>
          <w:color w:val="000000" w:themeColor="text1"/>
        </w:rPr>
        <w:lastRenderedPageBreak/>
        <w:t>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p>
    <w:p w14:paraId="6DA0E504" w14:textId="77777777" w:rsidR="00094E89" w:rsidRPr="00CC2284" w:rsidRDefault="00094E89" w:rsidP="00CC2284">
      <w:pPr>
        <w:spacing w:line="360" w:lineRule="auto"/>
        <w:contextualSpacing/>
        <w:jc w:val="both"/>
        <w:rPr>
          <w:rFonts w:ascii="Palatino Linotype" w:hAnsi="Palatino Linotype"/>
          <w:color w:val="000000" w:themeColor="text1"/>
          <w:lang w:eastAsia="es-ES_tradnl"/>
        </w:rPr>
      </w:pPr>
    </w:p>
    <w:p w14:paraId="267655B6" w14:textId="5C240F5C" w:rsidR="00094E89" w:rsidRPr="00CC2284" w:rsidRDefault="00094E89" w:rsidP="00CC2284">
      <w:pPr>
        <w:numPr>
          <w:ilvl w:val="0"/>
          <w:numId w:val="1"/>
        </w:numPr>
        <w:spacing w:line="360" w:lineRule="auto"/>
        <w:ind w:left="0" w:firstLine="0"/>
        <w:contextualSpacing/>
        <w:jc w:val="both"/>
        <w:rPr>
          <w:rFonts w:ascii="Palatino Linotype" w:hAnsi="Palatino Linotype"/>
          <w:color w:val="000000" w:themeColor="text1"/>
          <w:lang w:eastAsia="es-ES_tradnl"/>
        </w:rPr>
      </w:pPr>
      <w:r w:rsidRPr="00CC2284">
        <w:rPr>
          <w:rFonts w:ascii="Palatino Linotype" w:hAnsi="Palatino Linotype"/>
          <w:color w:val="000000" w:themeColor="text1"/>
          <w:lang w:eastAsia="es-ES_tradnl"/>
        </w:rPr>
        <w:t xml:space="preserve">De modo tal que se debió interpretarse la solicitud de información atendiendo el principio de </w:t>
      </w:r>
      <w:r w:rsidRPr="00CC2284">
        <w:rPr>
          <w:rFonts w:ascii="Palatino Linotype" w:hAnsi="Palatino Linotype"/>
          <w:color w:val="000000" w:themeColor="text1"/>
        </w:rPr>
        <w:t>interpretación</w:t>
      </w:r>
      <w:r w:rsidRPr="00CC2284">
        <w:rPr>
          <w:rFonts w:ascii="Palatino Linotype" w:hAnsi="Palatino Linotype"/>
          <w:color w:val="000000" w:themeColor="text1"/>
          <w:lang w:eastAsia="es-ES_tradnl"/>
        </w:rPr>
        <w:t xml:space="preserve"> más favorable a la persona</w:t>
      </w:r>
      <w:r w:rsidRPr="00CC2284">
        <w:rPr>
          <w:rStyle w:val="Refdenotaalpie"/>
          <w:rFonts w:ascii="Palatino Linotype" w:hAnsi="Palatino Linotype"/>
          <w:color w:val="000000" w:themeColor="text1"/>
          <w:lang w:eastAsia="es-ES_tradnl"/>
        </w:rPr>
        <w:footnoteReference w:id="1"/>
      </w:r>
      <w:r w:rsidRPr="00CC2284">
        <w:rPr>
          <w:rFonts w:ascii="Palatino Linotype" w:hAnsi="Palatino Linotype"/>
          <w:color w:val="000000" w:themeColor="text1"/>
          <w:lang w:eastAsia="es-ES_tradnl"/>
        </w:rPr>
        <w:t>, con fundamento en los artículos 13 y 181 cuarto párrafo de la Ley de la Materia, a saber:</w:t>
      </w:r>
    </w:p>
    <w:p w14:paraId="24C2E7B5" w14:textId="77777777" w:rsidR="00094E89" w:rsidRPr="00CC2284" w:rsidRDefault="00094E89" w:rsidP="00CC2284">
      <w:pPr>
        <w:spacing w:line="360" w:lineRule="auto"/>
        <w:jc w:val="both"/>
        <w:rPr>
          <w:rFonts w:ascii="Palatino Linotype" w:hAnsi="Palatino Linotype"/>
          <w:i/>
          <w:color w:val="000000" w:themeColor="text1"/>
          <w:lang w:eastAsia="es-ES_tradnl"/>
        </w:rPr>
      </w:pPr>
      <w:r w:rsidRPr="00CC2284">
        <w:rPr>
          <w:rFonts w:ascii="Palatino Linotype" w:hAnsi="Palatino Linotype"/>
          <w:b/>
          <w:i/>
          <w:color w:val="000000" w:themeColor="text1"/>
          <w:lang w:eastAsia="es-ES_tradnl"/>
        </w:rPr>
        <w:t>“Artículo 13.</w:t>
      </w:r>
      <w:r w:rsidRPr="00CC2284">
        <w:rPr>
          <w:rFonts w:ascii="Palatino Linotype" w:hAnsi="Palatino Linotype"/>
          <w:i/>
          <w:color w:val="000000" w:themeColor="text1"/>
          <w:lang w:eastAsia="es-ES_tradnl"/>
        </w:rPr>
        <w:t xml:space="preserve"> El Instituto, en el ámbito de sus atribuciones, deberá suplir cualquier deficiencia para garantizar el ejercicio del derecho de acceso a la información.</w:t>
      </w:r>
    </w:p>
    <w:p w14:paraId="643FD442" w14:textId="77777777" w:rsidR="00094E89" w:rsidRPr="00CC2284" w:rsidRDefault="00094E89" w:rsidP="00CC2284">
      <w:pPr>
        <w:spacing w:line="360" w:lineRule="auto"/>
        <w:jc w:val="both"/>
        <w:rPr>
          <w:rFonts w:ascii="Palatino Linotype" w:hAnsi="Palatino Linotype"/>
          <w:i/>
          <w:color w:val="000000" w:themeColor="text1"/>
          <w:lang w:eastAsia="es-ES_tradnl"/>
        </w:rPr>
      </w:pPr>
      <w:r w:rsidRPr="00CC2284">
        <w:rPr>
          <w:rFonts w:ascii="Palatino Linotype" w:hAnsi="Palatino Linotype"/>
          <w:b/>
          <w:i/>
          <w:color w:val="000000" w:themeColor="text1"/>
          <w:lang w:eastAsia="es-ES_tradnl"/>
        </w:rPr>
        <w:lastRenderedPageBreak/>
        <w:t>Artículo 181.</w:t>
      </w:r>
      <w:r w:rsidRPr="00CC2284">
        <w:rPr>
          <w:rFonts w:ascii="Palatino Linotype" w:hAnsi="Palatino Linotype"/>
          <w:i/>
          <w:color w:val="000000" w:themeColor="text1"/>
          <w:lang w:eastAsia="es-ES_tradnl"/>
        </w:rPr>
        <w:t xml:space="preserve"> …</w:t>
      </w:r>
      <w:r w:rsidRPr="00CC2284">
        <w:rPr>
          <w:rFonts w:ascii="Palatino Linotype" w:hAnsi="Palatino Linotype"/>
          <w:i/>
          <w:color w:val="000000" w:themeColor="text1"/>
        </w:rPr>
        <w:t xml:space="preserve"> </w:t>
      </w:r>
      <w:r w:rsidRPr="00CC2284">
        <w:rPr>
          <w:rFonts w:ascii="Palatino Linotype" w:hAnsi="Palatino Linotype"/>
          <w:i/>
          <w:color w:val="000000" w:themeColor="text1"/>
          <w:lang w:eastAsia="es-ES_tradnl"/>
        </w:rPr>
        <w:t>Durante el procedimiento deberá aplicarse la suplencia de la queja a favor del recurrente, sin cambiar los hechos expuestos, asegurándose de que las partes puedan presentar, de manera oral o escrita, los argumentos que funden y motiven sus pretensiones.”</w:t>
      </w:r>
    </w:p>
    <w:p w14:paraId="6E6E2A57" w14:textId="77777777" w:rsidR="00094E89" w:rsidRPr="00CC2284" w:rsidRDefault="00094E89" w:rsidP="00CC2284">
      <w:pPr>
        <w:spacing w:line="360" w:lineRule="auto"/>
        <w:jc w:val="both"/>
        <w:rPr>
          <w:rFonts w:ascii="Palatino Linotype" w:hAnsi="Palatino Linotype"/>
          <w:i/>
          <w:color w:val="000000" w:themeColor="text1"/>
          <w:lang w:eastAsia="es-ES_tradnl"/>
        </w:rPr>
      </w:pPr>
    </w:p>
    <w:p w14:paraId="0D520B0A" w14:textId="77777777" w:rsidR="0012027D" w:rsidRPr="00CC2284" w:rsidRDefault="0012027D" w:rsidP="00CC2284">
      <w:pPr>
        <w:numPr>
          <w:ilvl w:val="0"/>
          <w:numId w:val="1"/>
        </w:numPr>
        <w:spacing w:line="360" w:lineRule="auto"/>
        <w:ind w:left="0" w:firstLine="0"/>
        <w:contextualSpacing/>
        <w:jc w:val="both"/>
        <w:rPr>
          <w:rFonts w:ascii="Palatino Linotype" w:hAnsi="Palatino Linotype"/>
          <w:color w:val="000000" w:themeColor="text1"/>
        </w:rPr>
      </w:pPr>
      <w:r w:rsidRPr="00CC2284">
        <w:rPr>
          <w:rFonts w:ascii="Palatino Linotype" w:hAnsi="Palatino Linotype"/>
          <w:color w:val="000000" w:themeColor="text1"/>
          <w:lang w:eastAsia="es-ES_tradnl"/>
        </w:rPr>
        <w:t xml:space="preserve">En razón de lo anterior es que en el presente caso, a través del presente proveído es el Órgano Garante que procede a la aplicación de la suplencia de la queja en favor del </w:t>
      </w:r>
      <w:r w:rsidRPr="00CC2284">
        <w:rPr>
          <w:rFonts w:ascii="Palatino Linotype" w:hAnsi="Palatino Linotype"/>
          <w:b/>
          <w:color w:val="000000" w:themeColor="text1"/>
          <w:lang w:eastAsia="es-ES_tradnl"/>
        </w:rPr>
        <w:t>RECURRENTE</w:t>
      </w:r>
      <w:r w:rsidRPr="00CC2284">
        <w:rPr>
          <w:rFonts w:ascii="Palatino Linotype" w:hAnsi="Palatino Linotype"/>
          <w:color w:val="000000" w:themeColor="text1"/>
          <w:lang w:eastAsia="es-ES_tradnl"/>
        </w:rPr>
        <w:t xml:space="preserve"> sin cambiar los hecho expuestos, atendiendo a que lo solicitado corresponde a la denominada Dirección General de Seguridad y Protección.</w:t>
      </w:r>
    </w:p>
    <w:p w14:paraId="4874A0E9" w14:textId="77777777" w:rsidR="0012027D" w:rsidRPr="00CC2284" w:rsidRDefault="0012027D" w:rsidP="00CC2284">
      <w:pPr>
        <w:spacing w:line="360" w:lineRule="auto"/>
        <w:contextualSpacing/>
        <w:jc w:val="both"/>
        <w:rPr>
          <w:rFonts w:ascii="Palatino Linotype" w:hAnsi="Palatino Linotype"/>
          <w:color w:val="000000" w:themeColor="text1"/>
        </w:rPr>
      </w:pPr>
    </w:p>
    <w:p w14:paraId="6200FF34" w14:textId="27EAFF31" w:rsidR="00E03B45" w:rsidRPr="00CC2284" w:rsidRDefault="0012027D" w:rsidP="00CC2284">
      <w:pPr>
        <w:numPr>
          <w:ilvl w:val="0"/>
          <w:numId w:val="1"/>
        </w:numPr>
        <w:spacing w:line="360" w:lineRule="auto"/>
        <w:ind w:left="0" w:firstLine="0"/>
        <w:contextualSpacing/>
        <w:jc w:val="both"/>
        <w:rPr>
          <w:rFonts w:ascii="Palatino Linotype" w:hAnsi="Palatino Linotype"/>
          <w:color w:val="000000" w:themeColor="text1"/>
        </w:rPr>
      </w:pPr>
      <w:r w:rsidRPr="00CC2284">
        <w:rPr>
          <w:rFonts w:ascii="Palatino Linotype" w:hAnsi="Palatino Linotype"/>
          <w:color w:val="000000" w:themeColor="text1"/>
          <w:lang w:eastAsia="es-ES_tradnl"/>
        </w:rPr>
        <w:t>Por lo anteriormente expuesto</w:t>
      </w:r>
      <w:r w:rsidR="00094E89" w:rsidRPr="00CC2284">
        <w:rPr>
          <w:rFonts w:ascii="Palatino Linotype" w:hAnsi="Palatino Linotype"/>
          <w:color w:val="000000" w:themeColor="text1"/>
          <w:lang w:eastAsia="es-ES_tradnl"/>
        </w:rPr>
        <w:t xml:space="preserve"> </w:t>
      </w:r>
      <w:r w:rsidRPr="00CC2284">
        <w:rPr>
          <w:rFonts w:ascii="Palatino Linotype" w:hAnsi="Palatino Linotype"/>
          <w:color w:val="000000" w:themeColor="text1"/>
          <w:lang w:eastAsia="es-ES_tradnl"/>
        </w:rPr>
        <w:t>se establece que no es de observancia</w:t>
      </w:r>
      <w:r w:rsidR="00094E89" w:rsidRPr="00CC2284">
        <w:rPr>
          <w:rFonts w:ascii="Palatino Linotype" w:hAnsi="Palatino Linotype"/>
          <w:color w:val="000000" w:themeColor="text1"/>
          <w:lang w:eastAsia="es-ES_tradnl"/>
        </w:rPr>
        <w:t xml:space="preserve"> la respuesta </w:t>
      </w:r>
      <w:r w:rsidRPr="00CC2284">
        <w:rPr>
          <w:rFonts w:ascii="Palatino Linotype" w:hAnsi="Palatino Linotype"/>
          <w:color w:val="000000" w:themeColor="text1"/>
          <w:lang w:eastAsia="es-ES_tradnl"/>
        </w:rPr>
        <w:t xml:space="preserve">inicial </w:t>
      </w:r>
      <w:r w:rsidR="00094E89" w:rsidRPr="00CC2284">
        <w:rPr>
          <w:rFonts w:ascii="Palatino Linotype" w:hAnsi="Palatino Linotype"/>
          <w:color w:val="000000" w:themeColor="text1"/>
          <w:lang w:eastAsia="es-ES_tradnl"/>
        </w:rPr>
        <w:t xml:space="preserve">para tener por atendida la solicitud de información de mérito, siendo dable ordenar una búsqueda exhaustiva y razonable de lo solicitado, la cual se advierte si se ha generado, </w:t>
      </w:r>
      <w:r w:rsidR="00094E89" w:rsidRPr="00CC2284">
        <w:rPr>
          <w:rFonts w:ascii="Palatino Linotype" w:hAnsi="Palatino Linotype"/>
          <w:color w:val="000000" w:themeColor="text1"/>
        </w:rPr>
        <w:t>poseído</w:t>
      </w:r>
      <w:r w:rsidR="00094E89" w:rsidRPr="00CC2284">
        <w:rPr>
          <w:rFonts w:ascii="Palatino Linotype" w:hAnsi="Palatino Linotype"/>
          <w:color w:val="000000" w:themeColor="text1"/>
          <w:lang w:eastAsia="es-ES_tradnl"/>
        </w:rPr>
        <w:t xml:space="preserve"> y administrado en razón de </w:t>
      </w:r>
      <w:r w:rsidR="002E6729" w:rsidRPr="00CC2284">
        <w:rPr>
          <w:rFonts w:ascii="Palatino Linotype" w:hAnsi="Palatino Linotype"/>
          <w:color w:val="000000" w:themeColor="text1"/>
          <w:lang w:eastAsia="es-ES_tradnl"/>
        </w:rPr>
        <w:t>diversos comunicados</w:t>
      </w:r>
      <w:r w:rsidR="00094E89" w:rsidRPr="00CC2284">
        <w:rPr>
          <w:rFonts w:ascii="Palatino Linotype" w:hAnsi="Palatino Linotype"/>
          <w:color w:val="000000" w:themeColor="text1"/>
          <w:lang w:eastAsia="es-ES_tradnl"/>
        </w:rPr>
        <w:t xml:space="preserve"> realizad</w:t>
      </w:r>
      <w:r w:rsidR="002E6729" w:rsidRPr="00CC2284">
        <w:rPr>
          <w:rFonts w:ascii="Palatino Linotype" w:hAnsi="Palatino Linotype"/>
          <w:color w:val="000000" w:themeColor="text1"/>
          <w:lang w:eastAsia="es-ES_tradnl"/>
        </w:rPr>
        <w:t>o</w:t>
      </w:r>
      <w:r w:rsidR="00094E89" w:rsidRPr="00CC2284">
        <w:rPr>
          <w:rFonts w:ascii="Palatino Linotype" w:hAnsi="Palatino Linotype"/>
          <w:color w:val="000000" w:themeColor="text1"/>
          <w:lang w:eastAsia="es-ES_tradnl"/>
        </w:rPr>
        <w:t xml:space="preserve">s por el propio </w:t>
      </w:r>
      <w:r w:rsidR="00094E89" w:rsidRPr="00CC2284">
        <w:rPr>
          <w:rFonts w:ascii="Palatino Linotype" w:hAnsi="Palatino Linotype"/>
          <w:b/>
          <w:color w:val="000000" w:themeColor="text1"/>
          <w:lang w:eastAsia="es-ES_tradnl"/>
        </w:rPr>
        <w:t>SUJETO OBLIGADO</w:t>
      </w:r>
      <w:r w:rsidR="00094E89" w:rsidRPr="00CC2284">
        <w:rPr>
          <w:rFonts w:ascii="Palatino Linotype" w:hAnsi="Palatino Linotype"/>
          <w:color w:val="000000" w:themeColor="text1"/>
          <w:lang w:eastAsia="es-ES_tradnl"/>
        </w:rPr>
        <w:t xml:space="preserve"> en su portal de Internet, como lo es </w:t>
      </w:r>
      <w:r w:rsidRPr="00CC2284">
        <w:rPr>
          <w:rFonts w:ascii="Palatino Linotype" w:hAnsi="Palatino Linotype"/>
          <w:color w:val="000000" w:themeColor="text1"/>
          <w:lang w:eastAsia="es-ES_tradnl"/>
        </w:rPr>
        <w:t>el Comunicado Número</w:t>
      </w:r>
      <w:r w:rsidR="002E6729" w:rsidRPr="00CC2284">
        <w:rPr>
          <w:rFonts w:ascii="Palatino Linotype" w:hAnsi="Palatino Linotype"/>
          <w:color w:val="000000" w:themeColor="text1"/>
          <w:lang w:eastAsia="es-ES_tradnl"/>
        </w:rPr>
        <w:t xml:space="preserve"> </w:t>
      </w:r>
      <w:r w:rsidR="002E6729" w:rsidRPr="00CC2284">
        <w:rPr>
          <w:rFonts w:ascii="Palatino Linotype" w:hAnsi="Palatino Linotype"/>
          <w:b/>
          <w:color w:val="000000" w:themeColor="text1"/>
          <w:lang w:eastAsia="es-ES_tradnl"/>
        </w:rPr>
        <w:t>549/2022</w:t>
      </w:r>
      <w:r w:rsidR="002E6729" w:rsidRPr="00CC2284">
        <w:rPr>
          <w:rFonts w:ascii="Palatino Linotype" w:hAnsi="Palatino Linotype"/>
          <w:color w:val="000000" w:themeColor="text1"/>
          <w:lang w:eastAsia="es-ES_tradnl"/>
        </w:rPr>
        <w:t xml:space="preserve"> de fecha veintidós de noviembre de dos mil </w:t>
      </w:r>
      <w:r w:rsidR="00D332BC" w:rsidRPr="00CC2284">
        <w:rPr>
          <w:rFonts w:ascii="Palatino Linotype" w:hAnsi="Palatino Linotype"/>
          <w:color w:val="000000" w:themeColor="text1"/>
          <w:lang w:eastAsia="es-ES_tradnl"/>
        </w:rPr>
        <w:t>veintidós</w:t>
      </w:r>
      <w:r w:rsidR="002E6729" w:rsidRPr="00CC2284">
        <w:rPr>
          <w:rFonts w:ascii="Palatino Linotype" w:hAnsi="Palatino Linotype"/>
          <w:color w:val="000000" w:themeColor="text1"/>
          <w:lang w:eastAsia="es-ES_tradnl"/>
        </w:rPr>
        <w:t>, cuyo contenido</w:t>
      </w:r>
      <w:r w:rsidRPr="00CC2284">
        <w:rPr>
          <w:rFonts w:ascii="Palatino Linotype" w:hAnsi="Palatino Linotype"/>
          <w:color w:val="000000" w:themeColor="text1"/>
          <w:lang w:eastAsia="es-ES_tradnl"/>
        </w:rPr>
        <w:t xml:space="preserve"> relevante es</w:t>
      </w:r>
      <w:r w:rsidR="002E6729" w:rsidRPr="00CC2284">
        <w:rPr>
          <w:rFonts w:ascii="Palatino Linotype" w:hAnsi="Palatino Linotype"/>
          <w:color w:val="000000" w:themeColor="text1"/>
          <w:lang w:eastAsia="es-ES_tradnl"/>
        </w:rPr>
        <w:t xml:space="preserve"> el siguiente</w:t>
      </w:r>
      <w:r w:rsidR="00094E89" w:rsidRPr="00CC2284">
        <w:rPr>
          <w:rFonts w:ascii="Palatino Linotype" w:hAnsi="Palatino Linotype"/>
          <w:color w:val="000000" w:themeColor="text1"/>
          <w:lang w:eastAsia="es-ES_tradnl"/>
        </w:rPr>
        <w:t>:</w:t>
      </w:r>
    </w:p>
    <w:p w14:paraId="0B52C705" w14:textId="416C3EC5" w:rsidR="002E6729" w:rsidRPr="00CC2284" w:rsidRDefault="002E6729" w:rsidP="00CC2284">
      <w:pPr>
        <w:spacing w:line="360" w:lineRule="auto"/>
        <w:contextualSpacing/>
        <w:jc w:val="both"/>
        <w:rPr>
          <w:rFonts w:ascii="Palatino Linotype" w:hAnsi="Palatino Linotype"/>
          <w:color w:val="000000" w:themeColor="text1"/>
        </w:rPr>
      </w:pPr>
      <w:r w:rsidRPr="00CC2284">
        <w:rPr>
          <w:rFonts w:ascii="Palatino Linotype" w:hAnsi="Palatino Linotype"/>
          <w:noProof/>
          <w:color w:val="000000" w:themeColor="text1"/>
          <w:lang w:val="es-MX" w:eastAsia="es-MX"/>
        </w:rPr>
        <w:lastRenderedPageBreak/>
        <w:drawing>
          <wp:inline distT="0" distB="0" distL="0" distR="0" wp14:anchorId="70B0EAB9" wp14:editId="32EE95B2">
            <wp:extent cx="5581015" cy="335851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3358515"/>
                    </a:xfrm>
                    <a:prstGeom prst="rect">
                      <a:avLst/>
                    </a:prstGeom>
                  </pic:spPr>
                </pic:pic>
              </a:graphicData>
            </a:graphic>
          </wp:inline>
        </w:drawing>
      </w:r>
    </w:p>
    <w:p w14:paraId="77F44C01" w14:textId="213F8903" w:rsidR="00094E89" w:rsidRPr="00CC2284" w:rsidRDefault="00094E89" w:rsidP="00CC2284">
      <w:pPr>
        <w:spacing w:line="360" w:lineRule="auto"/>
        <w:contextualSpacing/>
        <w:jc w:val="both"/>
        <w:rPr>
          <w:rFonts w:ascii="Palatino Linotype" w:hAnsi="Palatino Linotype"/>
          <w:color w:val="000000" w:themeColor="text1"/>
        </w:rPr>
      </w:pPr>
    </w:p>
    <w:p w14:paraId="0B33594E" w14:textId="5639CD12" w:rsidR="002E6729" w:rsidRDefault="00D332BC" w:rsidP="00CC2284">
      <w:pPr>
        <w:numPr>
          <w:ilvl w:val="0"/>
          <w:numId w:val="1"/>
        </w:numPr>
        <w:spacing w:line="360" w:lineRule="auto"/>
        <w:ind w:left="0" w:firstLine="0"/>
        <w:contextualSpacing/>
        <w:jc w:val="both"/>
        <w:rPr>
          <w:rFonts w:ascii="Palatino Linotype" w:hAnsi="Palatino Linotype"/>
          <w:color w:val="000000" w:themeColor="text1"/>
        </w:rPr>
      </w:pPr>
      <w:r w:rsidRPr="00CC2284">
        <w:rPr>
          <w:rFonts w:ascii="Palatino Linotype" w:hAnsi="Palatino Linotype"/>
          <w:color w:val="000000" w:themeColor="text1"/>
        </w:rPr>
        <w:t>Como se observa la información es con relación a la anterior administración municipal; respecto de la actual 2025 – 2027, en el lapso temporal correspondiente del uno de enero al catorce de febrero de dos mil veinticinco, no se localizó indicio alguno publicado.</w:t>
      </w:r>
    </w:p>
    <w:p w14:paraId="21064071" w14:textId="77777777" w:rsidR="00EF7B8A" w:rsidRPr="00CC2284" w:rsidRDefault="00EF7B8A" w:rsidP="00EF7B8A">
      <w:pPr>
        <w:spacing w:line="360" w:lineRule="auto"/>
        <w:contextualSpacing/>
        <w:jc w:val="both"/>
        <w:rPr>
          <w:rFonts w:ascii="Palatino Linotype" w:hAnsi="Palatino Linotype"/>
          <w:color w:val="000000" w:themeColor="text1"/>
        </w:rPr>
      </w:pPr>
    </w:p>
    <w:p w14:paraId="03B47396" w14:textId="291D6AB7" w:rsidR="001617FC" w:rsidRPr="00CC2284" w:rsidRDefault="00D332B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hAnsi="Palatino Linotype"/>
          <w:color w:val="000000" w:themeColor="text1"/>
        </w:rPr>
        <w:t xml:space="preserve">Determinado que </w:t>
      </w:r>
      <w:r w:rsidR="001617FC" w:rsidRPr="00CC2284">
        <w:rPr>
          <w:rFonts w:ascii="Palatino Linotype" w:hAnsi="Palatino Linotype"/>
          <w:color w:val="000000" w:themeColor="text1"/>
        </w:rPr>
        <w:t>al menos</w:t>
      </w:r>
      <w:r w:rsidRPr="00CC2284">
        <w:rPr>
          <w:rFonts w:ascii="Palatino Linotype" w:hAnsi="Palatino Linotype"/>
          <w:color w:val="000000" w:themeColor="text1"/>
        </w:rPr>
        <w:t xml:space="preserve"> de la anterior administración municipal</w:t>
      </w:r>
      <w:r w:rsidR="001617FC" w:rsidRPr="00CC2284">
        <w:rPr>
          <w:rFonts w:ascii="Palatino Linotype" w:hAnsi="Palatino Linotype"/>
          <w:color w:val="000000" w:themeColor="text1"/>
        </w:rPr>
        <w:t xml:space="preserve"> 2022 - 2024</w:t>
      </w:r>
      <w:r w:rsidRPr="00CC2284">
        <w:rPr>
          <w:rFonts w:ascii="Palatino Linotype" w:hAnsi="Palatino Linotype"/>
          <w:color w:val="000000" w:themeColor="text1"/>
        </w:rPr>
        <w:t xml:space="preserve"> si se generó, posee y administra lo solicitado, es</w:t>
      </w:r>
      <w:r w:rsidR="001617FC" w:rsidRPr="00CC2284">
        <w:rPr>
          <w:rFonts w:ascii="Palatino Linotype" w:hAnsi="Palatino Linotype"/>
          <w:color w:val="000000" w:themeColor="text1"/>
        </w:rPr>
        <w:t xml:space="preserve"> dable conocer la</w:t>
      </w:r>
      <w:r w:rsidRPr="00CC2284">
        <w:rPr>
          <w:rFonts w:ascii="Palatino Linotype" w:hAnsi="Palatino Linotype"/>
          <w:color w:val="000000" w:themeColor="text1"/>
        </w:rPr>
        <w:t xml:space="preserve"> naturaleza de lo solicitado, </w:t>
      </w:r>
      <w:r w:rsidR="001617FC" w:rsidRPr="00CC2284">
        <w:rPr>
          <w:rFonts w:ascii="Palatino Linotype" w:hAnsi="Palatino Linotype"/>
          <w:color w:val="000000" w:themeColor="text1"/>
        </w:rPr>
        <w:t xml:space="preserve">a lo que </w:t>
      </w:r>
      <w:r w:rsidR="001617FC" w:rsidRPr="00CC2284">
        <w:rPr>
          <w:rFonts w:ascii="Palatino Linotype" w:eastAsia="Palatino Linotype" w:hAnsi="Palatino Linotype" w:cs="Palatino Linotype"/>
          <w:color w:val="000000" w:themeColor="text1"/>
        </w:rPr>
        <w:t xml:space="preserve">debemos traer a contexto lo dispuesto en la Ley de la Contratación Pública del Estado de México y Municipios, la cual tiene por objeto regular los actos relativos a la planeación, programación, presupuestación, ejecución y control de </w:t>
      </w:r>
      <w:r w:rsidR="001617FC" w:rsidRPr="00CC2284">
        <w:rPr>
          <w:rFonts w:ascii="Palatino Linotype" w:eastAsia="Palatino Linotype" w:hAnsi="Palatino Linotype" w:cs="Palatino Linotype"/>
          <w:b/>
          <w:color w:val="000000" w:themeColor="text1"/>
        </w:rPr>
        <w:t xml:space="preserve">la </w:t>
      </w:r>
      <w:r w:rsidR="001617FC" w:rsidRPr="00CC2284">
        <w:rPr>
          <w:rFonts w:ascii="Palatino Linotype" w:eastAsia="Palatino Linotype" w:hAnsi="Palatino Linotype" w:cs="Palatino Linotype"/>
          <w:b/>
          <w:color w:val="000000" w:themeColor="text1"/>
          <w:u w:val="single"/>
        </w:rPr>
        <w:t>adquisición</w:t>
      </w:r>
      <w:r w:rsidR="001617FC" w:rsidRPr="00CC2284">
        <w:rPr>
          <w:rFonts w:ascii="Palatino Linotype" w:eastAsia="Palatino Linotype" w:hAnsi="Palatino Linotype" w:cs="Palatino Linotype"/>
          <w:color w:val="000000" w:themeColor="text1"/>
        </w:rPr>
        <w:t xml:space="preserve">, enajenación y </w:t>
      </w:r>
      <w:r w:rsidR="001617FC" w:rsidRPr="00CC2284">
        <w:rPr>
          <w:rFonts w:ascii="Palatino Linotype" w:eastAsia="Palatino Linotype" w:hAnsi="Palatino Linotype" w:cs="Palatino Linotype"/>
          <w:b/>
          <w:color w:val="000000" w:themeColor="text1"/>
        </w:rPr>
        <w:t xml:space="preserve">arrendamiento </w:t>
      </w:r>
      <w:r w:rsidR="001617FC" w:rsidRPr="00CC2284">
        <w:rPr>
          <w:rFonts w:ascii="Palatino Linotype" w:eastAsia="Palatino Linotype" w:hAnsi="Palatino Linotype" w:cs="Palatino Linotype"/>
          <w:b/>
          <w:color w:val="000000" w:themeColor="text1"/>
          <w:u w:val="single"/>
        </w:rPr>
        <w:t>de bienes</w:t>
      </w:r>
      <w:r w:rsidR="001617FC" w:rsidRPr="00CC2284">
        <w:rPr>
          <w:rFonts w:ascii="Palatino Linotype" w:eastAsia="Palatino Linotype" w:hAnsi="Palatino Linotype" w:cs="Palatino Linotype"/>
          <w:color w:val="000000" w:themeColor="text1"/>
        </w:rPr>
        <w:t xml:space="preserve">, </w:t>
      </w:r>
      <w:r w:rsidR="001617FC" w:rsidRPr="00CC2284">
        <w:rPr>
          <w:rFonts w:ascii="Palatino Linotype" w:eastAsia="Palatino Linotype" w:hAnsi="Palatino Linotype" w:cs="Palatino Linotype"/>
          <w:b/>
          <w:color w:val="000000" w:themeColor="text1"/>
        </w:rPr>
        <w:t xml:space="preserve">y la </w:t>
      </w:r>
      <w:r w:rsidR="001617FC" w:rsidRPr="00CC2284">
        <w:rPr>
          <w:rFonts w:ascii="Palatino Linotype" w:eastAsia="Palatino Linotype" w:hAnsi="Palatino Linotype" w:cs="Palatino Linotype"/>
          <w:b/>
          <w:color w:val="000000" w:themeColor="text1"/>
          <w:u w:val="single"/>
        </w:rPr>
        <w:t>contratación de servicios de cualquier naturaleza</w:t>
      </w:r>
      <w:r w:rsidR="001617FC" w:rsidRPr="00CC2284">
        <w:rPr>
          <w:rFonts w:ascii="Palatino Linotype" w:eastAsia="Palatino Linotype" w:hAnsi="Palatino Linotype" w:cs="Palatino Linotype"/>
          <w:color w:val="000000" w:themeColor="text1"/>
          <w:u w:val="single"/>
        </w:rPr>
        <w:t xml:space="preserve">, </w:t>
      </w:r>
      <w:r w:rsidR="001617FC" w:rsidRPr="00CC2284">
        <w:rPr>
          <w:rFonts w:ascii="Palatino Linotype" w:eastAsia="Palatino Linotype" w:hAnsi="Palatino Linotype" w:cs="Palatino Linotype"/>
          <w:color w:val="000000" w:themeColor="text1"/>
        </w:rPr>
        <w:t xml:space="preserve">que realicen los Ayuntamientos del Estado; los cuales se adjudicarán a través de </w:t>
      </w:r>
      <w:r w:rsidR="001617FC" w:rsidRPr="00CC2284">
        <w:rPr>
          <w:rFonts w:ascii="Palatino Linotype" w:eastAsia="Palatino Linotype" w:hAnsi="Palatino Linotype" w:cs="Palatino Linotype"/>
          <w:color w:val="000000" w:themeColor="text1"/>
          <w:u w:val="single"/>
        </w:rPr>
        <w:t xml:space="preserve">licitaciones </w:t>
      </w:r>
      <w:r w:rsidR="001617FC" w:rsidRPr="00CC2284">
        <w:rPr>
          <w:rFonts w:ascii="Palatino Linotype" w:eastAsia="Palatino Linotype" w:hAnsi="Palatino Linotype" w:cs="Palatino Linotype"/>
          <w:color w:val="000000" w:themeColor="text1"/>
          <w:u w:val="single"/>
        </w:rPr>
        <w:lastRenderedPageBreak/>
        <w:t>públicas</w:t>
      </w:r>
      <w:r w:rsidR="001617FC" w:rsidRPr="00CC2284">
        <w:rPr>
          <w:rFonts w:ascii="Palatino Linotype" w:eastAsia="Palatino Linotype" w:hAnsi="Palatino Linotype" w:cs="Palatino Linotype"/>
          <w:color w:val="000000" w:themeColor="text1"/>
        </w:rPr>
        <w:t>, i</w:t>
      </w:r>
      <w:r w:rsidR="001617FC" w:rsidRPr="00CC2284">
        <w:rPr>
          <w:rFonts w:ascii="Palatino Linotype" w:eastAsia="Palatino Linotype" w:hAnsi="Palatino Linotype" w:cs="Palatino Linotype"/>
          <w:color w:val="000000" w:themeColor="text1"/>
          <w:u w:val="single"/>
        </w:rPr>
        <w:t>nvitación restringida o adjudicación directa,</w:t>
      </w:r>
      <w:r w:rsidR="001617FC" w:rsidRPr="00CC2284">
        <w:rPr>
          <w:rFonts w:ascii="Palatino Linotype" w:eastAsia="Palatino Linotype" w:hAnsi="Palatino Linotype" w:cs="Palatino Linotype"/>
          <w:color w:val="000000" w:themeColor="text1"/>
        </w:rPr>
        <w:t xml:space="preserve"> mediante convocatoria pública, tal y como lo establecen los artículos 4, 26 y 27 de dicha Ley, los cuales son del tenor siguiente:</w:t>
      </w:r>
    </w:p>
    <w:p w14:paraId="3CC2F019"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w:t>
      </w:r>
      <w:r w:rsidRPr="00CC2284">
        <w:rPr>
          <w:rFonts w:ascii="Palatino Linotype" w:eastAsia="Palatino Linotype" w:hAnsi="Palatino Linotype" w:cs="Palatino Linotype"/>
          <w:b/>
          <w:i/>
          <w:color w:val="000000" w:themeColor="text1"/>
        </w:rPr>
        <w:t>Artículo 4.-</w:t>
      </w:r>
      <w:r w:rsidRPr="00CC2284">
        <w:rPr>
          <w:rFonts w:ascii="Palatino Linotype" w:eastAsia="Palatino Linotype" w:hAnsi="Palatino Linotype" w:cs="Palatino Linotype"/>
          <w:i/>
          <w:color w:val="000000" w:themeColor="text1"/>
        </w:rPr>
        <w:t xml:space="preserve"> Para los efectos de esta Ley, en las adquisiciones, enajenaciones, arrendamientos y servicios, quedan comprendidos: </w:t>
      </w:r>
    </w:p>
    <w:p w14:paraId="1D81C82D" w14:textId="77777777" w:rsidR="001617FC" w:rsidRPr="00CC2284" w:rsidRDefault="001617FC" w:rsidP="00CC2284">
      <w:pPr>
        <w:spacing w:line="360" w:lineRule="auto"/>
        <w:jc w:val="both"/>
        <w:rPr>
          <w:rFonts w:ascii="Palatino Linotype" w:eastAsia="Palatino Linotype" w:hAnsi="Palatino Linotype" w:cs="Palatino Linotype"/>
          <w:b/>
          <w:i/>
          <w:color w:val="000000" w:themeColor="text1"/>
          <w:u w:val="single"/>
        </w:rPr>
      </w:pPr>
      <w:r w:rsidRPr="00CC2284">
        <w:rPr>
          <w:rFonts w:ascii="Palatino Linotype" w:eastAsia="Palatino Linotype" w:hAnsi="Palatino Linotype" w:cs="Palatino Linotype"/>
          <w:b/>
          <w:i/>
          <w:color w:val="000000" w:themeColor="text1"/>
          <w:u w:val="single"/>
        </w:rPr>
        <w:t xml:space="preserve">I. La adquisición de bienes muebles. </w:t>
      </w:r>
    </w:p>
    <w:p w14:paraId="16E918B4"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 xml:space="preserve">II. La adquisición de bienes inmuebles, a través de compraventa. </w:t>
      </w:r>
    </w:p>
    <w:p w14:paraId="07656745"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 xml:space="preserve">III. La enajenación de bienes muebles e inmuebles. </w:t>
      </w:r>
    </w:p>
    <w:p w14:paraId="5837662E" w14:textId="77777777" w:rsidR="001617FC" w:rsidRPr="00CC2284" w:rsidRDefault="001617FC" w:rsidP="00CC2284">
      <w:pPr>
        <w:spacing w:line="360" w:lineRule="auto"/>
        <w:jc w:val="both"/>
        <w:rPr>
          <w:rFonts w:ascii="Palatino Linotype" w:eastAsia="Palatino Linotype" w:hAnsi="Palatino Linotype" w:cs="Palatino Linotype"/>
          <w:b/>
          <w:i/>
          <w:color w:val="000000" w:themeColor="text1"/>
          <w:u w:val="single"/>
        </w:rPr>
      </w:pPr>
      <w:r w:rsidRPr="00CC2284">
        <w:rPr>
          <w:rFonts w:ascii="Palatino Linotype" w:eastAsia="Palatino Linotype" w:hAnsi="Palatino Linotype" w:cs="Palatino Linotype"/>
          <w:b/>
          <w:i/>
          <w:color w:val="000000" w:themeColor="text1"/>
          <w:u w:val="single"/>
        </w:rPr>
        <w:t xml:space="preserve">IV. El arrendamiento de bienes muebles e inmuebles. </w:t>
      </w:r>
    </w:p>
    <w:p w14:paraId="6057E1AE" w14:textId="77777777" w:rsidR="001617FC" w:rsidRPr="00CC2284" w:rsidRDefault="001617FC" w:rsidP="00CC2284">
      <w:pPr>
        <w:spacing w:line="360" w:lineRule="auto"/>
        <w:jc w:val="both"/>
        <w:rPr>
          <w:rFonts w:ascii="Palatino Linotype" w:eastAsia="Palatino Linotype" w:hAnsi="Palatino Linotype" w:cs="Palatino Linotype"/>
          <w:b/>
          <w:i/>
          <w:color w:val="000000" w:themeColor="text1"/>
          <w:u w:val="single"/>
        </w:rPr>
      </w:pPr>
      <w:r w:rsidRPr="00CC2284">
        <w:rPr>
          <w:rFonts w:ascii="Palatino Linotype" w:eastAsia="Palatino Linotype" w:hAnsi="Palatino Linotype" w:cs="Palatino Linotype"/>
          <w:b/>
          <w:i/>
          <w:color w:val="000000" w:themeColor="text1"/>
          <w:u w:val="single"/>
        </w:rPr>
        <w:t xml:space="preserve">V. La contratación de los servicios, relacionados con bienes muebles que se encuentran incorporados o adheridos a bienes inmuebles, cuya instalación o mantenimiento no implique modificación al bien inmueble. </w:t>
      </w:r>
    </w:p>
    <w:p w14:paraId="2679AA6D"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 xml:space="preserve">VI. La contratación de los servicios de reconstrucción y mantenimiento de bienes muebles. </w:t>
      </w:r>
    </w:p>
    <w:p w14:paraId="248BE5C0"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u w:val="single"/>
        </w:rPr>
        <w:t xml:space="preserve">VII. La contratación de los servicios </w:t>
      </w:r>
      <w:r w:rsidRPr="00CC2284">
        <w:rPr>
          <w:rFonts w:ascii="Palatino Linotype" w:eastAsia="Palatino Linotype" w:hAnsi="Palatino Linotype" w:cs="Palatino Linotype"/>
          <w:i/>
          <w:color w:val="000000" w:themeColor="text1"/>
        </w:rPr>
        <w:t>de maquila, seguros y transportación, así como de los de limpieza y vigilancia de bienes inmuebles</w:t>
      </w:r>
    </w:p>
    <w:p w14:paraId="25F9BB89"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 xml:space="preserve">VIII. La prestación de servicios profesionales, la contratación de consultorías, asesorías y estudios e investigaciones, excepto la contratación de servicios personales de personas físicas bajo el régimen de honorarios. </w:t>
      </w:r>
    </w:p>
    <w:p w14:paraId="789C46DD" w14:textId="77777777" w:rsidR="001617FC" w:rsidRPr="00CC2284" w:rsidRDefault="001617FC" w:rsidP="00CC2284">
      <w:pPr>
        <w:spacing w:line="360" w:lineRule="auto"/>
        <w:jc w:val="both"/>
        <w:rPr>
          <w:rFonts w:ascii="Palatino Linotype" w:eastAsia="Palatino Linotype" w:hAnsi="Palatino Linotype" w:cs="Palatino Linotype"/>
          <w:b/>
          <w:i/>
          <w:color w:val="000000" w:themeColor="text1"/>
          <w:u w:val="single"/>
        </w:rPr>
      </w:pPr>
      <w:r w:rsidRPr="00CC2284">
        <w:rPr>
          <w:rFonts w:ascii="Palatino Linotype" w:eastAsia="Palatino Linotype" w:hAnsi="Palatino Linotype" w:cs="Palatino Linotype"/>
          <w:b/>
          <w:i/>
          <w:color w:val="000000" w:themeColor="text1"/>
          <w:u w:val="single"/>
        </w:rPr>
        <w:t>En general, otros actos que impliquen la contratación de servicios de cualquier naturaleza.</w:t>
      </w:r>
    </w:p>
    <w:p w14:paraId="1E579329" w14:textId="77777777" w:rsidR="001617FC" w:rsidRPr="00CC2284" w:rsidRDefault="001617FC" w:rsidP="00CC2284">
      <w:pPr>
        <w:spacing w:line="360" w:lineRule="auto"/>
        <w:jc w:val="both"/>
        <w:rPr>
          <w:rFonts w:ascii="Palatino Linotype" w:eastAsia="Palatino Linotype" w:hAnsi="Palatino Linotype" w:cs="Palatino Linotype"/>
          <w:b/>
          <w:i/>
          <w:color w:val="000000" w:themeColor="text1"/>
        </w:rPr>
      </w:pPr>
      <w:r w:rsidRPr="00CC2284">
        <w:rPr>
          <w:rFonts w:ascii="Palatino Linotype" w:eastAsia="Palatino Linotype" w:hAnsi="Palatino Linotype" w:cs="Palatino Linotype"/>
          <w:b/>
          <w:i/>
          <w:color w:val="000000" w:themeColor="text1"/>
        </w:rPr>
        <w:t>Artículo 26.- Las adquisiciones, arrendamientos y servicios se adjudicarán a través de licitaciones públicas, mediante convocatoria pública.</w:t>
      </w:r>
    </w:p>
    <w:p w14:paraId="20B53D93" w14:textId="77777777" w:rsidR="001617FC" w:rsidRPr="00CC2284" w:rsidRDefault="001617FC" w:rsidP="00CC2284">
      <w:pPr>
        <w:spacing w:line="360" w:lineRule="auto"/>
        <w:jc w:val="both"/>
        <w:rPr>
          <w:rFonts w:ascii="Palatino Linotype" w:eastAsia="Palatino Linotype" w:hAnsi="Palatino Linotype" w:cs="Palatino Linotype"/>
          <w:b/>
          <w:i/>
          <w:color w:val="000000" w:themeColor="text1"/>
        </w:rPr>
      </w:pPr>
    </w:p>
    <w:p w14:paraId="6407F449"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lastRenderedPageBreak/>
        <w:t xml:space="preserve">Artículo 27.- </w:t>
      </w:r>
      <w:r w:rsidRPr="00CC2284">
        <w:rPr>
          <w:rFonts w:ascii="Palatino Linotype" w:eastAsia="Palatino Linotype" w:hAnsi="Palatino Linotype" w:cs="Palatino Linotype"/>
          <w:i/>
          <w:color w:val="000000" w:themeColor="text1"/>
        </w:rPr>
        <w:t xml:space="preserve">La Secretaría, las entidades, los tribunales administrativos y los ayuntamientos podrán adjudicar adquisiciones, arrendamientos y servicios, mediante las excepciones al procedimiento de licitación que a continuación se señalan: </w:t>
      </w:r>
    </w:p>
    <w:p w14:paraId="20338417" w14:textId="77777777" w:rsidR="001617FC" w:rsidRPr="00CC2284" w:rsidRDefault="001617FC" w:rsidP="00CC2284">
      <w:pPr>
        <w:spacing w:line="360" w:lineRule="auto"/>
        <w:jc w:val="both"/>
        <w:rPr>
          <w:rFonts w:ascii="Palatino Linotype" w:eastAsia="Palatino Linotype" w:hAnsi="Palatino Linotype" w:cs="Palatino Linotype"/>
          <w:b/>
          <w:i/>
          <w:color w:val="000000" w:themeColor="text1"/>
        </w:rPr>
      </w:pPr>
      <w:r w:rsidRPr="00CC2284">
        <w:rPr>
          <w:rFonts w:ascii="Palatino Linotype" w:eastAsia="Palatino Linotype" w:hAnsi="Palatino Linotype" w:cs="Palatino Linotype"/>
          <w:b/>
          <w:i/>
          <w:color w:val="000000" w:themeColor="text1"/>
        </w:rPr>
        <w:t xml:space="preserve">I. Invitación restringida. </w:t>
      </w:r>
    </w:p>
    <w:p w14:paraId="735F2B96" w14:textId="77777777" w:rsidR="001617FC" w:rsidRPr="00CC2284" w:rsidRDefault="001617FC" w:rsidP="00CC2284">
      <w:pPr>
        <w:spacing w:line="360" w:lineRule="auto"/>
        <w:jc w:val="both"/>
        <w:rPr>
          <w:rFonts w:ascii="Palatino Linotype" w:eastAsia="Palatino Linotype" w:hAnsi="Palatino Linotype" w:cs="Palatino Linotype"/>
          <w:b/>
          <w:i/>
          <w:color w:val="000000" w:themeColor="text1"/>
        </w:rPr>
      </w:pPr>
      <w:r w:rsidRPr="00CC2284">
        <w:rPr>
          <w:rFonts w:ascii="Palatino Linotype" w:eastAsia="Palatino Linotype" w:hAnsi="Palatino Linotype" w:cs="Palatino Linotype"/>
          <w:b/>
          <w:i/>
          <w:color w:val="000000" w:themeColor="text1"/>
        </w:rPr>
        <w:t>II. Adjudicación directa.”</w:t>
      </w:r>
    </w:p>
    <w:p w14:paraId="25181367" w14:textId="77777777" w:rsidR="001617FC" w:rsidRPr="00CC2284" w:rsidRDefault="001617FC" w:rsidP="00EF7B8A">
      <w:pPr>
        <w:spacing w:line="360" w:lineRule="auto"/>
        <w:jc w:val="right"/>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(Énfasis añadido) </w:t>
      </w:r>
    </w:p>
    <w:p w14:paraId="27AD1E47"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p>
    <w:p w14:paraId="376F44B0" w14:textId="77777777"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Así, en lo que respecta sobre la licitación pública, el artículo 29 de la Ley de la </w:t>
      </w:r>
      <w:r w:rsidRPr="00CC2284">
        <w:rPr>
          <w:rFonts w:ascii="Palatino Linotype" w:hAnsi="Palatino Linotype"/>
          <w:color w:val="000000" w:themeColor="text1"/>
        </w:rPr>
        <w:t>Contratación</w:t>
      </w:r>
      <w:r w:rsidRPr="00CC2284">
        <w:rPr>
          <w:rFonts w:ascii="Palatino Linotype" w:eastAsia="Palatino Linotype" w:hAnsi="Palatino Linotype" w:cs="Palatino Linotype"/>
          <w:color w:val="000000" w:themeColor="text1"/>
        </w:rPr>
        <w:t xml:space="preserve">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03283B90" w14:textId="77777777" w:rsidR="0012027D" w:rsidRPr="00CC2284" w:rsidRDefault="0012027D" w:rsidP="00CC2284">
      <w:pPr>
        <w:spacing w:line="360" w:lineRule="auto"/>
        <w:contextualSpacing/>
        <w:jc w:val="both"/>
        <w:rPr>
          <w:rFonts w:ascii="Palatino Linotype" w:eastAsia="Palatino Linotype" w:hAnsi="Palatino Linotype" w:cs="Palatino Linotype"/>
          <w:color w:val="000000" w:themeColor="text1"/>
        </w:rPr>
      </w:pPr>
    </w:p>
    <w:p w14:paraId="311D8C3A" w14:textId="77777777"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55995A05" w14:textId="77777777" w:rsidR="001617FC" w:rsidRPr="00CC2284" w:rsidRDefault="001617FC" w:rsidP="00CC228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771F608F" w14:textId="77777777"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Por lo que, en las licitaciones se debe seguir el procedimiento marcado en el artículo 35 del precitado ordenamiento, que literalmente establece:</w:t>
      </w:r>
    </w:p>
    <w:p w14:paraId="69925AB9" w14:textId="77777777" w:rsidR="00140617" w:rsidRDefault="00140617" w:rsidP="00CC2284">
      <w:pPr>
        <w:spacing w:line="360" w:lineRule="auto"/>
        <w:jc w:val="both"/>
        <w:rPr>
          <w:rFonts w:ascii="Palatino Linotype" w:eastAsia="Palatino Linotype" w:hAnsi="Palatino Linotype" w:cs="Palatino Linotype"/>
          <w:b/>
          <w:i/>
          <w:color w:val="000000" w:themeColor="text1"/>
        </w:rPr>
      </w:pPr>
    </w:p>
    <w:p w14:paraId="61576359"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“Artículo 35</w:t>
      </w:r>
      <w:r w:rsidRPr="00CC2284">
        <w:rPr>
          <w:rFonts w:ascii="Palatino Linotype" w:eastAsia="Palatino Linotype" w:hAnsi="Palatino Linotype" w:cs="Palatino Linotype"/>
          <w:i/>
          <w:color w:val="000000" w:themeColor="text1"/>
        </w:rPr>
        <w:t>.- En los procedimientos de licitación pública se observará lo siguiente:</w:t>
      </w:r>
    </w:p>
    <w:p w14:paraId="708B3E52"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lastRenderedPageBreak/>
        <w:t>I. El acto de presentación y apertura de propuestas se llevará a cabo por el servidor público que designe la convocante, conforme al procedimiento que se establezca en el reglamento de esta Ley.</w:t>
      </w:r>
    </w:p>
    <w:p w14:paraId="28E2CCB2"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II. El comité de adquisiciones y servicios evaluará y analizará las propuestas técnicas y económicas presentadas por los licitantes en el ámbito de las respectivas competencias de sus integrantes, y emitirá el dictamen de adjudicación.</w:t>
      </w:r>
    </w:p>
    <w:p w14:paraId="1FD39AB6"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u w:val="single"/>
        </w:rPr>
      </w:pPr>
      <w:r w:rsidRPr="00CC2284">
        <w:rPr>
          <w:rFonts w:ascii="Palatino Linotype" w:eastAsia="Palatino Linotype" w:hAnsi="Palatino Linotype" w:cs="Palatino Linotype"/>
          <w:i/>
          <w:color w:val="000000" w:themeColor="text1"/>
          <w:u w:val="single"/>
        </w:rPr>
        <w:t xml:space="preserve">III. Las bases de licitación se pondrán a la venta a partir de la fecha de publicación de la convocatoria y hasta el día hábil anterior a la fecha de celebración </w:t>
      </w:r>
      <w:r w:rsidRPr="00CC2284">
        <w:rPr>
          <w:rFonts w:ascii="Palatino Linotype" w:eastAsia="Palatino Linotype" w:hAnsi="Palatino Linotype" w:cs="Palatino Linotype"/>
          <w:b/>
          <w:i/>
          <w:color w:val="000000" w:themeColor="text1"/>
          <w:u w:val="single"/>
        </w:rPr>
        <w:t>de la junta de aclaraciones</w:t>
      </w:r>
      <w:r w:rsidRPr="00CC2284">
        <w:rPr>
          <w:rFonts w:ascii="Palatino Linotype" w:eastAsia="Palatino Linotype" w:hAnsi="Palatino Linotype" w:cs="Palatino Linotype"/>
          <w:i/>
          <w:color w:val="000000" w:themeColor="text1"/>
          <w:u w:val="single"/>
        </w:rPr>
        <w:t xml:space="preserve"> o, en su defecto, del acto de presentación y apertura de propuestas.</w:t>
      </w:r>
    </w:p>
    <w:p w14:paraId="13E30DFD"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IV. Las convocantes podrán modificar los plazos y términos establecidos en la convocatoria o en las bases de licitación, hasta cinco días hábiles anteriores a la fecha de la celebración del acto de presentación y apertura de propuestas.</w:t>
      </w:r>
    </w:p>
    <w:p w14:paraId="089C5C89"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V. Las modificaciones no podrán limitar el número de licitantes, sustituir o variar sustancialmente los bienes o servicios convocados originalmente, ni adicionar otros  distintos.</w:t>
      </w:r>
    </w:p>
    <w:p w14:paraId="71969B07"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VI. Las modificaciones a la convocatoria o a las bases se harán del conocimiento de los interesados hasta tres días hábiles antes de la fecha señalada para el acto de presentación y apertura de propuestas.</w:t>
      </w:r>
    </w:p>
    <w:p w14:paraId="39C662A4"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VII. Se emitirá el fallo dentro de los 15 días hábiles siguientes a la publicación de la convocatoria.</w:t>
      </w:r>
    </w:p>
    <w:p w14:paraId="0AC2F43D"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VIII. Los licitantes se podrán registrar hasta el día y la hora fijados para el acto de presentación y apertura de propuestas.</w:t>
      </w:r>
      <w:r w:rsidRPr="00CC2284">
        <w:rPr>
          <w:rFonts w:ascii="Palatino Linotype" w:eastAsia="Palatino Linotype" w:hAnsi="Palatino Linotype" w:cs="Palatino Linotype"/>
          <w:b/>
          <w:i/>
          <w:color w:val="000000" w:themeColor="text1"/>
        </w:rPr>
        <w:t>”</w:t>
      </w:r>
    </w:p>
    <w:p w14:paraId="742086A6" w14:textId="77777777" w:rsidR="001617FC" w:rsidRPr="00CC2284" w:rsidRDefault="001617FC" w:rsidP="00CC2284">
      <w:pPr>
        <w:spacing w:line="360" w:lineRule="auto"/>
        <w:jc w:val="right"/>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(Énfasis añadido)</w:t>
      </w:r>
    </w:p>
    <w:p w14:paraId="568B5896" w14:textId="77777777" w:rsidR="001617FC" w:rsidRPr="00CC2284" w:rsidRDefault="001617FC" w:rsidP="00CC2284">
      <w:pPr>
        <w:spacing w:line="360" w:lineRule="auto"/>
        <w:jc w:val="right"/>
        <w:rPr>
          <w:rFonts w:ascii="Palatino Linotype" w:eastAsia="Palatino Linotype" w:hAnsi="Palatino Linotype" w:cs="Palatino Linotype"/>
          <w:color w:val="000000" w:themeColor="text1"/>
        </w:rPr>
      </w:pPr>
    </w:p>
    <w:p w14:paraId="1EDA7AE1" w14:textId="77777777"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Del precepto legal, se desprende que al Comité de Adquisiciones y Servicios, le corresponde evaluar y analizar las propuestas técnicas y económicas presentadas por los licitantes en el ámbito de las respectivas competencias de sus integrantes, debiendo emitir </w:t>
      </w:r>
      <w:r w:rsidRPr="00CC2284">
        <w:rPr>
          <w:rFonts w:ascii="Palatino Linotype" w:eastAsia="Palatino Linotype" w:hAnsi="Palatino Linotype" w:cs="Palatino Linotype"/>
          <w:color w:val="000000" w:themeColor="text1"/>
        </w:rPr>
        <w:lastRenderedPageBreak/>
        <w:t>para ello un dictamen de adjudicación y conforme a dicho dictamen se deberá emitir el fallo dentro de los quince días hábiles siguientes a la publicación de la convocatoria.</w:t>
      </w:r>
    </w:p>
    <w:p w14:paraId="3EA8C4DB" w14:textId="77777777" w:rsidR="001617FC" w:rsidRPr="00CC2284" w:rsidRDefault="001617FC" w:rsidP="00CC228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B94EB75" w14:textId="77777777"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Además, respecto al dictamen y el fallo de la adjudicación, es de señalar que la Ley en mención indica lo siguiente:</w:t>
      </w:r>
    </w:p>
    <w:p w14:paraId="4B19E8E8"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“Artículo 37.-</w:t>
      </w:r>
      <w:r w:rsidRPr="00CC2284">
        <w:rPr>
          <w:rFonts w:ascii="Palatino Linotype" w:eastAsia="Palatino Linotype" w:hAnsi="Palatino Linotype" w:cs="Palatino Linotype"/>
          <w:i/>
          <w:color w:val="000000" w:themeColor="text1"/>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45FEEBE7"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p>
    <w:p w14:paraId="3C08DA6F"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Artículo 38.-</w:t>
      </w:r>
      <w:r w:rsidRPr="00CC2284">
        <w:rPr>
          <w:rFonts w:ascii="Palatino Linotype" w:eastAsia="Palatino Linotype" w:hAnsi="Palatino Linotype" w:cs="Palatino Linotype"/>
          <w:i/>
          <w:color w:val="000000" w:themeColor="text1"/>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3AB0991C"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CC2284">
        <w:rPr>
          <w:rFonts w:ascii="Palatino Linotype" w:eastAsia="Palatino Linotype" w:hAnsi="Palatino Linotype" w:cs="Palatino Linotype"/>
          <w:b/>
          <w:i/>
          <w:color w:val="000000" w:themeColor="text1"/>
        </w:rPr>
        <w:t>”</w:t>
      </w:r>
      <w:r w:rsidRPr="00CC2284">
        <w:rPr>
          <w:rFonts w:ascii="Palatino Linotype" w:eastAsia="Palatino Linotype" w:hAnsi="Palatino Linotype" w:cs="Palatino Linotype"/>
          <w:i/>
          <w:color w:val="000000" w:themeColor="text1"/>
        </w:rPr>
        <w:t xml:space="preserve"> </w:t>
      </w:r>
    </w:p>
    <w:p w14:paraId="23EE9746"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p>
    <w:p w14:paraId="132E1294" w14:textId="77777777"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lastRenderedPageBreak/>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698B6971" w14:textId="77777777" w:rsidR="001617FC" w:rsidRPr="00CC2284" w:rsidRDefault="001617FC" w:rsidP="00CC228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458FE4D" w14:textId="77777777"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0520992E" w14:textId="0E1CF0C9"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“Artículo 46.-</w:t>
      </w:r>
      <w:r w:rsidRPr="00CC2284">
        <w:rPr>
          <w:rFonts w:ascii="Palatino Linotype" w:eastAsia="Palatino Linotype" w:hAnsi="Palatino Linotype" w:cs="Palatino Linotype"/>
          <w:i/>
          <w:color w:val="000000" w:themeColor="text1"/>
        </w:rPr>
        <w:t xml:space="preserve"> El procedimiento de invitación restringida se desarrollará en los términos de la licitación pública, a excepción de la public</w:t>
      </w:r>
      <w:r w:rsidR="0012027D" w:rsidRPr="00CC2284">
        <w:rPr>
          <w:rFonts w:ascii="Palatino Linotype" w:eastAsia="Palatino Linotype" w:hAnsi="Palatino Linotype" w:cs="Palatino Linotype"/>
          <w:i/>
          <w:color w:val="000000" w:themeColor="text1"/>
        </w:rPr>
        <w:t xml:space="preserve">ación de la convocatoria.” </w:t>
      </w:r>
    </w:p>
    <w:p w14:paraId="4EA13EF2"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Por ello, el Reglamento de la Ley en comento, en su artículo 90, indica cuales lo son los supuestos que deberán observarse para llevar a cabo dicho procedimiento:</w:t>
      </w:r>
    </w:p>
    <w:p w14:paraId="6E7484E9"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p>
    <w:p w14:paraId="1AF89D76"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Artículo 90.-</w:t>
      </w:r>
      <w:r w:rsidRPr="00CC2284">
        <w:rPr>
          <w:rFonts w:ascii="Palatino Linotype" w:eastAsia="Palatino Linotype" w:hAnsi="Palatino Linotype" w:cs="Palatino Linotype"/>
          <w:i/>
          <w:color w:val="000000" w:themeColor="text1"/>
        </w:rPr>
        <w:t xml:space="preserve"> En el procedimiento de invitación restringida se deberá observar lo siguiente:</w:t>
      </w:r>
    </w:p>
    <w:p w14:paraId="4EBD7FA6"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p>
    <w:p w14:paraId="56D6DD98"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I. Se invitará a un mínimo de tres personas seleccionadas de entre las que se encuentren inscritas en el catálogo de proveedores y de prestadores de servicios.</w:t>
      </w:r>
    </w:p>
    <w:p w14:paraId="0BFFE557"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Se podrá invitar a personas que no se encuentren inscritas, cuando en el giro correspondiente del catálogo de proveedores y prestadores de servicios no exista el registro mínimo de personas requeridas para tal modalidad;</w:t>
      </w:r>
    </w:p>
    <w:p w14:paraId="730DFB44"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II. Las bases de la invitación restringida indicarán los aspectos de la adquisición o contratación; y</w:t>
      </w:r>
    </w:p>
    <w:p w14:paraId="7A6D5689" w14:textId="77777777" w:rsidR="001617FC" w:rsidRPr="00CC2284" w:rsidRDefault="001617FC" w:rsidP="00CC2284">
      <w:pPr>
        <w:spacing w:line="360" w:lineRule="auto"/>
        <w:jc w:val="both"/>
        <w:rPr>
          <w:rFonts w:ascii="Palatino Linotype" w:eastAsia="Palatino Linotype" w:hAnsi="Palatino Linotype" w:cs="Palatino Linotype"/>
          <w:b/>
          <w:i/>
          <w:color w:val="000000" w:themeColor="text1"/>
        </w:rPr>
      </w:pPr>
      <w:r w:rsidRPr="00CC2284">
        <w:rPr>
          <w:rFonts w:ascii="Palatino Linotype" w:eastAsia="Palatino Linotype" w:hAnsi="Palatino Linotype" w:cs="Palatino Linotype"/>
          <w:i/>
          <w:color w:val="000000" w:themeColor="text1"/>
        </w:rPr>
        <w:t>III. Serán aplicables, en lo conducente, las disposiciones de la licitación pública.</w:t>
      </w:r>
      <w:r w:rsidRPr="00CC2284">
        <w:rPr>
          <w:rFonts w:ascii="Palatino Linotype" w:eastAsia="Palatino Linotype" w:hAnsi="Palatino Linotype" w:cs="Palatino Linotype"/>
          <w:b/>
          <w:i/>
          <w:color w:val="000000" w:themeColor="text1"/>
        </w:rPr>
        <w:t>”</w:t>
      </w:r>
    </w:p>
    <w:p w14:paraId="733F2D83" w14:textId="77777777" w:rsidR="001617FC"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lastRenderedPageBreak/>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26A040A3" w14:textId="77777777" w:rsidR="00EF7B8A" w:rsidRPr="00CC2284" w:rsidRDefault="00EF7B8A" w:rsidP="00EF7B8A">
      <w:pPr>
        <w:spacing w:line="360" w:lineRule="auto"/>
        <w:contextualSpacing/>
        <w:jc w:val="both"/>
        <w:rPr>
          <w:rFonts w:ascii="Palatino Linotype" w:eastAsia="Palatino Linotype" w:hAnsi="Palatino Linotype" w:cs="Palatino Linotype"/>
          <w:color w:val="000000" w:themeColor="text1"/>
        </w:rPr>
      </w:pPr>
    </w:p>
    <w:p w14:paraId="7E8BD46C" w14:textId="77777777"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Por último, y en cuanto hace a la adjudicación directa, el artículo 48 de la Ley de la Contratación Pública del Estado de México y Municipios y 91 del Reglamento de dicha Ley, indican en qué supuestos puede llevarse a cabo este procedimiento.</w:t>
      </w:r>
    </w:p>
    <w:p w14:paraId="55613229" w14:textId="77777777" w:rsidR="001617FC" w:rsidRPr="00CC2284" w:rsidRDefault="001617FC" w:rsidP="00CC228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0CCE43B6" w14:textId="77777777"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60085769" w14:textId="77777777" w:rsidR="001617FC" w:rsidRPr="00CC2284" w:rsidRDefault="001617FC" w:rsidP="00CC228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3B0E3D1F" w14:textId="77777777"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En este sentido, debe decirse que los </w:t>
      </w:r>
      <w:r w:rsidRPr="00CC2284">
        <w:rPr>
          <w:rFonts w:ascii="Palatino Linotype" w:eastAsia="Palatino Linotype" w:hAnsi="Palatino Linotype" w:cs="Palatino Linotype"/>
          <w:b/>
          <w:color w:val="000000" w:themeColor="text1"/>
          <w:u w:val="single"/>
        </w:rPr>
        <w:t>expedientes de las adquisiciones, arrendamientos, enajenaciones y servicios</w:t>
      </w:r>
      <w:r w:rsidRPr="00CC2284">
        <w:rPr>
          <w:rFonts w:ascii="Palatino Linotype" w:eastAsia="Palatino Linotype" w:hAnsi="Palatino Linotype" w:cs="Palatino Linotype"/>
          <w:color w:val="000000" w:themeColor="text1"/>
        </w:rPr>
        <w:t>,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2DC99A31" w14:textId="77777777" w:rsidR="001617FC" w:rsidRPr="00CC2284" w:rsidRDefault="001617FC" w:rsidP="00CC2284">
      <w:pPr>
        <w:pStyle w:val="Prrafodelista"/>
        <w:spacing w:line="360" w:lineRule="auto"/>
        <w:ind w:left="0"/>
        <w:rPr>
          <w:rFonts w:ascii="Palatino Linotype" w:eastAsia="Palatino Linotype" w:hAnsi="Palatino Linotype" w:cs="Palatino Linotype"/>
          <w:color w:val="000000" w:themeColor="text1"/>
        </w:rPr>
      </w:pPr>
    </w:p>
    <w:p w14:paraId="2C4BB045"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lastRenderedPageBreak/>
        <w:t>“Artículo 92. </w:t>
      </w:r>
      <w:r w:rsidRPr="00CC2284">
        <w:rPr>
          <w:rFonts w:ascii="Palatino Linotype" w:eastAsia="Palatino Linotype" w:hAnsi="Palatino Linotype" w:cs="Palatino Linotype"/>
          <w:i/>
          <w:color w:val="000000" w:themeColor="text1"/>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B61105"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i/>
          <w:color w:val="000000" w:themeColor="text1"/>
        </w:rPr>
        <w:t>(…)</w:t>
      </w:r>
    </w:p>
    <w:p w14:paraId="59B7D15E" w14:textId="77777777" w:rsidR="001617FC" w:rsidRPr="00CC2284" w:rsidRDefault="001617FC" w:rsidP="00CC2284">
      <w:pPr>
        <w:spacing w:line="360" w:lineRule="auto"/>
        <w:jc w:val="both"/>
        <w:rPr>
          <w:rFonts w:ascii="Palatino Linotype" w:eastAsia="Palatino Linotype" w:hAnsi="Palatino Linotype" w:cs="Palatino Linotype"/>
          <w:b/>
          <w:i/>
          <w:color w:val="000000" w:themeColor="text1"/>
        </w:rPr>
      </w:pPr>
    </w:p>
    <w:p w14:paraId="7BE7FA5B"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XXIX. </w:t>
      </w:r>
      <w:r w:rsidRPr="00CC2284">
        <w:rPr>
          <w:rFonts w:ascii="Palatino Linotype" w:eastAsia="Palatino Linotype" w:hAnsi="Palatino Linotype" w:cs="Palatino Linotype"/>
          <w:i/>
          <w:color w:val="000000" w:themeColor="text1"/>
        </w:rPr>
        <w:t>La información sobre los procesos y resultados sobre procedimientos de adjudicación directa, invitación restringida y licitación de cualquier naturaleza, </w:t>
      </w:r>
      <w:r w:rsidRPr="00CC2284">
        <w:rPr>
          <w:rFonts w:ascii="Palatino Linotype" w:eastAsia="Palatino Linotype" w:hAnsi="Palatino Linotype" w:cs="Palatino Linotype"/>
          <w:b/>
          <w:i/>
          <w:color w:val="000000" w:themeColor="text1"/>
          <w:u w:val="single"/>
        </w:rPr>
        <w:t>incluyendo la versión pública del expediente respectivo y de los contratos</w:t>
      </w:r>
      <w:r w:rsidRPr="00CC2284">
        <w:rPr>
          <w:rFonts w:ascii="Palatino Linotype" w:eastAsia="Palatino Linotype" w:hAnsi="Palatino Linotype" w:cs="Palatino Linotype"/>
          <w:i/>
          <w:color w:val="000000" w:themeColor="text1"/>
        </w:rPr>
        <w:t> celebrados, que deberán contener, por los menos, lo siguiente:</w:t>
      </w:r>
    </w:p>
    <w:p w14:paraId="0D7C74E4"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a) </w:t>
      </w:r>
      <w:r w:rsidRPr="00CC2284">
        <w:rPr>
          <w:rFonts w:ascii="Palatino Linotype" w:eastAsia="Palatino Linotype" w:hAnsi="Palatino Linotype" w:cs="Palatino Linotype"/>
          <w:i/>
          <w:color w:val="000000" w:themeColor="text1"/>
        </w:rPr>
        <w:t>De licitaciones públicas o procedimientos de invitación restringida:</w:t>
      </w:r>
    </w:p>
    <w:p w14:paraId="7A9CFDCE"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1)</w:t>
      </w:r>
      <w:r w:rsidRPr="00CC2284">
        <w:rPr>
          <w:rFonts w:ascii="Palatino Linotype" w:eastAsia="Palatino Linotype" w:hAnsi="Palatino Linotype" w:cs="Palatino Linotype"/>
          <w:i/>
          <w:color w:val="000000" w:themeColor="text1"/>
        </w:rPr>
        <w:t> La convocatoria o invitación emitida, así como los fundamentos legales aplicados para llevarla a cabo;</w:t>
      </w:r>
    </w:p>
    <w:p w14:paraId="73C1C3C4"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2) </w:t>
      </w:r>
      <w:r w:rsidRPr="00CC2284">
        <w:rPr>
          <w:rFonts w:ascii="Palatino Linotype" w:eastAsia="Palatino Linotype" w:hAnsi="Palatino Linotype" w:cs="Palatino Linotype"/>
          <w:i/>
          <w:color w:val="000000" w:themeColor="text1"/>
        </w:rPr>
        <w:t>Los nombres de los participantes o invitados;</w:t>
      </w:r>
    </w:p>
    <w:p w14:paraId="6B8020D3"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3)</w:t>
      </w:r>
      <w:r w:rsidRPr="00CC2284">
        <w:rPr>
          <w:rFonts w:ascii="Palatino Linotype" w:eastAsia="Palatino Linotype" w:hAnsi="Palatino Linotype" w:cs="Palatino Linotype"/>
          <w:i/>
          <w:color w:val="000000" w:themeColor="text1"/>
        </w:rPr>
        <w:t> El nombre del ganador y las razones que lo justifican;</w:t>
      </w:r>
    </w:p>
    <w:p w14:paraId="2D782AC6"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4) </w:t>
      </w:r>
      <w:r w:rsidRPr="00CC2284">
        <w:rPr>
          <w:rFonts w:ascii="Palatino Linotype" w:eastAsia="Palatino Linotype" w:hAnsi="Palatino Linotype" w:cs="Palatino Linotype"/>
          <w:i/>
          <w:color w:val="000000" w:themeColor="text1"/>
        </w:rPr>
        <w:t>El área solicitante y la responsable de su ejecución;</w:t>
      </w:r>
    </w:p>
    <w:p w14:paraId="760DCBF6"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5) </w:t>
      </w:r>
      <w:r w:rsidRPr="00CC2284">
        <w:rPr>
          <w:rFonts w:ascii="Palatino Linotype" w:eastAsia="Palatino Linotype" w:hAnsi="Palatino Linotype" w:cs="Palatino Linotype"/>
          <w:i/>
          <w:color w:val="000000" w:themeColor="text1"/>
        </w:rPr>
        <w:t>Las convocatorias e invitaciones emitidas;</w:t>
      </w:r>
    </w:p>
    <w:p w14:paraId="0A569B00"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6) Los dictámenes y fallo de adjudicación;</w:t>
      </w:r>
    </w:p>
    <w:p w14:paraId="37850194"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u w:val="single"/>
        </w:rPr>
        <w:t>7) El contrato y, en su caso, sus anexos</w:t>
      </w:r>
      <w:r w:rsidRPr="00CC2284">
        <w:rPr>
          <w:rFonts w:ascii="Palatino Linotype" w:eastAsia="Palatino Linotype" w:hAnsi="Palatino Linotype" w:cs="Palatino Linotype"/>
          <w:i/>
          <w:color w:val="000000" w:themeColor="text1"/>
        </w:rPr>
        <w:t>;</w:t>
      </w:r>
    </w:p>
    <w:p w14:paraId="049A558C" w14:textId="77777777" w:rsidR="001617FC" w:rsidRPr="00CC2284" w:rsidRDefault="001617FC"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8) Los mecanismos de vigilancia y supervisión, incluyendo en su caso, los estudios de impacto urbano y ambiental, según corresponda;</w:t>
      </w:r>
    </w:p>
    <w:p w14:paraId="2FD099FA"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9) </w:t>
      </w:r>
      <w:r w:rsidRPr="00CC2284">
        <w:rPr>
          <w:rFonts w:ascii="Palatino Linotype" w:eastAsia="Palatino Linotype" w:hAnsi="Palatino Linotype" w:cs="Palatino Linotype"/>
          <w:i/>
          <w:color w:val="000000" w:themeColor="text1"/>
        </w:rPr>
        <w:t>La partida presupuestal, de conformidad con el clasificador por objeto del gasto, en el caso de ser aplicable;</w:t>
      </w:r>
    </w:p>
    <w:p w14:paraId="70AFD58C"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i/>
          <w:color w:val="000000" w:themeColor="text1"/>
        </w:rPr>
        <w:lastRenderedPageBreak/>
        <w:t>10) Origen de los recursos especificando si son federales, estatales o municipales, así como el tipo de fondo de participación o aportación respectiva;</w:t>
      </w:r>
    </w:p>
    <w:p w14:paraId="24A051E0"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11) </w:t>
      </w:r>
      <w:r w:rsidRPr="00CC2284">
        <w:rPr>
          <w:rFonts w:ascii="Palatino Linotype" w:eastAsia="Palatino Linotype" w:hAnsi="Palatino Linotype" w:cs="Palatino Linotype"/>
          <w:i/>
          <w:color w:val="000000" w:themeColor="text1"/>
        </w:rPr>
        <w:t>Los convenios modificatorios que, en su caso, sean firmados, precisando el objeto y la fecha de celebración;</w:t>
      </w:r>
    </w:p>
    <w:p w14:paraId="3571B526"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12) </w:t>
      </w:r>
      <w:r w:rsidRPr="00CC2284">
        <w:rPr>
          <w:rFonts w:ascii="Palatino Linotype" w:eastAsia="Palatino Linotype" w:hAnsi="Palatino Linotype" w:cs="Palatino Linotype"/>
          <w:i/>
          <w:color w:val="000000" w:themeColor="text1"/>
        </w:rPr>
        <w:t>Los informes de avance físico y financiero sobre las obras o servicios contratados;</w:t>
      </w:r>
    </w:p>
    <w:p w14:paraId="663F442D"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13) </w:t>
      </w:r>
      <w:r w:rsidRPr="00CC2284">
        <w:rPr>
          <w:rFonts w:ascii="Palatino Linotype" w:eastAsia="Palatino Linotype" w:hAnsi="Palatino Linotype" w:cs="Palatino Linotype"/>
          <w:i/>
          <w:color w:val="000000" w:themeColor="text1"/>
        </w:rPr>
        <w:t>El convenio de terminación; y</w:t>
      </w:r>
    </w:p>
    <w:p w14:paraId="2427563B"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14) </w:t>
      </w:r>
      <w:r w:rsidRPr="00CC2284">
        <w:rPr>
          <w:rFonts w:ascii="Palatino Linotype" w:eastAsia="Palatino Linotype" w:hAnsi="Palatino Linotype" w:cs="Palatino Linotype"/>
          <w:i/>
          <w:color w:val="000000" w:themeColor="text1"/>
        </w:rPr>
        <w:t>El finiquito.</w:t>
      </w:r>
    </w:p>
    <w:p w14:paraId="1423CDC8" w14:textId="77777777" w:rsidR="001617FC" w:rsidRPr="00CC2284" w:rsidRDefault="001617FC" w:rsidP="00CC2284">
      <w:pPr>
        <w:spacing w:line="360" w:lineRule="auto"/>
        <w:jc w:val="both"/>
        <w:rPr>
          <w:rFonts w:ascii="Palatino Linotype" w:eastAsia="Palatino Linotype" w:hAnsi="Palatino Linotype" w:cs="Palatino Linotype"/>
          <w:b/>
          <w:color w:val="000000" w:themeColor="text1"/>
        </w:rPr>
      </w:pPr>
      <w:r w:rsidRPr="00CC2284">
        <w:rPr>
          <w:rFonts w:ascii="Palatino Linotype" w:eastAsia="Palatino Linotype" w:hAnsi="Palatino Linotype" w:cs="Palatino Linotype"/>
          <w:b/>
          <w:i/>
          <w:color w:val="000000" w:themeColor="text1"/>
        </w:rPr>
        <w:t>b) De las adjudicaciones directas:</w:t>
      </w:r>
    </w:p>
    <w:p w14:paraId="3C9A3BE9"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1) </w:t>
      </w:r>
      <w:r w:rsidRPr="00CC2284">
        <w:rPr>
          <w:rFonts w:ascii="Palatino Linotype" w:eastAsia="Palatino Linotype" w:hAnsi="Palatino Linotype" w:cs="Palatino Linotype"/>
          <w:i/>
          <w:color w:val="000000" w:themeColor="text1"/>
        </w:rPr>
        <w:t>La propuesta enviada por el participante;</w:t>
      </w:r>
    </w:p>
    <w:p w14:paraId="03F933B6"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2) </w:t>
      </w:r>
      <w:r w:rsidRPr="00CC2284">
        <w:rPr>
          <w:rFonts w:ascii="Palatino Linotype" w:eastAsia="Palatino Linotype" w:hAnsi="Palatino Linotype" w:cs="Palatino Linotype"/>
          <w:i/>
          <w:color w:val="000000" w:themeColor="text1"/>
        </w:rPr>
        <w:t>Los motivos y fundamentos legales aplicados para llevarla a cabo;</w:t>
      </w:r>
    </w:p>
    <w:p w14:paraId="0A418D56"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3) </w:t>
      </w:r>
      <w:r w:rsidRPr="00CC2284">
        <w:rPr>
          <w:rFonts w:ascii="Palatino Linotype" w:eastAsia="Palatino Linotype" w:hAnsi="Palatino Linotype" w:cs="Palatino Linotype"/>
          <w:i/>
          <w:color w:val="000000" w:themeColor="text1"/>
        </w:rPr>
        <w:t>La autorización del ejercicio de la opción;</w:t>
      </w:r>
    </w:p>
    <w:p w14:paraId="0FD7C2E9"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i/>
          <w:color w:val="000000" w:themeColor="text1"/>
        </w:rPr>
        <w:t>4) En su caso, las cotizaciones consideradas, especificando los nombres de los proveedores y sus montos;</w:t>
      </w:r>
    </w:p>
    <w:p w14:paraId="635D0DA1"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5) </w:t>
      </w:r>
      <w:r w:rsidRPr="00CC2284">
        <w:rPr>
          <w:rFonts w:ascii="Palatino Linotype" w:eastAsia="Palatino Linotype" w:hAnsi="Palatino Linotype" w:cs="Palatino Linotype"/>
          <w:i/>
          <w:color w:val="000000" w:themeColor="text1"/>
        </w:rPr>
        <w:t>El nombre de la persona física o jurídica colectiva adjudicada;</w:t>
      </w:r>
    </w:p>
    <w:p w14:paraId="03E0C10B"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6) </w:t>
      </w:r>
      <w:r w:rsidRPr="00CC2284">
        <w:rPr>
          <w:rFonts w:ascii="Palatino Linotype" w:eastAsia="Palatino Linotype" w:hAnsi="Palatino Linotype" w:cs="Palatino Linotype"/>
          <w:i/>
          <w:color w:val="000000" w:themeColor="text1"/>
        </w:rPr>
        <w:t>La unidad administrativa solicitante y la responsable de su ejecución;</w:t>
      </w:r>
    </w:p>
    <w:p w14:paraId="605A7785"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7)</w:t>
      </w:r>
      <w:r w:rsidRPr="00CC2284">
        <w:rPr>
          <w:rFonts w:ascii="Palatino Linotype" w:eastAsia="Palatino Linotype" w:hAnsi="Palatino Linotype" w:cs="Palatino Linotype"/>
          <w:i/>
          <w:color w:val="000000" w:themeColor="text1"/>
        </w:rPr>
        <w:t> El número, fecha, el monto del contrato y el plazo de entrega o de ejecución de los servicios u obra;</w:t>
      </w:r>
    </w:p>
    <w:p w14:paraId="09A80FD2"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8) </w:t>
      </w:r>
      <w:r w:rsidRPr="00CC2284">
        <w:rPr>
          <w:rFonts w:ascii="Palatino Linotype" w:eastAsia="Palatino Linotype" w:hAnsi="Palatino Linotype" w:cs="Palatino Linotype"/>
          <w:i/>
          <w:color w:val="000000" w:themeColor="text1"/>
        </w:rPr>
        <w:t>Los mecanismos de vigilancia y supervisión, incluyendo, en su caso, los estudios de impacto urbano y ambiental, según corresponda;</w:t>
      </w:r>
    </w:p>
    <w:p w14:paraId="0F73B15A"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9) </w:t>
      </w:r>
      <w:r w:rsidRPr="00CC2284">
        <w:rPr>
          <w:rFonts w:ascii="Palatino Linotype" w:eastAsia="Palatino Linotype" w:hAnsi="Palatino Linotype" w:cs="Palatino Linotype"/>
          <w:i/>
          <w:color w:val="000000" w:themeColor="text1"/>
        </w:rPr>
        <w:t>Los informes de avance sobre las obras o servicios contratados;</w:t>
      </w:r>
    </w:p>
    <w:p w14:paraId="646776CD"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i/>
          <w:color w:val="000000" w:themeColor="text1"/>
        </w:rPr>
        <w:t>10) </w:t>
      </w:r>
      <w:r w:rsidRPr="00CC2284">
        <w:rPr>
          <w:rFonts w:ascii="Palatino Linotype" w:eastAsia="Palatino Linotype" w:hAnsi="Palatino Linotype" w:cs="Palatino Linotype"/>
          <w:i/>
          <w:color w:val="000000" w:themeColor="text1"/>
        </w:rPr>
        <w:t>El convenio de terminación; y</w:t>
      </w:r>
    </w:p>
    <w:p w14:paraId="70457DA5" w14:textId="77777777" w:rsidR="001617FC" w:rsidRPr="00CC2284" w:rsidRDefault="001617FC" w:rsidP="00CC2284">
      <w:pPr>
        <w:spacing w:line="360" w:lineRule="auto"/>
        <w:jc w:val="both"/>
        <w:rPr>
          <w:rFonts w:ascii="Palatino Linotype" w:eastAsia="Palatino Linotype" w:hAnsi="Palatino Linotype" w:cs="Palatino Linotype"/>
          <w:b/>
          <w:i/>
          <w:color w:val="000000" w:themeColor="text1"/>
        </w:rPr>
      </w:pPr>
      <w:r w:rsidRPr="00CC2284">
        <w:rPr>
          <w:rFonts w:ascii="Palatino Linotype" w:eastAsia="Palatino Linotype" w:hAnsi="Palatino Linotype" w:cs="Palatino Linotype"/>
          <w:b/>
          <w:i/>
          <w:color w:val="000000" w:themeColor="text1"/>
        </w:rPr>
        <w:t>11) </w:t>
      </w:r>
      <w:r w:rsidRPr="00CC2284">
        <w:rPr>
          <w:rFonts w:ascii="Palatino Linotype" w:eastAsia="Palatino Linotype" w:hAnsi="Palatino Linotype" w:cs="Palatino Linotype"/>
          <w:i/>
          <w:color w:val="000000" w:themeColor="text1"/>
        </w:rPr>
        <w:t>El finiquito.</w:t>
      </w:r>
      <w:r w:rsidRPr="00CC2284">
        <w:rPr>
          <w:rFonts w:ascii="Palatino Linotype" w:eastAsia="Palatino Linotype" w:hAnsi="Palatino Linotype" w:cs="Palatino Linotype"/>
          <w:b/>
          <w:i/>
          <w:color w:val="000000" w:themeColor="text1"/>
        </w:rPr>
        <w:t>”</w:t>
      </w:r>
    </w:p>
    <w:p w14:paraId="34F227B7" w14:textId="77777777" w:rsidR="001617FC" w:rsidRPr="00CC2284" w:rsidRDefault="001617FC" w:rsidP="00CC2284">
      <w:pPr>
        <w:spacing w:line="360" w:lineRule="auto"/>
        <w:jc w:val="both"/>
        <w:rPr>
          <w:rFonts w:ascii="Palatino Linotype" w:eastAsia="Palatino Linotype" w:hAnsi="Palatino Linotype" w:cs="Palatino Linotype"/>
          <w:color w:val="000000" w:themeColor="text1"/>
        </w:rPr>
      </w:pPr>
    </w:p>
    <w:p w14:paraId="48EA6C39" w14:textId="3ACDEB08"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lastRenderedPageBreak/>
        <w:t>En consecuencia, se determina que ciertamente existe fuente obligacional para celebrar contratos relacionados con la adquisición de bienes y servicios,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6446B141" w14:textId="77777777" w:rsidR="001617FC" w:rsidRPr="00CC2284" w:rsidRDefault="001617FC" w:rsidP="00CC228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070AEFB2" w14:textId="39E266F8" w:rsidR="001617FC" w:rsidRPr="00CC2284" w:rsidRDefault="001617FC"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Los </w:t>
      </w:r>
      <w:r w:rsidR="008041C1" w:rsidRPr="00CC2284">
        <w:rPr>
          <w:rFonts w:ascii="Palatino Linotype" w:eastAsia="Palatino Linotype" w:hAnsi="Palatino Linotype" w:cs="Palatino Linotype"/>
          <w:color w:val="000000" w:themeColor="text1"/>
        </w:rPr>
        <w:t xml:space="preserve">sujetos obligados </w:t>
      </w:r>
      <w:r w:rsidRPr="00CC2284">
        <w:rPr>
          <w:rFonts w:ascii="Palatino Linotype" w:eastAsia="Palatino Linotype" w:hAnsi="Palatino Linotype" w:cs="Palatino Linotype"/>
          <w:color w:val="000000" w:themeColor="text1"/>
        </w:rPr>
        <w:t>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toda la información relativa a dichos procedimientos, desde la convocatoria hasta el fallo de adjudicación, contratos y demás información, conforme a lo dispuesto en la normatividad en la materia.</w:t>
      </w:r>
    </w:p>
    <w:p w14:paraId="3BD99B8D" w14:textId="77777777" w:rsidR="001617FC" w:rsidRPr="00CC2284" w:rsidRDefault="001617FC" w:rsidP="00CC2284">
      <w:pPr>
        <w:pStyle w:val="Prrafodelista"/>
        <w:spacing w:line="360" w:lineRule="auto"/>
        <w:ind w:left="0"/>
        <w:rPr>
          <w:rFonts w:ascii="Palatino Linotype" w:eastAsia="Palatino Linotype" w:hAnsi="Palatino Linotype" w:cs="Palatino Linotype"/>
          <w:color w:val="000000" w:themeColor="text1"/>
        </w:rPr>
      </w:pPr>
    </w:p>
    <w:p w14:paraId="7AC4F792" w14:textId="6DBE6DFD" w:rsidR="00583555" w:rsidRPr="00CC2284" w:rsidRDefault="001617FC" w:rsidP="00CC2284">
      <w:pPr>
        <w:numPr>
          <w:ilvl w:val="0"/>
          <w:numId w:val="1"/>
        </w:numPr>
        <w:spacing w:line="360" w:lineRule="auto"/>
        <w:ind w:left="0" w:firstLine="0"/>
        <w:contextualSpacing/>
        <w:jc w:val="both"/>
        <w:rPr>
          <w:rFonts w:ascii="Palatino Linotype" w:hAnsi="Palatino Linotype"/>
          <w:color w:val="000000" w:themeColor="text1"/>
        </w:rPr>
      </w:pPr>
      <w:r w:rsidRPr="00CC2284">
        <w:rPr>
          <w:rFonts w:ascii="Palatino Linotype" w:hAnsi="Palatino Linotype"/>
          <w:color w:val="000000" w:themeColor="text1"/>
        </w:rPr>
        <w:t xml:space="preserve">Empero, no pasa desapercibido que el particular requiere </w:t>
      </w:r>
      <w:r w:rsidR="004E2829" w:rsidRPr="00CC2284">
        <w:rPr>
          <w:rFonts w:ascii="Palatino Linotype" w:hAnsi="Palatino Linotype"/>
          <w:color w:val="000000" w:themeColor="text1"/>
        </w:rPr>
        <w:t xml:space="preserve">la información </w:t>
      </w:r>
      <w:r w:rsidR="008041C1" w:rsidRPr="00CC2284">
        <w:rPr>
          <w:rFonts w:ascii="Palatino Linotype" w:hAnsi="Palatino Linotype"/>
          <w:color w:val="000000" w:themeColor="text1"/>
        </w:rPr>
        <w:t>relacionada</w:t>
      </w:r>
      <w:r w:rsidR="004E2829" w:rsidRPr="00CC2284">
        <w:rPr>
          <w:rFonts w:ascii="Palatino Linotype" w:hAnsi="Palatino Linotype"/>
          <w:color w:val="000000" w:themeColor="text1"/>
        </w:rPr>
        <w:t xml:space="preserve"> equipo policial, cámaras, torre de vigilancia, vehículos, motocicletas, postes, uniformes, mantenimiento, entre otros, enlistados de manera enunciativa mas no limitativa, </w:t>
      </w:r>
      <w:r w:rsidR="008041C1" w:rsidRPr="00CC2284">
        <w:rPr>
          <w:rFonts w:ascii="Palatino Linotype" w:hAnsi="Palatino Linotype"/>
          <w:color w:val="000000" w:themeColor="text1"/>
        </w:rPr>
        <w:t>del que a su vez se especifiquen</w:t>
      </w:r>
      <w:r w:rsidR="004E2829" w:rsidRPr="00CC2284">
        <w:rPr>
          <w:rFonts w:ascii="Palatino Linotype" w:hAnsi="Palatino Linotype"/>
          <w:color w:val="000000" w:themeColor="text1"/>
        </w:rPr>
        <w:t xml:space="preserve"> sus características. Al respecto es relevante señalar que dada la naturaleza y finalidad de dicho equipamiento, no es procedente dar a conocer sus características técnicas</w:t>
      </w:r>
      <w:r w:rsidR="00583555" w:rsidRPr="00CC2284">
        <w:rPr>
          <w:rFonts w:ascii="Palatino Linotype" w:hAnsi="Palatino Linotype"/>
          <w:color w:val="000000" w:themeColor="text1"/>
        </w:rPr>
        <w:t xml:space="preserve"> </w:t>
      </w:r>
      <w:r w:rsidR="00583555" w:rsidRPr="00CC2284">
        <w:rPr>
          <w:rFonts w:ascii="Palatino Linotype" w:eastAsia="Calibri" w:hAnsi="Palatino Linotype" w:cs="Tahoma"/>
          <w:bCs/>
          <w:iCs/>
          <w:color w:val="000000" w:themeColor="text1"/>
          <w:lang w:eastAsia="es-ES_tradnl"/>
        </w:rPr>
        <w:t xml:space="preserve">al tratarse de información susceptible de ser clasificada, al corresponder a los detalles técnicos de los equipos de seguridad, como patrullas, chalecos, armamento, equipos de comunicación, cámaras de video vigilancia, etc., por lo que, dicha </w:t>
      </w:r>
      <w:r w:rsidR="00583555" w:rsidRPr="00CC2284">
        <w:rPr>
          <w:rFonts w:ascii="Palatino Linotype" w:eastAsia="Calibri" w:hAnsi="Palatino Linotype" w:cs="Tahoma"/>
          <w:bCs/>
          <w:iCs/>
          <w:color w:val="000000" w:themeColor="text1"/>
          <w:lang w:eastAsia="es-ES_tradnl"/>
        </w:rPr>
        <w:lastRenderedPageBreak/>
        <w:t>información debe ser clasificada como reservada, en razón de lo que a continuación se argumenta.</w:t>
      </w:r>
    </w:p>
    <w:p w14:paraId="715A98F1" w14:textId="77777777" w:rsidR="00583555" w:rsidRPr="00CC2284" w:rsidRDefault="00583555" w:rsidP="00CC2284">
      <w:pPr>
        <w:spacing w:line="360" w:lineRule="auto"/>
        <w:jc w:val="both"/>
        <w:rPr>
          <w:rFonts w:ascii="Palatino Linotype" w:eastAsia="Calibri" w:hAnsi="Palatino Linotype" w:cs="Tahoma"/>
          <w:bCs/>
          <w:iCs/>
          <w:color w:val="000000" w:themeColor="text1"/>
          <w:lang w:eastAsia="es-ES_tradnl"/>
        </w:rPr>
      </w:pPr>
    </w:p>
    <w:p w14:paraId="3BAA4DF6" w14:textId="4CB5C220" w:rsidR="00583555" w:rsidRPr="00CC2284" w:rsidRDefault="00583555" w:rsidP="00CC2284">
      <w:pPr>
        <w:numPr>
          <w:ilvl w:val="0"/>
          <w:numId w:val="1"/>
        </w:numPr>
        <w:spacing w:line="360" w:lineRule="auto"/>
        <w:ind w:left="0" w:firstLine="0"/>
        <w:contextualSpacing/>
        <w:jc w:val="both"/>
        <w:rPr>
          <w:rFonts w:ascii="Palatino Linotype" w:hAnsi="Palatino Linotype" w:cs="Tahoma"/>
          <w:color w:val="000000" w:themeColor="text1"/>
          <w:lang w:val="es-ES"/>
        </w:rPr>
      </w:pPr>
      <w:r w:rsidRPr="00CC2284">
        <w:rPr>
          <w:rFonts w:ascii="Palatino Linotype" w:hAnsi="Palatino Linotype" w:cs="Tahoma"/>
          <w:color w:val="000000" w:themeColor="text1"/>
          <w:lang w:val="es-ES"/>
        </w:rPr>
        <w:t xml:space="preserve">Este </w:t>
      </w:r>
      <w:r w:rsidRPr="00CC2284">
        <w:rPr>
          <w:rFonts w:ascii="Palatino Linotype" w:hAnsi="Palatino Linotype"/>
          <w:color w:val="000000" w:themeColor="text1"/>
        </w:rPr>
        <w:t>Instituto</w:t>
      </w:r>
      <w:r w:rsidRPr="00CC2284">
        <w:rPr>
          <w:rFonts w:ascii="Palatino Linotype" w:hAnsi="Palatino Linotype" w:cs="Tahoma"/>
          <w:color w:val="000000" w:themeColor="text1"/>
          <w:lang w:val="es-ES"/>
        </w:rPr>
        <w:t xml:space="preserve"> advierte que proporcionar la especificaciones técnicas de vehículos (patrullas, motocicletas), cualquier tipo de equipo y/o armamento con los que cuenta la Dirección de Seguridad Pública, para el combate a la delincuencia en el Municipio, puede causar un daño, pues al proporcionar información sobre el armamento, blindaje, equipo de radio o armamento, etc., con los que cuentan en el área de seguridad pública, se estaría dando cuenta de los elementos con que cuentan los policías municipales para mantener la seguridad dentro del territorio del Municipio.</w:t>
      </w:r>
    </w:p>
    <w:p w14:paraId="0F7DAC50" w14:textId="77777777" w:rsidR="00583555" w:rsidRPr="00CC2284" w:rsidRDefault="00583555" w:rsidP="00CC2284">
      <w:pPr>
        <w:spacing w:line="360" w:lineRule="auto"/>
        <w:jc w:val="both"/>
        <w:rPr>
          <w:rFonts w:ascii="Palatino Linotype" w:hAnsi="Palatino Linotype" w:cs="Tahoma"/>
          <w:color w:val="000000" w:themeColor="text1"/>
          <w:lang w:val="es-ES"/>
        </w:rPr>
      </w:pPr>
    </w:p>
    <w:p w14:paraId="634839A6" w14:textId="417D1FF0" w:rsidR="00583555" w:rsidRPr="00CC2284" w:rsidRDefault="00583555" w:rsidP="00CC2284">
      <w:pPr>
        <w:numPr>
          <w:ilvl w:val="0"/>
          <w:numId w:val="1"/>
        </w:numPr>
        <w:spacing w:line="360" w:lineRule="auto"/>
        <w:ind w:left="0" w:firstLine="0"/>
        <w:contextualSpacing/>
        <w:jc w:val="both"/>
        <w:rPr>
          <w:rFonts w:ascii="Palatino Linotype" w:eastAsia="Calibri" w:hAnsi="Palatino Linotype" w:cs="Tahoma"/>
          <w:b/>
          <w:bCs/>
          <w:color w:val="000000" w:themeColor="text1"/>
          <w:lang w:eastAsia="en-US"/>
        </w:rPr>
      </w:pPr>
      <w:r w:rsidRPr="00CC2284">
        <w:rPr>
          <w:rFonts w:ascii="Palatino Linotype" w:eastAsia="Calibri" w:hAnsi="Palatino Linotype" w:cs="Tahoma"/>
          <w:bCs/>
          <w:color w:val="000000" w:themeColor="text1"/>
          <w:lang w:eastAsia="en-US"/>
        </w:rPr>
        <w:t xml:space="preserve">Conforme a lo anterior, se puede concluir que proporcionar la información en análisis podría comprometer la seguridad pública, al poner en peligro las funciones a cargo del Municipio, </w:t>
      </w:r>
      <w:r w:rsidRPr="00CC2284">
        <w:rPr>
          <w:rFonts w:ascii="Palatino Linotype" w:hAnsi="Palatino Linotype"/>
          <w:color w:val="000000" w:themeColor="text1"/>
        </w:rPr>
        <w:t xml:space="preserve"> </w:t>
      </w:r>
      <w:r w:rsidRPr="00CC2284">
        <w:rPr>
          <w:rFonts w:ascii="Palatino Linotype" w:eastAsia="Calibri" w:hAnsi="Palatino Linotype" w:cs="Tahoma"/>
          <w:bCs/>
          <w:color w:val="000000" w:themeColor="text1"/>
          <w:lang w:eastAsia="en-US"/>
        </w:rPr>
        <w:t xml:space="preserve">tendientes a preservar y resguardar la vida, la salud, la integridad y el ejercicio de los </w:t>
      </w:r>
      <w:r w:rsidRPr="00CC2284">
        <w:rPr>
          <w:rFonts w:ascii="Palatino Linotype" w:hAnsi="Palatino Linotype" w:cs="Tahoma"/>
          <w:color w:val="000000" w:themeColor="text1"/>
          <w:lang w:val="es-ES"/>
        </w:rPr>
        <w:t>derechos</w:t>
      </w:r>
      <w:r w:rsidRPr="00CC2284">
        <w:rPr>
          <w:rFonts w:ascii="Palatino Linotype" w:eastAsia="Calibri" w:hAnsi="Palatino Linotype" w:cs="Tahoma"/>
          <w:bCs/>
          <w:color w:val="000000" w:themeColor="text1"/>
          <w:lang w:eastAsia="en-US"/>
        </w:rPr>
        <w:t xml:space="preserve"> de las personas, así como para el mantenimiento del orden público, toda vez que podría dar cuenta de las tecnologías, equipos y sistemas de la Dirección General de Seguridad y Protección</w:t>
      </w:r>
      <w:r w:rsidRPr="00CC2284">
        <w:rPr>
          <w:rFonts w:ascii="Palatino Linotype" w:eastAsia="Calibri" w:hAnsi="Palatino Linotype" w:cs="Tahoma"/>
          <w:b/>
          <w:bCs/>
          <w:color w:val="000000" w:themeColor="text1"/>
          <w:lang w:eastAsia="en-US"/>
        </w:rPr>
        <w:t xml:space="preserve"> </w:t>
      </w:r>
      <w:r w:rsidRPr="00CC2284">
        <w:rPr>
          <w:rFonts w:ascii="Palatino Linotype" w:eastAsia="Calibri" w:hAnsi="Palatino Linotype" w:cs="Tahoma"/>
          <w:bCs/>
          <w:color w:val="000000" w:themeColor="text1"/>
          <w:lang w:eastAsia="en-US"/>
        </w:rPr>
        <w:t>y, por lo tanto, acredita la causal de clasificación prevista en el artículo 140, fracción I de la Ley de Transparencia y Acceso a la Información Pública del Estado de México</w:t>
      </w:r>
      <w:r w:rsidRPr="00CC2284">
        <w:rPr>
          <w:rFonts w:ascii="Palatino Linotype" w:eastAsia="Calibri" w:hAnsi="Palatino Linotype" w:cs="Tahoma"/>
          <w:b/>
          <w:bCs/>
          <w:color w:val="000000" w:themeColor="text1"/>
          <w:lang w:eastAsia="en-US"/>
        </w:rPr>
        <w:t>.</w:t>
      </w:r>
    </w:p>
    <w:p w14:paraId="64D8852C" w14:textId="77777777" w:rsidR="00583555" w:rsidRPr="00CC2284" w:rsidRDefault="00583555" w:rsidP="00CC2284">
      <w:pPr>
        <w:spacing w:line="360" w:lineRule="auto"/>
        <w:jc w:val="both"/>
        <w:rPr>
          <w:rFonts w:ascii="Palatino Linotype" w:hAnsi="Palatino Linotype" w:cs="Tahoma"/>
          <w:color w:val="000000" w:themeColor="text1"/>
          <w:lang w:val="es-ES"/>
        </w:rPr>
      </w:pPr>
    </w:p>
    <w:p w14:paraId="6179CA17" w14:textId="77777777" w:rsidR="00583555" w:rsidRPr="00CC2284" w:rsidRDefault="00583555" w:rsidP="00CC2284">
      <w:pPr>
        <w:numPr>
          <w:ilvl w:val="0"/>
          <w:numId w:val="1"/>
        </w:numPr>
        <w:spacing w:line="360" w:lineRule="auto"/>
        <w:ind w:left="0" w:firstLine="0"/>
        <w:contextualSpacing/>
        <w:jc w:val="both"/>
        <w:rPr>
          <w:rFonts w:ascii="Palatino Linotype" w:eastAsia="Calibri" w:hAnsi="Palatino Linotype" w:cs="Tahoma"/>
          <w:iCs/>
          <w:color w:val="000000" w:themeColor="text1"/>
          <w:lang w:val="es-ES" w:eastAsia="es-ES_tradnl"/>
        </w:rPr>
      </w:pPr>
      <w:r w:rsidRPr="00CC2284">
        <w:rPr>
          <w:rFonts w:ascii="Palatino Linotype" w:eastAsia="Calibri" w:hAnsi="Palatino Linotype" w:cs="Tahoma"/>
          <w:iCs/>
          <w:color w:val="000000" w:themeColor="text1"/>
          <w:lang w:val="es-ES" w:eastAsia="es-ES_tradnl"/>
        </w:rPr>
        <w:t xml:space="preserve">Sobre el particular, cabe traer a colación el artículo 141 de la Ley de Transparencia y Acceso a la Información Pública del Estado de México y Municipios, que establece que las causales de reserva se deberán fundar y motivar, a través de la aplicación de la prueba de </w:t>
      </w:r>
      <w:r w:rsidRPr="00CC2284">
        <w:rPr>
          <w:rFonts w:ascii="Palatino Linotype" w:eastAsia="Calibri" w:hAnsi="Palatino Linotype" w:cs="Tahoma"/>
          <w:iCs/>
          <w:color w:val="000000" w:themeColor="text1"/>
          <w:lang w:val="es-ES" w:eastAsia="es-ES_tradnl"/>
        </w:rPr>
        <w:lastRenderedPageBreak/>
        <w:t xml:space="preserve">daño establecida en el </w:t>
      </w:r>
      <w:r w:rsidRPr="00CC2284">
        <w:rPr>
          <w:rFonts w:ascii="Palatino Linotype" w:eastAsia="Calibri" w:hAnsi="Palatino Linotype" w:cs="Tahoma"/>
          <w:bCs/>
          <w:color w:val="000000" w:themeColor="text1"/>
          <w:lang w:eastAsia="en-US"/>
        </w:rPr>
        <w:t>artículo</w:t>
      </w:r>
      <w:r w:rsidRPr="00CC2284">
        <w:rPr>
          <w:rFonts w:ascii="Palatino Linotype" w:eastAsia="Calibri" w:hAnsi="Palatino Linotype" w:cs="Tahoma"/>
          <w:iCs/>
          <w:color w:val="000000" w:themeColor="text1"/>
          <w:lang w:val="es-ES" w:eastAsia="es-ES_tradnl"/>
        </w:rPr>
        <w:t xml:space="preserve"> 129 de dicho ordenamiento, que se debe justificar de la siguiente manera:</w:t>
      </w:r>
    </w:p>
    <w:p w14:paraId="065F6AF1" w14:textId="77777777" w:rsidR="00583555" w:rsidRPr="00CC2284" w:rsidRDefault="00583555" w:rsidP="00EF7B8A">
      <w:pPr>
        <w:numPr>
          <w:ilvl w:val="0"/>
          <w:numId w:val="15"/>
        </w:numPr>
        <w:spacing w:line="360" w:lineRule="auto"/>
        <w:ind w:left="0" w:firstLine="0"/>
        <w:jc w:val="both"/>
        <w:rPr>
          <w:rFonts w:ascii="Palatino Linotype" w:eastAsia="Calibri" w:hAnsi="Palatino Linotype" w:cs="Tahoma"/>
          <w:iCs/>
          <w:color w:val="000000" w:themeColor="text1"/>
          <w:lang w:eastAsia="es-ES_tradnl"/>
        </w:rPr>
      </w:pPr>
      <w:r w:rsidRPr="00CC2284">
        <w:rPr>
          <w:rFonts w:ascii="Palatino Linotype" w:eastAsia="Calibri" w:hAnsi="Palatino Linotype" w:cs="Tahoma"/>
          <w:iCs/>
          <w:color w:val="000000" w:themeColor="text1"/>
          <w:lang w:eastAsia="es-ES_tradnl"/>
        </w:rPr>
        <w:t>La divulgación de la información representa un riesgo real, demostrable e identificable de perjuicio significativo al interés público o a la seguridad nacional.</w:t>
      </w:r>
    </w:p>
    <w:p w14:paraId="40F0DCC1" w14:textId="77777777" w:rsidR="00583555" w:rsidRPr="00CC2284" w:rsidRDefault="00583555" w:rsidP="00EF7B8A">
      <w:pPr>
        <w:numPr>
          <w:ilvl w:val="0"/>
          <w:numId w:val="15"/>
        </w:numPr>
        <w:spacing w:line="360" w:lineRule="auto"/>
        <w:ind w:left="0" w:firstLine="0"/>
        <w:jc w:val="both"/>
        <w:rPr>
          <w:rFonts w:ascii="Palatino Linotype" w:eastAsia="Calibri" w:hAnsi="Palatino Linotype" w:cs="Tahoma"/>
          <w:iCs/>
          <w:color w:val="000000" w:themeColor="text1"/>
          <w:lang w:eastAsia="es-ES_tradnl"/>
        </w:rPr>
      </w:pPr>
      <w:r w:rsidRPr="00CC2284">
        <w:rPr>
          <w:rFonts w:ascii="Palatino Linotype" w:eastAsia="Calibri" w:hAnsi="Palatino Linotype" w:cs="Tahoma"/>
          <w:iCs/>
          <w:color w:val="000000" w:themeColor="text1"/>
          <w:lang w:eastAsia="es-ES_tradnl"/>
        </w:rPr>
        <w:t>El riesgo de perjuicio supera el interés público general de que se difunda.</w:t>
      </w:r>
    </w:p>
    <w:p w14:paraId="1D7E4DD6" w14:textId="77777777" w:rsidR="00583555" w:rsidRPr="00CC2284" w:rsidRDefault="00583555" w:rsidP="00EF7B8A">
      <w:pPr>
        <w:numPr>
          <w:ilvl w:val="0"/>
          <w:numId w:val="15"/>
        </w:numPr>
        <w:spacing w:line="360" w:lineRule="auto"/>
        <w:ind w:left="0" w:firstLine="0"/>
        <w:jc w:val="both"/>
        <w:rPr>
          <w:rFonts w:ascii="Palatino Linotype" w:eastAsia="Calibri" w:hAnsi="Palatino Linotype" w:cs="Tahoma"/>
          <w:iCs/>
          <w:color w:val="000000" w:themeColor="text1"/>
          <w:lang w:eastAsia="es-ES_tradnl"/>
        </w:rPr>
      </w:pPr>
      <w:r w:rsidRPr="00CC2284">
        <w:rPr>
          <w:rFonts w:ascii="Palatino Linotype" w:eastAsia="Calibri" w:hAnsi="Palatino Linotype" w:cs="Tahoma"/>
          <w:iCs/>
          <w:color w:val="000000" w:themeColor="text1"/>
          <w:lang w:eastAsia="es-ES_tradnl"/>
        </w:rPr>
        <w:t>Que la limitación se adecua al principio de proporcionalidad y representa el medio menos restrictivo disponible para evitar el perjuicio.</w:t>
      </w:r>
    </w:p>
    <w:p w14:paraId="117CCB69" w14:textId="77777777" w:rsidR="00583555" w:rsidRPr="00CC2284" w:rsidRDefault="00583555" w:rsidP="00CC2284">
      <w:pPr>
        <w:tabs>
          <w:tab w:val="left" w:pos="4962"/>
        </w:tabs>
        <w:spacing w:line="360" w:lineRule="auto"/>
        <w:jc w:val="both"/>
        <w:rPr>
          <w:rFonts w:ascii="Palatino Linotype" w:eastAsia="Calibri" w:hAnsi="Palatino Linotype" w:cs="Tahoma"/>
          <w:iCs/>
          <w:color w:val="000000" w:themeColor="text1"/>
          <w:lang w:val="es-ES" w:eastAsia="es-ES_tradnl"/>
        </w:rPr>
      </w:pPr>
    </w:p>
    <w:p w14:paraId="7B942540" w14:textId="77777777" w:rsidR="00583555" w:rsidRPr="00CC2284" w:rsidRDefault="00583555" w:rsidP="00CC2284">
      <w:pPr>
        <w:numPr>
          <w:ilvl w:val="0"/>
          <w:numId w:val="1"/>
        </w:numPr>
        <w:spacing w:line="360" w:lineRule="auto"/>
        <w:ind w:left="0" w:firstLine="0"/>
        <w:contextualSpacing/>
        <w:jc w:val="both"/>
        <w:rPr>
          <w:rFonts w:ascii="Palatino Linotype" w:eastAsia="Calibri" w:hAnsi="Palatino Linotype" w:cs="Tahoma"/>
          <w:iCs/>
          <w:color w:val="000000" w:themeColor="text1"/>
          <w:lang w:eastAsia="es-ES_tradnl"/>
        </w:rPr>
      </w:pPr>
      <w:r w:rsidRPr="00CC2284">
        <w:rPr>
          <w:rFonts w:ascii="Palatino Linotype" w:eastAsia="Calibri" w:hAnsi="Palatino Linotype" w:cs="Tahoma"/>
          <w:iCs/>
          <w:color w:val="000000" w:themeColor="text1"/>
          <w:lang w:eastAsia="es-ES_tradnl"/>
        </w:rPr>
        <w:t xml:space="preserve">Al respecto, este </w:t>
      </w:r>
      <w:r w:rsidRPr="00CC2284">
        <w:rPr>
          <w:rFonts w:ascii="Palatino Linotype" w:eastAsia="Calibri" w:hAnsi="Palatino Linotype" w:cs="Tahoma"/>
          <w:iCs/>
          <w:color w:val="000000" w:themeColor="text1"/>
          <w:lang w:val="es-ES" w:eastAsia="es-ES_tradnl"/>
        </w:rPr>
        <w:t>Instituto</w:t>
      </w:r>
      <w:r w:rsidRPr="00CC2284">
        <w:rPr>
          <w:rFonts w:ascii="Palatino Linotype" w:eastAsia="Calibri" w:hAnsi="Palatino Linotype" w:cs="Tahoma"/>
          <w:iCs/>
          <w:color w:val="000000" w:themeColor="text1"/>
          <w:lang w:eastAsia="es-ES_tradnl"/>
        </w:rPr>
        <w:t xml:space="preserve"> advierte lo siguiente:</w:t>
      </w:r>
    </w:p>
    <w:p w14:paraId="4ED7D675" w14:textId="0630BD81" w:rsidR="00583555" w:rsidRPr="00CC2284" w:rsidRDefault="00583555" w:rsidP="00EF7B8A">
      <w:pPr>
        <w:pStyle w:val="Prrafodelista"/>
        <w:numPr>
          <w:ilvl w:val="0"/>
          <w:numId w:val="16"/>
        </w:numPr>
        <w:spacing w:line="360" w:lineRule="auto"/>
        <w:ind w:left="0" w:firstLine="0"/>
        <w:jc w:val="both"/>
        <w:rPr>
          <w:rFonts w:ascii="Palatino Linotype" w:eastAsia="Calibri" w:hAnsi="Palatino Linotype" w:cs="Tahoma"/>
          <w:bCs/>
          <w:color w:val="000000" w:themeColor="text1"/>
          <w:lang w:eastAsia="en-US"/>
        </w:rPr>
      </w:pPr>
      <w:r w:rsidRPr="00CC2284">
        <w:rPr>
          <w:rFonts w:ascii="Palatino Linotype" w:eastAsia="Calibri" w:hAnsi="Palatino Linotype" w:cs="Tahoma"/>
          <w:bCs/>
          <w:color w:val="000000" w:themeColor="text1"/>
          <w:lang w:eastAsia="en-US"/>
        </w:rPr>
        <w:t xml:space="preserve">Que existe un </w:t>
      </w:r>
      <w:r w:rsidRPr="00CC2284">
        <w:rPr>
          <w:rFonts w:ascii="Palatino Linotype" w:eastAsia="Calibri" w:hAnsi="Palatino Linotype" w:cs="Tahoma"/>
          <w:b/>
          <w:bCs/>
          <w:color w:val="000000" w:themeColor="text1"/>
          <w:lang w:eastAsia="en-US"/>
        </w:rPr>
        <w:t xml:space="preserve">riesgo real, demostrable e identificable, </w:t>
      </w:r>
      <w:r w:rsidRPr="00CC2284">
        <w:rPr>
          <w:rFonts w:ascii="Palatino Linotype" w:eastAsia="Calibri" w:hAnsi="Palatino Linotype" w:cs="Tahoma"/>
          <w:bCs/>
          <w:color w:val="000000" w:themeColor="text1"/>
          <w:lang w:eastAsia="en-US"/>
        </w:rPr>
        <w:t xml:space="preserve">toda vez que dar a conocer información sobre el blindaje, armamento, equipo o medios de comunicación da cuenta de las tecnologías, equipos, </w:t>
      </w:r>
      <w:r w:rsidR="005E1F6D" w:rsidRPr="00CC2284">
        <w:rPr>
          <w:rFonts w:ascii="Palatino Linotype" w:eastAsia="Calibri" w:hAnsi="Palatino Linotype" w:cs="Tahoma"/>
          <w:bCs/>
          <w:color w:val="000000" w:themeColor="text1"/>
          <w:lang w:eastAsia="en-US"/>
        </w:rPr>
        <w:t>vehículos</w:t>
      </w:r>
      <w:r w:rsidRPr="00CC2284">
        <w:rPr>
          <w:rFonts w:ascii="Palatino Linotype" w:eastAsia="Calibri" w:hAnsi="Palatino Linotype" w:cs="Tahoma"/>
          <w:bCs/>
          <w:color w:val="000000" w:themeColor="text1"/>
          <w:lang w:eastAsia="en-US"/>
        </w:rPr>
        <w:t xml:space="preserve"> y sistemas de la Dirección </w:t>
      </w:r>
      <w:r w:rsidR="005E1F6D" w:rsidRPr="00CC2284">
        <w:rPr>
          <w:rFonts w:ascii="Palatino Linotype" w:eastAsia="Calibri" w:hAnsi="Palatino Linotype" w:cs="Tahoma"/>
          <w:bCs/>
          <w:color w:val="000000" w:themeColor="text1"/>
          <w:lang w:eastAsia="en-US"/>
        </w:rPr>
        <w:t xml:space="preserve">General </w:t>
      </w:r>
      <w:r w:rsidRPr="00CC2284">
        <w:rPr>
          <w:rFonts w:ascii="Palatino Linotype" w:eastAsia="Calibri" w:hAnsi="Palatino Linotype" w:cs="Tahoma"/>
          <w:bCs/>
          <w:color w:val="000000" w:themeColor="text1"/>
          <w:lang w:eastAsia="en-US"/>
        </w:rPr>
        <w:t xml:space="preserve">de Seguridad </w:t>
      </w:r>
      <w:r w:rsidR="005E1F6D" w:rsidRPr="00CC2284">
        <w:rPr>
          <w:rFonts w:ascii="Palatino Linotype" w:eastAsia="Calibri" w:hAnsi="Palatino Linotype" w:cs="Tahoma"/>
          <w:bCs/>
          <w:color w:val="000000" w:themeColor="text1"/>
          <w:lang w:eastAsia="en-US"/>
        </w:rPr>
        <w:t>y Protección</w:t>
      </w:r>
      <w:r w:rsidRPr="00CC2284">
        <w:rPr>
          <w:rFonts w:ascii="Palatino Linotype" w:eastAsia="Calibri" w:hAnsi="Palatino Linotype" w:cs="Tahoma"/>
          <w:bCs/>
          <w:color w:val="000000" w:themeColor="text1"/>
          <w:lang w:eastAsia="en-US"/>
        </w:rPr>
        <w:t xml:space="preserve"> para inhibir la inseguridad y evitar la comisión de actos ilícitos, lo que podría ocasionar que los integrantes de organizaciones criminales conozcan la tecnología, sistemas y formas de comunicación del área encargada de la seguridad del Municipio, propiciando que los operativos o acciones para inhibir o combatir la comisión de delitos se vea afectado, lo que daría como resultado el aumento de la inseguridad y la comisión de delitos. Además que comprometería el cumplimiento de los objetivos de la </w:t>
      </w:r>
      <w:r w:rsidR="003F7639" w:rsidRPr="00CC2284">
        <w:rPr>
          <w:rFonts w:ascii="Palatino Linotype" w:eastAsia="Calibri" w:hAnsi="Palatino Linotype" w:cs="Tahoma"/>
          <w:bCs/>
          <w:color w:val="000000" w:themeColor="text1"/>
          <w:lang w:eastAsia="en-US"/>
        </w:rPr>
        <w:t>Dirección General de Seguridad y Protección</w:t>
      </w:r>
      <w:r w:rsidRPr="00CC2284">
        <w:rPr>
          <w:rFonts w:ascii="Palatino Linotype" w:eastAsia="Calibri" w:hAnsi="Palatino Linotype" w:cs="Tahoma"/>
          <w:bCs/>
          <w:color w:val="000000" w:themeColor="text1"/>
          <w:lang w:eastAsia="en-US"/>
        </w:rPr>
        <w:t>.</w:t>
      </w:r>
    </w:p>
    <w:p w14:paraId="60307824" w14:textId="77777777" w:rsidR="00583555" w:rsidRPr="00CC2284" w:rsidRDefault="00583555" w:rsidP="00CC2284">
      <w:pPr>
        <w:pStyle w:val="Prrafodelista"/>
        <w:spacing w:line="360" w:lineRule="auto"/>
        <w:ind w:left="0"/>
        <w:jc w:val="both"/>
        <w:rPr>
          <w:rFonts w:ascii="Palatino Linotype" w:eastAsia="Calibri" w:hAnsi="Palatino Linotype" w:cs="Tahoma"/>
          <w:bCs/>
          <w:color w:val="000000" w:themeColor="text1"/>
          <w:lang w:eastAsia="en-US"/>
        </w:rPr>
      </w:pPr>
      <w:r w:rsidRPr="00CC2284">
        <w:rPr>
          <w:rFonts w:ascii="Palatino Linotype" w:eastAsia="Calibri" w:hAnsi="Palatino Linotype" w:cs="Tahoma"/>
          <w:bCs/>
          <w:color w:val="000000" w:themeColor="text1"/>
          <w:lang w:eastAsia="en-US"/>
        </w:rPr>
        <w:t>Además, con dicha información se podría clonar las patrullas, ocasionando que los delincuentes se hagan pasar por elementos de seguridad o inclusive, se podrían obtener las debilidades de los vehículos, con el fin de dar una ventaja a los entes delincuenciales y facilitar la comisión de delitos.</w:t>
      </w:r>
    </w:p>
    <w:p w14:paraId="00931A0B" w14:textId="77777777" w:rsidR="00583555" w:rsidRPr="00CC2284" w:rsidRDefault="00583555" w:rsidP="00EF7B8A">
      <w:pPr>
        <w:pStyle w:val="Prrafodelista"/>
        <w:numPr>
          <w:ilvl w:val="0"/>
          <w:numId w:val="16"/>
        </w:numPr>
        <w:spacing w:line="360" w:lineRule="auto"/>
        <w:ind w:left="0" w:firstLine="0"/>
        <w:jc w:val="both"/>
        <w:rPr>
          <w:rFonts w:ascii="Palatino Linotype" w:eastAsia="Calibri" w:hAnsi="Palatino Linotype" w:cs="Tahoma"/>
          <w:b/>
          <w:bCs/>
          <w:color w:val="000000" w:themeColor="text1"/>
          <w:lang w:eastAsia="en-US"/>
        </w:rPr>
      </w:pPr>
      <w:r w:rsidRPr="00CC2284">
        <w:rPr>
          <w:rFonts w:ascii="Palatino Linotype" w:eastAsia="Calibri" w:hAnsi="Palatino Linotype" w:cs="Tahoma"/>
          <w:b/>
          <w:bCs/>
          <w:color w:val="000000" w:themeColor="text1"/>
          <w:lang w:eastAsia="en-US"/>
        </w:rPr>
        <w:lastRenderedPageBreak/>
        <w:t>Que el riesgo de perjuicio que supone la divulgación de la información supera el interés público general</w:t>
      </w:r>
      <w:r w:rsidRPr="00CC2284">
        <w:rPr>
          <w:rFonts w:ascii="Palatino Linotype" w:eastAsia="Calibri" w:hAnsi="Palatino Linotype" w:cs="Tahoma"/>
          <w:bCs/>
          <w:color w:val="000000" w:themeColor="text1"/>
          <w:lang w:eastAsia="en-US"/>
        </w:rPr>
        <w:t>, ya que individuos con pretensiones delictivas conocerían de manera detallada el blindaje, equipo y armamento que ocupan los policías, lo cual permitiría que se prepararan y buscaran la forma de inhibir las armas o los medios de protección de dichos vehículos, en detrimento de los policías y la sociedad; además, de que revelar la formas de comunicación que se utilizan en materia de seguridad, permitiría a las organizaciones delincuenciales sabotearlos,  lo cual se traduciría en un detrimento al combate a la delincuencia y un perjuicio a la seguridad pública, vulnerando así, el interés general.</w:t>
      </w:r>
    </w:p>
    <w:p w14:paraId="01F80CC2" w14:textId="77777777" w:rsidR="00583555" w:rsidRPr="00CC2284" w:rsidRDefault="00583555" w:rsidP="00EF7B8A">
      <w:pPr>
        <w:pStyle w:val="Prrafodelista"/>
        <w:numPr>
          <w:ilvl w:val="0"/>
          <w:numId w:val="16"/>
        </w:numPr>
        <w:spacing w:line="360" w:lineRule="auto"/>
        <w:ind w:left="0" w:firstLine="0"/>
        <w:jc w:val="both"/>
        <w:rPr>
          <w:rFonts w:ascii="Palatino Linotype" w:eastAsia="Calibri" w:hAnsi="Palatino Linotype" w:cs="Tahoma"/>
          <w:bCs/>
          <w:color w:val="000000" w:themeColor="text1"/>
          <w:lang w:eastAsia="en-US"/>
        </w:rPr>
      </w:pPr>
      <w:r w:rsidRPr="00CC2284">
        <w:rPr>
          <w:rFonts w:ascii="Palatino Linotype" w:eastAsia="Calibri" w:hAnsi="Palatino Linotype" w:cs="Tahoma"/>
          <w:b/>
          <w:bCs/>
          <w:color w:val="000000" w:themeColor="text1"/>
          <w:lang w:eastAsia="en-US"/>
        </w:rPr>
        <w:t xml:space="preserve">Que la reserva no se traduzca en un medio restrictivo al derecho de acceso a la información, </w:t>
      </w:r>
      <w:r w:rsidRPr="00CC2284">
        <w:rPr>
          <w:rFonts w:ascii="Palatino Linotype" w:eastAsia="Calibri" w:hAnsi="Palatino Linotype" w:cs="Tahoma"/>
          <w:bCs/>
          <w:color w:val="000000" w:themeColor="text1"/>
          <w:lang w:eastAsia="en-US"/>
        </w:rPr>
        <w:t>en virtud de que la misma prevalece al proteger alguno de los derechos más importantes, como lo son la vida, la salud y la seguridad de las personas, además, que con la protección de la información ayuda a mantener el orden y paz social, pues no se estarían menoscabando las estrategias contra la evasión de reos o la capacidad de disuadir, prevenir disturbios sociales, o bien, la capacidad de reacción, planes, estrategias, tecnologías, información o sistemas de comunicaciones de la Dirección de Seguridad Pública.</w:t>
      </w:r>
    </w:p>
    <w:p w14:paraId="240E2178" w14:textId="77777777" w:rsidR="00583555" w:rsidRPr="00CC2284" w:rsidRDefault="00583555" w:rsidP="00CC2284">
      <w:pPr>
        <w:pStyle w:val="Prrafodelista"/>
        <w:spacing w:line="360" w:lineRule="auto"/>
        <w:ind w:left="0"/>
        <w:rPr>
          <w:rFonts w:ascii="Palatino Linotype" w:eastAsia="Calibri" w:hAnsi="Palatino Linotype" w:cs="Tahoma"/>
          <w:bCs/>
          <w:color w:val="000000" w:themeColor="text1"/>
          <w:lang w:eastAsia="en-US"/>
        </w:rPr>
      </w:pPr>
    </w:p>
    <w:p w14:paraId="4D26B028" w14:textId="77777777" w:rsidR="00583555" w:rsidRPr="00CC2284" w:rsidRDefault="00583555" w:rsidP="00CC2284">
      <w:pPr>
        <w:pStyle w:val="Prrafodelista"/>
        <w:spacing w:line="360" w:lineRule="auto"/>
        <w:ind w:left="0"/>
        <w:jc w:val="both"/>
        <w:rPr>
          <w:rFonts w:ascii="Palatino Linotype" w:eastAsia="Calibri" w:hAnsi="Palatino Linotype" w:cs="Tahoma"/>
          <w:bCs/>
          <w:color w:val="000000" w:themeColor="text1"/>
          <w:lang w:eastAsia="en-US"/>
        </w:rPr>
      </w:pPr>
      <w:r w:rsidRPr="00CC2284">
        <w:rPr>
          <w:rFonts w:ascii="Palatino Linotype" w:eastAsia="Calibri" w:hAnsi="Palatino Linotype" w:cs="Tahoma"/>
          <w:bCs/>
          <w:color w:val="000000" w:themeColor="text1"/>
          <w:lang w:eastAsia="en-US"/>
        </w:rPr>
        <w:t>Asimismo, se buscó el medio menos restrictivo ya que sólo procede la clasificación de la información relacionada con datos técnicos de equipos, armamento y o patrullas y procedente la entrega del resto de la información que obre en los documentos solicitados, principalmente todo aquello relacionado con el ejercicio de recursos públicos.</w:t>
      </w:r>
    </w:p>
    <w:p w14:paraId="6040C02A" w14:textId="77777777" w:rsidR="00583555" w:rsidRPr="00CC2284" w:rsidRDefault="00583555" w:rsidP="00CC2284">
      <w:pPr>
        <w:spacing w:line="360" w:lineRule="auto"/>
        <w:jc w:val="both"/>
        <w:rPr>
          <w:rFonts w:ascii="Palatino Linotype" w:hAnsi="Palatino Linotype" w:cs="Tahoma"/>
          <w:color w:val="000000" w:themeColor="text1"/>
          <w:lang w:val="es-ES"/>
        </w:rPr>
      </w:pPr>
    </w:p>
    <w:p w14:paraId="2F18F44F" w14:textId="70D65B62" w:rsidR="00583555" w:rsidRPr="00CC2284" w:rsidRDefault="00583555" w:rsidP="00CC2284">
      <w:pPr>
        <w:numPr>
          <w:ilvl w:val="0"/>
          <w:numId w:val="1"/>
        </w:numPr>
        <w:spacing w:line="360" w:lineRule="auto"/>
        <w:ind w:left="0" w:firstLine="0"/>
        <w:contextualSpacing/>
        <w:jc w:val="both"/>
        <w:rPr>
          <w:rFonts w:ascii="Palatino Linotype" w:eastAsia="Calibri" w:hAnsi="Palatino Linotype" w:cs="Tahoma"/>
          <w:iCs/>
          <w:color w:val="000000" w:themeColor="text1"/>
          <w:lang w:val="es-ES" w:eastAsia="es-ES_tradnl"/>
        </w:rPr>
      </w:pPr>
      <w:r w:rsidRPr="00CC2284">
        <w:rPr>
          <w:rFonts w:ascii="Palatino Linotype" w:eastAsia="Calibri" w:hAnsi="Palatino Linotype" w:cs="Tahoma"/>
          <w:bCs/>
          <w:color w:val="000000" w:themeColor="text1"/>
          <w:lang w:eastAsia="en-US"/>
        </w:rPr>
        <w:lastRenderedPageBreak/>
        <w:t>Por tales consideraciones, resulta procedente la reserva</w:t>
      </w:r>
      <w:r w:rsidR="008041C1" w:rsidRPr="00CC2284">
        <w:rPr>
          <w:rFonts w:ascii="Palatino Linotype" w:eastAsia="Calibri" w:hAnsi="Palatino Linotype" w:cs="Tahoma"/>
          <w:bCs/>
          <w:color w:val="000000" w:themeColor="text1"/>
          <w:lang w:eastAsia="en-US"/>
        </w:rPr>
        <w:t xml:space="preserve"> de las características de ser el caso que obren en el soporte documental a entregar</w:t>
      </w:r>
      <w:r w:rsidRPr="00CC2284">
        <w:rPr>
          <w:rFonts w:ascii="Palatino Linotype" w:eastAsia="Calibri" w:hAnsi="Palatino Linotype" w:cs="Tahoma"/>
          <w:bCs/>
          <w:color w:val="000000" w:themeColor="text1"/>
          <w:lang w:eastAsia="en-US"/>
        </w:rPr>
        <w:t xml:space="preserve">, en términos del artículo 140, fracción I, de </w:t>
      </w:r>
      <w:r w:rsidRPr="00CC2284">
        <w:rPr>
          <w:rFonts w:ascii="Palatino Linotype" w:eastAsia="Calibri" w:hAnsi="Palatino Linotype" w:cs="Tahoma"/>
          <w:iCs/>
          <w:color w:val="000000" w:themeColor="text1"/>
          <w:lang w:val="es-ES" w:eastAsia="es-ES_tradnl"/>
        </w:rPr>
        <w:t>de la Ley de Transparencia y Acceso a la Información Pública del Estado de México y Municipios, respecto a las especificaciones técnicas de patrullas, equipo y armamento.</w:t>
      </w:r>
    </w:p>
    <w:p w14:paraId="4D2E4C2A" w14:textId="77777777" w:rsidR="003F7639" w:rsidRPr="00CC2284" w:rsidRDefault="003F7639" w:rsidP="00CC2284">
      <w:pPr>
        <w:spacing w:line="360" w:lineRule="auto"/>
        <w:contextualSpacing/>
        <w:jc w:val="both"/>
        <w:rPr>
          <w:rFonts w:ascii="Palatino Linotype" w:eastAsia="Calibri" w:hAnsi="Palatino Linotype" w:cs="Tahoma"/>
          <w:iCs/>
          <w:color w:val="000000" w:themeColor="text1"/>
          <w:lang w:val="es-ES" w:eastAsia="es-ES_tradnl"/>
        </w:rPr>
      </w:pPr>
    </w:p>
    <w:p w14:paraId="6B614780" w14:textId="7D736008" w:rsidR="00583555" w:rsidRPr="00CC2284" w:rsidRDefault="00583555" w:rsidP="00CC2284">
      <w:pPr>
        <w:numPr>
          <w:ilvl w:val="0"/>
          <w:numId w:val="1"/>
        </w:numPr>
        <w:spacing w:line="360" w:lineRule="auto"/>
        <w:ind w:left="0" w:firstLine="0"/>
        <w:contextualSpacing/>
        <w:jc w:val="both"/>
        <w:rPr>
          <w:rFonts w:ascii="Palatino Linotype" w:eastAsia="Calibri" w:hAnsi="Palatino Linotype" w:cs="Tahoma"/>
          <w:bCs/>
          <w:iCs/>
          <w:color w:val="000000" w:themeColor="text1"/>
          <w:lang w:eastAsia="es-ES_tradnl"/>
        </w:rPr>
      </w:pPr>
      <w:r w:rsidRPr="00CC2284">
        <w:rPr>
          <w:rFonts w:ascii="Palatino Linotype" w:hAnsi="Palatino Linotype" w:cs="Tahoma"/>
          <w:color w:val="000000" w:themeColor="text1"/>
          <w:lang w:val="es-ES"/>
        </w:rPr>
        <w:t xml:space="preserve">Conforme a lo anterior, se considera que el Ayuntamiento, deberá entregar el acuerdo de clasificación emitido por el Comité de Transparencia, en donde de manera </w:t>
      </w:r>
      <w:r w:rsidRPr="00CC2284">
        <w:rPr>
          <w:rFonts w:ascii="Palatino Linotype" w:eastAsia="Calibri" w:hAnsi="Palatino Linotype" w:cs="Tahoma"/>
          <w:bCs/>
          <w:color w:val="000000" w:themeColor="text1"/>
          <w:lang w:eastAsia="en-US"/>
        </w:rPr>
        <w:t>fundada</w:t>
      </w:r>
      <w:r w:rsidRPr="00CC2284">
        <w:rPr>
          <w:rFonts w:ascii="Palatino Linotype" w:hAnsi="Palatino Linotype" w:cs="Tahoma"/>
          <w:color w:val="000000" w:themeColor="text1"/>
          <w:lang w:val="es-ES"/>
        </w:rPr>
        <w:t xml:space="preserve"> y motivada, a través de una prueba de daño, confirme la clasificación como reservada, en términos del artículo 140, fracción I de la </w:t>
      </w:r>
      <w:r w:rsidRPr="00CC2284">
        <w:rPr>
          <w:rFonts w:ascii="Palatino Linotype" w:hAnsi="Palatino Linotype" w:cs="Tahoma"/>
          <w:color w:val="000000" w:themeColor="text1"/>
        </w:rPr>
        <w:t xml:space="preserve">Ley de Transparencia y Acceso a la Información Pública del Estado de México y Municipios, de especificaciones de equipo armamento y </w:t>
      </w:r>
      <w:r w:rsidR="003F7639" w:rsidRPr="00CC2284">
        <w:rPr>
          <w:rFonts w:ascii="Palatino Linotype" w:hAnsi="Palatino Linotype" w:cs="Tahoma"/>
          <w:color w:val="000000" w:themeColor="text1"/>
        </w:rPr>
        <w:t>vehículos policiales</w:t>
      </w:r>
      <w:r w:rsidRPr="00CC2284">
        <w:rPr>
          <w:rFonts w:ascii="Palatino Linotype" w:hAnsi="Palatino Linotype" w:cs="Tahoma"/>
          <w:color w:val="000000" w:themeColor="text1"/>
        </w:rPr>
        <w:t>, a través de la versión pública que entregue.</w:t>
      </w:r>
    </w:p>
    <w:p w14:paraId="0E00DA50" w14:textId="77777777" w:rsidR="00583555" w:rsidRPr="00CC2284" w:rsidRDefault="00583555" w:rsidP="00CC2284">
      <w:pPr>
        <w:spacing w:line="360" w:lineRule="auto"/>
        <w:jc w:val="both"/>
        <w:rPr>
          <w:rFonts w:ascii="Palatino Linotype" w:hAnsi="Palatino Linotype" w:cs="Arial"/>
          <w:color w:val="000000" w:themeColor="text1"/>
        </w:rPr>
      </w:pPr>
      <w:r w:rsidRPr="00CC2284">
        <w:rPr>
          <w:rFonts w:ascii="Palatino Linotype" w:hAnsi="Palatino Linotype" w:cs="Arial"/>
          <w:color w:val="000000" w:themeColor="text1"/>
        </w:rPr>
        <w:t xml:space="preserve"> </w:t>
      </w:r>
    </w:p>
    <w:p w14:paraId="51C3D640" w14:textId="77777777" w:rsidR="00583555" w:rsidRPr="00CC2284" w:rsidRDefault="00583555" w:rsidP="00CC2284">
      <w:pPr>
        <w:numPr>
          <w:ilvl w:val="0"/>
          <w:numId w:val="1"/>
        </w:numPr>
        <w:spacing w:line="360" w:lineRule="auto"/>
        <w:ind w:left="0" w:firstLine="0"/>
        <w:contextualSpacing/>
        <w:jc w:val="both"/>
        <w:rPr>
          <w:rFonts w:ascii="Palatino Linotype" w:hAnsi="Palatino Linotype" w:cs="Arial"/>
          <w:color w:val="000000" w:themeColor="text1"/>
        </w:rPr>
      </w:pPr>
      <w:r w:rsidRPr="00CC2284">
        <w:rPr>
          <w:rFonts w:ascii="Palatino Linotype" w:hAnsi="Palatino Linotype"/>
          <w:color w:val="000000" w:themeColor="text1"/>
        </w:rPr>
        <w:t xml:space="preserve">De tal forma que, en relación a la información de la que se ordena su entrega en versión pública, en términos del artículo 143 de la Ley de Transparencia y Acceso a la Información Pública del Estado de México y Municipios, se deberá </w:t>
      </w:r>
      <w:r w:rsidRPr="00CC2284">
        <w:rPr>
          <w:rFonts w:ascii="Palatino Linotype" w:eastAsia="Arial Unicode MS" w:hAnsi="Palatino Linotype" w:cs="Arial"/>
          <w:color w:val="000000" w:themeColor="text1"/>
        </w:rPr>
        <w:t>omitir, eliminar o suprimir la</w:t>
      </w:r>
      <w:r w:rsidRPr="00CC2284">
        <w:rPr>
          <w:rFonts w:ascii="Palatino Linotype" w:hAnsi="Palatino Linotype"/>
          <w:color w:val="000000" w:themeColor="text1"/>
        </w:rPr>
        <w:t xml:space="preserve"> información confidencial</w:t>
      </w:r>
      <w:r w:rsidRPr="00CC2284">
        <w:rPr>
          <w:rFonts w:ascii="Palatino Linotype" w:eastAsia="Arial Unicode MS" w:hAnsi="Palatino Linotype" w:cs="Arial"/>
          <w:color w:val="000000" w:themeColor="text1"/>
        </w:rPr>
        <w:t xml:space="preserve">. En ese sentido, </w:t>
      </w:r>
      <w:r w:rsidRPr="00CC2284">
        <w:rPr>
          <w:rFonts w:ascii="Palatino Linotype" w:hAnsi="Palatino Linotype" w:cs="Arial"/>
          <w:color w:val="000000" w:themeColor="text1"/>
        </w:rPr>
        <w:t xml:space="preserve">sólo podrán ser testados los datos que actualicen las hipótesis normativas previstas en dicho precepto legal, y deberá procederse a su clasificación mediante las formalidades de Ley, es decir, que el Comité de Transparencia del </w:t>
      </w:r>
      <w:r w:rsidRPr="00CC2284">
        <w:rPr>
          <w:rFonts w:ascii="Palatino Linotype" w:hAnsi="Palatino Linotype" w:cs="Arial"/>
          <w:b/>
          <w:color w:val="000000" w:themeColor="text1"/>
        </w:rPr>
        <w:t>SUJETO OBLIGADO</w:t>
      </w:r>
      <w:r w:rsidRPr="00CC2284">
        <w:rPr>
          <w:rFonts w:ascii="Palatino Linotype" w:hAnsi="Palatino Linotype" w:cs="Arial"/>
          <w:color w:val="000000" w:themeColor="text1"/>
        </w:rPr>
        <w:t xml:space="preserve"> emita el Acuerdo de Clasificación correspondiente debidamente fundado y motivado, en el cual se sustente la versión pública, en </w:t>
      </w:r>
      <w:r w:rsidRPr="00CC2284">
        <w:rPr>
          <w:rFonts w:ascii="Palatino Linotype" w:hAnsi="Palatino Linotype" w:cs="Arial"/>
          <w:noProof/>
          <w:color w:val="000000" w:themeColor="text1"/>
          <w:lang w:eastAsia="es-MX"/>
        </w:rPr>
        <w:t>términos</w:t>
      </w:r>
      <w:r w:rsidRPr="00CC2284">
        <w:rPr>
          <w:rFonts w:ascii="Palatino Linotype" w:hAnsi="Palatino Linotype" w:cs="Arial"/>
          <w:color w:val="000000" w:themeColor="text1"/>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w:t>
      </w:r>
      <w:r w:rsidRPr="00CC2284">
        <w:rPr>
          <w:rFonts w:ascii="Palatino Linotype" w:hAnsi="Palatino Linotype" w:cs="Arial"/>
          <w:color w:val="000000" w:themeColor="text1"/>
        </w:rPr>
        <w:lastRenderedPageBreak/>
        <w:t>y Desclasificación de la Información, así como para la elaboración de Versiones Públicas, que literalmente expresan:</w:t>
      </w:r>
    </w:p>
    <w:p w14:paraId="38BB7728" w14:textId="77777777" w:rsidR="00583555" w:rsidRPr="00CC2284" w:rsidRDefault="00583555" w:rsidP="00CC2284">
      <w:pPr>
        <w:spacing w:line="360" w:lineRule="auto"/>
        <w:jc w:val="center"/>
        <w:rPr>
          <w:rFonts w:ascii="Palatino Linotype" w:hAnsi="Palatino Linotype" w:cs="Arial"/>
          <w:b/>
          <w:i/>
          <w:color w:val="000000" w:themeColor="text1"/>
        </w:rPr>
      </w:pPr>
      <w:r w:rsidRPr="00CC2284">
        <w:rPr>
          <w:rFonts w:ascii="Palatino Linotype" w:hAnsi="Palatino Linotype" w:cs="Arial"/>
          <w:b/>
          <w:i/>
          <w:color w:val="000000" w:themeColor="text1"/>
        </w:rPr>
        <w:t>Ley de Transparencia y Acceso a la Información Pública del Estado de México y Municipios</w:t>
      </w:r>
    </w:p>
    <w:p w14:paraId="0AD7170C" w14:textId="77777777" w:rsidR="00583555" w:rsidRPr="00CC2284" w:rsidRDefault="00583555" w:rsidP="00CC2284">
      <w:pPr>
        <w:spacing w:line="360" w:lineRule="auto"/>
        <w:jc w:val="center"/>
        <w:rPr>
          <w:rFonts w:ascii="Palatino Linotype" w:hAnsi="Palatino Linotype" w:cs="Arial"/>
          <w:b/>
          <w:i/>
          <w:color w:val="000000" w:themeColor="text1"/>
        </w:rPr>
      </w:pPr>
    </w:p>
    <w:p w14:paraId="789BCED8"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w:t>
      </w:r>
      <w:r w:rsidRPr="00CC2284">
        <w:rPr>
          <w:rFonts w:ascii="Palatino Linotype" w:hAnsi="Palatino Linotype" w:cs="Arial"/>
          <w:b/>
          <w:i/>
          <w:color w:val="000000" w:themeColor="text1"/>
          <w:lang w:eastAsia="es-MX"/>
        </w:rPr>
        <w:t xml:space="preserve">Artículo 49. </w:t>
      </w:r>
      <w:r w:rsidRPr="00CC2284">
        <w:rPr>
          <w:rFonts w:ascii="Palatino Linotype" w:hAnsi="Palatino Linotype" w:cs="Arial"/>
          <w:i/>
          <w:color w:val="000000" w:themeColor="text1"/>
          <w:lang w:eastAsia="es-MX"/>
        </w:rPr>
        <w:t xml:space="preserve">Los </w:t>
      </w:r>
      <w:r w:rsidRPr="00CC2284">
        <w:rPr>
          <w:rFonts w:ascii="Palatino Linotype" w:hAnsi="Palatino Linotype" w:cs="Arial"/>
          <w:i/>
          <w:color w:val="000000" w:themeColor="text1"/>
        </w:rPr>
        <w:t>Comités</w:t>
      </w:r>
      <w:r w:rsidRPr="00CC2284">
        <w:rPr>
          <w:rFonts w:ascii="Palatino Linotype" w:hAnsi="Palatino Linotype" w:cs="Arial"/>
          <w:i/>
          <w:color w:val="000000" w:themeColor="text1"/>
          <w:lang w:eastAsia="es-MX"/>
        </w:rPr>
        <w:t xml:space="preserve"> de Transparencia </w:t>
      </w:r>
      <w:r w:rsidRPr="00CC2284">
        <w:rPr>
          <w:rFonts w:ascii="Palatino Linotype" w:hAnsi="Palatino Linotype"/>
          <w:i/>
          <w:color w:val="000000" w:themeColor="text1"/>
        </w:rPr>
        <w:t>tendrán</w:t>
      </w:r>
      <w:r w:rsidRPr="00CC2284">
        <w:rPr>
          <w:rFonts w:ascii="Palatino Linotype" w:hAnsi="Palatino Linotype" w:cs="Arial"/>
          <w:i/>
          <w:color w:val="000000" w:themeColor="text1"/>
          <w:lang w:eastAsia="es-MX"/>
        </w:rPr>
        <w:t xml:space="preserve"> las siguientes atribuciones:</w:t>
      </w:r>
    </w:p>
    <w:p w14:paraId="0C5B2A1C"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VIII.</w:t>
      </w:r>
      <w:r w:rsidRPr="00CC2284">
        <w:rPr>
          <w:rFonts w:ascii="Palatino Linotype" w:hAnsi="Palatino Linotype" w:cs="Arial"/>
          <w:i/>
          <w:color w:val="000000" w:themeColor="text1"/>
          <w:lang w:eastAsia="es-MX"/>
        </w:rPr>
        <w:t xml:space="preserve"> Aprobar, </w:t>
      </w:r>
      <w:r w:rsidRPr="00CC2284">
        <w:rPr>
          <w:rFonts w:ascii="Palatino Linotype" w:hAnsi="Palatino Linotype" w:cs="Arial"/>
          <w:i/>
          <w:color w:val="000000" w:themeColor="text1"/>
        </w:rPr>
        <w:t>modificar</w:t>
      </w:r>
      <w:r w:rsidRPr="00CC2284">
        <w:rPr>
          <w:rFonts w:ascii="Palatino Linotype" w:hAnsi="Palatino Linotype" w:cs="Arial"/>
          <w:i/>
          <w:color w:val="000000" w:themeColor="text1"/>
          <w:lang w:eastAsia="es-MX"/>
        </w:rPr>
        <w:t xml:space="preserve"> o revocar la clasificación de la información;</w:t>
      </w:r>
    </w:p>
    <w:p w14:paraId="206B2E8B" w14:textId="77777777" w:rsidR="00583555" w:rsidRPr="00CC2284" w:rsidRDefault="00583555" w:rsidP="00CC2284">
      <w:pPr>
        <w:autoSpaceDE w:val="0"/>
        <w:autoSpaceDN w:val="0"/>
        <w:adjustRightInd w:val="0"/>
        <w:spacing w:line="360" w:lineRule="auto"/>
        <w:jc w:val="both"/>
        <w:rPr>
          <w:rFonts w:ascii="Palatino Linotype" w:hAnsi="Palatino Linotype" w:cs="Arial"/>
          <w:b/>
          <w:i/>
          <w:color w:val="000000" w:themeColor="text1"/>
          <w:lang w:eastAsia="es-MX"/>
        </w:rPr>
      </w:pPr>
    </w:p>
    <w:p w14:paraId="4AE55114"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Artículo 132.</w:t>
      </w:r>
      <w:r w:rsidRPr="00CC2284">
        <w:rPr>
          <w:rFonts w:ascii="Palatino Linotype" w:hAnsi="Palatino Linotype" w:cs="Arial"/>
          <w:i/>
          <w:color w:val="000000" w:themeColor="text1"/>
          <w:lang w:eastAsia="es-MX"/>
        </w:rPr>
        <w:t xml:space="preserve"> La clasificación de la información se llevará a cabo en el momento en que:</w:t>
      </w:r>
    </w:p>
    <w:p w14:paraId="5A644A26"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w:t>
      </w:r>
    </w:p>
    <w:p w14:paraId="547D847F"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II.</w:t>
      </w:r>
      <w:r w:rsidRPr="00CC2284">
        <w:rPr>
          <w:rFonts w:ascii="Palatino Linotype" w:hAnsi="Palatino Linotype" w:cs="Arial"/>
          <w:i/>
          <w:color w:val="000000" w:themeColor="text1"/>
          <w:lang w:eastAsia="es-MX"/>
        </w:rPr>
        <w:t xml:space="preserve"> Se determine mediante resolución de autoridad competente; o</w:t>
      </w:r>
    </w:p>
    <w:p w14:paraId="6E50DD2B"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III</w:t>
      </w:r>
      <w:r w:rsidRPr="00CC2284">
        <w:rPr>
          <w:rFonts w:ascii="Palatino Linotype" w:hAnsi="Palatino Linotype" w:cs="Arial"/>
          <w:i/>
          <w:color w:val="000000" w:themeColor="text1"/>
          <w:lang w:eastAsia="es-MX"/>
        </w:rPr>
        <w:t>. Se generen versiones públicas para dar cumplimiento a las obligaciones de transparencia previstas en esta Ley.”</w:t>
      </w:r>
    </w:p>
    <w:p w14:paraId="2F419D14" w14:textId="77777777" w:rsidR="00583555" w:rsidRPr="00CC2284" w:rsidRDefault="00583555" w:rsidP="00CC2284">
      <w:pPr>
        <w:spacing w:line="360" w:lineRule="auto"/>
        <w:jc w:val="center"/>
        <w:rPr>
          <w:rFonts w:ascii="Palatino Linotype" w:hAnsi="Palatino Linotype" w:cs="Arial"/>
          <w:b/>
          <w:i/>
          <w:color w:val="000000" w:themeColor="text1"/>
          <w:lang w:eastAsia="es-MX"/>
        </w:rPr>
      </w:pPr>
    </w:p>
    <w:p w14:paraId="0333D5D2" w14:textId="77777777" w:rsidR="00583555" w:rsidRPr="00CC2284" w:rsidRDefault="00583555" w:rsidP="00CC2284">
      <w:pPr>
        <w:spacing w:line="360" w:lineRule="auto"/>
        <w:jc w:val="center"/>
        <w:rPr>
          <w:rFonts w:ascii="Palatino Linotype" w:hAnsi="Palatino Linotype" w:cs="Arial"/>
          <w:b/>
          <w:i/>
          <w:color w:val="000000" w:themeColor="text1"/>
          <w:lang w:eastAsia="es-MX"/>
        </w:rPr>
      </w:pPr>
      <w:r w:rsidRPr="00CC2284">
        <w:rPr>
          <w:rFonts w:ascii="Palatino Linotype" w:hAnsi="Palatino Linotype" w:cs="Arial"/>
          <w:b/>
          <w:i/>
          <w:color w:val="000000" w:themeColor="text1"/>
          <w:lang w:eastAsia="es-MX"/>
        </w:rPr>
        <w:t xml:space="preserve">Lineamientos Generales en materia de Clasificación y Desclasificación de la </w:t>
      </w:r>
      <w:r w:rsidRPr="00CC2284">
        <w:rPr>
          <w:rFonts w:ascii="Palatino Linotype" w:hAnsi="Palatino Linotype" w:cs="Arial"/>
          <w:b/>
          <w:i/>
          <w:color w:val="000000" w:themeColor="text1"/>
        </w:rPr>
        <w:t>Información, así como para la elaboración de Versiones Públicas</w:t>
      </w:r>
    </w:p>
    <w:p w14:paraId="769E8CB0"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p>
    <w:p w14:paraId="3B882D02"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w:t>
      </w:r>
      <w:r w:rsidRPr="00CC2284">
        <w:rPr>
          <w:rFonts w:ascii="Palatino Linotype" w:hAnsi="Palatino Linotype" w:cs="Arial"/>
          <w:b/>
          <w:i/>
          <w:color w:val="000000" w:themeColor="text1"/>
          <w:lang w:eastAsia="es-MX"/>
        </w:rPr>
        <w:t>Segundo.-</w:t>
      </w:r>
      <w:r w:rsidRPr="00CC2284">
        <w:rPr>
          <w:rFonts w:ascii="Palatino Linotype" w:hAnsi="Palatino Linotype" w:cs="Arial"/>
          <w:i/>
          <w:color w:val="000000" w:themeColor="text1"/>
          <w:lang w:eastAsia="es-MX"/>
        </w:rPr>
        <w:t xml:space="preserve"> Para efectos de los </w:t>
      </w:r>
      <w:r w:rsidRPr="00CC2284">
        <w:rPr>
          <w:rFonts w:ascii="Palatino Linotype" w:hAnsi="Palatino Linotype" w:cs="Arial"/>
          <w:i/>
          <w:color w:val="000000" w:themeColor="text1"/>
        </w:rPr>
        <w:t>presentes</w:t>
      </w:r>
      <w:r w:rsidRPr="00CC2284">
        <w:rPr>
          <w:rFonts w:ascii="Palatino Linotype" w:hAnsi="Palatino Linotype" w:cs="Arial"/>
          <w:i/>
          <w:color w:val="000000" w:themeColor="text1"/>
          <w:lang w:eastAsia="es-MX"/>
        </w:rPr>
        <w:t xml:space="preserve"> Lineamientos Generales, se entenderá por:</w:t>
      </w:r>
    </w:p>
    <w:p w14:paraId="3AF14386"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XVIII.</w:t>
      </w:r>
      <w:r w:rsidRPr="00CC2284">
        <w:rPr>
          <w:rFonts w:ascii="Palatino Linotype" w:hAnsi="Palatino Linotype" w:cs="Arial"/>
          <w:i/>
          <w:color w:val="000000" w:themeColor="text1"/>
          <w:lang w:eastAsia="es-MX"/>
        </w:rPr>
        <w:t xml:space="preserve"> </w:t>
      </w:r>
      <w:r w:rsidRPr="00CC2284">
        <w:rPr>
          <w:rFonts w:ascii="Palatino Linotype" w:hAnsi="Palatino Linotype" w:cs="Arial"/>
          <w:b/>
          <w:i/>
          <w:color w:val="000000" w:themeColor="text1"/>
          <w:lang w:eastAsia="es-MX"/>
        </w:rPr>
        <w:t>Versión pública:</w:t>
      </w:r>
      <w:r w:rsidRPr="00CC2284">
        <w:rPr>
          <w:rFonts w:ascii="Palatino Linotype" w:hAnsi="Palatino Linotype" w:cs="Arial"/>
          <w:i/>
          <w:color w:val="000000" w:themeColor="text1"/>
          <w:lang w:eastAsia="es-MX"/>
        </w:rPr>
        <w:t xml:space="preserve"> El </w:t>
      </w:r>
      <w:r w:rsidRPr="00CC2284">
        <w:rPr>
          <w:rFonts w:ascii="Palatino Linotype" w:hAnsi="Palatino Linotype" w:cs="Arial"/>
          <w:bCs/>
          <w:i/>
          <w:noProof/>
          <w:color w:val="000000" w:themeColor="text1"/>
        </w:rPr>
        <w:t>documento</w:t>
      </w:r>
      <w:r w:rsidRPr="00CC2284">
        <w:rPr>
          <w:rFonts w:ascii="Palatino Linotype" w:hAnsi="Palatino Linotype" w:cs="Arial"/>
          <w:i/>
          <w:color w:val="000000" w:themeColor="text1"/>
          <w:lang w:eastAsia="es-MX"/>
        </w:rPr>
        <w:t xml:space="preserve"> a partir del que se otorga acceso a la información, en el que se testan partes o secciones clasificadas, indicando el contenido de éstas de manera genérica, </w:t>
      </w:r>
      <w:r w:rsidRPr="00CC2284">
        <w:rPr>
          <w:rFonts w:ascii="Palatino Linotype" w:hAnsi="Palatino Linotype" w:cs="Arial"/>
          <w:b/>
          <w:i/>
          <w:color w:val="000000" w:themeColor="text1"/>
          <w:lang w:eastAsia="es-MX"/>
        </w:rPr>
        <w:t>fundando y motivando la</w:t>
      </w:r>
      <w:r w:rsidRPr="00CC2284">
        <w:rPr>
          <w:rFonts w:ascii="Palatino Linotype" w:hAnsi="Palatino Linotype" w:cs="Arial"/>
          <w:i/>
          <w:color w:val="000000" w:themeColor="text1"/>
          <w:lang w:eastAsia="es-MX"/>
        </w:rPr>
        <w:t xml:space="preserve"> reserva o </w:t>
      </w:r>
      <w:r w:rsidRPr="00CC2284">
        <w:rPr>
          <w:rFonts w:ascii="Palatino Linotype" w:hAnsi="Palatino Linotype" w:cs="Arial"/>
          <w:b/>
          <w:i/>
          <w:color w:val="000000" w:themeColor="text1"/>
          <w:lang w:eastAsia="es-MX"/>
        </w:rPr>
        <w:t>confidencialidad</w:t>
      </w:r>
      <w:r w:rsidRPr="00CC2284">
        <w:rPr>
          <w:rFonts w:ascii="Palatino Linotype" w:hAnsi="Palatino Linotype" w:cs="Arial"/>
          <w:i/>
          <w:color w:val="000000" w:themeColor="text1"/>
          <w:lang w:eastAsia="es-MX"/>
        </w:rPr>
        <w:t xml:space="preserve">, a través de la resolución que para tal efecto emita el </w:t>
      </w:r>
      <w:r w:rsidRPr="00CC2284">
        <w:rPr>
          <w:rFonts w:ascii="Palatino Linotype" w:hAnsi="Palatino Linotype" w:cs="Arial"/>
          <w:bCs/>
          <w:i/>
          <w:noProof/>
          <w:color w:val="000000" w:themeColor="text1"/>
        </w:rPr>
        <w:t>Comité</w:t>
      </w:r>
      <w:r w:rsidRPr="00CC2284">
        <w:rPr>
          <w:rFonts w:ascii="Palatino Linotype" w:hAnsi="Palatino Linotype" w:cs="Arial"/>
          <w:i/>
          <w:color w:val="000000" w:themeColor="text1"/>
          <w:lang w:eastAsia="es-MX"/>
        </w:rPr>
        <w:t xml:space="preserve"> de Transparencia.</w:t>
      </w:r>
    </w:p>
    <w:p w14:paraId="54B83BED" w14:textId="77777777" w:rsidR="00583555" w:rsidRPr="00CC2284" w:rsidRDefault="00583555" w:rsidP="00CC2284">
      <w:pPr>
        <w:autoSpaceDE w:val="0"/>
        <w:autoSpaceDN w:val="0"/>
        <w:adjustRightInd w:val="0"/>
        <w:spacing w:line="360" w:lineRule="auto"/>
        <w:jc w:val="both"/>
        <w:rPr>
          <w:rFonts w:ascii="Palatino Linotype" w:hAnsi="Palatino Linotype" w:cs="Arial"/>
          <w:b/>
          <w:i/>
          <w:color w:val="000000" w:themeColor="text1"/>
          <w:lang w:eastAsia="es-MX"/>
        </w:rPr>
      </w:pPr>
    </w:p>
    <w:p w14:paraId="3ADFE18B"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lastRenderedPageBreak/>
        <w:t>Cuarto.</w:t>
      </w:r>
      <w:r w:rsidRPr="00CC2284">
        <w:rPr>
          <w:rFonts w:ascii="Palatino Linotype" w:hAnsi="Palatino Linotype" w:cs="Arial"/>
          <w:i/>
          <w:color w:val="000000" w:themeColor="text1"/>
          <w:lang w:eastAsia="es-MX"/>
        </w:rPr>
        <w:t xml:space="preserve"> Para clasificar la información como reservada o confidencial, de manera total o parcial, el titular del </w:t>
      </w:r>
      <w:r w:rsidRPr="00CC2284">
        <w:rPr>
          <w:rFonts w:ascii="Palatino Linotype" w:hAnsi="Palatino Linotype" w:cs="Arial"/>
          <w:bCs/>
          <w:i/>
          <w:noProof/>
          <w:color w:val="000000" w:themeColor="text1"/>
        </w:rPr>
        <w:t>área</w:t>
      </w:r>
      <w:r w:rsidRPr="00CC2284">
        <w:rPr>
          <w:rFonts w:ascii="Palatino Linotype" w:hAnsi="Palatino Linotype" w:cs="Arial"/>
          <w:i/>
          <w:color w:val="000000" w:themeColor="text1"/>
          <w:lang w:eastAsia="es-MX"/>
        </w:rPr>
        <w:t xml:space="preserve"> del sujeto </w:t>
      </w:r>
      <w:r w:rsidRPr="00CC2284">
        <w:rPr>
          <w:rFonts w:ascii="Palatino Linotype" w:hAnsi="Palatino Linotype" w:cs="Arial"/>
          <w:i/>
          <w:color w:val="000000" w:themeColor="text1"/>
        </w:rPr>
        <w:t>obligado</w:t>
      </w:r>
      <w:r w:rsidRPr="00CC2284">
        <w:rPr>
          <w:rFonts w:ascii="Palatino Linotype" w:hAnsi="Palatino Linotype" w:cs="Arial"/>
          <w:i/>
          <w:color w:val="000000" w:themeColor="text1"/>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9DC614C"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p>
    <w:p w14:paraId="568D653E"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 xml:space="preserve">Los sujetos obligados deberán aplicar, de manera estricta, las excepciones al derecho de acceso a la </w:t>
      </w:r>
      <w:r w:rsidRPr="00CC2284">
        <w:rPr>
          <w:rFonts w:ascii="Palatino Linotype" w:hAnsi="Palatino Linotype" w:cs="Arial"/>
          <w:bCs/>
          <w:i/>
          <w:noProof/>
          <w:color w:val="000000" w:themeColor="text1"/>
        </w:rPr>
        <w:t>información</w:t>
      </w:r>
      <w:r w:rsidRPr="00CC2284">
        <w:rPr>
          <w:rFonts w:ascii="Palatino Linotype" w:hAnsi="Palatino Linotype" w:cs="Arial"/>
          <w:i/>
          <w:color w:val="000000" w:themeColor="text1"/>
          <w:lang w:eastAsia="es-MX"/>
        </w:rPr>
        <w:t xml:space="preserve"> y sólo </w:t>
      </w:r>
      <w:r w:rsidRPr="00CC2284">
        <w:rPr>
          <w:rFonts w:ascii="Palatino Linotype" w:hAnsi="Palatino Linotype" w:cs="Arial"/>
          <w:i/>
          <w:color w:val="000000" w:themeColor="text1"/>
        </w:rPr>
        <w:t>podrán</w:t>
      </w:r>
      <w:r w:rsidRPr="00CC2284">
        <w:rPr>
          <w:rFonts w:ascii="Palatino Linotype" w:hAnsi="Palatino Linotype" w:cs="Arial"/>
          <w:i/>
          <w:color w:val="000000" w:themeColor="text1"/>
          <w:lang w:eastAsia="es-MX"/>
        </w:rPr>
        <w:t xml:space="preserve"> invocarlas cuando acrediten su procedencia.</w:t>
      </w:r>
    </w:p>
    <w:p w14:paraId="0971E40D" w14:textId="77777777" w:rsidR="00583555" w:rsidRPr="00CC2284" w:rsidRDefault="00583555" w:rsidP="00CC2284">
      <w:pPr>
        <w:autoSpaceDE w:val="0"/>
        <w:autoSpaceDN w:val="0"/>
        <w:adjustRightInd w:val="0"/>
        <w:spacing w:line="360" w:lineRule="auto"/>
        <w:jc w:val="both"/>
        <w:rPr>
          <w:rFonts w:ascii="Palatino Linotype" w:hAnsi="Palatino Linotype" w:cs="Arial"/>
          <w:b/>
          <w:i/>
          <w:color w:val="000000" w:themeColor="text1"/>
          <w:lang w:eastAsia="es-MX"/>
        </w:rPr>
      </w:pPr>
    </w:p>
    <w:p w14:paraId="7146891B"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Quinto.</w:t>
      </w:r>
      <w:r w:rsidRPr="00CC2284">
        <w:rPr>
          <w:rFonts w:ascii="Palatino Linotype" w:hAnsi="Palatino Linotype" w:cs="Arial"/>
          <w:i/>
          <w:color w:val="000000" w:themeColor="text1"/>
          <w:lang w:eastAsia="es-MX"/>
        </w:rPr>
        <w:t xml:space="preserve"> La carga de la prueba para justificar toda negativa de acceso a la información, por actualizarse cualquiera de los supuestos de clasificación previstos en la Ley General, la Ley Federal y leyes estatales, </w:t>
      </w:r>
      <w:r w:rsidRPr="00CC2284">
        <w:rPr>
          <w:rFonts w:ascii="Palatino Linotype" w:hAnsi="Palatino Linotype" w:cs="Arial"/>
          <w:i/>
          <w:color w:val="000000" w:themeColor="text1"/>
        </w:rPr>
        <w:t>corresponderá</w:t>
      </w:r>
      <w:r w:rsidRPr="00CC2284">
        <w:rPr>
          <w:rFonts w:ascii="Palatino Linotype" w:hAnsi="Palatino Linotype" w:cs="Arial"/>
          <w:i/>
          <w:color w:val="000000" w:themeColor="text1"/>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06CE77" w14:textId="77777777" w:rsidR="00583555" w:rsidRPr="00CC2284" w:rsidRDefault="00583555" w:rsidP="00CC2284">
      <w:pPr>
        <w:autoSpaceDE w:val="0"/>
        <w:autoSpaceDN w:val="0"/>
        <w:adjustRightInd w:val="0"/>
        <w:spacing w:line="360" w:lineRule="auto"/>
        <w:jc w:val="both"/>
        <w:rPr>
          <w:rFonts w:ascii="Palatino Linotype" w:hAnsi="Palatino Linotype" w:cs="Arial"/>
          <w:b/>
          <w:i/>
          <w:color w:val="000000" w:themeColor="text1"/>
          <w:lang w:eastAsia="es-MX"/>
        </w:rPr>
      </w:pPr>
    </w:p>
    <w:p w14:paraId="322B763C"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Sexto.</w:t>
      </w:r>
      <w:r w:rsidRPr="00CC2284">
        <w:rPr>
          <w:rFonts w:ascii="Palatino Linotype" w:hAnsi="Palatino Linotype" w:cs="Arial"/>
          <w:i/>
          <w:color w:val="000000" w:themeColor="text1"/>
          <w:lang w:eastAsia="es-MX"/>
        </w:rPr>
        <w:t xml:space="preserve"> Los sujetos obligados no podrán emitir acuerdos de carácter general ni particular que clasifiquen </w:t>
      </w:r>
      <w:r w:rsidRPr="00CC2284">
        <w:rPr>
          <w:rFonts w:ascii="Palatino Linotype" w:hAnsi="Palatino Linotype" w:cs="Arial"/>
          <w:bCs/>
          <w:i/>
          <w:noProof/>
          <w:color w:val="000000" w:themeColor="text1"/>
        </w:rPr>
        <w:t>documentos</w:t>
      </w:r>
      <w:r w:rsidRPr="00CC2284">
        <w:rPr>
          <w:rFonts w:ascii="Palatino Linotype" w:hAnsi="Palatino Linotype" w:cs="Arial"/>
          <w:i/>
          <w:color w:val="000000" w:themeColor="text1"/>
          <w:lang w:eastAsia="es-MX"/>
        </w:rPr>
        <w:t xml:space="preserve"> o expedientes como reservados, ni clasificar documentos antes de que se genere la información o cuando éstos no obren en sus archivos.</w:t>
      </w:r>
    </w:p>
    <w:p w14:paraId="4863AED1" w14:textId="77777777" w:rsidR="00583555" w:rsidRPr="00CC2284" w:rsidRDefault="00583555" w:rsidP="00CC2284">
      <w:pPr>
        <w:spacing w:line="360" w:lineRule="auto"/>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 xml:space="preserve">La clasificación de </w:t>
      </w:r>
      <w:r w:rsidRPr="00CC2284">
        <w:rPr>
          <w:rFonts w:ascii="Palatino Linotype" w:hAnsi="Palatino Linotype" w:cs="Arial"/>
          <w:i/>
          <w:color w:val="000000" w:themeColor="text1"/>
        </w:rPr>
        <w:t>información</w:t>
      </w:r>
      <w:r w:rsidRPr="00CC2284">
        <w:rPr>
          <w:rFonts w:ascii="Palatino Linotype" w:hAnsi="Palatino Linotype" w:cs="Arial"/>
          <w:i/>
          <w:color w:val="000000" w:themeColor="text1"/>
          <w:lang w:eastAsia="es-MX"/>
        </w:rPr>
        <w:t xml:space="preserve"> se realizará conforme a un análisis caso por caso, mediante la aplicación </w:t>
      </w:r>
      <w:r w:rsidRPr="00CC2284">
        <w:rPr>
          <w:rFonts w:ascii="Palatino Linotype" w:hAnsi="Palatino Linotype" w:cs="Arial"/>
          <w:bCs/>
          <w:i/>
          <w:noProof/>
          <w:color w:val="000000" w:themeColor="text1"/>
        </w:rPr>
        <w:t>de</w:t>
      </w:r>
      <w:r w:rsidRPr="00CC2284">
        <w:rPr>
          <w:rFonts w:ascii="Palatino Linotype" w:hAnsi="Palatino Linotype" w:cs="Arial"/>
          <w:i/>
          <w:color w:val="000000" w:themeColor="text1"/>
          <w:lang w:eastAsia="es-MX"/>
        </w:rPr>
        <w:t xml:space="preserve"> la prueba de daño y de interés público.</w:t>
      </w:r>
    </w:p>
    <w:p w14:paraId="33366BA8" w14:textId="77777777" w:rsidR="00583555" w:rsidRPr="00CC2284" w:rsidRDefault="00583555" w:rsidP="00CC2284">
      <w:pPr>
        <w:autoSpaceDE w:val="0"/>
        <w:autoSpaceDN w:val="0"/>
        <w:adjustRightInd w:val="0"/>
        <w:spacing w:line="360" w:lineRule="auto"/>
        <w:jc w:val="both"/>
        <w:rPr>
          <w:rFonts w:ascii="Palatino Linotype" w:hAnsi="Palatino Linotype" w:cs="Arial"/>
          <w:b/>
          <w:i/>
          <w:color w:val="000000" w:themeColor="text1"/>
          <w:lang w:eastAsia="es-MX"/>
        </w:rPr>
      </w:pPr>
    </w:p>
    <w:p w14:paraId="49CCDCCE"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Séptimo.</w:t>
      </w:r>
      <w:r w:rsidRPr="00CC2284">
        <w:rPr>
          <w:rFonts w:ascii="Palatino Linotype" w:hAnsi="Palatino Linotype" w:cs="Arial"/>
          <w:i/>
          <w:color w:val="000000" w:themeColor="text1"/>
          <w:lang w:eastAsia="es-MX"/>
        </w:rPr>
        <w:t xml:space="preserve"> La clasificación </w:t>
      </w:r>
      <w:r w:rsidRPr="00CC2284">
        <w:rPr>
          <w:rFonts w:ascii="Palatino Linotype" w:hAnsi="Palatino Linotype" w:cs="Arial"/>
          <w:bCs/>
          <w:i/>
          <w:noProof/>
          <w:color w:val="000000" w:themeColor="text1"/>
        </w:rPr>
        <w:t>de</w:t>
      </w:r>
      <w:r w:rsidRPr="00CC2284">
        <w:rPr>
          <w:rFonts w:ascii="Palatino Linotype" w:hAnsi="Palatino Linotype" w:cs="Arial"/>
          <w:i/>
          <w:color w:val="000000" w:themeColor="text1"/>
          <w:lang w:eastAsia="es-MX"/>
        </w:rPr>
        <w:t xml:space="preserve"> la </w:t>
      </w:r>
      <w:r w:rsidRPr="00CC2284">
        <w:rPr>
          <w:rFonts w:ascii="Palatino Linotype" w:hAnsi="Palatino Linotype" w:cs="Arial"/>
          <w:i/>
          <w:color w:val="000000" w:themeColor="text1"/>
        </w:rPr>
        <w:t>información</w:t>
      </w:r>
      <w:r w:rsidRPr="00CC2284">
        <w:rPr>
          <w:rFonts w:ascii="Palatino Linotype" w:hAnsi="Palatino Linotype" w:cs="Arial"/>
          <w:i/>
          <w:color w:val="000000" w:themeColor="text1"/>
          <w:lang w:eastAsia="es-MX"/>
        </w:rPr>
        <w:t xml:space="preserve"> se llevará a cabo en el momento en que:</w:t>
      </w:r>
    </w:p>
    <w:p w14:paraId="4A839F31"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lastRenderedPageBreak/>
        <w:t>I.</w:t>
      </w:r>
      <w:r w:rsidRPr="00CC2284">
        <w:rPr>
          <w:rFonts w:ascii="Palatino Linotype" w:hAnsi="Palatino Linotype" w:cs="Arial"/>
          <w:i/>
          <w:color w:val="000000" w:themeColor="text1"/>
          <w:lang w:eastAsia="es-MX"/>
        </w:rPr>
        <w:t xml:space="preserve"> Se reciba una solicitud de acceso a la información;</w:t>
      </w:r>
    </w:p>
    <w:p w14:paraId="367F086C"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II.</w:t>
      </w:r>
      <w:r w:rsidRPr="00CC2284">
        <w:rPr>
          <w:rFonts w:ascii="Palatino Linotype" w:hAnsi="Palatino Linotype" w:cs="Arial"/>
          <w:i/>
          <w:color w:val="000000" w:themeColor="text1"/>
          <w:lang w:eastAsia="es-MX"/>
        </w:rPr>
        <w:t xml:space="preserve"> Se determine </w:t>
      </w:r>
      <w:r w:rsidRPr="00CC2284">
        <w:rPr>
          <w:rFonts w:ascii="Palatino Linotype" w:hAnsi="Palatino Linotype" w:cs="Arial"/>
          <w:bCs/>
          <w:i/>
          <w:noProof/>
          <w:color w:val="000000" w:themeColor="text1"/>
        </w:rPr>
        <w:t>mediante</w:t>
      </w:r>
      <w:r w:rsidRPr="00CC2284">
        <w:rPr>
          <w:rFonts w:ascii="Palatino Linotype" w:hAnsi="Palatino Linotype" w:cs="Arial"/>
          <w:i/>
          <w:color w:val="000000" w:themeColor="text1"/>
          <w:lang w:eastAsia="es-MX"/>
        </w:rPr>
        <w:t xml:space="preserve"> resolución de autoridad competente, o</w:t>
      </w:r>
    </w:p>
    <w:p w14:paraId="4272E71C"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III.</w:t>
      </w:r>
      <w:r w:rsidRPr="00CC2284">
        <w:rPr>
          <w:rFonts w:ascii="Palatino Linotype" w:hAnsi="Palatino Linotype" w:cs="Arial"/>
          <w:i/>
          <w:color w:val="000000" w:themeColor="text1"/>
          <w:lang w:eastAsia="es-MX"/>
        </w:rPr>
        <w:t xml:space="preserve"> Se generen </w:t>
      </w:r>
      <w:r w:rsidRPr="00CC2284">
        <w:rPr>
          <w:rFonts w:ascii="Palatino Linotype" w:hAnsi="Palatino Linotype" w:cs="Arial"/>
          <w:bCs/>
          <w:i/>
          <w:noProof/>
          <w:color w:val="000000" w:themeColor="text1"/>
        </w:rPr>
        <w:t>versiones</w:t>
      </w:r>
      <w:r w:rsidRPr="00CC2284">
        <w:rPr>
          <w:rFonts w:ascii="Palatino Linotype" w:hAnsi="Palatino Linotype" w:cs="Arial"/>
          <w:i/>
          <w:color w:val="000000" w:themeColor="text1"/>
          <w:lang w:eastAsia="es-MX"/>
        </w:rPr>
        <w:t xml:space="preserve"> públicas para dar cumplimiento a las obligaciones de transparencia previstas en la Ley General, la Ley Federal y las correspondientes de las entidades federativas.</w:t>
      </w:r>
    </w:p>
    <w:p w14:paraId="4D18E8C6"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p>
    <w:p w14:paraId="4FA6D855"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 xml:space="preserve">Los titulares de las áreas deberán revisar la clasificación al momento de la recepción de una solicitud de </w:t>
      </w:r>
      <w:r w:rsidRPr="00CC2284">
        <w:rPr>
          <w:rFonts w:ascii="Palatino Linotype" w:hAnsi="Palatino Linotype" w:cs="Arial"/>
          <w:bCs/>
          <w:i/>
          <w:noProof/>
          <w:color w:val="000000" w:themeColor="text1"/>
        </w:rPr>
        <w:t>acceso</w:t>
      </w:r>
      <w:r w:rsidRPr="00CC2284">
        <w:rPr>
          <w:rFonts w:ascii="Palatino Linotype" w:hAnsi="Palatino Linotype" w:cs="Arial"/>
          <w:i/>
          <w:color w:val="000000" w:themeColor="text1"/>
          <w:lang w:eastAsia="es-MX"/>
        </w:rPr>
        <w:t xml:space="preserve"> a la información, para verificar si encuadra en una causal de reserva o de confidencialidad.</w:t>
      </w:r>
    </w:p>
    <w:p w14:paraId="4EC61E01" w14:textId="77777777" w:rsidR="00583555" w:rsidRPr="00CC2284" w:rsidRDefault="00583555" w:rsidP="00CC2284">
      <w:pPr>
        <w:autoSpaceDE w:val="0"/>
        <w:autoSpaceDN w:val="0"/>
        <w:adjustRightInd w:val="0"/>
        <w:spacing w:line="360" w:lineRule="auto"/>
        <w:jc w:val="both"/>
        <w:rPr>
          <w:rFonts w:ascii="Palatino Linotype" w:hAnsi="Palatino Linotype" w:cs="Arial"/>
          <w:b/>
          <w:i/>
          <w:color w:val="000000" w:themeColor="text1"/>
          <w:lang w:eastAsia="es-MX"/>
        </w:rPr>
      </w:pPr>
    </w:p>
    <w:p w14:paraId="2179E023"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Octavo.</w:t>
      </w:r>
      <w:r w:rsidRPr="00CC2284">
        <w:rPr>
          <w:rFonts w:ascii="Palatino Linotype" w:hAnsi="Palatino Linotype" w:cs="Arial"/>
          <w:i/>
          <w:color w:val="000000" w:themeColor="text1"/>
          <w:lang w:eastAsia="es-MX"/>
        </w:rPr>
        <w:t xml:space="preserve"> Para fundar la clasificación de la información se debe señalar el artículo, fracción, inciso, párrafo o numeral de la ley o tratado internacional suscrito por el Estado mexicano que </w:t>
      </w:r>
      <w:r w:rsidRPr="00CC2284">
        <w:rPr>
          <w:rFonts w:ascii="Palatino Linotype" w:hAnsi="Palatino Linotype" w:cs="Arial"/>
          <w:bCs/>
          <w:i/>
          <w:noProof/>
          <w:color w:val="000000" w:themeColor="text1"/>
        </w:rPr>
        <w:t>expresamente</w:t>
      </w:r>
      <w:r w:rsidRPr="00CC2284">
        <w:rPr>
          <w:rFonts w:ascii="Palatino Linotype" w:hAnsi="Palatino Linotype" w:cs="Arial"/>
          <w:i/>
          <w:color w:val="000000" w:themeColor="text1"/>
          <w:lang w:eastAsia="es-MX"/>
        </w:rPr>
        <w:t xml:space="preserve"> le otorga el carácter de reservada o confidencial.</w:t>
      </w:r>
    </w:p>
    <w:p w14:paraId="5B985509" w14:textId="77777777" w:rsidR="00583555" w:rsidRPr="00CC2284" w:rsidRDefault="00583555" w:rsidP="00CC2284">
      <w:pPr>
        <w:autoSpaceDE w:val="0"/>
        <w:autoSpaceDN w:val="0"/>
        <w:adjustRightInd w:val="0"/>
        <w:spacing w:line="360" w:lineRule="auto"/>
        <w:jc w:val="both"/>
        <w:rPr>
          <w:rFonts w:ascii="Palatino Linotype" w:hAnsi="Palatino Linotype" w:cs="Arial"/>
          <w:bCs/>
          <w:i/>
          <w:noProof/>
          <w:color w:val="000000" w:themeColor="text1"/>
        </w:rPr>
      </w:pPr>
      <w:r w:rsidRPr="00CC2284">
        <w:rPr>
          <w:rFonts w:ascii="Palatino Linotype" w:hAnsi="Palatino Linotype" w:cs="Arial"/>
          <w:i/>
          <w:color w:val="000000" w:themeColor="text1"/>
          <w:lang w:eastAsia="es-MX"/>
        </w:rPr>
        <w:t xml:space="preserve">Para </w:t>
      </w:r>
      <w:r w:rsidRPr="00CC2284">
        <w:rPr>
          <w:rFonts w:ascii="Palatino Linotype" w:hAnsi="Palatino Linotype" w:cs="Arial"/>
          <w:bCs/>
          <w:i/>
          <w:noProof/>
          <w:color w:val="000000" w:themeColor="text1"/>
        </w:rPr>
        <w:t xml:space="preserve">motivar la clasificación se deberán señalar las razones o circunstancias especiales que lo </w:t>
      </w:r>
      <w:r w:rsidRPr="00CC2284">
        <w:rPr>
          <w:rFonts w:ascii="Palatino Linotype" w:hAnsi="Palatino Linotype" w:cs="Arial"/>
          <w:i/>
          <w:color w:val="000000" w:themeColor="text1"/>
          <w:lang w:eastAsia="es-MX"/>
        </w:rPr>
        <w:t>llevaron</w:t>
      </w:r>
      <w:r w:rsidRPr="00CC2284">
        <w:rPr>
          <w:rFonts w:ascii="Palatino Linotype" w:hAnsi="Palatino Linotype" w:cs="Arial"/>
          <w:bCs/>
          <w:i/>
          <w:noProof/>
          <w:color w:val="000000" w:themeColor="text1"/>
        </w:rPr>
        <w:t xml:space="preserve"> a concluir que el caso particular se ajusta al supuesto previsto por la norma legal invocada como fundamento.</w:t>
      </w:r>
    </w:p>
    <w:p w14:paraId="7E032E8E" w14:textId="77777777" w:rsidR="00583555" w:rsidRPr="00CC2284" w:rsidRDefault="00583555" w:rsidP="00CC2284">
      <w:pPr>
        <w:autoSpaceDE w:val="0"/>
        <w:autoSpaceDN w:val="0"/>
        <w:adjustRightInd w:val="0"/>
        <w:spacing w:line="360" w:lineRule="auto"/>
        <w:jc w:val="both"/>
        <w:rPr>
          <w:rFonts w:ascii="Palatino Linotype" w:hAnsi="Palatino Linotype" w:cs="Arial"/>
          <w:bCs/>
          <w:i/>
          <w:noProof/>
          <w:color w:val="000000" w:themeColor="text1"/>
        </w:rPr>
      </w:pPr>
    </w:p>
    <w:p w14:paraId="5B1DFA31" w14:textId="77777777" w:rsidR="00583555" w:rsidRPr="00CC2284" w:rsidRDefault="00583555" w:rsidP="00CC2284">
      <w:pPr>
        <w:autoSpaceDE w:val="0"/>
        <w:autoSpaceDN w:val="0"/>
        <w:adjustRightInd w:val="0"/>
        <w:spacing w:line="360" w:lineRule="auto"/>
        <w:jc w:val="both"/>
        <w:rPr>
          <w:rFonts w:ascii="Palatino Linotype" w:hAnsi="Palatino Linotype" w:cs="Arial"/>
          <w:bCs/>
          <w:i/>
          <w:noProof/>
          <w:color w:val="000000" w:themeColor="text1"/>
        </w:rPr>
      </w:pPr>
      <w:r w:rsidRPr="00CC2284">
        <w:rPr>
          <w:rFonts w:ascii="Palatino Linotype" w:hAnsi="Palatino Linotype" w:cs="Arial"/>
          <w:bCs/>
          <w:i/>
          <w:noProof/>
          <w:color w:val="000000" w:themeColor="text1"/>
        </w:rPr>
        <w:t xml:space="preserve">En caso de referirse a información reservada, la motivación de la clasificación también deberá comprender las circunstancias que justifican el establecimiento de determinado plazo </w:t>
      </w:r>
      <w:r w:rsidRPr="00CC2284">
        <w:rPr>
          <w:rFonts w:ascii="Palatino Linotype" w:hAnsi="Palatino Linotype" w:cs="Arial"/>
          <w:i/>
          <w:color w:val="000000" w:themeColor="text1"/>
          <w:lang w:eastAsia="es-MX"/>
        </w:rPr>
        <w:t>de</w:t>
      </w:r>
      <w:r w:rsidRPr="00CC2284">
        <w:rPr>
          <w:rFonts w:ascii="Palatino Linotype" w:hAnsi="Palatino Linotype" w:cs="Arial"/>
          <w:bCs/>
          <w:i/>
          <w:noProof/>
          <w:color w:val="000000" w:themeColor="text1"/>
        </w:rPr>
        <w:t xml:space="preserve"> </w:t>
      </w:r>
      <w:r w:rsidRPr="00CC2284">
        <w:rPr>
          <w:rFonts w:ascii="Palatino Linotype" w:hAnsi="Palatino Linotype" w:cs="Arial"/>
          <w:i/>
          <w:color w:val="000000" w:themeColor="text1"/>
          <w:lang w:eastAsia="es-MX"/>
        </w:rPr>
        <w:t>reserva</w:t>
      </w:r>
      <w:r w:rsidRPr="00CC2284">
        <w:rPr>
          <w:rFonts w:ascii="Palatino Linotype" w:hAnsi="Palatino Linotype" w:cs="Arial"/>
          <w:bCs/>
          <w:i/>
          <w:noProof/>
          <w:color w:val="000000" w:themeColor="text1"/>
        </w:rPr>
        <w:t>.</w:t>
      </w:r>
    </w:p>
    <w:p w14:paraId="28140657"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p>
    <w:p w14:paraId="2343F799" w14:textId="77777777" w:rsidR="00583555" w:rsidRPr="00CC2284" w:rsidRDefault="00583555" w:rsidP="00CC2284">
      <w:pPr>
        <w:autoSpaceDE w:val="0"/>
        <w:autoSpaceDN w:val="0"/>
        <w:adjustRightInd w:val="0"/>
        <w:spacing w:line="360" w:lineRule="auto"/>
        <w:jc w:val="both"/>
        <w:rPr>
          <w:rFonts w:ascii="Palatino Linotype" w:hAnsi="Palatino Linotype" w:cs="Arial"/>
          <w:bCs/>
          <w:i/>
          <w:noProof/>
          <w:color w:val="000000" w:themeColor="text1"/>
        </w:rPr>
      </w:pPr>
      <w:r w:rsidRPr="00CC2284">
        <w:rPr>
          <w:rFonts w:ascii="Palatino Linotype" w:hAnsi="Palatino Linotype" w:cs="Arial"/>
          <w:i/>
          <w:color w:val="000000" w:themeColor="text1"/>
          <w:lang w:eastAsia="es-MX"/>
        </w:rPr>
        <w:t>Tratándose</w:t>
      </w:r>
      <w:r w:rsidRPr="00CC2284">
        <w:rPr>
          <w:rFonts w:ascii="Palatino Linotype" w:hAnsi="Palatino Linotype" w:cs="Arial"/>
          <w:bCs/>
          <w:i/>
          <w:noProof/>
          <w:color w:val="000000" w:themeColor="text1"/>
        </w:rPr>
        <w:t xml:space="preserve"> de información clasificada como confidencial respecto de la cual se haya </w:t>
      </w:r>
      <w:r w:rsidRPr="00CC2284">
        <w:rPr>
          <w:rFonts w:ascii="Palatino Linotype" w:hAnsi="Palatino Linotype" w:cs="Arial"/>
          <w:i/>
          <w:color w:val="000000" w:themeColor="text1"/>
          <w:lang w:eastAsia="es-MX"/>
        </w:rPr>
        <w:t>determinado</w:t>
      </w:r>
      <w:r w:rsidRPr="00CC2284">
        <w:rPr>
          <w:rFonts w:ascii="Palatino Linotype" w:hAnsi="Palatino Linotype" w:cs="Arial"/>
          <w:bCs/>
          <w:i/>
          <w:noProof/>
          <w:color w:val="000000" w:themeColor="text1"/>
        </w:rPr>
        <w:t xml:space="preserve"> </w:t>
      </w:r>
      <w:r w:rsidRPr="00CC2284">
        <w:rPr>
          <w:rFonts w:ascii="Palatino Linotype" w:hAnsi="Palatino Linotype" w:cs="Arial"/>
          <w:i/>
          <w:color w:val="000000" w:themeColor="text1"/>
          <w:lang w:eastAsia="es-MX"/>
        </w:rPr>
        <w:t>su</w:t>
      </w:r>
      <w:r w:rsidRPr="00CC2284">
        <w:rPr>
          <w:rFonts w:ascii="Palatino Linotype" w:hAnsi="Palatino Linotype" w:cs="Arial"/>
          <w:bCs/>
          <w:i/>
          <w:noProof/>
          <w:color w:val="000000" w:themeColor="text1"/>
        </w:rPr>
        <w:t xml:space="preserve"> conservación permanente por tener valor histórico, ésta conservará tal carácter de conformidad con la normativa aplicable en materia de archivos.</w:t>
      </w:r>
    </w:p>
    <w:p w14:paraId="017E60B5" w14:textId="77777777" w:rsidR="00583555" w:rsidRPr="00CC2284" w:rsidRDefault="00583555" w:rsidP="00CC2284">
      <w:pPr>
        <w:autoSpaceDE w:val="0"/>
        <w:autoSpaceDN w:val="0"/>
        <w:adjustRightInd w:val="0"/>
        <w:spacing w:line="360" w:lineRule="auto"/>
        <w:jc w:val="both"/>
        <w:rPr>
          <w:rFonts w:ascii="Palatino Linotype" w:hAnsi="Palatino Linotype" w:cs="Arial"/>
          <w:bCs/>
          <w:i/>
          <w:noProof/>
          <w:color w:val="000000" w:themeColor="text1"/>
        </w:rPr>
      </w:pPr>
    </w:p>
    <w:p w14:paraId="6850B51A"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Cs/>
          <w:i/>
          <w:noProof/>
          <w:color w:val="000000" w:themeColor="text1"/>
        </w:rPr>
        <w:lastRenderedPageBreak/>
        <w:t>Los documentos contenidos</w:t>
      </w:r>
      <w:r w:rsidRPr="00CC2284">
        <w:rPr>
          <w:rFonts w:ascii="Palatino Linotype" w:hAnsi="Palatino Linotype" w:cs="Arial"/>
          <w:i/>
          <w:color w:val="000000" w:themeColor="text1"/>
          <w:lang w:eastAsia="es-MX"/>
        </w:rPr>
        <w:t xml:space="preserve"> en los archivos históricos y los identificados como históricos confidenciales no serán susceptibles de clasificación como reservados.</w:t>
      </w:r>
    </w:p>
    <w:p w14:paraId="7B408CDF" w14:textId="77777777" w:rsidR="00583555" w:rsidRPr="00CC2284" w:rsidRDefault="00583555" w:rsidP="00CC2284">
      <w:pPr>
        <w:autoSpaceDE w:val="0"/>
        <w:autoSpaceDN w:val="0"/>
        <w:adjustRightInd w:val="0"/>
        <w:spacing w:line="360" w:lineRule="auto"/>
        <w:jc w:val="both"/>
        <w:rPr>
          <w:rFonts w:ascii="Palatino Linotype" w:hAnsi="Palatino Linotype" w:cs="Arial"/>
          <w:b/>
          <w:i/>
          <w:color w:val="000000" w:themeColor="text1"/>
          <w:lang w:eastAsia="es-MX"/>
        </w:rPr>
      </w:pPr>
    </w:p>
    <w:p w14:paraId="766937ED"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Noveno.</w:t>
      </w:r>
      <w:r w:rsidRPr="00CC2284">
        <w:rPr>
          <w:rFonts w:ascii="Palatino Linotype" w:hAnsi="Palatino Linotype" w:cs="Arial"/>
          <w:i/>
          <w:color w:val="000000" w:themeColor="text1"/>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93751C" w14:textId="77777777" w:rsidR="00583555" w:rsidRPr="00CC2284" w:rsidRDefault="00583555" w:rsidP="00CC2284">
      <w:pPr>
        <w:autoSpaceDE w:val="0"/>
        <w:autoSpaceDN w:val="0"/>
        <w:adjustRightInd w:val="0"/>
        <w:spacing w:line="360" w:lineRule="auto"/>
        <w:jc w:val="both"/>
        <w:rPr>
          <w:rFonts w:ascii="Palatino Linotype" w:hAnsi="Palatino Linotype" w:cs="Arial"/>
          <w:b/>
          <w:i/>
          <w:color w:val="000000" w:themeColor="text1"/>
          <w:lang w:eastAsia="es-MX"/>
        </w:rPr>
      </w:pPr>
    </w:p>
    <w:p w14:paraId="5D00904E"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Décimo.</w:t>
      </w:r>
      <w:r w:rsidRPr="00CC2284">
        <w:rPr>
          <w:rFonts w:ascii="Palatino Linotype" w:hAnsi="Palatino Linotype" w:cs="Arial"/>
          <w:i/>
          <w:color w:val="000000" w:themeColor="text1"/>
          <w:lang w:eastAsia="es-MX"/>
        </w:rPr>
        <w:t xml:space="preserve"> Los titulares de las áreas, deberán tener conocimiento y llevar un registro del personal que, por la naturaleza de sus atribuciones, tenga acceso a los </w:t>
      </w:r>
      <w:r w:rsidRPr="00CC2284">
        <w:rPr>
          <w:rFonts w:ascii="Palatino Linotype" w:hAnsi="Palatino Linotype" w:cs="Arial"/>
          <w:i/>
          <w:color w:val="000000" w:themeColor="text1"/>
        </w:rPr>
        <w:t>documentos</w:t>
      </w:r>
      <w:r w:rsidRPr="00CC2284">
        <w:rPr>
          <w:rFonts w:ascii="Palatino Linotype" w:hAnsi="Palatino Linotype" w:cs="Arial"/>
          <w:i/>
          <w:color w:val="000000" w:themeColor="text1"/>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9ACF811"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 xml:space="preserve">En ausencia de los titulares de las áreas, la información será clasificada o desclasificada por la persona que lo supla, en términos de la normativa </w:t>
      </w:r>
      <w:r w:rsidRPr="00CC2284">
        <w:rPr>
          <w:rFonts w:ascii="Palatino Linotype" w:hAnsi="Palatino Linotype" w:cs="Arial"/>
          <w:i/>
          <w:color w:val="000000" w:themeColor="text1"/>
        </w:rPr>
        <w:t>que</w:t>
      </w:r>
      <w:r w:rsidRPr="00CC2284">
        <w:rPr>
          <w:rFonts w:ascii="Palatino Linotype" w:hAnsi="Palatino Linotype" w:cs="Arial"/>
          <w:i/>
          <w:color w:val="000000" w:themeColor="text1"/>
          <w:lang w:eastAsia="es-MX"/>
        </w:rPr>
        <w:t xml:space="preserve"> rija la actuación del sujeto obligado.</w:t>
      </w:r>
    </w:p>
    <w:p w14:paraId="7BB5AE6A" w14:textId="77777777" w:rsidR="00583555" w:rsidRPr="00CC2284" w:rsidRDefault="00583555" w:rsidP="00CC2284">
      <w:pPr>
        <w:autoSpaceDE w:val="0"/>
        <w:autoSpaceDN w:val="0"/>
        <w:adjustRightInd w:val="0"/>
        <w:spacing w:line="360" w:lineRule="auto"/>
        <w:jc w:val="both"/>
        <w:rPr>
          <w:rFonts w:ascii="Palatino Linotype" w:hAnsi="Palatino Linotype" w:cs="Arial"/>
          <w:b/>
          <w:i/>
          <w:color w:val="000000" w:themeColor="text1"/>
          <w:lang w:eastAsia="es-MX"/>
        </w:rPr>
      </w:pPr>
    </w:p>
    <w:p w14:paraId="03F11DA9"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Décimo primero.</w:t>
      </w:r>
      <w:r w:rsidRPr="00CC2284">
        <w:rPr>
          <w:rFonts w:ascii="Palatino Linotype" w:hAnsi="Palatino Linotype" w:cs="Arial"/>
          <w:i/>
          <w:color w:val="000000" w:themeColor="text1"/>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0B8754" w14:textId="77777777" w:rsidR="00583555" w:rsidRPr="00CC2284" w:rsidRDefault="00583555" w:rsidP="00CC2284">
      <w:pPr>
        <w:autoSpaceDE w:val="0"/>
        <w:autoSpaceDN w:val="0"/>
        <w:adjustRightInd w:val="0"/>
        <w:spacing w:line="360" w:lineRule="auto"/>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w:t>
      </w:r>
    </w:p>
    <w:p w14:paraId="7325FE6D" w14:textId="77777777" w:rsidR="00583555" w:rsidRPr="00CC2284" w:rsidRDefault="00583555" w:rsidP="00CC2284">
      <w:pPr>
        <w:spacing w:line="360" w:lineRule="auto"/>
        <w:jc w:val="center"/>
        <w:rPr>
          <w:rFonts w:ascii="Palatino Linotype" w:hAnsi="Palatino Linotype" w:cs="Arial"/>
          <w:b/>
          <w:i/>
          <w:color w:val="000000" w:themeColor="text1"/>
          <w:lang w:eastAsia="es-MX"/>
        </w:rPr>
      </w:pPr>
      <w:r w:rsidRPr="00CC2284">
        <w:rPr>
          <w:rFonts w:ascii="Palatino Linotype" w:hAnsi="Palatino Linotype" w:cs="Arial"/>
          <w:b/>
          <w:i/>
          <w:color w:val="000000" w:themeColor="text1"/>
          <w:lang w:eastAsia="es-MX"/>
        </w:rPr>
        <w:t>CAPÍTULO VIII</w:t>
      </w:r>
    </w:p>
    <w:p w14:paraId="139E8BD8" w14:textId="77777777" w:rsidR="00583555" w:rsidRPr="00CC2284" w:rsidRDefault="00583555" w:rsidP="00CC2284">
      <w:pPr>
        <w:spacing w:line="360" w:lineRule="auto"/>
        <w:jc w:val="center"/>
        <w:rPr>
          <w:rFonts w:ascii="Palatino Linotype" w:hAnsi="Palatino Linotype" w:cs="Arial"/>
          <w:b/>
          <w:i/>
          <w:color w:val="000000" w:themeColor="text1"/>
          <w:lang w:eastAsia="es-MX"/>
        </w:rPr>
      </w:pPr>
      <w:r w:rsidRPr="00CC2284">
        <w:rPr>
          <w:rFonts w:ascii="Palatino Linotype" w:hAnsi="Palatino Linotype" w:cs="Arial"/>
          <w:b/>
          <w:i/>
          <w:color w:val="000000" w:themeColor="text1"/>
          <w:lang w:eastAsia="es-MX"/>
        </w:rPr>
        <w:t>DE LA LEYENDA DE CLASIFICACIÓN</w:t>
      </w:r>
    </w:p>
    <w:p w14:paraId="446794D7" w14:textId="77777777" w:rsidR="00583555" w:rsidRPr="00CC2284" w:rsidRDefault="00583555" w:rsidP="00CC2284">
      <w:pPr>
        <w:spacing w:line="360" w:lineRule="auto"/>
        <w:jc w:val="both"/>
        <w:rPr>
          <w:rFonts w:ascii="Palatino Linotype" w:hAnsi="Palatino Linotype" w:cs="Arial"/>
          <w:b/>
          <w:i/>
          <w:color w:val="000000" w:themeColor="text1"/>
          <w:lang w:eastAsia="es-MX"/>
        </w:rPr>
      </w:pPr>
    </w:p>
    <w:p w14:paraId="54C5DEDC" w14:textId="77777777" w:rsidR="00583555" w:rsidRPr="00CC2284" w:rsidRDefault="00583555" w:rsidP="00CC2284">
      <w:pPr>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lastRenderedPageBreak/>
        <w:t>Quincuagésimo. Los titulares de las áreas de los sujetos obligados podrán utilizar los formatos contenidos en el presente Capítulo como modelo</w:t>
      </w:r>
      <w:r w:rsidRPr="00CC2284">
        <w:rPr>
          <w:rFonts w:ascii="Palatino Linotype" w:hAnsi="Palatino Linotype" w:cs="Arial"/>
          <w:i/>
          <w:color w:val="000000" w:themeColor="text1"/>
          <w:lang w:eastAsia="es-MX"/>
        </w:rPr>
        <w:t xml:space="preserve"> para señalar la clasificación de documentos o expedientes, sin perjuicio de que establezcan los propios.</w:t>
      </w:r>
    </w:p>
    <w:p w14:paraId="46038732" w14:textId="77777777" w:rsidR="00583555" w:rsidRPr="00CC2284" w:rsidRDefault="00583555" w:rsidP="00CC2284">
      <w:pPr>
        <w:spacing w:line="360" w:lineRule="auto"/>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w:t>
      </w:r>
    </w:p>
    <w:p w14:paraId="10666AE0" w14:textId="77777777" w:rsidR="00583555" w:rsidRPr="00CC2284" w:rsidRDefault="00583555" w:rsidP="00CC2284">
      <w:pPr>
        <w:spacing w:line="360" w:lineRule="auto"/>
        <w:jc w:val="both"/>
        <w:rPr>
          <w:rFonts w:ascii="Palatino Linotype" w:hAnsi="Palatino Linotype" w:cs="Arial"/>
          <w:b/>
          <w:i/>
          <w:color w:val="000000" w:themeColor="text1"/>
          <w:lang w:eastAsia="es-MX"/>
        </w:rPr>
      </w:pPr>
    </w:p>
    <w:p w14:paraId="441EC175" w14:textId="77777777" w:rsidR="00583555" w:rsidRPr="00CC2284" w:rsidRDefault="00583555" w:rsidP="00CC2284">
      <w:pPr>
        <w:spacing w:line="360" w:lineRule="auto"/>
        <w:jc w:val="both"/>
        <w:rPr>
          <w:rFonts w:ascii="Palatino Linotype" w:hAnsi="Palatino Linotype" w:cs="Arial"/>
          <w:i/>
          <w:color w:val="000000" w:themeColor="text1"/>
          <w:lang w:eastAsia="es-MX"/>
        </w:rPr>
      </w:pPr>
      <w:r w:rsidRPr="00CC2284">
        <w:rPr>
          <w:rFonts w:ascii="Palatino Linotype" w:hAnsi="Palatino Linotype" w:cs="Arial"/>
          <w:b/>
          <w:i/>
          <w:color w:val="000000" w:themeColor="text1"/>
          <w:lang w:eastAsia="es-MX"/>
        </w:rPr>
        <w:t>Quincuagésimo tercero. El formato para señalar la clasificación parcial de un documento</w:t>
      </w:r>
      <w:r w:rsidRPr="00CC2284">
        <w:rPr>
          <w:rFonts w:ascii="Palatino Linotype" w:hAnsi="Palatino Linotype" w:cs="Arial"/>
          <w:i/>
          <w:color w:val="000000" w:themeColor="text1"/>
          <w:lang w:eastAsia="es-MX"/>
        </w:rPr>
        <w:t>, es el siguiente:</w:t>
      </w:r>
    </w:p>
    <w:p w14:paraId="6AF0742D" w14:textId="77777777" w:rsidR="00583555" w:rsidRPr="00CC2284" w:rsidRDefault="00583555" w:rsidP="00CC2284">
      <w:pPr>
        <w:spacing w:line="360" w:lineRule="auto"/>
        <w:jc w:val="both"/>
        <w:rPr>
          <w:rFonts w:ascii="Palatino Linotype" w:hAnsi="Palatino Linotype" w:cs="Arial"/>
          <w:i/>
          <w:color w:val="000000" w:themeColor="text1"/>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990"/>
        <w:gridCol w:w="4677"/>
      </w:tblGrid>
      <w:tr w:rsidR="00CC2284" w:rsidRPr="00CC2284" w14:paraId="1B91BD74" w14:textId="77777777" w:rsidTr="003F7639">
        <w:tc>
          <w:tcPr>
            <w:tcW w:w="1129" w:type="dxa"/>
            <w:tcBorders>
              <w:top w:val="nil"/>
              <w:left w:val="nil"/>
              <w:bottom w:val="single" w:sz="4" w:space="0" w:color="auto"/>
              <w:right w:val="single" w:sz="4" w:space="0" w:color="auto"/>
            </w:tcBorders>
          </w:tcPr>
          <w:p w14:paraId="25A5D7E9" w14:textId="77777777" w:rsidR="00583555" w:rsidRPr="00CC2284" w:rsidRDefault="00583555" w:rsidP="00CC2284">
            <w:pPr>
              <w:jc w:val="both"/>
              <w:rPr>
                <w:rFonts w:ascii="Palatino Linotype" w:hAnsi="Palatino Linotype" w:cs="Arial"/>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658DF55" w14:textId="77777777" w:rsidR="00583555" w:rsidRPr="00CC2284" w:rsidRDefault="00583555" w:rsidP="00CC2284">
            <w:pPr>
              <w:jc w:val="center"/>
              <w:rPr>
                <w:rFonts w:ascii="Palatino Linotype" w:hAnsi="Palatino Linotype"/>
                <w:b/>
                <w:i/>
                <w:color w:val="000000" w:themeColor="text1"/>
              </w:rPr>
            </w:pPr>
            <w:r w:rsidRPr="00CC2284">
              <w:rPr>
                <w:rFonts w:ascii="Palatino Linotype" w:hAnsi="Palatino Linotype"/>
                <w:b/>
                <w:i/>
                <w:color w:val="000000" w:themeColor="text1"/>
              </w:rPr>
              <w:t>Concepto</w:t>
            </w:r>
          </w:p>
        </w:tc>
        <w:tc>
          <w:tcPr>
            <w:tcW w:w="4677" w:type="dxa"/>
            <w:tcBorders>
              <w:top w:val="single" w:sz="4" w:space="0" w:color="auto"/>
              <w:left w:val="single" w:sz="4" w:space="0" w:color="auto"/>
              <w:bottom w:val="single" w:sz="4" w:space="0" w:color="auto"/>
              <w:right w:val="single" w:sz="4" w:space="0" w:color="auto"/>
            </w:tcBorders>
            <w:hideMark/>
          </w:tcPr>
          <w:p w14:paraId="7A7CA9F9" w14:textId="77777777" w:rsidR="00583555" w:rsidRPr="00CC2284" w:rsidRDefault="00583555" w:rsidP="00CC2284">
            <w:pPr>
              <w:jc w:val="center"/>
              <w:rPr>
                <w:rFonts w:ascii="Palatino Linotype" w:hAnsi="Palatino Linotype"/>
                <w:b/>
                <w:i/>
                <w:color w:val="000000" w:themeColor="text1"/>
              </w:rPr>
            </w:pPr>
            <w:r w:rsidRPr="00CC2284">
              <w:rPr>
                <w:rFonts w:ascii="Palatino Linotype" w:hAnsi="Palatino Linotype"/>
                <w:b/>
                <w:i/>
                <w:color w:val="000000" w:themeColor="text1"/>
              </w:rPr>
              <w:t>Dónde:</w:t>
            </w:r>
          </w:p>
        </w:tc>
      </w:tr>
      <w:tr w:rsidR="00CC2284" w:rsidRPr="00CC2284" w14:paraId="58A46B3F" w14:textId="77777777" w:rsidTr="003F7639">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11DD8B1" w14:textId="77777777" w:rsidR="00583555" w:rsidRPr="00CC2284" w:rsidRDefault="00583555" w:rsidP="00CC2284">
            <w:pPr>
              <w:jc w:val="center"/>
              <w:rPr>
                <w:rFonts w:ascii="Palatino Linotype" w:hAnsi="Palatino Linotype" w:cs="Arial"/>
                <w:b/>
                <w:i/>
                <w:color w:val="000000" w:themeColor="text1"/>
                <w:lang w:eastAsia="es-MX"/>
              </w:rPr>
            </w:pPr>
            <w:r w:rsidRPr="00CC2284">
              <w:rPr>
                <w:rFonts w:ascii="Palatino Linotype" w:hAnsi="Palatino Linotype" w:cs="Arial"/>
                <w:b/>
                <w:i/>
                <w:color w:val="000000" w:themeColor="text1"/>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310ED811" w14:textId="77777777" w:rsidR="00583555" w:rsidRPr="00CC2284" w:rsidRDefault="00583555" w:rsidP="00CC2284">
            <w:pPr>
              <w:jc w:val="cente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2183CEE2" w14:textId="77777777" w:rsidR="00583555" w:rsidRPr="00CC2284" w:rsidRDefault="00583555" w:rsidP="00CC2284">
            <w:pPr>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Se anotará la fecha en la que el Comité de Transparencia confirmó la clasificación del documento, en su caso.</w:t>
            </w:r>
          </w:p>
        </w:tc>
      </w:tr>
      <w:tr w:rsidR="00CC2284" w:rsidRPr="00CC2284" w14:paraId="0582A39C" w14:textId="77777777" w:rsidTr="003F7639">
        <w:tc>
          <w:tcPr>
            <w:tcW w:w="0" w:type="auto"/>
            <w:vMerge/>
            <w:tcBorders>
              <w:top w:val="single" w:sz="4" w:space="0" w:color="auto"/>
              <w:left w:val="single" w:sz="4" w:space="0" w:color="auto"/>
              <w:bottom w:val="single" w:sz="4" w:space="0" w:color="auto"/>
              <w:right w:val="single" w:sz="4" w:space="0" w:color="auto"/>
            </w:tcBorders>
            <w:vAlign w:val="center"/>
            <w:hideMark/>
          </w:tcPr>
          <w:p w14:paraId="36B3441A" w14:textId="77777777" w:rsidR="00583555" w:rsidRPr="00CC2284" w:rsidRDefault="00583555" w:rsidP="00CC2284">
            <w:pPr>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64868B9" w14:textId="77777777" w:rsidR="00583555" w:rsidRPr="00CC2284" w:rsidRDefault="00583555" w:rsidP="00CC2284">
            <w:pPr>
              <w:jc w:val="cente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72E63B6C" w14:textId="77777777" w:rsidR="00583555" w:rsidRPr="00CC2284" w:rsidRDefault="00583555" w:rsidP="00CC2284">
            <w:pPr>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Se señalará el nombre del área del cual es titular quien clasifica.</w:t>
            </w:r>
          </w:p>
        </w:tc>
      </w:tr>
      <w:tr w:rsidR="00CC2284" w:rsidRPr="00CC2284" w14:paraId="7D168455" w14:textId="77777777" w:rsidTr="003F7639">
        <w:tc>
          <w:tcPr>
            <w:tcW w:w="0" w:type="auto"/>
            <w:vMerge/>
            <w:tcBorders>
              <w:top w:val="single" w:sz="4" w:space="0" w:color="auto"/>
              <w:left w:val="single" w:sz="4" w:space="0" w:color="auto"/>
              <w:bottom w:val="single" w:sz="4" w:space="0" w:color="auto"/>
              <w:right w:val="single" w:sz="4" w:space="0" w:color="auto"/>
            </w:tcBorders>
            <w:vAlign w:val="center"/>
            <w:hideMark/>
          </w:tcPr>
          <w:p w14:paraId="7FCB576F" w14:textId="77777777" w:rsidR="00583555" w:rsidRPr="00CC2284" w:rsidRDefault="00583555" w:rsidP="00CC2284">
            <w:pPr>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6E62D45" w14:textId="77777777" w:rsidR="00583555" w:rsidRPr="00CC2284" w:rsidRDefault="00583555" w:rsidP="00CC2284">
            <w:pPr>
              <w:jc w:val="cente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376371EE" w14:textId="77777777" w:rsidR="00583555" w:rsidRPr="00CC2284" w:rsidRDefault="00583555" w:rsidP="00CC2284">
            <w:pPr>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CC2284" w:rsidRPr="00CC2284" w14:paraId="4FEBC89D" w14:textId="77777777" w:rsidTr="003F7639">
        <w:tc>
          <w:tcPr>
            <w:tcW w:w="0" w:type="auto"/>
            <w:vMerge/>
            <w:tcBorders>
              <w:top w:val="single" w:sz="4" w:space="0" w:color="auto"/>
              <w:left w:val="single" w:sz="4" w:space="0" w:color="auto"/>
              <w:bottom w:val="single" w:sz="4" w:space="0" w:color="auto"/>
              <w:right w:val="single" w:sz="4" w:space="0" w:color="auto"/>
            </w:tcBorders>
            <w:vAlign w:val="center"/>
            <w:hideMark/>
          </w:tcPr>
          <w:p w14:paraId="63DFBF04" w14:textId="77777777" w:rsidR="00583555" w:rsidRPr="00CC2284" w:rsidRDefault="00583555" w:rsidP="00CC2284">
            <w:pPr>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9AFEC53" w14:textId="77777777" w:rsidR="00583555" w:rsidRPr="00CC2284" w:rsidRDefault="00583555" w:rsidP="00CC2284">
            <w:pPr>
              <w:jc w:val="cente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0D09E6E6" w14:textId="77777777" w:rsidR="00583555" w:rsidRPr="00CC2284" w:rsidRDefault="00583555" w:rsidP="00CC2284">
            <w:pPr>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Se anotará el número de años o meses por los que se mantendrá el documento o las partes del mismo como reservado.</w:t>
            </w:r>
          </w:p>
        </w:tc>
      </w:tr>
      <w:tr w:rsidR="00CC2284" w:rsidRPr="00CC2284" w14:paraId="7EE792FA" w14:textId="77777777" w:rsidTr="003F7639">
        <w:tc>
          <w:tcPr>
            <w:tcW w:w="0" w:type="auto"/>
            <w:vMerge/>
            <w:tcBorders>
              <w:top w:val="single" w:sz="4" w:space="0" w:color="auto"/>
              <w:left w:val="single" w:sz="4" w:space="0" w:color="auto"/>
              <w:bottom w:val="single" w:sz="4" w:space="0" w:color="auto"/>
              <w:right w:val="single" w:sz="4" w:space="0" w:color="auto"/>
            </w:tcBorders>
            <w:vAlign w:val="center"/>
            <w:hideMark/>
          </w:tcPr>
          <w:p w14:paraId="237C1EAE" w14:textId="77777777" w:rsidR="00583555" w:rsidRPr="00CC2284" w:rsidRDefault="00583555" w:rsidP="00CC2284">
            <w:pPr>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BB1C569" w14:textId="77777777" w:rsidR="00583555" w:rsidRPr="00CC2284" w:rsidRDefault="00583555" w:rsidP="00CC2284">
            <w:pPr>
              <w:jc w:val="cente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1DEF42EF" w14:textId="77777777" w:rsidR="00583555" w:rsidRPr="00CC2284" w:rsidRDefault="00583555" w:rsidP="00CC2284">
            <w:pPr>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Se señalará el nombre del ordenamiento, el o los artículos, fracción(es), párrafo(s) con base en los cuales se sustente la reserva.</w:t>
            </w:r>
          </w:p>
        </w:tc>
      </w:tr>
      <w:tr w:rsidR="00CC2284" w:rsidRPr="00CC2284" w14:paraId="09386C31" w14:textId="77777777" w:rsidTr="003F7639">
        <w:tc>
          <w:tcPr>
            <w:tcW w:w="0" w:type="auto"/>
            <w:vMerge/>
            <w:tcBorders>
              <w:top w:val="single" w:sz="4" w:space="0" w:color="auto"/>
              <w:left w:val="single" w:sz="4" w:space="0" w:color="auto"/>
              <w:bottom w:val="single" w:sz="4" w:space="0" w:color="auto"/>
              <w:right w:val="single" w:sz="4" w:space="0" w:color="auto"/>
            </w:tcBorders>
            <w:vAlign w:val="center"/>
            <w:hideMark/>
          </w:tcPr>
          <w:p w14:paraId="14FE7DF4" w14:textId="77777777" w:rsidR="00583555" w:rsidRPr="00CC2284" w:rsidRDefault="00583555" w:rsidP="00CC2284">
            <w:pPr>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232BA4F" w14:textId="77777777" w:rsidR="00583555" w:rsidRPr="00CC2284" w:rsidRDefault="00583555" w:rsidP="00CC2284">
            <w:pPr>
              <w:jc w:val="cente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6F2212CE" w14:textId="77777777" w:rsidR="00583555" w:rsidRPr="00CC2284" w:rsidRDefault="00583555" w:rsidP="00CC2284">
            <w:pPr>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En caso de haber solicitado la ampliación del periodo de reserva originalmente establecido, se deberá anotar el número de años o meses por los que se amplía la reserva.</w:t>
            </w:r>
          </w:p>
        </w:tc>
      </w:tr>
      <w:tr w:rsidR="00CC2284" w:rsidRPr="00CC2284" w14:paraId="7ACC999B" w14:textId="77777777" w:rsidTr="003F7639">
        <w:tc>
          <w:tcPr>
            <w:tcW w:w="0" w:type="auto"/>
            <w:vMerge/>
            <w:tcBorders>
              <w:top w:val="single" w:sz="4" w:space="0" w:color="auto"/>
              <w:left w:val="single" w:sz="4" w:space="0" w:color="auto"/>
              <w:bottom w:val="single" w:sz="4" w:space="0" w:color="auto"/>
              <w:right w:val="single" w:sz="4" w:space="0" w:color="auto"/>
            </w:tcBorders>
            <w:vAlign w:val="center"/>
            <w:hideMark/>
          </w:tcPr>
          <w:p w14:paraId="549B47E0" w14:textId="77777777" w:rsidR="00583555" w:rsidRPr="00CC2284" w:rsidRDefault="00583555" w:rsidP="00CC2284">
            <w:pPr>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4213F6E" w14:textId="77777777" w:rsidR="00583555" w:rsidRPr="00CC2284" w:rsidRDefault="00583555" w:rsidP="00CC2284">
            <w:pPr>
              <w:jc w:val="cente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6A8B3DBE" w14:textId="77777777" w:rsidR="00583555" w:rsidRPr="00CC2284" w:rsidRDefault="00583555" w:rsidP="00CC2284">
            <w:pPr>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C2284" w:rsidRPr="00CC2284" w14:paraId="7EEFC0A7" w14:textId="77777777" w:rsidTr="003F7639">
        <w:tc>
          <w:tcPr>
            <w:tcW w:w="0" w:type="auto"/>
            <w:vMerge/>
            <w:tcBorders>
              <w:top w:val="single" w:sz="4" w:space="0" w:color="auto"/>
              <w:left w:val="single" w:sz="4" w:space="0" w:color="auto"/>
              <w:bottom w:val="single" w:sz="4" w:space="0" w:color="auto"/>
              <w:right w:val="single" w:sz="4" w:space="0" w:color="auto"/>
            </w:tcBorders>
            <w:vAlign w:val="center"/>
            <w:hideMark/>
          </w:tcPr>
          <w:p w14:paraId="162DCB9E" w14:textId="77777777" w:rsidR="00583555" w:rsidRPr="00CC2284" w:rsidRDefault="00583555" w:rsidP="00CC2284">
            <w:pPr>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E92D0F" w14:textId="77777777" w:rsidR="00583555" w:rsidRPr="00CC2284" w:rsidRDefault="00583555" w:rsidP="00CC2284">
            <w:pPr>
              <w:jc w:val="cente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0D728F4A" w14:textId="77777777" w:rsidR="00583555" w:rsidRPr="00CC2284" w:rsidRDefault="00583555" w:rsidP="00CC2284">
            <w:pPr>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Se señalará el nombre del ordenamiento, el o los artículos, fracción(es), párrafo(s) con base en los cuales se sustente la confidencialidad.</w:t>
            </w:r>
          </w:p>
        </w:tc>
      </w:tr>
      <w:tr w:rsidR="00CC2284" w:rsidRPr="00CC2284" w14:paraId="30EFC2D3" w14:textId="77777777" w:rsidTr="003F7639">
        <w:tc>
          <w:tcPr>
            <w:tcW w:w="0" w:type="auto"/>
            <w:vMerge/>
            <w:tcBorders>
              <w:top w:val="single" w:sz="4" w:space="0" w:color="auto"/>
              <w:left w:val="single" w:sz="4" w:space="0" w:color="auto"/>
              <w:bottom w:val="single" w:sz="4" w:space="0" w:color="auto"/>
              <w:right w:val="single" w:sz="4" w:space="0" w:color="auto"/>
            </w:tcBorders>
            <w:vAlign w:val="center"/>
            <w:hideMark/>
          </w:tcPr>
          <w:p w14:paraId="4EBEBE67" w14:textId="77777777" w:rsidR="00583555" w:rsidRPr="00CC2284" w:rsidRDefault="00583555" w:rsidP="00CC2284">
            <w:pPr>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69B5973" w14:textId="77777777" w:rsidR="00583555" w:rsidRPr="00CC2284" w:rsidRDefault="00583555" w:rsidP="00CC2284">
            <w:pPr>
              <w:jc w:val="cente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10C35710" w14:textId="77777777" w:rsidR="00583555" w:rsidRPr="00CC2284" w:rsidRDefault="00583555" w:rsidP="00CC2284">
            <w:pPr>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Rúbrica autógrafa de quien clasifica.</w:t>
            </w:r>
          </w:p>
        </w:tc>
      </w:tr>
      <w:tr w:rsidR="00CC2284" w:rsidRPr="00CC2284" w14:paraId="29B65A92" w14:textId="77777777" w:rsidTr="003F7639">
        <w:tc>
          <w:tcPr>
            <w:tcW w:w="0" w:type="auto"/>
            <w:vMerge/>
            <w:tcBorders>
              <w:top w:val="single" w:sz="4" w:space="0" w:color="auto"/>
              <w:left w:val="single" w:sz="4" w:space="0" w:color="auto"/>
              <w:bottom w:val="single" w:sz="4" w:space="0" w:color="auto"/>
              <w:right w:val="single" w:sz="4" w:space="0" w:color="auto"/>
            </w:tcBorders>
            <w:vAlign w:val="center"/>
            <w:hideMark/>
          </w:tcPr>
          <w:p w14:paraId="7911F376" w14:textId="77777777" w:rsidR="00583555" w:rsidRPr="00CC2284" w:rsidRDefault="00583555" w:rsidP="00CC2284">
            <w:pPr>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0B5FBC4" w14:textId="77777777" w:rsidR="00583555" w:rsidRPr="00CC2284" w:rsidRDefault="00583555" w:rsidP="00CC2284">
            <w:pPr>
              <w:jc w:val="cente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20885876" w14:textId="77777777" w:rsidR="00583555" w:rsidRPr="00CC2284" w:rsidRDefault="00583555" w:rsidP="00CC2284">
            <w:pPr>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Se anotará la fecha en que se desclasifica el documento.</w:t>
            </w:r>
          </w:p>
        </w:tc>
      </w:tr>
      <w:tr w:rsidR="00CC2284" w:rsidRPr="00CC2284" w14:paraId="576FFEA6" w14:textId="77777777" w:rsidTr="003F7639">
        <w:tc>
          <w:tcPr>
            <w:tcW w:w="0" w:type="auto"/>
            <w:vMerge/>
            <w:tcBorders>
              <w:top w:val="single" w:sz="4" w:space="0" w:color="auto"/>
              <w:left w:val="single" w:sz="4" w:space="0" w:color="auto"/>
              <w:bottom w:val="single" w:sz="4" w:space="0" w:color="auto"/>
              <w:right w:val="single" w:sz="4" w:space="0" w:color="auto"/>
            </w:tcBorders>
            <w:vAlign w:val="center"/>
            <w:hideMark/>
          </w:tcPr>
          <w:p w14:paraId="53BD5340" w14:textId="77777777" w:rsidR="00583555" w:rsidRPr="00CC2284" w:rsidRDefault="00583555" w:rsidP="00CC2284">
            <w:pPr>
              <w:rPr>
                <w:rFonts w:ascii="Palatino Linotype" w:hAnsi="Palatino Linotype" w:cs="Arial"/>
                <w:b/>
                <w:i/>
                <w:color w:val="000000" w:themeColor="text1"/>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12FB1A4" w14:textId="77777777" w:rsidR="00583555" w:rsidRPr="00CC2284" w:rsidRDefault="00583555" w:rsidP="00CC2284">
            <w:pPr>
              <w:jc w:val="cente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DBEAFED" w14:textId="77777777" w:rsidR="00583555" w:rsidRPr="00CC2284" w:rsidRDefault="00583555" w:rsidP="00CC2284">
            <w:pPr>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Rúbrica autógrafa de quien desclasifica.</w:t>
            </w:r>
          </w:p>
        </w:tc>
      </w:tr>
    </w:tbl>
    <w:p w14:paraId="7E890130" w14:textId="77777777" w:rsidR="00583555" w:rsidRPr="00CC2284" w:rsidRDefault="00583555" w:rsidP="00CC2284">
      <w:pPr>
        <w:spacing w:line="360" w:lineRule="auto"/>
        <w:jc w:val="both"/>
        <w:rPr>
          <w:rFonts w:ascii="Palatino Linotype" w:hAnsi="Palatino Linotype" w:cs="Arial"/>
          <w:i/>
          <w:color w:val="000000" w:themeColor="text1"/>
          <w:lang w:eastAsia="es-MX"/>
        </w:rPr>
      </w:pPr>
      <w:r w:rsidRPr="00CC2284">
        <w:rPr>
          <w:rFonts w:ascii="Palatino Linotype" w:hAnsi="Palatino Linotype" w:cs="Arial"/>
          <w:i/>
          <w:color w:val="000000" w:themeColor="text1"/>
          <w:lang w:eastAsia="es-MX"/>
        </w:rPr>
        <w:t>…”</w:t>
      </w:r>
    </w:p>
    <w:p w14:paraId="68FF9B4D" w14:textId="77777777" w:rsidR="00583555" w:rsidRPr="00CC2284" w:rsidRDefault="00583555" w:rsidP="00CC2284">
      <w:pPr>
        <w:spacing w:line="360" w:lineRule="auto"/>
        <w:jc w:val="both"/>
        <w:rPr>
          <w:rFonts w:ascii="Palatino Linotype" w:hAnsi="Palatino Linotype" w:cs="Arial"/>
          <w:i/>
          <w:color w:val="000000" w:themeColor="text1"/>
          <w:lang w:eastAsia="es-MX"/>
        </w:rPr>
      </w:pPr>
    </w:p>
    <w:p w14:paraId="30F5C565" w14:textId="77777777" w:rsidR="00583555" w:rsidRPr="00CC2284" w:rsidRDefault="00583555" w:rsidP="00CC2284">
      <w:pPr>
        <w:spacing w:line="360" w:lineRule="auto"/>
        <w:jc w:val="both"/>
        <w:rPr>
          <w:rFonts w:ascii="Palatino Linotype" w:hAnsi="Palatino Linotype" w:cs="Arial"/>
          <w:color w:val="000000" w:themeColor="text1"/>
          <w:lang w:eastAsia="es-MX"/>
        </w:rPr>
      </w:pPr>
      <w:r w:rsidRPr="00CC2284">
        <w:rPr>
          <w:rFonts w:ascii="Palatino Linotype" w:hAnsi="Palatino Linotype" w:cs="Arial"/>
          <w:color w:val="000000" w:themeColor="text1"/>
          <w:lang w:eastAsia="es-MX"/>
        </w:rPr>
        <w:t>(Énfasis Añadido)</w:t>
      </w:r>
    </w:p>
    <w:p w14:paraId="5FA28729" w14:textId="77777777" w:rsidR="00583555" w:rsidRPr="00CC2284" w:rsidRDefault="00583555" w:rsidP="00CC2284">
      <w:pPr>
        <w:spacing w:line="360" w:lineRule="auto"/>
        <w:jc w:val="both"/>
        <w:rPr>
          <w:rFonts w:ascii="Palatino Linotype" w:hAnsi="Palatino Linotype" w:cs="Arial"/>
          <w:color w:val="000000" w:themeColor="text1"/>
          <w:lang w:eastAsia="es-MX"/>
        </w:rPr>
      </w:pPr>
    </w:p>
    <w:p w14:paraId="79281711" w14:textId="77777777" w:rsidR="00583555" w:rsidRPr="00CC2284" w:rsidRDefault="00583555" w:rsidP="00CC2284">
      <w:pPr>
        <w:numPr>
          <w:ilvl w:val="0"/>
          <w:numId w:val="1"/>
        </w:numPr>
        <w:spacing w:line="360" w:lineRule="auto"/>
        <w:ind w:left="0" w:firstLine="0"/>
        <w:contextualSpacing/>
        <w:jc w:val="both"/>
        <w:rPr>
          <w:rFonts w:ascii="Palatino Linotype" w:hAnsi="Palatino Linotype" w:cs="Arial"/>
          <w:color w:val="000000" w:themeColor="text1"/>
        </w:rPr>
      </w:pPr>
      <w:r w:rsidRPr="00CC2284">
        <w:rPr>
          <w:rFonts w:ascii="Palatino Linotype" w:hAnsi="Palatino Linotype" w:cs="Arial"/>
          <w:color w:val="000000" w:themeColor="text1"/>
        </w:rPr>
        <w:t>Por lo tanto,</w:t>
      </w:r>
      <w:r w:rsidRPr="00CC2284">
        <w:rPr>
          <w:rFonts w:ascii="Palatino Linotype" w:hAnsi="Palatino Linotype"/>
          <w:color w:val="000000" w:themeColor="text1"/>
        </w:rPr>
        <w:t xml:space="preserve"> es importante referir que </w:t>
      </w:r>
      <w:r w:rsidRPr="00CC2284">
        <w:rPr>
          <w:rFonts w:ascii="Palatino Linotype" w:hAnsi="Palatino Linotype"/>
          <w:b/>
          <w:color w:val="000000" w:themeColor="text1"/>
        </w:rPr>
        <w:t>EL SUJETO OBLIGADO</w:t>
      </w:r>
      <w:r w:rsidRPr="00CC2284">
        <w:rPr>
          <w:rFonts w:ascii="Palatino Linotype" w:hAnsi="Palatino Linotype"/>
          <w:color w:val="000000" w:themeColor="text1"/>
        </w:rPr>
        <w:t xml:space="preserve"> deberá seguir el procedimiento legal establecido para su </w:t>
      </w:r>
      <w:r w:rsidRPr="00CC2284">
        <w:rPr>
          <w:rFonts w:ascii="Palatino Linotype" w:hAnsi="Palatino Linotype"/>
          <w:color w:val="000000" w:themeColor="text1"/>
          <w:lang w:eastAsia="es-MX"/>
        </w:rPr>
        <w:t>clasificación</w:t>
      </w:r>
      <w:r w:rsidRPr="00CC2284">
        <w:rPr>
          <w:rFonts w:ascii="Palatino Linotype" w:hAnsi="Palatino Linotype"/>
          <w:color w:val="000000" w:themeColor="text1"/>
        </w:rPr>
        <w:t>, esto es, que su Comité de</w:t>
      </w:r>
      <w:r w:rsidRPr="00CC2284">
        <w:rPr>
          <w:rFonts w:ascii="Palatino Linotype" w:hAnsi="Palatino Linotype" w:cs="Arial"/>
          <w:color w:val="000000" w:themeColor="text1"/>
        </w:rPr>
        <w:t xml:space="preserve"> Transparencia emita un Acuerdo de Clasificación que cumpla con las formalidades previstas, antes citadas</w:t>
      </w:r>
      <w:r w:rsidRPr="00CC2284">
        <w:rPr>
          <w:rFonts w:ascii="Palatino Linotype" w:hAnsi="Palatino Linotype" w:cs="Arial"/>
          <w:b/>
          <w:color w:val="000000" w:themeColor="text1"/>
        </w:rPr>
        <w:t xml:space="preserve"> </w:t>
      </w:r>
      <w:r w:rsidRPr="00CC2284">
        <w:rPr>
          <w:rFonts w:ascii="Palatino Linotype" w:hAnsi="Palatino Linotype" w:cs="Arial"/>
          <w:color w:val="000000" w:themeColor="text1"/>
        </w:rPr>
        <w:t xml:space="preserve">que la sustente, en el </w:t>
      </w:r>
      <w:r w:rsidRPr="00CC2284">
        <w:rPr>
          <w:rFonts w:ascii="Palatino Linotype" w:hAnsi="Palatino Linotype" w:cs="Arial"/>
          <w:color w:val="000000" w:themeColor="text1"/>
          <w:lang w:eastAsia="es-MX"/>
        </w:rPr>
        <w:t>que</w:t>
      </w:r>
      <w:r w:rsidRPr="00CC2284">
        <w:rPr>
          <w:rFonts w:ascii="Palatino Linotype" w:hAnsi="Palatino Linotype" w:cs="Arial"/>
          <w:color w:val="000000" w:themeColor="text1"/>
        </w:rPr>
        <w:t xml:space="preserve"> se expongan los fundamentos y razones que llevaron a la autoridad a testar, suprimir o eliminar datos de dicho soporte documental, ya que el no hacerlo, implica que lo entregado no es legal ni formalmente una versión </w:t>
      </w:r>
      <w:r w:rsidRPr="00CC2284">
        <w:rPr>
          <w:rFonts w:ascii="Palatino Linotype" w:hAnsi="Palatino Linotype"/>
          <w:color w:val="000000" w:themeColor="text1"/>
        </w:rPr>
        <w:t>pública</w:t>
      </w:r>
      <w:r w:rsidRPr="00CC2284">
        <w:rPr>
          <w:rFonts w:ascii="Palatino Linotype" w:hAnsi="Palatino Linotype" w:cs="Arial"/>
          <w:color w:val="000000" w:themeColor="text1"/>
        </w:rPr>
        <w:t xml:space="preserve">, sino más bien una documentación ilegible, incompleta o tachada; pues no señalar las razones por las que no se aprecian determinados datos, ya sea porque se testan o </w:t>
      </w:r>
      <w:r w:rsidRPr="00CC2284">
        <w:rPr>
          <w:rFonts w:ascii="Palatino Linotype" w:hAnsi="Palatino Linotype" w:cs="Arial"/>
          <w:color w:val="000000" w:themeColor="text1"/>
        </w:rPr>
        <w:lastRenderedPageBreak/>
        <w:t>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1C865F7" w14:textId="77777777" w:rsidR="00D332BC" w:rsidRPr="00CC2284" w:rsidRDefault="00D332BC" w:rsidP="00CC2284">
      <w:pPr>
        <w:spacing w:line="360" w:lineRule="auto"/>
        <w:contextualSpacing/>
        <w:jc w:val="both"/>
        <w:rPr>
          <w:rFonts w:ascii="Palatino Linotype" w:hAnsi="Palatino Linotype"/>
          <w:color w:val="000000" w:themeColor="text1"/>
        </w:rPr>
      </w:pPr>
    </w:p>
    <w:p w14:paraId="7C61C463" w14:textId="7EB804FF" w:rsidR="003F7639" w:rsidRPr="00CC2284" w:rsidRDefault="003F7639" w:rsidP="00CC2284">
      <w:pPr>
        <w:numPr>
          <w:ilvl w:val="0"/>
          <w:numId w:val="1"/>
        </w:numPr>
        <w:spacing w:line="360" w:lineRule="auto"/>
        <w:ind w:left="0" w:firstLine="0"/>
        <w:contextualSpacing/>
        <w:jc w:val="both"/>
        <w:rPr>
          <w:rFonts w:ascii="Palatino Linotype" w:hAnsi="Palatino Linotype"/>
          <w:color w:val="000000" w:themeColor="text1"/>
        </w:rPr>
      </w:pPr>
      <w:r w:rsidRPr="00CC2284">
        <w:rPr>
          <w:rFonts w:ascii="Palatino Linotype" w:hAnsi="Palatino Linotype"/>
          <w:color w:val="000000" w:themeColor="text1"/>
        </w:rPr>
        <w:t>Expu</w:t>
      </w:r>
      <w:r w:rsidR="007371C9" w:rsidRPr="00CC2284">
        <w:rPr>
          <w:rFonts w:ascii="Palatino Linotype" w:hAnsi="Palatino Linotype"/>
          <w:color w:val="000000" w:themeColor="text1"/>
        </w:rPr>
        <w:t xml:space="preserve">esto lo anterior, se reitera la procedencia de la entrega de lo solicitado en los extremos temporales definidos por el solicitante y, para el caso de la administración pública municipal 2025 – 2027 en el periodo comprendido del uno de enero al catorce de febrero de dos mil veinticinco, fecha en que se interpuso la solicitud de información, de no haberse generado, poseído o administrado soporte documental relacionado con el solicitado, bastará el que el </w:t>
      </w:r>
      <w:r w:rsidR="007371C9" w:rsidRPr="00CC2284">
        <w:rPr>
          <w:rFonts w:ascii="Palatino Linotype" w:hAnsi="Palatino Linotype"/>
          <w:b/>
          <w:color w:val="000000" w:themeColor="text1"/>
        </w:rPr>
        <w:t xml:space="preserve">SUJETO OBLIGADO </w:t>
      </w:r>
      <w:r w:rsidR="007371C9" w:rsidRPr="00CC2284">
        <w:rPr>
          <w:rFonts w:ascii="Palatino Linotype" w:hAnsi="Palatino Linotype"/>
          <w:color w:val="000000" w:themeColor="text1"/>
        </w:rPr>
        <w:t xml:space="preserve">así lo manifieste al particular al momento de dar cumplimiento a la presente Resolución en términos del artículo 19 párrafo segundo de la </w:t>
      </w:r>
      <w:r w:rsidR="007371C9" w:rsidRPr="00CC2284">
        <w:rPr>
          <w:rFonts w:ascii="Palatino Linotype" w:eastAsia="Times New Roman" w:hAnsi="Palatino Linotype" w:cs="Arial"/>
          <w:color w:val="000000" w:themeColor="text1"/>
        </w:rPr>
        <w:t xml:space="preserve">Ley de Transparencia y Acceso a la Información Pública del Estado de México y </w:t>
      </w:r>
      <w:r w:rsidR="007371C9" w:rsidRPr="00CC2284">
        <w:rPr>
          <w:rFonts w:ascii="Palatino Linotype" w:hAnsi="Palatino Linotype"/>
          <w:color w:val="000000" w:themeColor="text1"/>
          <w:lang w:val="es-ES"/>
        </w:rPr>
        <w:t>Municipios.</w:t>
      </w:r>
    </w:p>
    <w:p w14:paraId="4DB81448" w14:textId="77777777" w:rsidR="003F7639" w:rsidRPr="00CC2284" w:rsidRDefault="003F7639" w:rsidP="00CC2284">
      <w:pPr>
        <w:pStyle w:val="Prrafodelista"/>
        <w:spacing w:line="360" w:lineRule="auto"/>
        <w:ind w:left="0"/>
        <w:rPr>
          <w:rFonts w:ascii="Palatino Linotype" w:hAnsi="Palatino Linotype"/>
          <w:color w:val="000000" w:themeColor="text1"/>
        </w:rPr>
      </w:pPr>
    </w:p>
    <w:p w14:paraId="06A9F45E" w14:textId="3690CF0E" w:rsidR="00482083" w:rsidRPr="007D0F2F" w:rsidRDefault="00482083" w:rsidP="00CC2284">
      <w:pPr>
        <w:numPr>
          <w:ilvl w:val="0"/>
          <w:numId w:val="1"/>
        </w:numPr>
        <w:spacing w:line="360" w:lineRule="auto"/>
        <w:ind w:left="0" w:firstLine="0"/>
        <w:contextualSpacing/>
        <w:jc w:val="both"/>
        <w:rPr>
          <w:rFonts w:ascii="Palatino Linotype" w:hAnsi="Palatino Linotype"/>
          <w:color w:val="000000" w:themeColor="text1"/>
        </w:rPr>
      </w:pPr>
      <w:r w:rsidRPr="007D0F2F">
        <w:rPr>
          <w:rFonts w:ascii="Palatino Linotype" w:hAnsi="Palatino Linotype"/>
          <w:color w:val="000000" w:themeColor="text1"/>
        </w:rPr>
        <w:t xml:space="preserve">Por otro lado, relativo al rubro de los expedientes laborales del Titular de la </w:t>
      </w:r>
      <w:r w:rsidR="00185F21" w:rsidRPr="007D0F2F">
        <w:rPr>
          <w:rFonts w:ascii="Palatino Linotype" w:hAnsi="Palatino Linotype"/>
          <w:color w:val="000000" w:themeColor="text1"/>
        </w:rPr>
        <w:t>Dirección General de Seguridad y Protección del Ayuntamiento de Toluca</w:t>
      </w:r>
      <w:r w:rsidRPr="007D0F2F">
        <w:rPr>
          <w:rFonts w:ascii="Palatino Linotype" w:hAnsi="Palatino Linotype"/>
          <w:color w:val="000000" w:themeColor="text1"/>
        </w:rPr>
        <w:t xml:space="preserve"> y Subdirectores de la misma, en la respuesta inicial e informe justificado, no se advierte que se haya remitido soporte documental al respecto. Por lo que en relatadas circunstancias es necesario realizar las siguientes precisiones en relación a su naturaleza.</w:t>
      </w:r>
    </w:p>
    <w:p w14:paraId="2C66DBE4" w14:textId="77777777" w:rsidR="00482083" w:rsidRPr="007D0F2F" w:rsidRDefault="00482083" w:rsidP="00CC2284">
      <w:pPr>
        <w:pStyle w:val="Prrafodelista"/>
        <w:spacing w:line="360" w:lineRule="auto"/>
        <w:ind w:left="0"/>
        <w:rPr>
          <w:rFonts w:ascii="Palatino Linotype" w:hAnsi="Palatino Linotype"/>
          <w:color w:val="000000" w:themeColor="text1"/>
        </w:rPr>
      </w:pPr>
    </w:p>
    <w:p w14:paraId="2B9DEF89" w14:textId="226D33AD" w:rsidR="002E32F8" w:rsidRPr="007D0F2F" w:rsidRDefault="0095362F"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lang w:val="es-MX" w:eastAsia="es-MX"/>
        </w:rPr>
      </w:pPr>
      <w:r w:rsidRPr="007D0F2F">
        <w:rPr>
          <w:rFonts w:ascii="Palatino Linotype" w:eastAsia="Calibri" w:hAnsi="Palatino Linotype" w:cs="Arial"/>
          <w:color w:val="000000" w:themeColor="text1"/>
          <w:lang w:val="es-MX" w:eastAsia="en-US"/>
        </w:rPr>
        <w:t xml:space="preserve">Primeramente </w:t>
      </w:r>
      <w:r w:rsidR="002E32F8" w:rsidRPr="007D0F2F">
        <w:rPr>
          <w:rFonts w:ascii="Palatino Linotype" w:eastAsia="Calibri" w:hAnsi="Palatino Linotype" w:cs="Arial"/>
          <w:color w:val="000000" w:themeColor="text1"/>
          <w:lang w:val="es-MX" w:eastAsia="en-US"/>
        </w:rPr>
        <w:t xml:space="preserve">debemos destacar lo establecido en </w:t>
      </w:r>
      <w:r w:rsidR="002E32F8" w:rsidRPr="007D0F2F">
        <w:rPr>
          <w:rFonts w:ascii="Palatino Linotype" w:eastAsia="Calibri" w:hAnsi="Palatino Linotype"/>
          <w:color w:val="000000" w:themeColor="text1"/>
          <w:lang w:val="es-MX" w:eastAsia="en-US"/>
        </w:rPr>
        <w:t>el</w:t>
      </w:r>
      <w:r w:rsidR="002E32F8" w:rsidRPr="007D0F2F">
        <w:rPr>
          <w:rFonts w:ascii="Palatino Linotype" w:eastAsia="Calibri" w:hAnsi="Palatino Linotype"/>
          <w:color w:val="000000" w:themeColor="text1"/>
          <w:lang w:eastAsia="en-US"/>
        </w:rPr>
        <w:t xml:space="preserve"> numeral 47, de la Ley del Trabado de los Servidores Públicos del Estado de México y Municipios, el cual establece, que </w:t>
      </w:r>
      <w:r w:rsidR="002E32F8" w:rsidRPr="007D0F2F">
        <w:rPr>
          <w:rFonts w:ascii="Palatino Linotype" w:hAnsi="Palatino Linotype"/>
          <w:color w:val="000000" w:themeColor="text1"/>
        </w:rPr>
        <w:t>para</w:t>
      </w:r>
      <w:r w:rsidR="002E32F8" w:rsidRPr="007D0F2F">
        <w:rPr>
          <w:rFonts w:ascii="Palatino Linotype" w:eastAsia="Calibri" w:hAnsi="Palatino Linotype"/>
          <w:color w:val="000000" w:themeColor="text1"/>
          <w:lang w:eastAsia="en-US"/>
        </w:rPr>
        <w:t xml:space="preserve"> ingresar al servicio público se requiere, entre otros, presentar una solicitud </w:t>
      </w:r>
      <w:r w:rsidR="002E32F8" w:rsidRPr="007D0F2F">
        <w:rPr>
          <w:rFonts w:ascii="Palatino Linotype" w:eastAsia="Calibri" w:hAnsi="Palatino Linotype"/>
          <w:color w:val="000000" w:themeColor="text1"/>
          <w:lang w:eastAsia="en-US"/>
        </w:rPr>
        <w:lastRenderedPageBreak/>
        <w:t xml:space="preserve">utilizando la forma oficial que se autorice por la dependencia correspondiente tal como se observa a continuación: </w:t>
      </w:r>
    </w:p>
    <w:p w14:paraId="12550AE9" w14:textId="77777777" w:rsidR="002E32F8" w:rsidRPr="007D0F2F" w:rsidRDefault="002E32F8" w:rsidP="00CC2284">
      <w:pPr>
        <w:autoSpaceDE w:val="0"/>
        <w:autoSpaceDN w:val="0"/>
        <w:adjustRightInd w:val="0"/>
        <w:spacing w:line="360" w:lineRule="auto"/>
        <w:jc w:val="both"/>
        <w:rPr>
          <w:rFonts w:ascii="Palatino Linotype" w:eastAsia="Calibri" w:hAnsi="Palatino Linotype"/>
          <w:i/>
          <w:color w:val="000000" w:themeColor="text1"/>
          <w:lang w:val="es-MX" w:eastAsia="en-US"/>
        </w:rPr>
      </w:pPr>
      <w:r w:rsidRPr="007D0F2F">
        <w:rPr>
          <w:rFonts w:ascii="Palatino Linotype" w:eastAsia="Calibri" w:hAnsi="Palatino Linotype"/>
          <w:b/>
          <w:i/>
          <w:color w:val="000000" w:themeColor="text1"/>
          <w:lang w:val="es-MX" w:eastAsia="en-US"/>
        </w:rPr>
        <w:t>ARTÍCULO 47</w:t>
      </w:r>
      <w:r w:rsidRPr="007D0F2F">
        <w:rPr>
          <w:rFonts w:ascii="Palatino Linotype" w:eastAsia="Calibri" w:hAnsi="Palatino Linotype"/>
          <w:i/>
          <w:color w:val="000000" w:themeColor="text1"/>
          <w:lang w:val="es-MX" w:eastAsia="en-US"/>
        </w:rPr>
        <w:t>. Para ingresar al servicio público se requiere:</w:t>
      </w:r>
    </w:p>
    <w:p w14:paraId="639042BE"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 xml:space="preserve">I. Presentar una solicitud utilizando la forma oficial que se autorice por la institución pública o dependencia correspondiente; </w:t>
      </w:r>
    </w:p>
    <w:p w14:paraId="305D5269"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 xml:space="preserve">II. Ser de nacionalidad mexicana, con la excepción prevista en el artículo 17 de la presente ley; </w:t>
      </w:r>
    </w:p>
    <w:p w14:paraId="072F4264"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 xml:space="preserve">III. Estar en pleno ejercicio de sus derechos civiles y políticos, en su caso; </w:t>
      </w:r>
    </w:p>
    <w:p w14:paraId="3B12AB4E"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 xml:space="preserve">IV. Acreditar, cuando proceda, el cumplimiento de la Ley del Servicio Militar Nacional; </w:t>
      </w:r>
    </w:p>
    <w:p w14:paraId="564292EC"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 xml:space="preserve">V. Derogada. </w:t>
      </w:r>
    </w:p>
    <w:p w14:paraId="530B3B6E"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 xml:space="preserve">VI. No haber sido separado anteriormente del servicio por las causas previstas en el artículo 93, de la presente ley; </w:t>
      </w:r>
    </w:p>
    <w:p w14:paraId="70F3C0AD"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 xml:space="preserve">VII. Tener buena salud, lo que se comprobará con los certificados médicos correspondientes, en la forma en que se establezca en cada institución pública; </w:t>
      </w:r>
    </w:p>
    <w:p w14:paraId="5233A542"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 xml:space="preserve">VIII. Cumplir con los requisitos que se establezcan para los diferentes puestos; </w:t>
      </w:r>
    </w:p>
    <w:p w14:paraId="2257AAEC"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 xml:space="preserve">IX. Acreditar por medio de los exámenes correspondientes los conocimientos y aptitudes necesarios para el desempeño del puesto; y </w:t>
      </w:r>
    </w:p>
    <w:p w14:paraId="1844E053"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X. No estar inhabilitado para el ejercicio del servicio público.</w:t>
      </w:r>
    </w:p>
    <w:p w14:paraId="255E99A9"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 xml:space="preserve">XI. Presentar certificado expedido por la Unidad del Registro de Deudores Alimentarios Morosos en el que conste, si se encuentra inscrito o no en el mismo. </w:t>
      </w:r>
    </w:p>
    <w:p w14:paraId="3939A324"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u w:val="single"/>
        </w:rPr>
      </w:pPr>
      <w:r w:rsidRPr="007D0F2F">
        <w:rPr>
          <w:rFonts w:ascii="Palatino Linotype" w:hAnsi="Palatino Linotype"/>
          <w:i/>
          <w:color w:val="000000" w:themeColor="text1"/>
          <w:u w:val="single"/>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3345F23" w14:textId="77777777" w:rsidR="002E32F8" w:rsidRPr="007D0F2F" w:rsidRDefault="002E32F8" w:rsidP="00CC2284">
      <w:pPr>
        <w:autoSpaceDE w:val="0"/>
        <w:autoSpaceDN w:val="0"/>
        <w:adjustRightInd w:val="0"/>
        <w:spacing w:line="360" w:lineRule="auto"/>
        <w:jc w:val="both"/>
        <w:rPr>
          <w:rFonts w:ascii="Palatino Linotype" w:hAnsi="Palatino Linotype"/>
          <w:i/>
          <w:color w:val="000000" w:themeColor="text1"/>
        </w:rPr>
      </w:pPr>
      <w:r w:rsidRPr="007D0F2F">
        <w:rPr>
          <w:rFonts w:ascii="Palatino Linotype" w:hAnsi="Palatino Linotype"/>
          <w:i/>
          <w:color w:val="000000" w:themeColor="text1"/>
        </w:rPr>
        <w:t xml:space="preserve"> (…)</w:t>
      </w:r>
    </w:p>
    <w:p w14:paraId="0207342A" w14:textId="77777777" w:rsidR="002E32F8" w:rsidRPr="007D0F2F" w:rsidRDefault="002E32F8" w:rsidP="00CC2284">
      <w:pPr>
        <w:numPr>
          <w:ilvl w:val="0"/>
          <w:numId w:val="1"/>
        </w:numPr>
        <w:spacing w:line="360" w:lineRule="auto"/>
        <w:ind w:left="0" w:firstLine="0"/>
        <w:contextualSpacing/>
        <w:jc w:val="both"/>
        <w:rPr>
          <w:rFonts w:ascii="Palatino Linotype" w:eastAsia="Calibri" w:hAnsi="Palatino Linotype"/>
          <w:color w:val="000000" w:themeColor="text1"/>
          <w:lang w:eastAsia="en-US"/>
        </w:rPr>
      </w:pPr>
      <w:r w:rsidRPr="007D0F2F">
        <w:rPr>
          <w:rFonts w:ascii="Palatino Linotype" w:eastAsia="Calibri" w:hAnsi="Palatino Linotype"/>
          <w:color w:val="000000" w:themeColor="text1"/>
          <w:lang w:eastAsia="en-US"/>
        </w:rPr>
        <w:lastRenderedPageBreak/>
        <w:t xml:space="preserve">Por lo anteriormente expuesto es dable señalar lo que establece el artículo 98 fracción XVII, de la Ley anteriormente mencionada que a la letra dice: </w:t>
      </w:r>
    </w:p>
    <w:p w14:paraId="7775FBFA" w14:textId="77777777" w:rsidR="002E32F8" w:rsidRPr="007D0F2F" w:rsidRDefault="002E32F8" w:rsidP="00CC2284">
      <w:pPr>
        <w:autoSpaceDE w:val="0"/>
        <w:autoSpaceDN w:val="0"/>
        <w:adjustRightInd w:val="0"/>
        <w:spacing w:line="360" w:lineRule="auto"/>
        <w:jc w:val="both"/>
        <w:rPr>
          <w:rFonts w:ascii="Palatino Linotype" w:eastAsia="Calibri" w:hAnsi="Palatino Linotype"/>
          <w:i/>
          <w:color w:val="000000" w:themeColor="text1"/>
          <w:lang w:eastAsia="en-US"/>
        </w:rPr>
      </w:pPr>
      <w:r w:rsidRPr="007D0F2F">
        <w:rPr>
          <w:rFonts w:ascii="Palatino Linotype" w:eastAsia="Calibri" w:hAnsi="Palatino Linotype"/>
          <w:b/>
          <w:i/>
          <w:color w:val="000000" w:themeColor="text1"/>
          <w:lang w:val="es-MX" w:eastAsia="en-US"/>
        </w:rPr>
        <w:t>ARTÍCULO 98.</w:t>
      </w:r>
      <w:r w:rsidRPr="007D0F2F">
        <w:rPr>
          <w:rFonts w:ascii="Palatino Linotype" w:eastAsia="Calibri" w:hAnsi="Palatino Linotype"/>
          <w:i/>
          <w:color w:val="000000" w:themeColor="text1"/>
          <w:lang w:val="es-MX" w:eastAsia="en-US"/>
        </w:rPr>
        <w:t xml:space="preserve"> Son obligaciones de las instituciones públicas:</w:t>
      </w:r>
    </w:p>
    <w:p w14:paraId="0450A2E1" w14:textId="77777777" w:rsidR="002E32F8" w:rsidRPr="007D0F2F" w:rsidRDefault="002E32F8" w:rsidP="00CC2284">
      <w:pPr>
        <w:autoSpaceDE w:val="0"/>
        <w:autoSpaceDN w:val="0"/>
        <w:adjustRightInd w:val="0"/>
        <w:spacing w:line="360" w:lineRule="auto"/>
        <w:jc w:val="both"/>
        <w:rPr>
          <w:rFonts w:ascii="Palatino Linotype" w:eastAsia="Calibri" w:hAnsi="Palatino Linotype"/>
          <w:i/>
          <w:color w:val="000000" w:themeColor="text1"/>
          <w:lang w:eastAsia="en-US"/>
        </w:rPr>
      </w:pPr>
      <w:r w:rsidRPr="007D0F2F">
        <w:rPr>
          <w:rFonts w:ascii="Palatino Linotype" w:eastAsia="Calibri" w:hAnsi="Palatino Linotype"/>
          <w:i/>
          <w:color w:val="000000" w:themeColor="text1"/>
          <w:lang w:val="es-MX" w:eastAsia="en-US"/>
        </w:rPr>
        <w:t xml:space="preserve">XVII. </w:t>
      </w:r>
      <w:r w:rsidRPr="007D0F2F">
        <w:rPr>
          <w:rFonts w:ascii="Palatino Linotype" w:eastAsia="Calibri" w:hAnsi="Palatino Linotype"/>
          <w:b/>
          <w:i/>
          <w:color w:val="000000" w:themeColor="text1"/>
          <w:u w:val="single"/>
          <w:lang w:val="es-MX" w:eastAsia="en-US"/>
        </w:rPr>
        <w:t>Integrar los expedientes de los servidores públicos</w:t>
      </w:r>
      <w:r w:rsidRPr="007D0F2F">
        <w:rPr>
          <w:rFonts w:ascii="Palatino Linotype" w:eastAsia="Calibri" w:hAnsi="Palatino Linotype"/>
          <w:i/>
          <w:color w:val="000000" w:themeColor="text1"/>
          <w:lang w:val="es-MX" w:eastAsia="en-US"/>
        </w:rPr>
        <w:t xml:space="preserve"> y proporcionar las constancias que éstos soliciten para el trámite de los asuntos de su interés en los términos que señalen los ordenamientos respectivos.</w:t>
      </w:r>
    </w:p>
    <w:p w14:paraId="24854B5C" w14:textId="77777777" w:rsidR="002E32F8" w:rsidRPr="007D0F2F" w:rsidRDefault="002E32F8" w:rsidP="00CC2284">
      <w:pPr>
        <w:autoSpaceDE w:val="0"/>
        <w:autoSpaceDN w:val="0"/>
        <w:adjustRightInd w:val="0"/>
        <w:spacing w:line="360" w:lineRule="auto"/>
        <w:jc w:val="both"/>
        <w:rPr>
          <w:rFonts w:ascii="Palatino Linotype" w:eastAsia="Calibri" w:hAnsi="Palatino Linotype"/>
          <w:color w:val="000000" w:themeColor="text1"/>
          <w:lang w:eastAsia="en-US"/>
        </w:rPr>
      </w:pPr>
    </w:p>
    <w:p w14:paraId="28A8D60D" w14:textId="77777777" w:rsidR="002E32F8" w:rsidRPr="007D0F2F" w:rsidRDefault="002E32F8" w:rsidP="00CC2284">
      <w:pPr>
        <w:numPr>
          <w:ilvl w:val="0"/>
          <w:numId w:val="1"/>
        </w:numPr>
        <w:spacing w:line="360" w:lineRule="auto"/>
        <w:ind w:left="0" w:firstLine="0"/>
        <w:contextualSpacing/>
        <w:jc w:val="both"/>
        <w:rPr>
          <w:rFonts w:ascii="Palatino Linotype" w:eastAsia="Calibri" w:hAnsi="Palatino Linotype" w:cs="Arial"/>
          <w:color w:val="000000" w:themeColor="text1"/>
          <w:lang w:val="es-MX" w:eastAsia="en-US"/>
        </w:rPr>
      </w:pPr>
      <w:r w:rsidRPr="007D0F2F">
        <w:rPr>
          <w:rFonts w:ascii="Palatino Linotype" w:eastAsia="Calibri" w:hAnsi="Palatino Linotype" w:cs="Arial"/>
          <w:color w:val="000000" w:themeColor="text1"/>
          <w:lang w:val="es-MX" w:eastAsia="en-US"/>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7D0F2F">
        <w:rPr>
          <w:rFonts w:ascii="Palatino Linotype" w:eastAsia="Calibri" w:hAnsi="Palatino Linotype" w:cs="Arial"/>
          <w:b/>
          <w:color w:val="000000" w:themeColor="text1"/>
          <w:lang w:val="es-MX" w:eastAsia="en-US"/>
        </w:rPr>
        <w:t>el Sujeto Obligado</w:t>
      </w:r>
      <w:r w:rsidRPr="007D0F2F">
        <w:rPr>
          <w:rFonts w:ascii="Palatino Linotype" w:eastAsia="Calibri" w:hAnsi="Palatino Linotype" w:cs="Arial"/>
          <w:color w:val="000000" w:themeColor="text1"/>
          <w:lang w:val="es-MX" w:eastAsia="en-US"/>
        </w:rPr>
        <w:t xml:space="preserve"> deberá proteger toda aquella información que conlleve a un riesgo grave a los servidores públicos en comento.</w:t>
      </w:r>
    </w:p>
    <w:p w14:paraId="70286B17" w14:textId="77777777" w:rsidR="002E32F8" w:rsidRPr="007D0F2F" w:rsidRDefault="002E32F8" w:rsidP="00CC2284">
      <w:pPr>
        <w:spacing w:line="360" w:lineRule="auto"/>
        <w:jc w:val="both"/>
        <w:rPr>
          <w:rFonts w:ascii="Palatino Linotype" w:eastAsia="Calibri" w:hAnsi="Palatino Linotype" w:cs="Tahoma"/>
          <w:bCs/>
          <w:color w:val="000000" w:themeColor="text1"/>
          <w:lang w:val="es-MX" w:eastAsia="en-US"/>
        </w:rPr>
      </w:pPr>
    </w:p>
    <w:p w14:paraId="59A13E4D" w14:textId="77777777" w:rsidR="002E32F8" w:rsidRPr="007D0F2F" w:rsidRDefault="002E32F8" w:rsidP="00CC2284">
      <w:pPr>
        <w:numPr>
          <w:ilvl w:val="0"/>
          <w:numId w:val="1"/>
        </w:numPr>
        <w:spacing w:line="360" w:lineRule="auto"/>
        <w:ind w:left="0" w:firstLine="0"/>
        <w:contextualSpacing/>
        <w:jc w:val="both"/>
        <w:rPr>
          <w:rFonts w:ascii="Palatino Linotype" w:eastAsia="Calibri" w:hAnsi="Palatino Linotype" w:cs="Arial"/>
          <w:color w:val="000000" w:themeColor="text1"/>
          <w:lang w:val="es-MX" w:eastAsia="en-US"/>
        </w:rPr>
      </w:pPr>
      <w:r w:rsidRPr="007D0F2F">
        <w:rPr>
          <w:rFonts w:ascii="Palatino Linotype" w:eastAsia="Calibri" w:hAnsi="Palatino Linotype" w:cs="Tahoma"/>
          <w:bCs/>
          <w:color w:val="000000" w:themeColor="text1"/>
          <w:lang w:val="es-MX" w:eastAsia="en-US"/>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w:t>
      </w:r>
      <w:r w:rsidRPr="007D0F2F">
        <w:rPr>
          <w:rFonts w:ascii="Palatino Linotype" w:eastAsia="Calibri" w:hAnsi="Palatino Linotype"/>
          <w:color w:val="000000" w:themeColor="text1"/>
          <w:lang w:eastAsia="en-US"/>
        </w:rPr>
        <w:t>preferencias</w:t>
      </w:r>
      <w:r w:rsidRPr="007D0F2F">
        <w:rPr>
          <w:rFonts w:ascii="Palatino Linotype" w:eastAsia="Calibri" w:hAnsi="Palatino Linotype" w:cs="Tahoma"/>
          <w:bCs/>
          <w:color w:val="000000" w:themeColor="text1"/>
          <w:lang w:val="es-MX" w:eastAsia="en-US"/>
        </w:rPr>
        <w:t>, gustos, cualidades, opiniones y creencias, constituyen datos personales. En este sentido, cualquier información que por sí sola o relacionada con otra permita hacer identificable a una persona, es un dato personal, susceptible de ser clasificado.</w:t>
      </w:r>
    </w:p>
    <w:p w14:paraId="19DFEE03" w14:textId="77777777" w:rsidR="002E32F8" w:rsidRPr="007D0F2F" w:rsidRDefault="002E32F8" w:rsidP="00CC2284">
      <w:pPr>
        <w:shd w:val="clear" w:color="auto" w:fill="FFFFFF"/>
        <w:spacing w:line="360" w:lineRule="auto"/>
        <w:jc w:val="both"/>
        <w:rPr>
          <w:rFonts w:ascii="Palatino Linotype" w:eastAsia="Calibri" w:hAnsi="Palatino Linotype" w:cs="Tahoma"/>
          <w:bCs/>
          <w:color w:val="000000" w:themeColor="text1"/>
          <w:lang w:eastAsia="en-US"/>
        </w:rPr>
      </w:pPr>
    </w:p>
    <w:p w14:paraId="3EBA9AFE" w14:textId="77777777" w:rsidR="002E32F8" w:rsidRPr="007D0F2F" w:rsidRDefault="002E32F8" w:rsidP="00CC2284">
      <w:pPr>
        <w:numPr>
          <w:ilvl w:val="0"/>
          <w:numId w:val="1"/>
        </w:numPr>
        <w:spacing w:line="360" w:lineRule="auto"/>
        <w:ind w:left="0" w:firstLine="0"/>
        <w:contextualSpacing/>
        <w:jc w:val="both"/>
        <w:rPr>
          <w:rFonts w:ascii="Palatino Linotype" w:eastAsia="Calibri" w:hAnsi="Palatino Linotype" w:cs="Tahoma"/>
          <w:bCs/>
          <w:color w:val="000000" w:themeColor="text1"/>
          <w:lang w:eastAsia="en-US"/>
        </w:rPr>
      </w:pPr>
      <w:r w:rsidRPr="007D0F2F">
        <w:rPr>
          <w:rFonts w:ascii="Palatino Linotype" w:eastAsia="Calibri" w:hAnsi="Palatino Linotype" w:cs="Tahoma"/>
          <w:bCs/>
          <w:color w:val="000000" w:themeColor="text1"/>
          <w:lang w:eastAsia="en-US"/>
        </w:rPr>
        <w:lastRenderedPageBreak/>
        <w:t xml:space="preserve">En este contexto, la </w:t>
      </w:r>
      <w:r w:rsidRPr="007D0F2F">
        <w:rPr>
          <w:rFonts w:ascii="Palatino Linotype" w:eastAsia="Calibri" w:hAnsi="Palatino Linotype" w:cs="Tahoma"/>
          <w:bCs/>
          <w:color w:val="000000" w:themeColor="text1"/>
          <w:lang w:val="es-MX" w:eastAsia="en-US"/>
        </w:rPr>
        <w:t>confidencialidad</w:t>
      </w:r>
      <w:r w:rsidRPr="007D0F2F">
        <w:rPr>
          <w:rFonts w:ascii="Palatino Linotype" w:eastAsia="Calibri" w:hAnsi="Palatino Linotype" w:cs="Tahoma"/>
          <w:bCs/>
          <w:color w:val="000000" w:themeColor="text1"/>
          <w:lang w:eastAsia="en-US"/>
        </w:rPr>
        <w:t xml:space="preserve">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7D8DB11" w14:textId="77777777" w:rsidR="002E32F8" w:rsidRPr="007D0F2F" w:rsidRDefault="002E32F8" w:rsidP="00CC2284">
      <w:pPr>
        <w:shd w:val="clear" w:color="auto" w:fill="FFFFFF"/>
        <w:spacing w:line="360" w:lineRule="auto"/>
        <w:contextualSpacing/>
        <w:jc w:val="both"/>
        <w:rPr>
          <w:rFonts w:ascii="Palatino Linotype" w:eastAsia="Calibri" w:hAnsi="Palatino Linotype" w:cs="Tahoma"/>
          <w:bCs/>
          <w:color w:val="000000" w:themeColor="text1"/>
          <w:lang w:eastAsia="en-US"/>
        </w:rPr>
      </w:pPr>
    </w:p>
    <w:p w14:paraId="7558D804" w14:textId="77777777" w:rsidR="002E32F8" w:rsidRPr="007D0F2F" w:rsidRDefault="002E32F8" w:rsidP="00CC2284">
      <w:pPr>
        <w:numPr>
          <w:ilvl w:val="0"/>
          <w:numId w:val="1"/>
        </w:numPr>
        <w:spacing w:line="360" w:lineRule="auto"/>
        <w:ind w:left="0" w:firstLine="0"/>
        <w:contextualSpacing/>
        <w:jc w:val="both"/>
        <w:rPr>
          <w:rFonts w:ascii="Palatino Linotype" w:eastAsia="Calibri" w:hAnsi="Palatino Linotype" w:cs="Tahoma"/>
          <w:bCs/>
          <w:color w:val="000000" w:themeColor="text1"/>
          <w:lang w:eastAsia="en-US"/>
        </w:rPr>
      </w:pPr>
      <w:r w:rsidRPr="007D0F2F">
        <w:rPr>
          <w:rFonts w:ascii="Palatino Linotype" w:eastAsia="Calibri" w:hAnsi="Palatino Linotype" w:cs="Tahoma"/>
          <w:bCs/>
          <w:color w:val="000000" w:themeColor="text1"/>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7D0F2F">
        <w:rPr>
          <w:rFonts w:ascii="Palatino Linotype" w:eastAsia="Calibri" w:hAnsi="Palatino Linotype" w:cs="Tahoma"/>
          <w:bCs/>
          <w:i/>
          <w:color w:val="000000" w:themeColor="text1"/>
          <w:lang w:eastAsia="en-US"/>
        </w:rPr>
        <w:t>(no por eso dejan de ser datos personales, sólo que no están protegidos en la confidencialidad)</w:t>
      </w:r>
      <w:r w:rsidRPr="007D0F2F">
        <w:rPr>
          <w:rFonts w:ascii="Palatino Linotype" w:eastAsia="Calibri" w:hAnsi="Palatino Linotype" w:cs="Tahoma"/>
          <w:bCs/>
          <w:color w:val="000000" w:themeColor="text1"/>
          <w:lang w:eastAsia="en-US"/>
        </w:rPr>
        <w:t>.</w:t>
      </w:r>
    </w:p>
    <w:p w14:paraId="6C63FE2C" w14:textId="77777777" w:rsidR="002E32F8" w:rsidRPr="007D0F2F" w:rsidRDefault="002E32F8" w:rsidP="00CC2284">
      <w:pPr>
        <w:shd w:val="clear" w:color="auto" w:fill="FFFFFF"/>
        <w:spacing w:line="360" w:lineRule="auto"/>
        <w:contextualSpacing/>
        <w:jc w:val="both"/>
        <w:rPr>
          <w:rFonts w:ascii="Palatino Linotype" w:eastAsia="Calibri" w:hAnsi="Palatino Linotype" w:cs="Tahoma"/>
          <w:bCs/>
          <w:color w:val="000000" w:themeColor="text1"/>
          <w:lang w:eastAsia="en-US"/>
        </w:rPr>
      </w:pPr>
    </w:p>
    <w:p w14:paraId="3C987565" w14:textId="72F7FD6F" w:rsidR="002E32F8" w:rsidRPr="007D0F2F" w:rsidRDefault="002E32F8" w:rsidP="00CC2284">
      <w:pPr>
        <w:numPr>
          <w:ilvl w:val="0"/>
          <w:numId w:val="1"/>
        </w:numPr>
        <w:spacing w:line="360" w:lineRule="auto"/>
        <w:ind w:left="0" w:firstLine="0"/>
        <w:contextualSpacing/>
        <w:jc w:val="both"/>
        <w:rPr>
          <w:rFonts w:ascii="Palatino Linotype" w:eastAsia="Calibri" w:hAnsi="Palatino Linotype" w:cs="Arial"/>
          <w:color w:val="000000" w:themeColor="text1"/>
          <w:lang w:val="es-MX" w:eastAsia="en-US"/>
        </w:rPr>
      </w:pPr>
      <w:r w:rsidRPr="007D0F2F">
        <w:rPr>
          <w:rFonts w:ascii="Palatino Linotype" w:eastAsia="Calibri" w:hAnsi="Palatino Linotype" w:cs="Arial"/>
          <w:color w:val="000000" w:themeColor="text1"/>
          <w:lang w:val="es-MX" w:eastAsia="en-US"/>
        </w:rPr>
        <w:t xml:space="preserve">Ahora bien, tocante a los documentos probatorios </w:t>
      </w:r>
      <w:r w:rsidR="0095362F" w:rsidRPr="007D0F2F">
        <w:rPr>
          <w:rFonts w:ascii="Palatino Linotype" w:eastAsia="Calibri" w:hAnsi="Palatino Linotype" w:cs="Arial"/>
          <w:color w:val="000000" w:themeColor="text1"/>
          <w:lang w:val="es-MX" w:eastAsia="en-US"/>
        </w:rPr>
        <w:t>que integran los expedientes</w:t>
      </w:r>
      <w:r w:rsidRPr="007D0F2F">
        <w:rPr>
          <w:rFonts w:ascii="Palatino Linotype" w:eastAsia="Calibri" w:hAnsi="Palatino Linotype" w:cs="Arial"/>
          <w:color w:val="000000" w:themeColor="text1"/>
          <w:lang w:val="es-MX" w:eastAsia="en-US"/>
        </w:rPr>
        <w:t xml:space="preserve">, </w:t>
      </w:r>
      <w:r w:rsidRPr="007D0F2F">
        <w:rPr>
          <w:rFonts w:ascii="Palatino Linotype" w:eastAsiaTheme="minorHAnsi" w:hAnsi="Palatino Linotype" w:cs="Arial"/>
          <w:color w:val="000000" w:themeColor="text1"/>
          <w:lang w:val="es-MX" w:eastAsia="en-US"/>
        </w:rPr>
        <w:t xml:space="preserve">se procede a señalar los </w:t>
      </w:r>
      <w:r w:rsidRPr="007D0F2F">
        <w:rPr>
          <w:rFonts w:ascii="Palatino Linotype" w:eastAsia="Calibri" w:hAnsi="Palatino Linotype" w:cs="Tahoma"/>
          <w:bCs/>
          <w:color w:val="000000" w:themeColor="text1"/>
          <w:lang w:eastAsia="en-US"/>
        </w:rPr>
        <w:t>requisitos</w:t>
      </w:r>
      <w:r w:rsidRPr="007D0F2F">
        <w:rPr>
          <w:rFonts w:ascii="Palatino Linotype" w:eastAsiaTheme="minorHAnsi" w:hAnsi="Palatino Linotype" w:cs="Arial"/>
          <w:color w:val="000000" w:themeColor="text1"/>
          <w:lang w:val="es-MX" w:eastAsia="en-US"/>
        </w:rPr>
        <w:t xml:space="preserve"> generales contenidos en los articulados 47, 48 y 49, de la Ley del Trabado de los Servidores Públicos del Estado de México y Municipios, así como el documento idóneo con el que se pudiera acreditar, son los siguientes:</w:t>
      </w:r>
    </w:p>
    <w:p w14:paraId="3FDC77C3" w14:textId="77777777" w:rsidR="002E32F8" w:rsidRPr="007D0F2F" w:rsidRDefault="002E32F8" w:rsidP="00CC2284">
      <w:pPr>
        <w:spacing w:line="360" w:lineRule="auto"/>
        <w:rPr>
          <w:rFonts w:ascii="Palatino Linotype" w:hAnsi="Palatino Linotype"/>
          <w:color w:val="000000" w:themeColor="text1"/>
          <w:lang w:val="es-MX"/>
        </w:rPr>
      </w:pPr>
    </w:p>
    <w:tbl>
      <w:tblPr>
        <w:tblStyle w:val="Tablaconcuadrcula"/>
        <w:tblW w:w="8892" w:type="dxa"/>
        <w:jc w:val="center"/>
        <w:tblLook w:val="04A0" w:firstRow="1" w:lastRow="0" w:firstColumn="1" w:lastColumn="0" w:noHBand="0" w:noVBand="1"/>
      </w:tblPr>
      <w:tblGrid>
        <w:gridCol w:w="4248"/>
        <w:gridCol w:w="2835"/>
        <w:gridCol w:w="1809"/>
      </w:tblGrid>
      <w:tr w:rsidR="00CC2284" w:rsidRPr="007D0F2F" w14:paraId="7C59EC1D" w14:textId="77777777" w:rsidTr="00EF7B8A">
        <w:trPr>
          <w:jc w:val="center"/>
        </w:trPr>
        <w:tc>
          <w:tcPr>
            <w:tcW w:w="4248" w:type="dxa"/>
            <w:shd w:val="clear" w:color="auto" w:fill="D9D9D9" w:themeFill="background1" w:themeFillShade="D9"/>
            <w:vAlign w:val="center"/>
          </w:tcPr>
          <w:p w14:paraId="67EAAB12" w14:textId="77777777" w:rsidR="0095362F" w:rsidRPr="007D0F2F" w:rsidRDefault="0095362F" w:rsidP="00CC2284">
            <w:pPr>
              <w:tabs>
                <w:tab w:val="left" w:pos="284"/>
                <w:tab w:val="left" w:pos="426"/>
              </w:tabs>
              <w:spacing w:line="360" w:lineRule="auto"/>
              <w:jc w:val="center"/>
              <w:rPr>
                <w:rFonts w:ascii="Palatino Linotype" w:hAnsi="Palatino Linotype" w:cs="Arial"/>
                <w:b/>
                <w:color w:val="000000" w:themeColor="text1"/>
              </w:rPr>
            </w:pPr>
            <w:r w:rsidRPr="007D0F2F">
              <w:rPr>
                <w:rFonts w:ascii="Palatino Linotype" w:hAnsi="Palatino Linotype" w:cs="Arial"/>
                <w:b/>
                <w:color w:val="000000" w:themeColor="text1"/>
              </w:rPr>
              <w:lastRenderedPageBreak/>
              <w:t>Requisito establecido en la Ley del Trabajo de los Servidores Públicos del Estado y Municipios</w:t>
            </w:r>
          </w:p>
        </w:tc>
        <w:tc>
          <w:tcPr>
            <w:tcW w:w="2835" w:type="dxa"/>
            <w:shd w:val="clear" w:color="auto" w:fill="D9D9D9" w:themeFill="background1" w:themeFillShade="D9"/>
            <w:vAlign w:val="center"/>
          </w:tcPr>
          <w:p w14:paraId="30B1CFA5" w14:textId="77777777" w:rsidR="0095362F" w:rsidRPr="007D0F2F" w:rsidRDefault="0095362F" w:rsidP="00CC2284">
            <w:pPr>
              <w:tabs>
                <w:tab w:val="left" w:pos="284"/>
                <w:tab w:val="left" w:pos="426"/>
              </w:tabs>
              <w:spacing w:line="360" w:lineRule="auto"/>
              <w:jc w:val="center"/>
              <w:rPr>
                <w:rFonts w:ascii="Palatino Linotype" w:hAnsi="Palatino Linotype" w:cs="Arial"/>
                <w:b/>
                <w:color w:val="000000" w:themeColor="text1"/>
              </w:rPr>
            </w:pPr>
            <w:r w:rsidRPr="007D0F2F">
              <w:rPr>
                <w:rFonts w:ascii="Palatino Linotype" w:hAnsi="Palatino Linotype" w:cs="Arial"/>
                <w:b/>
                <w:color w:val="000000" w:themeColor="text1"/>
              </w:rPr>
              <w:t>Documento que lo acredita</w:t>
            </w:r>
          </w:p>
        </w:tc>
        <w:tc>
          <w:tcPr>
            <w:tcW w:w="1809" w:type="dxa"/>
            <w:shd w:val="clear" w:color="auto" w:fill="D9D9D9" w:themeFill="background1" w:themeFillShade="D9"/>
            <w:vAlign w:val="center"/>
          </w:tcPr>
          <w:p w14:paraId="3077BB51" w14:textId="77777777" w:rsidR="0095362F" w:rsidRPr="007D0F2F" w:rsidRDefault="0095362F" w:rsidP="00CC2284">
            <w:pPr>
              <w:tabs>
                <w:tab w:val="left" w:pos="284"/>
                <w:tab w:val="left" w:pos="426"/>
              </w:tabs>
              <w:spacing w:line="360" w:lineRule="auto"/>
              <w:jc w:val="center"/>
              <w:rPr>
                <w:rFonts w:ascii="Palatino Linotype" w:hAnsi="Palatino Linotype" w:cs="Arial"/>
                <w:b/>
                <w:color w:val="000000" w:themeColor="text1"/>
              </w:rPr>
            </w:pPr>
            <w:r w:rsidRPr="007D0F2F">
              <w:rPr>
                <w:rFonts w:ascii="Palatino Linotype" w:hAnsi="Palatino Linotype" w:cs="Arial"/>
                <w:b/>
                <w:color w:val="000000" w:themeColor="text1"/>
              </w:rPr>
              <w:t>Clasificación de la Información</w:t>
            </w:r>
          </w:p>
        </w:tc>
      </w:tr>
      <w:tr w:rsidR="00CC2284" w:rsidRPr="007D0F2F" w14:paraId="4F891A25" w14:textId="77777777" w:rsidTr="00EF7B8A">
        <w:trPr>
          <w:jc w:val="center"/>
        </w:trPr>
        <w:tc>
          <w:tcPr>
            <w:tcW w:w="4248" w:type="dxa"/>
            <w:vAlign w:val="center"/>
          </w:tcPr>
          <w:p w14:paraId="1A0C6E7C"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Presentar una solicitud utilizando la forma oficial que se autorice por la institución pública o dependencia correspondiente.</w:t>
            </w:r>
          </w:p>
        </w:tc>
        <w:tc>
          <w:tcPr>
            <w:tcW w:w="2835" w:type="dxa"/>
            <w:vAlign w:val="center"/>
          </w:tcPr>
          <w:p w14:paraId="69F75885"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Solicitud de empleo, ficha curricular, curriculum vitae o documento análogo</w:t>
            </w:r>
          </w:p>
        </w:tc>
        <w:tc>
          <w:tcPr>
            <w:tcW w:w="1809" w:type="dxa"/>
            <w:vAlign w:val="center"/>
          </w:tcPr>
          <w:p w14:paraId="510BDF7A" w14:textId="77777777" w:rsidR="0095362F" w:rsidRPr="007D0F2F" w:rsidRDefault="0095362F" w:rsidP="00CC2284">
            <w:pPr>
              <w:tabs>
                <w:tab w:val="left" w:pos="284"/>
                <w:tab w:val="left" w:pos="426"/>
              </w:tabs>
              <w:spacing w:line="360" w:lineRule="auto"/>
              <w:jc w:val="center"/>
              <w:rPr>
                <w:rFonts w:ascii="Palatino Linotype" w:hAnsi="Palatino Linotype" w:cs="Arial"/>
                <w:color w:val="000000" w:themeColor="text1"/>
              </w:rPr>
            </w:pPr>
            <w:r w:rsidRPr="007D0F2F">
              <w:rPr>
                <w:rFonts w:ascii="Palatino Linotype" w:hAnsi="Palatino Linotype" w:cs="Arial"/>
                <w:color w:val="000000" w:themeColor="text1"/>
              </w:rPr>
              <w:t>En versión Pública.</w:t>
            </w:r>
          </w:p>
        </w:tc>
      </w:tr>
      <w:tr w:rsidR="00CC2284" w:rsidRPr="007D0F2F" w14:paraId="4EC30CB7" w14:textId="77777777" w:rsidTr="00EF7B8A">
        <w:trPr>
          <w:trHeight w:val="517"/>
          <w:jc w:val="center"/>
        </w:trPr>
        <w:tc>
          <w:tcPr>
            <w:tcW w:w="4248" w:type="dxa"/>
            <w:vAlign w:val="center"/>
          </w:tcPr>
          <w:p w14:paraId="3D1A3123"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Ser de nacionalidad mexicana.</w:t>
            </w:r>
          </w:p>
        </w:tc>
        <w:tc>
          <w:tcPr>
            <w:tcW w:w="2835" w:type="dxa"/>
            <w:vAlign w:val="center"/>
          </w:tcPr>
          <w:p w14:paraId="30DBEF98"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Acta de nacimiento</w:t>
            </w:r>
          </w:p>
        </w:tc>
        <w:tc>
          <w:tcPr>
            <w:tcW w:w="1809" w:type="dxa"/>
            <w:vAlign w:val="center"/>
          </w:tcPr>
          <w:p w14:paraId="008378EF" w14:textId="77777777" w:rsidR="0095362F" w:rsidRPr="007D0F2F" w:rsidRDefault="0095362F" w:rsidP="00CC2284">
            <w:pPr>
              <w:tabs>
                <w:tab w:val="left" w:pos="284"/>
                <w:tab w:val="left" w:pos="426"/>
              </w:tabs>
              <w:spacing w:line="360" w:lineRule="auto"/>
              <w:jc w:val="center"/>
              <w:rPr>
                <w:rFonts w:ascii="Palatino Linotype" w:hAnsi="Palatino Linotype" w:cs="Arial"/>
                <w:color w:val="000000" w:themeColor="text1"/>
              </w:rPr>
            </w:pPr>
            <w:r w:rsidRPr="007D0F2F">
              <w:rPr>
                <w:rFonts w:ascii="Palatino Linotype" w:hAnsi="Palatino Linotype" w:cs="Arial"/>
                <w:color w:val="000000" w:themeColor="text1"/>
              </w:rPr>
              <w:t>Confidencial</w:t>
            </w:r>
          </w:p>
        </w:tc>
      </w:tr>
      <w:tr w:rsidR="00CC2284" w:rsidRPr="007D0F2F" w14:paraId="7FA146C5" w14:textId="77777777" w:rsidTr="00EF7B8A">
        <w:trPr>
          <w:jc w:val="center"/>
        </w:trPr>
        <w:tc>
          <w:tcPr>
            <w:tcW w:w="4248" w:type="dxa"/>
            <w:vAlign w:val="center"/>
          </w:tcPr>
          <w:p w14:paraId="3E27A08A"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Estar en pleno ejercicio de sus derechos civiles y políticos.</w:t>
            </w:r>
          </w:p>
        </w:tc>
        <w:tc>
          <w:tcPr>
            <w:tcW w:w="2835" w:type="dxa"/>
            <w:vAlign w:val="center"/>
          </w:tcPr>
          <w:p w14:paraId="11469325"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Derogado</w:t>
            </w:r>
          </w:p>
        </w:tc>
        <w:tc>
          <w:tcPr>
            <w:tcW w:w="1809" w:type="dxa"/>
            <w:vAlign w:val="center"/>
          </w:tcPr>
          <w:p w14:paraId="5B87B115" w14:textId="77777777" w:rsidR="0095362F" w:rsidRPr="007D0F2F" w:rsidRDefault="0095362F" w:rsidP="00CC2284">
            <w:pPr>
              <w:tabs>
                <w:tab w:val="left" w:pos="284"/>
                <w:tab w:val="left" w:pos="426"/>
              </w:tabs>
              <w:spacing w:line="360" w:lineRule="auto"/>
              <w:jc w:val="center"/>
              <w:rPr>
                <w:rFonts w:ascii="Palatino Linotype" w:hAnsi="Palatino Linotype" w:cs="Arial"/>
                <w:color w:val="000000" w:themeColor="text1"/>
              </w:rPr>
            </w:pPr>
            <w:r w:rsidRPr="007D0F2F">
              <w:rPr>
                <w:rFonts w:ascii="Palatino Linotype" w:hAnsi="Palatino Linotype" w:cs="Arial"/>
                <w:color w:val="000000" w:themeColor="text1"/>
              </w:rPr>
              <w:t>N/A</w:t>
            </w:r>
          </w:p>
        </w:tc>
      </w:tr>
      <w:tr w:rsidR="00CC2284" w:rsidRPr="007D0F2F" w14:paraId="73A4A39D" w14:textId="77777777" w:rsidTr="00EF7B8A">
        <w:trPr>
          <w:jc w:val="center"/>
        </w:trPr>
        <w:tc>
          <w:tcPr>
            <w:tcW w:w="4248" w:type="dxa"/>
            <w:vAlign w:val="center"/>
          </w:tcPr>
          <w:p w14:paraId="498EBF8D"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Acreditar, cuando proceda, el cumplimiento de la Ley del Servicio Militar Nacional.</w:t>
            </w:r>
          </w:p>
        </w:tc>
        <w:tc>
          <w:tcPr>
            <w:tcW w:w="2835" w:type="dxa"/>
            <w:vAlign w:val="center"/>
          </w:tcPr>
          <w:p w14:paraId="04576A47"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Cartilla de Servicio Militar</w:t>
            </w:r>
          </w:p>
        </w:tc>
        <w:tc>
          <w:tcPr>
            <w:tcW w:w="1809" w:type="dxa"/>
            <w:vAlign w:val="center"/>
          </w:tcPr>
          <w:p w14:paraId="2894E868" w14:textId="77777777" w:rsidR="0095362F" w:rsidRPr="007D0F2F" w:rsidRDefault="0095362F" w:rsidP="00CC2284">
            <w:pPr>
              <w:tabs>
                <w:tab w:val="left" w:pos="284"/>
                <w:tab w:val="left" w:pos="426"/>
              </w:tabs>
              <w:spacing w:line="360" w:lineRule="auto"/>
              <w:jc w:val="center"/>
              <w:rPr>
                <w:rFonts w:ascii="Palatino Linotype" w:hAnsi="Palatino Linotype" w:cs="Arial"/>
                <w:color w:val="000000" w:themeColor="text1"/>
              </w:rPr>
            </w:pPr>
            <w:r w:rsidRPr="007D0F2F">
              <w:rPr>
                <w:rFonts w:ascii="Palatino Linotype" w:hAnsi="Palatino Linotype" w:cs="Arial"/>
                <w:color w:val="000000" w:themeColor="text1"/>
              </w:rPr>
              <w:t>Confidencial</w:t>
            </w:r>
          </w:p>
        </w:tc>
      </w:tr>
      <w:tr w:rsidR="00CC2284" w:rsidRPr="007D0F2F" w14:paraId="11693F64" w14:textId="77777777" w:rsidTr="00EF7B8A">
        <w:trPr>
          <w:jc w:val="center"/>
        </w:trPr>
        <w:tc>
          <w:tcPr>
            <w:tcW w:w="4248" w:type="dxa"/>
            <w:vAlign w:val="center"/>
          </w:tcPr>
          <w:p w14:paraId="54E9AAFB"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No haber sido separado anteriormente del servicio por las causas previstas en el artículo 93 de la presente ley.</w:t>
            </w:r>
          </w:p>
        </w:tc>
        <w:tc>
          <w:tcPr>
            <w:tcW w:w="2835" w:type="dxa"/>
            <w:vAlign w:val="center"/>
          </w:tcPr>
          <w:p w14:paraId="23514371"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Manifestación bajo protesta de decir verdad.</w:t>
            </w:r>
          </w:p>
        </w:tc>
        <w:tc>
          <w:tcPr>
            <w:tcW w:w="1809" w:type="dxa"/>
            <w:vAlign w:val="center"/>
          </w:tcPr>
          <w:p w14:paraId="7F94FADF" w14:textId="77777777" w:rsidR="0095362F" w:rsidRPr="007D0F2F" w:rsidRDefault="0095362F" w:rsidP="00CC2284">
            <w:pPr>
              <w:tabs>
                <w:tab w:val="left" w:pos="284"/>
                <w:tab w:val="left" w:pos="426"/>
              </w:tabs>
              <w:spacing w:line="360" w:lineRule="auto"/>
              <w:jc w:val="center"/>
              <w:rPr>
                <w:rFonts w:ascii="Palatino Linotype" w:hAnsi="Palatino Linotype" w:cs="Arial"/>
                <w:color w:val="000000" w:themeColor="text1"/>
              </w:rPr>
            </w:pPr>
            <w:r w:rsidRPr="007D0F2F">
              <w:rPr>
                <w:rFonts w:ascii="Palatino Linotype" w:hAnsi="Palatino Linotype" w:cs="Arial"/>
                <w:color w:val="000000" w:themeColor="text1"/>
              </w:rPr>
              <w:t>Documento íntegro</w:t>
            </w:r>
          </w:p>
        </w:tc>
      </w:tr>
      <w:tr w:rsidR="00CC2284" w:rsidRPr="007D0F2F" w14:paraId="0AB87915" w14:textId="77777777" w:rsidTr="00EF7B8A">
        <w:trPr>
          <w:jc w:val="center"/>
        </w:trPr>
        <w:tc>
          <w:tcPr>
            <w:tcW w:w="4248" w:type="dxa"/>
            <w:vAlign w:val="center"/>
          </w:tcPr>
          <w:p w14:paraId="70AA36E2"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Tener buena salud, lo que se comprobará con los certificados médicos.</w:t>
            </w:r>
          </w:p>
        </w:tc>
        <w:tc>
          <w:tcPr>
            <w:tcW w:w="2835" w:type="dxa"/>
            <w:vAlign w:val="center"/>
          </w:tcPr>
          <w:p w14:paraId="4D087B8E"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Certificado Médico</w:t>
            </w:r>
          </w:p>
        </w:tc>
        <w:tc>
          <w:tcPr>
            <w:tcW w:w="1809" w:type="dxa"/>
            <w:vAlign w:val="center"/>
          </w:tcPr>
          <w:p w14:paraId="5978CF60" w14:textId="77777777" w:rsidR="0095362F" w:rsidRPr="007D0F2F" w:rsidRDefault="0095362F" w:rsidP="00CC2284">
            <w:pPr>
              <w:tabs>
                <w:tab w:val="left" w:pos="284"/>
                <w:tab w:val="left" w:pos="426"/>
              </w:tabs>
              <w:spacing w:line="360" w:lineRule="auto"/>
              <w:jc w:val="center"/>
              <w:rPr>
                <w:rFonts w:ascii="Palatino Linotype" w:hAnsi="Palatino Linotype" w:cs="Arial"/>
                <w:color w:val="000000" w:themeColor="text1"/>
              </w:rPr>
            </w:pPr>
            <w:r w:rsidRPr="007D0F2F">
              <w:rPr>
                <w:rFonts w:ascii="Palatino Linotype" w:hAnsi="Palatino Linotype" w:cs="Arial"/>
                <w:color w:val="000000" w:themeColor="text1"/>
              </w:rPr>
              <w:t>Confidencial</w:t>
            </w:r>
          </w:p>
        </w:tc>
      </w:tr>
      <w:tr w:rsidR="00CC2284" w:rsidRPr="007D0F2F" w14:paraId="7B7670B9" w14:textId="77777777" w:rsidTr="00EF7B8A">
        <w:trPr>
          <w:jc w:val="center"/>
        </w:trPr>
        <w:tc>
          <w:tcPr>
            <w:tcW w:w="4248" w:type="dxa"/>
            <w:vAlign w:val="center"/>
          </w:tcPr>
          <w:p w14:paraId="300912E4"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Cumplir con los requisitos que se establezcan para los diferentes puestos.</w:t>
            </w:r>
          </w:p>
        </w:tc>
        <w:tc>
          <w:tcPr>
            <w:tcW w:w="2835" w:type="dxa"/>
            <w:vAlign w:val="center"/>
          </w:tcPr>
          <w:p w14:paraId="67268B85"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 xml:space="preserve">En este caso, son aplicables  los documentos previstos </w:t>
            </w:r>
            <w:r w:rsidRPr="007D0F2F">
              <w:rPr>
                <w:rFonts w:ascii="Palatino Linotype" w:hAnsi="Palatino Linotype" w:cs="Arial"/>
                <w:color w:val="000000" w:themeColor="text1"/>
              </w:rPr>
              <w:lastRenderedPageBreak/>
              <w:t>por la Ley Orgánica Municipal del Estado de México y Municipios, en virtud de que se trata de ayuntamientos.</w:t>
            </w:r>
          </w:p>
        </w:tc>
        <w:tc>
          <w:tcPr>
            <w:tcW w:w="1809" w:type="dxa"/>
            <w:vAlign w:val="center"/>
          </w:tcPr>
          <w:p w14:paraId="4CC34D39" w14:textId="77777777" w:rsidR="0095362F" w:rsidRPr="007D0F2F" w:rsidRDefault="0095362F" w:rsidP="00CC2284">
            <w:pPr>
              <w:tabs>
                <w:tab w:val="left" w:pos="284"/>
                <w:tab w:val="left" w:pos="426"/>
              </w:tabs>
              <w:spacing w:line="360" w:lineRule="auto"/>
              <w:jc w:val="center"/>
              <w:rPr>
                <w:rFonts w:ascii="Palatino Linotype" w:hAnsi="Palatino Linotype" w:cs="Arial"/>
                <w:color w:val="000000" w:themeColor="text1"/>
              </w:rPr>
            </w:pPr>
            <w:r w:rsidRPr="007D0F2F">
              <w:rPr>
                <w:rFonts w:ascii="Palatino Linotype" w:hAnsi="Palatino Linotype" w:cs="Arial"/>
                <w:color w:val="000000" w:themeColor="text1"/>
              </w:rPr>
              <w:lastRenderedPageBreak/>
              <w:t>Documento íntegro</w:t>
            </w:r>
          </w:p>
        </w:tc>
      </w:tr>
      <w:tr w:rsidR="00CC2284" w:rsidRPr="007D0F2F" w14:paraId="24ACA7D0" w14:textId="77777777" w:rsidTr="00EF7B8A">
        <w:trPr>
          <w:jc w:val="center"/>
        </w:trPr>
        <w:tc>
          <w:tcPr>
            <w:tcW w:w="4248" w:type="dxa"/>
            <w:vAlign w:val="center"/>
          </w:tcPr>
          <w:p w14:paraId="76B23FF4"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Acreditar por medio de los exámenes correspondientes los conocimientos y aptitudes necesarios para el desempeño del puesto.</w:t>
            </w:r>
          </w:p>
        </w:tc>
        <w:tc>
          <w:tcPr>
            <w:tcW w:w="2835" w:type="dxa"/>
            <w:vAlign w:val="center"/>
          </w:tcPr>
          <w:p w14:paraId="2F4C62FC"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El documento obtenido por haber acreditado los exámenes de oposición o de conocimientos o aptitudes necesarios para ejercer el cargo.</w:t>
            </w:r>
          </w:p>
        </w:tc>
        <w:tc>
          <w:tcPr>
            <w:tcW w:w="1809" w:type="dxa"/>
            <w:vAlign w:val="center"/>
          </w:tcPr>
          <w:p w14:paraId="207E3464" w14:textId="77777777" w:rsidR="0095362F" w:rsidRPr="007D0F2F" w:rsidRDefault="0095362F" w:rsidP="00CC2284">
            <w:pPr>
              <w:tabs>
                <w:tab w:val="left" w:pos="284"/>
                <w:tab w:val="left" w:pos="426"/>
              </w:tabs>
              <w:spacing w:line="360" w:lineRule="auto"/>
              <w:jc w:val="center"/>
              <w:rPr>
                <w:rFonts w:ascii="Palatino Linotype" w:hAnsi="Palatino Linotype" w:cs="Arial"/>
                <w:color w:val="000000" w:themeColor="text1"/>
              </w:rPr>
            </w:pPr>
            <w:r w:rsidRPr="007D0F2F">
              <w:rPr>
                <w:rFonts w:ascii="Palatino Linotype" w:hAnsi="Palatino Linotype" w:cs="Arial"/>
                <w:color w:val="000000" w:themeColor="text1"/>
              </w:rPr>
              <w:t>En versión Pública.</w:t>
            </w:r>
          </w:p>
        </w:tc>
      </w:tr>
      <w:tr w:rsidR="00CC2284" w:rsidRPr="007D0F2F" w14:paraId="5457DABC" w14:textId="77777777" w:rsidTr="00EF7B8A">
        <w:trPr>
          <w:jc w:val="center"/>
        </w:trPr>
        <w:tc>
          <w:tcPr>
            <w:tcW w:w="4248" w:type="dxa"/>
            <w:vAlign w:val="center"/>
          </w:tcPr>
          <w:p w14:paraId="5A96206C"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No estar inhabilitado para el ejercicio del servicio público.</w:t>
            </w:r>
          </w:p>
        </w:tc>
        <w:tc>
          <w:tcPr>
            <w:tcW w:w="2835" w:type="dxa"/>
            <w:vAlign w:val="center"/>
          </w:tcPr>
          <w:p w14:paraId="4C66B4C3"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Constancia de no inhabilitación.</w:t>
            </w:r>
          </w:p>
        </w:tc>
        <w:tc>
          <w:tcPr>
            <w:tcW w:w="1809" w:type="dxa"/>
            <w:vAlign w:val="center"/>
          </w:tcPr>
          <w:p w14:paraId="1B317B67" w14:textId="77777777" w:rsidR="0095362F" w:rsidRPr="007D0F2F" w:rsidRDefault="0095362F" w:rsidP="00CC2284">
            <w:pPr>
              <w:tabs>
                <w:tab w:val="left" w:pos="284"/>
                <w:tab w:val="left" w:pos="426"/>
              </w:tabs>
              <w:spacing w:line="360" w:lineRule="auto"/>
              <w:jc w:val="center"/>
              <w:rPr>
                <w:rFonts w:ascii="Palatino Linotype" w:hAnsi="Palatino Linotype" w:cs="Arial"/>
                <w:color w:val="000000" w:themeColor="text1"/>
              </w:rPr>
            </w:pPr>
            <w:r w:rsidRPr="007D0F2F">
              <w:rPr>
                <w:rFonts w:ascii="Palatino Linotype" w:hAnsi="Palatino Linotype" w:cs="Arial"/>
                <w:color w:val="000000" w:themeColor="text1"/>
              </w:rPr>
              <w:t>Documento íntegro</w:t>
            </w:r>
          </w:p>
        </w:tc>
      </w:tr>
      <w:tr w:rsidR="00CC2284" w:rsidRPr="007D0F2F" w14:paraId="1E9648F9" w14:textId="77777777" w:rsidTr="00EF7B8A">
        <w:trPr>
          <w:jc w:val="center"/>
        </w:trPr>
        <w:tc>
          <w:tcPr>
            <w:tcW w:w="4248" w:type="dxa"/>
            <w:vAlign w:val="center"/>
          </w:tcPr>
          <w:p w14:paraId="4C0E39C6"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Presentar certificado expedido por la Unidad del Registro de Deudores Alimentarios Morosos en el que conste, si se encuentra inscrito o no en el mismo.</w:t>
            </w:r>
          </w:p>
        </w:tc>
        <w:tc>
          <w:tcPr>
            <w:tcW w:w="2835" w:type="dxa"/>
            <w:vAlign w:val="center"/>
          </w:tcPr>
          <w:p w14:paraId="58CB34FF"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Certificado de No Deudor Alimentario Moroso.</w:t>
            </w:r>
          </w:p>
        </w:tc>
        <w:tc>
          <w:tcPr>
            <w:tcW w:w="1809" w:type="dxa"/>
            <w:vAlign w:val="center"/>
          </w:tcPr>
          <w:p w14:paraId="06BD1333" w14:textId="77777777" w:rsidR="0095362F" w:rsidRPr="007D0F2F" w:rsidRDefault="0095362F" w:rsidP="00CC2284">
            <w:pPr>
              <w:tabs>
                <w:tab w:val="left" w:pos="284"/>
                <w:tab w:val="left" w:pos="426"/>
              </w:tabs>
              <w:spacing w:line="360" w:lineRule="auto"/>
              <w:jc w:val="center"/>
              <w:rPr>
                <w:rFonts w:ascii="Palatino Linotype" w:hAnsi="Palatino Linotype" w:cs="Arial"/>
                <w:color w:val="000000" w:themeColor="text1"/>
              </w:rPr>
            </w:pPr>
            <w:r w:rsidRPr="007D0F2F">
              <w:rPr>
                <w:rFonts w:ascii="Palatino Linotype" w:hAnsi="Palatino Linotype" w:cs="Arial"/>
                <w:color w:val="000000" w:themeColor="text1"/>
              </w:rPr>
              <w:t>En versión Pública.</w:t>
            </w:r>
          </w:p>
        </w:tc>
      </w:tr>
      <w:tr w:rsidR="0095362F" w:rsidRPr="007D0F2F" w14:paraId="3587C77D" w14:textId="77777777" w:rsidTr="00EF7B8A">
        <w:trPr>
          <w:jc w:val="center"/>
        </w:trPr>
        <w:tc>
          <w:tcPr>
            <w:tcW w:w="4248" w:type="dxa"/>
            <w:shd w:val="clear" w:color="auto" w:fill="auto"/>
            <w:vAlign w:val="center"/>
          </w:tcPr>
          <w:p w14:paraId="17A3C51F"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Para iniciar la prestación de los servicios</w:t>
            </w:r>
          </w:p>
        </w:tc>
        <w:tc>
          <w:tcPr>
            <w:tcW w:w="2835" w:type="dxa"/>
            <w:shd w:val="clear" w:color="auto" w:fill="auto"/>
            <w:vAlign w:val="center"/>
          </w:tcPr>
          <w:p w14:paraId="00CDE997" w14:textId="77777777" w:rsidR="0095362F" w:rsidRPr="007D0F2F" w:rsidRDefault="0095362F" w:rsidP="00CC2284">
            <w:pPr>
              <w:tabs>
                <w:tab w:val="left" w:pos="284"/>
                <w:tab w:val="left" w:pos="426"/>
              </w:tabs>
              <w:spacing w:line="360" w:lineRule="auto"/>
              <w:jc w:val="both"/>
              <w:rPr>
                <w:rFonts w:ascii="Palatino Linotype" w:hAnsi="Palatino Linotype" w:cs="Arial"/>
                <w:color w:val="000000" w:themeColor="text1"/>
              </w:rPr>
            </w:pPr>
            <w:r w:rsidRPr="007D0F2F">
              <w:rPr>
                <w:rFonts w:ascii="Palatino Linotype" w:hAnsi="Palatino Linotype" w:cs="Arial"/>
                <w:color w:val="000000" w:themeColor="text1"/>
              </w:rPr>
              <w:t>Nombramiento, contrato o formato único de Movimientos de Personal.</w:t>
            </w:r>
          </w:p>
        </w:tc>
        <w:tc>
          <w:tcPr>
            <w:tcW w:w="1809" w:type="dxa"/>
            <w:vAlign w:val="center"/>
          </w:tcPr>
          <w:p w14:paraId="76870996" w14:textId="77777777" w:rsidR="0095362F" w:rsidRPr="007D0F2F" w:rsidRDefault="0095362F" w:rsidP="00CC2284">
            <w:pPr>
              <w:tabs>
                <w:tab w:val="left" w:pos="284"/>
                <w:tab w:val="left" w:pos="426"/>
              </w:tabs>
              <w:spacing w:line="360" w:lineRule="auto"/>
              <w:jc w:val="center"/>
              <w:rPr>
                <w:rFonts w:ascii="Palatino Linotype" w:hAnsi="Palatino Linotype" w:cs="Arial"/>
                <w:color w:val="000000" w:themeColor="text1"/>
              </w:rPr>
            </w:pPr>
            <w:r w:rsidRPr="007D0F2F">
              <w:rPr>
                <w:rFonts w:ascii="Palatino Linotype" w:hAnsi="Palatino Linotype" w:cs="Arial"/>
                <w:color w:val="000000" w:themeColor="text1"/>
              </w:rPr>
              <w:t>En versión Pública.</w:t>
            </w:r>
          </w:p>
        </w:tc>
      </w:tr>
    </w:tbl>
    <w:p w14:paraId="34FCDF80" w14:textId="77777777" w:rsidR="002E32F8" w:rsidRPr="007D0F2F" w:rsidRDefault="002E32F8" w:rsidP="00CC2284">
      <w:pPr>
        <w:tabs>
          <w:tab w:val="left" w:pos="709"/>
        </w:tabs>
        <w:spacing w:line="360" w:lineRule="auto"/>
        <w:jc w:val="both"/>
        <w:rPr>
          <w:rFonts w:ascii="Palatino Linotype" w:eastAsia="Calibri" w:hAnsi="Palatino Linotype" w:cs="Arial"/>
          <w:color w:val="000000" w:themeColor="text1"/>
          <w:lang w:val="es-MX" w:eastAsia="en-US"/>
        </w:rPr>
      </w:pPr>
    </w:p>
    <w:p w14:paraId="64170A37" w14:textId="77777777" w:rsidR="002E32F8" w:rsidRPr="007D0F2F" w:rsidRDefault="002E32F8" w:rsidP="00CC2284">
      <w:pPr>
        <w:numPr>
          <w:ilvl w:val="0"/>
          <w:numId w:val="1"/>
        </w:numPr>
        <w:spacing w:line="360" w:lineRule="auto"/>
        <w:ind w:left="0" w:firstLine="0"/>
        <w:contextualSpacing/>
        <w:jc w:val="both"/>
        <w:rPr>
          <w:rFonts w:ascii="Palatino Linotype" w:hAnsi="Palatino Linotype" w:cs="Arial"/>
          <w:color w:val="000000" w:themeColor="text1"/>
          <w:lang w:eastAsia="en-US"/>
        </w:rPr>
      </w:pPr>
      <w:r w:rsidRPr="007D0F2F">
        <w:rPr>
          <w:rFonts w:ascii="Palatino Linotype" w:hAnsi="Palatino Linotype" w:cs="Arial"/>
          <w:color w:val="000000" w:themeColor="text1"/>
          <w:lang w:eastAsia="en-US"/>
        </w:rPr>
        <w:lastRenderedPageBreak/>
        <w:t xml:space="preserve">De lo antes mencionado se advierte que para formar parte del servicio público, los interesados deben cumplir con los elementos señalados, así como aquellos requisitos que se </w:t>
      </w:r>
      <w:r w:rsidRPr="007D0F2F">
        <w:rPr>
          <w:rFonts w:ascii="Palatino Linotype" w:eastAsia="Calibri" w:hAnsi="Palatino Linotype" w:cs="Arial"/>
          <w:color w:val="000000" w:themeColor="text1"/>
          <w:lang w:val="es-MX" w:eastAsia="en-US"/>
        </w:rPr>
        <w:t>establezcan</w:t>
      </w:r>
      <w:r w:rsidRPr="007D0F2F">
        <w:rPr>
          <w:rFonts w:ascii="Palatino Linotype" w:hAnsi="Palatino Linotype" w:cs="Arial"/>
          <w:color w:val="000000" w:themeColor="text1"/>
          <w:lang w:eastAsia="en-US"/>
        </w:rPr>
        <w:t xml:space="preserve"> para los diferentes puestos, siendo obligación de las instituciones públicas integrar los expedientes correspondientes, en términos del artículo 98, fracción XVII, de la Ley del Trabajo de los Servidores Públicos del Estado de México.</w:t>
      </w:r>
    </w:p>
    <w:p w14:paraId="62EFBC37" w14:textId="77777777" w:rsidR="002E32F8" w:rsidRPr="007D0F2F" w:rsidRDefault="002E32F8" w:rsidP="00CC2284">
      <w:pPr>
        <w:tabs>
          <w:tab w:val="left" w:pos="709"/>
        </w:tabs>
        <w:spacing w:line="360" w:lineRule="auto"/>
        <w:jc w:val="both"/>
        <w:rPr>
          <w:rFonts w:ascii="Palatino Linotype" w:hAnsi="Palatino Linotype" w:cs="Arial"/>
          <w:color w:val="000000" w:themeColor="text1"/>
          <w:lang w:eastAsia="en-US"/>
        </w:rPr>
      </w:pPr>
    </w:p>
    <w:p w14:paraId="22147AD3" w14:textId="50BAAA46" w:rsidR="002E32F8" w:rsidRPr="007D0F2F" w:rsidRDefault="002E32F8" w:rsidP="00CC2284">
      <w:pPr>
        <w:numPr>
          <w:ilvl w:val="0"/>
          <w:numId w:val="1"/>
        </w:numPr>
        <w:spacing w:line="360" w:lineRule="auto"/>
        <w:ind w:left="0" w:firstLine="0"/>
        <w:contextualSpacing/>
        <w:jc w:val="both"/>
        <w:rPr>
          <w:rFonts w:ascii="Palatino Linotype" w:eastAsiaTheme="minorHAnsi" w:hAnsi="Palatino Linotype" w:cs="Arial"/>
          <w:color w:val="000000" w:themeColor="text1"/>
          <w:lang w:val="es-MX" w:eastAsia="en-US"/>
        </w:rPr>
      </w:pPr>
      <w:r w:rsidRPr="007D0F2F">
        <w:rPr>
          <w:rFonts w:ascii="Palatino Linotype" w:eastAsiaTheme="minorHAnsi" w:hAnsi="Palatino Linotype" w:cs="Arial"/>
          <w:color w:val="000000" w:themeColor="text1"/>
          <w:lang w:val="es-MX" w:eastAsia="en-US"/>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0095362F" w:rsidRPr="007D0F2F">
        <w:rPr>
          <w:rFonts w:ascii="Palatino Linotype" w:eastAsiaTheme="minorHAnsi" w:hAnsi="Palatino Linotype" w:cs="Arial"/>
          <w:b/>
          <w:color w:val="000000" w:themeColor="text1"/>
          <w:lang w:val="es-MX" w:eastAsia="en-US"/>
        </w:rPr>
        <w:t>SUJETO OBLIGADO</w:t>
      </w:r>
      <w:r w:rsidR="0095362F" w:rsidRPr="007D0F2F">
        <w:rPr>
          <w:rFonts w:ascii="Palatino Linotype" w:eastAsiaTheme="minorHAnsi" w:hAnsi="Palatino Linotype" w:cs="Arial"/>
          <w:color w:val="000000" w:themeColor="text1"/>
          <w:lang w:val="es-MX" w:eastAsia="en-US"/>
        </w:rPr>
        <w:t xml:space="preserve"> </w:t>
      </w:r>
      <w:r w:rsidRPr="007D0F2F">
        <w:rPr>
          <w:rFonts w:ascii="Palatino Linotype" w:eastAsiaTheme="minorHAnsi" w:hAnsi="Palatino Linotype" w:cs="Arial"/>
          <w:color w:val="000000" w:themeColor="text1"/>
          <w:lang w:val="es-MX" w:eastAsia="en-US"/>
        </w:rPr>
        <w:t>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06B8B943" w14:textId="77777777" w:rsidR="002E32F8" w:rsidRPr="007D0F2F" w:rsidRDefault="002E32F8" w:rsidP="00CC2284">
      <w:pPr>
        <w:tabs>
          <w:tab w:val="left" w:pos="709"/>
        </w:tabs>
        <w:spacing w:line="360" w:lineRule="auto"/>
        <w:jc w:val="both"/>
        <w:rPr>
          <w:rFonts w:ascii="Palatino Linotype" w:eastAsiaTheme="minorHAnsi" w:hAnsi="Palatino Linotype" w:cs="Arial"/>
          <w:color w:val="000000" w:themeColor="text1"/>
          <w:lang w:val="es-MX" w:eastAsia="en-US"/>
        </w:rPr>
      </w:pPr>
    </w:p>
    <w:p w14:paraId="77A7F330" w14:textId="77777777" w:rsidR="002E32F8" w:rsidRPr="007D0F2F" w:rsidRDefault="002E32F8" w:rsidP="00CC2284">
      <w:pPr>
        <w:numPr>
          <w:ilvl w:val="0"/>
          <w:numId w:val="1"/>
        </w:numPr>
        <w:spacing w:line="360" w:lineRule="auto"/>
        <w:ind w:left="0" w:firstLine="0"/>
        <w:contextualSpacing/>
        <w:jc w:val="both"/>
        <w:rPr>
          <w:rFonts w:ascii="Palatino Linotype" w:eastAsiaTheme="minorHAnsi" w:hAnsi="Palatino Linotype" w:cs="Arial"/>
          <w:color w:val="000000" w:themeColor="text1"/>
          <w:lang w:val="es-MX" w:eastAsia="en-US"/>
        </w:rPr>
      </w:pPr>
      <w:r w:rsidRPr="007D0F2F">
        <w:rPr>
          <w:rFonts w:ascii="Palatino Linotype" w:eastAsiaTheme="minorHAnsi" w:hAnsi="Palatino Linotype" w:cs="Arial"/>
          <w:color w:val="000000" w:themeColor="text1"/>
          <w:lang w:val="es-MX" w:eastAsia="en-US"/>
        </w:rPr>
        <w:t xml:space="preserve">De este modo, al ser expedientes individuales de los servidores públicos que se integran con documentos públicos y documentos privados a partir de la relación laboral, y con los ordenamientos señalados con antelación no establecen como se integrarán estos, es necesario remitirnos, para mayor claridad en el estudio y sólo a modo de ejemplo, al </w:t>
      </w:r>
      <w:r w:rsidRPr="007D0F2F">
        <w:rPr>
          <w:rFonts w:ascii="Palatino Linotype" w:eastAsiaTheme="minorHAnsi" w:hAnsi="Palatino Linotype" w:cs="Arial"/>
          <w:i/>
          <w:color w:val="000000" w:themeColor="text1"/>
          <w:lang w:val="es-MX" w:eastAsia="en-US"/>
        </w:rPr>
        <w:t>Manual de Procedimientos para la Integración de los Expedientes de los Servidores Públicos del Tribunal Electoral</w:t>
      </w:r>
      <w:r w:rsidRPr="007D0F2F">
        <w:rPr>
          <w:rFonts w:ascii="Palatino Linotype" w:eastAsiaTheme="minorHAnsi" w:hAnsi="Palatino Linotype"/>
          <w:i/>
          <w:color w:val="000000" w:themeColor="text1"/>
          <w:vertAlign w:val="superscript"/>
          <w:lang w:val="es-MX" w:eastAsia="en-US"/>
        </w:rPr>
        <w:footnoteReference w:id="2"/>
      </w:r>
      <w:r w:rsidRPr="007D0F2F">
        <w:rPr>
          <w:rFonts w:ascii="Palatino Linotype" w:eastAsiaTheme="minorHAnsi" w:hAnsi="Palatino Linotype" w:cs="Arial"/>
          <w:color w:val="000000" w:themeColor="text1"/>
          <w:lang w:val="es-MX" w:eastAsia="en-US"/>
        </w:rPr>
        <w:t>.</w:t>
      </w:r>
    </w:p>
    <w:p w14:paraId="01296CF5" w14:textId="77777777" w:rsidR="002E32F8" w:rsidRPr="007D0F2F" w:rsidRDefault="002E32F8" w:rsidP="00CC2284">
      <w:pPr>
        <w:tabs>
          <w:tab w:val="left" w:pos="709"/>
        </w:tabs>
        <w:spacing w:line="360" w:lineRule="auto"/>
        <w:jc w:val="both"/>
        <w:rPr>
          <w:rFonts w:ascii="Palatino Linotype" w:eastAsiaTheme="minorHAnsi" w:hAnsi="Palatino Linotype" w:cs="Arial"/>
          <w:color w:val="000000" w:themeColor="text1"/>
          <w:lang w:val="es-MX" w:eastAsia="en-US"/>
        </w:rPr>
      </w:pPr>
    </w:p>
    <w:p w14:paraId="2D459180" w14:textId="77777777" w:rsidR="002E32F8" w:rsidRPr="007D0F2F" w:rsidRDefault="002E32F8" w:rsidP="00CC2284">
      <w:pPr>
        <w:numPr>
          <w:ilvl w:val="0"/>
          <w:numId w:val="1"/>
        </w:numPr>
        <w:spacing w:line="360" w:lineRule="auto"/>
        <w:ind w:left="0" w:firstLine="0"/>
        <w:contextualSpacing/>
        <w:jc w:val="both"/>
        <w:rPr>
          <w:rFonts w:ascii="Palatino Linotype" w:hAnsi="Palatino Linotype" w:cs="Arial"/>
          <w:color w:val="000000" w:themeColor="text1"/>
          <w:lang w:eastAsia="en-US"/>
        </w:rPr>
      </w:pPr>
      <w:r w:rsidRPr="007D0F2F">
        <w:rPr>
          <w:rFonts w:ascii="Palatino Linotype" w:eastAsiaTheme="minorHAnsi" w:hAnsi="Palatino Linotype" w:cs="Arial"/>
          <w:color w:val="000000" w:themeColor="text1"/>
          <w:lang w:val="es-MX" w:eastAsia="en-US"/>
        </w:rPr>
        <w:lastRenderedPageBreak/>
        <w:t>Dicho Manual Establece que para la integración del expediente de un servidor público, invariablemente se deberán comprender dos apartados:</w:t>
      </w:r>
    </w:p>
    <w:p w14:paraId="4D2E4C90" w14:textId="77777777" w:rsidR="002E32F8" w:rsidRPr="007D0F2F" w:rsidRDefault="002E32F8" w:rsidP="00EF7B8A">
      <w:pPr>
        <w:pStyle w:val="Prrafodelista"/>
        <w:numPr>
          <w:ilvl w:val="0"/>
          <w:numId w:val="19"/>
        </w:numPr>
        <w:spacing w:line="360" w:lineRule="auto"/>
        <w:ind w:left="0" w:firstLine="0"/>
        <w:jc w:val="both"/>
        <w:rPr>
          <w:rFonts w:ascii="Palatino Linotype" w:hAnsi="Palatino Linotype" w:cs="Arial"/>
          <w:color w:val="000000" w:themeColor="text1"/>
        </w:rPr>
      </w:pPr>
      <w:r w:rsidRPr="007D0F2F">
        <w:rPr>
          <w:rFonts w:ascii="Palatino Linotype" w:hAnsi="Palatino Linotype" w:cs="Arial"/>
          <w:b/>
          <w:color w:val="000000" w:themeColor="text1"/>
        </w:rPr>
        <w:t>Primer apartado:</w:t>
      </w:r>
      <w:r w:rsidRPr="007D0F2F">
        <w:rPr>
          <w:rFonts w:ascii="Palatino Linotype" w:hAnsi="Palatino Linotype" w:cs="Arial"/>
          <w:color w:val="000000" w:themeColor="text1"/>
        </w:rPr>
        <w:t xml:space="preserve"> se denominará </w:t>
      </w:r>
      <w:r w:rsidRPr="007D0F2F">
        <w:rPr>
          <w:rFonts w:ascii="Palatino Linotype" w:hAnsi="Palatino Linotype" w:cs="Arial"/>
          <w:i/>
          <w:color w:val="000000" w:themeColor="text1"/>
        </w:rPr>
        <w:t>personal</w:t>
      </w:r>
      <w:r w:rsidRPr="007D0F2F">
        <w:rPr>
          <w:rFonts w:ascii="Palatino Linotype" w:hAnsi="Palatino Linotype" w:cs="Arial"/>
          <w:color w:val="000000" w:themeColor="text1"/>
        </w:rPr>
        <w:t>; se integra con la documentación personal que entregue el servidor público al ingresar al servicio público.</w:t>
      </w:r>
    </w:p>
    <w:p w14:paraId="043C176B" w14:textId="77777777" w:rsidR="002E32F8" w:rsidRPr="007D0F2F" w:rsidRDefault="002E32F8" w:rsidP="00EF7B8A">
      <w:pPr>
        <w:pStyle w:val="Prrafodelista"/>
        <w:numPr>
          <w:ilvl w:val="0"/>
          <w:numId w:val="19"/>
        </w:numPr>
        <w:spacing w:line="360" w:lineRule="auto"/>
        <w:ind w:left="0" w:firstLine="0"/>
        <w:jc w:val="both"/>
        <w:rPr>
          <w:rFonts w:ascii="Palatino Linotype" w:hAnsi="Palatino Linotype" w:cs="Arial"/>
          <w:color w:val="000000" w:themeColor="text1"/>
        </w:rPr>
      </w:pPr>
      <w:r w:rsidRPr="007D0F2F">
        <w:rPr>
          <w:rFonts w:ascii="Palatino Linotype" w:hAnsi="Palatino Linotype" w:cs="Arial"/>
          <w:b/>
          <w:color w:val="000000" w:themeColor="text1"/>
        </w:rPr>
        <w:t>Segundo apartado:</w:t>
      </w:r>
      <w:r w:rsidRPr="007D0F2F">
        <w:rPr>
          <w:rFonts w:ascii="Palatino Linotype" w:hAnsi="Palatino Linotype" w:cs="Arial"/>
          <w:color w:val="000000" w:themeColor="text1"/>
        </w:rPr>
        <w:t xml:space="preserve"> denominado </w:t>
      </w:r>
      <w:r w:rsidRPr="007D0F2F">
        <w:rPr>
          <w:rFonts w:ascii="Palatino Linotype" w:hAnsi="Palatino Linotype" w:cs="Arial"/>
          <w:i/>
          <w:color w:val="000000" w:themeColor="text1"/>
        </w:rPr>
        <w:t xml:space="preserve">Laboral; </w:t>
      </w:r>
      <w:r w:rsidRPr="007D0F2F">
        <w:rPr>
          <w:rFonts w:ascii="Palatino Linotype" w:hAnsi="Palatino Linotype" w:cs="Arial"/>
          <w:color w:val="000000" w:themeColor="text1"/>
        </w:rPr>
        <w:t>se integrará con los documentos generados por la relación laboral del servidor público y el tribunal -en este caso la dependencia a la cual presta sus servicios-.</w:t>
      </w:r>
    </w:p>
    <w:p w14:paraId="105B14F4" w14:textId="77777777" w:rsidR="002E32F8" w:rsidRPr="007D0F2F" w:rsidRDefault="002E32F8" w:rsidP="00CC2284">
      <w:pPr>
        <w:pStyle w:val="Sinespaciado"/>
        <w:spacing w:line="360" w:lineRule="auto"/>
        <w:rPr>
          <w:rFonts w:ascii="Palatino Linotype" w:hAnsi="Palatino Linotype"/>
          <w:color w:val="000000" w:themeColor="text1"/>
          <w:sz w:val="24"/>
          <w:szCs w:val="24"/>
        </w:rPr>
      </w:pPr>
    </w:p>
    <w:p w14:paraId="113F8725" w14:textId="77777777" w:rsidR="002E32F8" w:rsidRPr="007D0F2F" w:rsidRDefault="002E32F8" w:rsidP="00CC2284">
      <w:pPr>
        <w:numPr>
          <w:ilvl w:val="0"/>
          <w:numId w:val="1"/>
        </w:numPr>
        <w:spacing w:line="360" w:lineRule="auto"/>
        <w:ind w:left="0" w:firstLine="0"/>
        <w:contextualSpacing/>
        <w:jc w:val="both"/>
        <w:rPr>
          <w:rFonts w:ascii="Palatino Linotype" w:hAnsi="Palatino Linotype" w:cs="Arial"/>
          <w:color w:val="000000" w:themeColor="text1"/>
        </w:rPr>
      </w:pPr>
      <w:r w:rsidRPr="007D0F2F">
        <w:rPr>
          <w:rFonts w:ascii="Palatino Linotype" w:hAnsi="Palatino Linotype" w:cs="Arial"/>
          <w:color w:val="000000" w:themeColor="text1"/>
        </w:rPr>
        <w:t xml:space="preserve">Ahora bien, del análisis de las documentales que integran dichos apartados en un expediente laboral, se destaca que en ambos se incluyen documentales personales, que </w:t>
      </w:r>
      <w:r w:rsidRPr="007D0F2F">
        <w:rPr>
          <w:rFonts w:ascii="Palatino Linotype" w:eastAsiaTheme="minorHAnsi" w:hAnsi="Palatino Linotype" w:cs="Arial"/>
          <w:color w:val="000000" w:themeColor="text1"/>
          <w:lang w:val="es-MX" w:eastAsia="en-US"/>
        </w:rPr>
        <w:t>solo</w:t>
      </w:r>
      <w:r w:rsidRPr="007D0F2F">
        <w:rPr>
          <w:rFonts w:ascii="Palatino Linotype" w:hAnsi="Palatino Linotype" w:cs="Arial"/>
          <w:color w:val="000000" w:themeColor="text1"/>
        </w:rPr>
        <w:t xml:space="preserve">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14:paraId="4D305A40" w14:textId="77777777" w:rsidR="002E32F8" w:rsidRPr="007D0F2F" w:rsidRDefault="002E32F8" w:rsidP="00CC2284">
      <w:pPr>
        <w:tabs>
          <w:tab w:val="left" w:pos="284"/>
          <w:tab w:val="left" w:pos="426"/>
        </w:tabs>
        <w:spacing w:line="360" w:lineRule="auto"/>
        <w:contextualSpacing/>
        <w:jc w:val="both"/>
        <w:rPr>
          <w:rFonts w:ascii="Palatino Linotype" w:hAnsi="Palatino Linotype" w:cs="Arial"/>
          <w:color w:val="000000" w:themeColor="text1"/>
        </w:rPr>
      </w:pPr>
    </w:p>
    <w:p w14:paraId="518B9164" w14:textId="77777777" w:rsidR="002E32F8" w:rsidRPr="007D0F2F" w:rsidRDefault="002E32F8" w:rsidP="00CC2284">
      <w:pPr>
        <w:numPr>
          <w:ilvl w:val="0"/>
          <w:numId w:val="1"/>
        </w:numPr>
        <w:spacing w:line="360" w:lineRule="auto"/>
        <w:ind w:left="0" w:firstLine="0"/>
        <w:contextualSpacing/>
        <w:jc w:val="both"/>
        <w:rPr>
          <w:rFonts w:ascii="Palatino Linotype" w:hAnsi="Palatino Linotype" w:cs="Arial"/>
          <w:color w:val="000000" w:themeColor="text1"/>
        </w:rPr>
      </w:pPr>
      <w:r w:rsidRPr="007D0F2F">
        <w:rPr>
          <w:rFonts w:ascii="Palatino Linotype" w:hAnsi="Palatino Linotype" w:cs="Arial"/>
          <w:color w:val="000000" w:themeColor="text1"/>
        </w:rPr>
        <w:t>Para robustecer lo anterior, es de considerar el Criterio 16/2006 emitido por el Comité de Acceso a la Información y Protección de Datos Personales de la suprema Corte de Justicia de la Nación, que dispone lo siguiente:</w:t>
      </w:r>
    </w:p>
    <w:p w14:paraId="5927F12B" w14:textId="77777777" w:rsidR="002E32F8" w:rsidRPr="007D0F2F" w:rsidRDefault="002E32F8" w:rsidP="00CC2284">
      <w:pPr>
        <w:spacing w:line="360" w:lineRule="auto"/>
        <w:jc w:val="both"/>
        <w:rPr>
          <w:rFonts w:ascii="Palatino Linotype" w:hAnsi="Palatino Linotype"/>
          <w:i/>
          <w:color w:val="000000" w:themeColor="text1"/>
          <w:lang w:eastAsia="en-US"/>
        </w:rPr>
      </w:pPr>
      <w:r w:rsidRPr="007D0F2F">
        <w:rPr>
          <w:rFonts w:ascii="Palatino Linotype" w:hAnsi="Palatino Linotype"/>
          <w:i/>
          <w:color w:val="000000" w:themeColor="text1"/>
          <w:lang w:eastAsia="en-US"/>
        </w:rPr>
        <w:t>“</w:t>
      </w:r>
      <w:r w:rsidRPr="007D0F2F">
        <w:rPr>
          <w:rFonts w:ascii="Palatino Linotype" w:hAnsi="Palatino Linotype"/>
          <w:b/>
          <w:i/>
          <w:color w:val="000000" w:themeColor="text1"/>
          <w:lang w:eastAsia="en-US"/>
        </w:rPr>
        <w:t>EXPEDIENTES LABORALES ADMINISTRATIVOS DE LOS SERVIDORES PÚBLICOS DE LA SUPREMA CORTE DE JUSTICIA DE LA NACIÓN. ES PÚBLICA LA INFORMACIÓN QUE EN ELLOS SE CONTIENE, SALVO LOS DATOS PERSONALES</w:t>
      </w:r>
      <w:r w:rsidRPr="007D0F2F">
        <w:rPr>
          <w:rFonts w:ascii="Palatino Linotype" w:hAnsi="Palatino Linotype"/>
          <w:i/>
          <w:color w:val="000000" w:themeColor="text1"/>
          <w:lang w:eastAsia="en-US"/>
        </w:rPr>
        <w:t xml:space="preserve">. La información que se contiene en los expedientes laborales administrativos de los servidores públicos de </w:t>
      </w:r>
      <w:r w:rsidRPr="007D0F2F">
        <w:rPr>
          <w:rFonts w:ascii="Palatino Linotype" w:hAnsi="Palatino Linotype"/>
          <w:i/>
          <w:color w:val="000000" w:themeColor="text1"/>
          <w:lang w:eastAsia="en-US"/>
        </w:rPr>
        <w:lastRenderedPageBreak/>
        <w:t>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p>
    <w:p w14:paraId="6C5BD1DD" w14:textId="77777777" w:rsidR="002E32F8" w:rsidRPr="007D0F2F" w:rsidRDefault="002E32F8" w:rsidP="00CC2284">
      <w:pPr>
        <w:spacing w:line="360" w:lineRule="auto"/>
        <w:jc w:val="both"/>
        <w:rPr>
          <w:rFonts w:ascii="Palatino Linotype" w:hAnsi="Palatino Linotype" w:cs="Arial"/>
          <w:color w:val="000000" w:themeColor="text1"/>
        </w:rPr>
      </w:pPr>
    </w:p>
    <w:p w14:paraId="198F03EC" w14:textId="5A5815BC" w:rsidR="002E32F8" w:rsidRPr="007D0F2F" w:rsidRDefault="0095362F" w:rsidP="00CC2284">
      <w:pPr>
        <w:numPr>
          <w:ilvl w:val="0"/>
          <w:numId w:val="1"/>
        </w:numPr>
        <w:spacing w:line="360" w:lineRule="auto"/>
        <w:ind w:left="0" w:firstLine="0"/>
        <w:contextualSpacing/>
        <w:jc w:val="both"/>
        <w:rPr>
          <w:rFonts w:ascii="Palatino Linotype" w:hAnsi="Palatino Linotype"/>
          <w:color w:val="000000" w:themeColor="text1"/>
          <w:lang w:eastAsia="es-MX"/>
        </w:rPr>
      </w:pPr>
      <w:r w:rsidRPr="007D0F2F">
        <w:rPr>
          <w:rFonts w:ascii="Palatino Linotype" w:hAnsi="Palatino Linotype" w:cs="Arial"/>
          <w:color w:val="000000" w:themeColor="text1"/>
        </w:rPr>
        <w:t>Ahora bien, es de recordar que el</w:t>
      </w:r>
      <w:r w:rsidR="002E32F8" w:rsidRPr="007D0F2F">
        <w:rPr>
          <w:rFonts w:ascii="Palatino Linotype" w:hAnsi="Palatino Linotype" w:cs="Arial"/>
          <w:color w:val="000000" w:themeColor="text1"/>
        </w:rPr>
        <w:t xml:space="preserve"> </w:t>
      </w:r>
      <w:r w:rsidRPr="007D0F2F">
        <w:rPr>
          <w:rFonts w:ascii="Palatino Linotype" w:hAnsi="Palatino Linotype" w:cs="Arial"/>
          <w:b/>
          <w:color w:val="000000" w:themeColor="text1"/>
        </w:rPr>
        <w:t>SUJETO OBLIGADO</w:t>
      </w:r>
      <w:r w:rsidR="002E32F8" w:rsidRPr="007D0F2F">
        <w:rPr>
          <w:rFonts w:ascii="Palatino Linotype" w:hAnsi="Palatino Linotype" w:cs="Arial"/>
          <w:color w:val="000000" w:themeColor="text1"/>
        </w:rPr>
        <w:t xml:space="preserve">, </w:t>
      </w:r>
      <w:r w:rsidRPr="007D0F2F">
        <w:rPr>
          <w:rFonts w:ascii="Palatino Linotype" w:hAnsi="Palatino Linotype" w:cs="Arial"/>
          <w:color w:val="000000" w:themeColor="text1"/>
        </w:rPr>
        <w:t>fue omiso en emitir un pronunciamiento a el rubro en comento; luego entonces se dejó de cumplir el procedimiento de a</w:t>
      </w:r>
      <w:r w:rsidR="00B0090F" w:rsidRPr="007D0F2F">
        <w:rPr>
          <w:rFonts w:ascii="Palatino Linotype" w:hAnsi="Palatino Linotype" w:cs="Arial"/>
          <w:color w:val="000000" w:themeColor="text1"/>
        </w:rPr>
        <w:t xml:space="preserve">cceso a la información; debiendo para </w:t>
      </w:r>
      <w:r w:rsidRPr="007D0F2F">
        <w:rPr>
          <w:rFonts w:ascii="Palatino Linotype" w:hAnsi="Palatino Linotype" w:cs="Arial"/>
          <w:color w:val="000000" w:themeColor="text1"/>
        </w:rPr>
        <w:t xml:space="preserve">tal efecto,  </w:t>
      </w:r>
      <w:r w:rsidR="00B0090F" w:rsidRPr="007D0F2F">
        <w:rPr>
          <w:rFonts w:ascii="Palatino Linotype" w:hAnsi="Palatino Linotype" w:cs="Arial"/>
          <w:color w:val="000000" w:themeColor="text1"/>
        </w:rPr>
        <w:t xml:space="preserve">turnar a las </w:t>
      </w:r>
      <w:r w:rsidR="002E32F8" w:rsidRPr="007D0F2F">
        <w:rPr>
          <w:rFonts w:ascii="Palatino Linotype" w:hAnsi="Palatino Linotype" w:cs="Arial"/>
          <w:color w:val="000000" w:themeColor="text1"/>
        </w:rPr>
        <w:t xml:space="preserve">diversas Unidades Administrativas y cada área </w:t>
      </w:r>
      <w:r w:rsidR="00B0090F" w:rsidRPr="007D0F2F">
        <w:rPr>
          <w:rFonts w:ascii="Palatino Linotype" w:hAnsi="Palatino Linotype" w:cs="Arial"/>
          <w:color w:val="000000" w:themeColor="text1"/>
        </w:rPr>
        <w:t xml:space="preserve">competente que </w:t>
      </w:r>
      <w:r w:rsidR="002E32F8" w:rsidRPr="007D0F2F">
        <w:rPr>
          <w:rFonts w:ascii="Palatino Linotype" w:hAnsi="Palatino Linotype" w:cs="Arial"/>
          <w:color w:val="000000" w:themeColor="text1"/>
        </w:rPr>
        <w:t xml:space="preserve">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w:t>
      </w:r>
      <w:r w:rsidR="002E32F8" w:rsidRPr="007D0F2F">
        <w:rPr>
          <w:rFonts w:ascii="Palatino Linotype" w:hAnsi="Palatino Linotype" w:cs="Arial"/>
          <w:color w:val="000000" w:themeColor="text1"/>
        </w:rPr>
        <w:lastRenderedPageBreak/>
        <w:t>los Sujetos Obligados, lo anterior de conformidad con los artículos 3 fracción XXXIX, 58 y 59,  de la Ley en la materia, que estipulan lo siguiente:</w:t>
      </w:r>
    </w:p>
    <w:p w14:paraId="0420D3CF"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b/>
          <w:i/>
          <w:color w:val="000000" w:themeColor="text1"/>
        </w:rPr>
        <w:t>Artículo 3.</w:t>
      </w:r>
      <w:r w:rsidRPr="007D0F2F">
        <w:rPr>
          <w:rFonts w:ascii="Palatino Linotype" w:hAnsi="Palatino Linotype" w:cs="Arial"/>
          <w:i/>
          <w:color w:val="000000" w:themeColor="text1"/>
        </w:rPr>
        <w:t xml:space="preserve"> Para los efectos de la presente Ley se entenderá por:</w:t>
      </w:r>
    </w:p>
    <w:p w14:paraId="7A6A4C57"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i/>
          <w:color w:val="000000" w:themeColor="text1"/>
        </w:rPr>
        <w:t>(…)</w:t>
      </w:r>
    </w:p>
    <w:p w14:paraId="5AFFA2E2"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b/>
          <w:i/>
          <w:color w:val="000000" w:themeColor="text1"/>
        </w:rPr>
        <w:t xml:space="preserve">XXXIX. Servidor público habilitado: </w:t>
      </w:r>
      <w:r w:rsidRPr="007D0F2F">
        <w:rPr>
          <w:rFonts w:ascii="Palatino Linotype" w:hAnsi="Palatino Linotype" w:cs="Arial"/>
          <w:i/>
          <w:color w:val="000000" w:themeColor="text1"/>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C18ACEB"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i/>
          <w:color w:val="000000" w:themeColor="text1"/>
        </w:rPr>
        <w:t>(…)</w:t>
      </w:r>
    </w:p>
    <w:p w14:paraId="79AE6DAA"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b/>
          <w:i/>
          <w:color w:val="000000" w:themeColor="text1"/>
        </w:rPr>
        <w:t>Artículo 58.</w:t>
      </w:r>
      <w:r w:rsidRPr="007D0F2F">
        <w:rPr>
          <w:rFonts w:ascii="Palatino Linotype" w:hAnsi="Palatino Linotype" w:cs="Arial"/>
          <w:i/>
          <w:color w:val="000000" w:themeColor="text1"/>
        </w:rPr>
        <w:t xml:space="preserve"> Los servidores públicos habilitados serán designados por el titular del sujeto obligado a propuesta del responsable de la Unidad de Transparencia.</w:t>
      </w:r>
    </w:p>
    <w:p w14:paraId="4DA02661"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b/>
          <w:i/>
          <w:color w:val="000000" w:themeColor="text1"/>
        </w:rPr>
        <w:t>Artículo 59.</w:t>
      </w:r>
      <w:r w:rsidRPr="007D0F2F">
        <w:rPr>
          <w:rFonts w:ascii="Palatino Linotype" w:hAnsi="Palatino Linotype" w:cs="Arial"/>
          <w:i/>
          <w:color w:val="000000" w:themeColor="text1"/>
        </w:rPr>
        <w:t xml:space="preserve"> </w:t>
      </w:r>
      <w:r w:rsidRPr="007D0F2F">
        <w:rPr>
          <w:rFonts w:ascii="Palatino Linotype" w:hAnsi="Palatino Linotype" w:cs="Arial"/>
          <w:b/>
          <w:i/>
          <w:color w:val="000000" w:themeColor="text1"/>
          <w:u w:val="single"/>
        </w:rPr>
        <w:t>Los servidores públicos habilitados</w:t>
      </w:r>
      <w:r w:rsidRPr="007D0F2F">
        <w:rPr>
          <w:rFonts w:ascii="Palatino Linotype" w:hAnsi="Palatino Linotype" w:cs="Arial"/>
          <w:i/>
          <w:color w:val="000000" w:themeColor="text1"/>
        </w:rPr>
        <w:t xml:space="preserve"> tendrán las funciones siguientes:</w:t>
      </w:r>
    </w:p>
    <w:p w14:paraId="13ED282A"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i/>
          <w:color w:val="000000" w:themeColor="text1"/>
        </w:rPr>
        <w:t xml:space="preserve">I. </w:t>
      </w:r>
      <w:r w:rsidRPr="007D0F2F">
        <w:rPr>
          <w:rFonts w:ascii="Palatino Linotype" w:hAnsi="Palatino Linotype" w:cs="Arial"/>
          <w:b/>
          <w:i/>
          <w:color w:val="000000" w:themeColor="text1"/>
          <w:u w:val="single"/>
        </w:rPr>
        <w:t>Localizar la información que le solicite la Unidad de Transparencia</w:t>
      </w:r>
      <w:r w:rsidRPr="007D0F2F">
        <w:rPr>
          <w:rFonts w:ascii="Palatino Linotype" w:hAnsi="Palatino Linotype" w:cs="Arial"/>
          <w:i/>
          <w:color w:val="000000" w:themeColor="text1"/>
        </w:rPr>
        <w:t>;</w:t>
      </w:r>
    </w:p>
    <w:p w14:paraId="0C2A8D55"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p>
    <w:p w14:paraId="577CA096"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i/>
          <w:color w:val="000000" w:themeColor="text1"/>
        </w:rPr>
        <w:t xml:space="preserve">II. </w:t>
      </w:r>
      <w:r w:rsidRPr="007D0F2F">
        <w:rPr>
          <w:rFonts w:ascii="Palatino Linotype" w:hAnsi="Palatino Linotype" w:cs="Arial"/>
          <w:b/>
          <w:i/>
          <w:color w:val="000000" w:themeColor="text1"/>
          <w:u w:val="single"/>
        </w:rPr>
        <w:t>Proporcionar la información que obre en los archivos y que le sea solicitada por la Unidad de Transparencia</w:t>
      </w:r>
      <w:r w:rsidRPr="007D0F2F">
        <w:rPr>
          <w:rFonts w:ascii="Palatino Linotype" w:hAnsi="Palatino Linotype" w:cs="Arial"/>
          <w:i/>
          <w:color w:val="000000" w:themeColor="text1"/>
        </w:rPr>
        <w:t>;</w:t>
      </w:r>
    </w:p>
    <w:p w14:paraId="632988DC"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p>
    <w:p w14:paraId="4B744F1D"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i/>
          <w:color w:val="000000" w:themeColor="text1"/>
        </w:rPr>
        <w:t>III. Apoyar a la Unidad de Transparencia en lo que esta le solicite para el cumplimiento de sus funciones;</w:t>
      </w:r>
    </w:p>
    <w:p w14:paraId="480BFAA7"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p>
    <w:p w14:paraId="0E9BC0D2"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i/>
          <w:color w:val="000000" w:themeColor="text1"/>
        </w:rPr>
        <w:t>IV. Proporcionar a la Unidad de Transparencia, las modificaciones a la información pública de oficio que obre en su poder;</w:t>
      </w:r>
    </w:p>
    <w:p w14:paraId="4064B010"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i/>
          <w:color w:val="000000" w:themeColor="text1"/>
        </w:rPr>
        <w:lastRenderedPageBreak/>
        <w:t>V. Integrar y presentar al responsable de la Unidad de Transparencia la propuesta de clasificación de información, la cual tendrá los fundamentos y argumentos en que se basa dicha propuesta;</w:t>
      </w:r>
    </w:p>
    <w:p w14:paraId="71C31EDD"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p>
    <w:p w14:paraId="6584084F"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i/>
          <w:color w:val="000000" w:themeColor="text1"/>
        </w:rPr>
        <w:t>VI. Verificar, una vez analizado el contenido de la información, que no se encuentre en los supuestos de información clasificada; y</w:t>
      </w:r>
    </w:p>
    <w:p w14:paraId="153F9AA4"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p>
    <w:p w14:paraId="441C342F" w14:textId="77777777" w:rsidR="002E32F8" w:rsidRPr="007D0F2F" w:rsidRDefault="002E32F8" w:rsidP="00CC2284">
      <w:pPr>
        <w:autoSpaceDE w:val="0"/>
        <w:autoSpaceDN w:val="0"/>
        <w:adjustRightInd w:val="0"/>
        <w:spacing w:line="360" w:lineRule="auto"/>
        <w:jc w:val="both"/>
        <w:rPr>
          <w:rFonts w:ascii="Palatino Linotype" w:hAnsi="Palatino Linotype" w:cs="Arial"/>
          <w:i/>
          <w:color w:val="000000" w:themeColor="text1"/>
        </w:rPr>
      </w:pPr>
      <w:r w:rsidRPr="007D0F2F">
        <w:rPr>
          <w:rFonts w:ascii="Palatino Linotype" w:hAnsi="Palatino Linotype" w:cs="Arial"/>
          <w:i/>
          <w:color w:val="000000" w:themeColor="text1"/>
        </w:rPr>
        <w:t>VII. Dar cuenta a la Unidad de Transparencia del vencimiento de los plazos de reserva.</w:t>
      </w:r>
    </w:p>
    <w:p w14:paraId="090AC82B" w14:textId="77777777" w:rsidR="002E32F8" w:rsidRPr="007D0F2F" w:rsidRDefault="002E32F8" w:rsidP="00CC2284">
      <w:pPr>
        <w:spacing w:line="360" w:lineRule="auto"/>
        <w:jc w:val="both"/>
        <w:rPr>
          <w:rFonts w:ascii="Palatino Linotype" w:hAnsi="Palatino Linotype"/>
          <w:color w:val="000000" w:themeColor="text1"/>
          <w:lang w:eastAsia="es-MX"/>
        </w:rPr>
      </w:pPr>
    </w:p>
    <w:p w14:paraId="7DADCBF8" w14:textId="77777777" w:rsidR="002E32F8" w:rsidRPr="007D0F2F" w:rsidRDefault="002E32F8" w:rsidP="00CC2284">
      <w:pPr>
        <w:numPr>
          <w:ilvl w:val="0"/>
          <w:numId w:val="1"/>
        </w:numPr>
        <w:spacing w:line="360" w:lineRule="auto"/>
        <w:ind w:left="0" w:firstLine="0"/>
        <w:contextualSpacing/>
        <w:jc w:val="both"/>
        <w:rPr>
          <w:rFonts w:ascii="Palatino Linotype" w:hAnsi="Palatino Linotype"/>
          <w:color w:val="000000" w:themeColor="text1"/>
          <w:lang w:eastAsia="es-MX"/>
        </w:rPr>
      </w:pPr>
      <w:r w:rsidRPr="007D0F2F">
        <w:rPr>
          <w:rFonts w:ascii="Palatino Linotype" w:hAnsi="Palatino Linotype"/>
          <w:color w:val="000000" w:themeColor="text1"/>
          <w:lang w:eastAsia="es-MX"/>
        </w:rPr>
        <w:t xml:space="preserve">En otras palabras, no cumplió con lo que para tal efecto dispone el artículo 162, de la </w:t>
      </w:r>
      <w:r w:rsidRPr="007D0F2F">
        <w:rPr>
          <w:rFonts w:ascii="Palatino Linotype" w:hAnsi="Palatino Linotype" w:cs="Arial"/>
          <w:color w:val="000000" w:themeColor="text1"/>
        </w:rPr>
        <w:t>Ley</w:t>
      </w:r>
      <w:r w:rsidRPr="007D0F2F">
        <w:rPr>
          <w:rFonts w:ascii="Palatino Linotype" w:hAnsi="Palatino Linotype"/>
          <w:color w:val="000000" w:themeColor="text1"/>
          <w:lang w:eastAsia="es-MX"/>
        </w:rPr>
        <w:t xml:space="preserve"> de Transparencia y Acceso a la Información Pública del Estado de México y Municipios, que índica:</w:t>
      </w:r>
    </w:p>
    <w:p w14:paraId="18F2F1EC" w14:textId="77777777" w:rsidR="002E32F8" w:rsidRPr="007D0F2F" w:rsidRDefault="002E32F8" w:rsidP="00CC2284">
      <w:pPr>
        <w:spacing w:line="360" w:lineRule="auto"/>
        <w:jc w:val="both"/>
        <w:rPr>
          <w:rFonts w:ascii="Palatino Linotype" w:hAnsi="Palatino Linotype"/>
          <w:i/>
          <w:color w:val="000000" w:themeColor="text1"/>
          <w:lang w:eastAsia="es-MX"/>
        </w:rPr>
      </w:pPr>
      <w:r w:rsidRPr="007D0F2F">
        <w:rPr>
          <w:rFonts w:ascii="Palatino Linotype" w:hAnsi="Palatino Linotype"/>
          <w:i/>
          <w:color w:val="000000" w:themeColor="text1"/>
          <w:lang w:eastAsia="es-MX"/>
        </w:rPr>
        <w:t>“</w:t>
      </w:r>
      <w:r w:rsidRPr="007D0F2F">
        <w:rPr>
          <w:rFonts w:ascii="Palatino Linotype" w:hAnsi="Palatino Linotype"/>
          <w:b/>
          <w:bCs/>
          <w:i/>
          <w:color w:val="000000" w:themeColor="text1"/>
          <w:lang w:eastAsia="es-MX"/>
        </w:rPr>
        <w:t xml:space="preserve">Artículo 162. </w:t>
      </w:r>
      <w:r w:rsidRPr="007D0F2F">
        <w:rPr>
          <w:rFonts w:ascii="Palatino Linotype" w:hAnsi="Palatino Linotype"/>
          <w:i/>
          <w:color w:val="000000" w:themeColor="text1"/>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D0F2F">
        <w:rPr>
          <w:rFonts w:ascii="Palatino Linotype" w:hAnsi="Palatino Linotype"/>
          <w:i/>
          <w:color w:val="000000" w:themeColor="text1"/>
          <w:lang w:eastAsia="es-MX"/>
        </w:rPr>
        <w:t>”</w:t>
      </w:r>
    </w:p>
    <w:p w14:paraId="3B379A77" w14:textId="77777777" w:rsidR="002E32F8" w:rsidRPr="007D0F2F" w:rsidRDefault="002E32F8" w:rsidP="00CC2284">
      <w:pPr>
        <w:pStyle w:val="Prrafodelista"/>
        <w:tabs>
          <w:tab w:val="left" w:pos="284"/>
          <w:tab w:val="left" w:pos="426"/>
        </w:tabs>
        <w:spacing w:line="360" w:lineRule="auto"/>
        <w:ind w:left="0"/>
        <w:jc w:val="both"/>
        <w:rPr>
          <w:rFonts w:ascii="Palatino Linotype" w:hAnsi="Palatino Linotype" w:cs="Arial"/>
          <w:color w:val="000000" w:themeColor="text1"/>
        </w:rPr>
      </w:pPr>
    </w:p>
    <w:p w14:paraId="7668C552" w14:textId="1BEC6653" w:rsidR="00482083" w:rsidRPr="007D0F2F" w:rsidRDefault="002E32F8" w:rsidP="00CC2284">
      <w:pPr>
        <w:numPr>
          <w:ilvl w:val="0"/>
          <w:numId w:val="1"/>
        </w:numPr>
        <w:spacing w:line="360" w:lineRule="auto"/>
        <w:ind w:left="0" w:firstLine="0"/>
        <w:contextualSpacing/>
        <w:jc w:val="both"/>
        <w:rPr>
          <w:rFonts w:ascii="Palatino Linotype" w:hAnsi="Palatino Linotype"/>
          <w:color w:val="000000" w:themeColor="text1"/>
        </w:rPr>
      </w:pPr>
      <w:r w:rsidRPr="007D0F2F">
        <w:rPr>
          <w:rFonts w:ascii="Palatino Linotype" w:hAnsi="Palatino Linotype" w:cs="Arial"/>
          <w:color w:val="000000" w:themeColor="text1"/>
        </w:rPr>
        <w:t xml:space="preserve">En ese tenor, de los documentos solicitados, que se enunciaron anteriormente y que en el presente asunto resultan idóneos para colmar la solicitud del particular, por cuanto hace a los que establece la Ley del Trabajo de los Servidores Públicos del Estado y Municipios, es de señalar que derivado de la </w:t>
      </w:r>
      <w:r w:rsidRPr="007D0F2F">
        <w:rPr>
          <w:rFonts w:ascii="Palatino Linotype" w:hAnsi="Palatino Linotype" w:cs="Arial"/>
          <w:b/>
          <w:color w:val="000000" w:themeColor="text1"/>
          <w:u w:val="single"/>
        </w:rPr>
        <w:t>integración de los expedientes laborales, los cuales si bien corresponden a personal adscrito al área de Seguridad Pública, solo se solicitó de mando medios y superiores (Titular y subdirectores), no así de personal operativo.</w:t>
      </w:r>
    </w:p>
    <w:p w14:paraId="6E48D30A" w14:textId="32F4E801" w:rsidR="00B0090F" w:rsidRPr="007D0F2F" w:rsidRDefault="00B0090F" w:rsidP="00CC2284">
      <w:pPr>
        <w:numPr>
          <w:ilvl w:val="0"/>
          <w:numId w:val="1"/>
        </w:numPr>
        <w:spacing w:line="360" w:lineRule="auto"/>
        <w:ind w:left="0" w:firstLine="0"/>
        <w:contextualSpacing/>
        <w:jc w:val="both"/>
        <w:rPr>
          <w:rFonts w:ascii="Palatino Linotype" w:hAnsi="Palatino Linotype"/>
          <w:color w:val="000000" w:themeColor="text1"/>
        </w:rPr>
      </w:pPr>
      <w:r w:rsidRPr="007D0F2F">
        <w:rPr>
          <w:rFonts w:ascii="Palatino Linotype" w:hAnsi="Palatino Linotype"/>
          <w:color w:val="000000" w:themeColor="text1"/>
        </w:rPr>
        <w:lastRenderedPageBreak/>
        <w:t>En el entendido que por “subdirectores” se entenderá aquellos titulares de las direcciones que integran la estructura orgánica del área de referencia, en atención a la suplencia de la queja anteriormente invocada. Ello en razón que de la estructura orgánica de la Dirección General de Seguridad y Protección, no se advierten en estricto sentido “subdirecciones”, como se desprende del Manual de Organización  Dirección General de Seguridad y Protección, a saber:</w:t>
      </w:r>
    </w:p>
    <w:p w14:paraId="51A4952A" w14:textId="77777777" w:rsidR="00B0090F" w:rsidRPr="00CC2284" w:rsidRDefault="00B0090F" w:rsidP="00CC2284">
      <w:pPr>
        <w:pStyle w:val="Prrafodelista"/>
        <w:ind w:left="0"/>
        <w:rPr>
          <w:rFonts w:ascii="Palatino Linotype" w:hAnsi="Palatino Linotype"/>
          <w:color w:val="000000" w:themeColor="text1"/>
        </w:rPr>
      </w:pPr>
    </w:p>
    <w:p w14:paraId="15FACD59" w14:textId="5EE91C6D" w:rsidR="00B0090F" w:rsidRPr="00CC2284" w:rsidRDefault="00B0090F" w:rsidP="00CC2284">
      <w:pPr>
        <w:spacing w:line="360" w:lineRule="auto"/>
        <w:contextualSpacing/>
        <w:jc w:val="center"/>
        <w:rPr>
          <w:rFonts w:ascii="Palatino Linotype" w:hAnsi="Palatino Linotype"/>
          <w:color w:val="000000" w:themeColor="text1"/>
        </w:rPr>
      </w:pPr>
      <w:r w:rsidRPr="00CC2284">
        <w:rPr>
          <w:rFonts w:ascii="Palatino Linotype" w:hAnsi="Palatino Linotype"/>
          <w:noProof/>
          <w:color w:val="000000" w:themeColor="text1"/>
          <w:lang w:val="es-MX" w:eastAsia="es-MX"/>
        </w:rPr>
        <w:lastRenderedPageBreak/>
        <w:drawing>
          <wp:inline distT="0" distB="0" distL="0" distR="0" wp14:anchorId="2FF4749D" wp14:editId="77304613">
            <wp:extent cx="4203662" cy="6339840"/>
            <wp:effectExtent l="0" t="0" r="698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1766" cy="6352062"/>
                    </a:xfrm>
                    <a:prstGeom prst="rect">
                      <a:avLst/>
                    </a:prstGeom>
                  </pic:spPr>
                </pic:pic>
              </a:graphicData>
            </a:graphic>
          </wp:inline>
        </w:drawing>
      </w:r>
    </w:p>
    <w:p w14:paraId="092D0314" w14:textId="2702EA9F" w:rsidR="00B0090F" w:rsidRPr="00CC2284" w:rsidRDefault="00B0090F" w:rsidP="00CC2284">
      <w:pPr>
        <w:spacing w:line="360" w:lineRule="auto"/>
        <w:contextualSpacing/>
        <w:jc w:val="center"/>
        <w:rPr>
          <w:rFonts w:ascii="Palatino Linotype" w:hAnsi="Palatino Linotype"/>
          <w:color w:val="000000" w:themeColor="text1"/>
        </w:rPr>
      </w:pPr>
      <w:r w:rsidRPr="00CC2284">
        <w:rPr>
          <w:rFonts w:ascii="Palatino Linotype" w:hAnsi="Palatino Linotype"/>
          <w:noProof/>
          <w:color w:val="000000" w:themeColor="text1"/>
          <w:lang w:val="es-MX" w:eastAsia="es-MX"/>
        </w:rPr>
        <w:lastRenderedPageBreak/>
        <w:drawing>
          <wp:inline distT="0" distB="0" distL="0" distR="0" wp14:anchorId="35EFA2DD" wp14:editId="1663183C">
            <wp:extent cx="3905250" cy="888939"/>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37574" cy="896297"/>
                    </a:xfrm>
                    <a:prstGeom prst="rect">
                      <a:avLst/>
                    </a:prstGeom>
                  </pic:spPr>
                </pic:pic>
              </a:graphicData>
            </a:graphic>
          </wp:inline>
        </w:drawing>
      </w:r>
    </w:p>
    <w:p w14:paraId="7AD51260" w14:textId="77777777" w:rsidR="00B0090F" w:rsidRPr="00CC2284" w:rsidRDefault="00B0090F" w:rsidP="00CC2284">
      <w:pPr>
        <w:pStyle w:val="Prrafodelista"/>
        <w:ind w:left="0"/>
        <w:rPr>
          <w:rFonts w:ascii="Palatino Linotype" w:hAnsi="Palatino Linotype"/>
          <w:color w:val="000000" w:themeColor="text1"/>
        </w:rPr>
      </w:pPr>
    </w:p>
    <w:p w14:paraId="2B624612" w14:textId="70802968" w:rsidR="006C0D60" w:rsidRPr="007D0F2F" w:rsidRDefault="00824CD2" w:rsidP="00CC2284">
      <w:pPr>
        <w:numPr>
          <w:ilvl w:val="0"/>
          <w:numId w:val="1"/>
        </w:numPr>
        <w:spacing w:line="360" w:lineRule="auto"/>
        <w:ind w:left="0" w:firstLine="0"/>
        <w:contextualSpacing/>
        <w:jc w:val="both"/>
        <w:rPr>
          <w:rFonts w:ascii="Palatino Linotype" w:hAnsi="Palatino Linotype"/>
          <w:color w:val="000000" w:themeColor="text1"/>
        </w:rPr>
      </w:pPr>
      <w:r w:rsidRPr="007D0F2F">
        <w:rPr>
          <w:rFonts w:ascii="Palatino Linotype" w:hAnsi="Palatino Linotype"/>
          <w:color w:val="000000" w:themeColor="text1"/>
        </w:rPr>
        <w:t xml:space="preserve">Luego entonces se asumirá como subdirectores aquellos titulares de las direcciones; diversos del titular de la Dirección General de Seguridad y Protección. </w:t>
      </w:r>
      <w:r w:rsidR="006C0D60" w:rsidRPr="007D0F2F">
        <w:rPr>
          <w:rFonts w:ascii="Palatino Linotype" w:hAnsi="Palatino Linotype"/>
          <w:color w:val="000000" w:themeColor="text1"/>
        </w:rPr>
        <w:t xml:space="preserve">Con la determinación anterior, se tendrá por colmado el derecho de acceso a la información del ahora </w:t>
      </w:r>
      <w:r w:rsidR="006C0D60" w:rsidRPr="007D0F2F">
        <w:rPr>
          <w:rFonts w:ascii="Palatino Linotype" w:hAnsi="Palatino Linotype"/>
          <w:b/>
          <w:color w:val="000000" w:themeColor="text1"/>
        </w:rPr>
        <w:t>RECURRENTE</w:t>
      </w:r>
      <w:r w:rsidR="006C0D60" w:rsidRPr="007D0F2F">
        <w:rPr>
          <w:rFonts w:ascii="Palatino Linotype" w:hAnsi="Palatino Linotype"/>
          <w:color w:val="000000" w:themeColor="text1"/>
        </w:rPr>
        <w:t xml:space="preserve">; toda vez </w:t>
      </w:r>
      <w:r w:rsidR="006C0D60" w:rsidRPr="007D0F2F">
        <w:rPr>
          <w:rFonts w:ascii="Palatino Linotype" w:eastAsia="Times New Roman" w:hAnsi="Palatino Linotype" w:cs="Arial"/>
          <w:color w:val="000000" w:themeColor="text1"/>
        </w:rPr>
        <w:t xml:space="preserve">que </w:t>
      </w:r>
      <w:r w:rsidR="006C0D60" w:rsidRPr="007D0F2F">
        <w:rPr>
          <w:rFonts w:ascii="Palatino Linotype" w:hAnsi="Palatino Linotype"/>
          <w:color w:val="000000" w:themeColor="text1"/>
        </w:rPr>
        <w:t xml:space="preserve">el Derecho que tutela este Órgano Garante </w:t>
      </w:r>
      <w:r w:rsidR="006C0D60" w:rsidRPr="007D0F2F">
        <w:rPr>
          <w:rFonts w:ascii="Palatino Linotype" w:hAnsi="Palatino Linotype" w:cs="Arial"/>
          <w:color w:val="000000" w:themeColor="text1"/>
        </w:rPr>
        <w:t>corresponde</w:t>
      </w:r>
      <w:r w:rsidR="006C0D60" w:rsidRPr="007D0F2F">
        <w:rPr>
          <w:rFonts w:ascii="Palatino Linotype" w:hAnsi="Palatino Linotype"/>
          <w:color w:val="000000" w:themeColor="text1"/>
        </w:rPr>
        <w:t xml:space="preserve"> a la </w:t>
      </w:r>
      <w:r w:rsidR="006C0D60" w:rsidRPr="007D0F2F">
        <w:rPr>
          <w:rFonts w:ascii="Palatino Linotype" w:eastAsia="Times New Roman" w:hAnsi="Palatino Linotype" w:cs="Arial"/>
          <w:color w:val="000000" w:themeColor="text1"/>
        </w:rPr>
        <w:t xml:space="preserve"> </w:t>
      </w:r>
      <w:r w:rsidR="006C0D60" w:rsidRPr="007D0F2F">
        <w:rPr>
          <w:rFonts w:ascii="Palatino Linotype" w:eastAsia="MS Mincho" w:hAnsi="Palatino Linotype" w:cs="Times New Roman"/>
          <w:i/>
          <w:color w:val="000000" w:themeColor="text1"/>
        </w:rPr>
        <w:t>igualdad de oportunidades para recibir, buscar e impartir información</w:t>
      </w:r>
      <w:r w:rsidR="006C0D60" w:rsidRPr="007D0F2F">
        <w:rPr>
          <w:rStyle w:val="Refdenotaalpie"/>
          <w:rFonts w:ascii="Palatino Linotype" w:eastAsia="MS Mincho" w:hAnsi="Palatino Linotype"/>
          <w:i/>
          <w:color w:val="000000" w:themeColor="text1"/>
        </w:rPr>
        <w:footnoteReference w:id="3"/>
      </w:r>
      <w:r w:rsidR="006C0D60" w:rsidRPr="007D0F2F">
        <w:rPr>
          <w:rFonts w:ascii="Palatino Linotype" w:eastAsia="MS Mincho" w:hAnsi="Palatino Linotype" w:cs="Times New Roman"/>
          <w:i/>
          <w:color w:val="000000" w:themeColor="text1"/>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6C0D60" w:rsidRPr="007D0F2F">
        <w:rPr>
          <w:rStyle w:val="Refdenotaalpie"/>
          <w:rFonts w:ascii="Palatino Linotype" w:eastAsia="MS Mincho" w:hAnsi="Palatino Linotype"/>
          <w:color w:val="000000" w:themeColor="text1"/>
        </w:rPr>
        <w:footnoteReference w:id="4"/>
      </w:r>
      <w:r w:rsidR="006C0D60" w:rsidRPr="007D0F2F">
        <w:rPr>
          <w:rFonts w:ascii="Palatino Linotype" w:eastAsia="MS Mincho" w:hAnsi="Palatino Linotype" w:cs="Times New Roman"/>
          <w:i/>
          <w:color w:val="000000" w:themeColor="text1"/>
        </w:rPr>
        <w:t xml:space="preserve"> </w:t>
      </w:r>
      <w:r w:rsidR="006C0D60" w:rsidRPr="007D0F2F">
        <w:rPr>
          <w:rFonts w:ascii="Palatino Linotype" w:eastAsia="MS Mincho" w:hAnsi="Palatino Linotype" w:cs="Times New Roman"/>
          <w:color w:val="000000" w:themeColor="text1"/>
        </w:rPr>
        <w:t xml:space="preserve">que se constituye como una herramienta fundamental para </w:t>
      </w:r>
      <w:r w:rsidR="006C0D60" w:rsidRPr="007D0F2F">
        <w:rPr>
          <w:rFonts w:ascii="Palatino Linotype" w:eastAsia="MS Mincho" w:hAnsi="Palatino Linotype" w:cs="Times New Roman"/>
          <w:i/>
          <w:color w:val="000000" w:themeColor="text1"/>
        </w:rPr>
        <w:t>ejercer control democrático de las gestiones estatales, de forma tal que puedan cuestionar, indagar y considerar si se está dando un adecuado cumplimiento de las funciones públicas,</w:t>
      </w:r>
      <w:r w:rsidR="006C0D60" w:rsidRPr="007D0F2F">
        <w:rPr>
          <w:rStyle w:val="Refdenotaalpie"/>
          <w:rFonts w:ascii="Palatino Linotype" w:eastAsia="MS Mincho" w:hAnsi="Palatino Linotype"/>
          <w:i/>
          <w:color w:val="000000" w:themeColor="text1"/>
        </w:rPr>
        <w:footnoteReference w:id="5"/>
      </w:r>
      <w:r w:rsidR="006C0D60" w:rsidRPr="007D0F2F">
        <w:rPr>
          <w:rFonts w:ascii="Palatino Linotype" w:eastAsia="MS Mincho" w:hAnsi="Palatino Linotype" w:cs="Times New Roman"/>
          <w:color w:val="000000" w:themeColor="text1"/>
        </w:rPr>
        <w:t>fomentando</w:t>
      </w:r>
      <w:r w:rsidR="006C0D60" w:rsidRPr="007D0F2F">
        <w:rPr>
          <w:rFonts w:ascii="Palatino Linotype" w:eastAsia="MS Mincho" w:hAnsi="Palatino Linotype" w:cs="Times New Roman"/>
          <w:i/>
          <w:color w:val="000000" w:themeColor="text1"/>
        </w:rPr>
        <w:t xml:space="preserve"> la transparencia de las actividades estatales y</w:t>
      </w:r>
      <w:r w:rsidR="006C0D60" w:rsidRPr="007D0F2F">
        <w:rPr>
          <w:rFonts w:ascii="Palatino Linotype" w:eastAsia="MS Mincho" w:hAnsi="Palatino Linotype" w:cs="Times New Roman"/>
          <w:color w:val="000000" w:themeColor="text1"/>
        </w:rPr>
        <w:t xml:space="preserve"> promoviendo</w:t>
      </w:r>
      <w:r w:rsidR="006C0D60" w:rsidRPr="007D0F2F">
        <w:rPr>
          <w:rFonts w:ascii="Palatino Linotype" w:eastAsia="MS Mincho" w:hAnsi="Palatino Linotype" w:cs="Times New Roman"/>
          <w:i/>
          <w:color w:val="000000" w:themeColor="text1"/>
        </w:rPr>
        <w:t xml:space="preserve"> la responsabilidad de los funcionarios sobre su gestión pública</w:t>
      </w:r>
      <w:r w:rsidR="006C0D60" w:rsidRPr="007D0F2F">
        <w:rPr>
          <w:rStyle w:val="Refdenotaalpie"/>
          <w:rFonts w:ascii="Palatino Linotype" w:eastAsia="MS Mincho" w:hAnsi="Palatino Linotype"/>
          <w:i/>
          <w:color w:val="000000" w:themeColor="text1"/>
        </w:rPr>
        <w:footnoteReference w:id="6"/>
      </w:r>
      <w:r w:rsidR="006C0D60" w:rsidRPr="007D0F2F">
        <w:rPr>
          <w:rFonts w:ascii="Palatino Linotype" w:eastAsia="MS Mincho" w:hAnsi="Palatino Linotype" w:cs="Times New Roman"/>
          <w:i/>
          <w:color w:val="000000" w:themeColor="text1"/>
        </w:rPr>
        <w:t xml:space="preserve"> </w:t>
      </w:r>
      <w:r w:rsidR="006C0D60" w:rsidRPr="007D0F2F">
        <w:rPr>
          <w:rFonts w:ascii="Palatino Linotype" w:eastAsia="MS Mincho" w:hAnsi="Palatino Linotype" w:cs="Times New Roman"/>
          <w:color w:val="000000" w:themeColor="text1"/>
        </w:rPr>
        <w:t>que permite</w:t>
      </w:r>
      <w:r w:rsidR="006C0D60" w:rsidRPr="007D0F2F">
        <w:rPr>
          <w:rFonts w:ascii="Palatino Linotype" w:eastAsia="MS Mincho" w:hAnsi="Palatino Linotype" w:cs="Times New Roman"/>
          <w:i/>
          <w:color w:val="000000" w:themeColor="text1"/>
        </w:rPr>
        <w:t xml:space="preserve"> saber qué están haciendo los gobiernos por sus pueblos, sin lo cual la verdad languidecería y la participación en el gobierno permanecería fragmentada.</w:t>
      </w:r>
      <w:r w:rsidR="006C0D60" w:rsidRPr="007D0F2F">
        <w:rPr>
          <w:rStyle w:val="Refdenotaalpie"/>
          <w:rFonts w:ascii="Palatino Linotype" w:eastAsia="MS Mincho" w:hAnsi="Palatino Linotype"/>
          <w:i/>
          <w:color w:val="000000" w:themeColor="text1"/>
        </w:rPr>
        <w:footnoteReference w:id="7"/>
      </w:r>
      <w:r w:rsidR="006C0D60" w:rsidRPr="007D0F2F">
        <w:rPr>
          <w:rFonts w:ascii="Palatino Linotype" w:eastAsia="MS Mincho" w:hAnsi="Palatino Linotype" w:cs="Times New Roman"/>
          <w:color w:val="000000" w:themeColor="text1"/>
        </w:rPr>
        <w:t xml:space="preserve"> ” </w:t>
      </w:r>
    </w:p>
    <w:p w14:paraId="130D5332" w14:textId="77777777" w:rsidR="006C0D60" w:rsidRPr="00CC2284" w:rsidRDefault="006C0D60" w:rsidP="00CC2284">
      <w:pPr>
        <w:numPr>
          <w:ilvl w:val="0"/>
          <w:numId w:val="1"/>
        </w:numPr>
        <w:spacing w:line="360" w:lineRule="auto"/>
        <w:ind w:left="0" w:firstLine="0"/>
        <w:contextualSpacing/>
        <w:jc w:val="both"/>
        <w:rPr>
          <w:rFonts w:ascii="Palatino Linotype" w:hAnsi="Palatino Linotype"/>
          <w:color w:val="000000" w:themeColor="text1"/>
          <w:lang w:val="es-ES"/>
        </w:rPr>
      </w:pPr>
      <w:r w:rsidRPr="00CC2284">
        <w:rPr>
          <w:rFonts w:ascii="Palatino Linotype" w:hAnsi="Palatino Linotype"/>
          <w:color w:val="000000" w:themeColor="text1"/>
          <w:lang w:val="es-ES"/>
        </w:rPr>
        <w:lastRenderedPageBreak/>
        <w:t xml:space="preserve">Es así </w:t>
      </w:r>
      <w:r w:rsidRPr="00CC2284">
        <w:rPr>
          <w:rFonts w:ascii="Palatino Linotype" w:hAnsi="Palatino Linotype"/>
          <w:color w:val="000000" w:themeColor="text1"/>
        </w:rPr>
        <w:t>que</w:t>
      </w:r>
      <w:r w:rsidRPr="00CC2284">
        <w:rPr>
          <w:rFonts w:ascii="Palatino Linotype" w:hAnsi="Palatino Linotype"/>
          <w:color w:val="000000" w:themeColor="text1"/>
          <w:lang w:val="es-ES"/>
        </w:rPr>
        <w:t xml:space="preserve">, todos los actos de autoridad que realicen los Sujetos Obligados </w:t>
      </w:r>
      <w:r w:rsidRPr="00CC2284">
        <w:rPr>
          <w:rFonts w:ascii="Palatino Linotype" w:hAnsi="Palatino Linotype"/>
          <w:b/>
          <w:color w:val="000000" w:themeColor="text1"/>
          <w:lang w:val="es-ES"/>
        </w:rPr>
        <w:t>deben estar documentados</w:t>
      </w:r>
      <w:r w:rsidRPr="00CC2284">
        <w:rPr>
          <w:rFonts w:ascii="Palatino Linotype" w:hAnsi="Palatino Linotype"/>
          <w:color w:val="000000" w:themeColor="text1"/>
          <w:lang w:val="es-ES"/>
        </w:rPr>
        <w:t xml:space="preserve"> y, bajo el más alto estándar de transparencia deberán poner toda la información que se encuentre en su posesión, a disposición de los particulares que la soliciten.</w:t>
      </w:r>
    </w:p>
    <w:p w14:paraId="013D508D" w14:textId="77777777" w:rsidR="006C0D60" w:rsidRPr="00CC2284" w:rsidRDefault="006C0D60" w:rsidP="00CC2284">
      <w:pPr>
        <w:pStyle w:val="Prrafodelista"/>
        <w:spacing w:line="360" w:lineRule="auto"/>
        <w:ind w:left="0"/>
        <w:jc w:val="both"/>
        <w:rPr>
          <w:rFonts w:ascii="Palatino Linotype" w:hAnsi="Palatino Linotype"/>
          <w:color w:val="000000" w:themeColor="text1"/>
          <w:lang w:val="es-ES"/>
        </w:rPr>
      </w:pPr>
    </w:p>
    <w:p w14:paraId="2847EB38" w14:textId="77777777" w:rsidR="006C0D60" w:rsidRPr="00CC2284" w:rsidRDefault="006C0D60" w:rsidP="00CC2284">
      <w:pPr>
        <w:numPr>
          <w:ilvl w:val="0"/>
          <w:numId w:val="1"/>
        </w:numPr>
        <w:spacing w:line="360" w:lineRule="auto"/>
        <w:ind w:left="0" w:firstLine="0"/>
        <w:contextualSpacing/>
        <w:jc w:val="both"/>
        <w:rPr>
          <w:rFonts w:ascii="Palatino Linotype" w:hAnsi="Palatino Linotype" w:cs="Arial"/>
          <w:color w:val="000000" w:themeColor="text1"/>
        </w:rPr>
      </w:pPr>
      <w:r w:rsidRPr="00CC2284">
        <w:rPr>
          <w:rFonts w:ascii="Palatino Linotype" w:eastAsia="Times New Roman" w:hAnsi="Palatino Linotype" w:cs="Arial"/>
          <w:color w:val="000000" w:themeColor="text1"/>
        </w:rPr>
        <w:t xml:space="preserve">Además, debemos tomar en cuenta los artículos 4 y 12 (antes transcrito), de la Ley de Transparencia y Acceso a la Información Pública del Estado de México y </w:t>
      </w:r>
      <w:r w:rsidRPr="00CC2284">
        <w:rPr>
          <w:rFonts w:ascii="Palatino Linotype" w:hAnsi="Palatino Linotype"/>
          <w:color w:val="000000" w:themeColor="text1"/>
          <w:lang w:val="es-ES"/>
        </w:rPr>
        <w:t>Municipios</w:t>
      </w:r>
      <w:r w:rsidRPr="00CC2284">
        <w:rPr>
          <w:rFonts w:ascii="Palatino Linotype" w:eastAsia="Times New Roman" w:hAnsi="Palatino Linotype" w:cs="Arial"/>
          <w:color w:val="000000" w:themeColor="text1"/>
        </w:rPr>
        <w:t>, los cuales establecen lo siguiente:</w:t>
      </w:r>
    </w:p>
    <w:p w14:paraId="249A4C68" w14:textId="77777777" w:rsidR="006C0D60" w:rsidRPr="00CC2284" w:rsidRDefault="006C0D60" w:rsidP="00CC2284">
      <w:pPr>
        <w:autoSpaceDE w:val="0"/>
        <w:autoSpaceDN w:val="0"/>
        <w:adjustRightInd w:val="0"/>
        <w:spacing w:line="360" w:lineRule="auto"/>
        <w:jc w:val="both"/>
        <w:rPr>
          <w:rFonts w:ascii="Palatino Linotype" w:hAnsi="Palatino Linotype" w:cs="Bookman Old Style"/>
          <w:i/>
          <w:color w:val="000000" w:themeColor="text1"/>
        </w:rPr>
      </w:pPr>
      <w:r w:rsidRPr="00CC2284">
        <w:rPr>
          <w:rFonts w:ascii="Palatino Linotype" w:hAnsi="Palatino Linotype" w:cs="Bookman Old Style,Bold"/>
          <w:b/>
          <w:bCs/>
          <w:i/>
          <w:color w:val="000000" w:themeColor="text1"/>
        </w:rPr>
        <w:t xml:space="preserve">Artículo 4. </w:t>
      </w:r>
      <w:r w:rsidRPr="00CC2284">
        <w:rPr>
          <w:rFonts w:ascii="Palatino Linotype" w:hAnsi="Palatino Linotype" w:cs="Bookman Old Styl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4E7208D9" w14:textId="77777777" w:rsidR="006C0D60" w:rsidRPr="00CC2284" w:rsidRDefault="006C0D60" w:rsidP="00CC2284">
      <w:pPr>
        <w:autoSpaceDE w:val="0"/>
        <w:autoSpaceDN w:val="0"/>
        <w:adjustRightInd w:val="0"/>
        <w:spacing w:line="360" w:lineRule="auto"/>
        <w:jc w:val="both"/>
        <w:rPr>
          <w:rFonts w:ascii="Palatino Linotype" w:hAnsi="Palatino Linotype" w:cs="Bookman Old Style"/>
          <w:i/>
          <w:color w:val="000000" w:themeColor="text1"/>
        </w:rPr>
      </w:pPr>
      <w:r w:rsidRPr="00CC2284">
        <w:rPr>
          <w:rFonts w:ascii="Palatino Linotype" w:hAnsi="Palatino Linotype" w:cs="Bookman Old Style"/>
          <w:b/>
          <w:i/>
          <w:color w:val="000000" w:themeColor="text1"/>
        </w:rPr>
        <w:t>Toda la información</w:t>
      </w:r>
      <w:r w:rsidRPr="00CC2284">
        <w:rPr>
          <w:rFonts w:ascii="Palatino Linotype" w:hAnsi="Palatino Linotype" w:cs="Bookman Old Style"/>
          <w:i/>
          <w:color w:val="000000" w:themeColor="text1"/>
        </w:rPr>
        <w:t xml:space="preserve"> generada, obtenida, adquirida, transformada, administrada o </w:t>
      </w:r>
      <w:r w:rsidRPr="00CC2284">
        <w:rPr>
          <w:rFonts w:ascii="Palatino Linotype" w:hAnsi="Palatino Linotype" w:cs="Bookman Old Style"/>
          <w:b/>
          <w:i/>
          <w:color w:val="000000" w:themeColor="text1"/>
        </w:rPr>
        <w:t>en posesión de los sujetos obligados es pública</w:t>
      </w:r>
      <w:r w:rsidRPr="00CC2284">
        <w:rPr>
          <w:rFonts w:ascii="Palatino Linotype" w:hAnsi="Palatino Linotype" w:cs="Bookman Old Styl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CA4939" w14:textId="77777777" w:rsidR="006C0D60" w:rsidRDefault="006C0D60" w:rsidP="00CC2284">
      <w:pPr>
        <w:autoSpaceDE w:val="0"/>
        <w:autoSpaceDN w:val="0"/>
        <w:adjustRightInd w:val="0"/>
        <w:spacing w:line="360" w:lineRule="auto"/>
        <w:jc w:val="both"/>
        <w:rPr>
          <w:rFonts w:ascii="Palatino Linotype" w:hAnsi="Palatino Linotype" w:cs="Bookman Old Style"/>
          <w:i/>
          <w:color w:val="000000" w:themeColor="text1"/>
        </w:rPr>
      </w:pPr>
      <w:r w:rsidRPr="00CC2284">
        <w:rPr>
          <w:rFonts w:ascii="Palatino Linotype" w:hAnsi="Palatino Linotype" w:cs="Bookman Old Styl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EAF6CE9" w14:textId="77777777" w:rsidR="00140617" w:rsidRPr="00CC2284" w:rsidRDefault="00140617" w:rsidP="00CC2284">
      <w:pPr>
        <w:autoSpaceDE w:val="0"/>
        <w:autoSpaceDN w:val="0"/>
        <w:adjustRightInd w:val="0"/>
        <w:spacing w:line="360" w:lineRule="auto"/>
        <w:jc w:val="both"/>
        <w:rPr>
          <w:rFonts w:ascii="Palatino Linotype" w:hAnsi="Palatino Linotype" w:cs="Bookman Old Style"/>
          <w:i/>
          <w:color w:val="000000" w:themeColor="text1"/>
        </w:rPr>
      </w:pPr>
    </w:p>
    <w:p w14:paraId="05811635" w14:textId="77777777" w:rsidR="006C0D60" w:rsidRPr="00CC2284" w:rsidRDefault="006C0D60" w:rsidP="00CC2284">
      <w:pPr>
        <w:numPr>
          <w:ilvl w:val="0"/>
          <w:numId w:val="1"/>
        </w:numPr>
        <w:spacing w:line="360" w:lineRule="auto"/>
        <w:ind w:left="0" w:firstLine="0"/>
        <w:contextualSpacing/>
        <w:jc w:val="both"/>
        <w:rPr>
          <w:rFonts w:ascii="Palatino Linotype" w:hAnsi="Palatino Linotype"/>
          <w:color w:val="000000" w:themeColor="text1"/>
          <w:lang w:val="es-ES"/>
        </w:rPr>
      </w:pPr>
      <w:r w:rsidRPr="00CC2284">
        <w:rPr>
          <w:rFonts w:ascii="Palatino Linotype" w:hAnsi="Palatino Linotype"/>
          <w:color w:val="000000" w:themeColor="text1"/>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C2284">
        <w:rPr>
          <w:rStyle w:val="Refdenotaalpie"/>
          <w:rFonts w:ascii="Palatino Linotype" w:hAnsi="Palatino Linotype"/>
          <w:color w:val="000000" w:themeColor="text1"/>
          <w:lang w:val="es-ES"/>
        </w:rPr>
        <w:footnoteReference w:id="8"/>
      </w:r>
      <w:r w:rsidRPr="00CC2284">
        <w:rPr>
          <w:rFonts w:ascii="Palatino Linotype" w:hAnsi="Palatino Linotype"/>
          <w:color w:val="000000" w:themeColor="text1"/>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C01D767" w14:textId="77777777" w:rsidR="000209D9" w:rsidRPr="00CC2284" w:rsidRDefault="000209D9" w:rsidP="00CC2284">
      <w:pPr>
        <w:spacing w:line="360" w:lineRule="auto"/>
        <w:contextualSpacing/>
        <w:jc w:val="both"/>
        <w:rPr>
          <w:rFonts w:ascii="Palatino Linotype" w:hAnsi="Palatino Linotype"/>
          <w:color w:val="000000" w:themeColor="text1"/>
          <w:lang w:val="es-ES"/>
        </w:rPr>
      </w:pPr>
    </w:p>
    <w:p w14:paraId="0BC6AF8A" w14:textId="77777777" w:rsidR="006C0D60" w:rsidRPr="00CC2284" w:rsidRDefault="006C0D60" w:rsidP="00CC2284">
      <w:pPr>
        <w:numPr>
          <w:ilvl w:val="0"/>
          <w:numId w:val="1"/>
        </w:numPr>
        <w:spacing w:line="360" w:lineRule="auto"/>
        <w:ind w:left="0" w:firstLine="0"/>
        <w:contextualSpacing/>
        <w:jc w:val="both"/>
        <w:rPr>
          <w:rFonts w:ascii="Palatino Linotype" w:hAnsi="Palatino Linotype"/>
          <w:color w:val="000000" w:themeColor="text1"/>
          <w:lang w:val="es-ES"/>
        </w:rPr>
      </w:pPr>
      <w:r w:rsidRPr="00CC2284">
        <w:rPr>
          <w:rFonts w:ascii="Palatino Linotype" w:hAnsi="Palatino Linotype"/>
          <w:color w:val="000000" w:themeColor="text1"/>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048FEF2" w14:textId="75790B6B" w:rsidR="006C0D60" w:rsidRPr="00CC2284" w:rsidRDefault="00346D45" w:rsidP="00CC2284">
      <w:pPr>
        <w:pStyle w:val="Prrafodelista"/>
        <w:tabs>
          <w:tab w:val="left" w:pos="851"/>
        </w:tabs>
        <w:spacing w:line="360" w:lineRule="auto"/>
        <w:ind w:left="0"/>
        <w:jc w:val="both"/>
        <w:rPr>
          <w:rFonts w:ascii="Palatino Linotype" w:hAnsi="Palatino Linotype"/>
          <w:i/>
          <w:color w:val="000000" w:themeColor="text1"/>
        </w:rPr>
      </w:pPr>
      <w:r w:rsidRPr="00CC2284">
        <w:rPr>
          <w:rFonts w:ascii="Palatino Linotype" w:hAnsi="Palatino Linotype"/>
          <w:b/>
          <w:i/>
          <w:color w:val="000000" w:themeColor="text1"/>
        </w:rPr>
        <w:t>“</w:t>
      </w:r>
      <w:r w:rsidR="006C0D60" w:rsidRPr="00CC2284">
        <w:rPr>
          <w:rFonts w:ascii="Palatino Linotype" w:hAnsi="Palatino Linotype"/>
          <w:b/>
          <w:i/>
          <w:color w:val="000000" w:themeColor="text1"/>
        </w:rPr>
        <w:t>ACCESO A LA INFORMACIÓN. IMPLICACIÓN DEL PRINCIPIO DE MÁXIMA PUBLICIDAD EN EL DERECHO FUNDAMENTAL RELATIVO.</w:t>
      </w:r>
      <w:r w:rsidR="006C0D60" w:rsidRPr="00CC2284">
        <w:rPr>
          <w:rFonts w:ascii="Palatino Linotype" w:hAnsi="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w:t>
      </w:r>
      <w:r w:rsidR="006C0D60" w:rsidRPr="00CC2284">
        <w:rPr>
          <w:rFonts w:ascii="Palatino Linotype" w:hAnsi="Palatino Linotype"/>
          <w:i/>
          <w:color w:val="000000" w:themeColor="text1"/>
        </w:rPr>
        <w:lastRenderedPageBreak/>
        <w:t>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CCD47C" w14:textId="79D24A5E" w:rsidR="00CB7F04" w:rsidRPr="00CC2284" w:rsidRDefault="00CB7F04" w:rsidP="00CC2284">
      <w:pPr>
        <w:spacing w:line="360" w:lineRule="auto"/>
        <w:rPr>
          <w:rFonts w:ascii="Palatino Linotype" w:eastAsia="Palatino Linotype" w:hAnsi="Palatino Linotype" w:cs="Palatino Linotype"/>
          <w:color w:val="000000" w:themeColor="text1"/>
        </w:rPr>
      </w:pPr>
    </w:p>
    <w:p w14:paraId="0B42BDC5" w14:textId="77777777" w:rsidR="004326FA" w:rsidRPr="00CC2284" w:rsidRDefault="004326FA" w:rsidP="00CC2284">
      <w:pPr>
        <w:spacing w:line="360" w:lineRule="auto"/>
        <w:jc w:val="both"/>
        <w:rPr>
          <w:rFonts w:ascii="Palatino Linotype" w:eastAsia="Palatino Linotype" w:hAnsi="Palatino Linotype" w:cs="Palatino Linotype"/>
          <w:b/>
          <w:color w:val="000000" w:themeColor="text1"/>
        </w:rPr>
      </w:pPr>
      <w:r w:rsidRPr="00CC2284">
        <w:rPr>
          <w:rFonts w:ascii="Palatino Linotype" w:eastAsia="Palatino Linotype" w:hAnsi="Palatino Linotype" w:cs="Palatino Linotype"/>
          <w:b/>
          <w:color w:val="000000" w:themeColor="text1"/>
        </w:rPr>
        <w:t>QUINTO. De la versión pública.</w:t>
      </w:r>
    </w:p>
    <w:p w14:paraId="5FECB918" w14:textId="236A8557" w:rsidR="004326FA" w:rsidRPr="00CC2284" w:rsidRDefault="004326FA" w:rsidP="00CC228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Finalmente, debe señalarse que </w:t>
      </w:r>
      <w:r w:rsidR="005913B5" w:rsidRPr="00CC2284">
        <w:rPr>
          <w:rFonts w:ascii="Palatino Linotype" w:eastAsia="Palatino Linotype" w:hAnsi="Palatino Linotype" w:cs="Palatino Linotype"/>
          <w:color w:val="000000" w:themeColor="text1"/>
        </w:rPr>
        <w:t xml:space="preserve">lo ordenado </w:t>
      </w:r>
      <w:r w:rsidR="005913B5" w:rsidRPr="00CC2284">
        <w:rPr>
          <w:rFonts w:ascii="Palatino Linotype" w:eastAsia="Palatino Linotype" w:hAnsi="Palatino Linotype" w:cs="Palatino Linotype"/>
          <w:color w:val="000000" w:themeColor="text1"/>
          <w:u w:val="single"/>
        </w:rPr>
        <w:t>eventualmente</w:t>
      </w:r>
      <w:r w:rsidR="005913B5" w:rsidRPr="00CC2284">
        <w:rPr>
          <w:rFonts w:ascii="Palatino Linotype" w:eastAsia="Palatino Linotype" w:hAnsi="Palatino Linotype" w:cs="Palatino Linotype"/>
          <w:color w:val="000000" w:themeColor="text1"/>
        </w:rPr>
        <w:t xml:space="preserve"> pudiera contener datos personales</w:t>
      </w:r>
      <w:r w:rsidRPr="00CC2284">
        <w:rPr>
          <w:rFonts w:ascii="Palatino Linotype" w:eastAsia="Palatino Linotype" w:hAnsi="Palatino Linotype" w:cs="Palatino Linotype"/>
          <w:color w:val="000000" w:themeColor="text1"/>
        </w:rPr>
        <w:t xml:space="preserve">, por lo que </w:t>
      </w:r>
      <w:r w:rsidR="005913B5" w:rsidRPr="00CC2284">
        <w:rPr>
          <w:rFonts w:ascii="Palatino Linotype" w:eastAsia="Palatino Linotype" w:hAnsi="Palatino Linotype" w:cs="Palatino Linotype"/>
          <w:color w:val="000000" w:themeColor="text1"/>
        </w:rPr>
        <w:t xml:space="preserve">de ser el caso, </w:t>
      </w:r>
      <w:r w:rsidRPr="00CC2284">
        <w:rPr>
          <w:rFonts w:ascii="Palatino Linotype" w:eastAsia="Palatino Linotype" w:hAnsi="Palatino Linotype" w:cs="Palatino Linotype"/>
          <w:color w:val="000000" w:themeColor="text1"/>
        </w:rPr>
        <w:t xml:space="preserve">sujeto obligado, para dar cumplimiento a la presente </w:t>
      </w:r>
      <w:r w:rsidR="00D7305D" w:rsidRPr="00CC2284">
        <w:rPr>
          <w:rFonts w:ascii="Palatino Linotype" w:eastAsia="Palatino Linotype" w:hAnsi="Palatino Linotype" w:cs="Palatino Linotype"/>
          <w:color w:val="000000" w:themeColor="text1"/>
        </w:rPr>
        <w:t>R</w:t>
      </w:r>
      <w:r w:rsidRPr="00CC2284">
        <w:rPr>
          <w:rFonts w:ascii="Palatino Linotype" w:eastAsia="Palatino Linotype" w:hAnsi="Palatino Linotype" w:cs="Palatino Linotype"/>
          <w:color w:val="000000" w:themeColor="text1"/>
        </w:rPr>
        <w:t xml:space="preserve">esolución, deberá </w:t>
      </w:r>
      <w:r w:rsidR="00D7305D" w:rsidRPr="00CC2284">
        <w:rPr>
          <w:rFonts w:ascii="Palatino Linotype" w:eastAsia="Palatino Linotype" w:hAnsi="Palatino Linotype" w:cs="Palatino Linotype"/>
          <w:color w:val="000000" w:themeColor="text1"/>
        </w:rPr>
        <w:t>proceder a</w:t>
      </w:r>
      <w:r w:rsidRPr="00CC2284">
        <w:rPr>
          <w:rFonts w:ascii="Palatino Linotype" w:eastAsia="Palatino Linotype" w:hAnsi="Palatino Linotype" w:cs="Palatino Linotype"/>
          <w:color w:val="000000" w:themeColor="text1"/>
        </w:rPr>
        <w:t xml:space="preserve"> la elaboración de la versión pública de tales documentos a fin de satisfacer el derecho de acceso a la información pública del recurrente sin menoscabo al derecho a la protección de los datos personales de terceros.</w:t>
      </w:r>
    </w:p>
    <w:p w14:paraId="0D4E7656" w14:textId="77777777" w:rsidR="00462BEE" w:rsidRPr="00CC2284" w:rsidRDefault="00462BEE" w:rsidP="00CC2284">
      <w:pPr>
        <w:pStyle w:val="Prrafodelista"/>
        <w:spacing w:line="360" w:lineRule="auto"/>
        <w:ind w:left="0"/>
        <w:jc w:val="both"/>
        <w:rPr>
          <w:rFonts w:ascii="Palatino Linotype" w:eastAsia="Palatino Linotype" w:hAnsi="Palatino Linotype" w:cs="Palatino Linotype"/>
          <w:color w:val="000000" w:themeColor="text1"/>
        </w:rPr>
      </w:pPr>
    </w:p>
    <w:p w14:paraId="00CCC458" w14:textId="77777777" w:rsidR="004326FA" w:rsidRPr="00CC2284" w:rsidRDefault="004326FA" w:rsidP="00CC228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4A951ECA"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lastRenderedPageBreak/>
        <w:t>“</w:t>
      </w:r>
      <w:r w:rsidRPr="00CC2284">
        <w:rPr>
          <w:rFonts w:ascii="Palatino Linotype" w:eastAsia="Palatino Linotype" w:hAnsi="Palatino Linotype" w:cs="Palatino Linotype"/>
          <w:b/>
          <w:i/>
          <w:color w:val="000000" w:themeColor="text1"/>
        </w:rPr>
        <w:t>Artículo 3</w:t>
      </w:r>
      <w:r w:rsidRPr="00CC2284">
        <w:rPr>
          <w:rFonts w:ascii="Palatino Linotype" w:eastAsia="Palatino Linotype" w:hAnsi="Palatino Linotype" w:cs="Palatino Linotype"/>
          <w:i/>
          <w:color w:val="000000" w:themeColor="text1"/>
        </w:rPr>
        <w:t>. Para los efectos de la presente Ley se entenderá por:</w:t>
      </w:r>
    </w:p>
    <w:p w14:paraId="55CAF56A"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w:t>
      </w:r>
    </w:p>
    <w:p w14:paraId="6635B421"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IX. Datos personales</w:t>
      </w:r>
      <w:r w:rsidRPr="00CC2284">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14:paraId="354C40E9"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XX. Información clasificada</w:t>
      </w:r>
      <w:r w:rsidRPr="00CC2284">
        <w:rPr>
          <w:rFonts w:ascii="Palatino Linotype" w:eastAsia="Palatino Linotype" w:hAnsi="Palatino Linotype" w:cs="Palatino Linotype"/>
          <w:i/>
          <w:color w:val="000000" w:themeColor="text1"/>
        </w:rPr>
        <w:t>: Aquella considerada por la presente Ley como reservada o confidencial;</w:t>
      </w:r>
    </w:p>
    <w:p w14:paraId="49630C33"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 xml:space="preserve">XXI. Información confidencial: </w:t>
      </w:r>
      <w:r w:rsidRPr="00CC2284">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D7ED65"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XLV. Versión pública:</w:t>
      </w:r>
      <w:r w:rsidRPr="00CC2284">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14:paraId="31BB38F9"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w:t>
      </w:r>
    </w:p>
    <w:p w14:paraId="768576E7"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p>
    <w:p w14:paraId="792F82F0"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Artículo 91.</w:t>
      </w:r>
      <w:r w:rsidRPr="00CC2284">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14:paraId="2EBF1751"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p>
    <w:p w14:paraId="73EE4814"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Artículo 132.</w:t>
      </w:r>
      <w:r w:rsidRPr="00CC2284">
        <w:rPr>
          <w:rFonts w:ascii="Palatino Linotype" w:eastAsia="Palatino Linotype" w:hAnsi="Palatino Linotype" w:cs="Palatino Linotype"/>
          <w:i/>
          <w:color w:val="000000" w:themeColor="text1"/>
        </w:rPr>
        <w:t xml:space="preserve"> La clasificación de la información se llevará a cabo en el momento en que:</w:t>
      </w:r>
    </w:p>
    <w:p w14:paraId="17501650"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I</w:t>
      </w:r>
      <w:r w:rsidRPr="00CC2284">
        <w:rPr>
          <w:rFonts w:ascii="Palatino Linotype" w:eastAsia="Palatino Linotype" w:hAnsi="Palatino Linotype" w:cs="Palatino Linotype"/>
          <w:i/>
          <w:color w:val="000000" w:themeColor="text1"/>
        </w:rPr>
        <w:t>. Se reciba una solicitud de acceso a la información;</w:t>
      </w:r>
    </w:p>
    <w:p w14:paraId="7674B607"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II.</w:t>
      </w:r>
      <w:r w:rsidRPr="00CC2284">
        <w:rPr>
          <w:rFonts w:ascii="Palatino Linotype" w:eastAsia="Palatino Linotype" w:hAnsi="Palatino Linotype" w:cs="Palatino Linotype"/>
          <w:i/>
          <w:color w:val="000000" w:themeColor="text1"/>
        </w:rPr>
        <w:t xml:space="preserve"> Se determine mediante resolución de autoridad competente; o</w:t>
      </w:r>
    </w:p>
    <w:p w14:paraId="767828DE"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III.</w:t>
      </w:r>
      <w:r w:rsidRPr="00CC2284">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14:paraId="7AC4D670"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w:t>
      </w:r>
    </w:p>
    <w:p w14:paraId="417427FD"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lastRenderedPageBreak/>
        <w:t>Artículo 143</w:t>
      </w:r>
      <w:r w:rsidRPr="00CC2284">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14:paraId="202EEFA7"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I.</w:t>
      </w:r>
      <w:r w:rsidRPr="00CC2284">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14:paraId="43AC8BDF"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II.</w:t>
      </w:r>
      <w:r w:rsidRPr="00CC2284">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D7EB850"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III.</w:t>
      </w:r>
      <w:r w:rsidRPr="00CC2284">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14:paraId="1171A7C9"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14:paraId="503E91E0"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14:paraId="1DCEF59F" w14:textId="77777777" w:rsidR="000D0A0A" w:rsidRPr="00CC2284" w:rsidRDefault="000D0A0A" w:rsidP="00CC2284">
      <w:pPr>
        <w:spacing w:line="360" w:lineRule="auto"/>
        <w:jc w:val="both"/>
        <w:rPr>
          <w:rFonts w:ascii="Palatino Linotype" w:eastAsia="Palatino Linotype" w:hAnsi="Palatino Linotype" w:cs="Palatino Linotype"/>
          <w:i/>
          <w:color w:val="000000" w:themeColor="text1"/>
        </w:rPr>
      </w:pPr>
    </w:p>
    <w:p w14:paraId="411D5AD9" w14:textId="77777777" w:rsidR="004326FA" w:rsidRPr="00CC2284" w:rsidRDefault="004326FA" w:rsidP="00CC228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43106BA" w14:textId="77777777" w:rsidR="00D7305D" w:rsidRPr="00CC2284" w:rsidRDefault="00D7305D" w:rsidP="00CC2284">
      <w:pPr>
        <w:pStyle w:val="Prrafodelista"/>
        <w:spacing w:line="360" w:lineRule="auto"/>
        <w:ind w:left="0"/>
        <w:jc w:val="both"/>
        <w:rPr>
          <w:rFonts w:ascii="Palatino Linotype" w:eastAsia="Palatino Linotype" w:hAnsi="Palatino Linotype" w:cs="Palatino Linotype"/>
          <w:color w:val="000000" w:themeColor="text1"/>
        </w:rPr>
      </w:pPr>
    </w:p>
    <w:p w14:paraId="2A1BB0C0" w14:textId="77777777" w:rsidR="004326FA" w:rsidRPr="00CC2284" w:rsidRDefault="004326FA" w:rsidP="00CC228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lastRenderedPageBreak/>
        <w:t>Entorno a lo que aquí nos interesa, los Lineamientos Quincuagésimo sexto, Quincuagésimo séptimo y Quincuagésimo octavo, establecen lo siguiente:</w:t>
      </w:r>
    </w:p>
    <w:p w14:paraId="03587E22"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“Quincuagésimo sexto</w:t>
      </w:r>
      <w:r w:rsidRPr="00CC2284">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4FA4D55" w14:textId="77777777" w:rsidR="000D0A0A" w:rsidRPr="00CC2284" w:rsidRDefault="000D0A0A" w:rsidP="00CC2284">
      <w:pPr>
        <w:spacing w:line="360" w:lineRule="auto"/>
        <w:jc w:val="both"/>
        <w:rPr>
          <w:rFonts w:ascii="Palatino Linotype" w:eastAsia="Palatino Linotype" w:hAnsi="Palatino Linotype" w:cs="Palatino Linotype"/>
          <w:i/>
          <w:color w:val="000000" w:themeColor="text1"/>
        </w:rPr>
      </w:pPr>
    </w:p>
    <w:p w14:paraId="74EBA3A8"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Quincuagésimo séptimo</w:t>
      </w:r>
      <w:r w:rsidRPr="00CC2284">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14:paraId="0EF264E9"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I.</w:t>
      </w:r>
      <w:r w:rsidRPr="00CC2284">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14:paraId="0416024F"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II.</w:t>
      </w:r>
      <w:r w:rsidRPr="00CC2284">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14:paraId="5B6344FF"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III.</w:t>
      </w:r>
      <w:r w:rsidRPr="00CC2284">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A5AE29A"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14:paraId="27B1A456" w14:textId="77777777" w:rsidR="000D0A0A" w:rsidRPr="00CC2284" w:rsidRDefault="000D0A0A" w:rsidP="00CC2284">
      <w:pPr>
        <w:spacing w:line="360" w:lineRule="auto"/>
        <w:jc w:val="both"/>
        <w:rPr>
          <w:rFonts w:ascii="Palatino Linotype" w:eastAsia="Palatino Linotype" w:hAnsi="Palatino Linotype" w:cs="Palatino Linotype"/>
          <w:i/>
          <w:color w:val="000000" w:themeColor="text1"/>
        </w:rPr>
      </w:pPr>
    </w:p>
    <w:p w14:paraId="5BB3DA00" w14:textId="77777777" w:rsidR="004326FA" w:rsidRPr="00CC2284" w:rsidRDefault="004326FA" w:rsidP="00CC2284">
      <w:pPr>
        <w:spacing w:line="360" w:lineRule="auto"/>
        <w:jc w:val="both"/>
        <w:rPr>
          <w:rFonts w:ascii="Palatino Linotype" w:eastAsia="Palatino Linotype" w:hAnsi="Palatino Linotype" w:cs="Palatino Linotype"/>
          <w:i/>
          <w:color w:val="000000" w:themeColor="text1"/>
        </w:rPr>
      </w:pPr>
      <w:r w:rsidRPr="00CC2284">
        <w:rPr>
          <w:rFonts w:ascii="Palatino Linotype" w:eastAsia="Palatino Linotype" w:hAnsi="Palatino Linotype" w:cs="Palatino Linotype"/>
          <w:b/>
          <w:i/>
          <w:color w:val="000000" w:themeColor="text1"/>
        </w:rPr>
        <w:t>Quincuagésimo octavo</w:t>
      </w:r>
      <w:r w:rsidRPr="00CC2284">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14:paraId="5AF2537D" w14:textId="77777777" w:rsidR="00824CD2" w:rsidRPr="00CC2284" w:rsidRDefault="00824CD2" w:rsidP="00CC2284">
      <w:pPr>
        <w:spacing w:line="360" w:lineRule="auto"/>
        <w:jc w:val="both"/>
        <w:rPr>
          <w:rFonts w:ascii="Palatino Linotype" w:eastAsia="Palatino Linotype" w:hAnsi="Palatino Linotype" w:cs="Palatino Linotype"/>
          <w:i/>
          <w:color w:val="000000" w:themeColor="text1"/>
        </w:rPr>
      </w:pPr>
    </w:p>
    <w:p w14:paraId="5BA17C80" w14:textId="77777777" w:rsidR="004326FA" w:rsidRPr="00CC2284" w:rsidRDefault="004326FA" w:rsidP="00CC228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lastRenderedPageBreak/>
        <w:t xml:space="preserve">Luego entonces, el </w:t>
      </w:r>
      <w:r w:rsidRPr="00CC2284">
        <w:rPr>
          <w:rFonts w:ascii="Palatino Linotype" w:eastAsia="Palatino Linotype" w:hAnsi="Palatino Linotype" w:cs="Palatino Linotype"/>
          <w:b/>
          <w:color w:val="000000" w:themeColor="text1"/>
        </w:rPr>
        <w:t xml:space="preserve">SUJETOS OBLIGADOS </w:t>
      </w:r>
      <w:r w:rsidRPr="00CC2284">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804"/>
      </w:tblGrid>
      <w:tr w:rsidR="00CC2284" w:rsidRPr="00CC2284" w14:paraId="04D0D55C" w14:textId="77777777" w:rsidTr="00EF7B8A">
        <w:tc>
          <w:tcPr>
            <w:tcW w:w="2689" w:type="dxa"/>
          </w:tcPr>
          <w:p w14:paraId="66FDD9BF" w14:textId="77777777" w:rsidR="004326FA" w:rsidRPr="00CC2284" w:rsidRDefault="004326FA" w:rsidP="00EF7B8A">
            <w:pPr>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a) Requisitos previos.</w:t>
            </w:r>
          </w:p>
        </w:tc>
        <w:tc>
          <w:tcPr>
            <w:tcW w:w="6804" w:type="dxa"/>
          </w:tcPr>
          <w:p w14:paraId="33975A84"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0784388"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30C3A07C"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5BF073FC"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CC2284">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CC2284">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14:paraId="329E7A91" w14:textId="77777777" w:rsidR="004326FA" w:rsidRPr="00CC2284" w:rsidRDefault="004326FA" w:rsidP="00EF7B8A">
            <w:pPr>
              <w:jc w:val="both"/>
              <w:rPr>
                <w:rFonts w:ascii="Palatino Linotype" w:eastAsia="Palatino Linotype" w:hAnsi="Palatino Linotype" w:cs="Palatino Linotype"/>
                <w:color w:val="000000" w:themeColor="text1"/>
              </w:rPr>
            </w:pPr>
          </w:p>
        </w:tc>
      </w:tr>
      <w:tr w:rsidR="00CC2284" w:rsidRPr="00CC2284" w14:paraId="3888E7C4" w14:textId="77777777" w:rsidTr="00EF7B8A">
        <w:tc>
          <w:tcPr>
            <w:tcW w:w="2689" w:type="dxa"/>
          </w:tcPr>
          <w:p w14:paraId="5A95E53D" w14:textId="77777777" w:rsidR="004326FA" w:rsidRPr="00CC2284" w:rsidRDefault="004326FA" w:rsidP="00EF7B8A">
            <w:pPr>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b) Supuestos de clasificación.</w:t>
            </w:r>
          </w:p>
        </w:tc>
        <w:tc>
          <w:tcPr>
            <w:tcW w:w="6804" w:type="dxa"/>
          </w:tcPr>
          <w:p w14:paraId="4388458D"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DE11DBE"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CC2284">
              <w:rPr>
                <w:rFonts w:ascii="Palatino Linotype" w:eastAsia="Palatino Linotype" w:hAnsi="Palatino Linotype" w:cs="Palatino Linotype"/>
                <w:color w:val="000000" w:themeColor="text1"/>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03EF4F7"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El </w:t>
            </w:r>
            <w:r w:rsidRPr="00CC2284">
              <w:rPr>
                <w:rFonts w:ascii="Palatino Linotype" w:eastAsia="Palatino Linotype" w:hAnsi="Palatino Linotype" w:cs="Palatino Linotype"/>
                <w:b/>
                <w:color w:val="000000" w:themeColor="text1"/>
              </w:rPr>
              <w:t>Sujeto Obligado</w:t>
            </w:r>
            <w:r w:rsidRPr="00CC228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A4873A2" w14:textId="77777777" w:rsidR="004326FA" w:rsidRPr="00CC2284" w:rsidRDefault="004326FA" w:rsidP="00EF7B8A">
            <w:pPr>
              <w:jc w:val="both"/>
              <w:rPr>
                <w:rFonts w:ascii="Palatino Linotype" w:eastAsia="Palatino Linotype" w:hAnsi="Palatino Linotype" w:cs="Palatino Linotype"/>
                <w:color w:val="000000" w:themeColor="text1"/>
              </w:rPr>
            </w:pPr>
          </w:p>
        </w:tc>
      </w:tr>
      <w:tr w:rsidR="00CC2284" w:rsidRPr="00CC2284" w14:paraId="5A13D917" w14:textId="77777777" w:rsidTr="00EF7B8A">
        <w:tc>
          <w:tcPr>
            <w:tcW w:w="2689" w:type="dxa"/>
          </w:tcPr>
          <w:p w14:paraId="773022D7" w14:textId="77777777" w:rsidR="004326FA" w:rsidRPr="00CC2284" w:rsidRDefault="004326FA" w:rsidP="00EF7B8A">
            <w:pPr>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lastRenderedPageBreak/>
              <w:t>c) Formalidades para emitir el acuerdo de clasificación.</w:t>
            </w:r>
          </w:p>
        </w:tc>
        <w:tc>
          <w:tcPr>
            <w:tcW w:w="6804" w:type="dxa"/>
          </w:tcPr>
          <w:p w14:paraId="0CB58DBE"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C0B5A69"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Es necesario que </w:t>
            </w:r>
            <w:r w:rsidRPr="00CC2284">
              <w:rPr>
                <w:rFonts w:ascii="Palatino Linotype" w:eastAsia="Palatino Linotype" w:hAnsi="Palatino Linotype" w:cs="Palatino Linotype"/>
                <w:b/>
                <w:color w:val="000000" w:themeColor="text1"/>
                <w:u w:val="single"/>
              </w:rPr>
              <w:t>el acto reúna con los requisitos elementales</w:t>
            </w:r>
            <w:r w:rsidRPr="00CC2284">
              <w:rPr>
                <w:rFonts w:ascii="Palatino Linotype" w:eastAsia="Palatino Linotype" w:hAnsi="Palatino Linotype" w:cs="Palatino Linotype"/>
                <w:color w:val="000000" w:themeColor="text1"/>
              </w:rPr>
              <w:t>, entre ellos, que la autoridad que va a emitir el acto de autoridad sea la legalmente facultada para ello.</w:t>
            </w:r>
          </w:p>
          <w:p w14:paraId="4A984450"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E81868E" w14:textId="77777777" w:rsidR="004326FA" w:rsidRPr="00CC2284" w:rsidRDefault="004326FA" w:rsidP="00EF7B8A">
            <w:pPr>
              <w:jc w:val="both"/>
              <w:rPr>
                <w:rFonts w:ascii="Palatino Linotype" w:eastAsia="Palatino Linotype" w:hAnsi="Palatino Linotype" w:cs="Palatino Linotype"/>
                <w:color w:val="000000" w:themeColor="text1"/>
              </w:rPr>
            </w:pPr>
          </w:p>
        </w:tc>
      </w:tr>
      <w:tr w:rsidR="00CC2284" w:rsidRPr="00CC2284" w14:paraId="1BB13203" w14:textId="77777777" w:rsidTr="00EF7B8A">
        <w:tc>
          <w:tcPr>
            <w:tcW w:w="2689" w:type="dxa"/>
          </w:tcPr>
          <w:p w14:paraId="467C2996" w14:textId="77777777" w:rsidR="004326FA" w:rsidRPr="00CC2284" w:rsidRDefault="004326FA" w:rsidP="00EF7B8A">
            <w:pPr>
              <w:rPr>
                <w:rFonts w:ascii="Palatino Linotype" w:eastAsia="Palatino Linotype" w:hAnsi="Palatino Linotype" w:cs="Palatino Linotype"/>
                <w:color w:val="000000" w:themeColor="text1"/>
              </w:rPr>
            </w:pPr>
          </w:p>
          <w:p w14:paraId="24543E5A"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d) Requisitos de fondo del acuerdo de clasificación. </w:t>
            </w:r>
          </w:p>
        </w:tc>
        <w:tc>
          <w:tcPr>
            <w:tcW w:w="6804" w:type="dxa"/>
          </w:tcPr>
          <w:p w14:paraId="4EE8DAE3"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C2284">
              <w:rPr>
                <w:rFonts w:ascii="Palatino Linotype" w:eastAsia="Palatino Linotype" w:hAnsi="Palatino Linotype" w:cs="Palatino Linotype"/>
                <w:b/>
                <w:color w:val="000000" w:themeColor="text1"/>
              </w:rPr>
              <w:lastRenderedPageBreak/>
              <w:t>Sujetos Obligados</w:t>
            </w:r>
            <w:r w:rsidRPr="00CC2284">
              <w:rPr>
                <w:rFonts w:ascii="Palatino Linotype" w:eastAsia="Palatino Linotype" w:hAnsi="Palatino Linotype" w:cs="Palatino Linotype"/>
                <w:color w:val="000000" w:themeColor="text1"/>
              </w:rPr>
              <w:t xml:space="preserve">, por lo que deberán fundar y motivar debidamente la clasificación. </w:t>
            </w:r>
          </w:p>
          <w:p w14:paraId="56220849"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De lo anterior, se desprende que para una correcta </w:t>
            </w:r>
            <w:r w:rsidRPr="00CC2284">
              <w:rPr>
                <w:rFonts w:ascii="Palatino Linotype" w:eastAsia="Palatino Linotype" w:hAnsi="Palatino Linotype" w:cs="Palatino Linotype"/>
                <w:b/>
                <w:color w:val="000000" w:themeColor="text1"/>
              </w:rPr>
              <w:t>clasificación total o parcial</w:t>
            </w:r>
            <w:r w:rsidRPr="00CC228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2A4BFD8"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560ADD1"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8F8F794"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Ahora bien, </w:t>
            </w:r>
            <w:r w:rsidRPr="00CC2284">
              <w:rPr>
                <w:rFonts w:ascii="Palatino Linotype" w:eastAsia="Palatino Linotype" w:hAnsi="Palatino Linotype" w:cs="Palatino Linotype"/>
                <w:b/>
                <w:color w:val="000000" w:themeColor="text1"/>
                <w:u w:val="single"/>
              </w:rPr>
              <w:t>para cada caso además de fundar y motivar</w:t>
            </w:r>
            <w:r w:rsidRPr="00CC2284">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14:paraId="623EBBA2" w14:textId="77777777" w:rsidR="004326FA" w:rsidRPr="00CC2284" w:rsidRDefault="004326FA" w:rsidP="00EF7B8A">
            <w:pPr>
              <w:jc w:val="both"/>
              <w:rPr>
                <w:rFonts w:ascii="Palatino Linotype" w:eastAsia="Palatino Linotype" w:hAnsi="Palatino Linotype" w:cs="Palatino Linotype"/>
                <w:color w:val="000000" w:themeColor="text1"/>
              </w:rPr>
            </w:pPr>
          </w:p>
        </w:tc>
      </w:tr>
      <w:tr w:rsidR="004326FA" w:rsidRPr="00CC2284" w14:paraId="263E777A" w14:textId="77777777" w:rsidTr="00EF7B8A">
        <w:tc>
          <w:tcPr>
            <w:tcW w:w="2689" w:type="dxa"/>
          </w:tcPr>
          <w:p w14:paraId="77D84FBD"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lastRenderedPageBreak/>
              <w:t xml:space="preserve">e) Condiciones especiales de la clasificación de la </w:t>
            </w:r>
            <w:r w:rsidRPr="00CC2284">
              <w:rPr>
                <w:rFonts w:ascii="Palatino Linotype" w:eastAsia="Palatino Linotype" w:hAnsi="Palatino Linotype" w:cs="Palatino Linotype"/>
                <w:color w:val="000000" w:themeColor="text1"/>
              </w:rPr>
              <w:lastRenderedPageBreak/>
              <w:t xml:space="preserve">información como confidencial. </w:t>
            </w:r>
          </w:p>
        </w:tc>
        <w:tc>
          <w:tcPr>
            <w:tcW w:w="6804" w:type="dxa"/>
          </w:tcPr>
          <w:p w14:paraId="4077FDC5"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w:t>
            </w:r>
          </w:p>
          <w:p w14:paraId="564F4F00" w14:textId="77777777" w:rsidR="004326FA" w:rsidRPr="00CC2284" w:rsidRDefault="004326FA" w:rsidP="00EF7B8A">
            <w:pPr>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B968413" w14:textId="77777777" w:rsidR="004326FA" w:rsidRPr="00CC2284" w:rsidRDefault="004326FA" w:rsidP="00EF7B8A">
            <w:pPr>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185594E9" w14:textId="77777777" w:rsidR="004326FA" w:rsidRPr="00CC2284" w:rsidRDefault="004326FA" w:rsidP="00EF7B8A">
            <w:pPr>
              <w:rPr>
                <w:rFonts w:ascii="Palatino Linotype" w:eastAsia="Palatino Linotype" w:hAnsi="Palatino Linotype" w:cs="Palatino Linotype"/>
                <w:color w:val="000000" w:themeColor="text1"/>
              </w:rPr>
            </w:pPr>
          </w:p>
        </w:tc>
      </w:tr>
    </w:tbl>
    <w:p w14:paraId="7FC55D0D" w14:textId="77777777" w:rsidR="004326FA" w:rsidRPr="00CC2284" w:rsidRDefault="004326FA" w:rsidP="00CC2284">
      <w:pPr>
        <w:pStyle w:val="Prrafodelista"/>
        <w:spacing w:line="360" w:lineRule="auto"/>
        <w:ind w:left="0"/>
        <w:jc w:val="both"/>
        <w:rPr>
          <w:rFonts w:ascii="Palatino Linotype" w:eastAsia="Palatino Linotype" w:hAnsi="Palatino Linotype" w:cs="Palatino Linotype"/>
          <w:color w:val="000000" w:themeColor="text1"/>
        </w:rPr>
      </w:pPr>
    </w:p>
    <w:p w14:paraId="457A4C13" w14:textId="5CD8DB54" w:rsidR="004326FA" w:rsidRPr="00CC2284" w:rsidRDefault="004326FA" w:rsidP="00CC2284">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w:t>
      </w:r>
      <w:r w:rsidR="00D7305D" w:rsidRPr="00CC2284">
        <w:rPr>
          <w:rFonts w:ascii="Palatino Linotype" w:eastAsia="Palatino Linotype" w:hAnsi="Palatino Linotype" w:cs="Palatino Linotype"/>
          <w:color w:val="000000" w:themeColor="text1"/>
        </w:rPr>
        <w:t>;</w:t>
      </w:r>
      <w:r w:rsidRPr="00CC2284">
        <w:rPr>
          <w:rFonts w:ascii="Palatino Linotype" w:eastAsia="Palatino Linotype" w:hAnsi="Palatino Linotype" w:cs="Palatino Linotype"/>
          <w:color w:val="000000" w:themeColor="text1"/>
        </w:rPr>
        <w:t xml:space="preserve"> asimismo que si entrega un documento testado sin el debido acuerdo de clasificación.</w:t>
      </w:r>
    </w:p>
    <w:p w14:paraId="4BE70D0B" w14:textId="77777777" w:rsidR="004326FA" w:rsidRPr="00CC2284" w:rsidRDefault="004326FA" w:rsidP="00CC2284">
      <w:pPr>
        <w:spacing w:line="360" w:lineRule="auto"/>
        <w:contextualSpacing/>
        <w:jc w:val="both"/>
        <w:rPr>
          <w:rFonts w:ascii="Palatino Linotype" w:eastAsia="Palatino Linotype" w:hAnsi="Palatino Linotype" w:cs="Palatino Linotype"/>
          <w:color w:val="000000" w:themeColor="text1"/>
        </w:rPr>
      </w:pPr>
    </w:p>
    <w:p w14:paraId="459F5D52" w14:textId="77777777" w:rsidR="006C0D60" w:rsidRDefault="006C0D60" w:rsidP="00CC2284">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Por lo anteriormente expuesto y fundado, este </w:t>
      </w:r>
      <w:r w:rsidRPr="00CC2284">
        <w:rPr>
          <w:rFonts w:ascii="Palatino Linotype" w:eastAsia="Palatino Linotype" w:hAnsi="Palatino Linotype" w:cs="Palatino Linotype"/>
          <w:b/>
          <w:color w:val="000000" w:themeColor="text1"/>
        </w:rPr>
        <w:t>ÓRGANO GARANTE</w:t>
      </w:r>
      <w:r w:rsidRPr="00CC2284">
        <w:rPr>
          <w:rFonts w:ascii="Palatino Linotype" w:eastAsia="Palatino Linotype" w:hAnsi="Palatino Linotype" w:cs="Palatino Linotype"/>
          <w:color w:val="000000" w:themeColor="text1"/>
        </w:rPr>
        <w:t xml:space="preserve"> emite los siguientes:</w:t>
      </w:r>
    </w:p>
    <w:p w14:paraId="6B48DC8A" w14:textId="77777777" w:rsidR="00EF7B8A" w:rsidRDefault="00EF7B8A" w:rsidP="00EF7B8A">
      <w:pPr>
        <w:pStyle w:val="Prrafodelista"/>
        <w:rPr>
          <w:rFonts w:ascii="Palatino Linotype" w:eastAsia="Palatino Linotype" w:hAnsi="Palatino Linotype" w:cs="Palatino Linotype"/>
          <w:color w:val="000000" w:themeColor="text1"/>
        </w:rPr>
      </w:pPr>
    </w:p>
    <w:p w14:paraId="1E743603" w14:textId="77777777" w:rsidR="00EF7B8A" w:rsidRPr="00CC2284" w:rsidRDefault="00EF7B8A" w:rsidP="00EF7B8A">
      <w:pPr>
        <w:spacing w:line="360" w:lineRule="auto"/>
        <w:contextualSpacing/>
        <w:jc w:val="both"/>
        <w:rPr>
          <w:rFonts w:ascii="Palatino Linotype" w:eastAsia="Palatino Linotype" w:hAnsi="Palatino Linotype" w:cs="Palatino Linotype"/>
          <w:color w:val="000000" w:themeColor="text1"/>
        </w:rPr>
      </w:pPr>
    </w:p>
    <w:p w14:paraId="60BDCB21" w14:textId="7260FF13" w:rsidR="006C0D60" w:rsidRPr="00CC2284" w:rsidRDefault="006C0D60" w:rsidP="00CC228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C2284">
        <w:rPr>
          <w:rFonts w:ascii="Palatino Linotype" w:eastAsia="Palatino Linotype" w:hAnsi="Palatino Linotype" w:cs="Palatino Linotype"/>
          <w:b/>
          <w:color w:val="000000" w:themeColor="text1"/>
        </w:rPr>
        <w:t xml:space="preserve">R E S </w:t>
      </w:r>
      <w:r w:rsidR="00761F40" w:rsidRPr="00CC2284">
        <w:rPr>
          <w:rFonts w:ascii="Palatino Linotype" w:eastAsia="Palatino Linotype" w:hAnsi="Palatino Linotype" w:cs="Palatino Linotype"/>
          <w:b/>
          <w:color w:val="000000" w:themeColor="text1"/>
        </w:rPr>
        <w:t>O L U T I V O S</w:t>
      </w:r>
    </w:p>
    <w:p w14:paraId="7175AAC4" w14:textId="77777777" w:rsidR="000D0A0A" w:rsidRPr="00CC2284" w:rsidRDefault="000D0A0A" w:rsidP="00CC228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1DF37554" w14:textId="6847238E" w:rsidR="006C0D60" w:rsidRPr="00CC2284" w:rsidRDefault="006C0D60"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Times New Roman" w:hAnsi="Palatino Linotype" w:cs="Arial"/>
          <w:b/>
          <w:bCs/>
          <w:color w:val="000000" w:themeColor="text1"/>
        </w:rPr>
        <w:t>PRIMERO</w:t>
      </w:r>
      <w:r w:rsidRPr="00CC2284">
        <w:rPr>
          <w:rFonts w:ascii="Palatino Linotype" w:eastAsia="Times New Roman" w:hAnsi="Palatino Linotype" w:cs="Arial"/>
          <w:color w:val="000000" w:themeColor="text1"/>
        </w:rPr>
        <w:t>. Resultan</w:t>
      </w:r>
      <w:r w:rsidR="007C0820" w:rsidRPr="00CC2284">
        <w:rPr>
          <w:rFonts w:ascii="Palatino Linotype" w:eastAsia="Times New Roman" w:hAnsi="Palatino Linotype" w:cs="Arial"/>
          <w:color w:val="000000" w:themeColor="text1"/>
        </w:rPr>
        <w:t xml:space="preserve"> </w:t>
      </w:r>
      <w:r w:rsidRPr="00CC2284">
        <w:rPr>
          <w:rFonts w:ascii="Palatino Linotype" w:eastAsia="Times New Roman" w:hAnsi="Palatino Linotype" w:cs="Arial"/>
          <w:color w:val="000000" w:themeColor="text1"/>
        </w:rPr>
        <w:t xml:space="preserve">fundadas las </w:t>
      </w:r>
      <w:r w:rsidRPr="00CC2284">
        <w:rPr>
          <w:rFonts w:ascii="Palatino Linotype" w:eastAsia="Times New Roman" w:hAnsi="Palatino Linotype" w:cs="Arial"/>
          <w:color w:val="000000" w:themeColor="text1"/>
          <w:lang w:val="es-ES"/>
        </w:rPr>
        <w:t xml:space="preserve">razones o motivos de inconformidad hechos valer en el Recurso de </w:t>
      </w:r>
      <w:r w:rsidR="00761F40" w:rsidRPr="00CC2284">
        <w:rPr>
          <w:rFonts w:ascii="Palatino Linotype" w:eastAsia="Times New Roman" w:hAnsi="Palatino Linotype" w:cs="Arial"/>
          <w:color w:val="000000" w:themeColor="text1"/>
          <w:lang w:val="es-ES"/>
        </w:rPr>
        <w:t xml:space="preserve">Revisión </w:t>
      </w:r>
      <w:r w:rsidR="00501BA4" w:rsidRPr="00CC2284">
        <w:rPr>
          <w:rFonts w:ascii="Palatino Linotype" w:eastAsia="Times New Roman" w:hAnsi="Palatino Linotype" w:cs="Arial"/>
          <w:b/>
          <w:color w:val="000000" w:themeColor="text1"/>
          <w:lang w:val="es-ES"/>
        </w:rPr>
        <w:t>03828/INFOEM/IP/RR/2025</w:t>
      </w:r>
      <w:r w:rsidRPr="00CC2284">
        <w:rPr>
          <w:rFonts w:ascii="Palatino Linotype" w:eastAsia="Times New Roman" w:hAnsi="Palatino Linotype" w:cs="Arial"/>
          <w:b/>
          <w:color w:val="000000" w:themeColor="text1"/>
          <w:lang w:val="es-ES"/>
        </w:rPr>
        <w:t xml:space="preserve">, </w:t>
      </w:r>
      <w:r w:rsidR="009D7C5B" w:rsidRPr="00CC2284">
        <w:rPr>
          <w:rFonts w:ascii="Palatino Linotype" w:eastAsia="Palatino Linotype" w:hAnsi="Palatino Linotype" w:cs="Palatino Linotype"/>
          <w:color w:val="000000" w:themeColor="text1"/>
        </w:rPr>
        <w:t>en términos de</w:t>
      </w:r>
      <w:r w:rsidR="00F91BC6" w:rsidRPr="00CC2284">
        <w:rPr>
          <w:rFonts w:ascii="Palatino Linotype" w:eastAsia="Palatino Linotype" w:hAnsi="Palatino Linotype" w:cs="Palatino Linotype"/>
          <w:color w:val="000000" w:themeColor="text1"/>
        </w:rPr>
        <w:t xml:space="preserve"> </w:t>
      </w:r>
      <w:r w:rsidRPr="00CC2284">
        <w:rPr>
          <w:rFonts w:ascii="Palatino Linotype" w:eastAsia="Palatino Linotype" w:hAnsi="Palatino Linotype" w:cs="Palatino Linotype"/>
          <w:color w:val="000000" w:themeColor="text1"/>
        </w:rPr>
        <w:t>l</w:t>
      </w:r>
      <w:r w:rsidR="00F91BC6" w:rsidRPr="00CC2284">
        <w:rPr>
          <w:rFonts w:ascii="Palatino Linotype" w:eastAsia="Palatino Linotype" w:hAnsi="Palatino Linotype" w:cs="Palatino Linotype"/>
          <w:color w:val="000000" w:themeColor="text1"/>
        </w:rPr>
        <w:t>os</w:t>
      </w:r>
      <w:r w:rsidRPr="00CC2284">
        <w:rPr>
          <w:rFonts w:ascii="Palatino Linotype" w:eastAsia="Palatino Linotype" w:hAnsi="Palatino Linotype" w:cs="Palatino Linotype"/>
          <w:color w:val="000000" w:themeColor="text1"/>
        </w:rPr>
        <w:t xml:space="preserve"> </w:t>
      </w:r>
      <w:r w:rsidR="009D7C5B" w:rsidRPr="00CC2284">
        <w:rPr>
          <w:rFonts w:ascii="Palatino Linotype" w:eastAsia="Palatino Linotype" w:hAnsi="Palatino Linotype" w:cs="Palatino Linotype"/>
          <w:b/>
          <w:color w:val="000000" w:themeColor="text1"/>
        </w:rPr>
        <w:t>Considerando</w:t>
      </w:r>
      <w:r w:rsidR="00F91BC6" w:rsidRPr="00CC2284">
        <w:rPr>
          <w:rFonts w:ascii="Palatino Linotype" w:eastAsia="Palatino Linotype" w:hAnsi="Palatino Linotype" w:cs="Palatino Linotype"/>
          <w:b/>
          <w:color w:val="000000" w:themeColor="text1"/>
        </w:rPr>
        <w:t>s</w:t>
      </w:r>
      <w:r w:rsidRPr="00CC2284">
        <w:rPr>
          <w:rFonts w:ascii="Palatino Linotype" w:eastAsia="Palatino Linotype" w:hAnsi="Palatino Linotype" w:cs="Palatino Linotype"/>
          <w:color w:val="000000" w:themeColor="text1"/>
        </w:rPr>
        <w:t xml:space="preserve"> </w:t>
      </w:r>
      <w:r w:rsidRPr="00CC2284">
        <w:rPr>
          <w:rFonts w:ascii="Palatino Linotype" w:eastAsia="Palatino Linotype" w:hAnsi="Palatino Linotype" w:cs="Palatino Linotype"/>
          <w:b/>
          <w:color w:val="000000" w:themeColor="text1"/>
        </w:rPr>
        <w:t>C</w:t>
      </w:r>
      <w:r w:rsidR="00F91BC6" w:rsidRPr="00CC2284">
        <w:rPr>
          <w:rFonts w:ascii="Palatino Linotype" w:eastAsia="Palatino Linotype" w:hAnsi="Palatino Linotype" w:cs="Palatino Linotype"/>
          <w:b/>
          <w:color w:val="000000" w:themeColor="text1"/>
        </w:rPr>
        <w:t>uarto y Quinto</w:t>
      </w:r>
      <w:r w:rsidRPr="00CC2284">
        <w:rPr>
          <w:rFonts w:ascii="Palatino Linotype" w:eastAsia="Palatino Linotype" w:hAnsi="Palatino Linotype" w:cs="Palatino Linotype"/>
          <w:b/>
          <w:color w:val="000000" w:themeColor="text1"/>
        </w:rPr>
        <w:t xml:space="preserve"> </w:t>
      </w:r>
      <w:r w:rsidRPr="00CC2284">
        <w:rPr>
          <w:rFonts w:ascii="Palatino Linotype" w:eastAsia="Palatino Linotype" w:hAnsi="Palatino Linotype" w:cs="Palatino Linotype"/>
          <w:color w:val="000000" w:themeColor="text1"/>
        </w:rPr>
        <w:t>de la presente Resolución.</w:t>
      </w:r>
    </w:p>
    <w:p w14:paraId="1FE8D27D" w14:textId="77777777" w:rsidR="006C0D60" w:rsidRPr="00CC2284" w:rsidRDefault="006C0D60" w:rsidP="00CC2284">
      <w:pPr>
        <w:spacing w:line="360" w:lineRule="auto"/>
        <w:jc w:val="both"/>
        <w:rPr>
          <w:rFonts w:ascii="Palatino Linotype" w:eastAsia="Palatino Linotype" w:hAnsi="Palatino Linotype" w:cs="Palatino Linotype"/>
          <w:color w:val="000000" w:themeColor="text1"/>
        </w:rPr>
      </w:pPr>
    </w:p>
    <w:p w14:paraId="41DFB703" w14:textId="4FB4F6F6" w:rsidR="006C0D60" w:rsidRPr="00CC2284" w:rsidRDefault="006C0D60" w:rsidP="00CC2284">
      <w:pPr>
        <w:spacing w:line="360" w:lineRule="auto"/>
        <w:jc w:val="both"/>
        <w:rPr>
          <w:rFonts w:ascii="Palatino Linotype" w:hAnsi="Palatino Linotype" w:cs="Arial"/>
          <w:color w:val="000000" w:themeColor="text1"/>
        </w:rPr>
      </w:pPr>
      <w:r w:rsidRPr="00CC2284">
        <w:rPr>
          <w:rFonts w:ascii="Palatino Linotype" w:eastAsia="Times New Roman" w:hAnsi="Palatino Linotype" w:cs="Times New Roman"/>
          <w:b/>
          <w:color w:val="000000" w:themeColor="text1"/>
        </w:rPr>
        <w:lastRenderedPageBreak/>
        <w:t xml:space="preserve">SEGUNDO. </w:t>
      </w:r>
      <w:r w:rsidRPr="00CC2284">
        <w:rPr>
          <w:rFonts w:ascii="Palatino Linotype" w:eastAsia="MS Mincho" w:hAnsi="Palatino Linotype" w:cs="Times New Roman"/>
          <w:color w:val="000000" w:themeColor="text1"/>
        </w:rPr>
        <w:t xml:space="preserve">Se </w:t>
      </w:r>
      <w:r w:rsidR="009E7218" w:rsidRPr="00CC2284">
        <w:rPr>
          <w:rFonts w:ascii="Palatino Linotype" w:eastAsia="MS Mincho" w:hAnsi="Palatino Linotype" w:cs="Times New Roman"/>
          <w:b/>
          <w:color w:val="000000" w:themeColor="text1"/>
        </w:rPr>
        <w:t>REVO</w:t>
      </w:r>
      <w:r w:rsidRPr="00CC2284">
        <w:rPr>
          <w:rFonts w:ascii="Palatino Linotype" w:eastAsia="MS Mincho" w:hAnsi="Palatino Linotype" w:cs="Times New Roman"/>
          <w:b/>
          <w:color w:val="000000" w:themeColor="text1"/>
        </w:rPr>
        <w:t xml:space="preserve">CA </w:t>
      </w:r>
      <w:r w:rsidR="00597221" w:rsidRPr="00CC2284">
        <w:rPr>
          <w:rFonts w:ascii="Palatino Linotype" w:eastAsia="MS Mincho" w:hAnsi="Palatino Linotype" w:cs="Times New Roman"/>
          <w:color w:val="000000" w:themeColor="text1"/>
        </w:rPr>
        <w:t>la respuesta emitida por el</w:t>
      </w:r>
      <w:r w:rsidRPr="00CC2284">
        <w:rPr>
          <w:rFonts w:ascii="Palatino Linotype" w:eastAsia="MS Mincho" w:hAnsi="Palatino Linotype" w:cs="Times New Roman"/>
          <w:color w:val="000000" w:themeColor="text1"/>
        </w:rPr>
        <w:t xml:space="preserve"> </w:t>
      </w:r>
      <w:r w:rsidR="00597221" w:rsidRPr="00CC2284">
        <w:rPr>
          <w:rFonts w:ascii="Palatino Linotype" w:hAnsi="Palatino Linotype"/>
          <w:b/>
          <w:bCs/>
          <w:color w:val="000000" w:themeColor="text1"/>
        </w:rPr>
        <w:t>Ayuntamiento de Toluca</w:t>
      </w:r>
      <w:r w:rsidRPr="00CC2284">
        <w:rPr>
          <w:rFonts w:ascii="Palatino Linotype" w:hAnsi="Palatino Linotype"/>
          <w:b/>
          <w:bCs/>
          <w:color w:val="000000" w:themeColor="text1"/>
        </w:rPr>
        <w:t xml:space="preserve"> </w:t>
      </w:r>
      <w:r w:rsidRPr="00CC2284">
        <w:rPr>
          <w:rFonts w:ascii="Palatino Linotype" w:hAnsi="Palatino Linotype"/>
          <w:bCs/>
          <w:color w:val="000000" w:themeColor="text1"/>
        </w:rPr>
        <w:t xml:space="preserve">a la </w:t>
      </w:r>
      <w:r w:rsidR="009630A0" w:rsidRPr="00CC2284">
        <w:rPr>
          <w:rFonts w:ascii="Palatino Linotype" w:hAnsi="Palatino Linotype"/>
          <w:bCs/>
          <w:color w:val="000000" w:themeColor="text1"/>
        </w:rPr>
        <w:t>S</w:t>
      </w:r>
      <w:r w:rsidRPr="00CC2284">
        <w:rPr>
          <w:rFonts w:ascii="Palatino Linotype" w:hAnsi="Palatino Linotype"/>
          <w:bCs/>
          <w:color w:val="000000" w:themeColor="text1"/>
        </w:rPr>
        <w:t xml:space="preserve">olicitud de </w:t>
      </w:r>
      <w:r w:rsidR="009630A0" w:rsidRPr="00CC2284">
        <w:rPr>
          <w:rFonts w:ascii="Palatino Linotype" w:hAnsi="Palatino Linotype"/>
          <w:bCs/>
          <w:color w:val="000000" w:themeColor="text1"/>
        </w:rPr>
        <w:t>I</w:t>
      </w:r>
      <w:r w:rsidRPr="00CC2284">
        <w:rPr>
          <w:rFonts w:ascii="Palatino Linotype" w:hAnsi="Palatino Linotype"/>
          <w:bCs/>
          <w:color w:val="000000" w:themeColor="text1"/>
        </w:rPr>
        <w:t>nformación</w:t>
      </w:r>
      <w:r w:rsidRPr="00CC2284">
        <w:rPr>
          <w:rFonts w:ascii="Palatino Linotype" w:eastAsia="MS Mincho" w:hAnsi="Palatino Linotype" w:cs="Times New Roman"/>
          <w:b/>
          <w:color w:val="000000" w:themeColor="text1"/>
        </w:rPr>
        <w:t xml:space="preserve"> </w:t>
      </w:r>
      <w:r w:rsidR="00006A19" w:rsidRPr="00CC2284">
        <w:rPr>
          <w:rFonts w:ascii="Palatino Linotype" w:eastAsia="Times New Roman" w:hAnsi="Palatino Linotype" w:cs="Arial"/>
          <w:b/>
          <w:color w:val="000000" w:themeColor="text1"/>
          <w:lang w:val="es-ES"/>
        </w:rPr>
        <w:t>00901/TOLUCA/IP/2025</w:t>
      </w:r>
      <w:r w:rsidRPr="00CC2284">
        <w:rPr>
          <w:rFonts w:ascii="Palatino Linotype" w:eastAsia="Times New Roman" w:hAnsi="Palatino Linotype" w:cs="Arial"/>
          <w:b/>
          <w:color w:val="000000" w:themeColor="text1"/>
          <w:lang w:val="es-ES"/>
        </w:rPr>
        <w:t>;</w:t>
      </w:r>
      <w:r w:rsidRPr="00CC2284">
        <w:rPr>
          <w:rFonts w:ascii="Palatino Linotype" w:eastAsia="Palatino Linotype" w:hAnsi="Palatino Linotype" w:cs="Palatino Linotype"/>
          <w:color w:val="000000" w:themeColor="text1"/>
        </w:rPr>
        <w:t xml:space="preserve"> por lo que</w:t>
      </w:r>
      <w:r w:rsidRPr="00CC2284">
        <w:rPr>
          <w:rFonts w:ascii="Palatino Linotype" w:eastAsia="MS Mincho" w:hAnsi="Palatino Linotype" w:cs="Times New Roman"/>
          <w:color w:val="000000" w:themeColor="text1"/>
        </w:rPr>
        <w:t xml:space="preserve"> se </w:t>
      </w:r>
      <w:r w:rsidRPr="00CC2284">
        <w:rPr>
          <w:rFonts w:ascii="Palatino Linotype" w:eastAsia="MS Mincho" w:hAnsi="Palatino Linotype" w:cs="Times New Roman"/>
          <w:b/>
          <w:color w:val="000000" w:themeColor="text1"/>
        </w:rPr>
        <w:t>ORDENA</w:t>
      </w:r>
      <w:r w:rsidRPr="00CC2284">
        <w:rPr>
          <w:rFonts w:ascii="Palatino Linotype" w:eastAsia="MS Mincho" w:hAnsi="Palatino Linotype" w:cs="Times New Roman"/>
          <w:color w:val="000000" w:themeColor="text1"/>
        </w:rPr>
        <w:t xml:space="preserve"> entregar vía Sistema de Acceso a la In</w:t>
      </w:r>
      <w:r w:rsidR="009D7C5B" w:rsidRPr="00CC2284">
        <w:rPr>
          <w:rFonts w:ascii="Palatino Linotype" w:eastAsia="MS Mincho" w:hAnsi="Palatino Linotype" w:cs="Times New Roman"/>
          <w:color w:val="000000" w:themeColor="text1"/>
        </w:rPr>
        <w:t>formación Mexiquense (</w:t>
      </w:r>
      <w:r w:rsidR="009D7C5B" w:rsidRPr="00CC2284">
        <w:rPr>
          <w:rFonts w:ascii="Palatino Linotype" w:eastAsia="MS Mincho" w:hAnsi="Palatino Linotype" w:cs="Times New Roman"/>
          <w:b/>
          <w:color w:val="000000" w:themeColor="text1"/>
        </w:rPr>
        <w:t>SAIMEX</w:t>
      </w:r>
      <w:r w:rsidR="009D7C5B" w:rsidRPr="00CC2284">
        <w:rPr>
          <w:rFonts w:ascii="Palatino Linotype" w:eastAsia="MS Mincho" w:hAnsi="Palatino Linotype" w:cs="Times New Roman"/>
          <w:color w:val="000000" w:themeColor="text1"/>
        </w:rPr>
        <w:t>),</w:t>
      </w:r>
      <w:r w:rsidR="005913B5" w:rsidRPr="00CC2284">
        <w:rPr>
          <w:rFonts w:ascii="Palatino Linotype" w:eastAsia="MS Mincho" w:hAnsi="Palatino Linotype" w:cs="Times New Roman"/>
          <w:color w:val="000000" w:themeColor="text1"/>
        </w:rPr>
        <w:t xml:space="preserve"> </w:t>
      </w:r>
      <w:r w:rsidR="007C0820" w:rsidRPr="00CC2284">
        <w:rPr>
          <w:rFonts w:ascii="Palatino Linotype" w:hAnsi="Palatino Linotype"/>
          <w:color w:val="000000" w:themeColor="text1"/>
        </w:rPr>
        <w:t xml:space="preserve">de las licitaciones públicas o procedimientos de invitación restringida por compra y/o arrendamiento de equipo </w:t>
      </w:r>
      <w:r w:rsidR="00EF10D3" w:rsidRPr="00CC2284">
        <w:rPr>
          <w:rFonts w:ascii="Palatino Linotype" w:hAnsi="Palatino Linotype"/>
          <w:color w:val="000000" w:themeColor="text1"/>
        </w:rPr>
        <w:t>destinado a</w:t>
      </w:r>
      <w:r w:rsidR="007C0820" w:rsidRPr="00CC2284">
        <w:rPr>
          <w:rFonts w:ascii="Palatino Linotype" w:hAnsi="Palatino Linotype"/>
          <w:color w:val="000000" w:themeColor="text1"/>
        </w:rPr>
        <w:t xml:space="preserve"> la Dirección General de Seguridad y Protección</w:t>
      </w:r>
      <w:r w:rsidR="00EF10D3" w:rsidRPr="00CC2284">
        <w:rPr>
          <w:rFonts w:ascii="Palatino Linotype" w:hAnsi="Palatino Linotype"/>
          <w:color w:val="000000" w:themeColor="text1"/>
        </w:rPr>
        <w:t>, como lo es de manera enunciativa más no limitativa: equipo policial, cámaras, torres de vigilancia, vehículos, motocicletas, postes, uniformes, servicios de mantenimiento</w:t>
      </w:r>
      <w:r w:rsidR="007C0820" w:rsidRPr="00CC2284">
        <w:rPr>
          <w:rFonts w:ascii="Palatino Linotype" w:hAnsi="Palatino Linotype" w:cs="Arial"/>
          <w:color w:val="000000" w:themeColor="text1"/>
        </w:rPr>
        <w:t>, de la adm</w:t>
      </w:r>
      <w:r w:rsidR="00824CD2" w:rsidRPr="00CC2284">
        <w:rPr>
          <w:rFonts w:ascii="Palatino Linotype" w:hAnsi="Palatino Linotype" w:cs="Arial"/>
          <w:color w:val="000000" w:themeColor="text1"/>
        </w:rPr>
        <w:t>inistración pública municipal</w:t>
      </w:r>
      <w:r w:rsidR="007C0820" w:rsidRPr="00CC2284">
        <w:rPr>
          <w:rFonts w:ascii="Palatino Linotype" w:hAnsi="Palatino Linotype" w:cs="Arial"/>
          <w:color w:val="000000" w:themeColor="text1"/>
        </w:rPr>
        <w:t xml:space="preserve"> 2022 – 2024 y</w:t>
      </w:r>
      <w:r w:rsidR="0052620D" w:rsidRPr="00CC2284">
        <w:rPr>
          <w:rFonts w:ascii="Palatino Linotype" w:hAnsi="Palatino Linotype" w:cs="Arial"/>
          <w:color w:val="000000" w:themeColor="text1"/>
        </w:rPr>
        <w:t>,</w:t>
      </w:r>
      <w:r w:rsidR="007C0820" w:rsidRPr="00CC2284">
        <w:rPr>
          <w:rFonts w:ascii="Palatino Linotype" w:hAnsi="Palatino Linotype" w:cs="Arial"/>
          <w:color w:val="000000" w:themeColor="text1"/>
        </w:rPr>
        <w:t xml:space="preserve"> de la actual administración municipal, del 1 de enero al 14 de febrero de 2025</w:t>
      </w:r>
      <w:r w:rsidR="00EF10D3" w:rsidRPr="00CC2284">
        <w:rPr>
          <w:rFonts w:ascii="Palatino Linotype" w:hAnsi="Palatino Linotype" w:cs="Arial"/>
          <w:color w:val="000000" w:themeColor="text1"/>
        </w:rPr>
        <w:t xml:space="preserve">, </w:t>
      </w:r>
      <w:r w:rsidR="00EF10D3" w:rsidRPr="00CC2284">
        <w:rPr>
          <w:rFonts w:ascii="Palatino Linotype" w:eastAsia="MS Mincho" w:hAnsi="Palatino Linotype" w:cs="Times New Roman"/>
          <w:color w:val="000000" w:themeColor="text1"/>
        </w:rPr>
        <w:t>la siguiente información</w:t>
      </w:r>
      <w:r w:rsidR="007C0820" w:rsidRPr="00CC2284">
        <w:rPr>
          <w:rFonts w:ascii="Palatino Linotype" w:hAnsi="Palatino Linotype" w:cs="Arial"/>
          <w:color w:val="000000" w:themeColor="text1"/>
        </w:rPr>
        <w:t>:</w:t>
      </w:r>
    </w:p>
    <w:p w14:paraId="3E7CD15F" w14:textId="77777777" w:rsidR="006C0D60" w:rsidRPr="00CC2284" w:rsidRDefault="006C0D60" w:rsidP="00CC2284">
      <w:pPr>
        <w:pStyle w:val="Prrafodelista"/>
        <w:tabs>
          <w:tab w:val="left" w:pos="8080"/>
        </w:tabs>
        <w:spacing w:line="360" w:lineRule="auto"/>
        <w:ind w:left="0"/>
        <w:jc w:val="both"/>
        <w:rPr>
          <w:rFonts w:ascii="Palatino Linotype" w:hAnsi="Palatino Linotype" w:cs="Arial"/>
          <w:i/>
          <w:color w:val="000000" w:themeColor="text1"/>
        </w:rPr>
      </w:pPr>
    </w:p>
    <w:p w14:paraId="657F3927" w14:textId="1B4C38B1" w:rsidR="007C0820" w:rsidRPr="00CC2284" w:rsidRDefault="007C0820" w:rsidP="00EF7B8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CC2284">
        <w:rPr>
          <w:rFonts w:ascii="Palatino Linotype" w:eastAsia="Palatino Linotype" w:hAnsi="Palatino Linotype" w:cs="Palatino Linotype"/>
          <w:b/>
          <w:color w:val="000000" w:themeColor="text1"/>
        </w:rPr>
        <w:t>Contratos;</w:t>
      </w:r>
    </w:p>
    <w:p w14:paraId="13DF75E9" w14:textId="372DB399" w:rsidR="007C0820" w:rsidRPr="00CC2284" w:rsidRDefault="007C0820" w:rsidP="00EF7B8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CC2284">
        <w:rPr>
          <w:rFonts w:ascii="Palatino Linotype" w:hAnsi="Palatino Linotype"/>
          <w:b/>
          <w:color w:val="000000" w:themeColor="text1"/>
        </w:rPr>
        <w:t>La solicitud del área</w:t>
      </w:r>
      <w:r w:rsidR="009E7218" w:rsidRPr="00CC2284">
        <w:rPr>
          <w:rFonts w:ascii="Palatino Linotype" w:hAnsi="Palatino Linotype"/>
          <w:b/>
          <w:color w:val="000000" w:themeColor="text1"/>
        </w:rPr>
        <w:t xml:space="preserve"> requirente</w:t>
      </w:r>
      <w:r w:rsidRPr="00CC2284">
        <w:rPr>
          <w:rFonts w:ascii="Palatino Linotype" w:hAnsi="Palatino Linotype"/>
          <w:b/>
          <w:color w:val="000000" w:themeColor="text1"/>
        </w:rPr>
        <w:t xml:space="preserve"> o justificación </w:t>
      </w:r>
      <w:r w:rsidR="009E7218" w:rsidRPr="00CC2284">
        <w:rPr>
          <w:rFonts w:ascii="Palatino Linotype" w:hAnsi="Palatino Linotype"/>
          <w:b/>
          <w:color w:val="000000" w:themeColor="text1"/>
        </w:rPr>
        <w:t>de</w:t>
      </w:r>
      <w:r w:rsidRPr="00CC2284">
        <w:rPr>
          <w:rFonts w:ascii="Palatino Linotype" w:hAnsi="Palatino Linotype"/>
          <w:b/>
          <w:color w:val="000000" w:themeColor="text1"/>
        </w:rPr>
        <w:t xml:space="preserve"> la adquisición de bienes o contratación</w:t>
      </w:r>
      <w:r w:rsidR="009E7218" w:rsidRPr="00CC2284">
        <w:rPr>
          <w:rFonts w:ascii="Palatino Linotype" w:hAnsi="Palatino Linotype"/>
          <w:b/>
          <w:color w:val="000000" w:themeColor="text1"/>
        </w:rPr>
        <w:t xml:space="preserve"> de servicios</w:t>
      </w:r>
      <w:r w:rsidRPr="00CC2284">
        <w:rPr>
          <w:rFonts w:ascii="Palatino Linotype" w:hAnsi="Palatino Linotype"/>
          <w:b/>
          <w:color w:val="000000" w:themeColor="text1"/>
        </w:rPr>
        <w:t>;</w:t>
      </w:r>
    </w:p>
    <w:p w14:paraId="3073B57D" w14:textId="0B64DBED" w:rsidR="007C0820" w:rsidRPr="00CC2284" w:rsidRDefault="007C0820" w:rsidP="00EF7B8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CC2284">
        <w:rPr>
          <w:rFonts w:ascii="Palatino Linotype" w:hAnsi="Palatino Linotype"/>
          <w:b/>
          <w:color w:val="000000" w:themeColor="text1"/>
        </w:rPr>
        <w:t>Convocatoria</w:t>
      </w:r>
      <w:r w:rsidR="00EF10D3" w:rsidRPr="00CC2284">
        <w:rPr>
          <w:rFonts w:ascii="Palatino Linotype" w:hAnsi="Palatino Linotype"/>
          <w:b/>
          <w:color w:val="000000" w:themeColor="text1"/>
        </w:rPr>
        <w:t>;</w:t>
      </w:r>
    </w:p>
    <w:p w14:paraId="255EC6FF" w14:textId="0302CA70" w:rsidR="007C0820" w:rsidRPr="00CC2284" w:rsidRDefault="007C0820" w:rsidP="00EF7B8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CC2284">
        <w:rPr>
          <w:rFonts w:ascii="Palatino Linotype" w:hAnsi="Palatino Linotype"/>
          <w:b/>
          <w:color w:val="000000" w:themeColor="text1"/>
        </w:rPr>
        <w:t>Recibos de pago de los pa</w:t>
      </w:r>
      <w:r w:rsidR="00EF10D3" w:rsidRPr="00CC2284">
        <w:rPr>
          <w:rFonts w:ascii="Palatino Linotype" w:hAnsi="Palatino Linotype"/>
          <w:b/>
          <w:color w:val="000000" w:themeColor="text1"/>
        </w:rPr>
        <w:t>rticipantes en las licitaciones;</w:t>
      </w:r>
      <w:r w:rsidRPr="00CC2284">
        <w:rPr>
          <w:rFonts w:ascii="Palatino Linotype" w:hAnsi="Palatino Linotype"/>
          <w:b/>
          <w:color w:val="000000" w:themeColor="text1"/>
        </w:rPr>
        <w:t xml:space="preserve"> </w:t>
      </w:r>
    </w:p>
    <w:p w14:paraId="18813891" w14:textId="5B4B4C74" w:rsidR="007C0820" w:rsidRPr="00CC2284" w:rsidRDefault="007C0820" w:rsidP="00EF7B8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CC2284">
        <w:rPr>
          <w:rFonts w:ascii="Palatino Linotype" w:hAnsi="Palatino Linotype"/>
          <w:b/>
          <w:color w:val="000000" w:themeColor="text1"/>
        </w:rPr>
        <w:t>Expedientes de las empresas</w:t>
      </w:r>
      <w:r w:rsidR="009E7218" w:rsidRPr="00CC2284">
        <w:rPr>
          <w:rFonts w:ascii="Palatino Linotype" w:hAnsi="Palatino Linotype"/>
          <w:b/>
          <w:color w:val="000000" w:themeColor="text1"/>
        </w:rPr>
        <w:t xml:space="preserve"> o personas físicas</w:t>
      </w:r>
      <w:r w:rsidRPr="00CC2284">
        <w:rPr>
          <w:rFonts w:ascii="Palatino Linotype" w:hAnsi="Palatino Linotype"/>
          <w:b/>
          <w:color w:val="000000" w:themeColor="text1"/>
        </w:rPr>
        <w:t xml:space="preserve"> participantes</w:t>
      </w:r>
      <w:r w:rsidR="00EF10D3" w:rsidRPr="00CC2284">
        <w:rPr>
          <w:rFonts w:ascii="Palatino Linotype" w:hAnsi="Palatino Linotype"/>
          <w:b/>
          <w:color w:val="000000" w:themeColor="text1"/>
        </w:rPr>
        <w:t>;</w:t>
      </w:r>
    </w:p>
    <w:p w14:paraId="3E9DFB71" w14:textId="5384F16C" w:rsidR="007C0820" w:rsidRPr="00CC2284" w:rsidRDefault="007C0820" w:rsidP="00EF7B8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CC2284">
        <w:rPr>
          <w:rFonts w:ascii="Palatino Linotype" w:hAnsi="Palatino Linotype"/>
          <w:b/>
          <w:color w:val="000000" w:themeColor="text1"/>
        </w:rPr>
        <w:t>Listas de asistencia y registros de participantes</w:t>
      </w:r>
      <w:r w:rsidR="00EF10D3" w:rsidRPr="00CC2284">
        <w:rPr>
          <w:rFonts w:ascii="Palatino Linotype" w:hAnsi="Palatino Linotype"/>
          <w:b/>
          <w:color w:val="000000" w:themeColor="text1"/>
        </w:rPr>
        <w:t>;</w:t>
      </w:r>
    </w:p>
    <w:p w14:paraId="24EE09C7" w14:textId="12B79622" w:rsidR="007C0820" w:rsidRPr="00CC2284" w:rsidRDefault="007C0820" w:rsidP="00EF7B8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CC2284">
        <w:rPr>
          <w:rFonts w:ascii="Palatino Linotype" w:hAnsi="Palatino Linotype"/>
          <w:b/>
          <w:color w:val="000000" w:themeColor="text1"/>
        </w:rPr>
        <w:t>Bases</w:t>
      </w:r>
      <w:r w:rsidR="00EF10D3" w:rsidRPr="00CC2284">
        <w:rPr>
          <w:rFonts w:ascii="Palatino Linotype" w:hAnsi="Palatino Linotype"/>
          <w:b/>
          <w:color w:val="000000" w:themeColor="text1"/>
        </w:rPr>
        <w:t>;</w:t>
      </w:r>
    </w:p>
    <w:p w14:paraId="2663542E" w14:textId="28075897" w:rsidR="007C0820" w:rsidRPr="00CC2284" w:rsidRDefault="007C0820" w:rsidP="00EF7B8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CC2284">
        <w:rPr>
          <w:rFonts w:ascii="Palatino Linotype" w:hAnsi="Palatino Linotype"/>
          <w:b/>
          <w:color w:val="000000" w:themeColor="text1"/>
        </w:rPr>
        <w:t>Invitaciones</w:t>
      </w:r>
      <w:r w:rsidR="00EF10D3" w:rsidRPr="00CC2284">
        <w:rPr>
          <w:rFonts w:ascii="Palatino Linotype" w:hAnsi="Palatino Linotype"/>
          <w:b/>
          <w:color w:val="000000" w:themeColor="text1"/>
        </w:rPr>
        <w:t>;</w:t>
      </w:r>
    </w:p>
    <w:p w14:paraId="51E30356" w14:textId="6B3532DF" w:rsidR="007C0820" w:rsidRPr="00CC2284" w:rsidRDefault="00EF10D3" w:rsidP="00EF7B8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CC2284">
        <w:rPr>
          <w:rFonts w:ascii="Palatino Linotype" w:hAnsi="Palatino Linotype"/>
          <w:b/>
          <w:color w:val="000000" w:themeColor="text1"/>
        </w:rPr>
        <w:t>Documento en que conste el origen de los recursos (federales, estatales o municipales)</w:t>
      </w:r>
      <w:r w:rsidR="00185F21" w:rsidRPr="00CC2284">
        <w:rPr>
          <w:rFonts w:ascii="Palatino Linotype" w:hAnsi="Palatino Linotype"/>
          <w:b/>
          <w:color w:val="000000" w:themeColor="text1"/>
        </w:rPr>
        <w:t xml:space="preserve">; </w:t>
      </w:r>
    </w:p>
    <w:p w14:paraId="0132CD08" w14:textId="255C94DE" w:rsidR="007C0820" w:rsidRPr="00CC2284" w:rsidRDefault="007C0820" w:rsidP="00EF7B8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CC2284">
        <w:rPr>
          <w:rFonts w:ascii="Palatino Linotype" w:hAnsi="Palatino Linotype"/>
          <w:b/>
          <w:color w:val="000000" w:themeColor="text1"/>
        </w:rPr>
        <w:t>Fallo</w:t>
      </w:r>
      <w:r w:rsidR="00185F21" w:rsidRPr="00CC2284">
        <w:rPr>
          <w:rFonts w:ascii="Palatino Linotype" w:hAnsi="Palatino Linotype"/>
          <w:b/>
          <w:color w:val="000000" w:themeColor="text1"/>
        </w:rPr>
        <w:t xml:space="preserve"> de adjudicación; y</w:t>
      </w:r>
    </w:p>
    <w:p w14:paraId="1DAAC5F0" w14:textId="139D9F24" w:rsidR="00185F21" w:rsidRPr="007D0F2F" w:rsidRDefault="00185F21" w:rsidP="00EF7B8A">
      <w:pPr>
        <w:pStyle w:val="Prrafodelista"/>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7D0F2F">
        <w:rPr>
          <w:rFonts w:ascii="Palatino Linotype" w:hAnsi="Palatino Linotype"/>
          <w:color w:val="000000" w:themeColor="text1"/>
        </w:rPr>
        <w:lastRenderedPageBreak/>
        <w:t>Expedientes laborales del Titular y directores de la Dirección General de Seguridad y Protección del Ayuntamiento de Toluca, en funciones al 14 de febrero de 2025.</w:t>
      </w:r>
    </w:p>
    <w:p w14:paraId="1CA25AF8" w14:textId="77777777" w:rsidR="006C0D60" w:rsidRPr="00CC2284" w:rsidRDefault="006C0D60" w:rsidP="00CC228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6231C852" w14:textId="116CB133" w:rsidR="00F91BC6" w:rsidRPr="00CC2284" w:rsidRDefault="00F91BC6"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w:t>
      </w:r>
      <w:r w:rsidR="000D0A0A" w:rsidRPr="00CC2284">
        <w:rPr>
          <w:rFonts w:ascii="Palatino Linotype" w:eastAsia="Palatino Linotype" w:hAnsi="Palatino Linotype" w:cs="Palatino Linotype"/>
          <w:color w:val="000000" w:themeColor="text1"/>
        </w:rPr>
        <w:t>onga a disposición de la parte R</w:t>
      </w:r>
      <w:r w:rsidRPr="00CC2284">
        <w:rPr>
          <w:rFonts w:ascii="Palatino Linotype" w:eastAsia="Palatino Linotype" w:hAnsi="Palatino Linotype" w:cs="Palatino Linotype"/>
          <w:color w:val="000000" w:themeColor="text1"/>
        </w:rPr>
        <w:t xml:space="preserve">ecurrente. </w:t>
      </w:r>
    </w:p>
    <w:p w14:paraId="00B93DC5" w14:textId="77777777" w:rsidR="001A2615" w:rsidRPr="00CC2284" w:rsidRDefault="001A2615" w:rsidP="00CC2284">
      <w:pPr>
        <w:spacing w:line="360" w:lineRule="auto"/>
        <w:jc w:val="both"/>
        <w:rPr>
          <w:rFonts w:ascii="Palatino Linotype" w:eastAsia="Palatino Linotype" w:hAnsi="Palatino Linotype" w:cs="Palatino Linotype"/>
          <w:color w:val="000000" w:themeColor="text1"/>
        </w:rPr>
      </w:pPr>
    </w:p>
    <w:p w14:paraId="4A42CEE9" w14:textId="00F27E93" w:rsidR="001A2615" w:rsidRPr="00CC2284" w:rsidRDefault="001A2615"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color w:val="000000" w:themeColor="text1"/>
        </w:rPr>
        <w:t xml:space="preserve">Para el caso de que </w:t>
      </w:r>
      <w:r w:rsidR="005913B5" w:rsidRPr="00CC2284">
        <w:rPr>
          <w:rFonts w:ascii="Palatino Linotype" w:eastAsia="Palatino Linotype" w:hAnsi="Palatino Linotype" w:cs="Palatino Linotype"/>
          <w:color w:val="000000" w:themeColor="text1"/>
        </w:rPr>
        <w:t xml:space="preserve">no se haya generado, poseído o administrado </w:t>
      </w:r>
      <w:r w:rsidR="009E7218" w:rsidRPr="00CC2284">
        <w:rPr>
          <w:rFonts w:ascii="Palatino Linotype" w:eastAsia="Palatino Linotype" w:hAnsi="Palatino Linotype" w:cs="Palatino Linotype"/>
          <w:color w:val="000000" w:themeColor="text1"/>
        </w:rPr>
        <w:t xml:space="preserve">la información ordenada </w:t>
      </w:r>
      <w:r w:rsidR="00824CD2" w:rsidRPr="00CC2284">
        <w:rPr>
          <w:rFonts w:ascii="Palatino Linotype" w:eastAsia="Palatino Linotype" w:hAnsi="Palatino Linotype" w:cs="Palatino Linotype"/>
          <w:color w:val="000000" w:themeColor="text1"/>
        </w:rPr>
        <w:t xml:space="preserve">del </w:t>
      </w:r>
      <w:r w:rsidR="00824CD2" w:rsidRPr="00CC2284">
        <w:rPr>
          <w:rFonts w:ascii="Palatino Linotype" w:eastAsia="Palatino Linotype" w:hAnsi="Palatino Linotype" w:cs="Palatino Linotype"/>
          <w:b/>
          <w:color w:val="000000" w:themeColor="text1"/>
        </w:rPr>
        <w:t xml:space="preserve">inciso a) </w:t>
      </w:r>
      <w:r w:rsidR="00824CD2" w:rsidRPr="00CC2284">
        <w:rPr>
          <w:rFonts w:ascii="Palatino Linotype" w:eastAsia="Palatino Linotype" w:hAnsi="Palatino Linotype" w:cs="Palatino Linotype"/>
          <w:color w:val="000000" w:themeColor="text1"/>
        </w:rPr>
        <w:t>al</w:t>
      </w:r>
      <w:r w:rsidR="00824CD2" w:rsidRPr="00CC2284">
        <w:rPr>
          <w:rFonts w:ascii="Palatino Linotype" w:eastAsia="Palatino Linotype" w:hAnsi="Palatino Linotype" w:cs="Palatino Linotype"/>
          <w:b/>
          <w:color w:val="000000" w:themeColor="text1"/>
        </w:rPr>
        <w:t xml:space="preserve"> inciso j),</w:t>
      </w:r>
      <w:r w:rsidR="00824CD2" w:rsidRPr="00CC2284">
        <w:rPr>
          <w:rFonts w:ascii="Palatino Linotype" w:eastAsia="Palatino Linotype" w:hAnsi="Palatino Linotype" w:cs="Palatino Linotype"/>
          <w:color w:val="000000" w:themeColor="text1"/>
        </w:rPr>
        <w:t xml:space="preserve"> </w:t>
      </w:r>
      <w:r w:rsidR="009E7218" w:rsidRPr="00CC2284">
        <w:rPr>
          <w:rFonts w:ascii="Palatino Linotype" w:eastAsia="Palatino Linotype" w:hAnsi="Palatino Linotype" w:cs="Palatino Linotype"/>
          <w:color w:val="000000" w:themeColor="text1"/>
        </w:rPr>
        <w:t xml:space="preserve">en el lapso temporal del </w:t>
      </w:r>
      <w:r w:rsidR="009E7218" w:rsidRPr="00CC2284">
        <w:rPr>
          <w:rFonts w:ascii="Palatino Linotype" w:hAnsi="Palatino Linotype" w:cs="Arial"/>
          <w:color w:val="000000" w:themeColor="text1"/>
        </w:rPr>
        <w:t>1 de enero al 14 de febrero de 2025</w:t>
      </w:r>
      <w:r w:rsidR="005913B5" w:rsidRPr="00CC2284">
        <w:rPr>
          <w:rFonts w:ascii="Palatino Linotype" w:eastAsia="Palatino Linotype" w:hAnsi="Palatino Linotype" w:cs="Palatino Linotype"/>
          <w:color w:val="000000" w:themeColor="text1"/>
        </w:rPr>
        <w:t>,</w:t>
      </w:r>
      <w:r w:rsidR="00D14B83" w:rsidRPr="00CC2284">
        <w:rPr>
          <w:rFonts w:ascii="Palatino Linotype" w:eastAsia="Palatino Linotype" w:hAnsi="Palatino Linotype" w:cs="Palatino Linotype"/>
          <w:color w:val="000000" w:themeColor="text1"/>
        </w:rPr>
        <w:t xml:space="preserve"> </w:t>
      </w:r>
      <w:r w:rsidR="005913B5" w:rsidRPr="00CC2284">
        <w:rPr>
          <w:rFonts w:ascii="Palatino Linotype" w:eastAsia="Palatino Linotype" w:hAnsi="Palatino Linotype" w:cs="Palatino Linotype"/>
          <w:color w:val="000000" w:themeColor="text1"/>
        </w:rPr>
        <w:t>bastará</w:t>
      </w:r>
      <w:r w:rsidRPr="00CC2284">
        <w:rPr>
          <w:rFonts w:ascii="Palatino Linotype" w:eastAsia="Palatino Linotype" w:hAnsi="Palatino Linotype" w:cs="Palatino Linotype"/>
          <w:color w:val="000000" w:themeColor="text1"/>
        </w:rPr>
        <w:t xml:space="preserve"> que </w:t>
      </w:r>
      <w:r w:rsidR="00387FAA" w:rsidRPr="00CC2284">
        <w:rPr>
          <w:rFonts w:ascii="Palatino Linotype" w:eastAsia="Palatino Linotype" w:hAnsi="Palatino Linotype" w:cs="Palatino Linotype"/>
          <w:color w:val="000000" w:themeColor="text1"/>
        </w:rPr>
        <w:t xml:space="preserve">el </w:t>
      </w:r>
      <w:r w:rsidR="00387FAA" w:rsidRPr="00CC2284">
        <w:rPr>
          <w:rFonts w:ascii="Palatino Linotype" w:eastAsia="Palatino Linotype" w:hAnsi="Palatino Linotype" w:cs="Palatino Linotype"/>
          <w:b/>
          <w:color w:val="000000" w:themeColor="text1"/>
        </w:rPr>
        <w:t xml:space="preserve">SUJETO OBLIGADO </w:t>
      </w:r>
      <w:r w:rsidRPr="00CC2284">
        <w:rPr>
          <w:rFonts w:ascii="Palatino Linotype" w:eastAsia="Palatino Linotype" w:hAnsi="Palatino Linotype" w:cs="Palatino Linotype"/>
          <w:color w:val="000000" w:themeColor="text1"/>
        </w:rPr>
        <w:t xml:space="preserve">lo haga del conocimiento del </w:t>
      </w:r>
      <w:r w:rsidRPr="00CC2284">
        <w:rPr>
          <w:rFonts w:ascii="Palatino Linotype" w:eastAsia="Palatino Linotype" w:hAnsi="Palatino Linotype" w:cs="Palatino Linotype"/>
          <w:b/>
          <w:color w:val="000000" w:themeColor="text1"/>
        </w:rPr>
        <w:t>RECURRENTE</w:t>
      </w:r>
      <w:r w:rsidRPr="00CC2284">
        <w:rPr>
          <w:rFonts w:ascii="Palatino Linotype" w:eastAsia="Palatino Linotype" w:hAnsi="Palatino Linotype" w:cs="Palatino Linotype"/>
          <w:color w:val="000000" w:themeColor="text1"/>
        </w:rPr>
        <w:t xml:space="preserve"> al momento de dar cumplimiento a la presente Resolución en términos del artículo 19 segundo párrafo de </w:t>
      </w:r>
      <w:r w:rsidR="00761F40" w:rsidRPr="00CC2284">
        <w:rPr>
          <w:rFonts w:ascii="Palatino Linotype" w:eastAsia="Palatino Linotype" w:hAnsi="Palatino Linotype" w:cs="Palatino Linotype"/>
          <w:color w:val="000000" w:themeColor="text1"/>
        </w:rPr>
        <w:t>la Ley</w:t>
      </w:r>
      <w:r w:rsidRPr="00CC2284">
        <w:rPr>
          <w:rFonts w:ascii="Palatino Linotype" w:eastAsia="Palatino Linotype" w:hAnsi="Palatino Linotype" w:cs="Palatino Linotype"/>
          <w:color w:val="000000" w:themeColor="text1"/>
        </w:rPr>
        <w:t xml:space="preserve"> de Transparencia y Acceso a la Información Pública del Estado de México y Municipios.</w:t>
      </w:r>
    </w:p>
    <w:p w14:paraId="1D4459B2" w14:textId="77777777" w:rsidR="00F91BC6" w:rsidRPr="00CC2284" w:rsidRDefault="00F91BC6" w:rsidP="00CC228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DCCC28D" w14:textId="77777777" w:rsidR="006C0D60" w:rsidRPr="00CC2284" w:rsidRDefault="006C0D60"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color w:val="000000" w:themeColor="text1"/>
        </w:rPr>
        <w:t xml:space="preserve">TERCERO. Notifíquese </w:t>
      </w:r>
      <w:r w:rsidRPr="00CC2284">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CC2284">
        <w:rPr>
          <w:rFonts w:ascii="Palatino Linotype" w:eastAsia="Palatino Linotype" w:hAnsi="Palatino Linotype" w:cs="Palatino Linotype"/>
          <w:b/>
          <w:color w:val="000000" w:themeColor="text1"/>
        </w:rPr>
        <w:t>dé cumplimiento a lo ordenado dentro del plazo de diez días hábiles,</w:t>
      </w:r>
      <w:r w:rsidRPr="00CC2284">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w:t>
      </w:r>
      <w:r w:rsidRPr="00CC2284">
        <w:rPr>
          <w:rFonts w:ascii="Palatino Linotype" w:eastAsia="Palatino Linotype" w:hAnsi="Palatino Linotype" w:cs="Palatino Linotype"/>
          <w:color w:val="000000" w:themeColor="text1"/>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5081F3" w14:textId="77777777" w:rsidR="006C0D60" w:rsidRPr="00CC2284" w:rsidRDefault="006C0D60" w:rsidP="00CC2284">
      <w:pPr>
        <w:spacing w:line="360" w:lineRule="auto"/>
        <w:jc w:val="both"/>
        <w:rPr>
          <w:rFonts w:ascii="Palatino Linotype" w:eastAsia="Palatino Linotype" w:hAnsi="Palatino Linotype" w:cs="Palatino Linotype"/>
          <w:color w:val="000000" w:themeColor="text1"/>
        </w:rPr>
      </w:pPr>
    </w:p>
    <w:p w14:paraId="0296223F" w14:textId="77777777" w:rsidR="006C0D60" w:rsidRPr="00CC2284" w:rsidRDefault="006C0D60" w:rsidP="00CC2284">
      <w:pPr>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color w:val="000000" w:themeColor="text1"/>
        </w:rPr>
        <w:t xml:space="preserve">CUARTO. </w:t>
      </w:r>
      <w:r w:rsidRPr="00CC228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CC2284">
        <w:rPr>
          <w:rFonts w:ascii="Palatino Linotype" w:eastAsia="Palatino Linotype" w:hAnsi="Palatino Linotype" w:cs="Palatino Linotype"/>
          <w:b/>
          <w:color w:val="000000" w:themeColor="text1"/>
        </w:rPr>
        <w:t>SUJETO OBLIGADO</w:t>
      </w:r>
      <w:r w:rsidRPr="00CC228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4AC6BA1" w14:textId="77777777" w:rsidR="006C0D60" w:rsidRPr="00CC2284" w:rsidRDefault="006C0D60" w:rsidP="00CC2284">
      <w:pPr>
        <w:spacing w:line="360" w:lineRule="auto"/>
        <w:jc w:val="both"/>
        <w:rPr>
          <w:rFonts w:ascii="Palatino Linotype" w:eastAsia="Palatino Linotype" w:hAnsi="Palatino Linotype" w:cs="Palatino Linotype"/>
          <w:color w:val="000000" w:themeColor="text1"/>
        </w:rPr>
      </w:pPr>
    </w:p>
    <w:p w14:paraId="75A9E7CA" w14:textId="77777777" w:rsidR="006C0D60" w:rsidRPr="00CC2284" w:rsidRDefault="006C0D60" w:rsidP="00CC2284">
      <w:pPr>
        <w:tabs>
          <w:tab w:val="left" w:pos="8080"/>
        </w:tabs>
        <w:spacing w:line="360" w:lineRule="auto"/>
        <w:jc w:val="both"/>
        <w:rPr>
          <w:rFonts w:ascii="Palatino Linotype" w:eastAsia="Palatino Linotype" w:hAnsi="Palatino Linotype" w:cs="Palatino Linotype"/>
          <w:color w:val="000000" w:themeColor="text1"/>
        </w:rPr>
      </w:pPr>
      <w:bookmarkStart w:id="73" w:name="_heading=h.lnxbz9" w:colFirst="0" w:colLast="0"/>
      <w:bookmarkEnd w:id="73"/>
      <w:r w:rsidRPr="00CC2284">
        <w:rPr>
          <w:rFonts w:ascii="Palatino Linotype" w:eastAsia="Palatino Linotype" w:hAnsi="Palatino Linotype" w:cs="Palatino Linotype"/>
          <w:b/>
          <w:color w:val="000000" w:themeColor="text1"/>
        </w:rPr>
        <w:t xml:space="preserve">QUINTO. </w:t>
      </w:r>
      <w:r w:rsidRPr="00CC2284">
        <w:rPr>
          <w:rFonts w:ascii="Palatino Linotype" w:eastAsia="Palatino Linotype" w:hAnsi="Palatino Linotype" w:cs="Palatino Linotype"/>
          <w:color w:val="000000" w:themeColor="text1"/>
        </w:rPr>
        <w:t xml:space="preserve">Notifíquese al </w:t>
      </w:r>
      <w:r w:rsidRPr="00CC2284">
        <w:rPr>
          <w:rFonts w:ascii="Palatino Linotype" w:eastAsia="Palatino Linotype" w:hAnsi="Palatino Linotype" w:cs="Palatino Linotype"/>
          <w:b/>
          <w:color w:val="000000" w:themeColor="text1"/>
        </w:rPr>
        <w:t>RECURRENTE</w:t>
      </w:r>
      <w:r w:rsidRPr="00CC2284">
        <w:rPr>
          <w:rFonts w:ascii="Palatino Linotype" w:eastAsia="Palatino Linotype" w:hAnsi="Palatino Linotype" w:cs="Palatino Linotype"/>
          <w:color w:val="000000" w:themeColor="text1"/>
        </w:rPr>
        <w:t xml:space="preserve"> la presente Resolución, vía </w:t>
      </w:r>
      <w:r w:rsidRPr="00CC2284">
        <w:rPr>
          <w:rFonts w:ascii="Palatino Linotype" w:eastAsia="Palatino Linotype" w:hAnsi="Palatino Linotype" w:cs="Palatino Linotype"/>
          <w:b/>
          <w:color w:val="000000" w:themeColor="text1"/>
        </w:rPr>
        <w:t>SAIMEX</w:t>
      </w:r>
      <w:r w:rsidRPr="00CC2284">
        <w:rPr>
          <w:rFonts w:ascii="Palatino Linotype" w:eastAsia="Palatino Linotype" w:hAnsi="Palatino Linotype" w:cs="Palatino Linotype"/>
          <w:color w:val="000000" w:themeColor="text1"/>
        </w:rPr>
        <w:t>.</w:t>
      </w:r>
    </w:p>
    <w:p w14:paraId="122E1B3C" w14:textId="77777777" w:rsidR="006C0D60" w:rsidRPr="00CC2284" w:rsidRDefault="006C0D60" w:rsidP="00CC2284">
      <w:pPr>
        <w:tabs>
          <w:tab w:val="left" w:pos="8080"/>
        </w:tabs>
        <w:spacing w:line="360" w:lineRule="auto"/>
        <w:jc w:val="both"/>
        <w:rPr>
          <w:rFonts w:ascii="Palatino Linotype" w:eastAsia="Palatino Linotype" w:hAnsi="Palatino Linotype" w:cs="Palatino Linotype"/>
          <w:color w:val="000000" w:themeColor="text1"/>
        </w:rPr>
      </w:pPr>
    </w:p>
    <w:p w14:paraId="0DD7812D" w14:textId="42D1D961" w:rsidR="006C0D60" w:rsidRPr="00CC2284" w:rsidRDefault="006C0D60" w:rsidP="00CC2284">
      <w:pPr>
        <w:shd w:val="clear" w:color="auto" w:fill="FFFFFF"/>
        <w:spacing w:line="360" w:lineRule="auto"/>
        <w:jc w:val="both"/>
        <w:rPr>
          <w:rFonts w:ascii="Palatino Linotype" w:eastAsia="Palatino Linotype" w:hAnsi="Palatino Linotype" w:cs="Palatino Linotype"/>
          <w:color w:val="000000" w:themeColor="text1"/>
        </w:rPr>
      </w:pPr>
      <w:r w:rsidRPr="00CC2284">
        <w:rPr>
          <w:rFonts w:ascii="Palatino Linotype" w:eastAsia="Palatino Linotype" w:hAnsi="Palatino Linotype" w:cs="Palatino Linotype"/>
          <w:b/>
          <w:color w:val="000000" w:themeColor="text1"/>
        </w:rPr>
        <w:t xml:space="preserve">SEXTO. </w:t>
      </w:r>
      <w:r w:rsidRPr="00CC2284">
        <w:rPr>
          <w:rFonts w:ascii="Palatino Linotype" w:eastAsia="Palatino Linotype" w:hAnsi="Palatino Linotype" w:cs="Palatino Linotype"/>
          <w:color w:val="000000" w:themeColor="text1"/>
        </w:rPr>
        <w:t>Se hace del conocimiento del</w:t>
      </w:r>
      <w:r w:rsidRPr="00CC2284">
        <w:rPr>
          <w:rFonts w:ascii="Palatino Linotype" w:eastAsia="Palatino Linotype" w:hAnsi="Palatino Linotype" w:cs="Palatino Linotype"/>
          <w:b/>
          <w:color w:val="000000" w:themeColor="text1"/>
        </w:rPr>
        <w:t xml:space="preserve"> RECURRENTE </w:t>
      </w:r>
      <w:r w:rsidRPr="00CC2284">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México y Municipios, en caso de que considere que la </w:t>
      </w:r>
      <w:r w:rsidR="009630A0" w:rsidRPr="00CC2284">
        <w:rPr>
          <w:rFonts w:ascii="Palatino Linotype" w:eastAsia="Palatino Linotype" w:hAnsi="Palatino Linotype" w:cs="Palatino Linotype"/>
          <w:color w:val="000000" w:themeColor="text1"/>
        </w:rPr>
        <w:t>R</w:t>
      </w:r>
      <w:r w:rsidRPr="00CC2284">
        <w:rPr>
          <w:rFonts w:ascii="Palatino Linotype" w:eastAsia="Palatino Linotype" w:hAnsi="Palatino Linotype" w:cs="Palatino Linotype"/>
          <w:color w:val="000000" w:themeColor="text1"/>
        </w:rPr>
        <w:t>esolución le cause algún perjuicio podrá impugnar vía juicio de amparo en los términos de las leyes aplicables.</w:t>
      </w:r>
    </w:p>
    <w:p w14:paraId="15E3C026" w14:textId="77777777" w:rsidR="00632EE6" w:rsidRPr="00CC2284" w:rsidRDefault="00632EE6" w:rsidP="00CC2284">
      <w:pPr>
        <w:shd w:val="clear" w:color="auto" w:fill="FFFFFF"/>
        <w:spacing w:line="360" w:lineRule="auto"/>
        <w:jc w:val="both"/>
        <w:rPr>
          <w:rFonts w:ascii="Palatino Linotype" w:eastAsia="Palatino Linotype" w:hAnsi="Palatino Linotype" w:cs="Palatino Linotype"/>
          <w:color w:val="000000" w:themeColor="text1"/>
        </w:rPr>
      </w:pPr>
    </w:p>
    <w:p w14:paraId="0286AD12" w14:textId="5FEC175D" w:rsidR="00632EE6" w:rsidRPr="00444783" w:rsidRDefault="00632EE6" w:rsidP="00632EE6">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6D53E6">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lastRenderedPageBreak/>
        <w:t xml:space="preserve">SEPTIEMBRE </w:t>
      </w:r>
      <w:r w:rsidRPr="00575AE2">
        <w:rPr>
          <w:rFonts w:ascii="Palatino Linotype" w:eastAsia="Palatino Linotype" w:hAnsi="Palatino Linotype" w:cs="Palatino Linotype"/>
        </w:rPr>
        <w:t>DE DOS MIL VEINTICINCO, ANTE EL SECRETARIO TÉCNICO DEL PLENO ALEXIS TAPIA RAMÍREZ.</w:t>
      </w:r>
    </w:p>
    <w:p w14:paraId="0F0F9D89" w14:textId="446219DB" w:rsidR="00611EC6" w:rsidRPr="00CC2284" w:rsidRDefault="00611EC6" w:rsidP="00CC2284">
      <w:pPr>
        <w:spacing w:line="360" w:lineRule="auto"/>
        <w:ind w:firstLine="1"/>
        <w:jc w:val="both"/>
        <w:rPr>
          <w:rFonts w:ascii="Palatino Linotype" w:hAnsi="Palatino Linotype"/>
          <w:color w:val="000000" w:themeColor="text1"/>
          <w:lang w:val="es-MX"/>
        </w:rPr>
      </w:pPr>
    </w:p>
    <w:p w14:paraId="6C28A634" w14:textId="77777777" w:rsidR="00947C3B" w:rsidRPr="00CC2284" w:rsidRDefault="00947C3B" w:rsidP="00CC2284">
      <w:pPr>
        <w:spacing w:line="360" w:lineRule="auto"/>
        <w:jc w:val="both"/>
        <w:rPr>
          <w:rFonts w:ascii="Palatino Linotype" w:hAnsi="Palatino Linotype"/>
          <w:color w:val="000000" w:themeColor="text1"/>
        </w:rPr>
      </w:pPr>
    </w:p>
    <w:p w14:paraId="6E7D199D" w14:textId="77777777" w:rsidR="00947C3B" w:rsidRPr="00CC2284" w:rsidRDefault="00947C3B" w:rsidP="00CC2284">
      <w:pPr>
        <w:spacing w:line="360" w:lineRule="auto"/>
        <w:jc w:val="both"/>
        <w:rPr>
          <w:rFonts w:ascii="Palatino Linotype" w:hAnsi="Palatino Linotype"/>
          <w:color w:val="000000" w:themeColor="text1"/>
        </w:rPr>
      </w:pPr>
    </w:p>
    <w:p w14:paraId="504C9EA2" w14:textId="77777777" w:rsidR="00947C3B" w:rsidRPr="00CC2284" w:rsidRDefault="00947C3B" w:rsidP="00CC2284">
      <w:pPr>
        <w:spacing w:line="360" w:lineRule="auto"/>
        <w:jc w:val="both"/>
        <w:rPr>
          <w:rFonts w:ascii="Palatino Linotype" w:hAnsi="Palatino Linotype"/>
          <w:color w:val="000000" w:themeColor="text1"/>
        </w:rPr>
      </w:pPr>
    </w:p>
    <w:p w14:paraId="266E9DC5" w14:textId="77777777" w:rsidR="00947C3B" w:rsidRPr="00CC2284" w:rsidRDefault="00947C3B" w:rsidP="00CC2284">
      <w:pPr>
        <w:spacing w:line="360" w:lineRule="auto"/>
        <w:jc w:val="both"/>
        <w:rPr>
          <w:rFonts w:ascii="Palatino Linotype" w:hAnsi="Palatino Linotype"/>
          <w:color w:val="000000" w:themeColor="text1"/>
        </w:rPr>
      </w:pPr>
    </w:p>
    <w:p w14:paraId="7CA75E23" w14:textId="77777777" w:rsidR="00947C3B" w:rsidRPr="00CC2284" w:rsidRDefault="00947C3B" w:rsidP="00CC2284">
      <w:pPr>
        <w:spacing w:line="360" w:lineRule="auto"/>
        <w:rPr>
          <w:rFonts w:ascii="Palatino Linotype" w:hAnsi="Palatino Linotype"/>
          <w:color w:val="000000" w:themeColor="text1"/>
        </w:rPr>
      </w:pPr>
    </w:p>
    <w:p w14:paraId="3BD3612C" w14:textId="77777777" w:rsidR="00947C3B" w:rsidRPr="00CC2284" w:rsidRDefault="00947C3B" w:rsidP="00CC2284">
      <w:pPr>
        <w:spacing w:line="360" w:lineRule="auto"/>
        <w:rPr>
          <w:rFonts w:ascii="Palatino Linotype" w:hAnsi="Palatino Linotype"/>
          <w:color w:val="000000" w:themeColor="text1"/>
        </w:rPr>
      </w:pPr>
    </w:p>
    <w:p w14:paraId="3743A396" w14:textId="77777777" w:rsidR="00947C3B" w:rsidRPr="00CC2284" w:rsidRDefault="00947C3B" w:rsidP="00CC2284">
      <w:pPr>
        <w:spacing w:line="360" w:lineRule="auto"/>
        <w:rPr>
          <w:rFonts w:ascii="Palatino Linotype" w:hAnsi="Palatino Linotype"/>
          <w:color w:val="000000" w:themeColor="text1"/>
        </w:rPr>
      </w:pPr>
    </w:p>
    <w:p w14:paraId="38E779B9" w14:textId="77777777" w:rsidR="00947C3B" w:rsidRPr="00CC2284" w:rsidRDefault="00947C3B" w:rsidP="00CC2284">
      <w:pPr>
        <w:spacing w:line="360" w:lineRule="auto"/>
        <w:rPr>
          <w:rFonts w:ascii="Palatino Linotype" w:hAnsi="Palatino Linotype"/>
          <w:color w:val="000000" w:themeColor="text1"/>
        </w:rPr>
      </w:pPr>
    </w:p>
    <w:p w14:paraId="23358BF2" w14:textId="77777777" w:rsidR="00947C3B" w:rsidRPr="00CC2284" w:rsidRDefault="00947C3B" w:rsidP="00CC2284">
      <w:pPr>
        <w:spacing w:line="360" w:lineRule="auto"/>
        <w:rPr>
          <w:rFonts w:ascii="Palatino Linotype" w:hAnsi="Palatino Linotype"/>
          <w:color w:val="000000" w:themeColor="text1"/>
        </w:rPr>
      </w:pPr>
    </w:p>
    <w:p w14:paraId="58467F4E" w14:textId="77777777" w:rsidR="00947C3B" w:rsidRPr="00CC2284" w:rsidRDefault="00947C3B" w:rsidP="00CC2284">
      <w:pPr>
        <w:spacing w:line="360" w:lineRule="auto"/>
        <w:rPr>
          <w:rFonts w:ascii="Palatino Linotype" w:hAnsi="Palatino Linotype"/>
          <w:color w:val="000000" w:themeColor="text1"/>
        </w:rPr>
      </w:pPr>
    </w:p>
    <w:p w14:paraId="238EBC9D" w14:textId="77777777" w:rsidR="00947C3B" w:rsidRPr="00CC2284" w:rsidRDefault="00947C3B" w:rsidP="00CC2284">
      <w:pPr>
        <w:spacing w:line="360" w:lineRule="auto"/>
        <w:rPr>
          <w:rFonts w:ascii="Palatino Linotype" w:hAnsi="Palatino Linotype"/>
          <w:color w:val="000000" w:themeColor="text1"/>
        </w:rPr>
      </w:pPr>
    </w:p>
    <w:p w14:paraId="35E68E61" w14:textId="77777777" w:rsidR="00947C3B" w:rsidRPr="00CC2284" w:rsidRDefault="00947C3B" w:rsidP="00CC2284">
      <w:pPr>
        <w:tabs>
          <w:tab w:val="left" w:pos="3374"/>
        </w:tabs>
        <w:spacing w:line="360" w:lineRule="auto"/>
        <w:rPr>
          <w:rFonts w:ascii="Palatino Linotype" w:hAnsi="Palatino Linotype"/>
          <w:color w:val="000000" w:themeColor="text1"/>
        </w:rPr>
      </w:pPr>
      <w:r w:rsidRPr="00CC2284">
        <w:rPr>
          <w:rFonts w:ascii="Palatino Linotype" w:hAnsi="Palatino Linotype"/>
          <w:color w:val="000000" w:themeColor="text1"/>
        </w:rPr>
        <w:tab/>
      </w:r>
    </w:p>
    <w:p w14:paraId="68F0F3AE" w14:textId="77777777" w:rsidR="00947C3B" w:rsidRPr="00CC2284" w:rsidRDefault="00947C3B" w:rsidP="00CC2284">
      <w:pPr>
        <w:tabs>
          <w:tab w:val="left" w:pos="3374"/>
        </w:tabs>
        <w:spacing w:line="360" w:lineRule="auto"/>
        <w:rPr>
          <w:rFonts w:ascii="Palatino Linotype" w:hAnsi="Palatino Linotype"/>
          <w:color w:val="000000" w:themeColor="text1"/>
        </w:rPr>
      </w:pPr>
    </w:p>
    <w:p w14:paraId="7EC14F3F" w14:textId="77777777" w:rsidR="00947C3B" w:rsidRPr="00CC2284" w:rsidRDefault="00947C3B" w:rsidP="00CC2284">
      <w:pPr>
        <w:tabs>
          <w:tab w:val="left" w:pos="3374"/>
        </w:tabs>
        <w:spacing w:line="360" w:lineRule="auto"/>
        <w:rPr>
          <w:rFonts w:ascii="Palatino Linotype" w:hAnsi="Palatino Linotype"/>
          <w:color w:val="000000" w:themeColor="text1"/>
        </w:rPr>
      </w:pPr>
    </w:p>
    <w:p w14:paraId="590A1973" w14:textId="77777777" w:rsidR="00947C3B" w:rsidRPr="00CC2284" w:rsidRDefault="00947C3B" w:rsidP="00CC2284">
      <w:pPr>
        <w:tabs>
          <w:tab w:val="left" w:pos="3374"/>
        </w:tabs>
        <w:spacing w:line="360" w:lineRule="auto"/>
        <w:rPr>
          <w:rFonts w:ascii="Palatino Linotype" w:hAnsi="Palatino Linotype"/>
          <w:color w:val="000000" w:themeColor="text1"/>
        </w:rPr>
      </w:pPr>
    </w:p>
    <w:p w14:paraId="737F2A77" w14:textId="77777777" w:rsidR="00947C3B" w:rsidRPr="00CC2284" w:rsidRDefault="00947C3B" w:rsidP="00CC2284">
      <w:pPr>
        <w:tabs>
          <w:tab w:val="left" w:pos="3374"/>
        </w:tabs>
        <w:spacing w:line="360" w:lineRule="auto"/>
        <w:rPr>
          <w:rFonts w:ascii="Palatino Linotype" w:hAnsi="Palatino Linotype"/>
          <w:color w:val="000000" w:themeColor="text1"/>
        </w:rPr>
      </w:pPr>
    </w:p>
    <w:p w14:paraId="708D0154" w14:textId="77777777" w:rsidR="00947C3B" w:rsidRPr="00CC2284" w:rsidRDefault="00947C3B" w:rsidP="00CC2284">
      <w:pPr>
        <w:tabs>
          <w:tab w:val="left" w:pos="3374"/>
        </w:tabs>
        <w:spacing w:line="360" w:lineRule="auto"/>
        <w:rPr>
          <w:rFonts w:ascii="Palatino Linotype" w:hAnsi="Palatino Linotype"/>
          <w:color w:val="000000" w:themeColor="text1"/>
        </w:rPr>
      </w:pPr>
    </w:p>
    <w:p w14:paraId="6C78D525" w14:textId="77777777" w:rsidR="00947C3B" w:rsidRPr="00CC2284" w:rsidRDefault="00947C3B" w:rsidP="00CC2284">
      <w:pPr>
        <w:tabs>
          <w:tab w:val="left" w:pos="3374"/>
        </w:tabs>
        <w:spacing w:line="360" w:lineRule="auto"/>
        <w:rPr>
          <w:rFonts w:ascii="Palatino Linotype" w:hAnsi="Palatino Linotype"/>
          <w:color w:val="000000" w:themeColor="text1"/>
        </w:rPr>
      </w:pPr>
    </w:p>
    <w:p w14:paraId="7295E05A" w14:textId="77777777" w:rsidR="00947C3B" w:rsidRPr="00CC2284" w:rsidRDefault="00947C3B" w:rsidP="00CC2284">
      <w:pPr>
        <w:tabs>
          <w:tab w:val="left" w:pos="3374"/>
        </w:tabs>
        <w:spacing w:line="360" w:lineRule="auto"/>
        <w:rPr>
          <w:rFonts w:ascii="Palatino Linotype" w:hAnsi="Palatino Linotype"/>
          <w:color w:val="000000" w:themeColor="text1"/>
        </w:rPr>
      </w:pPr>
    </w:p>
    <w:p w14:paraId="7ACCDCE5" w14:textId="77777777" w:rsidR="00947C3B" w:rsidRPr="00CC2284" w:rsidRDefault="00947C3B" w:rsidP="00CC2284">
      <w:pPr>
        <w:tabs>
          <w:tab w:val="left" w:pos="3374"/>
        </w:tabs>
        <w:spacing w:line="360" w:lineRule="auto"/>
        <w:rPr>
          <w:rFonts w:ascii="Palatino Linotype" w:hAnsi="Palatino Linotype"/>
          <w:color w:val="000000" w:themeColor="text1"/>
        </w:rPr>
      </w:pPr>
    </w:p>
    <w:p w14:paraId="2043354E" w14:textId="77777777" w:rsidR="00947C3B" w:rsidRPr="00CC2284" w:rsidRDefault="00947C3B" w:rsidP="00CC2284">
      <w:pPr>
        <w:tabs>
          <w:tab w:val="left" w:pos="3374"/>
        </w:tabs>
        <w:spacing w:line="360" w:lineRule="auto"/>
        <w:rPr>
          <w:rFonts w:ascii="Palatino Linotype" w:hAnsi="Palatino Linotype"/>
          <w:color w:val="000000" w:themeColor="text1"/>
        </w:rPr>
      </w:pPr>
    </w:p>
    <w:p w14:paraId="4D60AB68" w14:textId="77777777" w:rsidR="00947C3B" w:rsidRPr="00CC2284" w:rsidRDefault="00947C3B" w:rsidP="00CC2284">
      <w:pPr>
        <w:tabs>
          <w:tab w:val="left" w:pos="3374"/>
        </w:tabs>
        <w:spacing w:line="360" w:lineRule="auto"/>
        <w:rPr>
          <w:rFonts w:ascii="Palatino Linotype" w:hAnsi="Palatino Linotype"/>
          <w:color w:val="000000" w:themeColor="text1"/>
        </w:rPr>
      </w:pPr>
    </w:p>
    <w:p w14:paraId="109C85DB" w14:textId="77777777" w:rsidR="00947C3B" w:rsidRPr="00CC2284" w:rsidRDefault="00947C3B" w:rsidP="00CC2284">
      <w:pPr>
        <w:spacing w:line="360" w:lineRule="auto"/>
        <w:rPr>
          <w:rFonts w:ascii="Palatino Linotype" w:hAnsi="Palatino Linotype"/>
          <w:color w:val="000000" w:themeColor="text1"/>
        </w:rPr>
      </w:pPr>
    </w:p>
    <w:p w14:paraId="5FC7EA90" w14:textId="77777777" w:rsidR="00947C3B" w:rsidRPr="00CC2284" w:rsidRDefault="00947C3B" w:rsidP="00CC2284">
      <w:pPr>
        <w:spacing w:line="360" w:lineRule="auto"/>
        <w:rPr>
          <w:rFonts w:ascii="Palatino Linotype" w:hAnsi="Palatino Linotype"/>
          <w:color w:val="000000" w:themeColor="text1"/>
        </w:rPr>
      </w:pPr>
    </w:p>
    <w:p w14:paraId="2F069714" w14:textId="77777777" w:rsidR="006603F1" w:rsidRPr="00CC2284" w:rsidRDefault="006603F1" w:rsidP="00CC2284">
      <w:pPr>
        <w:spacing w:line="360" w:lineRule="auto"/>
        <w:rPr>
          <w:rFonts w:ascii="Palatino Linotype" w:hAnsi="Palatino Linotype"/>
          <w:color w:val="000000" w:themeColor="text1"/>
        </w:rPr>
      </w:pPr>
    </w:p>
    <w:p w14:paraId="292C151D" w14:textId="77777777" w:rsidR="00A068EA" w:rsidRPr="00CC2284" w:rsidRDefault="00A068EA" w:rsidP="00CC2284">
      <w:pPr>
        <w:spacing w:line="360" w:lineRule="auto"/>
        <w:rPr>
          <w:rFonts w:ascii="Palatino Linotype" w:hAnsi="Palatino Linotype"/>
          <w:color w:val="000000" w:themeColor="text1"/>
        </w:rPr>
      </w:pPr>
    </w:p>
    <w:sectPr w:rsidR="00A068EA" w:rsidRPr="00CC2284" w:rsidSect="00EF7B8A">
      <w:headerReference w:type="even" r:id="rId11"/>
      <w:headerReference w:type="default" r:id="rId12"/>
      <w:footerReference w:type="default" r:id="rId13"/>
      <w:headerReference w:type="first" r:id="rId14"/>
      <w:footerReference w:type="first" r:id="rId15"/>
      <w:pgSz w:w="12240" w:h="15840"/>
      <w:pgMar w:top="2269" w:right="900"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C2F77" w14:textId="77777777" w:rsidR="00EA2AD5" w:rsidRDefault="00EA2AD5" w:rsidP="00947C3B">
      <w:r>
        <w:separator/>
      </w:r>
    </w:p>
  </w:endnote>
  <w:endnote w:type="continuationSeparator" w:id="0">
    <w:p w14:paraId="043628CE" w14:textId="77777777" w:rsidR="00EA2AD5" w:rsidRDefault="00EA2AD5"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20535"/>
      <w:docPartObj>
        <w:docPartGallery w:val="Page Numbers (Bottom of Page)"/>
        <w:docPartUnique/>
      </w:docPartObj>
    </w:sdtPr>
    <w:sdtContent>
      <w:sdt>
        <w:sdtPr>
          <w:id w:val="-304543947"/>
          <w:docPartObj>
            <w:docPartGallery w:val="Page Numbers (Top of Page)"/>
            <w:docPartUnique/>
          </w:docPartObj>
        </w:sdtPr>
        <w:sdtContent>
          <w:p w14:paraId="5D5FCC44" w14:textId="77777777" w:rsidR="00140617" w:rsidRPr="002D6DD8" w:rsidRDefault="00140617"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4DB3">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14DB3">
              <w:rPr>
                <w:rFonts w:ascii="Palatino Linotype" w:hAnsi="Palatino Linotype"/>
                <w:bCs/>
                <w:noProof/>
                <w:sz w:val="20"/>
              </w:rPr>
              <w:t>61</w:t>
            </w:r>
            <w:r>
              <w:rPr>
                <w:rFonts w:ascii="Palatino Linotype" w:hAnsi="Palatino Linotype"/>
                <w:bCs/>
                <w:noProof/>
                <w:sz w:val="20"/>
              </w:rPr>
              <w:fldChar w:fldCharType="end"/>
            </w:r>
          </w:p>
        </w:sdtContent>
      </w:sdt>
    </w:sdtContent>
  </w:sdt>
  <w:p w14:paraId="3F2C2FE9" w14:textId="77777777" w:rsidR="00140617" w:rsidRDefault="001406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140617" w:rsidRPr="000B69FA" w:rsidRDefault="00140617"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4D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14DB3">
      <w:rPr>
        <w:rFonts w:ascii="Palatino Linotype" w:hAnsi="Palatino Linotype"/>
        <w:bCs/>
        <w:noProof/>
        <w:sz w:val="20"/>
      </w:rPr>
      <w:t>61</w:t>
    </w:r>
    <w:r>
      <w:rPr>
        <w:rFonts w:ascii="Palatino Linotype" w:hAnsi="Palatino Linotype"/>
        <w:bCs/>
        <w:noProof/>
        <w:sz w:val="20"/>
      </w:rPr>
      <w:fldChar w:fldCharType="end"/>
    </w:r>
  </w:p>
  <w:p w14:paraId="5CFAB42E" w14:textId="77777777" w:rsidR="00140617" w:rsidRDefault="001406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70779" w14:textId="77777777" w:rsidR="00EA2AD5" w:rsidRDefault="00EA2AD5" w:rsidP="00947C3B">
      <w:r>
        <w:separator/>
      </w:r>
    </w:p>
  </w:footnote>
  <w:footnote w:type="continuationSeparator" w:id="0">
    <w:p w14:paraId="5886EBB5" w14:textId="77777777" w:rsidR="00EA2AD5" w:rsidRDefault="00EA2AD5" w:rsidP="00947C3B">
      <w:r>
        <w:continuationSeparator/>
      </w:r>
    </w:p>
  </w:footnote>
  <w:footnote w:id="1">
    <w:p w14:paraId="5535140D" w14:textId="77777777" w:rsidR="00140617" w:rsidRPr="008A3C06" w:rsidRDefault="00140617" w:rsidP="00094E89">
      <w:pPr>
        <w:jc w:val="both"/>
        <w:rPr>
          <w:rFonts w:ascii="Palatino Linotype" w:hAnsi="Palatino Linotype"/>
          <w:i/>
          <w:sz w:val="16"/>
          <w:szCs w:val="16"/>
        </w:rPr>
      </w:pPr>
      <w:r>
        <w:rPr>
          <w:rStyle w:val="Refdenotaalpie"/>
        </w:rPr>
        <w:footnoteRef/>
      </w:r>
      <w:r>
        <w:t xml:space="preserve"> “</w:t>
      </w:r>
      <w:r w:rsidRPr="008A3C06">
        <w:rPr>
          <w:rFonts w:ascii="Palatino Linotype" w:hAnsi="Palatino Linotype"/>
          <w:b/>
          <w:i/>
          <w:sz w:val="16"/>
          <w:szCs w:val="16"/>
        </w:rPr>
        <w:t>PRINCIPIO DE INTERPRETACIÓN MÁS FAVORABLE A LA PERSONA. ES APLICABLE RESPECTO DE LAS NORMAS RELATIVAS A LOS DERECHOS HUMANOS DE LOS QUE SEAN TITULARES LAS PERSONAS MORALES.</w:t>
      </w:r>
      <w:r w:rsidRPr="008A3C06">
        <w:rPr>
          <w:rFonts w:ascii="Palatino Linotype" w:hAnsi="Palatino Linotype"/>
          <w:i/>
          <w:sz w:val="16"/>
          <w:szCs w:val="16"/>
        </w:rPr>
        <w:t xml:space="preserve">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w:t>
      </w:r>
      <w:r>
        <w:rPr>
          <w:rFonts w:ascii="Palatino Linotype" w:hAnsi="Palatino Linotype"/>
          <w:i/>
          <w:sz w:val="16"/>
          <w:szCs w:val="16"/>
        </w:rPr>
        <w:t>”</w:t>
      </w:r>
    </w:p>
    <w:p w14:paraId="704F2670" w14:textId="77777777" w:rsidR="00140617" w:rsidRDefault="00140617" w:rsidP="00094E89"/>
    <w:p w14:paraId="27829039" w14:textId="77777777" w:rsidR="00140617" w:rsidRDefault="00140617" w:rsidP="00094E89">
      <w:pPr>
        <w:pStyle w:val="Textonotapie"/>
      </w:pPr>
    </w:p>
  </w:footnote>
  <w:footnote w:id="2">
    <w:p w14:paraId="72D6F4BD" w14:textId="77777777" w:rsidR="00140617" w:rsidRPr="004B51DC" w:rsidRDefault="00140617" w:rsidP="002E32F8">
      <w:pPr>
        <w:pStyle w:val="Textonotapie"/>
        <w:jc w:val="both"/>
        <w:rPr>
          <w:rFonts w:ascii="Palatino Linotype" w:hAnsi="Palatino Linotype"/>
          <w:sz w:val="16"/>
          <w:szCs w:val="16"/>
        </w:rPr>
      </w:pPr>
      <w:r w:rsidRPr="004B51DC">
        <w:rPr>
          <w:rStyle w:val="Refdenotaalpie"/>
          <w:rFonts w:ascii="Palatino Linotype" w:hAnsi="Palatino Linotype"/>
          <w:sz w:val="16"/>
          <w:szCs w:val="16"/>
        </w:rPr>
        <w:footnoteRef/>
      </w:r>
      <w:r w:rsidRPr="004B51DC">
        <w:rPr>
          <w:rFonts w:ascii="Palatino Linotype" w:hAnsi="Palatino Linotype"/>
          <w:sz w:val="16"/>
          <w:szCs w:val="16"/>
        </w:rPr>
        <w:t xml:space="preserve"> Publicado en el Diario Oficial de la Federación en septiembre de dos mil seis.</w:t>
      </w:r>
    </w:p>
  </w:footnote>
  <w:footnote w:id="3">
    <w:p w14:paraId="1F834D8D" w14:textId="77777777" w:rsidR="00140617" w:rsidRDefault="00140617" w:rsidP="006C0D60">
      <w:pPr>
        <w:pStyle w:val="Textonotapie"/>
      </w:pPr>
      <w:r>
        <w:rPr>
          <w:rStyle w:val="Refdenotaalpie"/>
        </w:rPr>
        <w:footnoteRef/>
      </w:r>
      <w:r>
        <w:t xml:space="preserve"> Convención Americana sobre Derechos Humanos. Artículo 13.</w:t>
      </w:r>
    </w:p>
  </w:footnote>
  <w:footnote w:id="4">
    <w:p w14:paraId="0B42E887" w14:textId="77777777" w:rsidR="00140617" w:rsidRDefault="00140617" w:rsidP="006C0D60">
      <w:pPr>
        <w:pStyle w:val="Textonotapie"/>
      </w:pPr>
      <w:r>
        <w:rPr>
          <w:rStyle w:val="Refdenotaalpie"/>
        </w:rPr>
        <w:footnoteRef/>
      </w:r>
      <w:r>
        <w:t xml:space="preserve"> Constitución Política de los Estados Unidos Mexicanos. Artículo sexto, sección A, Fracción I.</w:t>
      </w:r>
    </w:p>
  </w:footnote>
  <w:footnote w:id="5">
    <w:p w14:paraId="20DF2F67" w14:textId="77777777" w:rsidR="00140617" w:rsidRPr="00F411B8" w:rsidRDefault="00140617"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2D2A4A47" w14:textId="77777777" w:rsidR="00140617" w:rsidRPr="00F411B8" w:rsidRDefault="00140617" w:rsidP="006C0D6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7">
    <w:p w14:paraId="4A7040B0" w14:textId="77777777" w:rsidR="00140617" w:rsidRDefault="00140617" w:rsidP="006C0D6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8">
    <w:p w14:paraId="4F6E70EF" w14:textId="77777777" w:rsidR="00140617" w:rsidRDefault="00140617" w:rsidP="006C0D60">
      <w:pPr>
        <w:pStyle w:val="Textonotapie"/>
      </w:pPr>
      <w:r>
        <w:rPr>
          <w:rStyle w:val="Refdenotaalpie"/>
        </w:rPr>
        <w:footnoteRef/>
      </w:r>
      <w:r>
        <w:t xml:space="preserve"> Ley de Transparencia y Acceso a la Información Pública del Estado de México y Municipios. Artículo 9. …</w:t>
      </w:r>
    </w:p>
    <w:p w14:paraId="5AEF6839" w14:textId="77777777" w:rsidR="00140617" w:rsidRDefault="00140617" w:rsidP="006C0D60">
      <w:pPr>
        <w:pStyle w:val="Textonotapie"/>
      </w:pPr>
      <w:r>
        <w:t>II. Eficacia: Obligación del Instituto para tutelar, de manera efectiva, el derecho de acceso a la información;</w:t>
      </w:r>
    </w:p>
    <w:p w14:paraId="2D7E4606" w14:textId="77777777" w:rsidR="00140617" w:rsidRDefault="00140617" w:rsidP="006C0D6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140617" w:rsidRDefault="00140617">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CellMar>
        <w:left w:w="70" w:type="dxa"/>
        <w:right w:w="70" w:type="dxa"/>
      </w:tblCellMar>
      <w:tblLook w:val="04A0" w:firstRow="1" w:lastRow="0" w:firstColumn="1" w:lastColumn="0" w:noHBand="0" w:noVBand="1"/>
    </w:tblPr>
    <w:tblGrid>
      <w:gridCol w:w="2976"/>
      <w:gridCol w:w="3543"/>
    </w:tblGrid>
    <w:tr w:rsidR="00140617" w14:paraId="10AE6F9E" w14:textId="77777777" w:rsidTr="00EF7B8A">
      <w:trPr>
        <w:trHeight w:val="227"/>
      </w:trPr>
      <w:tc>
        <w:tcPr>
          <w:tcW w:w="2976" w:type="dxa"/>
          <w:vAlign w:val="center"/>
          <w:hideMark/>
        </w:tcPr>
        <w:p w14:paraId="046C485E" w14:textId="77777777" w:rsidR="00140617" w:rsidRPr="00CC2284" w:rsidRDefault="00140617" w:rsidP="007B20F5">
          <w:pPr>
            <w:ind w:right="34"/>
            <w:jc w:val="right"/>
            <w:rPr>
              <w:rFonts w:ascii="Palatino Linotype" w:hAnsi="Palatino Linotype"/>
              <w:b/>
            </w:rPr>
          </w:pPr>
          <w:r w:rsidRPr="00CC2284">
            <w:rPr>
              <w:rFonts w:ascii="Palatino Linotype" w:hAnsi="Palatino Linotype"/>
              <w:b/>
            </w:rPr>
            <w:t>Recurso de Revisión:</w:t>
          </w:r>
        </w:p>
      </w:tc>
      <w:tc>
        <w:tcPr>
          <w:tcW w:w="3543" w:type="dxa"/>
          <w:vAlign w:val="center"/>
          <w:hideMark/>
        </w:tcPr>
        <w:p w14:paraId="4920F6F2" w14:textId="2E0B92BB" w:rsidR="00140617" w:rsidRPr="00CC2284" w:rsidRDefault="00140617" w:rsidP="00C27016">
          <w:pPr>
            <w:pStyle w:val="Encabezado"/>
            <w:rPr>
              <w:rFonts w:ascii="Palatino Linotype" w:hAnsi="Palatino Linotype"/>
            </w:rPr>
          </w:pPr>
          <w:r w:rsidRPr="00CC2284">
            <w:rPr>
              <w:rFonts w:ascii="Palatino Linotype" w:hAnsi="Palatino Linotype" w:cs="Arial"/>
              <w:bCs/>
              <w:lang w:eastAsia="es-MX"/>
            </w:rPr>
            <w:t>03828/INFOEM/IP/RR/2025</w:t>
          </w:r>
        </w:p>
      </w:tc>
    </w:tr>
    <w:tr w:rsidR="00140617" w14:paraId="700CAD85" w14:textId="77777777" w:rsidTr="00EF7B8A">
      <w:trPr>
        <w:trHeight w:val="242"/>
      </w:trPr>
      <w:tc>
        <w:tcPr>
          <w:tcW w:w="2976" w:type="dxa"/>
          <w:vAlign w:val="center"/>
          <w:hideMark/>
        </w:tcPr>
        <w:p w14:paraId="0EFCC1BD" w14:textId="77777777" w:rsidR="00140617" w:rsidRPr="00CC2284" w:rsidRDefault="00140617" w:rsidP="007B20F5">
          <w:pPr>
            <w:ind w:right="34"/>
            <w:jc w:val="right"/>
            <w:rPr>
              <w:rFonts w:ascii="Palatino Linotype" w:hAnsi="Palatino Linotype"/>
              <w:b/>
            </w:rPr>
          </w:pPr>
          <w:r w:rsidRPr="00CC2284">
            <w:rPr>
              <w:rFonts w:ascii="Palatino Linotype" w:hAnsi="Palatino Linotype"/>
              <w:b/>
            </w:rPr>
            <w:t>Sujeto Obligado:</w:t>
          </w:r>
        </w:p>
      </w:tc>
      <w:tc>
        <w:tcPr>
          <w:tcW w:w="3543" w:type="dxa"/>
          <w:vAlign w:val="center"/>
          <w:hideMark/>
        </w:tcPr>
        <w:p w14:paraId="11A13220" w14:textId="0200EBA0" w:rsidR="00140617" w:rsidRPr="00CC2284" w:rsidRDefault="00140617" w:rsidP="00362AAF">
          <w:pPr>
            <w:pStyle w:val="Encabezado"/>
            <w:ind w:right="212"/>
            <w:jc w:val="both"/>
            <w:rPr>
              <w:rFonts w:ascii="Palatino Linotype" w:hAnsi="Palatino Linotype"/>
            </w:rPr>
          </w:pPr>
          <w:r w:rsidRPr="00CC2284">
            <w:rPr>
              <w:rFonts w:ascii="Palatino Linotype" w:hAnsi="Palatino Linotype"/>
            </w:rPr>
            <w:t>Ayuntamiento de Toluca</w:t>
          </w:r>
        </w:p>
      </w:tc>
    </w:tr>
    <w:tr w:rsidR="00140617" w14:paraId="459034F1" w14:textId="77777777" w:rsidTr="00EF7B8A">
      <w:trPr>
        <w:trHeight w:val="342"/>
      </w:trPr>
      <w:tc>
        <w:tcPr>
          <w:tcW w:w="2976" w:type="dxa"/>
          <w:vAlign w:val="center"/>
          <w:hideMark/>
        </w:tcPr>
        <w:p w14:paraId="3169B47D" w14:textId="77777777" w:rsidR="00140617" w:rsidRPr="00CC2284" w:rsidRDefault="00140617" w:rsidP="007B20F5">
          <w:pPr>
            <w:ind w:right="34"/>
            <w:jc w:val="right"/>
            <w:rPr>
              <w:rFonts w:ascii="Palatino Linotype" w:hAnsi="Palatino Linotype"/>
              <w:b/>
            </w:rPr>
          </w:pPr>
          <w:r w:rsidRPr="00CC2284">
            <w:rPr>
              <w:rFonts w:ascii="Palatino Linotype" w:hAnsi="Palatino Linotype"/>
              <w:b/>
            </w:rPr>
            <w:t>Comisionada Ponente:</w:t>
          </w:r>
        </w:p>
      </w:tc>
      <w:tc>
        <w:tcPr>
          <w:tcW w:w="3543" w:type="dxa"/>
          <w:vAlign w:val="center"/>
          <w:hideMark/>
        </w:tcPr>
        <w:p w14:paraId="3F3DEBEA" w14:textId="77777777" w:rsidR="00140617" w:rsidRPr="00CC2284" w:rsidRDefault="00140617" w:rsidP="007B20F5">
          <w:pPr>
            <w:pStyle w:val="Encabezado"/>
            <w:rPr>
              <w:rFonts w:ascii="Palatino Linotype" w:hAnsi="Palatino Linotype"/>
            </w:rPr>
          </w:pPr>
          <w:r w:rsidRPr="00CC2284">
            <w:rPr>
              <w:rFonts w:ascii="Palatino Linotype" w:hAnsi="Palatino Linotype"/>
            </w:rPr>
            <w:t>María del Rosario Mejía Ayala</w:t>
          </w:r>
        </w:p>
      </w:tc>
    </w:tr>
  </w:tbl>
  <w:p w14:paraId="484BDF96" w14:textId="77777777" w:rsidR="00140617" w:rsidRPr="00AE046A" w:rsidRDefault="00140617"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261" w:type="dxa"/>
      <w:tblCellMar>
        <w:left w:w="70" w:type="dxa"/>
        <w:right w:w="70" w:type="dxa"/>
      </w:tblCellMar>
      <w:tblLook w:val="04A0" w:firstRow="1" w:lastRow="0" w:firstColumn="1" w:lastColumn="0" w:noHBand="0" w:noVBand="1"/>
    </w:tblPr>
    <w:tblGrid>
      <w:gridCol w:w="2977"/>
      <w:gridCol w:w="3827"/>
    </w:tblGrid>
    <w:tr w:rsidR="00140617" w14:paraId="524ADC4D" w14:textId="77777777" w:rsidTr="00EF7B8A">
      <w:trPr>
        <w:trHeight w:val="227"/>
      </w:trPr>
      <w:tc>
        <w:tcPr>
          <w:tcW w:w="2977" w:type="dxa"/>
          <w:vAlign w:val="center"/>
          <w:hideMark/>
        </w:tcPr>
        <w:p w14:paraId="590A2358" w14:textId="77777777" w:rsidR="00140617" w:rsidRPr="00CC2284" w:rsidRDefault="00140617" w:rsidP="00CC2284">
          <w:pPr>
            <w:jc w:val="right"/>
            <w:rPr>
              <w:rFonts w:ascii="Palatino Linotype" w:hAnsi="Palatino Linotype"/>
              <w:b/>
              <w:color w:val="000000" w:themeColor="text1"/>
            </w:rPr>
          </w:pPr>
          <w:r w:rsidRPr="00CC2284">
            <w:rPr>
              <w:rFonts w:ascii="Palatino Linotype" w:hAnsi="Palatino Linotype"/>
              <w:b/>
              <w:color w:val="000000" w:themeColor="text1"/>
            </w:rPr>
            <w:t>Recurso de Revisión:</w:t>
          </w:r>
        </w:p>
      </w:tc>
      <w:tc>
        <w:tcPr>
          <w:tcW w:w="3827" w:type="dxa"/>
          <w:vAlign w:val="center"/>
          <w:hideMark/>
        </w:tcPr>
        <w:p w14:paraId="74FABDA8" w14:textId="107B8A2D" w:rsidR="00140617" w:rsidRPr="00CC2284" w:rsidRDefault="00140617" w:rsidP="00CC2284">
          <w:pPr>
            <w:pStyle w:val="Encabezado"/>
            <w:rPr>
              <w:rFonts w:ascii="Palatino Linotype" w:hAnsi="Palatino Linotype"/>
              <w:color w:val="000000" w:themeColor="text1"/>
            </w:rPr>
          </w:pPr>
          <w:r w:rsidRPr="00CC2284">
            <w:rPr>
              <w:rFonts w:ascii="Palatino Linotype" w:hAnsi="Palatino Linotype" w:cs="Arial"/>
              <w:bCs/>
              <w:color w:val="000000" w:themeColor="text1"/>
              <w:lang w:eastAsia="es-MX"/>
            </w:rPr>
            <w:t>03828/INFOEM/IP/RR/2025</w:t>
          </w:r>
        </w:p>
      </w:tc>
    </w:tr>
    <w:tr w:rsidR="00140617" w14:paraId="579BAB32" w14:textId="77777777" w:rsidTr="00EF7B8A">
      <w:trPr>
        <w:trHeight w:val="242"/>
      </w:trPr>
      <w:tc>
        <w:tcPr>
          <w:tcW w:w="2977" w:type="dxa"/>
          <w:vAlign w:val="center"/>
          <w:hideMark/>
        </w:tcPr>
        <w:p w14:paraId="1CF262FF" w14:textId="77777777" w:rsidR="00140617" w:rsidRPr="00CC2284" w:rsidRDefault="00140617" w:rsidP="00CC2284">
          <w:pPr>
            <w:jc w:val="right"/>
            <w:rPr>
              <w:rFonts w:ascii="Palatino Linotype" w:hAnsi="Palatino Linotype"/>
              <w:b/>
              <w:color w:val="000000" w:themeColor="text1"/>
            </w:rPr>
          </w:pPr>
          <w:r w:rsidRPr="00CC2284">
            <w:rPr>
              <w:rFonts w:ascii="Palatino Linotype" w:hAnsi="Palatino Linotype"/>
              <w:b/>
              <w:color w:val="000000" w:themeColor="text1"/>
            </w:rPr>
            <w:t>Recurrente:</w:t>
          </w:r>
        </w:p>
      </w:tc>
      <w:tc>
        <w:tcPr>
          <w:tcW w:w="3827" w:type="dxa"/>
          <w:hideMark/>
        </w:tcPr>
        <w:p w14:paraId="19CC8F21" w14:textId="11235738" w:rsidR="00140617" w:rsidRPr="00CC2284" w:rsidRDefault="00140617" w:rsidP="00CC2284">
          <w:pPr>
            <w:pStyle w:val="Encabezado"/>
            <w:tabs>
              <w:tab w:val="left" w:pos="521"/>
            </w:tabs>
            <w:rPr>
              <w:rFonts w:ascii="Palatino Linotype" w:hAnsi="Palatino Linotype"/>
              <w:color w:val="000000" w:themeColor="text1"/>
            </w:rPr>
          </w:pPr>
        </w:p>
      </w:tc>
    </w:tr>
    <w:tr w:rsidR="00140617" w14:paraId="11EF809E" w14:textId="77777777" w:rsidTr="00EF7B8A">
      <w:trPr>
        <w:trHeight w:val="342"/>
      </w:trPr>
      <w:tc>
        <w:tcPr>
          <w:tcW w:w="2977" w:type="dxa"/>
          <w:vAlign w:val="center"/>
        </w:tcPr>
        <w:p w14:paraId="0A037E93" w14:textId="77777777" w:rsidR="00140617" w:rsidRPr="00CC2284" w:rsidRDefault="00140617" w:rsidP="00CC2284">
          <w:pPr>
            <w:jc w:val="right"/>
            <w:rPr>
              <w:rFonts w:ascii="Palatino Linotype" w:hAnsi="Palatino Linotype"/>
              <w:b/>
              <w:color w:val="000000" w:themeColor="text1"/>
            </w:rPr>
          </w:pPr>
          <w:r w:rsidRPr="00CC2284">
            <w:rPr>
              <w:rFonts w:ascii="Palatino Linotype" w:hAnsi="Palatino Linotype"/>
              <w:b/>
              <w:color w:val="000000" w:themeColor="text1"/>
            </w:rPr>
            <w:t>Sujeto Obligado:</w:t>
          </w:r>
        </w:p>
      </w:tc>
      <w:tc>
        <w:tcPr>
          <w:tcW w:w="3827" w:type="dxa"/>
          <w:vAlign w:val="center"/>
        </w:tcPr>
        <w:p w14:paraId="431B85F9" w14:textId="36AEE30B" w:rsidR="00140617" w:rsidRPr="00CC2284" w:rsidRDefault="00140617" w:rsidP="00CC2284">
          <w:pPr>
            <w:pStyle w:val="Encabezado"/>
            <w:jc w:val="both"/>
            <w:rPr>
              <w:rFonts w:ascii="Palatino Linotype" w:hAnsi="Palatino Linotype"/>
              <w:color w:val="000000" w:themeColor="text1"/>
            </w:rPr>
          </w:pPr>
          <w:r w:rsidRPr="00CC2284">
            <w:rPr>
              <w:rFonts w:ascii="Palatino Linotype" w:hAnsi="Palatino Linotype"/>
              <w:bCs/>
              <w:color w:val="000000" w:themeColor="text1"/>
            </w:rPr>
            <w:t>Ayuntamiento de Toluca</w:t>
          </w:r>
        </w:p>
      </w:tc>
    </w:tr>
    <w:tr w:rsidR="00140617" w14:paraId="61FC427B" w14:textId="77777777" w:rsidTr="00EF7B8A">
      <w:trPr>
        <w:trHeight w:val="342"/>
      </w:trPr>
      <w:tc>
        <w:tcPr>
          <w:tcW w:w="2977" w:type="dxa"/>
          <w:vAlign w:val="center"/>
        </w:tcPr>
        <w:p w14:paraId="2C25FB1A" w14:textId="77777777" w:rsidR="00140617" w:rsidRPr="00CC2284" w:rsidRDefault="00140617" w:rsidP="00CC2284">
          <w:pPr>
            <w:jc w:val="right"/>
            <w:rPr>
              <w:rFonts w:ascii="Palatino Linotype" w:hAnsi="Palatino Linotype"/>
              <w:b/>
              <w:color w:val="000000" w:themeColor="text1"/>
            </w:rPr>
          </w:pPr>
          <w:r w:rsidRPr="00CC2284">
            <w:rPr>
              <w:rFonts w:ascii="Palatino Linotype" w:hAnsi="Palatino Linotype"/>
              <w:b/>
              <w:color w:val="000000" w:themeColor="text1"/>
            </w:rPr>
            <w:t>Comisionada Ponente:</w:t>
          </w:r>
        </w:p>
      </w:tc>
      <w:tc>
        <w:tcPr>
          <w:tcW w:w="3827" w:type="dxa"/>
          <w:vAlign w:val="center"/>
        </w:tcPr>
        <w:p w14:paraId="481ED5C8" w14:textId="77777777" w:rsidR="00140617" w:rsidRPr="00CC2284" w:rsidRDefault="00140617" w:rsidP="00CC2284">
          <w:pPr>
            <w:pStyle w:val="Encabezado"/>
            <w:rPr>
              <w:rFonts w:ascii="Palatino Linotype" w:hAnsi="Palatino Linotype"/>
              <w:color w:val="000000" w:themeColor="text1"/>
            </w:rPr>
          </w:pPr>
          <w:r w:rsidRPr="00CC2284">
            <w:rPr>
              <w:rFonts w:ascii="Palatino Linotype" w:hAnsi="Palatino Linotype"/>
              <w:color w:val="000000" w:themeColor="text1"/>
            </w:rPr>
            <w:t>María del Rosario Mejía Ayala</w:t>
          </w:r>
        </w:p>
      </w:tc>
    </w:tr>
  </w:tbl>
  <w:p w14:paraId="258F46F2" w14:textId="77777777" w:rsidR="00140617" w:rsidRPr="00C222C0" w:rsidRDefault="00140617">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4E50E004"/>
    <w:lvl w:ilvl="0" w:tplc="F5C4018E">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42E29F5"/>
    <w:multiLevelType w:val="hybridMultilevel"/>
    <w:tmpl w:val="9F2855C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4" w15:restartNumberingAfterBreak="0">
    <w:nsid w:val="57ED6FB8"/>
    <w:multiLevelType w:val="hybridMultilevel"/>
    <w:tmpl w:val="140210E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5"/>
  </w:num>
  <w:num w:numId="2">
    <w:abstractNumId w:val="13"/>
  </w:num>
  <w:num w:numId="3">
    <w:abstractNumId w:val="14"/>
  </w:num>
  <w:num w:numId="4">
    <w:abstractNumId w:val="9"/>
  </w:num>
  <w:num w:numId="5">
    <w:abstractNumId w:val="2"/>
  </w:num>
  <w:num w:numId="6">
    <w:abstractNumId w:val="3"/>
  </w:num>
  <w:num w:numId="7">
    <w:abstractNumId w:val="1"/>
  </w:num>
  <w:num w:numId="8">
    <w:abstractNumId w:val="1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16"/>
  </w:num>
  <w:num w:numId="13">
    <w:abstractNumId w:val="15"/>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8"/>
  </w:num>
  <w:num w:numId="18">
    <w:abstractNumId w:val="7"/>
  </w:num>
  <w:num w:numId="1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614D"/>
    <w:rsid w:val="00006A19"/>
    <w:rsid w:val="00015D6D"/>
    <w:rsid w:val="00016331"/>
    <w:rsid w:val="000209D9"/>
    <w:rsid w:val="00023AFA"/>
    <w:rsid w:val="00024B16"/>
    <w:rsid w:val="00026046"/>
    <w:rsid w:val="00027E0A"/>
    <w:rsid w:val="00035447"/>
    <w:rsid w:val="00053504"/>
    <w:rsid w:val="000572A1"/>
    <w:rsid w:val="00060D7D"/>
    <w:rsid w:val="00064D6B"/>
    <w:rsid w:val="000651CC"/>
    <w:rsid w:val="000656BD"/>
    <w:rsid w:val="0006774A"/>
    <w:rsid w:val="00067EAC"/>
    <w:rsid w:val="00087920"/>
    <w:rsid w:val="00091C25"/>
    <w:rsid w:val="00094E89"/>
    <w:rsid w:val="0009753E"/>
    <w:rsid w:val="000A457F"/>
    <w:rsid w:val="000B1E1A"/>
    <w:rsid w:val="000B31BE"/>
    <w:rsid w:val="000B4836"/>
    <w:rsid w:val="000C5E70"/>
    <w:rsid w:val="000D0A0A"/>
    <w:rsid w:val="000E337A"/>
    <w:rsid w:val="000E4CEE"/>
    <w:rsid w:val="000E6238"/>
    <w:rsid w:val="000E62C2"/>
    <w:rsid w:val="000E7DB1"/>
    <w:rsid w:val="000F1087"/>
    <w:rsid w:val="000F3BFD"/>
    <w:rsid w:val="000F7E04"/>
    <w:rsid w:val="00110A2B"/>
    <w:rsid w:val="00117ECD"/>
    <w:rsid w:val="0012027D"/>
    <w:rsid w:val="0012267C"/>
    <w:rsid w:val="00140617"/>
    <w:rsid w:val="00145A9D"/>
    <w:rsid w:val="0015089C"/>
    <w:rsid w:val="001617FC"/>
    <w:rsid w:val="00170CCF"/>
    <w:rsid w:val="00183490"/>
    <w:rsid w:val="00185F21"/>
    <w:rsid w:val="00186EC3"/>
    <w:rsid w:val="00193D79"/>
    <w:rsid w:val="001A2615"/>
    <w:rsid w:val="001A4926"/>
    <w:rsid w:val="001A7D36"/>
    <w:rsid w:val="001B2B33"/>
    <w:rsid w:val="001B7993"/>
    <w:rsid w:val="001B7FBD"/>
    <w:rsid w:val="001D1281"/>
    <w:rsid w:val="001D1FB9"/>
    <w:rsid w:val="001F6A02"/>
    <w:rsid w:val="00201F0C"/>
    <w:rsid w:val="0020235D"/>
    <w:rsid w:val="00202805"/>
    <w:rsid w:val="0021064F"/>
    <w:rsid w:val="002124C5"/>
    <w:rsid w:val="00213F35"/>
    <w:rsid w:val="00220F11"/>
    <w:rsid w:val="0023187D"/>
    <w:rsid w:val="00231E77"/>
    <w:rsid w:val="00243834"/>
    <w:rsid w:val="00244077"/>
    <w:rsid w:val="0024462E"/>
    <w:rsid w:val="00250F40"/>
    <w:rsid w:val="002552AE"/>
    <w:rsid w:val="00257347"/>
    <w:rsid w:val="00270528"/>
    <w:rsid w:val="002714A4"/>
    <w:rsid w:val="00282EA6"/>
    <w:rsid w:val="00295534"/>
    <w:rsid w:val="00296539"/>
    <w:rsid w:val="002A3EE3"/>
    <w:rsid w:val="002A7860"/>
    <w:rsid w:val="002B002A"/>
    <w:rsid w:val="002B117D"/>
    <w:rsid w:val="002E32F8"/>
    <w:rsid w:val="002E6729"/>
    <w:rsid w:val="002E6B14"/>
    <w:rsid w:val="00300B38"/>
    <w:rsid w:val="003151F2"/>
    <w:rsid w:val="0032243D"/>
    <w:rsid w:val="00323ABF"/>
    <w:rsid w:val="003274B8"/>
    <w:rsid w:val="003310EF"/>
    <w:rsid w:val="00337296"/>
    <w:rsid w:val="00341DB5"/>
    <w:rsid w:val="00345DB5"/>
    <w:rsid w:val="00346D45"/>
    <w:rsid w:val="00353125"/>
    <w:rsid w:val="00354C09"/>
    <w:rsid w:val="00362AAF"/>
    <w:rsid w:val="00373197"/>
    <w:rsid w:val="003812E3"/>
    <w:rsid w:val="003845E4"/>
    <w:rsid w:val="00387FAA"/>
    <w:rsid w:val="00390A21"/>
    <w:rsid w:val="003A4C01"/>
    <w:rsid w:val="003B1A04"/>
    <w:rsid w:val="003B2BC8"/>
    <w:rsid w:val="003B304A"/>
    <w:rsid w:val="003C4A87"/>
    <w:rsid w:val="003C4C55"/>
    <w:rsid w:val="003C56CC"/>
    <w:rsid w:val="003C7116"/>
    <w:rsid w:val="003D22E3"/>
    <w:rsid w:val="003D631A"/>
    <w:rsid w:val="003E5C79"/>
    <w:rsid w:val="003F7639"/>
    <w:rsid w:val="004016F0"/>
    <w:rsid w:val="004027AF"/>
    <w:rsid w:val="00407F62"/>
    <w:rsid w:val="0041452A"/>
    <w:rsid w:val="00414573"/>
    <w:rsid w:val="00416BD1"/>
    <w:rsid w:val="004174B7"/>
    <w:rsid w:val="004326FA"/>
    <w:rsid w:val="00432F10"/>
    <w:rsid w:val="00436406"/>
    <w:rsid w:val="004378B2"/>
    <w:rsid w:val="00444492"/>
    <w:rsid w:val="004508A5"/>
    <w:rsid w:val="004530C4"/>
    <w:rsid w:val="00462BEE"/>
    <w:rsid w:val="00471DF5"/>
    <w:rsid w:val="004721F4"/>
    <w:rsid w:val="00482083"/>
    <w:rsid w:val="004A510F"/>
    <w:rsid w:val="004A64CC"/>
    <w:rsid w:val="004B50D1"/>
    <w:rsid w:val="004C1CBA"/>
    <w:rsid w:val="004C3E30"/>
    <w:rsid w:val="004C674D"/>
    <w:rsid w:val="004D0A2D"/>
    <w:rsid w:val="004D0A62"/>
    <w:rsid w:val="004D6240"/>
    <w:rsid w:val="004E2829"/>
    <w:rsid w:val="004F19EA"/>
    <w:rsid w:val="004F1AAA"/>
    <w:rsid w:val="004F30A5"/>
    <w:rsid w:val="00501BA4"/>
    <w:rsid w:val="0051018B"/>
    <w:rsid w:val="0051023C"/>
    <w:rsid w:val="00523F17"/>
    <w:rsid w:val="00525D73"/>
    <w:rsid w:val="0052620D"/>
    <w:rsid w:val="00534B45"/>
    <w:rsid w:val="00540467"/>
    <w:rsid w:val="00555CCB"/>
    <w:rsid w:val="00576568"/>
    <w:rsid w:val="00582749"/>
    <w:rsid w:val="0058280F"/>
    <w:rsid w:val="00583555"/>
    <w:rsid w:val="005869D0"/>
    <w:rsid w:val="005913B5"/>
    <w:rsid w:val="00593CF1"/>
    <w:rsid w:val="00597221"/>
    <w:rsid w:val="005A4A49"/>
    <w:rsid w:val="005B194E"/>
    <w:rsid w:val="005B3CB5"/>
    <w:rsid w:val="005C188C"/>
    <w:rsid w:val="005E1F6D"/>
    <w:rsid w:val="005E75E6"/>
    <w:rsid w:val="005E7AE5"/>
    <w:rsid w:val="005F239F"/>
    <w:rsid w:val="005F346E"/>
    <w:rsid w:val="005F4B0D"/>
    <w:rsid w:val="005F78BC"/>
    <w:rsid w:val="00600CAF"/>
    <w:rsid w:val="00602CD7"/>
    <w:rsid w:val="00611EC6"/>
    <w:rsid w:val="00620D4E"/>
    <w:rsid w:val="00622211"/>
    <w:rsid w:val="00632EE6"/>
    <w:rsid w:val="00637039"/>
    <w:rsid w:val="00643662"/>
    <w:rsid w:val="006472D6"/>
    <w:rsid w:val="00660133"/>
    <w:rsid w:val="006603F1"/>
    <w:rsid w:val="00661F45"/>
    <w:rsid w:val="0066218E"/>
    <w:rsid w:val="00663CC7"/>
    <w:rsid w:val="006719AB"/>
    <w:rsid w:val="006768B4"/>
    <w:rsid w:val="00683AD3"/>
    <w:rsid w:val="00695A01"/>
    <w:rsid w:val="006965A1"/>
    <w:rsid w:val="00697547"/>
    <w:rsid w:val="006A2326"/>
    <w:rsid w:val="006A284C"/>
    <w:rsid w:val="006B0BBB"/>
    <w:rsid w:val="006B5DD4"/>
    <w:rsid w:val="006B6293"/>
    <w:rsid w:val="006C0042"/>
    <w:rsid w:val="006C0D60"/>
    <w:rsid w:val="006C26B3"/>
    <w:rsid w:val="006C38AA"/>
    <w:rsid w:val="006C4519"/>
    <w:rsid w:val="006D53E6"/>
    <w:rsid w:val="006E0C2E"/>
    <w:rsid w:val="006E0E31"/>
    <w:rsid w:val="006E62BC"/>
    <w:rsid w:val="006E6FA3"/>
    <w:rsid w:val="006F623F"/>
    <w:rsid w:val="006F721C"/>
    <w:rsid w:val="006F755A"/>
    <w:rsid w:val="006F7DAE"/>
    <w:rsid w:val="007042FD"/>
    <w:rsid w:val="00723044"/>
    <w:rsid w:val="007371C9"/>
    <w:rsid w:val="007549DA"/>
    <w:rsid w:val="00761F40"/>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0820"/>
    <w:rsid w:val="007C76F4"/>
    <w:rsid w:val="007D0496"/>
    <w:rsid w:val="007D0F2F"/>
    <w:rsid w:val="007D4EB8"/>
    <w:rsid w:val="007D6876"/>
    <w:rsid w:val="007E0D11"/>
    <w:rsid w:val="007E1957"/>
    <w:rsid w:val="007F2CBF"/>
    <w:rsid w:val="007F2F0D"/>
    <w:rsid w:val="008041C1"/>
    <w:rsid w:val="00811C22"/>
    <w:rsid w:val="008120F0"/>
    <w:rsid w:val="00813F39"/>
    <w:rsid w:val="008176E4"/>
    <w:rsid w:val="00820925"/>
    <w:rsid w:val="00822FD3"/>
    <w:rsid w:val="00823289"/>
    <w:rsid w:val="00824847"/>
    <w:rsid w:val="00824CD2"/>
    <w:rsid w:val="00826670"/>
    <w:rsid w:val="0083789B"/>
    <w:rsid w:val="008448FC"/>
    <w:rsid w:val="00850DF2"/>
    <w:rsid w:val="008529B2"/>
    <w:rsid w:val="00860785"/>
    <w:rsid w:val="00860906"/>
    <w:rsid w:val="00861658"/>
    <w:rsid w:val="008645A7"/>
    <w:rsid w:val="00871548"/>
    <w:rsid w:val="00872142"/>
    <w:rsid w:val="00876254"/>
    <w:rsid w:val="00876AAB"/>
    <w:rsid w:val="008809BF"/>
    <w:rsid w:val="00887A07"/>
    <w:rsid w:val="00895E63"/>
    <w:rsid w:val="008A09B0"/>
    <w:rsid w:val="008A1263"/>
    <w:rsid w:val="008A1551"/>
    <w:rsid w:val="008A2E83"/>
    <w:rsid w:val="008A5B46"/>
    <w:rsid w:val="008A7A76"/>
    <w:rsid w:val="008B24C3"/>
    <w:rsid w:val="008B4A85"/>
    <w:rsid w:val="008C5207"/>
    <w:rsid w:val="008C5CFA"/>
    <w:rsid w:val="008C687E"/>
    <w:rsid w:val="008C77DE"/>
    <w:rsid w:val="008D002B"/>
    <w:rsid w:val="008D17FB"/>
    <w:rsid w:val="008D4874"/>
    <w:rsid w:val="008E2C92"/>
    <w:rsid w:val="008E53E2"/>
    <w:rsid w:val="008F0527"/>
    <w:rsid w:val="008F2CA7"/>
    <w:rsid w:val="00902F51"/>
    <w:rsid w:val="00904950"/>
    <w:rsid w:val="009059B4"/>
    <w:rsid w:val="00906F69"/>
    <w:rsid w:val="00910CFB"/>
    <w:rsid w:val="0091683C"/>
    <w:rsid w:val="00916F04"/>
    <w:rsid w:val="009203CA"/>
    <w:rsid w:val="0092196C"/>
    <w:rsid w:val="009224F4"/>
    <w:rsid w:val="0093278E"/>
    <w:rsid w:val="009335A6"/>
    <w:rsid w:val="0093563F"/>
    <w:rsid w:val="009366E5"/>
    <w:rsid w:val="00940A85"/>
    <w:rsid w:val="0094220B"/>
    <w:rsid w:val="00942849"/>
    <w:rsid w:val="00942B6E"/>
    <w:rsid w:val="00947C3B"/>
    <w:rsid w:val="0095362F"/>
    <w:rsid w:val="009544AC"/>
    <w:rsid w:val="0095721E"/>
    <w:rsid w:val="00961A06"/>
    <w:rsid w:val="00962E49"/>
    <w:rsid w:val="009630A0"/>
    <w:rsid w:val="00963729"/>
    <w:rsid w:val="00966927"/>
    <w:rsid w:val="00971D71"/>
    <w:rsid w:val="00971E2D"/>
    <w:rsid w:val="009927BF"/>
    <w:rsid w:val="009A1041"/>
    <w:rsid w:val="009A47A2"/>
    <w:rsid w:val="009A69B5"/>
    <w:rsid w:val="009A6CD4"/>
    <w:rsid w:val="009B3001"/>
    <w:rsid w:val="009B4B73"/>
    <w:rsid w:val="009D3983"/>
    <w:rsid w:val="009D3E7B"/>
    <w:rsid w:val="009D7C5B"/>
    <w:rsid w:val="009E43FB"/>
    <w:rsid w:val="009E4878"/>
    <w:rsid w:val="009E5AB2"/>
    <w:rsid w:val="009E5F74"/>
    <w:rsid w:val="009E7218"/>
    <w:rsid w:val="009F0934"/>
    <w:rsid w:val="009F61C2"/>
    <w:rsid w:val="00A03B97"/>
    <w:rsid w:val="00A05153"/>
    <w:rsid w:val="00A051B3"/>
    <w:rsid w:val="00A068EA"/>
    <w:rsid w:val="00A102A9"/>
    <w:rsid w:val="00A14579"/>
    <w:rsid w:val="00A305C9"/>
    <w:rsid w:val="00A37FE1"/>
    <w:rsid w:val="00A4621F"/>
    <w:rsid w:val="00A52A22"/>
    <w:rsid w:val="00A560AE"/>
    <w:rsid w:val="00A5699A"/>
    <w:rsid w:val="00A579E0"/>
    <w:rsid w:val="00A61639"/>
    <w:rsid w:val="00A6642D"/>
    <w:rsid w:val="00A67E0B"/>
    <w:rsid w:val="00A700B0"/>
    <w:rsid w:val="00A726AD"/>
    <w:rsid w:val="00A72EED"/>
    <w:rsid w:val="00A74392"/>
    <w:rsid w:val="00A81A96"/>
    <w:rsid w:val="00A82805"/>
    <w:rsid w:val="00A9065D"/>
    <w:rsid w:val="00A90ABD"/>
    <w:rsid w:val="00A934AF"/>
    <w:rsid w:val="00AA131A"/>
    <w:rsid w:val="00AA713C"/>
    <w:rsid w:val="00AC2FBA"/>
    <w:rsid w:val="00AE423B"/>
    <w:rsid w:val="00AF07C8"/>
    <w:rsid w:val="00AF4CFE"/>
    <w:rsid w:val="00AF780B"/>
    <w:rsid w:val="00B0090F"/>
    <w:rsid w:val="00B03CB8"/>
    <w:rsid w:val="00B06227"/>
    <w:rsid w:val="00B160EF"/>
    <w:rsid w:val="00B20FF8"/>
    <w:rsid w:val="00B21AE5"/>
    <w:rsid w:val="00B24725"/>
    <w:rsid w:val="00B36476"/>
    <w:rsid w:val="00B45097"/>
    <w:rsid w:val="00B57EEB"/>
    <w:rsid w:val="00B6126E"/>
    <w:rsid w:val="00B64346"/>
    <w:rsid w:val="00B70988"/>
    <w:rsid w:val="00B72379"/>
    <w:rsid w:val="00B77121"/>
    <w:rsid w:val="00B83228"/>
    <w:rsid w:val="00B90932"/>
    <w:rsid w:val="00B951FB"/>
    <w:rsid w:val="00B97622"/>
    <w:rsid w:val="00BA07D5"/>
    <w:rsid w:val="00BA2C7A"/>
    <w:rsid w:val="00BB74FD"/>
    <w:rsid w:val="00BC1ECF"/>
    <w:rsid w:val="00BC2E4D"/>
    <w:rsid w:val="00BC656E"/>
    <w:rsid w:val="00BD0375"/>
    <w:rsid w:val="00BD550C"/>
    <w:rsid w:val="00BE7CD2"/>
    <w:rsid w:val="00BF4058"/>
    <w:rsid w:val="00C02534"/>
    <w:rsid w:val="00C07D34"/>
    <w:rsid w:val="00C11B27"/>
    <w:rsid w:val="00C12AB8"/>
    <w:rsid w:val="00C16D24"/>
    <w:rsid w:val="00C21D25"/>
    <w:rsid w:val="00C26B63"/>
    <w:rsid w:val="00C27016"/>
    <w:rsid w:val="00C306A5"/>
    <w:rsid w:val="00C43820"/>
    <w:rsid w:val="00C44421"/>
    <w:rsid w:val="00C47088"/>
    <w:rsid w:val="00C47A4B"/>
    <w:rsid w:val="00C52CCF"/>
    <w:rsid w:val="00C65E85"/>
    <w:rsid w:val="00C8259C"/>
    <w:rsid w:val="00C862A5"/>
    <w:rsid w:val="00C86A6F"/>
    <w:rsid w:val="00C8730C"/>
    <w:rsid w:val="00C95DEC"/>
    <w:rsid w:val="00C96D93"/>
    <w:rsid w:val="00C97223"/>
    <w:rsid w:val="00CA0529"/>
    <w:rsid w:val="00CA1D2E"/>
    <w:rsid w:val="00CA2FE8"/>
    <w:rsid w:val="00CA3F0F"/>
    <w:rsid w:val="00CA3F55"/>
    <w:rsid w:val="00CB1F02"/>
    <w:rsid w:val="00CB7F04"/>
    <w:rsid w:val="00CC0DEE"/>
    <w:rsid w:val="00CC2284"/>
    <w:rsid w:val="00CC2BA9"/>
    <w:rsid w:val="00CD4875"/>
    <w:rsid w:val="00CD4A41"/>
    <w:rsid w:val="00CD6CD8"/>
    <w:rsid w:val="00CE2522"/>
    <w:rsid w:val="00CE2AF9"/>
    <w:rsid w:val="00CE5F01"/>
    <w:rsid w:val="00CE6F0C"/>
    <w:rsid w:val="00CF045D"/>
    <w:rsid w:val="00CF3848"/>
    <w:rsid w:val="00CF4C30"/>
    <w:rsid w:val="00D0123C"/>
    <w:rsid w:val="00D01E18"/>
    <w:rsid w:val="00D0725E"/>
    <w:rsid w:val="00D14B83"/>
    <w:rsid w:val="00D177AD"/>
    <w:rsid w:val="00D2171B"/>
    <w:rsid w:val="00D224B4"/>
    <w:rsid w:val="00D27A84"/>
    <w:rsid w:val="00D332BC"/>
    <w:rsid w:val="00D3761C"/>
    <w:rsid w:val="00D40BA9"/>
    <w:rsid w:val="00D50D01"/>
    <w:rsid w:val="00D51815"/>
    <w:rsid w:val="00D5494C"/>
    <w:rsid w:val="00D549B8"/>
    <w:rsid w:val="00D56BEC"/>
    <w:rsid w:val="00D61B92"/>
    <w:rsid w:val="00D723F7"/>
    <w:rsid w:val="00D7305D"/>
    <w:rsid w:val="00DA0C08"/>
    <w:rsid w:val="00DA13F3"/>
    <w:rsid w:val="00DA5EB8"/>
    <w:rsid w:val="00DB3F94"/>
    <w:rsid w:val="00DB41ED"/>
    <w:rsid w:val="00DC3309"/>
    <w:rsid w:val="00DD28F1"/>
    <w:rsid w:val="00DD66E3"/>
    <w:rsid w:val="00E0091E"/>
    <w:rsid w:val="00E00AEB"/>
    <w:rsid w:val="00E03B45"/>
    <w:rsid w:val="00E048E2"/>
    <w:rsid w:val="00E10C49"/>
    <w:rsid w:val="00E15231"/>
    <w:rsid w:val="00E31399"/>
    <w:rsid w:val="00E319A7"/>
    <w:rsid w:val="00E37317"/>
    <w:rsid w:val="00E423BF"/>
    <w:rsid w:val="00E46171"/>
    <w:rsid w:val="00E47E94"/>
    <w:rsid w:val="00E50425"/>
    <w:rsid w:val="00E530B7"/>
    <w:rsid w:val="00E6230C"/>
    <w:rsid w:val="00E7267D"/>
    <w:rsid w:val="00E82518"/>
    <w:rsid w:val="00E85A61"/>
    <w:rsid w:val="00E876A9"/>
    <w:rsid w:val="00E925BD"/>
    <w:rsid w:val="00EA2AD5"/>
    <w:rsid w:val="00EA38A3"/>
    <w:rsid w:val="00EA6CE3"/>
    <w:rsid w:val="00EB5AC6"/>
    <w:rsid w:val="00EC1825"/>
    <w:rsid w:val="00EC3AAC"/>
    <w:rsid w:val="00ED159A"/>
    <w:rsid w:val="00ED6C32"/>
    <w:rsid w:val="00EE6E9E"/>
    <w:rsid w:val="00EF10D3"/>
    <w:rsid w:val="00EF7B8A"/>
    <w:rsid w:val="00F0290D"/>
    <w:rsid w:val="00F0638E"/>
    <w:rsid w:val="00F10B6D"/>
    <w:rsid w:val="00F1410A"/>
    <w:rsid w:val="00F14DB3"/>
    <w:rsid w:val="00F37F8C"/>
    <w:rsid w:val="00F43A8B"/>
    <w:rsid w:val="00F43CF8"/>
    <w:rsid w:val="00F443D1"/>
    <w:rsid w:val="00F46CF8"/>
    <w:rsid w:val="00F479F3"/>
    <w:rsid w:val="00F644C2"/>
    <w:rsid w:val="00F6469F"/>
    <w:rsid w:val="00F65804"/>
    <w:rsid w:val="00F72B3D"/>
    <w:rsid w:val="00F823B8"/>
    <w:rsid w:val="00F91BC6"/>
    <w:rsid w:val="00F9573F"/>
    <w:rsid w:val="00F97B2C"/>
    <w:rsid w:val="00FA24B6"/>
    <w:rsid w:val="00FA3831"/>
    <w:rsid w:val="00FA6577"/>
    <w:rsid w:val="00FB2FBB"/>
    <w:rsid w:val="00FC4979"/>
    <w:rsid w:val="00FC7D57"/>
    <w:rsid w:val="00FD0E9A"/>
    <w:rsid w:val="00FD10FB"/>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 w:type="table" w:styleId="Tablaconcuadrcula">
    <w:name w:val="Table Grid"/>
    <w:basedOn w:val="Tablanormal"/>
    <w:uiPriority w:val="39"/>
    <w:rsid w:val="002E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9D4E8C2B-941B-4E52-92A5-A75C2796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61</Pages>
  <Words>13356</Words>
  <Characters>73463</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13</cp:revision>
  <cp:lastPrinted>2025-09-25T17:06:00Z</cp:lastPrinted>
  <dcterms:created xsi:type="dcterms:W3CDTF">2025-09-17T23:48:00Z</dcterms:created>
  <dcterms:modified xsi:type="dcterms:W3CDTF">2025-10-01T17:03:00Z</dcterms:modified>
</cp:coreProperties>
</file>