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2FFA1" w14:textId="77777777" w:rsidR="006F1DFF" w:rsidRDefault="006F1DFF">
      <w:pPr>
        <w:tabs>
          <w:tab w:val="left" w:pos="8931"/>
        </w:tabs>
        <w:spacing w:after="0" w:line="360" w:lineRule="auto"/>
        <w:rPr>
          <w:color w:val="FF0000"/>
        </w:rPr>
      </w:pPr>
    </w:p>
    <w:p w14:paraId="66B5B6E0" w14:textId="77777777" w:rsidR="006F1DFF" w:rsidRDefault="003619CE">
      <w:pPr>
        <w:tabs>
          <w:tab w:val="left" w:pos="8931"/>
        </w:tabs>
        <w:spacing w:after="0" w:line="360" w:lineRule="auto"/>
        <w:rPr>
          <w:color w:val="000000"/>
        </w:rPr>
      </w:pPr>
      <w:r>
        <w:rPr>
          <w:color w:val="000000"/>
        </w:rPr>
        <w:t>Resolución del Pleno del Instituto de Transparencia, Acceso a la Información Pública y Protección de Datos Personales del Estado de México y Municipios, con domicilio en Metepec, Estado de México, de fecha veintisiete de agosto de dos mil veinticinco.</w:t>
      </w:r>
    </w:p>
    <w:p w14:paraId="6435A516" w14:textId="77777777" w:rsidR="006F1DFF" w:rsidRDefault="003619CE">
      <w:pPr>
        <w:tabs>
          <w:tab w:val="left" w:pos="2340"/>
        </w:tabs>
        <w:spacing w:after="0" w:line="360" w:lineRule="auto"/>
        <w:rPr>
          <w:b/>
          <w:color w:val="FF0000"/>
        </w:rPr>
      </w:pPr>
      <w:r>
        <w:rPr>
          <w:b/>
          <w:color w:val="FF0000"/>
        </w:rPr>
        <w:tab/>
      </w:r>
      <w:bookmarkStart w:id="0" w:name="_GoBack"/>
      <w:bookmarkEnd w:id="0"/>
    </w:p>
    <w:p w14:paraId="790B248A" w14:textId="656AB13E" w:rsidR="006F1DFF" w:rsidRDefault="003619CE">
      <w:pPr>
        <w:spacing w:after="0" w:line="360" w:lineRule="auto"/>
      </w:pPr>
      <w:r>
        <w:rPr>
          <w:b/>
          <w:color w:val="000000"/>
        </w:rPr>
        <w:t xml:space="preserve">VISTO </w:t>
      </w:r>
      <w:r>
        <w:rPr>
          <w:color w:val="000000"/>
        </w:rPr>
        <w:t xml:space="preserve">el expediente electrónico conformado con motivo del Recurso de Revisión </w:t>
      </w:r>
      <w:r w:rsidRPr="00BB2959">
        <w:rPr>
          <w:b/>
          <w:bCs/>
          <w:color w:val="000000"/>
        </w:rPr>
        <w:t>06601/INFOEM/IP/RR/2025</w:t>
      </w:r>
      <w:r>
        <w:rPr>
          <w:color w:val="000000"/>
        </w:rPr>
        <w:t xml:space="preserve">, interpuesto por </w:t>
      </w:r>
      <w:r w:rsidR="004479C4" w:rsidRPr="004479C4">
        <w:rPr>
          <w:b/>
          <w:bCs/>
          <w:color w:val="000000"/>
          <w:highlight w:val="black"/>
        </w:rPr>
        <w:t>XXXXXXXXXXXXXXXXXXXXX</w:t>
      </w:r>
      <w:r>
        <w:rPr>
          <w:color w:val="000000"/>
        </w:rPr>
        <w:t xml:space="preserve"> en lo sucesivo la Persona Recurrente o Particular, en contra de la respuesta del Sujeto Obligado, </w:t>
      </w:r>
      <w:r w:rsidRPr="00BB2959">
        <w:rPr>
          <w:b/>
          <w:bCs/>
        </w:rPr>
        <w:t>Ayuntamiento de Atlautla</w:t>
      </w:r>
      <w:r>
        <w:rPr>
          <w:b/>
          <w:color w:val="000000"/>
        </w:rPr>
        <w:t>,</w:t>
      </w:r>
      <w:r>
        <w:rPr>
          <w:color w:val="000000"/>
        </w:rPr>
        <w:t xml:space="preserve"> a la solicitud de acceso a la información pública 00060/ATLAUTLA/IP/2025, se emite la presente Resolución, con base en los Antecedentes y Considerandos que se exponen a continuación:</w:t>
      </w:r>
    </w:p>
    <w:p w14:paraId="3B85C362" w14:textId="77777777" w:rsidR="006F1DFF" w:rsidRDefault="003619CE">
      <w:pPr>
        <w:tabs>
          <w:tab w:val="left" w:pos="1965"/>
        </w:tabs>
        <w:spacing w:after="0" w:line="360" w:lineRule="auto"/>
        <w:rPr>
          <w:b/>
          <w:color w:val="000000"/>
        </w:rPr>
      </w:pPr>
      <w:r>
        <w:rPr>
          <w:b/>
          <w:color w:val="000000"/>
        </w:rPr>
        <w:tab/>
      </w:r>
    </w:p>
    <w:p w14:paraId="15A56D2E" w14:textId="77777777" w:rsidR="006F1DFF" w:rsidRDefault="003619CE">
      <w:pPr>
        <w:pStyle w:val="Ttulo1"/>
        <w:spacing w:before="0" w:line="360" w:lineRule="auto"/>
        <w:jc w:val="center"/>
        <w:rPr>
          <w:rFonts w:ascii="Palatino Linotype" w:eastAsia="Palatino Linotype" w:hAnsi="Palatino Linotype" w:cs="Palatino Linotype"/>
          <w:b/>
          <w:color w:val="000000"/>
          <w:sz w:val="22"/>
          <w:szCs w:val="22"/>
        </w:rPr>
      </w:pPr>
      <w:bookmarkStart w:id="1" w:name="_heading=h.d81xtu7p02e2" w:colFirst="0" w:colLast="0"/>
      <w:bookmarkStart w:id="2" w:name="_Toc207291712"/>
      <w:bookmarkEnd w:id="1"/>
      <w:r>
        <w:rPr>
          <w:rFonts w:ascii="Palatino Linotype" w:eastAsia="Palatino Linotype" w:hAnsi="Palatino Linotype" w:cs="Palatino Linotype"/>
          <w:b/>
          <w:color w:val="000000"/>
          <w:sz w:val="22"/>
          <w:szCs w:val="22"/>
        </w:rPr>
        <w:t>A N T E C E D E N T E S</w:t>
      </w:r>
      <w:bookmarkEnd w:id="2"/>
    </w:p>
    <w:p w14:paraId="065A4ABE" w14:textId="77777777" w:rsidR="006F1DFF" w:rsidRDefault="006F1DFF">
      <w:pPr>
        <w:spacing w:after="0" w:line="360" w:lineRule="auto"/>
        <w:jc w:val="center"/>
        <w:rPr>
          <w:b/>
          <w:color w:val="FF0000"/>
        </w:rPr>
      </w:pPr>
    </w:p>
    <w:p w14:paraId="50F20402" w14:textId="77777777" w:rsidR="006F1DFF" w:rsidRDefault="003619CE">
      <w:pPr>
        <w:pStyle w:val="Ttulo2"/>
        <w:spacing w:before="0" w:line="360" w:lineRule="auto"/>
        <w:rPr>
          <w:rFonts w:ascii="Palatino Linotype" w:eastAsia="Palatino Linotype" w:hAnsi="Palatino Linotype" w:cs="Palatino Linotype"/>
          <w:b/>
          <w:color w:val="000000"/>
          <w:sz w:val="22"/>
          <w:szCs w:val="22"/>
        </w:rPr>
      </w:pPr>
      <w:bookmarkStart w:id="3" w:name="_heading=h.uy787b8e9uia" w:colFirst="0" w:colLast="0"/>
      <w:bookmarkStart w:id="4" w:name="_Toc207291713"/>
      <w:bookmarkEnd w:id="3"/>
      <w:r>
        <w:rPr>
          <w:rFonts w:ascii="Palatino Linotype" w:eastAsia="Palatino Linotype" w:hAnsi="Palatino Linotype" w:cs="Palatino Linotype"/>
          <w:b/>
          <w:color w:val="000000"/>
          <w:sz w:val="22"/>
          <w:szCs w:val="22"/>
        </w:rPr>
        <w:t>I. Presentación de las solicitudes de información</w:t>
      </w:r>
      <w:bookmarkEnd w:id="4"/>
    </w:p>
    <w:p w14:paraId="6F90A846" w14:textId="77777777" w:rsidR="006F1DFF" w:rsidRDefault="006F1DFF">
      <w:pPr>
        <w:spacing w:after="0" w:line="360" w:lineRule="auto"/>
        <w:rPr>
          <w:b/>
          <w:color w:val="FF0000"/>
        </w:rPr>
      </w:pPr>
    </w:p>
    <w:p w14:paraId="1B9486AF" w14:textId="77777777" w:rsidR="006F1DFF" w:rsidRDefault="003619CE">
      <w:pPr>
        <w:spacing w:after="0" w:line="360" w:lineRule="auto"/>
        <w:rPr>
          <w:color w:val="000000"/>
        </w:rPr>
      </w:pPr>
      <w:r>
        <w:rPr>
          <w:color w:val="000000"/>
        </w:rPr>
        <w:t>El diecinueve de mayo de dos mil veinticinco, la persona Solicitante presentó su solicitud de acceso a la información, a través del Sistema de Acceso a la Información Mexiquense (SAIMEX), ante Ayuntamiento de Atlautla,</w:t>
      </w:r>
      <w:r>
        <w:rPr>
          <w:b/>
          <w:color w:val="000000"/>
        </w:rPr>
        <w:t xml:space="preserve"> </w:t>
      </w:r>
      <w:r>
        <w:rPr>
          <w:color w:val="000000"/>
        </w:rPr>
        <w:t>en los siguientes términos:</w:t>
      </w:r>
    </w:p>
    <w:p w14:paraId="2BFFA7CA" w14:textId="77777777" w:rsidR="006F1DFF" w:rsidRDefault="006F1DFF">
      <w:pPr>
        <w:spacing w:after="0" w:line="360" w:lineRule="auto"/>
        <w:rPr>
          <w:color w:val="000000"/>
        </w:rPr>
      </w:pPr>
    </w:p>
    <w:p w14:paraId="09D4BD6A" w14:textId="77777777" w:rsidR="006F1DFF" w:rsidRDefault="003619CE">
      <w:pPr>
        <w:tabs>
          <w:tab w:val="left" w:pos="4667"/>
        </w:tabs>
        <w:spacing w:after="0" w:line="360" w:lineRule="auto"/>
        <w:ind w:left="567" w:right="567"/>
        <w:rPr>
          <w:b/>
          <w:i/>
          <w:color w:val="000000"/>
          <w:sz w:val="20"/>
          <w:szCs w:val="20"/>
        </w:rPr>
      </w:pPr>
      <w:r>
        <w:rPr>
          <w:b/>
          <w:i/>
          <w:color w:val="000000"/>
          <w:sz w:val="20"/>
          <w:szCs w:val="20"/>
        </w:rPr>
        <w:t>“DESCRIPCIÓN CLARA Y PRECISA DE LA INFORMACIÓN SOLICITADA</w:t>
      </w:r>
    </w:p>
    <w:p w14:paraId="4173347E" w14:textId="77777777" w:rsidR="006F1DFF" w:rsidRDefault="003619CE">
      <w:pPr>
        <w:spacing w:after="0" w:line="360" w:lineRule="auto"/>
        <w:ind w:left="567" w:right="567"/>
        <w:rPr>
          <w:i/>
          <w:color w:val="000000"/>
          <w:sz w:val="20"/>
          <w:szCs w:val="20"/>
        </w:rPr>
      </w:pPr>
      <w:r>
        <w:rPr>
          <w:i/>
          <w:color w:val="000000"/>
          <w:sz w:val="20"/>
          <w:szCs w:val="20"/>
        </w:rPr>
        <w:t xml:space="preserve">SOLICITO COPIA SIMPLE DIGITALIZADA Y TOTALMENTE LEGIBLE DE LA NOMINA CORRESPONDIENTE A LA SEGUNDA QUINCENA DE MARZO DE 2025 DEL GOBIERNO MUNICIPAL DE ATLAUTLA (2025-2027)” (Sic.) </w:t>
      </w:r>
    </w:p>
    <w:p w14:paraId="7BB1AD52" w14:textId="77777777" w:rsidR="006F1DFF" w:rsidRDefault="006F1DFF">
      <w:pPr>
        <w:tabs>
          <w:tab w:val="left" w:pos="4667"/>
        </w:tabs>
        <w:spacing w:after="0" w:line="360" w:lineRule="auto"/>
        <w:ind w:left="567" w:right="567"/>
        <w:rPr>
          <w:b/>
          <w:i/>
          <w:color w:val="000000"/>
          <w:sz w:val="20"/>
          <w:szCs w:val="20"/>
        </w:rPr>
      </w:pPr>
    </w:p>
    <w:p w14:paraId="6A53240A" w14:textId="77777777" w:rsidR="007F1D7F" w:rsidRDefault="007F1D7F">
      <w:pPr>
        <w:tabs>
          <w:tab w:val="left" w:pos="4667"/>
        </w:tabs>
        <w:spacing w:after="0" w:line="360" w:lineRule="auto"/>
        <w:ind w:left="567" w:right="567"/>
        <w:rPr>
          <w:b/>
          <w:i/>
          <w:color w:val="000000"/>
          <w:sz w:val="20"/>
          <w:szCs w:val="20"/>
        </w:rPr>
      </w:pPr>
    </w:p>
    <w:p w14:paraId="129A7A36" w14:textId="77777777" w:rsidR="006F1DFF" w:rsidRDefault="003619CE">
      <w:pPr>
        <w:tabs>
          <w:tab w:val="left" w:pos="4667"/>
        </w:tabs>
        <w:spacing w:after="0" w:line="360" w:lineRule="auto"/>
        <w:ind w:left="567" w:right="567"/>
        <w:rPr>
          <w:b/>
          <w:i/>
          <w:color w:val="000000"/>
          <w:sz w:val="20"/>
          <w:szCs w:val="20"/>
        </w:rPr>
      </w:pPr>
      <w:r>
        <w:rPr>
          <w:b/>
          <w:i/>
          <w:color w:val="000000"/>
          <w:sz w:val="20"/>
          <w:szCs w:val="20"/>
        </w:rPr>
        <w:lastRenderedPageBreak/>
        <w:t>“MODALIDAD DE ENTREGA</w:t>
      </w:r>
    </w:p>
    <w:p w14:paraId="4B4F36A5" w14:textId="77777777" w:rsidR="006F1DFF" w:rsidRDefault="003619CE">
      <w:pPr>
        <w:spacing w:after="0" w:line="360" w:lineRule="auto"/>
        <w:ind w:left="567" w:right="567"/>
        <w:rPr>
          <w:i/>
          <w:color w:val="000000"/>
          <w:sz w:val="20"/>
          <w:szCs w:val="20"/>
        </w:rPr>
      </w:pPr>
      <w:r>
        <w:rPr>
          <w:i/>
          <w:color w:val="000000"/>
          <w:sz w:val="20"/>
          <w:szCs w:val="20"/>
        </w:rPr>
        <w:t>A través del SAIMEX”</w:t>
      </w:r>
    </w:p>
    <w:p w14:paraId="38F0274B" w14:textId="77777777" w:rsidR="006F1DFF" w:rsidRDefault="006F1DFF">
      <w:pPr>
        <w:tabs>
          <w:tab w:val="left" w:pos="4667"/>
        </w:tabs>
        <w:spacing w:after="0" w:line="360" w:lineRule="auto"/>
        <w:rPr>
          <w:i/>
          <w:color w:val="FF0000"/>
        </w:rPr>
      </w:pPr>
    </w:p>
    <w:p w14:paraId="7020296E" w14:textId="77777777" w:rsidR="006F1DFF" w:rsidRDefault="003619CE">
      <w:pPr>
        <w:pStyle w:val="Ttulo2"/>
        <w:spacing w:before="0" w:line="360" w:lineRule="auto"/>
        <w:rPr>
          <w:rFonts w:ascii="Palatino Linotype" w:eastAsia="Palatino Linotype" w:hAnsi="Palatino Linotype" w:cs="Palatino Linotype"/>
          <w:b/>
          <w:color w:val="000000"/>
          <w:sz w:val="22"/>
          <w:szCs w:val="22"/>
        </w:rPr>
      </w:pPr>
      <w:bookmarkStart w:id="5" w:name="_heading=h.59t6w0f86n0h" w:colFirst="0" w:colLast="0"/>
      <w:bookmarkStart w:id="6" w:name="_Toc207291714"/>
      <w:bookmarkEnd w:id="5"/>
      <w:r>
        <w:rPr>
          <w:rFonts w:ascii="Palatino Linotype" w:eastAsia="Palatino Linotype" w:hAnsi="Palatino Linotype" w:cs="Palatino Linotype"/>
          <w:b/>
          <w:color w:val="000000"/>
          <w:sz w:val="22"/>
          <w:szCs w:val="22"/>
        </w:rPr>
        <w:t>II. Respuesta del Sujeto Obligado</w:t>
      </w:r>
      <w:bookmarkEnd w:id="6"/>
    </w:p>
    <w:p w14:paraId="1CE26237" w14:textId="77777777" w:rsidR="006F1DFF" w:rsidRDefault="006F1DFF"/>
    <w:p w14:paraId="33DE9832" w14:textId="77777777" w:rsidR="006F1DFF" w:rsidRDefault="003619CE">
      <w:pPr>
        <w:spacing w:after="0" w:line="360" w:lineRule="auto"/>
        <w:rPr>
          <w:color w:val="000000"/>
        </w:rPr>
      </w:pPr>
      <w:r>
        <w:rPr>
          <w:color w:val="000000"/>
        </w:rPr>
        <w:t>El cuatro de junio de dos mil veinticinco, el Sujeto Obligado notificó, a través del Sistema de Acceso a la Información Mexiquense (SAIMEX), la respuesta a la solicitud de acceso a la información pública, en los siguientes términos:</w:t>
      </w:r>
    </w:p>
    <w:p w14:paraId="7D818330" w14:textId="77777777" w:rsidR="006F1DFF" w:rsidRDefault="006F1DFF">
      <w:pPr>
        <w:spacing w:after="0" w:line="360" w:lineRule="auto"/>
        <w:rPr>
          <w:color w:val="FF0000"/>
        </w:rPr>
      </w:pPr>
    </w:p>
    <w:p w14:paraId="6C92BE26" w14:textId="77777777" w:rsidR="006F1DFF" w:rsidRDefault="003619CE">
      <w:pPr>
        <w:numPr>
          <w:ilvl w:val="0"/>
          <w:numId w:val="8"/>
        </w:numPr>
        <w:pBdr>
          <w:top w:val="nil"/>
          <w:left w:val="nil"/>
          <w:bottom w:val="nil"/>
          <w:right w:val="nil"/>
          <w:between w:val="nil"/>
        </w:pBdr>
        <w:spacing w:after="0" w:line="360" w:lineRule="auto"/>
        <w:ind w:left="567"/>
        <w:rPr>
          <w:color w:val="000000"/>
        </w:rPr>
      </w:pPr>
      <w:r>
        <w:rPr>
          <w:color w:val="000000"/>
        </w:rPr>
        <w:t>Oficio número TES/ATL/159/2025 de fecha veintitrés de mayo de dos mil veinticinco, suscrito por el Tesorero Municipal y dirigido al Titular de la Unidad de Transparencia donde se remite con base a los registros del ayuntamiento la información solicitada.</w:t>
      </w:r>
    </w:p>
    <w:p w14:paraId="54959F6E" w14:textId="77777777" w:rsidR="006F1DFF" w:rsidRDefault="006F1DFF">
      <w:pPr>
        <w:pBdr>
          <w:top w:val="nil"/>
          <w:left w:val="nil"/>
          <w:bottom w:val="nil"/>
          <w:right w:val="nil"/>
          <w:between w:val="nil"/>
        </w:pBdr>
        <w:spacing w:after="0" w:line="360" w:lineRule="auto"/>
        <w:ind w:left="567"/>
        <w:rPr>
          <w:color w:val="000000"/>
        </w:rPr>
      </w:pPr>
    </w:p>
    <w:p w14:paraId="0B1220E5" w14:textId="77777777" w:rsidR="006F1DFF" w:rsidRDefault="003619CE">
      <w:pPr>
        <w:numPr>
          <w:ilvl w:val="0"/>
          <w:numId w:val="8"/>
        </w:numPr>
        <w:pBdr>
          <w:top w:val="nil"/>
          <w:left w:val="nil"/>
          <w:bottom w:val="nil"/>
          <w:right w:val="nil"/>
          <w:between w:val="nil"/>
        </w:pBdr>
        <w:spacing w:after="0" w:line="360" w:lineRule="auto"/>
        <w:ind w:left="567"/>
        <w:rPr>
          <w:color w:val="000000"/>
        </w:rPr>
      </w:pPr>
      <w:r>
        <w:rPr>
          <w:color w:val="000000"/>
        </w:rPr>
        <w:t>El Sujeto Obligado remite una relación ilegible que contiene la nómina de la segunda quincena del Ayuntamiento de Atlautla.</w:t>
      </w:r>
    </w:p>
    <w:p w14:paraId="5184B42D" w14:textId="77777777" w:rsidR="006F1DFF" w:rsidRDefault="006F1DFF">
      <w:pPr>
        <w:spacing w:after="0" w:line="360" w:lineRule="auto"/>
        <w:ind w:right="567"/>
        <w:rPr>
          <w:color w:val="000000"/>
        </w:rPr>
      </w:pPr>
    </w:p>
    <w:p w14:paraId="6B010B05" w14:textId="77777777" w:rsidR="006F1DFF" w:rsidRPr="007F1D7F" w:rsidRDefault="003619CE">
      <w:pPr>
        <w:keepNext/>
        <w:keepLines/>
        <w:spacing w:after="0" w:line="360" w:lineRule="auto"/>
        <w:rPr>
          <w:rStyle w:val="Hipervnculo"/>
          <w:b/>
          <w:color w:val="auto"/>
          <w:u w:val="none"/>
        </w:rPr>
      </w:pPr>
      <w:bookmarkStart w:id="7" w:name="_heading=h.ftaf33k2gbdc" w:colFirst="0" w:colLast="0"/>
      <w:bookmarkEnd w:id="7"/>
      <w:r w:rsidRPr="007F1D7F">
        <w:rPr>
          <w:rStyle w:val="Hipervnculo"/>
          <w:b/>
          <w:color w:val="auto"/>
          <w:u w:val="none"/>
        </w:rPr>
        <w:t>III. Interposición del Recurso de Revisión</w:t>
      </w:r>
    </w:p>
    <w:p w14:paraId="2210B581" w14:textId="77777777" w:rsidR="006F1DFF" w:rsidRDefault="006F1DFF">
      <w:pPr>
        <w:spacing w:after="0" w:line="360" w:lineRule="auto"/>
        <w:rPr>
          <w:b/>
          <w:color w:val="FF0000"/>
        </w:rPr>
      </w:pPr>
    </w:p>
    <w:p w14:paraId="760FE4E9" w14:textId="77777777" w:rsidR="006F1DFF" w:rsidRDefault="003619CE">
      <w:pPr>
        <w:spacing w:after="0" w:line="360" w:lineRule="auto"/>
        <w:rPr>
          <w:color w:val="000000"/>
        </w:rPr>
      </w:pPr>
      <w:r>
        <w:rPr>
          <w:color w:val="000000"/>
        </w:rPr>
        <w:t xml:space="preserve">El cinco de junio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 </w:t>
      </w:r>
    </w:p>
    <w:p w14:paraId="5ACDB0AF" w14:textId="77777777" w:rsidR="006F1DFF" w:rsidRDefault="006F1DFF">
      <w:pPr>
        <w:spacing w:after="0" w:line="360" w:lineRule="auto"/>
        <w:ind w:left="567" w:right="567"/>
        <w:rPr>
          <w:b/>
          <w:i/>
          <w:color w:val="FF0000"/>
          <w:sz w:val="20"/>
          <w:szCs w:val="20"/>
        </w:rPr>
      </w:pPr>
    </w:p>
    <w:p w14:paraId="20001519" w14:textId="77777777" w:rsidR="007F1D7F" w:rsidRDefault="007F1D7F">
      <w:pPr>
        <w:spacing w:after="0" w:line="360" w:lineRule="auto"/>
        <w:ind w:left="567" w:right="567"/>
        <w:rPr>
          <w:b/>
          <w:i/>
          <w:color w:val="FF0000"/>
          <w:sz w:val="20"/>
          <w:szCs w:val="20"/>
        </w:rPr>
      </w:pPr>
    </w:p>
    <w:p w14:paraId="3E362CA9" w14:textId="77777777" w:rsidR="007F1D7F" w:rsidRDefault="007F1D7F">
      <w:pPr>
        <w:spacing w:after="0" w:line="360" w:lineRule="auto"/>
        <w:ind w:left="567" w:right="567"/>
        <w:rPr>
          <w:b/>
          <w:i/>
          <w:color w:val="FF0000"/>
          <w:sz w:val="20"/>
          <w:szCs w:val="20"/>
        </w:rPr>
      </w:pPr>
    </w:p>
    <w:p w14:paraId="3F5C1B4C" w14:textId="77777777" w:rsidR="007F1D7F" w:rsidRDefault="007F1D7F">
      <w:pPr>
        <w:spacing w:after="0" w:line="360" w:lineRule="auto"/>
        <w:ind w:left="567" w:right="567"/>
        <w:rPr>
          <w:b/>
          <w:i/>
          <w:color w:val="FF0000"/>
          <w:sz w:val="20"/>
          <w:szCs w:val="20"/>
        </w:rPr>
      </w:pPr>
    </w:p>
    <w:p w14:paraId="4B900C86" w14:textId="77777777" w:rsidR="007F1D7F" w:rsidRDefault="007F1D7F">
      <w:pPr>
        <w:spacing w:after="0" w:line="360" w:lineRule="auto"/>
        <w:ind w:left="567" w:right="567"/>
        <w:rPr>
          <w:b/>
          <w:i/>
          <w:color w:val="FF0000"/>
          <w:sz w:val="20"/>
          <w:szCs w:val="20"/>
        </w:rPr>
      </w:pPr>
    </w:p>
    <w:p w14:paraId="703D4951" w14:textId="77777777" w:rsidR="006F1DFF" w:rsidRDefault="003619CE">
      <w:pPr>
        <w:spacing w:after="0" w:line="360" w:lineRule="auto"/>
        <w:ind w:left="567" w:right="567"/>
        <w:rPr>
          <w:i/>
          <w:color w:val="000000"/>
          <w:sz w:val="20"/>
          <w:szCs w:val="20"/>
        </w:rPr>
      </w:pPr>
      <w:r>
        <w:rPr>
          <w:b/>
          <w:i/>
          <w:color w:val="000000"/>
          <w:sz w:val="20"/>
          <w:szCs w:val="20"/>
        </w:rPr>
        <w:lastRenderedPageBreak/>
        <w:t>‘’ACTO IMPUGNADO</w:t>
      </w:r>
    </w:p>
    <w:p w14:paraId="7A32A40E" w14:textId="77777777" w:rsidR="006F1DFF" w:rsidRDefault="003619CE">
      <w:pPr>
        <w:spacing w:after="0" w:line="360" w:lineRule="auto"/>
        <w:ind w:left="567" w:right="567"/>
        <w:rPr>
          <w:i/>
          <w:color w:val="000000"/>
          <w:sz w:val="20"/>
          <w:szCs w:val="20"/>
        </w:rPr>
      </w:pPr>
      <w:r>
        <w:rPr>
          <w:i/>
          <w:color w:val="000000"/>
          <w:sz w:val="20"/>
          <w:szCs w:val="20"/>
        </w:rPr>
        <w:t>SOLICITO COPIA SIMPLE DIGITALIZADA Y TOTALMENTE LEGIBLE DE LA NOMINA CORRESPONDIENTE A LA SEGUNDA QUINCENA DE MARZO DE 2025 DEL GOBIERNO MUNICIPAL DE ATLAUTLA (2025-2027” (Sic.)</w:t>
      </w:r>
    </w:p>
    <w:p w14:paraId="03CCA234" w14:textId="77777777" w:rsidR="006F1DFF" w:rsidRDefault="006F1DFF">
      <w:pPr>
        <w:spacing w:after="0" w:line="360" w:lineRule="auto"/>
        <w:ind w:left="567" w:right="567"/>
        <w:rPr>
          <w:i/>
          <w:color w:val="FF0000"/>
          <w:sz w:val="20"/>
          <w:szCs w:val="20"/>
        </w:rPr>
      </w:pPr>
    </w:p>
    <w:p w14:paraId="5C7754C5" w14:textId="77777777" w:rsidR="006F1DFF" w:rsidRDefault="003619CE">
      <w:pPr>
        <w:spacing w:after="0" w:line="360" w:lineRule="auto"/>
        <w:ind w:left="567" w:right="567"/>
        <w:rPr>
          <w:b/>
          <w:i/>
          <w:color w:val="000000"/>
          <w:sz w:val="20"/>
          <w:szCs w:val="20"/>
        </w:rPr>
      </w:pPr>
      <w:r>
        <w:rPr>
          <w:b/>
          <w:i/>
          <w:color w:val="000000"/>
          <w:sz w:val="20"/>
          <w:szCs w:val="20"/>
        </w:rPr>
        <w:t>‘’RAZONES O MOTIVOS DE LA INCONFORMIDAD</w:t>
      </w:r>
    </w:p>
    <w:p w14:paraId="68FBE607" w14:textId="77777777" w:rsidR="006F1DFF" w:rsidRDefault="003619CE">
      <w:pPr>
        <w:spacing w:after="0" w:line="360" w:lineRule="auto"/>
        <w:ind w:left="567" w:right="567"/>
        <w:rPr>
          <w:i/>
          <w:color w:val="000000"/>
          <w:sz w:val="20"/>
          <w:szCs w:val="20"/>
        </w:rPr>
      </w:pPr>
      <w:r>
        <w:rPr>
          <w:i/>
          <w:color w:val="000000"/>
          <w:sz w:val="20"/>
          <w:szCs w:val="20"/>
        </w:rPr>
        <w:t>ENTREGA HOJA EN FORMATO PDF TOTALMENTE ILEGIBLE” (Sic.)</w:t>
      </w:r>
    </w:p>
    <w:p w14:paraId="22B479EE" w14:textId="77777777" w:rsidR="006F1DFF" w:rsidRDefault="006F1DFF">
      <w:pPr>
        <w:spacing w:after="0" w:line="360" w:lineRule="auto"/>
        <w:ind w:right="567"/>
        <w:rPr>
          <w:color w:val="000000"/>
          <w:sz w:val="20"/>
          <w:szCs w:val="20"/>
        </w:rPr>
      </w:pPr>
    </w:p>
    <w:p w14:paraId="00B65BB5" w14:textId="77777777" w:rsidR="006F1DFF" w:rsidRDefault="003619CE">
      <w:pPr>
        <w:spacing w:after="0" w:line="360" w:lineRule="auto"/>
        <w:rPr>
          <w:color w:val="000000"/>
        </w:rPr>
      </w:pPr>
      <w:r>
        <w:rPr>
          <w:color w:val="000000"/>
        </w:rPr>
        <w:t>Cabe mencionar que el Recurrente adjunto la respuesta emitida por el Sujeto Obligado.</w:t>
      </w:r>
    </w:p>
    <w:p w14:paraId="6EE8E3BA" w14:textId="77777777" w:rsidR="006F1DFF" w:rsidRDefault="006F1DFF">
      <w:pPr>
        <w:spacing w:after="0" w:line="360" w:lineRule="auto"/>
        <w:ind w:right="567"/>
        <w:rPr>
          <w:i/>
          <w:color w:val="FF0000"/>
          <w:sz w:val="20"/>
          <w:szCs w:val="20"/>
        </w:rPr>
      </w:pPr>
    </w:p>
    <w:p w14:paraId="77754084" w14:textId="77777777" w:rsidR="006F1DFF" w:rsidRDefault="003619CE">
      <w:pPr>
        <w:keepNext/>
        <w:keepLines/>
        <w:spacing w:after="0" w:line="360" w:lineRule="auto"/>
        <w:rPr>
          <w:b/>
          <w:color w:val="000000"/>
        </w:rPr>
      </w:pPr>
      <w:bookmarkStart w:id="8" w:name="_heading=h.gow1uixz0ys9" w:colFirst="0" w:colLast="0"/>
      <w:bookmarkEnd w:id="8"/>
      <w:r>
        <w:rPr>
          <w:b/>
          <w:color w:val="000000"/>
        </w:rPr>
        <w:t>IV. Trámite del Recurso de Revisión ante este Instituto</w:t>
      </w:r>
    </w:p>
    <w:p w14:paraId="68390D8C" w14:textId="77777777" w:rsidR="006F1DFF" w:rsidRDefault="006F1DFF">
      <w:pPr>
        <w:spacing w:after="0" w:line="360" w:lineRule="auto"/>
        <w:rPr>
          <w:b/>
          <w:color w:val="000000"/>
        </w:rPr>
      </w:pPr>
    </w:p>
    <w:p w14:paraId="6FC9AEF7" w14:textId="77777777" w:rsidR="006F1DFF" w:rsidRDefault="003619CE">
      <w:pPr>
        <w:spacing w:after="0" w:line="360" w:lineRule="auto"/>
        <w:rPr>
          <w:color w:val="000000"/>
        </w:rPr>
      </w:pPr>
      <w:r>
        <w:rPr>
          <w:b/>
          <w:color w:val="000000"/>
        </w:rPr>
        <w:t>a) Turno del Medio de Impugnación.</w:t>
      </w:r>
      <w:r>
        <w:rPr>
          <w:color w:val="000000"/>
        </w:rPr>
        <w:t xml:space="preserve"> El cinco de junio de dos mil veinticinco, el Sistema de Acceso a la Información Mexiquense (SAIMEX), asignó el número de expediente </w:t>
      </w:r>
      <w:r>
        <w:rPr>
          <w:b/>
          <w:color w:val="000000"/>
        </w:rPr>
        <w:t>06601/INFOEM/IP/RR/2025</w:t>
      </w:r>
      <w:r>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274A2448" w14:textId="77777777" w:rsidR="006F1DFF" w:rsidRDefault="006F1DFF">
      <w:pPr>
        <w:spacing w:after="0" w:line="360" w:lineRule="auto"/>
        <w:rPr>
          <w:b/>
          <w:color w:val="FF0000"/>
        </w:rPr>
      </w:pPr>
    </w:p>
    <w:p w14:paraId="625E9D05" w14:textId="77777777" w:rsidR="006F1DFF" w:rsidRDefault="003619CE">
      <w:pPr>
        <w:spacing w:after="0" w:line="360" w:lineRule="auto"/>
        <w:rPr>
          <w:color w:val="000000"/>
        </w:rPr>
      </w:pPr>
      <w:r>
        <w:rPr>
          <w:b/>
          <w:color w:val="000000"/>
        </w:rPr>
        <w:t xml:space="preserve">b) Admisión del Recurso de Revisión. </w:t>
      </w:r>
      <w:r>
        <w:rPr>
          <w:color w:val="000000"/>
        </w:rPr>
        <w:t>El diez de junio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2BAB1DD" w14:textId="77777777" w:rsidR="006F1DFF" w:rsidRDefault="006F1DFF">
      <w:pPr>
        <w:spacing w:after="0" w:line="360" w:lineRule="auto"/>
        <w:rPr>
          <w:color w:val="000000"/>
        </w:rPr>
      </w:pPr>
    </w:p>
    <w:p w14:paraId="2F465E74" w14:textId="77777777" w:rsidR="006F1DFF" w:rsidRDefault="003619CE">
      <w:pPr>
        <w:spacing w:after="0" w:line="360" w:lineRule="auto"/>
        <w:rPr>
          <w:color w:val="000000"/>
        </w:rPr>
      </w:pPr>
      <w:bookmarkStart w:id="9" w:name="_heading=h.yntk75sfmvcx" w:colFirst="0" w:colLast="0"/>
      <w:bookmarkEnd w:id="9"/>
      <w:r>
        <w:rPr>
          <w:b/>
          <w:color w:val="000000"/>
        </w:rPr>
        <w:lastRenderedPageBreak/>
        <w:t xml:space="preserve">c) Informe Justificado. </w:t>
      </w:r>
      <w:r>
        <w:rPr>
          <w:color w:val="000000"/>
        </w:rPr>
        <w:t>El diez de junio de dos mil veinticinco, se recibió, a través del Sistema de Acceso a la Información Mexiquense (SAIMEX), el Informe Justificado del Sujeto Obligado, a través del oficio número TES/ATL/186/2025, de fecha nueve de junio de dos mil veinticinco, suscrito por el Tesorero Municipal, y dirigido al Titular de la Unidad de Transparencia, donde ratifica de manera inicial su respuesta y refiere medularmente:</w:t>
      </w:r>
    </w:p>
    <w:p w14:paraId="39A24296" w14:textId="77777777" w:rsidR="006F1DFF" w:rsidRDefault="006F1DFF">
      <w:pPr>
        <w:pBdr>
          <w:top w:val="nil"/>
          <w:left w:val="nil"/>
          <w:bottom w:val="nil"/>
          <w:right w:val="nil"/>
          <w:between w:val="nil"/>
        </w:pBdr>
        <w:spacing w:after="0" w:line="360" w:lineRule="auto"/>
        <w:ind w:left="720"/>
        <w:rPr>
          <w:color w:val="000000"/>
        </w:rPr>
      </w:pPr>
    </w:p>
    <w:p w14:paraId="20E1420C" w14:textId="77777777" w:rsidR="006F1DFF" w:rsidRDefault="003619CE">
      <w:pPr>
        <w:spacing w:after="0" w:line="360" w:lineRule="auto"/>
        <w:ind w:left="567" w:right="567"/>
        <w:rPr>
          <w:color w:val="000000"/>
          <w:sz w:val="20"/>
          <w:szCs w:val="20"/>
        </w:rPr>
      </w:pPr>
      <w:r>
        <w:rPr>
          <w:color w:val="000000"/>
          <w:sz w:val="20"/>
          <w:szCs w:val="20"/>
        </w:rPr>
        <w:t>“</w:t>
      </w:r>
      <w:r>
        <w:rPr>
          <w:i/>
          <w:color w:val="000000"/>
          <w:sz w:val="20"/>
          <w:szCs w:val="20"/>
        </w:rPr>
        <w:t>el solicitante en su escrito primigenio, solicito la nómina digitalizada, sin hacer mención alguno de la calidad de la digitalización y la información se entregó acorde al equipo con el que cuenta la tesorería”</w:t>
      </w:r>
    </w:p>
    <w:p w14:paraId="7CAF79C2" w14:textId="77777777" w:rsidR="006F1DFF" w:rsidRDefault="006F1DFF">
      <w:pPr>
        <w:spacing w:after="0" w:line="360" w:lineRule="auto"/>
      </w:pPr>
    </w:p>
    <w:p w14:paraId="72DEF88A" w14:textId="77777777" w:rsidR="006F1DFF" w:rsidRDefault="003619CE">
      <w:pPr>
        <w:spacing w:after="0" w:line="360" w:lineRule="auto"/>
        <w:rPr>
          <w:b/>
          <w:color w:val="000000"/>
        </w:rPr>
      </w:pPr>
      <w:r>
        <w:rPr>
          <w:b/>
          <w:color w:val="000000"/>
        </w:rPr>
        <w:t>d) Vista del Informe Justificado.</w:t>
      </w:r>
      <w:r>
        <w:rPr>
          <w:color w:val="000000"/>
        </w:rPr>
        <w:t xml:space="preserve"> El diez de julio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el mismo día.</w:t>
      </w:r>
    </w:p>
    <w:p w14:paraId="6EF1CA14" w14:textId="77777777" w:rsidR="006F1DFF" w:rsidRDefault="006F1DFF">
      <w:pPr>
        <w:spacing w:after="0" w:line="360" w:lineRule="auto"/>
        <w:rPr>
          <w:color w:val="000000"/>
        </w:rPr>
      </w:pPr>
    </w:p>
    <w:p w14:paraId="4CE25C86" w14:textId="77777777" w:rsidR="006F1DFF" w:rsidRDefault="003619CE">
      <w:pPr>
        <w:spacing w:after="0" w:line="360" w:lineRule="auto"/>
        <w:rPr>
          <w:b/>
          <w:color w:val="000000"/>
        </w:rPr>
      </w:pPr>
      <w:r>
        <w:rPr>
          <w:b/>
          <w:color w:val="000000"/>
        </w:rPr>
        <w:t xml:space="preserve">e) Manifestaciones del Recurrente. </w:t>
      </w:r>
      <w:r>
        <w:rPr>
          <w:color w:val="000000"/>
        </w:rPr>
        <w:t xml:space="preserve">El trece de junio de dos mil veinticinco, </w:t>
      </w:r>
      <w:proofErr w:type="gramStart"/>
      <w:r>
        <w:rPr>
          <w:color w:val="000000"/>
        </w:rPr>
        <w:t>a  través</w:t>
      </w:r>
      <w:proofErr w:type="gramEnd"/>
      <w:r>
        <w:rPr>
          <w:color w:val="000000"/>
        </w:rPr>
        <w:t xml:space="preserve"> del Sistema de Acceso a la Información Mexiquense (SAIMEX), se recibieron los alegatos o manifestaciones por parte del recurrente en donde </w:t>
      </w:r>
      <w:r>
        <w:rPr>
          <w:b/>
          <w:color w:val="000000"/>
        </w:rPr>
        <w:t>se adjuntó dos veces la respuesta inicial emitida por el Sujeto Obligado.</w:t>
      </w:r>
    </w:p>
    <w:p w14:paraId="230452E1" w14:textId="77777777" w:rsidR="006F1DFF" w:rsidRDefault="006F1DFF">
      <w:pPr>
        <w:spacing w:after="0" w:line="360" w:lineRule="auto"/>
        <w:rPr>
          <w:b/>
          <w:color w:val="000000"/>
        </w:rPr>
      </w:pPr>
    </w:p>
    <w:p w14:paraId="77EC3F2D" w14:textId="77777777" w:rsidR="006F1DFF" w:rsidRDefault="003619CE">
      <w:pPr>
        <w:spacing w:after="0" w:line="360" w:lineRule="auto"/>
        <w:rPr>
          <w:color w:val="000000"/>
        </w:rPr>
      </w:pPr>
      <w:r>
        <w:rPr>
          <w:b/>
          <w:color w:val="000000"/>
        </w:rPr>
        <w:t xml:space="preserve">f) Ampliación de plazo para resolver. </w:t>
      </w:r>
      <w:r>
        <w:rPr>
          <w:color w:val="000000"/>
        </w:rPr>
        <w:t xml:space="preserve">El </w:t>
      </w:r>
      <w:r w:rsidR="007F1D7F">
        <w:t>veintiséis</w:t>
      </w:r>
      <w:r>
        <w:rPr>
          <w:color w:val="000000"/>
        </w:rPr>
        <w:t xml:space="preserve"> de agos</w:t>
      </w:r>
      <w:r>
        <w:t>to</w:t>
      </w:r>
      <w:r>
        <w:rPr>
          <w:color w:val="000000"/>
        </w:rPr>
        <w:t xml:space="preserv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w:t>
      </w:r>
      <w:r w:rsidR="007F1D7F">
        <w:rPr>
          <w:color w:val="000000"/>
        </w:rPr>
        <w:t>veintiocho de agosto</w:t>
      </w:r>
      <w:r>
        <w:rPr>
          <w:color w:val="000000"/>
        </w:rPr>
        <w:t xml:space="preserve"> de dicho mes y año, mediante el Sistema de Acceso a la Información Mexiquense (SAIMEX).</w:t>
      </w:r>
    </w:p>
    <w:p w14:paraId="3D409F74" w14:textId="77777777" w:rsidR="006F1DFF" w:rsidRDefault="006F1DFF">
      <w:pPr>
        <w:spacing w:after="0" w:line="360" w:lineRule="auto"/>
        <w:rPr>
          <w:color w:val="FF0000"/>
        </w:rPr>
      </w:pPr>
    </w:p>
    <w:p w14:paraId="7331F396" w14:textId="77777777" w:rsidR="006F1DFF" w:rsidRDefault="003619CE">
      <w:pPr>
        <w:spacing w:after="0" w:line="360" w:lineRule="auto"/>
        <w:rPr>
          <w:color w:val="000000"/>
        </w:rPr>
      </w:pPr>
      <w:r>
        <w:rPr>
          <w:b/>
          <w:color w:val="000000"/>
        </w:rPr>
        <w:lastRenderedPageBreak/>
        <w:t>g) Cierre de instrucción.</w:t>
      </w:r>
      <w:r>
        <w:rPr>
          <w:color w:val="000000"/>
        </w:rPr>
        <w:t xml:space="preserve"> El dieciséis de julio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5E5AC883" w14:textId="77777777" w:rsidR="006F1DFF" w:rsidRDefault="006F1DFF">
      <w:pPr>
        <w:spacing w:after="0" w:line="360" w:lineRule="auto"/>
        <w:rPr>
          <w:color w:val="FF0000"/>
        </w:rPr>
      </w:pPr>
    </w:p>
    <w:p w14:paraId="5BCB2FB7" w14:textId="77777777" w:rsidR="006F1DFF" w:rsidRDefault="003619CE">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1CF26F6D" w14:textId="77777777" w:rsidR="006F1DFF" w:rsidRDefault="006F1DFF">
      <w:pPr>
        <w:spacing w:after="0" w:line="360" w:lineRule="auto"/>
        <w:rPr>
          <w:color w:val="000000"/>
        </w:rPr>
      </w:pPr>
    </w:p>
    <w:p w14:paraId="1BA96A50" w14:textId="77777777" w:rsidR="006F1DFF" w:rsidRDefault="003619CE">
      <w:pPr>
        <w:keepNext/>
        <w:keepLines/>
        <w:spacing w:after="0" w:line="360" w:lineRule="auto"/>
        <w:jc w:val="center"/>
        <w:rPr>
          <w:b/>
          <w:color w:val="000000"/>
        </w:rPr>
      </w:pPr>
      <w:bookmarkStart w:id="10" w:name="_heading=h.avft7ezf7th5" w:colFirst="0" w:colLast="0"/>
      <w:bookmarkEnd w:id="10"/>
      <w:r>
        <w:rPr>
          <w:b/>
          <w:color w:val="000000"/>
        </w:rPr>
        <w:t>C O N S I D E R A N D O S</w:t>
      </w:r>
    </w:p>
    <w:p w14:paraId="4D603E00" w14:textId="77777777" w:rsidR="006F1DFF" w:rsidRDefault="006F1DFF">
      <w:pPr>
        <w:spacing w:after="0" w:line="360" w:lineRule="auto"/>
        <w:jc w:val="center"/>
        <w:rPr>
          <w:b/>
          <w:color w:val="000000"/>
        </w:rPr>
      </w:pPr>
    </w:p>
    <w:p w14:paraId="00377606" w14:textId="77777777" w:rsidR="006F1DFF" w:rsidRDefault="003619CE">
      <w:pPr>
        <w:pStyle w:val="Ttulo2"/>
        <w:spacing w:before="0" w:line="360" w:lineRule="auto"/>
        <w:rPr>
          <w:rFonts w:ascii="Palatino Linotype" w:eastAsia="Palatino Linotype" w:hAnsi="Palatino Linotype" w:cs="Palatino Linotype"/>
          <w:b/>
          <w:color w:val="000000"/>
          <w:sz w:val="22"/>
          <w:szCs w:val="22"/>
        </w:rPr>
      </w:pPr>
      <w:bookmarkStart w:id="11" w:name="_heading=h.ot3qi6dx13yd" w:colFirst="0" w:colLast="0"/>
      <w:bookmarkStart w:id="12" w:name="_Toc207291715"/>
      <w:bookmarkEnd w:id="11"/>
      <w:r>
        <w:rPr>
          <w:rFonts w:ascii="Palatino Linotype" w:eastAsia="Palatino Linotype" w:hAnsi="Palatino Linotype" w:cs="Palatino Linotype"/>
          <w:b/>
          <w:color w:val="000000"/>
          <w:sz w:val="22"/>
          <w:szCs w:val="22"/>
        </w:rPr>
        <w:t>PRIMERO. Competencia</w:t>
      </w:r>
      <w:bookmarkEnd w:id="12"/>
    </w:p>
    <w:p w14:paraId="6AB7667F" w14:textId="77777777" w:rsidR="006F1DFF" w:rsidRDefault="006F1DFF">
      <w:pPr>
        <w:spacing w:after="0" w:line="360" w:lineRule="auto"/>
        <w:rPr>
          <w:color w:val="000000"/>
        </w:rPr>
      </w:pPr>
    </w:p>
    <w:p w14:paraId="18E3F753" w14:textId="77777777" w:rsidR="006F1DFF" w:rsidRDefault="003619CE">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C93DD33" w14:textId="77777777" w:rsidR="006F1DFF" w:rsidRDefault="006F1DFF">
      <w:pPr>
        <w:spacing w:after="0" w:line="360" w:lineRule="auto"/>
        <w:rPr>
          <w:b/>
          <w:color w:val="000000"/>
        </w:rPr>
      </w:pPr>
    </w:p>
    <w:p w14:paraId="4F99FA9E" w14:textId="77777777" w:rsidR="006F1DFF" w:rsidRDefault="003619CE">
      <w:pPr>
        <w:pStyle w:val="Ttulo2"/>
        <w:spacing w:before="0" w:line="360" w:lineRule="auto"/>
        <w:rPr>
          <w:rFonts w:ascii="Palatino Linotype" w:eastAsia="Palatino Linotype" w:hAnsi="Palatino Linotype" w:cs="Palatino Linotype"/>
          <w:b/>
          <w:color w:val="000000"/>
          <w:sz w:val="22"/>
          <w:szCs w:val="22"/>
        </w:rPr>
      </w:pPr>
      <w:bookmarkStart w:id="13" w:name="_heading=h.z4u5urzaaquz" w:colFirst="0" w:colLast="0"/>
      <w:bookmarkStart w:id="14" w:name="_Toc207291716"/>
      <w:bookmarkEnd w:id="13"/>
      <w:r>
        <w:rPr>
          <w:rFonts w:ascii="Palatino Linotype" w:eastAsia="Palatino Linotype" w:hAnsi="Palatino Linotype" w:cs="Palatino Linotype"/>
          <w:b/>
          <w:color w:val="000000"/>
          <w:sz w:val="22"/>
          <w:szCs w:val="22"/>
        </w:rPr>
        <w:lastRenderedPageBreak/>
        <w:t>SEGUNDO. Causales de improcedencia y sobreseimiento</w:t>
      </w:r>
      <w:bookmarkEnd w:id="14"/>
      <w:r>
        <w:rPr>
          <w:rFonts w:ascii="Palatino Linotype" w:eastAsia="Palatino Linotype" w:hAnsi="Palatino Linotype" w:cs="Palatino Linotype"/>
          <w:b/>
          <w:color w:val="000000"/>
          <w:sz w:val="22"/>
          <w:szCs w:val="22"/>
        </w:rPr>
        <w:t xml:space="preserve"> </w:t>
      </w:r>
    </w:p>
    <w:p w14:paraId="61305A6F" w14:textId="77777777" w:rsidR="006F1DFF" w:rsidRDefault="006F1DFF">
      <w:pPr>
        <w:spacing w:after="0" w:line="360" w:lineRule="auto"/>
        <w:rPr>
          <w:color w:val="000000"/>
        </w:rPr>
      </w:pPr>
    </w:p>
    <w:p w14:paraId="170A48C4" w14:textId="77777777" w:rsidR="006F1DFF" w:rsidRDefault="003619CE">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00964506" w14:textId="77777777" w:rsidR="006F1DFF" w:rsidRDefault="006F1DFF">
      <w:pPr>
        <w:spacing w:after="0" w:line="360" w:lineRule="auto"/>
        <w:rPr>
          <w:color w:val="000000"/>
        </w:rPr>
      </w:pPr>
    </w:p>
    <w:p w14:paraId="1FE2A50A" w14:textId="77777777" w:rsidR="006F1DFF" w:rsidRDefault="003619CE">
      <w:pPr>
        <w:spacing w:after="0" w:line="360" w:lineRule="auto"/>
        <w:rPr>
          <w:b/>
          <w:color w:val="000000"/>
        </w:rPr>
      </w:pPr>
      <w:r>
        <w:rPr>
          <w:b/>
          <w:color w:val="000000"/>
        </w:rPr>
        <w:t>Causales de improcedencia</w:t>
      </w:r>
    </w:p>
    <w:p w14:paraId="54E22A67" w14:textId="77777777" w:rsidR="006F1DFF" w:rsidRDefault="006F1DFF">
      <w:pPr>
        <w:spacing w:after="0" w:line="360" w:lineRule="auto"/>
        <w:rPr>
          <w:color w:val="000000"/>
        </w:rPr>
      </w:pPr>
    </w:p>
    <w:p w14:paraId="0381987C" w14:textId="77777777" w:rsidR="006F1DFF" w:rsidRDefault="003619CE">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DC38DCA" w14:textId="77777777" w:rsidR="006F1DFF" w:rsidRDefault="006F1DFF">
      <w:pPr>
        <w:spacing w:after="0" w:line="360" w:lineRule="auto"/>
        <w:rPr>
          <w:color w:val="000000"/>
        </w:rPr>
      </w:pPr>
    </w:p>
    <w:p w14:paraId="72232F75" w14:textId="77777777" w:rsidR="006F1DFF" w:rsidRDefault="003619CE">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4AE09ABB" w14:textId="77777777" w:rsidR="006F1DFF" w:rsidRDefault="006F1DFF">
      <w:pPr>
        <w:spacing w:after="0" w:line="360" w:lineRule="auto"/>
        <w:rPr>
          <w:color w:val="FF0000"/>
        </w:rPr>
      </w:pPr>
    </w:p>
    <w:p w14:paraId="259CE242" w14:textId="77777777" w:rsidR="006F1DFF" w:rsidRDefault="003619CE">
      <w:pPr>
        <w:spacing w:after="0" w:line="360" w:lineRule="auto"/>
      </w:pPr>
      <w:r>
        <w:rPr>
          <w:color w:val="000000"/>
        </w:rPr>
        <w:lastRenderedPageBreak/>
        <w:t xml:space="preserve">Por lo cual, se actualizan la causal de procedencia del Recurso de Revisión señalada en el artículo 179, fracción IX, pues la persona Recurrente se inconformó de la entrega </w:t>
      </w:r>
      <w:r>
        <w:t>o puesta a disposición de información en un formato incomprensible o no accesible para el solicitante.</w:t>
      </w:r>
    </w:p>
    <w:p w14:paraId="0EA0CE27" w14:textId="77777777" w:rsidR="006F1DFF" w:rsidRDefault="006F1DFF">
      <w:pPr>
        <w:spacing w:after="0" w:line="360" w:lineRule="auto"/>
        <w:rPr>
          <w:color w:val="FF0000"/>
        </w:rPr>
      </w:pPr>
    </w:p>
    <w:p w14:paraId="4A116F48" w14:textId="77777777" w:rsidR="006F1DFF" w:rsidRDefault="003619CE">
      <w:pPr>
        <w:spacing w:after="0" w:line="360" w:lineRule="auto"/>
        <w:rPr>
          <w:color w:val="000000"/>
        </w:rPr>
      </w:pPr>
      <w:r>
        <w:rPr>
          <w:b/>
          <w:color w:val="000000"/>
        </w:rPr>
        <w:t>Causales de sobreseimiento</w:t>
      </w:r>
    </w:p>
    <w:p w14:paraId="19E6F114" w14:textId="77777777" w:rsidR="006F1DFF" w:rsidRDefault="006F1DFF">
      <w:pPr>
        <w:spacing w:after="0" w:line="360" w:lineRule="auto"/>
        <w:rPr>
          <w:color w:val="000000"/>
        </w:rPr>
      </w:pPr>
    </w:p>
    <w:p w14:paraId="4BBB5086" w14:textId="77777777" w:rsidR="006F1DFF" w:rsidRDefault="003619CE">
      <w:pPr>
        <w:spacing w:after="0" w:line="360" w:lineRule="auto"/>
        <w:rPr>
          <w:color w:val="000000"/>
        </w:rPr>
      </w:pPr>
      <w:r>
        <w:rPr>
          <w:color w:val="000000"/>
        </w:rPr>
        <w:t>Por ser de previo y especial pronunciamiento, este Instituto analiza si se actualiza alguna causal de sobreseimiento.</w:t>
      </w:r>
    </w:p>
    <w:p w14:paraId="6C0D10B9" w14:textId="77777777" w:rsidR="006F1DFF" w:rsidRDefault="006F1DFF">
      <w:pPr>
        <w:spacing w:after="0" w:line="360" w:lineRule="auto"/>
        <w:rPr>
          <w:color w:val="000000"/>
        </w:rPr>
      </w:pPr>
    </w:p>
    <w:p w14:paraId="4C478690" w14:textId="77777777" w:rsidR="006F1DFF" w:rsidRDefault="003619CE">
      <w:pPr>
        <w:spacing w:after="0" w:line="360" w:lineRule="auto"/>
        <w:rPr>
          <w:color w:val="000000"/>
        </w:rPr>
      </w:pPr>
      <w:r>
        <w:rPr>
          <w:color w:val="000000"/>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F0217CE" w14:textId="77777777" w:rsidR="006F1DFF" w:rsidRDefault="006F1DFF">
      <w:pPr>
        <w:spacing w:after="0" w:line="360" w:lineRule="auto"/>
        <w:rPr>
          <w:color w:val="000000"/>
        </w:rPr>
      </w:pPr>
    </w:p>
    <w:p w14:paraId="3E581D57" w14:textId="77777777" w:rsidR="006F1DFF" w:rsidRDefault="003619CE">
      <w:pPr>
        <w:spacing w:after="0" w:line="360" w:lineRule="auto"/>
        <w:rPr>
          <w:color w:val="000000"/>
        </w:rPr>
      </w:pPr>
      <w:r>
        <w:rPr>
          <w:color w:val="000000"/>
        </w:rPr>
        <w:t xml:space="preserve">Por tales motivos, se considera procedente entrar al fondo del presente asunto. </w:t>
      </w:r>
    </w:p>
    <w:p w14:paraId="556A74D6" w14:textId="77777777" w:rsidR="006F1DFF" w:rsidRDefault="006F1DFF">
      <w:pPr>
        <w:spacing w:after="0" w:line="360" w:lineRule="auto"/>
        <w:rPr>
          <w:b/>
          <w:color w:val="000000"/>
        </w:rPr>
      </w:pPr>
    </w:p>
    <w:p w14:paraId="70111499" w14:textId="77777777" w:rsidR="006F1DFF" w:rsidRDefault="003619CE">
      <w:pPr>
        <w:pStyle w:val="Ttulo2"/>
        <w:spacing w:before="0" w:line="360" w:lineRule="auto"/>
        <w:rPr>
          <w:rFonts w:ascii="Palatino Linotype" w:eastAsia="Palatino Linotype" w:hAnsi="Palatino Linotype" w:cs="Palatino Linotype"/>
          <w:b/>
          <w:color w:val="000000"/>
          <w:sz w:val="22"/>
          <w:szCs w:val="22"/>
        </w:rPr>
      </w:pPr>
      <w:bookmarkStart w:id="15" w:name="_heading=h.32zxxhqg41vj" w:colFirst="0" w:colLast="0"/>
      <w:bookmarkStart w:id="16" w:name="_Toc207291717"/>
      <w:bookmarkEnd w:id="15"/>
      <w:r>
        <w:rPr>
          <w:rFonts w:ascii="Palatino Linotype" w:eastAsia="Palatino Linotype" w:hAnsi="Palatino Linotype" w:cs="Palatino Linotype"/>
          <w:b/>
          <w:color w:val="000000"/>
          <w:sz w:val="22"/>
          <w:szCs w:val="22"/>
        </w:rPr>
        <w:t>TERCERO. Determinación de la Controversia</w:t>
      </w:r>
      <w:bookmarkEnd w:id="16"/>
    </w:p>
    <w:p w14:paraId="5A503022" w14:textId="77777777" w:rsidR="006F1DFF" w:rsidRDefault="006F1DFF">
      <w:pPr>
        <w:spacing w:after="0" w:line="360" w:lineRule="auto"/>
        <w:rPr>
          <w:color w:val="000000"/>
        </w:rPr>
      </w:pPr>
    </w:p>
    <w:p w14:paraId="5153809C" w14:textId="77777777" w:rsidR="006F1DFF" w:rsidRDefault="003619CE">
      <w:pPr>
        <w:spacing w:after="0" w:line="360" w:lineRule="auto"/>
        <w:rPr>
          <w:color w:val="000000"/>
        </w:rPr>
      </w:pPr>
      <w:r>
        <w:rPr>
          <w:color w:val="000000"/>
        </w:rPr>
        <w:t xml:space="preserve">Con el objetivo de ilustrar la controversia planteada, resulta conveniente precisar, que una vez realizado el estudio de las constancias que integran el expediente en el que se actúa, se desprende que el Particular requirió la nómina de los servidores públicos adscritos al </w:t>
      </w:r>
      <w:r>
        <w:lastRenderedPageBreak/>
        <w:t>Ayuntamiento de Atlautla, de la segunda quincena de marzo correspondiente del ejercicio fiscal dos mil veinticinco.</w:t>
      </w:r>
    </w:p>
    <w:p w14:paraId="0B79CEF8" w14:textId="77777777" w:rsidR="006F1DFF" w:rsidRDefault="006F1DFF">
      <w:pPr>
        <w:spacing w:after="0" w:line="360" w:lineRule="auto"/>
        <w:rPr>
          <w:color w:val="000000"/>
        </w:rPr>
      </w:pPr>
    </w:p>
    <w:p w14:paraId="5B05C1F4" w14:textId="77777777" w:rsidR="006F1DFF" w:rsidRDefault="003619CE">
      <w:pPr>
        <w:spacing w:after="0" w:line="360" w:lineRule="auto"/>
        <w:ind w:right="-28"/>
        <w:rPr>
          <w:color w:val="000000"/>
        </w:rPr>
      </w:pPr>
      <w:r>
        <w:rPr>
          <w:color w:val="000000"/>
        </w:rPr>
        <w:t xml:space="preserve">En respuesta, el Sujeto Obligado a través del </w:t>
      </w:r>
      <w:r>
        <w:t>Área de Tesorería Municipal, remitió una relación visiblemente ilegible que presume ser la nómina de la segunda quincena de marzo del dos mil veinticinco</w:t>
      </w:r>
      <w:r>
        <w:rPr>
          <w:color w:val="000000"/>
        </w:rPr>
        <w:t xml:space="preserve">; ante dicha circunstancia, el Particular se inconformó de la entrega </w:t>
      </w:r>
      <w:r>
        <w:t>o puesta a disposición de información en un formato incomprensible y/o no accesible para el solicitante</w:t>
      </w:r>
      <w:r>
        <w:rPr>
          <w:color w:val="000000"/>
        </w:rPr>
        <w:t xml:space="preserve">, lo cual, actualiza la causal de procedencia prevista en las fracción IX, del artículo 179 de la Ley de Transparencia y Acceso a la Información Pública del Estado de México y Municipios. </w:t>
      </w:r>
    </w:p>
    <w:p w14:paraId="06EEA0E2" w14:textId="77777777" w:rsidR="006F1DFF" w:rsidRDefault="006F1DFF">
      <w:pPr>
        <w:spacing w:after="0" w:line="360" w:lineRule="auto"/>
        <w:ind w:right="-28"/>
        <w:rPr>
          <w:color w:val="000000"/>
        </w:rPr>
      </w:pPr>
    </w:p>
    <w:p w14:paraId="0B9EBF84" w14:textId="77777777" w:rsidR="006F1DFF" w:rsidRDefault="003619CE">
      <w:pPr>
        <w:spacing w:after="0" w:line="360" w:lineRule="auto"/>
        <w:ind w:right="-28"/>
        <w:rPr>
          <w:color w:val="FF0000"/>
        </w:rPr>
      </w:pPr>
      <w:r>
        <w:rPr>
          <w:color w:val="000000"/>
        </w:rPr>
        <w:t xml:space="preserve">Así las cosas, una vez admitido y notificado el Recurso de Revisión a las partes el Sujeto Obligado ratifico su respuesta e hizo énfasis por medio de un oficio en el cual manifestó que </w:t>
      </w:r>
      <w:r>
        <w:rPr>
          <w:b/>
          <w:color w:val="000000"/>
        </w:rPr>
        <w:t>“</w:t>
      </w:r>
      <w:r>
        <w:rPr>
          <w:b/>
          <w:i/>
          <w:color w:val="000000"/>
        </w:rPr>
        <w:t>el solicitante en su escrito primigenio, solicito la nómina digitalizada, sin hacer mención alguno de la calidad de la digitalización y la información se entregó acorde al equipo con el que cuenta la tesorería</w:t>
      </w:r>
      <w:r>
        <w:rPr>
          <w:b/>
          <w:color w:val="000000"/>
        </w:rPr>
        <w:t>”</w:t>
      </w:r>
    </w:p>
    <w:p w14:paraId="6425F462" w14:textId="77777777" w:rsidR="006F1DFF" w:rsidRDefault="006F1DFF">
      <w:pPr>
        <w:spacing w:after="0" w:line="360" w:lineRule="auto"/>
        <w:ind w:right="-28"/>
        <w:rPr>
          <w:color w:val="FF0000"/>
        </w:rPr>
      </w:pPr>
    </w:p>
    <w:p w14:paraId="1F1D2DBE" w14:textId="77777777" w:rsidR="006F1DFF" w:rsidRDefault="003619CE">
      <w:pPr>
        <w:tabs>
          <w:tab w:val="left" w:pos="4962"/>
        </w:tabs>
        <w:spacing w:after="0" w:line="360" w:lineRule="auto"/>
        <w:rPr>
          <w:color w:val="000000"/>
        </w:rPr>
      </w:pPr>
      <w:r>
        <w:rPr>
          <w:color w:val="000000"/>
        </w:rPr>
        <w:t xml:space="preserve">Lo anterior, se desprende de las documentales que obran en el expediente de referencia, materia de la presente resolución, consistente en: la solicitud de acceso a la información, la respuesta, el escrito </w:t>
      </w:r>
      <w:proofErr w:type="spellStart"/>
      <w:r>
        <w:rPr>
          <w:color w:val="000000"/>
        </w:rPr>
        <w:t>recursal</w:t>
      </w:r>
      <w:proofErr w:type="spellEnd"/>
      <w:r>
        <w:rPr>
          <w:color w:val="000000"/>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D709935" w14:textId="77777777" w:rsidR="006F1DFF" w:rsidRDefault="006F1DFF">
      <w:pPr>
        <w:spacing w:after="0" w:line="360" w:lineRule="auto"/>
        <w:rPr>
          <w:b/>
          <w:color w:val="000000"/>
        </w:rPr>
      </w:pPr>
    </w:p>
    <w:p w14:paraId="23B24F29" w14:textId="77777777" w:rsidR="006F1DFF" w:rsidRDefault="003619CE">
      <w:pPr>
        <w:pStyle w:val="Ttulo2"/>
        <w:spacing w:before="0" w:line="360" w:lineRule="auto"/>
        <w:rPr>
          <w:rFonts w:ascii="Palatino Linotype" w:eastAsia="Palatino Linotype" w:hAnsi="Palatino Linotype" w:cs="Palatino Linotype"/>
          <w:b/>
          <w:color w:val="000000"/>
          <w:sz w:val="22"/>
          <w:szCs w:val="22"/>
        </w:rPr>
      </w:pPr>
      <w:bookmarkStart w:id="17" w:name="_heading=h.txzorpqcepma" w:colFirst="0" w:colLast="0"/>
      <w:bookmarkStart w:id="18" w:name="_Toc207291718"/>
      <w:bookmarkEnd w:id="17"/>
      <w:r>
        <w:rPr>
          <w:rFonts w:ascii="Palatino Linotype" w:eastAsia="Palatino Linotype" w:hAnsi="Palatino Linotype" w:cs="Palatino Linotype"/>
          <w:b/>
          <w:color w:val="000000"/>
          <w:sz w:val="22"/>
          <w:szCs w:val="22"/>
        </w:rPr>
        <w:lastRenderedPageBreak/>
        <w:t>CUARTO. Marco normativo aplicable en materia de transparencia y acceso a la información pública</w:t>
      </w:r>
      <w:bookmarkEnd w:id="18"/>
    </w:p>
    <w:p w14:paraId="0A93A79F" w14:textId="77777777" w:rsidR="006F1DFF" w:rsidRDefault="006F1DFF">
      <w:pPr>
        <w:spacing w:after="0" w:line="360" w:lineRule="auto"/>
        <w:rPr>
          <w:color w:val="000000"/>
        </w:rPr>
      </w:pPr>
    </w:p>
    <w:p w14:paraId="5D923C6D" w14:textId="77777777" w:rsidR="006F1DFF" w:rsidRDefault="003619CE">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E250E3E" w14:textId="77777777" w:rsidR="006F1DFF" w:rsidRDefault="006F1DFF">
      <w:pPr>
        <w:spacing w:after="0" w:line="360" w:lineRule="auto"/>
        <w:rPr>
          <w:color w:val="000000"/>
        </w:rPr>
      </w:pPr>
    </w:p>
    <w:p w14:paraId="7EA048E5" w14:textId="77777777" w:rsidR="006F1DFF" w:rsidRDefault="003619CE">
      <w:pPr>
        <w:spacing w:after="0" w:line="360" w:lineRule="auto"/>
        <w:rPr>
          <w:color w:val="000000"/>
        </w:rPr>
      </w:pPr>
      <w:r>
        <w:rPr>
          <w:color w:val="000000"/>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6197A5E" w14:textId="77777777" w:rsidR="006F1DFF" w:rsidRDefault="006F1DFF">
      <w:pPr>
        <w:spacing w:after="0" w:line="360" w:lineRule="auto"/>
        <w:rPr>
          <w:color w:val="000000"/>
        </w:rPr>
      </w:pPr>
    </w:p>
    <w:p w14:paraId="7A7847AE" w14:textId="77777777" w:rsidR="006F1DFF" w:rsidRDefault="003619CE">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7362CEC0" w14:textId="77777777" w:rsidR="006F1DFF" w:rsidRDefault="006F1DFF">
      <w:pPr>
        <w:spacing w:after="0" w:line="360" w:lineRule="auto"/>
        <w:rPr>
          <w:color w:val="000000"/>
        </w:rPr>
      </w:pPr>
    </w:p>
    <w:p w14:paraId="30A2955C" w14:textId="77777777" w:rsidR="006F1DFF" w:rsidRDefault="003619CE">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6848BCC4" w14:textId="77777777" w:rsidR="006F1DFF" w:rsidRDefault="006F1DFF">
      <w:pPr>
        <w:spacing w:after="0" w:line="360" w:lineRule="auto"/>
        <w:rPr>
          <w:color w:val="000000"/>
        </w:rPr>
      </w:pPr>
    </w:p>
    <w:p w14:paraId="497E9CF2" w14:textId="77777777" w:rsidR="006F1DFF" w:rsidRDefault="003619CE">
      <w:pPr>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957BF6A" w14:textId="77777777" w:rsidR="006F1DFF" w:rsidRDefault="006F1DFF">
      <w:pPr>
        <w:spacing w:after="0" w:line="360" w:lineRule="auto"/>
        <w:rPr>
          <w:color w:val="000000"/>
        </w:rPr>
      </w:pPr>
    </w:p>
    <w:p w14:paraId="565714A2" w14:textId="77777777" w:rsidR="006F1DFF" w:rsidRDefault="003619CE">
      <w:pPr>
        <w:spacing w:after="0" w:line="360" w:lineRule="auto"/>
        <w:rPr>
          <w:color w:val="000000"/>
        </w:rPr>
      </w:pPr>
      <w:r>
        <w:rPr>
          <w:color w:val="000000"/>
        </w:rPr>
        <w:t xml:space="preserve">El artículo 19, que, se presume que la información debe existir si se refiere a las facultades, competencias y funciones que los ordenamientos jurídicos aplicables otorgan a los sujetos </w:t>
      </w:r>
      <w:r>
        <w:rPr>
          <w:color w:val="000000"/>
        </w:rPr>
        <w:lastRenderedPageBreak/>
        <w:t>obligados y en caso de que dichas facultades no se hayan ejercido, se deberá motivar la respuesta en función de las causas que motivaron tal circunstancia.</w:t>
      </w:r>
    </w:p>
    <w:p w14:paraId="65BF5D7F" w14:textId="77777777" w:rsidR="006F1DFF" w:rsidRDefault="006F1DFF">
      <w:pPr>
        <w:spacing w:after="0" w:line="360" w:lineRule="auto"/>
        <w:rPr>
          <w:color w:val="000000"/>
        </w:rPr>
      </w:pPr>
    </w:p>
    <w:p w14:paraId="7972B862" w14:textId="77777777" w:rsidR="006F1DFF" w:rsidRDefault="003619CE">
      <w:pPr>
        <w:pStyle w:val="Ttulo2"/>
        <w:spacing w:before="0" w:line="360" w:lineRule="auto"/>
        <w:rPr>
          <w:rFonts w:ascii="Palatino Linotype" w:eastAsia="Palatino Linotype" w:hAnsi="Palatino Linotype" w:cs="Palatino Linotype"/>
          <w:b/>
          <w:color w:val="000000"/>
          <w:sz w:val="22"/>
          <w:szCs w:val="22"/>
        </w:rPr>
      </w:pPr>
      <w:bookmarkStart w:id="19" w:name="_heading=h.1lw21zqwszb7" w:colFirst="0" w:colLast="0"/>
      <w:bookmarkStart w:id="20" w:name="_Toc207291719"/>
      <w:bookmarkEnd w:id="19"/>
      <w:r>
        <w:rPr>
          <w:rFonts w:ascii="Palatino Linotype" w:eastAsia="Palatino Linotype" w:hAnsi="Palatino Linotype" w:cs="Palatino Linotype"/>
          <w:b/>
          <w:color w:val="000000"/>
          <w:sz w:val="22"/>
          <w:szCs w:val="22"/>
        </w:rPr>
        <w:t>QUINTO. Estudio de Fondo</w:t>
      </w:r>
      <w:bookmarkEnd w:id="20"/>
    </w:p>
    <w:p w14:paraId="41189358" w14:textId="77777777" w:rsidR="006F1DFF" w:rsidRDefault="006F1DFF">
      <w:pPr>
        <w:spacing w:after="0" w:line="360" w:lineRule="auto"/>
        <w:rPr>
          <w:b/>
          <w:color w:val="FF0000"/>
        </w:rPr>
      </w:pPr>
    </w:p>
    <w:p w14:paraId="66D967AA" w14:textId="77777777" w:rsidR="006F1DFF" w:rsidRDefault="003619CE">
      <w:pPr>
        <w:spacing w:after="0" w:line="360" w:lineRule="auto"/>
        <w:rPr>
          <w:color w:val="000000"/>
        </w:rPr>
      </w:pPr>
      <w:r>
        <w:rPr>
          <w:color w:val="000000"/>
        </w:rPr>
        <w:t>Expuestas las posturas de las partes, se procede al análisis del agravio hecho valer por la persona Recurrente, concernientes a la entrega de la información en un formato incomprensible, o no accesible, por lo que, en principio es necesario contextualizar la solicitud de información.</w:t>
      </w:r>
    </w:p>
    <w:p w14:paraId="3D6AD6A6" w14:textId="77777777" w:rsidR="006F1DFF" w:rsidRDefault="006F1DFF">
      <w:pPr>
        <w:spacing w:after="0" w:line="360" w:lineRule="auto"/>
        <w:rPr>
          <w:b/>
          <w:color w:val="FF0000"/>
        </w:rPr>
      </w:pPr>
    </w:p>
    <w:p w14:paraId="46B97BBD" w14:textId="77777777" w:rsidR="006F1DFF" w:rsidRDefault="003619CE">
      <w:pPr>
        <w:spacing w:after="0" w:line="360" w:lineRule="auto"/>
        <w:rPr>
          <w:b/>
          <w:color w:val="000000"/>
        </w:rPr>
      </w:pPr>
      <w:r>
        <w:rPr>
          <w:color w:val="000000"/>
        </w:rPr>
        <w:t xml:space="preserve">Al respecto, 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Pr>
          <w:b/>
          <w:color w:val="000000"/>
        </w:rPr>
        <w:t>servidores públicos a todas las personas que desempeñen un empleo, cargo o comisión en los Municipios.</w:t>
      </w:r>
    </w:p>
    <w:p w14:paraId="54CCEEE8" w14:textId="77777777" w:rsidR="006F1DFF" w:rsidRDefault="006F1DFF">
      <w:pPr>
        <w:spacing w:after="0" w:line="360" w:lineRule="auto"/>
        <w:rPr>
          <w:b/>
          <w:color w:val="FF0000"/>
        </w:rPr>
      </w:pPr>
    </w:p>
    <w:p w14:paraId="54F60DAD" w14:textId="77777777" w:rsidR="006F1DFF" w:rsidRDefault="003619CE">
      <w:pPr>
        <w:spacing w:after="0" w:line="360" w:lineRule="auto"/>
        <w:rPr>
          <w:color w:val="000000"/>
        </w:rPr>
      </w:pPr>
      <w:r>
        <w:rPr>
          <w:color w:val="000000"/>
        </w:rPr>
        <w:t xml:space="preserve">Además, el artículo 4°, fracción VI, de la Ley del Trabajo de los servidores públicos del Estado y Municipios, precisa que son </w:t>
      </w:r>
      <w:r>
        <w:rPr>
          <w:b/>
          <w:color w:val="000000"/>
        </w:rPr>
        <w:t>servidores públicos,</w:t>
      </w:r>
      <w:r>
        <w:rPr>
          <w:color w:val="000000"/>
        </w:rPr>
        <w:t xml:space="preserve"> todas las personas físicas que presten a una institución pública un trabajo personal subordinado, mediante el pago de un sueldo.</w:t>
      </w:r>
    </w:p>
    <w:p w14:paraId="7E77860D" w14:textId="77777777" w:rsidR="006F1DFF" w:rsidRDefault="006F1DFF">
      <w:pPr>
        <w:widowControl w:val="0"/>
        <w:spacing w:after="0" w:line="360" w:lineRule="auto"/>
        <w:rPr>
          <w:color w:val="FF0000"/>
        </w:rPr>
      </w:pPr>
    </w:p>
    <w:p w14:paraId="4A5EA99E" w14:textId="77777777" w:rsidR="006F1DFF" w:rsidRDefault="003619CE">
      <w:pPr>
        <w:widowControl w:val="0"/>
        <w:spacing w:after="0" w:line="360" w:lineRule="auto"/>
        <w:rPr>
          <w:color w:val="000000"/>
        </w:rPr>
      </w:pPr>
      <w:r>
        <w:rPr>
          <w:color w:val="000000"/>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C9DE6D8" w14:textId="77777777" w:rsidR="006F1DFF" w:rsidRDefault="006F1DFF">
      <w:pPr>
        <w:widowControl w:val="0"/>
        <w:spacing w:after="0" w:line="360" w:lineRule="auto"/>
        <w:rPr>
          <w:color w:val="000000"/>
        </w:rPr>
      </w:pPr>
    </w:p>
    <w:p w14:paraId="40ADBB25" w14:textId="77777777" w:rsidR="006F1DFF" w:rsidRDefault="003619CE">
      <w:pPr>
        <w:widowControl w:val="0"/>
        <w:spacing w:after="0" w:line="360" w:lineRule="auto"/>
        <w:rPr>
          <w:color w:val="000000"/>
        </w:rPr>
      </w:pPr>
      <w:r>
        <w:rPr>
          <w:color w:val="000000"/>
        </w:rPr>
        <w:t>En ese contexto, el artículo 70, fracción VIII, de la Ley General de Transparencia y Acceso a la Información Pública y 92, fracción VIII, de la Ley de Transparencia y Acceso a la Información Pública del Estado de México y Municipios, establece que los Sujetos Obligados</w:t>
      </w:r>
    </w:p>
    <w:p w14:paraId="63F149A4" w14:textId="77777777" w:rsidR="006F1DFF" w:rsidRDefault="003619CE">
      <w:pPr>
        <w:widowControl w:val="0"/>
        <w:spacing w:after="0" w:line="360" w:lineRule="auto"/>
        <w:rPr>
          <w:color w:val="000000"/>
        </w:rPr>
      </w:pPr>
      <w:r>
        <w:rPr>
          <w:color w:val="000000"/>
        </w:rPr>
        <w:t>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AA2F231" w14:textId="77777777" w:rsidR="006F1DFF" w:rsidRDefault="006F1DFF">
      <w:pPr>
        <w:widowControl w:val="0"/>
        <w:spacing w:after="0" w:line="360" w:lineRule="auto"/>
        <w:rPr>
          <w:color w:val="FF0000"/>
        </w:rPr>
      </w:pPr>
    </w:p>
    <w:p w14:paraId="183224EF" w14:textId="77777777" w:rsidR="006F1DFF" w:rsidRDefault="003619CE">
      <w:pPr>
        <w:widowControl w:val="0"/>
        <w:spacing w:after="0" w:line="360" w:lineRule="auto"/>
        <w:rPr>
          <w:b/>
          <w:color w:val="FF0000"/>
        </w:rPr>
      </w:pPr>
      <w:r>
        <w:rPr>
          <w:color w:val="000000"/>
        </w:rPr>
        <w:t>Por otra parte, respecto al documento requerido</w:t>
      </w:r>
      <w:r>
        <w:t>, el Glosario localizado en la página de Transparencia Presupuestaria de la Secretaría de Hacienda y Crédito Público (</w:t>
      </w:r>
      <w:hyperlink r:id="rId9">
        <w:r>
          <w:rPr>
            <w:color w:val="0563C1"/>
            <w:u w:val="single"/>
          </w:rPr>
          <w:t>http://www.transparenciapresupuestaria.gob.mx/es/PTP/Glosario</w:t>
        </w:r>
      </w:hyperlink>
      <w:r>
        <w:t xml:space="preserve">), establece que la </w:t>
      </w:r>
      <w:r>
        <w:rPr>
          <w:b/>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6BFA436" w14:textId="77777777" w:rsidR="006F1DFF" w:rsidRDefault="006F1DFF">
      <w:pPr>
        <w:widowControl w:val="0"/>
        <w:spacing w:after="0" w:line="360" w:lineRule="auto"/>
        <w:rPr>
          <w:color w:val="FF0000"/>
        </w:rPr>
      </w:pPr>
    </w:p>
    <w:p w14:paraId="110B9F16" w14:textId="77777777" w:rsidR="006F1DFF" w:rsidRDefault="003619CE">
      <w:pPr>
        <w:widowControl w:val="0"/>
        <w:spacing w:after="0" w:line="360" w:lineRule="auto"/>
        <w:rPr>
          <w:b/>
          <w:color w:val="FF0000"/>
        </w:rPr>
      </w:pPr>
      <w:r>
        <w:t>De la misma manera, el Glosario de términos más usuales en la Administración Pública Federal, emitido por la Secretaría de Hacienda y Crédito Público (</w:t>
      </w:r>
      <w:hyperlink r:id="rId10">
        <w:r>
          <w:rPr>
            <w:color w:val="0563C1"/>
            <w:u w:val="single"/>
          </w:rPr>
          <w:t>https://www.apartados.hacienda.gob.mx/contabilidad/documentos/informe_cuenta/1998/cuenta_publica/Glosario/n.htm</w:t>
        </w:r>
      </w:hyperlink>
      <w:r>
        <w:t xml:space="preserve">),  establece que la </w:t>
      </w:r>
      <w:r>
        <w:rPr>
          <w:b/>
          <w:u w:val="single"/>
        </w:rPr>
        <w:t>nómina es un listado general</w:t>
      </w:r>
      <w:r>
        <w:rPr>
          <w:b/>
        </w:rPr>
        <w:t xml:space="preserve"> de los trabajadores de una institución, en el cual se asientan las percepciones brutas, deducciones y alcance neto de las mismas.</w:t>
      </w:r>
    </w:p>
    <w:p w14:paraId="05E2BEF3" w14:textId="77777777" w:rsidR="006F1DFF" w:rsidRDefault="006F1DFF">
      <w:pPr>
        <w:widowControl w:val="0"/>
        <w:spacing w:after="0" w:line="360" w:lineRule="auto"/>
        <w:rPr>
          <w:color w:val="FF0000"/>
        </w:rPr>
      </w:pPr>
    </w:p>
    <w:p w14:paraId="66C42D58" w14:textId="77777777" w:rsidR="006F1DFF" w:rsidRDefault="003619CE">
      <w:pPr>
        <w:widowControl w:val="0"/>
        <w:spacing w:after="0" w:line="360" w:lineRule="auto"/>
      </w:pPr>
      <w:r>
        <w:t xml:space="preserve">Conforme a lo anterior, se puede advertir que la nómina se puede referir a lo siguiente: </w:t>
      </w:r>
    </w:p>
    <w:p w14:paraId="0F0C643C" w14:textId="77777777" w:rsidR="006F1DFF" w:rsidRDefault="006F1DFF">
      <w:pPr>
        <w:widowControl w:val="0"/>
        <w:spacing w:after="0" w:line="360" w:lineRule="auto"/>
      </w:pPr>
    </w:p>
    <w:p w14:paraId="696E0E69" w14:textId="77777777" w:rsidR="006F1DFF" w:rsidRDefault="003619CE">
      <w:pPr>
        <w:widowControl w:val="0"/>
        <w:numPr>
          <w:ilvl w:val="0"/>
          <w:numId w:val="7"/>
        </w:numPr>
        <w:pBdr>
          <w:top w:val="nil"/>
          <w:left w:val="nil"/>
          <w:bottom w:val="nil"/>
          <w:right w:val="nil"/>
          <w:between w:val="nil"/>
        </w:pBdr>
        <w:spacing w:after="0" w:line="360" w:lineRule="auto"/>
      </w:pPr>
      <w:r>
        <w:rPr>
          <w:color w:val="000000"/>
        </w:rPr>
        <w:lastRenderedPageBreak/>
        <w:t>Relación de trabajadores con las percepciones monetarias de cada uno.</w:t>
      </w:r>
    </w:p>
    <w:p w14:paraId="3E2BD053" w14:textId="77777777" w:rsidR="006F1DFF" w:rsidRDefault="006F1DFF">
      <w:pPr>
        <w:widowControl w:val="0"/>
        <w:spacing w:after="0" w:line="360" w:lineRule="auto"/>
      </w:pPr>
    </w:p>
    <w:p w14:paraId="31E3D57F" w14:textId="77777777" w:rsidR="006F1DFF" w:rsidRDefault="003619CE">
      <w:pPr>
        <w:widowControl w:val="0"/>
        <w:numPr>
          <w:ilvl w:val="0"/>
          <w:numId w:val="7"/>
        </w:numPr>
        <w:pBdr>
          <w:top w:val="nil"/>
          <w:left w:val="nil"/>
          <w:bottom w:val="nil"/>
          <w:right w:val="nil"/>
          <w:between w:val="nil"/>
        </w:pBdr>
        <w:spacing w:after="0" w:line="360" w:lineRule="auto"/>
      </w:pPr>
      <w:r>
        <w:rPr>
          <w:color w:val="000000"/>
        </w:rPr>
        <w:t xml:space="preserve">Recibo individual que contiene las prestaciones y deducciones de un trabajador. </w:t>
      </w:r>
    </w:p>
    <w:p w14:paraId="0C823EB5" w14:textId="77777777" w:rsidR="006F1DFF" w:rsidRDefault="006F1DFF">
      <w:pPr>
        <w:widowControl w:val="0"/>
        <w:spacing w:after="0" w:line="360" w:lineRule="auto"/>
      </w:pPr>
    </w:p>
    <w:p w14:paraId="7BAC69DC" w14:textId="77777777" w:rsidR="006F1DFF" w:rsidRDefault="003619CE">
      <w:pPr>
        <w:widowControl w:val="0"/>
        <w:numPr>
          <w:ilvl w:val="0"/>
          <w:numId w:val="7"/>
        </w:numPr>
        <w:pBdr>
          <w:top w:val="nil"/>
          <w:left w:val="nil"/>
          <w:bottom w:val="nil"/>
          <w:right w:val="nil"/>
          <w:between w:val="nil"/>
        </w:pBdr>
        <w:spacing w:after="0" w:line="360" w:lineRule="auto"/>
        <w:rPr>
          <w:b/>
          <w:color w:val="FF0000"/>
        </w:rPr>
      </w:pPr>
      <w:r>
        <w:rPr>
          <w:b/>
          <w:color w:val="000000"/>
        </w:rPr>
        <w:t>Listado general de los servidores públicos de una institución o dependencia, en el cual se asientan las percepciones brutas, deducciones y alcance neto de las mismas.</w:t>
      </w:r>
    </w:p>
    <w:p w14:paraId="20662166" w14:textId="77777777" w:rsidR="006F1DFF" w:rsidRDefault="006F1DFF">
      <w:pPr>
        <w:widowControl w:val="0"/>
        <w:spacing w:after="0" w:line="360" w:lineRule="auto"/>
      </w:pPr>
    </w:p>
    <w:p w14:paraId="091BFEEE" w14:textId="77777777" w:rsidR="006F1DFF" w:rsidRDefault="003619CE">
      <w:pPr>
        <w:widowControl w:val="0"/>
        <w:spacing w:after="0" w:line="360" w:lineRule="auto"/>
      </w:pPr>
      <w:r>
        <w:t xml:space="preserve">En ese contexto, los En ese orden de ideas, los Lineamientos para la integración y presentación de los Informes Trimestrales Estatales y Municipales del Ejercicio Fiscal 2025, establecen que el Sujeto Obligado deberá entregar al Órgano Superior de Fiscalización, emitidos por el Órgano Superior de Fiscalización del Estado de México, el cual precisa que los Ayuntamientos deben de proporcionar, para su fiscalización, diversos documentos, entre los cuales se encuentran aquellos del Módulo 4, que contienen la </w:t>
      </w:r>
      <w:r>
        <w:rPr>
          <w:b/>
        </w:rPr>
        <w:t>Conciliación de Nómina</w:t>
      </w:r>
      <w:r>
        <w:t>, el cual se conforma de del listado de servidores públicos, con todas sus percepciones y deducciones, mismo que se genera de manera quincenal.</w:t>
      </w:r>
    </w:p>
    <w:p w14:paraId="120F9EC5" w14:textId="77777777" w:rsidR="006F1DFF" w:rsidRDefault="006F1DFF">
      <w:pPr>
        <w:spacing w:after="0" w:line="360" w:lineRule="auto"/>
      </w:pPr>
    </w:p>
    <w:p w14:paraId="7C4AA8C8" w14:textId="77777777" w:rsidR="006F1DFF" w:rsidRDefault="006F1DFF">
      <w:pPr>
        <w:spacing w:after="0" w:line="360" w:lineRule="auto"/>
      </w:pPr>
    </w:p>
    <w:p w14:paraId="5739E9DB" w14:textId="77777777" w:rsidR="006F1DFF" w:rsidRDefault="003619CE">
      <w:pPr>
        <w:spacing w:after="0" w:line="360" w:lineRule="auto"/>
      </w:pPr>
      <w:r>
        <w:t>Conforme a lo anterior, se logra vislumbrar que la pretensión del ahora recurrente es obtener Conciliación de</w:t>
      </w:r>
      <w:r>
        <w:rPr>
          <w:color w:val="000000"/>
        </w:rPr>
        <w:t xml:space="preserve"> nómina de los servidores públicos adscritos al </w:t>
      </w:r>
      <w:r>
        <w:t>Ayuntamiento de Atlautla, de la segunda quincena de marzo de dos mil veinticinco.</w:t>
      </w:r>
    </w:p>
    <w:p w14:paraId="63CD514B" w14:textId="77777777" w:rsidR="006F1DFF" w:rsidRDefault="006F1DFF">
      <w:pPr>
        <w:spacing w:after="0" w:line="360" w:lineRule="auto"/>
        <w:rPr>
          <w:color w:val="000000"/>
        </w:rPr>
      </w:pPr>
    </w:p>
    <w:p w14:paraId="56B4A92C" w14:textId="77777777" w:rsidR="006F1DFF" w:rsidRDefault="003619CE">
      <w:pPr>
        <w:spacing w:after="0" w:line="360" w:lineRule="auto"/>
        <w:rPr>
          <w:color w:val="000000"/>
        </w:rPr>
      </w:pPr>
      <w:r>
        <w:rPr>
          <w:color w:val="000000"/>
        </w:rPr>
        <w:t xml:space="preserve">Ante dicha circunstancia, es necesario precisar que de las constancias que obran en el expediente electrónico, se logra advertir que el Sujeto Obligado turnó la solicitud de información a la  Tesorería Municipal, por lo que, resulta necesario hacer referencia al </w:t>
      </w:r>
      <w:r>
        <w:rPr>
          <w:b/>
          <w:color w:val="000000"/>
        </w:rPr>
        <w:t>procedimiento de búsqueda que deben seguir los Sujetos Obligados para localizar la información,</w:t>
      </w:r>
      <w:r>
        <w:rPr>
          <w:color w:val="000000"/>
        </w:rPr>
        <w:t xml:space="preserve"> el cual se encuentra previsto en el artículo 162 de la Ley de Transparencia y </w:t>
      </w:r>
      <w:r>
        <w:rPr>
          <w:color w:val="000000"/>
        </w:rPr>
        <w:lastRenderedPageBreak/>
        <w:t>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BCAF1A5" w14:textId="77777777" w:rsidR="006F1DFF" w:rsidRDefault="006F1DFF">
      <w:pPr>
        <w:spacing w:after="0" w:line="360" w:lineRule="auto"/>
        <w:rPr>
          <w:color w:val="FF0000"/>
        </w:rPr>
      </w:pPr>
    </w:p>
    <w:p w14:paraId="63A54006" w14:textId="77777777" w:rsidR="006F1DFF" w:rsidRDefault="003619CE">
      <w:pPr>
        <w:spacing w:after="0" w:line="360" w:lineRule="auto"/>
      </w:pPr>
      <w:r>
        <w:rPr>
          <w:color w:val="000000"/>
        </w:rPr>
        <w:t>Así, con la finalidad de determinar si el Sujeto Obligado cumplió con el procedimiento de búsqueda previamente establecido, es necesario traer a colación el artículo 108 del Bando Municipal de Atlautla dos mil veinticinco, el cual establece que el área de Tesorería Municipal se encargara entre otras cosas de l</w:t>
      </w:r>
      <w:r>
        <w:t xml:space="preserve">as disposiciones financieras, de disciplina y de contabilidad del gasto público inherentes a su encargo, acorde a la legislación aplicable y vigente y establecerá la composición organizacional interna que permita desarrollar sus actividades y responsabilidades, aplicando los </w:t>
      </w:r>
      <w:r>
        <w:rPr>
          <w:b/>
        </w:rPr>
        <w:t>recursos</w:t>
      </w:r>
      <w:r>
        <w:t xml:space="preserve"> tecnológicos que </w:t>
      </w:r>
      <w:r>
        <w:rPr>
          <w:b/>
        </w:rPr>
        <w:t>faciliten los pagos de servicios y multas.</w:t>
      </w:r>
    </w:p>
    <w:p w14:paraId="55961466" w14:textId="77777777" w:rsidR="006F1DFF" w:rsidRDefault="006F1DFF">
      <w:pPr>
        <w:spacing w:after="0" w:line="360" w:lineRule="auto"/>
        <w:rPr>
          <w:b/>
          <w:color w:val="000000"/>
        </w:rPr>
      </w:pPr>
    </w:p>
    <w:p w14:paraId="79996E4F" w14:textId="77777777" w:rsidR="006F1DFF" w:rsidRDefault="003619CE">
      <w:pPr>
        <w:spacing w:after="0" w:line="360" w:lineRule="auto"/>
        <w:rPr>
          <w:color w:val="000000"/>
        </w:rPr>
      </w:pPr>
      <w:r>
        <w:rPr>
          <w:color w:val="000000"/>
        </w:rPr>
        <w:t xml:space="preserve">Por otra parte, el artículo 115 del Ordenamiento en comento establece que la Coordinación de Administración Municipal es un área subordinada por la Tesorería Municipal la cual se encargara de </w:t>
      </w:r>
      <w:r>
        <w:t>administrar, comprobar y asignar los recursos materiales, bienes y servicios, necesarios para el mejor desarrollo de las funciones de las Dependencias de la Administración Pública Municipal.</w:t>
      </w:r>
    </w:p>
    <w:p w14:paraId="0E29C410" w14:textId="77777777" w:rsidR="006F1DFF" w:rsidRDefault="006F1DFF">
      <w:pPr>
        <w:spacing w:after="0" w:line="360" w:lineRule="auto"/>
        <w:rPr>
          <w:color w:val="FF0000"/>
        </w:rPr>
      </w:pPr>
    </w:p>
    <w:p w14:paraId="73535AEC" w14:textId="77777777" w:rsidR="006F1DFF" w:rsidRDefault="003619CE">
      <w:pPr>
        <w:spacing w:after="0" w:line="360" w:lineRule="auto"/>
        <w:rPr>
          <w:color w:val="FF0000"/>
        </w:rPr>
      </w:pPr>
      <w:r>
        <w:rPr>
          <w:color w:val="000000"/>
        </w:rPr>
        <w:t>Conforme a lo anterior se logra advertir que el Sujeto Obligado, cumplió con el procedimiento de búsqueda previsto en el artículo 162 de la Ley de Transparencia y Acceso a la Información Pública del Estado de México y Municipios, toda vez que turnó la solicitud de información al área competente para conocer respecto de la nómina del Sujeto Obligado.</w:t>
      </w:r>
    </w:p>
    <w:p w14:paraId="5FD40A04" w14:textId="77777777" w:rsidR="006F1DFF" w:rsidRDefault="006F1DFF">
      <w:pPr>
        <w:spacing w:after="0" w:line="360" w:lineRule="auto"/>
        <w:rPr>
          <w:color w:val="FF0000"/>
        </w:rPr>
      </w:pPr>
    </w:p>
    <w:p w14:paraId="64912613" w14:textId="77777777" w:rsidR="006F1DFF" w:rsidRDefault="003619CE">
      <w:pPr>
        <w:spacing w:after="0" w:line="360" w:lineRule="auto"/>
        <w:rPr>
          <w:color w:val="000000"/>
        </w:rPr>
      </w:pPr>
      <w:r>
        <w:rPr>
          <w:color w:val="000000"/>
        </w:rPr>
        <w:lastRenderedPageBreak/>
        <w:t xml:space="preserve">Ahora bien, tanto en respuesta, como Informe Justificado, el área señalada precisó que la información solicitada se remitía por medio de un archivo, de cuya revisión se advierte que </w:t>
      </w:r>
      <w:proofErr w:type="spellStart"/>
      <w:r>
        <w:rPr>
          <w:color w:val="000000"/>
        </w:rPr>
        <w:t>esta</w:t>
      </w:r>
      <w:proofErr w:type="spellEnd"/>
      <w:r>
        <w:rPr>
          <w:color w:val="000000"/>
        </w:rPr>
        <w:t xml:space="preserve"> totalmente ilegible y no permite conocer su contenido, tal como se muestra a continuación:</w:t>
      </w:r>
    </w:p>
    <w:p w14:paraId="2F6E92F3" w14:textId="77777777" w:rsidR="006F1DFF" w:rsidRDefault="006F1DFF">
      <w:pPr>
        <w:spacing w:after="0" w:line="360" w:lineRule="auto"/>
        <w:rPr>
          <w:color w:val="000000"/>
        </w:rPr>
      </w:pPr>
    </w:p>
    <w:p w14:paraId="40084B45" w14:textId="77777777" w:rsidR="006F1DFF" w:rsidRDefault="003619CE">
      <w:pPr>
        <w:spacing w:after="0" w:line="360" w:lineRule="auto"/>
        <w:rPr>
          <w:color w:val="000000"/>
        </w:rPr>
      </w:pPr>
      <w:r>
        <w:rPr>
          <w:noProof/>
          <w:color w:val="000000"/>
        </w:rPr>
        <w:drawing>
          <wp:inline distT="0" distB="0" distL="0" distR="0" wp14:anchorId="102C07F7" wp14:editId="043A4129">
            <wp:extent cx="5671185" cy="1609090"/>
            <wp:effectExtent l="0" t="0" r="0" b="0"/>
            <wp:docPr id="20539546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71185" cy="1609090"/>
                    </a:xfrm>
                    <a:prstGeom prst="rect">
                      <a:avLst/>
                    </a:prstGeom>
                    <a:ln/>
                  </pic:spPr>
                </pic:pic>
              </a:graphicData>
            </a:graphic>
          </wp:inline>
        </w:drawing>
      </w:r>
    </w:p>
    <w:p w14:paraId="193C6B7D" w14:textId="77777777" w:rsidR="006F1DFF" w:rsidRDefault="006F1DFF">
      <w:pPr>
        <w:spacing w:after="0" w:line="360" w:lineRule="auto"/>
        <w:rPr>
          <w:color w:val="000000"/>
        </w:rPr>
      </w:pPr>
    </w:p>
    <w:p w14:paraId="3DF45095" w14:textId="77777777" w:rsidR="006F1DFF" w:rsidRDefault="003619CE">
      <w:pPr>
        <w:spacing w:after="0" w:line="360" w:lineRule="auto"/>
        <w:rPr>
          <w:color w:val="000000"/>
        </w:rPr>
      </w:pPr>
      <w:r>
        <w:rPr>
          <w:color w:val="000000"/>
        </w:rPr>
        <w:t>Además, mediante Informe Justificado, el área señaló que el Particular no había solicitado la información en una determinada calidad de la digitalización, lo cual va en contra del derecho de acceso a la información, pues los particulares, en cualquier caso, no únicamente requieren tener acceso a los documentos, sino también al contenido de estos, pues de lo contrario estos desconocer los datos que obran en estos.</w:t>
      </w:r>
    </w:p>
    <w:p w14:paraId="60C44A7B" w14:textId="77777777" w:rsidR="006F1DFF" w:rsidRDefault="006F1DFF">
      <w:pPr>
        <w:spacing w:after="0" w:line="360" w:lineRule="auto"/>
        <w:rPr>
          <w:color w:val="000000"/>
        </w:rPr>
      </w:pPr>
    </w:p>
    <w:p w14:paraId="656A2F2B" w14:textId="77777777" w:rsidR="006F1DFF" w:rsidRDefault="006F1DFF">
      <w:pPr>
        <w:spacing w:after="0" w:line="360" w:lineRule="auto"/>
      </w:pPr>
    </w:p>
    <w:p w14:paraId="35A06056" w14:textId="77777777" w:rsidR="006F1DFF" w:rsidRDefault="003619CE">
      <w:pPr>
        <w:spacing w:after="0" w:line="360" w:lineRule="auto"/>
      </w:pPr>
      <w:r>
        <w:t xml:space="preserve">Por tales consideraciones, se concluye que el Sujeto Obligado no satisfizo el derecho de acceso a la información del Solicitante, pues proporcionó un documento totalmente ilegible, lo cual da como resultado que el agravio sea </w:t>
      </w:r>
      <w:r>
        <w:rPr>
          <w:b/>
        </w:rPr>
        <w:t>FUNDADO;</w:t>
      </w:r>
      <w:r>
        <w:t xml:space="preserve"> situación que guarda relevancia, pues este Instituto localizó en los Lineamientos para la integración y presentación de los Informes Trimestrales Estatales y Municipales del Ejercicio Fiscal 2025, que el Sujeto Obligado a parte de generar la conciliación de nómina, debe generar los documentos legibles; además que el específico lo debe generar y entregar en un formato digital compatible con el software </w:t>
      </w:r>
      <w:r>
        <w:rPr>
          <w:i/>
        </w:rPr>
        <w:t>“Excel”</w:t>
      </w:r>
    </w:p>
    <w:p w14:paraId="649C834E" w14:textId="77777777" w:rsidR="006F1DFF" w:rsidRDefault="006F1DFF">
      <w:pPr>
        <w:spacing w:after="0" w:line="360" w:lineRule="auto"/>
        <w:rPr>
          <w:b/>
        </w:rPr>
      </w:pPr>
    </w:p>
    <w:p w14:paraId="63662CC9" w14:textId="77777777" w:rsidR="006F1DFF" w:rsidRDefault="003619CE">
      <w:pPr>
        <w:spacing w:after="0" w:line="360" w:lineRule="auto"/>
      </w:pPr>
      <w:r>
        <w:t>Así, para atender al requerimiento en análisis, el Sujeto Obligado, deberá realizar una búsqueda exhaustiva y razonable en todas sus áreas competentes, dentro de las cuales no podrá omitir a la Tesorería y sus diversas áreas subordinadas</w:t>
      </w:r>
      <w:r>
        <w:rPr>
          <w:color w:val="000000"/>
        </w:rPr>
        <w:t xml:space="preserve">, </w:t>
      </w:r>
      <w:r>
        <w:t xml:space="preserve">a efecto de que proporcione la Conciliación de nómina de los servidores </w:t>
      </w:r>
      <w:r>
        <w:rPr>
          <w:color w:val="000000"/>
        </w:rPr>
        <w:t xml:space="preserve">públicos adscritos al </w:t>
      </w:r>
      <w:r>
        <w:t>Ayuntamiento de Atlautla, de la segunda quincena de marzo de dos mil veinticinco, legible;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1D118F9" w14:textId="77777777" w:rsidR="006F1DFF" w:rsidRDefault="006F1DFF">
      <w:pPr>
        <w:spacing w:after="0" w:line="360" w:lineRule="auto"/>
      </w:pPr>
    </w:p>
    <w:p w14:paraId="2DB7EF43" w14:textId="77777777" w:rsidR="006F1DFF" w:rsidRDefault="003619CE">
      <w:pPr>
        <w:spacing w:after="0" w:line="360" w:lineRule="auto"/>
      </w:pPr>
      <w:r>
        <w:t>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w:t>
      </w:r>
    </w:p>
    <w:p w14:paraId="046298E9" w14:textId="77777777" w:rsidR="006F1DFF" w:rsidRDefault="006F1DFF">
      <w:pPr>
        <w:spacing w:after="0" w:line="360" w:lineRule="auto"/>
      </w:pPr>
    </w:p>
    <w:p w14:paraId="5590E5A1" w14:textId="77777777" w:rsidR="006F1DFF" w:rsidRDefault="003619CE">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 conciliación de nómina.</w:t>
      </w:r>
    </w:p>
    <w:p w14:paraId="32C63A2A" w14:textId="77777777" w:rsidR="006F1DFF" w:rsidRDefault="006F1DFF">
      <w:pPr>
        <w:spacing w:after="0" w:line="360" w:lineRule="auto"/>
        <w:rPr>
          <w:b/>
        </w:rPr>
      </w:pPr>
    </w:p>
    <w:p w14:paraId="79B22D94" w14:textId="77777777" w:rsidR="006F1DFF" w:rsidRDefault="003619CE">
      <w:pPr>
        <w:spacing w:after="0" w:line="360" w:lineRule="auto"/>
        <w:rPr>
          <w:color w:val="000000"/>
        </w:rPr>
      </w:pPr>
      <w:r>
        <w:rPr>
          <w:color w:val="000000"/>
        </w:rPr>
        <w:t>Ahora bien, no pasa desapercibido que los documentos que den cuenta de lo solicitado pudieran contener de manera enunciativa más no limitativa los siguientes datos:</w:t>
      </w:r>
    </w:p>
    <w:p w14:paraId="438B7C2E" w14:textId="77777777" w:rsidR="006F1DFF" w:rsidRDefault="006F1DFF">
      <w:pPr>
        <w:spacing w:after="0" w:line="360" w:lineRule="auto"/>
        <w:rPr>
          <w:color w:val="000000"/>
        </w:rPr>
      </w:pPr>
    </w:p>
    <w:p w14:paraId="5927BC76" w14:textId="77777777" w:rsidR="006F1DFF" w:rsidRDefault="003619CE">
      <w:pPr>
        <w:numPr>
          <w:ilvl w:val="0"/>
          <w:numId w:val="2"/>
        </w:numPr>
        <w:spacing w:after="0" w:line="360" w:lineRule="auto"/>
        <w:rPr>
          <w:color w:val="000000"/>
        </w:rPr>
      </w:pPr>
      <w:bookmarkStart w:id="21" w:name="_heading=h.gl9zc342m6nr" w:colFirst="0" w:colLast="0"/>
      <w:bookmarkEnd w:id="21"/>
      <w:r>
        <w:rPr>
          <w:color w:val="000000"/>
        </w:rPr>
        <w:t>Clave Única de Registro de Población (CURP);</w:t>
      </w:r>
    </w:p>
    <w:p w14:paraId="6475ED35" w14:textId="77777777" w:rsidR="006F1DFF" w:rsidRDefault="003619CE">
      <w:pPr>
        <w:numPr>
          <w:ilvl w:val="0"/>
          <w:numId w:val="2"/>
        </w:numPr>
        <w:spacing w:after="0" w:line="360" w:lineRule="auto"/>
        <w:rPr>
          <w:color w:val="000000"/>
        </w:rPr>
      </w:pPr>
      <w:r>
        <w:rPr>
          <w:color w:val="000000"/>
        </w:rPr>
        <w:t>Registro Federal de Contribuyentes del servidor público (RFC);</w:t>
      </w:r>
    </w:p>
    <w:p w14:paraId="1B19EB24" w14:textId="77777777" w:rsidR="006F1DFF" w:rsidRDefault="003619CE">
      <w:pPr>
        <w:numPr>
          <w:ilvl w:val="0"/>
          <w:numId w:val="2"/>
        </w:numPr>
        <w:spacing w:after="0" w:line="360" w:lineRule="auto"/>
        <w:rPr>
          <w:color w:val="000000"/>
        </w:rPr>
      </w:pPr>
      <w:r>
        <w:rPr>
          <w:color w:val="000000"/>
        </w:rPr>
        <w:t>Número de seguridad social del Instituto de Seguridad Social del Estado de México y Municipios;</w:t>
      </w:r>
    </w:p>
    <w:p w14:paraId="4C5E723C" w14:textId="77777777" w:rsidR="006F1DFF" w:rsidRDefault="003619CE">
      <w:pPr>
        <w:numPr>
          <w:ilvl w:val="0"/>
          <w:numId w:val="2"/>
        </w:numPr>
        <w:spacing w:after="0" w:line="360" w:lineRule="auto"/>
        <w:rPr>
          <w:color w:val="000000"/>
        </w:rPr>
      </w:pPr>
      <w:r>
        <w:rPr>
          <w:color w:val="000000"/>
        </w:rPr>
        <w:t>Deducciones personales, y</w:t>
      </w:r>
    </w:p>
    <w:p w14:paraId="5E513D70" w14:textId="77777777" w:rsidR="006F1DFF" w:rsidRDefault="003619CE">
      <w:pPr>
        <w:numPr>
          <w:ilvl w:val="0"/>
          <w:numId w:val="2"/>
        </w:numPr>
        <w:spacing w:after="0" w:line="360" w:lineRule="auto"/>
        <w:rPr>
          <w:color w:val="000000"/>
        </w:rPr>
      </w:pPr>
      <w:r>
        <w:rPr>
          <w:color w:val="000000"/>
        </w:rPr>
        <w:t>Cuenta Bancaria.</w:t>
      </w:r>
    </w:p>
    <w:p w14:paraId="6DAEE320" w14:textId="77777777" w:rsidR="006F1DFF" w:rsidRDefault="006F1DFF">
      <w:pPr>
        <w:spacing w:after="0" w:line="360" w:lineRule="auto"/>
        <w:ind w:right="-93"/>
        <w:rPr>
          <w:color w:val="000000"/>
        </w:rPr>
      </w:pPr>
    </w:p>
    <w:p w14:paraId="694C42FA" w14:textId="77777777" w:rsidR="006F1DFF" w:rsidRDefault="003619CE">
      <w:pPr>
        <w:spacing w:after="0" w:line="360" w:lineRule="auto"/>
        <w:ind w:right="-28"/>
        <w:rPr>
          <w:color w:val="000000"/>
        </w:rPr>
      </w:pPr>
      <w:r>
        <w:rPr>
          <w:color w:val="000000"/>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2DB25081" w14:textId="77777777" w:rsidR="006F1DFF" w:rsidRDefault="006F1DFF">
      <w:pPr>
        <w:spacing w:after="0" w:line="360" w:lineRule="auto"/>
        <w:rPr>
          <w:color w:val="000000"/>
        </w:rPr>
      </w:pPr>
    </w:p>
    <w:p w14:paraId="2CC73CFB" w14:textId="77777777" w:rsidR="006F1DFF" w:rsidRDefault="003619CE">
      <w:pPr>
        <w:spacing w:after="0" w:line="360" w:lineRule="auto"/>
        <w:rPr>
          <w:color w:val="000000"/>
        </w:rPr>
      </w:pPr>
      <w:r>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Pr>
          <w:color w:val="000000"/>
        </w:rPr>
        <w:t>ii</w:t>
      </w:r>
      <w:proofErr w:type="spellEnd"/>
      <w:r>
        <w:rPr>
          <w:color w:val="000000"/>
        </w:rPr>
        <w:t xml:space="preserve">) por ley tenga el carácter de pública, </w:t>
      </w:r>
      <w:proofErr w:type="spellStart"/>
      <w:r>
        <w:rPr>
          <w:color w:val="000000"/>
        </w:rPr>
        <w:t>iii</w:t>
      </w:r>
      <w:proofErr w:type="spellEnd"/>
      <w:r>
        <w:rPr>
          <w:color w:val="000000"/>
        </w:rPr>
        <w:t xml:space="preserve">) exista una orden judicial, </w:t>
      </w:r>
      <w:proofErr w:type="spellStart"/>
      <w:r>
        <w:rPr>
          <w:color w:val="000000"/>
        </w:rPr>
        <w:t>iv</w:t>
      </w:r>
      <w:proofErr w:type="spellEnd"/>
      <w:r>
        <w:rPr>
          <w:color w:val="000000"/>
        </w:rPr>
        <w:t>) por razones de seguridad nacional y salubridad general o v) para proteger los derechos de terceros o cuando se transmita entre sujetos obligados en términos de los tratados y los acuerdos interinstitucionales.</w:t>
      </w:r>
    </w:p>
    <w:p w14:paraId="727B3409" w14:textId="77777777" w:rsidR="006F1DFF" w:rsidRDefault="006F1DFF">
      <w:pPr>
        <w:spacing w:after="0" w:line="360" w:lineRule="auto"/>
        <w:rPr>
          <w:color w:val="000000"/>
        </w:rPr>
      </w:pPr>
    </w:p>
    <w:p w14:paraId="7B8828B7" w14:textId="77777777" w:rsidR="006F1DFF" w:rsidRDefault="003619CE">
      <w:pPr>
        <w:spacing w:after="0" w:line="360" w:lineRule="auto"/>
        <w:rPr>
          <w:color w:val="000000"/>
        </w:rPr>
      </w:pPr>
      <w:r>
        <w:rPr>
          <w:color w:val="000000"/>
        </w:rPr>
        <w:t>En términos de lo expuesto, la documentación y aquellos datos que se consideren confidenciales, serán una limitante del derecho de acceso a la información, siempre y cuando:</w:t>
      </w:r>
    </w:p>
    <w:p w14:paraId="318EE09A" w14:textId="77777777" w:rsidR="006F1DFF" w:rsidRDefault="006F1DFF">
      <w:pPr>
        <w:spacing w:after="0" w:line="360" w:lineRule="auto"/>
        <w:rPr>
          <w:color w:val="000000"/>
        </w:rPr>
      </w:pPr>
    </w:p>
    <w:p w14:paraId="514B51FB" w14:textId="77777777" w:rsidR="006F1DFF" w:rsidRDefault="003619CE">
      <w:pPr>
        <w:numPr>
          <w:ilvl w:val="0"/>
          <w:numId w:val="3"/>
        </w:numPr>
        <w:spacing w:after="0" w:line="360" w:lineRule="auto"/>
        <w:rPr>
          <w:color w:val="000000"/>
        </w:rPr>
      </w:pPr>
      <w:r>
        <w:rPr>
          <w:color w:val="000000"/>
        </w:rPr>
        <w:lastRenderedPageBreak/>
        <w:t xml:space="preserve">Se trate de datos personales o información privada; esto es, información concerniente a una persona física o jurídico colectiva y que esta sea identificada o identificable. </w:t>
      </w:r>
    </w:p>
    <w:p w14:paraId="5194E273" w14:textId="77777777" w:rsidR="006F1DFF" w:rsidRDefault="006F1DFF">
      <w:pPr>
        <w:spacing w:after="0" w:line="360" w:lineRule="auto"/>
        <w:ind w:left="360"/>
        <w:rPr>
          <w:color w:val="000000"/>
        </w:rPr>
      </w:pPr>
    </w:p>
    <w:p w14:paraId="57C02E91" w14:textId="77777777" w:rsidR="006F1DFF" w:rsidRDefault="003619CE">
      <w:pPr>
        <w:numPr>
          <w:ilvl w:val="0"/>
          <w:numId w:val="3"/>
        </w:numPr>
        <w:spacing w:after="0" w:line="360" w:lineRule="auto"/>
        <w:rPr>
          <w:color w:val="000000"/>
        </w:rPr>
      </w:pPr>
      <w:r>
        <w:rPr>
          <w:color w:val="000000"/>
        </w:rPr>
        <w:t xml:space="preserve">Para la difusión de los datos, se requiera el consentimiento del titular. </w:t>
      </w:r>
    </w:p>
    <w:p w14:paraId="02C753E3" w14:textId="77777777" w:rsidR="006F1DFF" w:rsidRDefault="006F1DFF">
      <w:pPr>
        <w:spacing w:after="0" w:line="360" w:lineRule="auto"/>
        <w:rPr>
          <w:color w:val="000000"/>
        </w:rPr>
      </w:pPr>
    </w:p>
    <w:p w14:paraId="33E9CB76" w14:textId="77777777" w:rsidR="006F1DFF" w:rsidRDefault="003619CE">
      <w:pPr>
        <w:spacing w:after="0" w:line="360" w:lineRule="auto"/>
        <w:rPr>
          <w:color w:val="000000"/>
        </w:rPr>
      </w:pPr>
      <w:r>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B2F36DA" w14:textId="77777777" w:rsidR="006F1DFF" w:rsidRDefault="006F1DFF">
      <w:pPr>
        <w:spacing w:after="0" w:line="360" w:lineRule="auto"/>
        <w:rPr>
          <w:color w:val="000000"/>
        </w:rPr>
      </w:pPr>
    </w:p>
    <w:p w14:paraId="4D581087" w14:textId="77777777" w:rsidR="006F1DFF" w:rsidRDefault="003619CE">
      <w:pPr>
        <w:spacing w:after="0" w:line="360" w:lineRule="auto"/>
        <w:rPr>
          <w:color w:val="000000"/>
        </w:rPr>
      </w:pPr>
      <w:r>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467EE1E3" w14:textId="77777777" w:rsidR="006F1DFF" w:rsidRDefault="006F1DFF">
      <w:pPr>
        <w:spacing w:after="0" w:line="360" w:lineRule="auto"/>
        <w:ind w:right="-28"/>
        <w:rPr>
          <w:color w:val="000000"/>
        </w:rPr>
      </w:pPr>
    </w:p>
    <w:p w14:paraId="0CAC88F3" w14:textId="77777777" w:rsidR="006F1DFF" w:rsidRDefault="003619CE">
      <w:pPr>
        <w:numPr>
          <w:ilvl w:val="0"/>
          <w:numId w:val="4"/>
        </w:numPr>
        <w:spacing w:after="0" w:line="360" w:lineRule="auto"/>
        <w:rPr>
          <w:b/>
          <w:color w:val="000000"/>
        </w:rPr>
      </w:pPr>
      <w:r>
        <w:rPr>
          <w:b/>
          <w:color w:val="000000"/>
        </w:rPr>
        <w:t>Clave Única de Registro de Población (CURP)</w:t>
      </w:r>
    </w:p>
    <w:p w14:paraId="520E90B1" w14:textId="77777777" w:rsidR="006F1DFF" w:rsidRDefault="006F1DFF">
      <w:pPr>
        <w:spacing w:after="0" w:line="360" w:lineRule="auto"/>
        <w:rPr>
          <w:color w:val="000000"/>
        </w:rPr>
      </w:pPr>
    </w:p>
    <w:p w14:paraId="13D1BBE8" w14:textId="77777777" w:rsidR="006F1DFF" w:rsidRDefault="003619CE">
      <w:pPr>
        <w:spacing w:after="0" w:line="360" w:lineRule="auto"/>
        <w:rPr>
          <w:color w:val="000000"/>
        </w:rPr>
      </w:pPr>
      <w:r>
        <w:rPr>
          <w:color w:val="000000"/>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w:t>
      </w:r>
      <w:r>
        <w:rPr>
          <w:color w:val="000000"/>
        </w:rPr>
        <w:lastRenderedPageBreak/>
        <w:t>Gobernación el registro y acreditación de la identidad de todas las personas residentes en el país y de los nacionales que residan en el extranjero.</w:t>
      </w:r>
    </w:p>
    <w:p w14:paraId="70227271" w14:textId="77777777" w:rsidR="006F1DFF" w:rsidRDefault="006F1DFF">
      <w:pPr>
        <w:spacing w:after="0" w:line="360" w:lineRule="auto"/>
        <w:rPr>
          <w:color w:val="000000"/>
        </w:rPr>
      </w:pPr>
    </w:p>
    <w:p w14:paraId="748D5DF8" w14:textId="77777777" w:rsidR="006F1DFF" w:rsidRDefault="003619CE">
      <w:pPr>
        <w:spacing w:after="0" w:line="360" w:lineRule="auto"/>
        <w:rPr>
          <w:color w:val="000000"/>
        </w:rPr>
      </w:pPr>
      <w:r>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E5AFC49" w14:textId="77777777" w:rsidR="006F1DFF" w:rsidRDefault="006F1DFF">
      <w:pPr>
        <w:spacing w:after="0" w:line="360" w:lineRule="auto"/>
        <w:rPr>
          <w:color w:val="000000"/>
        </w:rPr>
      </w:pPr>
    </w:p>
    <w:p w14:paraId="338D6CD7" w14:textId="77777777" w:rsidR="006F1DFF" w:rsidRDefault="003619CE">
      <w:pPr>
        <w:spacing w:after="0" w:line="360" w:lineRule="auto"/>
        <w:rPr>
          <w:color w:val="000000"/>
        </w:rPr>
      </w:pPr>
      <w:r>
        <w:rPr>
          <w:color w:val="000000"/>
        </w:rPr>
        <w:t xml:space="preserve">En ese orden de ideas, la Secretaría de Gobernación en las direcciones </w:t>
      </w:r>
      <w:hyperlink r:id="rId12">
        <w:r>
          <w:rPr>
            <w:color w:val="000000"/>
            <w:u w:val="single"/>
          </w:rPr>
          <w:t>https://consultas.curp.gob.mx/CurpSP/html/informacionecurpPS.html</w:t>
        </w:r>
      </w:hyperlink>
      <w:r>
        <w:rPr>
          <w:color w:val="000000"/>
        </w:rPr>
        <w:t xml:space="preserve"> y </w:t>
      </w:r>
      <w:hyperlink r:id="rId13">
        <w:r>
          <w:rPr>
            <w:color w:val="000000"/>
            <w:u w:val="single"/>
          </w:rPr>
          <w:t>https://www.gob.mx/segob/renapo/acciones-y-programas/clave-unica-de-registro-de-poblacion-curp-142226</w:t>
        </w:r>
      </w:hyperlink>
      <w:r>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b/>
          <w:color w:val="000000"/>
        </w:rPr>
        <w:t>se generan a partir de los datos contenidos en el documento probatorio de la identidad</w:t>
      </w:r>
      <w:r>
        <w:rPr>
          <w:color w:val="000000"/>
        </w:rPr>
        <w:t xml:space="preserve"> </w:t>
      </w:r>
      <w:r>
        <w:rPr>
          <w:b/>
          <w:color w:val="000000"/>
        </w:rPr>
        <w:t xml:space="preserve">del interesado </w:t>
      </w:r>
      <w:r>
        <w:rPr>
          <w:color w:val="000000"/>
        </w:rPr>
        <w:t>(acta de nacimiento, carta de naturalización o documento migratorio) de la siguiente forma:</w:t>
      </w:r>
    </w:p>
    <w:p w14:paraId="5395325F" w14:textId="77777777" w:rsidR="006F1DFF" w:rsidRDefault="006F1DFF">
      <w:pPr>
        <w:spacing w:after="0" w:line="360" w:lineRule="auto"/>
        <w:rPr>
          <w:color w:val="000000"/>
        </w:rPr>
      </w:pPr>
    </w:p>
    <w:p w14:paraId="1DBA3E2E" w14:textId="77777777" w:rsidR="006F1DFF" w:rsidRDefault="003619CE">
      <w:pPr>
        <w:numPr>
          <w:ilvl w:val="0"/>
          <w:numId w:val="5"/>
        </w:numPr>
        <w:spacing w:after="0" w:line="360" w:lineRule="auto"/>
        <w:rPr>
          <w:color w:val="000000"/>
        </w:rPr>
      </w:pPr>
      <w:r>
        <w:rPr>
          <w:color w:val="000000"/>
        </w:rPr>
        <w:t>El primero y segundo apellidos, así como al nombre de pila;</w:t>
      </w:r>
    </w:p>
    <w:p w14:paraId="0CF0321F" w14:textId="77777777" w:rsidR="006F1DFF" w:rsidRDefault="003619CE">
      <w:pPr>
        <w:numPr>
          <w:ilvl w:val="0"/>
          <w:numId w:val="5"/>
        </w:numPr>
        <w:spacing w:after="0" w:line="360" w:lineRule="auto"/>
        <w:rPr>
          <w:color w:val="000000"/>
        </w:rPr>
      </w:pPr>
      <w:r>
        <w:rPr>
          <w:color w:val="000000"/>
        </w:rPr>
        <w:t>La fecha de nacimiento;</w:t>
      </w:r>
    </w:p>
    <w:p w14:paraId="75BF86B5" w14:textId="77777777" w:rsidR="006F1DFF" w:rsidRDefault="003619CE">
      <w:pPr>
        <w:numPr>
          <w:ilvl w:val="0"/>
          <w:numId w:val="5"/>
        </w:numPr>
        <w:spacing w:after="0" w:line="360" w:lineRule="auto"/>
        <w:rPr>
          <w:color w:val="000000"/>
        </w:rPr>
      </w:pPr>
      <w:r>
        <w:rPr>
          <w:color w:val="000000"/>
        </w:rPr>
        <w:t>El sexo, y</w:t>
      </w:r>
    </w:p>
    <w:p w14:paraId="4F9FB77A" w14:textId="77777777" w:rsidR="006F1DFF" w:rsidRDefault="003619CE">
      <w:pPr>
        <w:numPr>
          <w:ilvl w:val="0"/>
          <w:numId w:val="5"/>
        </w:numPr>
        <w:spacing w:after="0" w:line="360" w:lineRule="auto"/>
        <w:rPr>
          <w:color w:val="000000"/>
        </w:rPr>
      </w:pPr>
      <w:r>
        <w:rPr>
          <w:color w:val="000000"/>
        </w:rPr>
        <w:t>La entidad federativa de nacimiento.</w:t>
      </w:r>
    </w:p>
    <w:p w14:paraId="3D4EA88D" w14:textId="77777777" w:rsidR="006F1DFF" w:rsidRDefault="006F1DFF">
      <w:pPr>
        <w:spacing w:after="0" w:line="360" w:lineRule="auto"/>
        <w:rPr>
          <w:color w:val="000000"/>
        </w:rPr>
      </w:pPr>
    </w:p>
    <w:p w14:paraId="0DA4EBEA" w14:textId="77777777" w:rsidR="006F1DFF" w:rsidRDefault="003619CE">
      <w:pPr>
        <w:spacing w:after="0" w:line="360" w:lineRule="auto"/>
        <w:rPr>
          <w:color w:val="000000"/>
        </w:rPr>
      </w:pPr>
      <w:r>
        <w:rPr>
          <w:color w:val="000000"/>
        </w:rPr>
        <w:lastRenderedPageBreak/>
        <w:t>Los dos últimos elementos de la Clave Única de Registro de Población evitan la duplicidad de la Clave y garantizan su correcta integración.</w:t>
      </w:r>
    </w:p>
    <w:p w14:paraId="0AFB1673" w14:textId="77777777" w:rsidR="006F1DFF" w:rsidRDefault="006F1DFF">
      <w:pPr>
        <w:spacing w:after="0" w:line="360" w:lineRule="auto"/>
        <w:rPr>
          <w:color w:val="000000"/>
        </w:rPr>
      </w:pPr>
    </w:p>
    <w:p w14:paraId="5D98F438" w14:textId="77777777" w:rsidR="006F1DFF" w:rsidRDefault="003619CE">
      <w:pPr>
        <w:spacing w:after="0" w:line="360" w:lineRule="auto"/>
        <w:rPr>
          <w:color w:val="000000"/>
        </w:rPr>
      </w:pPr>
      <w:r>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FDDFC42" w14:textId="77777777" w:rsidR="006F1DFF" w:rsidRDefault="006F1DFF">
      <w:pPr>
        <w:spacing w:after="0" w:line="360" w:lineRule="auto"/>
        <w:rPr>
          <w:color w:val="000000"/>
        </w:rPr>
      </w:pPr>
    </w:p>
    <w:p w14:paraId="122349BE" w14:textId="77777777" w:rsidR="006F1DFF" w:rsidRDefault="003619CE">
      <w:pPr>
        <w:spacing w:after="0" w:line="360" w:lineRule="auto"/>
        <w:rPr>
          <w:color w:val="000000"/>
        </w:rPr>
      </w:pPr>
      <w:r>
        <w:rPr>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6ED0C8B9" w14:textId="77777777" w:rsidR="006F1DFF" w:rsidRDefault="006F1DFF">
      <w:pPr>
        <w:spacing w:after="0" w:line="360" w:lineRule="auto"/>
        <w:ind w:left="567" w:right="567"/>
        <w:rPr>
          <w:color w:val="000000"/>
          <w:sz w:val="20"/>
          <w:szCs w:val="20"/>
        </w:rPr>
      </w:pPr>
    </w:p>
    <w:p w14:paraId="5AB16514" w14:textId="77777777" w:rsidR="006F1DFF" w:rsidRDefault="003619CE">
      <w:pPr>
        <w:spacing w:after="0" w:line="360" w:lineRule="auto"/>
        <w:ind w:left="567" w:right="567"/>
        <w:rPr>
          <w:i/>
          <w:color w:val="000000"/>
          <w:sz w:val="20"/>
          <w:szCs w:val="20"/>
        </w:rPr>
      </w:pPr>
      <w:r>
        <w:rPr>
          <w:b/>
          <w:i/>
          <w:color w:val="000000"/>
          <w:sz w:val="20"/>
          <w:szCs w:val="20"/>
        </w:rPr>
        <w:t xml:space="preserve">“Clave Única de Registro de Población (CURP). </w:t>
      </w:r>
      <w:r>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27FA47A" w14:textId="77777777" w:rsidR="006F1DFF" w:rsidRDefault="006F1DFF">
      <w:pPr>
        <w:spacing w:after="0" w:line="360" w:lineRule="auto"/>
        <w:rPr>
          <w:color w:val="000000"/>
        </w:rPr>
      </w:pPr>
    </w:p>
    <w:p w14:paraId="55D5D1F5" w14:textId="77777777" w:rsidR="006F1DFF" w:rsidRDefault="003619CE">
      <w:pPr>
        <w:spacing w:after="0" w:line="360" w:lineRule="auto"/>
        <w:rPr>
          <w:color w:val="000000"/>
        </w:rPr>
      </w:pPr>
      <w:r>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6E48497" w14:textId="77777777" w:rsidR="006F1DFF" w:rsidRDefault="006F1DFF">
      <w:pPr>
        <w:spacing w:after="0" w:line="360" w:lineRule="auto"/>
        <w:rPr>
          <w:color w:val="000000"/>
        </w:rPr>
      </w:pPr>
    </w:p>
    <w:p w14:paraId="07BF4D81" w14:textId="77777777" w:rsidR="006F1DFF" w:rsidRDefault="003619CE">
      <w:pPr>
        <w:numPr>
          <w:ilvl w:val="0"/>
          <w:numId w:val="4"/>
        </w:numPr>
        <w:spacing w:after="0" w:line="360" w:lineRule="auto"/>
        <w:rPr>
          <w:b/>
          <w:color w:val="000000"/>
        </w:rPr>
      </w:pPr>
      <w:r>
        <w:rPr>
          <w:b/>
          <w:color w:val="000000"/>
        </w:rPr>
        <w:t>Registro Federal de Contribuyentes (RFC)</w:t>
      </w:r>
    </w:p>
    <w:p w14:paraId="510D0DA0" w14:textId="77777777" w:rsidR="006F1DFF" w:rsidRDefault="006F1DFF">
      <w:pPr>
        <w:spacing w:after="0" w:line="360" w:lineRule="auto"/>
        <w:rPr>
          <w:color w:val="000000"/>
        </w:rPr>
      </w:pPr>
    </w:p>
    <w:p w14:paraId="7CD0A311" w14:textId="77777777" w:rsidR="006F1DFF" w:rsidRDefault="003619CE">
      <w:pPr>
        <w:spacing w:after="0" w:line="360" w:lineRule="auto"/>
        <w:rPr>
          <w:color w:val="000000"/>
        </w:rPr>
      </w:pPr>
      <w:r>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B0CAB40" w14:textId="77777777" w:rsidR="006F1DFF" w:rsidRDefault="006F1DFF">
      <w:pPr>
        <w:spacing w:after="0" w:line="360" w:lineRule="auto"/>
        <w:rPr>
          <w:color w:val="000000"/>
        </w:rPr>
      </w:pPr>
    </w:p>
    <w:p w14:paraId="60129BA0" w14:textId="77777777" w:rsidR="006F1DFF" w:rsidRDefault="003619CE">
      <w:pPr>
        <w:spacing w:after="0" w:line="360" w:lineRule="auto"/>
        <w:rPr>
          <w:color w:val="000000"/>
        </w:rPr>
      </w:pPr>
      <w:r>
        <w:rPr>
          <w:color w:val="000000"/>
        </w:rPr>
        <w:t xml:space="preserve">De acuerdo a lo establecido en el artículo en comento, esta clave se compone de trece caracteres alfanuméricos, con datos obtenidos de los apellidos, nombre(s), fecha de nacimiento del titular, más una </w:t>
      </w:r>
      <w:proofErr w:type="spellStart"/>
      <w:r>
        <w:rPr>
          <w:color w:val="000000"/>
        </w:rPr>
        <w:t>homoclave</w:t>
      </w:r>
      <w:proofErr w:type="spellEnd"/>
      <w:r>
        <w:rPr>
          <w:color w:val="000000"/>
        </w:rPr>
        <w:t xml:space="preserve"> que establece el sistema automático del Servicio de Administración Tributaria.</w:t>
      </w:r>
    </w:p>
    <w:p w14:paraId="44E94030" w14:textId="77777777" w:rsidR="006F1DFF" w:rsidRDefault="006F1DFF">
      <w:pPr>
        <w:spacing w:after="0" w:line="360" w:lineRule="auto"/>
        <w:rPr>
          <w:color w:val="000000"/>
        </w:rPr>
      </w:pPr>
    </w:p>
    <w:p w14:paraId="43503CF7" w14:textId="77777777" w:rsidR="006F1DFF" w:rsidRDefault="003619CE">
      <w:pPr>
        <w:spacing w:after="0" w:line="360" w:lineRule="auto"/>
        <w:rPr>
          <w:color w:val="000000"/>
        </w:rPr>
      </w:pPr>
      <w:r>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83FAD2A" w14:textId="77777777" w:rsidR="006F1DFF" w:rsidRDefault="006F1DFF">
      <w:pPr>
        <w:spacing w:after="0" w:line="360" w:lineRule="auto"/>
        <w:rPr>
          <w:color w:val="000000"/>
        </w:rPr>
      </w:pPr>
    </w:p>
    <w:p w14:paraId="3DE31181" w14:textId="77777777" w:rsidR="006F1DFF" w:rsidRDefault="003619CE">
      <w:pPr>
        <w:spacing w:after="0" w:line="360" w:lineRule="auto"/>
        <w:rPr>
          <w:color w:val="000000"/>
        </w:rPr>
      </w:pPr>
      <w:r>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B235568" w14:textId="77777777" w:rsidR="006F1DFF" w:rsidRDefault="006F1DFF">
      <w:pPr>
        <w:spacing w:after="0" w:line="360" w:lineRule="auto"/>
        <w:rPr>
          <w:color w:val="000000"/>
        </w:rPr>
      </w:pPr>
    </w:p>
    <w:p w14:paraId="259064EE" w14:textId="77777777" w:rsidR="006F1DFF" w:rsidRDefault="003619CE">
      <w:pPr>
        <w:spacing w:after="0" w:line="360" w:lineRule="auto"/>
        <w:rPr>
          <w:color w:val="000000"/>
        </w:rPr>
      </w:pPr>
      <w:r>
        <w:rPr>
          <w:color w:val="000000"/>
        </w:rPr>
        <w:lastRenderedPageBreak/>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2F7CB263" w14:textId="77777777" w:rsidR="006F1DFF" w:rsidRDefault="006F1DFF">
      <w:pPr>
        <w:spacing w:after="0" w:line="360" w:lineRule="auto"/>
        <w:rPr>
          <w:color w:val="000000"/>
        </w:rPr>
      </w:pPr>
    </w:p>
    <w:p w14:paraId="5DD45515" w14:textId="77777777" w:rsidR="006F1DFF" w:rsidRDefault="003619CE">
      <w:pPr>
        <w:spacing w:after="0" w:line="360" w:lineRule="auto"/>
        <w:ind w:left="567" w:right="567"/>
        <w:rPr>
          <w:i/>
          <w:color w:val="000000"/>
          <w:sz w:val="20"/>
          <w:szCs w:val="20"/>
        </w:rPr>
      </w:pPr>
      <w:r>
        <w:rPr>
          <w:b/>
          <w:i/>
          <w:color w:val="000000"/>
          <w:sz w:val="20"/>
          <w:szCs w:val="20"/>
        </w:rPr>
        <w:t>“Registro Federal de Contribuyentes (RFC) de personas físicas.</w:t>
      </w:r>
      <w:r>
        <w:rPr>
          <w:i/>
          <w:color w:val="000000"/>
          <w:sz w:val="20"/>
          <w:szCs w:val="20"/>
        </w:rPr>
        <w:t xml:space="preserve"> El RFC es una clave de carácter fiscal, única e irrepetible, que permite identificar al titular, su edad y fecha de nacimiento, por lo que es un dato personal de carácter confidencial.”</w:t>
      </w:r>
    </w:p>
    <w:p w14:paraId="35D0EDA8" w14:textId="77777777" w:rsidR="006F1DFF" w:rsidRDefault="006F1DFF">
      <w:pPr>
        <w:spacing w:after="0" w:line="360" w:lineRule="auto"/>
        <w:ind w:left="567" w:right="567"/>
        <w:rPr>
          <w:i/>
          <w:color w:val="000000"/>
          <w:sz w:val="20"/>
          <w:szCs w:val="20"/>
        </w:rPr>
      </w:pPr>
    </w:p>
    <w:p w14:paraId="2B3A1681" w14:textId="77777777" w:rsidR="006F1DFF" w:rsidRDefault="003619CE">
      <w:pPr>
        <w:spacing w:after="0" w:line="360" w:lineRule="auto"/>
        <w:rPr>
          <w:color w:val="000000"/>
        </w:rPr>
      </w:pPr>
      <w:r>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E7E2FD9" w14:textId="77777777" w:rsidR="006F1DFF" w:rsidRDefault="006F1DFF">
      <w:pPr>
        <w:tabs>
          <w:tab w:val="center" w:pos="4522"/>
        </w:tabs>
        <w:spacing w:after="0" w:line="360" w:lineRule="auto"/>
        <w:rPr>
          <w:color w:val="000000"/>
        </w:rPr>
      </w:pPr>
    </w:p>
    <w:p w14:paraId="79FE81A1" w14:textId="77777777" w:rsidR="006F1DFF" w:rsidRDefault="003619CE">
      <w:pPr>
        <w:numPr>
          <w:ilvl w:val="0"/>
          <w:numId w:val="4"/>
        </w:numPr>
        <w:spacing w:after="0" w:line="360" w:lineRule="auto"/>
        <w:rPr>
          <w:b/>
          <w:color w:val="000000"/>
        </w:rPr>
      </w:pPr>
      <w:r>
        <w:rPr>
          <w:b/>
          <w:color w:val="000000"/>
        </w:rPr>
        <w:t>Número de seguridad social del Instituto de Seguridad Social del Estado de México y Municipios</w:t>
      </w:r>
    </w:p>
    <w:p w14:paraId="33BFE99C" w14:textId="77777777" w:rsidR="006F1DFF" w:rsidRDefault="006F1DFF">
      <w:pPr>
        <w:spacing w:after="0" w:line="360" w:lineRule="auto"/>
        <w:rPr>
          <w:b/>
          <w:color w:val="000000"/>
        </w:rPr>
      </w:pPr>
    </w:p>
    <w:p w14:paraId="6471E3B4" w14:textId="77777777" w:rsidR="006F1DFF" w:rsidRDefault="003619CE">
      <w:pPr>
        <w:spacing w:after="0" w:line="360" w:lineRule="auto"/>
        <w:rPr>
          <w:color w:val="000000"/>
        </w:rPr>
      </w:pPr>
      <w:r>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0396F06" w14:textId="77777777" w:rsidR="006F1DFF" w:rsidRDefault="006F1DFF">
      <w:pPr>
        <w:spacing w:after="0" w:line="360" w:lineRule="auto"/>
        <w:rPr>
          <w:color w:val="000000"/>
        </w:rPr>
      </w:pPr>
    </w:p>
    <w:p w14:paraId="3664EB9B" w14:textId="77777777" w:rsidR="006F1DFF" w:rsidRDefault="003619CE">
      <w:pPr>
        <w:spacing w:after="0" w:line="360" w:lineRule="auto"/>
        <w:rPr>
          <w:color w:val="000000"/>
        </w:rPr>
      </w:pPr>
      <w:r>
        <w:rPr>
          <w:color w:val="000000"/>
        </w:rPr>
        <w:t xml:space="preserve">En ese contexto, el artículo 9° del mismo ordenamiento, dispone que el Instituto de Seguridad Social del Estado de México y Municipios expedirá documentos de identificación para </w:t>
      </w:r>
      <w:r>
        <w:rPr>
          <w:color w:val="000000"/>
        </w:rPr>
        <w:lastRenderedPageBreak/>
        <w:t>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8AF7C84" w14:textId="77777777" w:rsidR="006F1DFF" w:rsidRDefault="006F1DFF">
      <w:pPr>
        <w:spacing w:after="0" w:line="360" w:lineRule="auto"/>
        <w:rPr>
          <w:color w:val="000000"/>
        </w:rPr>
      </w:pPr>
    </w:p>
    <w:p w14:paraId="5F48A8B2" w14:textId="77777777" w:rsidR="006F1DFF" w:rsidRDefault="003619CE">
      <w:pPr>
        <w:spacing w:after="0" w:line="360" w:lineRule="auto"/>
        <w:rPr>
          <w:color w:val="000000"/>
        </w:rPr>
      </w:pPr>
      <w:r>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17C9F37" w14:textId="77777777" w:rsidR="006F1DFF" w:rsidRDefault="006F1DFF">
      <w:pPr>
        <w:spacing w:after="0" w:line="360" w:lineRule="auto"/>
        <w:rPr>
          <w:color w:val="000000"/>
        </w:rPr>
      </w:pPr>
    </w:p>
    <w:p w14:paraId="24F4BFB3" w14:textId="77777777" w:rsidR="006F1DFF" w:rsidRDefault="003619CE">
      <w:pPr>
        <w:spacing w:after="0" w:line="360" w:lineRule="auto"/>
        <w:rPr>
          <w:color w:val="000000"/>
        </w:rPr>
      </w:pPr>
      <w:r>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C6AEAC7" w14:textId="77777777" w:rsidR="006F1DFF" w:rsidRDefault="006F1DFF">
      <w:pPr>
        <w:spacing w:after="0" w:line="360" w:lineRule="auto"/>
        <w:rPr>
          <w:color w:val="000000"/>
        </w:rPr>
      </w:pPr>
    </w:p>
    <w:p w14:paraId="0CBDB4D7" w14:textId="77777777" w:rsidR="006F1DFF" w:rsidRDefault="003619CE">
      <w:pPr>
        <w:numPr>
          <w:ilvl w:val="0"/>
          <w:numId w:val="6"/>
        </w:numPr>
        <w:spacing w:after="0" w:line="360" w:lineRule="auto"/>
        <w:jc w:val="left"/>
        <w:rPr>
          <w:b/>
          <w:color w:val="000000"/>
        </w:rPr>
      </w:pPr>
      <w:r>
        <w:rPr>
          <w:b/>
          <w:color w:val="000000"/>
        </w:rPr>
        <w:t>Deducciones personales</w:t>
      </w:r>
    </w:p>
    <w:p w14:paraId="64CF647C" w14:textId="77777777" w:rsidR="006F1DFF" w:rsidRDefault="006F1DFF">
      <w:pPr>
        <w:spacing w:after="0" w:line="360" w:lineRule="auto"/>
        <w:ind w:left="720"/>
        <w:rPr>
          <w:b/>
          <w:color w:val="000000"/>
        </w:rPr>
      </w:pPr>
    </w:p>
    <w:p w14:paraId="034ED4B9" w14:textId="77777777" w:rsidR="006F1DFF" w:rsidRDefault="003619CE">
      <w:pPr>
        <w:spacing w:after="0" w:line="360" w:lineRule="auto"/>
        <w:rPr>
          <w:color w:val="000000"/>
        </w:rPr>
      </w:pPr>
      <w:r>
        <w:rPr>
          <w:color w:val="000000"/>
        </w:rPr>
        <w:t xml:space="preserve">Es necesario precisar que existen deducciones que se generan con motivo de una decisión libre y voluntaria de los servidores públicos, como son: créditos personales, cuotas sindicales </w:t>
      </w:r>
      <w:r>
        <w:rPr>
          <w:color w:val="000000"/>
        </w:rPr>
        <w:lastRenderedPageBreak/>
        <w:t>y fondo de resistencia del Sindicato Único de Trabajadores de los Poderes, Municipios e Institución Descentralizadas del Estado de México, seguro de vida, accidentes y enfermedades.</w:t>
      </w:r>
    </w:p>
    <w:p w14:paraId="0243715C" w14:textId="77777777" w:rsidR="006F1DFF" w:rsidRDefault="006F1DFF">
      <w:pPr>
        <w:spacing w:after="0" w:line="360" w:lineRule="auto"/>
        <w:rPr>
          <w:color w:val="000000"/>
        </w:rPr>
      </w:pPr>
    </w:p>
    <w:p w14:paraId="70609A15" w14:textId="77777777" w:rsidR="006F1DFF" w:rsidRDefault="003619CE">
      <w:pPr>
        <w:spacing w:after="0" w:line="360" w:lineRule="auto"/>
        <w:rPr>
          <w:color w:val="000000"/>
        </w:rPr>
      </w:pPr>
      <w:r>
        <w:rPr>
          <w:color w:val="000000"/>
        </w:rPr>
        <w:t xml:space="preserve">Asimismo, hay otras que se generan con motivo de una sentencia judicial, como es la pensión alimenticia que periódicamente se retira de la cuenta de un empleado, a efecto de que sea entregado a un tercero.  </w:t>
      </w:r>
    </w:p>
    <w:p w14:paraId="4504094A" w14:textId="77777777" w:rsidR="006F1DFF" w:rsidRDefault="006F1DFF">
      <w:pPr>
        <w:spacing w:after="0" w:line="360" w:lineRule="auto"/>
        <w:rPr>
          <w:color w:val="000000"/>
        </w:rPr>
      </w:pPr>
    </w:p>
    <w:p w14:paraId="46E54335" w14:textId="77777777" w:rsidR="006F1DFF" w:rsidRDefault="003619CE">
      <w:pPr>
        <w:spacing w:after="0" w:line="360" w:lineRule="auto"/>
        <w:rPr>
          <w:color w:val="000000"/>
        </w:rPr>
      </w:pPr>
      <w:r>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4503499" w14:textId="77777777" w:rsidR="006F1DFF" w:rsidRDefault="006F1DFF">
      <w:pPr>
        <w:spacing w:after="0" w:line="360" w:lineRule="auto"/>
        <w:rPr>
          <w:color w:val="000000"/>
        </w:rPr>
      </w:pPr>
    </w:p>
    <w:p w14:paraId="73FEC472" w14:textId="77777777" w:rsidR="006F1DFF" w:rsidRDefault="003619CE">
      <w:pPr>
        <w:spacing w:after="0" w:line="360" w:lineRule="auto"/>
        <w:rPr>
          <w:color w:val="000000"/>
        </w:rPr>
      </w:pPr>
      <w:r>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0FC334B7" w14:textId="77777777" w:rsidR="006F1DFF" w:rsidRDefault="006F1DFF">
      <w:pPr>
        <w:spacing w:after="0" w:line="360" w:lineRule="auto"/>
        <w:rPr>
          <w:b/>
          <w:color w:val="000000"/>
        </w:rPr>
      </w:pPr>
    </w:p>
    <w:p w14:paraId="4ECA0827" w14:textId="77777777" w:rsidR="006F1DFF" w:rsidRDefault="003619CE">
      <w:pPr>
        <w:numPr>
          <w:ilvl w:val="0"/>
          <w:numId w:val="6"/>
        </w:numPr>
        <w:spacing w:after="0" w:line="360" w:lineRule="auto"/>
        <w:jc w:val="left"/>
        <w:rPr>
          <w:b/>
          <w:color w:val="000000"/>
        </w:rPr>
      </w:pPr>
      <w:r>
        <w:rPr>
          <w:b/>
          <w:color w:val="000000"/>
        </w:rPr>
        <w:t>Cuenta bancaria de servidores públicos</w:t>
      </w:r>
    </w:p>
    <w:p w14:paraId="37A7986F" w14:textId="77777777" w:rsidR="006F1DFF" w:rsidRDefault="006F1DFF">
      <w:pPr>
        <w:spacing w:after="0" w:line="360" w:lineRule="auto"/>
        <w:ind w:left="720"/>
        <w:rPr>
          <w:b/>
          <w:color w:val="000000"/>
        </w:rPr>
      </w:pPr>
    </w:p>
    <w:p w14:paraId="338FB31E" w14:textId="77777777" w:rsidR="006F1DFF" w:rsidRDefault="003619CE">
      <w:pPr>
        <w:spacing w:after="0" w:line="360" w:lineRule="auto"/>
        <w:rPr>
          <w:color w:val="000000"/>
        </w:rPr>
      </w:pPr>
      <w:r>
        <w:rPr>
          <w:color w:val="000000"/>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w:t>
      </w:r>
      <w:r>
        <w:rPr>
          <w:color w:val="000000"/>
        </w:rPr>
        <w:lastRenderedPageBreak/>
        <w:t>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2AD742BE" w14:textId="77777777" w:rsidR="006F1DFF" w:rsidRDefault="003619CE">
      <w:pPr>
        <w:spacing w:after="0" w:line="360" w:lineRule="auto"/>
        <w:rPr>
          <w:color w:val="000000"/>
        </w:rPr>
      </w:pPr>
      <w:r>
        <w:rPr>
          <w:color w:val="000000"/>
        </w:rPr>
        <w:t> </w:t>
      </w:r>
    </w:p>
    <w:p w14:paraId="1F283962" w14:textId="77777777" w:rsidR="006F1DFF" w:rsidRDefault="003619CE">
      <w:pPr>
        <w:spacing w:after="0" w:line="360" w:lineRule="auto"/>
        <w:rPr>
          <w:color w:val="000000"/>
        </w:rPr>
      </w:pPr>
      <w:r>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652E2D94" w14:textId="77777777" w:rsidR="006F1DFF" w:rsidRDefault="006F1DFF">
      <w:pPr>
        <w:spacing w:after="0" w:line="360" w:lineRule="auto"/>
        <w:rPr>
          <w:color w:val="000000"/>
        </w:rPr>
      </w:pPr>
    </w:p>
    <w:p w14:paraId="379783D2" w14:textId="77777777" w:rsidR="006F1DFF" w:rsidRDefault="003619CE">
      <w:pPr>
        <w:spacing w:after="0" w:line="360" w:lineRule="auto"/>
        <w:ind w:left="567" w:right="567"/>
        <w:rPr>
          <w:i/>
          <w:color w:val="000000"/>
          <w:sz w:val="20"/>
          <w:szCs w:val="20"/>
        </w:rPr>
      </w:pPr>
      <w:r>
        <w:rPr>
          <w:i/>
          <w:color w:val="000000"/>
          <w:sz w:val="20"/>
          <w:szCs w:val="20"/>
        </w:rPr>
        <w:t>“</w:t>
      </w:r>
      <w:r>
        <w:rPr>
          <w:b/>
          <w:i/>
          <w:color w:val="000000"/>
          <w:sz w:val="20"/>
          <w:szCs w:val="20"/>
        </w:rPr>
        <w:t>Cuentas bancarias y/o CLABE interbancaria de personas físicas y morales privadas.</w:t>
      </w:r>
      <w:r>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AA8EF32" w14:textId="77777777" w:rsidR="006F1DFF" w:rsidRDefault="006F1DFF">
      <w:pPr>
        <w:spacing w:after="0" w:line="360" w:lineRule="auto"/>
        <w:rPr>
          <w:color w:val="000000"/>
        </w:rPr>
      </w:pPr>
    </w:p>
    <w:p w14:paraId="4DED3E2F" w14:textId="77777777" w:rsidR="006F1DFF" w:rsidRDefault="003619CE">
      <w:pPr>
        <w:spacing w:after="0" w:line="360" w:lineRule="auto"/>
        <w:rPr>
          <w:color w:val="000000"/>
        </w:rPr>
      </w:pPr>
      <w:r>
        <w:rPr>
          <w:color w:val="000000"/>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217775EE" w14:textId="77777777" w:rsidR="006F1DFF" w:rsidRDefault="006F1DFF">
      <w:pPr>
        <w:spacing w:after="0" w:line="360" w:lineRule="auto"/>
        <w:rPr>
          <w:color w:val="000000"/>
        </w:rPr>
      </w:pPr>
    </w:p>
    <w:p w14:paraId="7EF3F1AA" w14:textId="77777777" w:rsidR="006F1DFF" w:rsidRDefault="003619CE">
      <w:pPr>
        <w:spacing w:after="0" w:line="360" w:lineRule="auto"/>
        <w:ind w:right="-93"/>
        <w:rPr>
          <w:color w:val="000000"/>
        </w:rPr>
      </w:pPr>
      <w:r>
        <w:rPr>
          <w:color w:val="000000"/>
        </w:rPr>
        <w:t xml:space="preserve">Por otra parte, no pasa desapercibido, que conforme al artículo 240, del Bando </w:t>
      </w:r>
      <w:r>
        <w:t>Municipal</w:t>
      </w:r>
      <w:r>
        <w:rPr>
          <w:color w:val="000000"/>
        </w:rPr>
        <w:t xml:space="preserve"> de Atlautla, dos mil veinticinco, el Sujeto Obligado cuenta con la Dirección de Seguridad Pública, </w:t>
      </w:r>
      <w:r>
        <w:rPr>
          <w:color w:val="000000"/>
        </w:rPr>
        <w:lastRenderedPageBreak/>
        <w:t>encargada de vigilar el buen funcionamiento de la zona a través del sistema de seguridad pública.</w:t>
      </w:r>
    </w:p>
    <w:p w14:paraId="6F8B0E86" w14:textId="77777777" w:rsidR="006F1DFF" w:rsidRDefault="006F1DFF">
      <w:pPr>
        <w:spacing w:after="0" w:line="360" w:lineRule="auto"/>
        <w:ind w:right="-93"/>
        <w:rPr>
          <w:color w:val="000000"/>
        </w:rPr>
      </w:pPr>
    </w:p>
    <w:p w14:paraId="44B92FFA" w14:textId="77777777" w:rsidR="006F1DFF" w:rsidRDefault="003619CE">
      <w:pPr>
        <w:spacing w:after="0" w:line="360" w:lineRule="auto"/>
        <w:rPr>
          <w:color w:val="000000"/>
        </w:rPr>
      </w:pPr>
      <w:r>
        <w:rPr>
          <w:color w:val="000000"/>
        </w:rPr>
        <w:t xml:space="preserve">Así resulta necesario analizar si el nombre de los servidores públicos operativos en materia de seguridad, incluidos los </w:t>
      </w:r>
      <w:r>
        <w:t>aspirantes</w:t>
      </w:r>
      <w:r>
        <w:rPr>
          <w:color w:val="000000"/>
        </w:rPr>
        <w:t xml:space="preserve"> a policía, </w:t>
      </w:r>
      <w:r>
        <w:t>actualiza</w:t>
      </w:r>
      <w:r>
        <w:rPr>
          <w:color w:val="000000"/>
        </w:rPr>
        <w:t xml:space="preserve"> alguna causal de clasificación; al respecto, con relación, los primeros dos datos referidos, el artículo 140, fracción IV, de la Ley de Transparencia y Acceso a la Información Pública del Estado de México y Municipios, prevé lo siguiente:</w:t>
      </w:r>
    </w:p>
    <w:p w14:paraId="0F72690F" w14:textId="77777777" w:rsidR="006F1DFF" w:rsidRDefault="006F1DFF">
      <w:pPr>
        <w:tabs>
          <w:tab w:val="left" w:pos="4962"/>
        </w:tabs>
        <w:spacing w:after="0" w:line="360" w:lineRule="auto"/>
        <w:ind w:right="567"/>
        <w:rPr>
          <w:i/>
          <w:color w:val="000000"/>
        </w:rPr>
      </w:pPr>
    </w:p>
    <w:p w14:paraId="333512C2" w14:textId="77777777" w:rsidR="006F1DFF" w:rsidRDefault="003619CE">
      <w:pPr>
        <w:tabs>
          <w:tab w:val="left" w:pos="4962"/>
        </w:tabs>
        <w:spacing w:after="0" w:line="360" w:lineRule="auto"/>
        <w:ind w:left="567" w:right="567"/>
        <w:rPr>
          <w:i/>
          <w:color w:val="000000"/>
          <w:sz w:val="20"/>
          <w:szCs w:val="20"/>
        </w:rPr>
      </w:pPr>
      <w:r>
        <w:rPr>
          <w:i/>
          <w:color w:val="000000"/>
          <w:sz w:val="20"/>
          <w:szCs w:val="20"/>
        </w:rPr>
        <w:t xml:space="preserve"> “</w:t>
      </w:r>
      <w:r>
        <w:rPr>
          <w:b/>
          <w:i/>
          <w:color w:val="000000"/>
          <w:sz w:val="20"/>
          <w:szCs w:val="20"/>
        </w:rPr>
        <w:t>Artículo 140.</w:t>
      </w:r>
      <w:r>
        <w:rPr>
          <w:i/>
          <w:color w:val="000000"/>
          <w:sz w:val="20"/>
          <w:szCs w:val="20"/>
        </w:rPr>
        <w:t xml:space="preserve"> El acceso a la información pública será restringido excepcionalmente, cuando por razones de interés público, ésta sea clasificada como reservada, conforme a los criterios siguientes: </w:t>
      </w:r>
    </w:p>
    <w:p w14:paraId="161D59B2" w14:textId="77777777" w:rsidR="006F1DFF" w:rsidRDefault="003619CE">
      <w:pPr>
        <w:tabs>
          <w:tab w:val="left" w:pos="4962"/>
        </w:tabs>
        <w:spacing w:after="0" w:line="360" w:lineRule="auto"/>
        <w:ind w:left="567" w:right="567"/>
        <w:rPr>
          <w:i/>
          <w:color w:val="000000"/>
          <w:sz w:val="20"/>
          <w:szCs w:val="20"/>
        </w:rPr>
      </w:pPr>
      <w:r>
        <w:rPr>
          <w:i/>
          <w:color w:val="000000"/>
          <w:sz w:val="20"/>
          <w:szCs w:val="20"/>
        </w:rPr>
        <w:t>…</w:t>
      </w:r>
    </w:p>
    <w:p w14:paraId="7F06C47F" w14:textId="77777777" w:rsidR="006F1DFF" w:rsidRDefault="003619CE">
      <w:pPr>
        <w:tabs>
          <w:tab w:val="left" w:pos="4962"/>
        </w:tabs>
        <w:spacing w:after="0" w:line="360" w:lineRule="auto"/>
        <w:ind w:left="567" w:right="567"/>
        <w:rPr>
          <w:i/>
          <w:color w:val="000000"/>
          <w:sz w:val="20"/>
          <w:szCs w:val="20"/>
        </w:rPr>
      </w:pPr>
      <w:r>
        <w:rPr>
          <w:i/>
          <w:color w:val="000000"/>
          <w:sz w:val="20"/>
          <w:szCs w:val="20"/>
        </w:rPr>
        <w:t>IV. Ponga en riesgo la vida, la seguridad o la salud de una persona física;</w:t>
      </w:r>
    </w:p>
    <w:p w14:paraId="41AD3D3D" w14:textId="77777777" w:rsidR="006F1DFF" w:rsidRDefault="003619CE">
      <w:pPr>
        <w:tabs>
          <w:tab w:val="left" w:pos="4962"/>
        </w:tabs>
        <w:spacing w:after="0" w:line="360" w:lineRule="auto"/>
        <w:ind w:left="567" w:right="567"/>
        <w:rPr>
          <w:i/>
          <w:color w:val="000000"/>
          <w:sz w:val="20"/>
          <w:szCs w:val="20"/>
        </w:rPr>
      </w:pPr>
      <w:r>
        <w:rPr>
          <w:i/>
          <w:color w:val="000000"/>
          <w:sz w:val="20"/>
          <w:szCs w:val="20"/>
        </w:rPr>
        <w:t xml:space="preserve">…” </w:t>
      </w:r>
    </w:p>
    <w:p w14:paraId="2E1325CD" w14:textId="77777777" w:rsidR="006F1DFF" w:rsidRDefault="006F1DFF">
      <w:pPr>
        <w:spacing w:after="0" w:line="360" w:lineRule="auto"/>
        <w:rPr>
          <w:color w:val="000000"/>
        </w:rPr>
      </w:pPr>
    </w:p>
    <w:p w14:paraId="2F9DFEBE" w14:textId="77777777" w:rsidR="006F1DFF" w:rsidRDefault="003619CE">
      <w:pPr>
        <w:spacing w:after="0" w:line="360" w:lineRule="auto"/>
        <w:rPr>
          <w:color w:val="000000"/>
        </w:rPr>
      </w:pPr>
      <w:r>
        <w:rPr>
          <w:color w:val="000000"/>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5B428D9F" w14:textId="77777777" w:rsidR="006F1DFF" w:rsidRDefault="006F1DFF">
      <w:pPr>
        <w:spacing w:after="0" w:line="360" w:lineRule="auto"/>
        <w:rPr>
          <w:color w:val="000000"/>
        </w:rPr>
      </w:pPr>
    </w:p>
    <w:p w14:paraId="233FFB5C" w14:textId="77777777" w:rsidR="006F1DFF" w:rsidRDefault="003619CE">
      <w:pPr>
        <w:spacing w:after="0" w:line="360" w:lineRule="auto"/>
        <w:ind w:left="567" w:right="567"/>
        <w:rPr>
          <w:i/>
          <w:color w:val="000000"/>
          <w:sz w:val="20"/>
          <w:szCs w:val="20"/>
        </w:rPr>
      </w:pPr>
      <w:r>
        <w:rPr>
          <w:b/>
          <w:i/>
          <w:color w:val="000000"/>
          <w:sz w:val="20"/>
          <w:szCs w:val="20"/>
        </w:rPr>
        <w:t xml:space="preserve">“Vigésimo tercero. </w:t>
      </w:r>
      <w:r>
        <w:rPr>
          <w:i/>
          <w:color w:val="000000"/>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689AAFCB" w14:textId="77777777" w:rsidR="006F1DFF" w:rsidRDefault="006F1DFF">
      <w:pPr>
        <w:spacing w:after="0" w:line="360" w:lineRule="auto"/>
        <w:ind w:right="567"/>
        <w:rPr>
          <w:i/>
          <w:color w:val="000000"/>
        </w:rPr>
      </w:pPr>
    </w:p>
    <w:p w14:paraId="1156E181" w14:textId="77777777" w:rsidR="006F1DFF" w:rsidRDefault="003619CE">
      <w:pPr>
        <w:spacing w:after="0" w:line="360" w:lineRule="auto"/>
        <w:rPr>
          <w:b/>
          <w:color w:val="000000"/>
        </w:rPr>
      </w:pPr>
      <w:r>
        <w:rPr>
          <w:color w:val="000000"/>
        </w:rPr>
        <w:t xml:space="preserve">Del Lineamiento referido, se desprende que para clasificar la información como reservada, será necesario acreditar un vínculo, entre la persona física y la información que pueda poner </w:t>
      </w:r>
      <w:r>
        <w:rPr>
          <w:color w:val="000000"/>
        </w:rPr>
        <w:lastRenderedPageBreak/>
        <w:t>en riesgo su vida, seguridad o salud, es decir, se deben señalar el bien jurídico específico afectado y el potencial de daño o riesgo que causaría su difusión.</w:t>
      </w:r>
    </w:p>
    <w:p w14:paraId="4D15D4C6" w14:textId="77777777" w:rsidR="006F1DFF" w:rsidRDefault="006F1DFF">
      <w:pPr>
        <w:spacing w:after="0" w:line="360" w:lineRule="auto"/>
        <w:rPr>
          <w:color w:val="000000"/>
        </w:rPr>
      </w:pPr>
    </w:p>
    <w:p w14:paraId="599091A3" w14:textId="77777777" w:rsidR="006F1DFF" w:rsidRDefault="003619CE">
      <w:pPr>
        <w:spacing w:after="0" w:line="360" w:lineRule="auto"/>
        <w:rPr>
          <w:color w:val="000000"/>
        </w:rPr>
      </w:pPr>
      <w:r>
        <w:rPr>
          <w:color w:val="000000"/>
        </w:rPr>
        <w:t>Además, el artículo 81, fracción III, de la Ley de Seguridad del Estado de México, establece lo siguiente:</w:t>
      </w:r>
    </w:p>
    <w:p w14:paraId="1A2FEEA9" w14:textId="77777777" w:rsidR="006F1DFF" w:rsidRDefault="006F1DFF">
      <w:pPr>
        <w:spacing w:after="0" w:line="360" w:lineRule="auto"/>
        <w:rPr>
          <w:color w:val="000000"/>
        </w:rPr>
      </w:pPr>
    </w:p>
    <w:p w14:paraId="3BE39812" w14:textId="77777777" w:rsidR="006F1DFF" w:rsidRDefault="003619CE">
      <w:pPr>
        <w:tabs>
          <w:tab w:val="left" w:pos="4962"/>
        </w:tabs>
        <w:spacing w:after="0" w:line="360" w:lineRule="auto"/>
        <w:ind w:left="567" w:right="567"/>
        <w:rPr>
          <w:i/>
          <w:color w:val="000000"/>
          <w:sz w:val="20"/>
          <w:szCs w:val="20"/>
        </w:rPr>
      </w:pPr>
      <w:r>
        <w:rPr>
          <w:b/>
          <w:i/>
          <w:color w:val="000000"/>
          <w:sz w:val="20"/>
          <w:szCs w:val="20"/>
        </w:rPr>
        <w:t>“Artículo 81.-</w:t>
      </w:r>
      <w:r>
        <w:rPr>
          <w:i/>
          <w:color w:val="000000"/>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Pr>
          <w:i/>
          <w:color w:val="000000"/>
          <w:sz w:val="20"/>
          <w:szCs w:val="20"/>
        </w:rPr>
        <w:t>obstante</w:t>
      </w:r>
      <w:proofErr w:type="gramEnd"/>
      <w:r>
        <w:rPr>
          <w:i/>
          <w:color w:val="000000"/>
          <w:sz w:val="20"/>
          <w:szCs w:val="20"/>
        </w:rPr>
        <w:t xml:space="preserve"> lo anterior, esta información se considerará reservada en los casos siguientes: </w:t>
      </w:r>
    </w:p>
    <w:p w14:paraId="254DB9BD" w14:textId="77777777" w:rsidR="006F1DFF" w:rsidRDefault="003619CE">
      <w:pPr>
        <w:tabs>
          <w:tab w:val="left" w:pos="4962"/>
        </w:tabs>
        <w:spacing w:after="0" w:line="360" w:lineRule="auto"/>
        <w:ind w:left="567" w:right="567"/>
        <w:rPr>
          <w:i/>
          <w:color w:val="000000"/>
          <w:sz w:val="20"/>
          <w:szCs w:val="20"/>
        </w:rPr>
      </w:pPr>
      <w:r>
        <w:rPr>
          <w:i/>
          <w:color w:val="000000"/>
          <w:sz w:val="20"/>
          <w:szCs w:val="20"/>
        </w:rPr>
        <w:t>…</w:t>
      </w:r>
    </w:p>
    <w:p w14:paraId="31DB6147" w14:textId="77777777" w:rsidR="006F1DFF" w:rsidRDefault="003619CE">
      <w:pPr>
        <w:tabs>
          <w:tab w:val="left" w:pos="4962"/>
        </w:tabs>
        <w:spacing w:after="0" w:line="360" w:lineRule="auto"/>
        <w:ind w:left="567" w:right="567"/>
        <w:rPr>
          <w:i/>
          <w:color w:val="000000"/>
          <w:sz w:val="20"/>
          <w:szCs w:val="20"/>
        </w:rPr>
      </w:pPr>
      <w:r>
        <w:rPr>
          <w:i/>
          <w:color w:val="000000"/>
          <w:sz w:val="20"/>
          <w:szCs w:val="20"/>
        </w:rPr>
        <w:t>III. La relativa a los servidores públicos integrantes de las instituciones de seguridad pública, cuya revelación pueda poner en riesgo su vida e integridad física con motivo de sus funciones;</w:t>
      </w:r>
    </w:p>
    <w:p w14:paraId="482F9D8F" w14:textId="77777777" w:rsidR="006F1DFF" w:rsidRDefault="003619CE">
      <w:pPr>
        <w:tabs>
          <w:tab w:val="left" w:pos="4962"/>
        </w:tabs>
        <w:spacing w:after="0" w:line="360" w:lineRule="auto"/>
        <w:ind w:left="567" w:right="567"/>
        <w:rPr>
          <w:i/>
          <w:color w:val="000000"/>
          <w:sz w:val="20"/>
          <w:szCs w:val="20"/>
        </w:rPr>
      </w:pPr>
      <w:r>
        <w:rPr>
          <w:i/>
          <w:color w:val="000000"/>
          <w:sz w:val="20"/>
          <w:szCs w:val="20"/>
        </w:rPr>
        <w:t>…”</w:t>
      </w:r>
    </w:p>
    <w:p w14:paraId="65BC5CB3" w14:textId="77777777" w:rsidR="006F1DFF" w:rsidRDefault="006F1DFF">
      <w:pPr>
        <w:spacing w:after="0" w:line="360" w:lineRule="auto"/>
        <w:rPr>
          <w:color w:val="000000"/>
        </w:rPr>
      </w:pPr>
    </w:p>
    <w:p w14:paraId="063D327F" w14:textId="77777777" w:rsidR="006F1DFF" w:rsidRDefault="003619CE">
      <w:pPr>
        <w:spacing w:after="0" w:line="360" w:lineRule="auto"/>
        <w:rPr>
          <w:color w:val="000000"/>
        </w:rPr>
      </w:pPr>
      <w:r>
        <w:rPr>
          <w:color w:val="000000"/>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74C6E217" w14:textId="77777777" w:rsidR="006F1DFF" w:rsidRDefault="006F1DFF">
      <w:pPr>
        <w:spacing w:after="0" w:line="360" w:lineRule="auto"/>
        <w:rPr>
          <w:color w:val="000000"/>
        </w:rPr>
      </w:pPr>
    </w:p>
    <w:p w14:paraId="0CDC6FCA" w14:textId="77777777" w:rsidR="006F1DFF" w:rsidRDefault="003619CE">
      <w:pPr>
        <w:spacing w:after="0" w:line="360" w:lineRule="auto"/>
        <w:rPr>
          <w:color w:val="000000"/>
        </w:rPr>
      </w:pPr>
      <w:r>
        <w:rPr>
          <w:color w:val="000000"/>
        </w:rPr>
        <w:t>En ese contexto, es de señalar que los datos de servidores públicos, entre los que se encuentran el nombre y fotografía de los trabajadores, por regla general, son de naturaleza pública, de conformidad con el artículo 92, fracción VII, de la Ley de Transparencia y Acceso a la Información Pública del Estado de México y Municipios.</w:t>
      </w:r>
    </w:p>
    <w:p w14:paraId="7FB94D5B" w14:textId="77777777" w:rsidR="006F1DFF" w:rsidRDefault="006F1DFF">
      <w:pPr>
        <w:spacing w:after="0" w:line="360" w:lineRule="auto"/>
        <w:rPr>
          <w:color w:val="000000"/>
        </w:rPr>
      </w:pPr>
    </w:p>
    <w:p w14:paraId="02D98603" w14:textId="77777777" w:rsidR="006F1DFF" w:rsidRDefault="003619CE">
      <w:pPr>
        <w:spacing w:after="0" w:line="360" w:lineRule="auto"/>
        <w:rPr>
          <w:color w:val="000000"/>
        </w:rPr>
      </w:pPr>
      <w:r>
        <w:rPr>
          <w:color w:val="000000"/>
        </w:rPr>
        <w:t xml:space="preserve">No obstante, resulta necesario traer a colación por analogía, el Criterio Orientador, con número de registro SO/006/2009, de la Primera Época, emitido por el entonces Instituto </w:t>
      </w:r>
      <w:r>
        <w:rPr>
          <w:color w:val="000000"/>
        </w:rPr>
        <w:lastRenderedPageBreak/>
        <w:t>Nacional de Transparencia, Acceso a la Información y Protección de Datos Personales, vigente a la fecha de la solicitud, que establece lo siguiente:</w:t>
      </w:r>
    </w:p>
    <w:p w14:paraId="6DF6CE92" w14:textId="77777777" w:rsidR="006F1DFF" w:rsidRDefault="006F1DFF">
      <w:pPr>
        <w:spacing w:after="0" w:line="360" w:lineRule="auto"/>
        <w:rPr>
          <w:i/>
          <w:color w:val="000000"/>
        </w:rPr>
      </w:pPr>
    </w:p>
    <w:p w14:paraId="305F9AB3" w14:textId="77777777" w:rsidR="006F1DFF" w:rsidRDefault="003619CE">
      <w:pPr>
        <w:tabs>
          <w:tab w:val="left" w:pos="4962"/>
        </w:tabs>
        <w:spacing w:after="0" w:line="360" w:lineRule="auto"/>
        <w:ind w:left="567" w:right="567"/>
        <w:rPr>
          <w:i/>
          <w:color w:val="000000"/>
          <w:sz w:val="20"/>
          <w:szCs w:val="20"/>
        </w:rPr>
      </w:pPr>
      <w:r>
        <w:rPr>
          <w:b/>
          <w:i/>
          <w:color w:val="000000"/>
          <w:sz w:val="20"/>
          <w:szCs w:val="20"/>
        </w:rPr>
        <w:t xml:space="preserve">“Nombres de servidores públicos dedicados a actividades en materia de seguridad, por excepción pueden considerarse información reservada. </w:t>
      </w:r>
      <w:r>
        <w:rPr>
          <w:i/>
          <w:color w:val="000000"/>
          <w:sz w:val="20"/>
          <w:szCs w:val="20"/>
        </w:rPr>
        <w:t xml:space="preserve">De conformidad con el artículo 7, fracciones I y III de la Ley Federal de Transparencia y Acceso a la Información Pública Gubernamental el nombre de los servidores públicos es información de naturaleza pública. No </w:t>
      </w:r>
      <w:proofErr w:type="gramStart"/>
      <w:r>
        <w:rPr>
          <w:i/>
          <w:color w:val="000000"/>
          <w:sz w:val="20"/>
          <w:szCs w:val="20"/>
        </w:rPr>
        <w:t>obstante</w:t>
      </w:r>
      <w:proofErr w:type="gramEnd"/>
      <w:r>
        <w:rPr>
          <w:i/>
          <w:color w:val="000000"/>
          <w:sz w:val="20"/>
          <w:szCs w:val="20"/>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EBE7F8B" w14:textId="77777777" w:rsidR="006F1DFF" w:rsidRDefault="006F1DFF">
      <w:pPr>
        <w:spacing w:after="0" w:line="360" w:lineRule="auto"/>
        <w:rPr>
          <w:color w:val="000000"/>
        </w:rPr>
      </w:pPr>
    </w:p>
    <w:p w14:paraId="4D2FF261" w14:textId="77777777" w:rsidR="006F1DFF" w:rsidRDefault="003619CE">
      <w:pPr>
        <w:spacing w:after="0" w:line="360" w:lineRule="auto"/>
        <w:rPr>
          <w:color w:val="000000"/>
        </w:rPr>
      </w:pPr>
      <w:r>
        <w:rPr>
          <w:color w:val="000000"/>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Pr>
          <w:color w:val="000000"/>
        </w:rPr>
        <w:lastRenderedPageBreak/>
        <w:t>la seguridad del País, Estado y Municipio, anulando, impidiendo u obstaculizando la actuación de los servidores públicos que realizan funciones de carácter operativo.</w:t>
      </w:r>
    </w:p>
    <w:p w14:paraId="437248E2" w14:textId="77777777" w:rsidR="006F1DFF" w:rsidRDefault="006F1DFF">
      <w:pPr>
        <w:spacing w:after="0" w:line="360" w:lineRule="auto"/>
        <w:rPr>
          <w:color w:val="000000"/>
        </w:rPr>
      </w:pPr>
    </w:p>
    <w:p w14:paraId="1262D12F" w14:textId="77777777" w:rsidR="006F1DFF" w:rsidRDefault="003619CE">
      <w:pPr>
        <w:spacing w:after="0" w:line="360" w:lineRule="auto"/>
        <w:rPr>
          <w:color w:val="000000"/>
        </w:rPr>
      </w:pPr>
      <w:r>
        <w:rPr>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73FFABB2" w14:textId="77777777" w:rsidR="006F1DFF" w:rsidRDefault="006F1DFF">
      <w:pPr>
        <w:spacing w:after="0" w:line="360" w:lineRule="auto"/>
        <w:rPr>
          <w:color w:val="000000"/>
        </w:rPr>
      </w:pPr>
    </w:p>
    <w:p w14:paraId="326AD1A3" w14:textId="77777777" w:rsidR="006F1DFF" w:rsidRDefault="003619CE">
      <w:pPr>
        <w:spacing w:after="0" w:line="360" w:lineRule="auto"/>
        <w:rPr>
          <w:color w:val="000000"/>
        </w:rPr>
      </w:pPr>
      <w:r>
        <w:rPr>
          <w:color w:val="000000"/>
        </w:rPr>
        <w:t xml:space="preserve">En ese orden de ideas, si bien por regla general los nombres de los trabajadores gubernamentales son información pública de oficio, existe una excepción relativa a </w:t>
      </w:r>
      <w:r>
        <w:rPr>
          <w:b/>
          <w:color w:val="000000"/>
        </w:rPr>
        <w:t>aquellos que realicen actividades operativas en materia de seguridad,</w:t>
      </w:r>
      <w:r>
        <w:rPr>
          <w:color w:val="000000"/>
        </w:rPr>
        <w:t xml:space="preserve"> como es el caso de los elementos operativos y la policía municipal.</w:t>
      </w:r>
    </w:p>
    <w:p w14:paraId="46F92B5D" w14:textId="77777777" w:rsidR="006F1DFF" w:rsidRDefault="006F1DFF">
      <w:pPr>
        <w:spacing w:after="0" w:line="360" w:lineRule="auto"/>
        <w:rPr>
          <w:color w:val="000000"/>
        </w:rPr>
      </w:pPr>
    </w:p>
    <w:p w14:paraId="60015DC2" w14:textId="77777777" w:rsidR="006F1DFF" w:rsidRDefault="003619CE">
      <w:pPr>
        <w:spacing w:after="0" w:line="360" w:lineRule="auto"/>
        <w:rPr>
          <w:color w:val="000000"/>
        </w:rPr>
      </w:pPr>
      <w:r>
        <w:rPr>
          <w:color w:val="000000"/>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2F76C68D" w14:textId="77777777" w:rsidR="006F1DFF" w:rsidRDefault="006F1DFF">
      <w:pPr>
        <w:spacing w:after="0" w:line="360" w:lineRule="auto"/>
        <w:rPr>
          <w:color w:val="000000"/>
        </w:rPr>
      </w:pPr>
    </w:p>
    <w:p w14:paraId="7AABD859" w14:textId="77777777" w:rsidR="006F1DFF" w:rsidRDefault="003619CE">
      <w:pPr>
        <w:spacing w:after="0" w:line="360" w:lineRule="auto"/>
        <w:rPr>
          <w:color w:val="000000"/>
        </w:rPr>
      </w:pPr>
      <w:r>
        <w:rPr>
          <w:color w:val="000000"/>
        </w:rPr>
        <w:t>En ese contexto, el artículo 6°, fracciones XI y XII de dicho ordenamiento jurídico, establece los siguientes conceptos:</w:t>
      </w:r>
    </w:p>
    <w:p w14:paraId="2D97D953" w14:textId="77777777" w:rsidR="006F1DFF" w:rsidRDefault="006F1DFF">
      <w:pPr>
        <w:spacing w:after="0" w:line="360" w:lineRule="auto"/>
        <w:rPr>
          <w:color w:val="000000"/>
        </w:rPr>
      </w:pPr>
    </w:p>
    <w:p w14:paraId="35791CE5" w14:textId="77777777" w:rsidR="006F1DFF" w:rsidRDefault="003619CE">
      <w:pPr>
        <w:numPr>
          <w:ilvl w:val="0"/>
          <w:numId w:val="9"/>
        </w:numPr>
        <w:spacing w:after="0" w:line="360" w:lineRule="auto"/>
        <w:ind w:left="709"/>
        <w:rPr>
          <w:b/>
          <w:color w:val="000000"/>
        </w:rPr>
      </w:pPr>
      <w:r>
        <w:rPr>
          <w:b/>
          <w:color w:val="000000"/>
        </w:rPr>
        <w:lastRenderedPageBreak/>
        <w:t xml:space="preserve">Instituciones Policiales: </w:t>
      </w:r>
      <w:r>
        <w:rPr>
          <w:color w:val="000000"/>
        </w:rPr>
        <w:t xml:space="preserve">Son los cuerpos de policía, de vigilancia y custodia de los establecimientos penitenciarios, detención preventiva, centros de arraigo y en general, </w:t>
      </w:r>
      <w:r>
        <w:rPr>
          <w:b/>
          <w:color w:val="000000"/>
        </w:rPr>
        <w:t>todas las dependencias encargadas de la seguridad pública a nivel</w:t>
      </w:r>
      <w:r>
        <w:rPr>
          <w:color w:val="000000"/>
        </w:rPr>
        <w:t xml:space="preserve"> estatal y </w:t>
      </w:r>
      <w:r>
        <w:rPr>
          <w:b/>
          <w:color w:val="000000"/>
        </w:rPr>
        <w:t>municipal.</w:t>
      </w:r>
    </w:p>
    <w:p w14:paraId="02564B92" w14:textId="77777777" w:rsidR="006F1DFF" w:rsidRDefault="006F1DFF">
      <w:pPr>
        <w:spacing w:after="0" w:line="360" w:lineRule="auto"/>
        <w:ind w:left="709"/>
        <w:rPr>
          <w:b/>
          <w:color w:val="000000"/>
        </w:rPr>
      </w:pPr>
    </w:p>
    <w:p w14:paraId="439DD35D" w14:textId="77777777" w:rsidR="006F1DFF" w:rsidRDefault="003619CE">
      <w:pPr>
        <w:numPr>
          <w:ilvl w:val="0"/>
          <w:numId w:val="9"/>
        </w:numPr>
        <w:spacing w:after="0" w:line="360" w:lineRule="auto"/>
        <w:ind w:left="709"/>
        <w:rPr>
          <w:b/>
          <w:color w:val="000000"/>
        </w:rPr>
      </w:pPr>
      <w:r>
        <w:rPr>
          <w:b/>
          <w:color w:val="000000"/>
        </w:rPr>
        <w:t xml:space="preserve">Instituciones de Seguridad Pública: </w:t>
      </w:r>
      <w:r>
        <w:rPr>
          <w:color w:val="000000"/>
        </w:rPr>
        <w:t xml:space="preserve">Instituciones Policiales, Procuración de Justicia, Sistema Penitenciario y </w:t>
      </w:r>
      <w:r>
        <w:rPr>
          <w:b/>
          <w:color w:val="000000"/>
        </w:rPr>
        <w:t xml:space="preserve">dependencias encargadas de la seguridad pública a nivel </w:t>
      </w:r>
      <w:r>
        <w:rPr>
          <w:color w:val="000000"/>
        </w:rPr>
        <w:t xml:space="preserve">estatal y </w:t>
      </w:r>
      <w:r>
        <w:rPr>
          <w:b/>
          <w:color w:val="000000"/>
        </w:rPr>
        <w:t>municipal.</w:t>
      </w:r>
    </w:p>
    <w:p w14:paraId="18C280E4" w14:textId="77777777" w:rsidR="006F1DFF" w:rsidRDefault="006F1DFF">
      <w:pPr>
        <w:pBdr>
          <w:top w:val="nil"/>
          <w:left w:val="nil"/>
          <w:bottom w:val="nil"/>
          <w:right w:val="nil"/>
          <w:between w:val="nil"/>
        </w:pBdr>
        <w:spacing w:after="0" w:line="360" w:lineRule="auto"/>
        <w:rPr>
          <w:b/>
          <w:color w:val="000000"/>
        </w:rPr>
      </w:pPr>
    </w:p>
    <w:p w14:paraId="78D756BC" w14:textId="77777777" w:rsidR="006F1DFF" w:rsidRDefault="003619CE">
      <w:pPr>
        <w:spacing w:after="0" w:line="360" w:lineRule="auto"/>
        <w:rPr>
          <w:color w:val="000000"/>
        </w:rPr>
      </w:pPr>
      <w:r>
        <w:rPr>
          <w:color w:val="000000"/>
        </w:rPr>
        <w:t>Conforme a lo anterior, se puede deducir que la Dirección de Seguridad Pública, es una institución de seguridad pública, pues tiene como atribución principal, la prevención de delitos y proteger a las personas, sus propiedades, posesiones y derechos.</w:t>
      </w:r>
    </w:p>
    <w:p w14:paraId="78275511" w14:textId="77777777" w:rsidR="006F1DFF" w:rsidRDefault="006F1DFF">
      <w:pPr>
        <w:spacing w:after="0" w:line="360" w:lineRule="auto"/>
        <w:rPr>
          <w:color w:val="000000"/>
        </w:rPr>
      </w:pPr>
    </w:p>
    <w:p w14:paraId="17F7673D" w14:textId="77777777" w:rsidR="006F1DFF" w:rsidRDefault="003619CE">
      <w:pPr>
        <w:tabs>
          <w:tab w:val="left" w:pos="4962"/>
        </w:tabs>
        <w:spacing w:after="0" w:line="360" w:lineRule="auto"/>
        <w:ind w:right="-28"/>
        <w:rPr>
          <w:color w:val="000000"/>
        </w:rPr>
      </w:pPr>
      <w:r>
        <w:rPr>
          <w:color w:val="000000"/>
        </w:rPr>
        <w:t xml:space="preserve">Además, el Instructivo de llenado del Formato “Personal de Seguridad Pública”, del Secretariado Ejecutivo del Sistema Nacional de Seguridad Pública (consultado, en la liga </w:t>
      </w:r>
      <w:hyperlink r:id="rId14">
        <w:r>
          <w:rPr>
            <w:color w:val="0563C1"/>
            <w:u w:val="single"/>
          </w:rPr>
          <w:t>http://secretariadoejecutivo.gob.mx/work/models/SecretariadoEjecutivo/Resource/328/1/images/instructivo_final_edo_fuerza(1).pdf</w:t>
        </w:r>
      </w:hyperlink>
      <w:r>
        <w:rPr>
          <w:color w:val="000000"/>
        </w:rPr>
        <w:t xml:space="preserve">), establece que los elementos operativos de seguridad pública, son aquellos que desempeñan funciones de campo (policiacas, especializadas o equivalentes y que no </w:t>
      </w:r>
      <w:r>
        <w:rPr>
          <w:b/>
          <w:color w:val="000000"/>
        </w:rPr>
        <w:t>desempeña funciones de mando</w:t>
      </w:r>
      <w:r>
        <w:rPr>
          <w:color w:val="000000"/>
        </w:rPr>
        <w:t xml:space="preserve">), entre los cuales, se encuentra </w:t>
      </w:r>
      <w:r>
        <w:rPr>
          <w:b/>
          <w:color w:val="000000"/>
        </w:rPr>
        <w:t>la Policía Municipal</w:t>
      </w:r>
      <w:r>
        <w:rPr>
          <w:color w:val="000000"/>
        </w:rPr>
        <w:t>.</w:t>
      </w:r>
    </w:p>
    <w:p w14:paraId="09403E98" w14:textId="77777777" w:rsidR="006F1DFF" w:rsidRDefault="006F1DFF">
      <w:pPr>
        <w:tabs>
          <w:tab w:val="left" w:pos="4962"/>
        </w:tabs>
        <w:spacing w:after="0" w:line="360" w:lineRule="auto"/>
        <w:ind w:right="-28"/>
        <w:rPr>
          <w:color w:val="000000"/>
        </w:rPr>
      </w:pPr>
    </w:p>
    <w:p w14:paraId="00ADFFE0" w14:textId="77777777" w:rsidR="006F1DFF" w:rsidRDefault="003619CE">
      <w:pPr>
        <w:tabs>
          <w:tab w:val="left" w:pos="4962"/>
        </w:tabs>
        <w:spacing w:after="0" w:line="360" w:lineRule="auto"/>
        <w:ind w:right="-28"/>
        <w:rPr>
          <w:color w:val="000000"/>
        </w:rPr>
      </w:pPr>
      <w:r>
        <w:rPr>
          <w:color w:val="000000"/>
        </w:rPr>
        <w:t xml:space="preserve">Asimismo, se advierte que las Instituciones Policiales, se conforman del personal </w:t>
      </w:r>
      <w:r>
        <w:rPr>
          <w:b/>
          <w:color w:val="000000"/>
        </w:rPr>
        <w:t>administrativo,</w:t>
      </w:r>
      <w:r>
        <w:rPr>
          <w:color w:val="000000"/>
        </w:rPr>
        <w:t xml:space="preserve"> que son los trabajadores de apoyo (chofer, personal de mantenimiento, servicios generales y área secretaria); </w:t>
      </w:r>
      <w:r>
        <w:rPr>
          <w:b/>
          <w:color w:val="000000"/>
        </w:rPr>
        <w:t>así como, el personal de mando</w:t>
      </w:r>
      <w:r>
        <w:rPr>
          <w:color w:val="000000"/>
        </w:rPr>
        <w:t xml:space="preserve"> (alto, medio y superior), que es aquel que realiza funciones de dirección, coordinación y supervisión, por lo cual, corresponde a aquel que tenga trabajadores a su cargo.</w:t>
      </w:r>
    </w:p>
    <w:p w14:paraId="2E3DDFC3" w14:textId="77777777" w:rsidR="006F1DFF" w:rsidRDefault="006F1DFF">
      <w:pPr>
        <w:spacing w:after="0" w:line="360" w:lineRule="auto"/>
        <w:rPr>
          <w:color w:val="000000"/>
        </w:rPr>
      </w:pPr>
    </w:p>
    <w:p w14:paraId="16BDF5D7" w14:textId="77777777" w:rsidR="006F1DFF" w:rsidRDefault="003619CE">
      <w:pPr>
        <w:spacing w:after="0" w:line="360" w:lineRule="auto"/>
        <w:rPr>
          <w:color w:val="000000"/>
        </w:rPr>
      </w:pPr>
      <w:r>
        <w:rPr>
          <w:color w:val="000000"/>
        </w:rPr>
        <w:t>Así, dar a conocer el nombre de las personas, vinculado con el hecho que son policías o aspirantes a policía,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08CE85A" w14:textId="77777777" w:rsidR="006F1DFF" w:rsidRDefault="006F1DFF">
      <w:pPr>
        <w:spacing w:after="0" w:line="360" w:lineRule="auto"/>
        <w:rPr>
          <w:color w:val="000000"/>
        </w:rPr>
      </w:pPr>
    </w:p>
    <w:p w14:paraId="08BA791D" w14:textId="77777777" w:rsidR="006F1DFF" w:rsidRDefault="003619CE">
      <w:pPr>
        <w:spacing w:after="0" w:line="360" w:lineRule="auto"/>
        <w:rPr>
          <w:color w:val="000000"/>
        </w:rPr>
      </w:pPr>
      <w:r>
        <w:rPr>
          <w:color w:val="000000"/>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74C4F009" w14:textId="77777777" w:rsidR="006F1DFF" w:rsidRDefault="006F1DFF">
      <w:pPr>
        <w:spacing w:after="0" w:line="360" w:lineRule="auto"/>
        <w:rPr>
          <w:color w:val="000000"/>
        </w:rPr>
      </w:pPr>
    </w:p>
    <w:p w14:paraId="42398F0E" w14:textId="77777777" w:rsidR="006F1DFF" w:rsidRDefault="003619CE">
      <w:pPr>
        <w:spacing w:after="0" w:line="360" w:lineRule="auto"/>
        <w:rPr>
          <w:color w:val="000000"/>
        </w:rPr>
      </w:pPr>
      <w:r>
        <w:rPr>
          <w:color w:val="000000"/>
        </w:rPr>
        <w:t>De tal situación, se considera que dar a conocer el nombre de los policías municipales o aspirantes a dichos cargos,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3531DF08" w14:textId="77777777" w:rsidR="006F1DFF" w:rsidRDefault="006F1DFF">
      <w:pPr>
        <w:spacing w:after="0" w:line="360" w:lineRule="auto"/>
        <w:rPr>
          <w:color w:val="000000"/>
        </w:rPr>
      </w:pPr>
    </w:p>
    <w:p w14:paraId="554612AB" w14:textId="77777777" w:rsidR="006F1DFF" w:rsidRDefault="003619CE">
      <w:pPr>
        <w:spacing w:after="0" w:line="360" w:lineRule="auto"/>
        <w:rPr>
          <w:color w:val="000000"/>
        </w:rPr>
      </w:pPr>
      <w:r>
        <w:rPr>
          <w:color w:val="000000"/>
        </w:rPr>
        <w:lastRenderedPageBreak/>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7C46FF03" w14:textId="77777777" w:rsidR="006F1DFF" w:rsidRDefault="006F1DFF">
      <w:pPr>
        <w:spacing w:after="0" w:line="360" w:lineRule="auto"/>
        <w:rPr>
          <w:color w:val="000000"/>
        </w:rPr>
      </w:pPr>
    </w:p>
    <w:p w14:paraId="4AB20E93" w14:textId="77777777" w:rsidR="006F1DFF" w:rsidRDefault="003619CE">
      <w:pPr>
        <w:spacing w:after="0" w:line="360" w:lineRule="auto"/>
        <w:rPr>
          <w:b/>
          <w:color w:val="000000"/>
        </w:rPr>
      </w:pPr>
      <w:r>
        <w:rPr>
          <w:color w:val="000000"/>
        </w:rPr>
        <w:t xml:space="preserve">Por tales consideraciones, </w:t>
      </w:r>
      <w:r>
        <w:rPr>
          <w:b/>
          <w:color w:val="000000"/>
        </w:rPr>
        <w:t xml:space="preserve">resulta procedente la reserva del nombre de los elementos operativos en materia de seguridad adscritos a la Dirección de Seguridad Pública y Protección Ciudadana, en términos del artículo 140, fracción IV, de </w:t>
      </w:r>
      <w:proofErr w:type="spellStart"/>
      <w:r>
        <w:rPr>
          <w:b/>
          <w:color w:val="000000"/>
        </w:rPr>
        <w:t>de</w:t>
      </w:r>
      <w:proofErr w:type="spellEnd"/>
      <w:r>
        <w:rPr>
          <w:b/>
          <w:color w:val="000000"/>
        </w:rPr>
        <w:t xml:space="preserve"> la Ley de Transparencia y Acceso a la Información Pública del Estado de México y Municipios.</w:t>
      </w:r>
    </w:p>
    <w:p w14:paraId="2BE5FA3D" w14:textId="77777777" w:rsidR="006F1DFF" w:rsidRDefault="006F1DFF">
      <w:pPr>
        <w:spacing w:after="0" w:line="360" w:lineRule="auto"/>
        <w:rPr>
          <w:color w:val="000000"/>
        </w:rPr>
      </w:pPr>
    </w:p>
    <w:p w14:paraId="30BDD206" w14:textId="77777777" w:rsidR="006F1DFF" w:rsidRDefault="003619CE">
      <w:pPr>
        <w:widowControl w:val="0"/>
        <w:spacing w:after="0" w:line="360" w:lineRule="auto"/>
        <w:rPr>
          <w:color w:val="000000"/>
        </w:rPr>
      </w:pPr>
      <w:r>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D2EFE2D" w14:textId="77777777" w:rsidR="006F1DFF" w:rsidRDefault="006F1DFF">
      <w:pPr>
        <w:widowControl w:val="0"/>
        <w:spacing w:after="0" w:line="360" w:lineRule="auto"/>
        <w:rPr>
          <w:color w:val="FF0000"/>
        </w:rPr>
      </w:pPr>
    </w:p>
    <w:p w14:paraId="0EDA07ED" w14:textId="77777777" w:rsidR="006F1DFF" w:rsidRDefault="003619CE">
      <w:pPr>
        <w:spacing w:after="0" w:line="360" w:lineRule="auto"/>
        <w:ind w:right="-28"/>
        <w:rPr>
          <w:color w:val="000000"/>
        </w:rPr>
      </w:pPr>
      <w:r>
        <w:rPr>
          <w:color w:val="000000"/>
        </w:rPr>
        <w:t xml:space="preserve">Finalmente, el Sujeto Obligado, deberá elaborar la versión pública respectiva, tomando en consideración los datos analizados;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D6EC113" w14:textId="77777777" w:rsidR="006F1DFF" w:rsidRDefault="006F1DFF">
      <w:pPr>
        <w:widowControl w:val="0"/>
        <w:spacing w:after="0" w:line="360" w:lineRule="auto"/>
        <w:rPr>
          <w:color w:val="FF0000"/>
        </w:rPr>
      </w:pPr>
    </w:p>
    <w:p w14:paraId="7CF1D5A8" w14:textId="77777777" w:rsidR="006F1DFF" w:rsidRDefault="003619CE">
      <w:pPr>
        <w:pStyle w:val="Ttulo2"/>
        <w:spacing w:before="0" w:line="360" w:lineRule="auto"/>
        <w:rPr>
          <w:rFonts w:ascii="Palatino Linotype" w:eastAsia="Palatino Linotype" w:hAnsi="Palatino Linotype" w:cs="Palatino Linotype"/>
          <w:b/>
          <w:color w:val="000000"/>
          <w:sz w:val="22"/>
          <w:szCs w:val="22"/>
        </w:rPr>
      </w:pPr>
      <w:bookmarkStart w:id="22" w:name="_heading=h.qbcb44h7ymxx" w:colFirst="0" w:colLast="0"/>
      <w:bookmarkStart w:id="23" w:name="_Toc207291720"/>
      <w:bookmarkEnd w:id="22"/>
      <w:r>
        <w:rPr>
          <w:rFonts w:ascii="Palatino Linotype" w:eastAsia="Palatino Linotype" w:hAnsi="Palatino Linotype" w:cs="Palatino Linotype"/>
          <w:b/>
          <w:color w:val="000000"/>
          <w:sz w:val="22"/>
          <w:szCs w:val="22"/>
        </w:rPr>
        <w:lastRenderedPageBreak/>
        <w:t>SEXTO. Decisión</w:t>
      </w:r>
      <w:bookmarkEnd w:id="23"/>
    </w:p>
    <w:p w14:paraId="649E937A" w14:textId="77777777" w:rsidR="006F1DFF" w:rsidRDefault="006F1DFF">
      <w:pPr>
        <w:spacing w:after="0" w:line="360" w:lineRule="auto"/>
        <w:rPr>
          <w:b/>
          <w:color w:val="FF0000"/>
        </w:rPr>
      </w:pPr>
    </w:p>
    <w:p w14:paraId="328C9C7E" w14:textId="77777777" w:rsidR="006F1DFF" w:rsidRDefault="003619CE">
      <w:pPr>
        <w:spacing w:after="0" w:line="360" w:lineRule="auto"/>
        <w:rPr>
          <w:color w:val="000000"/>
        </w:rPr>
      </w:pPr>
      <w:r>
        <w:rPr>
          <w:color w:val="000000"/>
        </w:rPr>
        <w:t xml:space="preserve">Con fundamento en el artículo 186, fracción III, de la Ley de Transparencia y Acceso a la Información Pública del Estado de México y Municipios, este Instituto considera procedente </w:t>
      </w:r>
      <w:r>
        <w:rPr>
          <w:b/>
          <w:color w:val="000000"/>
        </w:rPr>
        <w:t xml:space="preserve">MODIFICAR </w:t>
      </w:r>
      <w:r>
        <w:rPr>
          <w:color w:val="000000"/>
        </w:rPr>
        <w:t>la respuesta otorgada por Ayuntamiento de Atlautla, a efecto de que realice una búsqueda exhaustiva y razonable en los archivos, a efecto de que proporcione la información solicitada.</w:t>
      </w:r>
    </w:p>
    <w:p w14:paraId="575C5A33" w14:textId="77777777" w:rsidR="006F1DFF" w:rsidRDefault="006F1DFF">
      <w:pPr>
        <w:spacing w:after="0" w:line="360" w:lineRule="auto"/>
        <w:rPr>
          <w:color w:val="FF0000"/>
        </w:rPr>
      </w:pPr>
    </w:p>
    <w:p w14:paraId="0CFD3ADC" w14:textId="77777777" w:rsidR="006F1DFF" w:rsidRDefault="003619CE">
      <w:pPr>
        <w:spacing w:after="0" w:line="360" w:lineRule="auto"/>
        <w:rPr>
          <w:b/>
          <w:color w:val="000000"/>
        </w:rPr>
      </w:pPr>
      <w:r>
        <w:rPr>
          <w:b/>
          <w:color w:val="000000"/>
        </w:rPr>
        <w:t>Términos de la Resolución para conocimiento del Particular</w:t>
      </w:r>
    </w:p>
    <w:p w14:paraId="69C7C5B6" w14:textId="77777777" w:rsidR="006F1DFF" w:rsidRDefault="006F1DFF">
      <w:pPr>
        <w:spacing w:after="0" w:line="360" w:lineRule="auto"/>
        <w:rPr>
          <w:b/>
          <w:color w:val="FF0000"/>
        </w:rPr>
      </w:pPr>
    </w:p>
    <w:p w14:paraId="2FF8D55F" w14:textId="77777777" w:rsidR="006F1DFF" w:rsidRDefault="003619CE">
      <w:pPr>
        <w:spacing w:after="0" w:line="360" w:lineRule="auto"/>
        <w:rPr>
          <w:color w:val="000000"/>
        </w:rPr>
      </w:pPr>
      <w:r>
        <w:rPr>
          <w:color w:val="000000"/>
        </w:rPr>
        <w:t xml:space="preserve">Se le hace del conocimiento al Particular, que, en el presente caso, se le concede la razón pues el Sujeto Obligado omitió entregar la información de manera legible y completa por lo que deberá proporcionar los documentos que den cuenta de lo solicitado. </w:t>
      </w:r>
    </w:p>
    <w:p w14:paraId="781E79D2" w14:textId="77777777" w:rsidR="006F1DFF" w:rsidRDefault="006F1DFF">
      <w:pPr>
        <w:spacing w:after="0" w:line="360" w:lineRule="auto"/>
        <w:rPr>
          <w:color w:val="000000"/>
        </w:rPr>
      </w:pPr>
    </w:p>
    <w:p w14:paraId="44346519" w14:textId="77777777" w:rsidR="006F1DFF" w:rsidRDefault="003619CE">
      <w:pPr>
        <w:spacing w:after="0" w:line="360" w:lineRule="auto"/>
        <w:rPr>
          <w:color w:val="000000"/>
        </w:rPr>
      </w:pPr>
      <w:r>
        <w:rPr>
          <w:color w:val="000000"/>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9175B02" w14:textId="77777777" w:rsidR="006F1DFF" w:rsidRDefault="006F1DFF">
      <w:pPr>
        <w:spacing w:after="0" w:line="360" w:lineRule="auto"/>
        <w:rPr>
          <w:color w:val="000000"/>
        </w:rPr>
      </w:pPr>
    </w:p>
    <w:p w14:paraId="000B16ED" w14:textId="77777777" w:rsidR="006F1DFF" w:rsidRDefault="003619CE">
      <w:pPr>
        <w:spacing w:after="0" w:line="360" w:lineRule="auto"/>
        <w:rPr>
          <w:color w:val="000000"/>
        </w:rPr>
      </w:pPr>
      <w:r>
        <w:rPr>
          <w:color w:val="000000"/>
        </w:rPr>
        <w:t>Por lo expuesto y fundado, este Pleno:</w:t>
      </w:r>
    </w:p>
    <w:p w14:paraId="447B223E" w14:textId="77777777" w:rsidR="006F1DFF" w:rsidRDefault="006F1DFF">
      <w:pPr>
        <w:spacing w:after="0" w:line="360" w:lineRule="auto"/>
        <w:rPr>
          <w:color w:val="000000"/>
        </w:rPr>
      </w:pPr>
    </w:p>
    <w:p w14:paraId="42DD7B71" w14:textId="77777777" w:rsidR="006F1DFF" w:rsidRDefault="003619CE">
      <w:pPr>
        <w:pStyle w:val="Ttulo1"/>
        <w:spacing w:before="0" w:line="360" w:lineRule="auto"/>
        <w:jc w:val="center"/>
        <w:rPr>
          <w:rFonts w:ascii="Palatino Linotype" w:eastAsia="Palatino Linotype" w:hAnsi="Palatino Linotype" w:cs="Palatino Linotype"/>
          <w:b/>
          <w:color w:val="000000"/>
          <w:sz w:val="22"/>
          <w:szCs w:val="22"/>
        </w:rPr>
      </w:pPr>
      <w:bookmarkStart w:id="24" w:name="_heading=h.5u2iluldtiyg" w:colFirst="0" w:colLast="0"/>
      <w:bookmarkStart w:id="25" w:name="_Toc207291721"/>
      <w:bookmarkEnd w:id="24"/>
      <w:r>
        <w:rPr>
          <w:rFonts w:ascii="Palatino Linotype" w:eastAsia="Palatino Linotype" w:hAnsi="Palatino Linotype" w:cs="Palatino Linotype"/>
          <w:b/>
          <w:color w:val="000000"/>
          <w:sz w:val="22"/>
          <w:szCs w:val="22"/>
        </w:rPr>
        <w:t>R E S U E L V E</w:t>
      </w:r>
      <w:bookmarkEnd w:id="25"/>
    </w:p>
    <w:p w14:paraId="45D57A23" w14:textId="77777777" w:rsidR="006F1DFF" w:rsidRDefault="006F1DFF">
      <w:pPr>
        <w:spacing w:after="0" w:line="360" w:lineRule="auto"/>
        <w:ind w:right="-91"/>
        <w:jc w:val="center"/>
        <w:rPr>
          <w:b/>
          <w:color w:val="FF0000"/>
        </w:rPr>
      </w:pPr>
    </w:p>
    <w:p w14:paraId="29BB739F" w14:textId="77777777" w:rsidR="006F1DFF" w:rsidRDefault="006F1DFF">
      <w:pPr>
        <w:spacing w:after="0" w:line="360" w:lineRule="auto"/>
        <w:ind w:right="-91"/>
        <w:jc w:val="center"/>
        <w:rPr>
          <w:b/>
          <w:color w:val="FF0000"/>
        </w:rPr>
      </w:pPr>
    </w:p>
    <w:p w14:paraId="174F6B9D" w14:textId="77777777" w:rsidR="006F1DFF" w:rsidRDefault="003619CE">
      <w:pPr>
        <w:spacing w:after="0" w:line="360" w:lineRule="auto"/>
        <w:rPr>
          <w:color w:val="FF0000"/>
        </w:rPr>
      </w:pPr>
      <w:r>
        <w:rPr>
          <w:b/>
          <w:color w:val="000000"/>
        </w:rPr>
        <w:t xml:space="preserve">PRIMERO. </w:t>
      </w:r>
      <w:r>
        <w:rPr>
          <w:color w:val="000000"/>
        </w:rPr>
        <w:t xml:space="preserve">Se </w:t>
      </w:r>
      <w:r>
        <w:rPr>
          <w:b/>
          <w:color w:val="000000"/>
        </w:rPr>
        <w:t xml:space="preserve">MODIFICA </w:t>
      </w:r>
      <w:r>
        <w:rPr>
          <w:color w:val="000000"/>
        </w:rPr>
        <w:t xml:space="preserve">la respuesta otorgada por el Sujeto Obligado a la solicitud de acceso a la información pública con número de folio 00060/ATLAUTLA/IP/2025, por resultar </w:t>
      </w:r>
      <w:r>
        <w:rPr>
          <w:b/>
          <w:color w:val="000000"/>
        </w:rPr>
        <w:lastRenderedPageBreak/>
        <w:t xml:space="preserve">FUNDADOS </w:t>
      </w:r>
      <w:r>
        <w:rPr>
          <w:color w:val="000000"/>
        </w:rPr>
        <w:t>los agravios</w:t>
      </w:r>
      <w:r>
        <w:rPr>
          <w:b/>
          <w:color w:val="000000"/>
        </w:rPr>
        <w:t xml:space="preserve"> </w:t>
      </w:r>
      <w:r>
        <w:rPr>
          <w:color w:val="000000"/>
        </w:rPr>
        <w:t>hechos valer por el Particular, en el Recurso de Revisión</w:t>
      </w:r>
      <w:r>
        <w:rPr>
          <w:b/>
          <w:color w:val="000000"/>
        </w:rPr>
        <w:t xml:space="preserve">, </w:t>
      </w:r>
      <w:r>
        <w:rPr>
          <w:color w:val="000000"/>
        </w:rPr>
        <w:t xml:space="preserve">en términos de los Considerandos QUINTO y SEXTO de la presente Resolución. </w:t>
      </w:r>
    </w:p>
    <w:p w14:paraId="5CE01923" w14:textId="77777777" w:rsidR="006F1DFF" w:rsidRDefault="006F1DFF">
      <w:pPr>
        <w:spacing w:after="0" w:line="360" w:lineRule="auto"/>
        <w:rPr>
          <w:b/>
          <w:color w:val="FF0000"/>
        </w:rPr>
      </w:pPr>
    </w:p>
    <w:p w14:paraId="1C3128E9" w14:textId="77777777" w:rsidR="006F1DFF" w:rsidRDefault="003619CE">
      <w:pPr>
        <w:spacing w:after="0" w:line="360" w:lineRule="auto"/>
        <w:rPr>
          <w:color w:val="FF0000"/>
        </w:rPr>
      </w:pPr>
      <w:r>
        <w:rPr>
          <w:b/>
          <w:color w:val="000000"/>
        </w:rPr>
        <w:t xml:space="preserve">SEGUNDO. </w:t>
      </w:r>
      <w:r>
        <w:rPr>
          <w:color w:val="000000"/>
        </w:rPr>
        <w:t xml:space="preserve">Se </w:t>
      </w:r>
      <w:r>
        <w:rPr>
          <w:b/>
          <w:color w:val="000000"/>
        </w:rPr>
        <w:t>ORDENA</w:t>
      </w:r>
      <w:r>
        <w:rPr>
          <w:color w:val="000000"/>
        </w:rPr>
        <w:t xml:space="preserve"> al Sujeto Obligado, a efecto de que, previa búsqueda exhaustiva y razonable en las unidades administrativas competentes, entregue a través del Sistema de Acceso a la Información Mexiquense (SAIMEX), de manera legible y comprensible, en versión pública, lo siguiente: </w:t>
      </w:r>
    </w:p>
    <w:p w14:paraId="24FB3A47" w14:textId="77777777" w:rsidR="006F1DFF" w:rsidRDefault="006F1DFF">
      <w:pPr>
        <w:widowControl w:val="0"/>
        <w:pBdr>
          <w:top w:val="nil"/>
          <w:left w:val="nil"/>
          <w:bottom w:val="nil"/>
          <w:right w:val="nil"/>
          <w:between w:val="nil"/>
        </w:pBdr>
        <w:spacing w:after="0" w:line="360" w:lineRule="auto"/>
        <w:ind w:left="720"/>
        <w:rPr>
          <w:color w:val="FF0000"/>
        </w:rPr>
      </w:pPr>
    </w:p>
    <w:p w14:paraId="54F78225" w14:textId="77777777" w:rsidR="006F1DFF" w:rsidRDefault="003619CE">
      <w:pPr>
        <w:widowControl w:val="0"/>
        <w:numPr>
          <w:ilvl w:val="0"/>
          <w:numId w:val="1"/>
        </w:numPr>
        <w:pBdr>
          <w:top w:val="nil"/>
          <w:left w:val="nil"/>
          <w:bottom w:val="nil"/>
          <w:right w:val="nil"/>
          <w:between w:val="nil"/>
        </w:pBdr>
        <w:spacing w:after="0" w:line="360" w:lineRule="auto"/>
        <w:rPr>
          <w:color w:val="000000"/>
        </w:rPr>
      </w:pPr>
      <w:r>
        <w:rPr>
          <w:color w:val="000000"/>
        </w:rPr>
        <w:t>La conciliación de nómina de los servidores públicos adscritos al Ayuntamiento de Atlautla, de la segunda quincena de marzo de dos mil veinticinco.</w:t>
      </w:r>
    </w:p>
    <w:p w14:paraId="3648A2CE" w14:textId="77777777" w:rsidR="006F1DFF" w:rsidRDefault="006F1DFF">
      <w:pPr>
        <w:pBdr>
          <w:top w:val="nil"/>
          <w:left w:val="nil"/>
          <w:bottom w:val="nil"/>
          <w:right w:val="nil"/>
          <w:between w:val="nil"/>
        </w:pBdr>
        <w:ind w:left="720"/>
        <w:rPr>
          <w:color w:val="FF0000"/>
        </w:rPr>
      </w:pPr>
    </w:p>
    <w:p w14:paraId="1B9A78C1" w14:textId="77777777" w:rsidR="006F1DFF" w:rsidRDefault="003619CE">
      <w:pPr>
        <w:spacing w:after="0" w:line="360" w:lineRule="auto"/>
        <w:rPr>
          <w:color w:val="000000"/>
        </w:rPr>
      </w:pPr>
      <w:r>
        <w:rPr>
          <w:color w:val="000000"/>
        </w:rPr>
        <w:t>Además, deberá proporcionar el Acuerdo de Clasificación donde el Comité de Transparencia, confirme la eliminación de los datos o información clasificada, en términos del Considerando QUINTO, en la versión pública, de conformidad con los artículos 49, fracciones II y VIII y 132, fracción II de la Ley de Transparencia y Acceso a la Información</w:t>
      </w:r>
    </w:p>
    <w:p w14:paraId="10173545" w14:textId="77777777" w:rsidR="006F1DFF" w:rsidRDefault="003619CE">
      <w:pPr>
        <w:spacing w:after="0" w:line="360" w:lineRule="auto"/>
        <w:rPr>
          <w:color w:val="000000"/>
        </w:rPr>
      </w:pPr>
      <w:r>
        <w:rPr>
          <w:color w:val="000000"/>
        </w:rPr>
        <w:t>Pública del Estado de México y Municipios.</w:t>
      </w:r>
    </w:p>
    <w:p w14:paraId="65635189" w14:textId="77777777" w:rsidR="006F1DFF" w:rsidRDefault="006F1DFF">
      <w:pPr>
        <w:spacing w:after="0" w:line="360" w:lineRule="auto"/>
        <w:rPr>
          <w:color w:val="000000"/>
        </w:rPr>
      </w:pPr>
    </w:p>
    <w:p w14:paraId="2E3BDAD3" w14:textId="77777777" w:rsidR="006F1DFF" w:rsidRDefault="003619CE">
      <w:pPr>
        <w:spacing w:after="0" w:line="360" w:lineRule="auto"/>
        <w:ind w:right="-28"/>
        <w:rPr>
          <w:b/>
          <w:color w:val="000000"/>
        </w:rPr>
      </w:pPr>
      <w:r>
        <w:rPr>
          <w:b/>
          <w:color w:val="000000"/>
        </w:rPr>
        <w:t xml:space="preserve">TERCERO. NOTIFÍQUESE POR SAIMEX </w:t>
      </w:r>
      <w:r>
        <w:rPr>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9469343" w14:textId="77777777" w:rsidR="006F1DFF" w:rsidRDefault="006F1DFF">
      <w:pPr>
        <w:spacing w:after="0" w:line="360" w:lineRule="auto"/>
        <w:ind w:right="-28"/>
        <w:rPr>
          <w:color w:val="000000"/>
        </w:rPr>
      </w:pPr>
    </w:p>
    <w:p w14:paraId="338C5D8A" w14:textId="77777777" w:rsidR="006F1DFF" w:rsidRDefault="003619CE">
      <w:pPr>
        <w:spacing w:after="0" w:line="360" w:lineRule="auto"/>
        <w:rPr>
          <w:color w:val="000000"/>
        </w:rPr>
      </w:pPr>
      <w:r>
        <w:rPr>
          <w:color w:val="000000"/>
        </w:rPr>
        <w:t>De conformidad con el artículo 198 de la Ley de la materia, de considerarlo procedente, el Sujeto Obligado de manera fundada y motivada, podrá solicitar una ampliación de plazo para el cumplimiento de la presente resolución.</w:t>
      </w:r>
    </w:p>
    <w:p w14:paraId="2AED35B3" w14:textId="77777777" w:rsidR="006F1DFF" w:rsidRDefault="006F1DFF">
      <w:pPr>
        <w:spacing w:after="0" w:line="360" w:lineRule="auto"/>
        <w:rPr>
          <w:color w:val="000000"/>
        </w:rPr>
      </w:pPr>
    </w:p>
    <w:p w14:paraId="6931E134" w14:textId="77777777" w:rsidR="006F1DFF" w:rsidRDefault="003619CE">
      <w:pPr>
        <w:spacing w:after="0" w:line="360" w:lineRule="auto"/>
        <w:rPr>
          <w:color w:val="000000"/>
        </w:rPr>
      </w:pPr>
      <w:r>
        <w:rPr>
          <w:b/>
          <w:color w:val="000000"/>
        </w:rPr>
        <w:t>CUARTO. NOTIFÍQUESE POR SAIMEX</w:t>
      </w:r>
      <w:r>
        <w:rPr>
          <w:color w:val="000000"/>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99652D" w14:textId="77777777" w:rsidR="006F1DFF" w:rsidRDefault="006F1DFF">
      <w:pPr>
        <w:spacing w:after="0" w:line="360" w:lineRule="auto"/>
        <w:rPr>
          <w:b/>
          <w:color w:val="000000"/>
        </w:rPr>
      </w:pPr>
    </w:p>
    <w:p w14:paraId="4CCB4EA8" w14:textId="69B233E2" w:rsidR="006F1DFF" w:rsidRDefault="003619CE">
      <w:pPr>
        <w:spacing w:after="0" w:line="360" w:lineRule="auto"/>
        <w:rPr>
          <w:color w:val="000000"/>
        </w:rPr>
      </w:pPr>
      <w:r>
        <w:rPr>
          <w:color w:val="000000"/>
        </w:rPr>
        <w:t>ASÍ LO RESUELVE, POR </w:t>
      </w:r>
      <w:r>
        <w:rPr>
          <w:b/>
          <w:color w:val="000000"/>
        </w:rPr>
        <w:t>UNANIMIDAD</w:t>
      </w:r>
      <w:r>
        <w:rPr>
          <w:color w:val="000000"/>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B2959">
        <w:rPr>
          <w:color w:val="000000"/>
        </w:rPr>
        <w:t xml:space="preserve"> </w:t>
      </w:r>
      <w:r>
        <w:rPr>
          <w:color w:val="000000"/>
        </w:rPr>
        <w:t>CON VOTO PARTICULAR Y GUADALUPE RAMÍREZ PEÑA CON VOTO PARTICU</w:t>
      </w:r>
      <w:r>
        <w:t>LAR</w:t>
      </w:r>
      <w:r>
        <w:rPr>
          <w:color w:val="000000"/>
        </w:rPr>
        <w:t xml:space="preserve">, EN LA </w:t>
      </w:r>
      <w:r>
        <w:t>TRIGÉSIMA</w:t>
      </w:r>
      <w:r>
        <w:rPr>
          <w:color w:val="000000"/>
        </w:rPr>
        <w:t xml:space="preserve"> SESIÓN ORDINARIA, CELEBRADA EL VEINTISIETE DE AGOSTO DE DOS MIL VEINTICINCO, ANTE EL SECRETARIO TÉCNICO DEL PLENO, ALEXIS TAPIA RAMÍREZ.</w:t>
      </w:r>
    </w:p>
    <w:p w14:paraId="2E955EAC" w14:textId="77777777" w:rsidR="006F1DFF" w:rsidRDefault="006F1DFF">
      <w:pPr>
        <w:spacing w:after="0" w:line="360" w:lineRule="auto"/>
        <w:rPr>
          <w:color w:val="000000"/>
        </w:rPr>
      </w:pPr>
    </w:p>
    <w:p w14:paraId="335DA595" w14:textId="77777777" w:rsidR="006F1DFF" w:rsidRDefault="006F1DFF">
      <w:pPr>
        <w:spacing w:after="0" w:line="360" w:lineRule="auto"/>
        <w:rPr>
          <w:color w:val="000000"/>
        </w:rPr>
      </w:pPr>
    </w:p>
    <w:p w14:paraId="2AA60857" w14:textId="77777777" w:rsidR="006F1DFF" w:rsidRDefault="006F1DFF">
      <w:pPr>
        <w:spacing w:after="0" w:line="360" w:lineRule="auto"/>
        <w:rPr>
          <w:color w:val="000000"/>
        </w:rPr>
      </w:pPr>
    </w:p>
    <w:p w14:paraId="3E9AC8D3" w14:textId="77777777" w:rsidR="006F1DFF" w:rsidRDefault="006F1DFF">
      <w:pPr>
        <w:spacing w:after="0" w:line="360" w:lineRule="auto"/>
        <w:rPr>
          <w:color w:val="FF0000"/>
        </w:rPr>
      </w:pPr>
    </w:p>
    <w:p w14:paraId="53170A9D" w14:textId="77777777" w:rsidR="006F1DFF" w:rsidRDefault="006F1DFF">
      <w:pPr>
        <w:spacing w:after="0" w:line="360" w:lineRule="auto"/>
        <w:rPr>
          <w:color w:val="FF0000"/>
        </w:rPr>
      </w:pPr>
    </w:p>
    <w:p w14:paraId="35FEF936" w14:textId="77777777" w:rsidR="006F1DFF" w:rsidRDefault="006F1DFF">
      <w:pPr>
        <w:spacing w:after="0" w:line="360" w:lineRule="auto"/>
        <w:rPr>
          <w:color w:val="FF0000"/>
        </w:rPr>
      </w:pPr>
    </w:p>
    <w:p w14:paraId="11AB4DBC" w14:textId="77777777" w:rsidR="006F1DFF" w:rsidRDefault="006F1DFF">
      <w:pPr>
        <w:spacing w:after="0" w:line="360" w:lineRule="auto"/>
        <w:rPr>
          <w:color w:val="FF0000"/>
        </w:rPr>
      </w:pPr>
    </w:p>
    <w:p w14:paraId="73D1D2DA" w14:textId="77777777" w:rsidR="006F1DFF" w:rsidRDefault="006F1DFF">
      <w:pPr>
        <w:spacing w:after="0" w:line="360" w:lineRule="auto"/>
        <w:jc w:val="left"/>
        <w:rPr>
          <w:color w:val="FF0000"/>
        </w:rPr>
      </w:pPr>
    </w:p>
    <w:p w14:paraId="5392DFD1" w14:textId="77777777" w:rsidR="006F1DFF" w:rsidRDefault="006F1DFF">
      <w:pPr>
        <w:spacing w:after="0" w:line="360" w:lineRule="auto"/>
        <w:jc w:val="left"/>
        <w:rPr>
          <w:color w:val="FF0000"/>
        </w:rPr>
      </w:pPr>
    </w:p>
    <w:p w14:paraId="44A1410C" w14:textId="77777777" w:rsidR="006F1DFF" w:rsidRDefault="006F1DFF">
      <w:pPr>
        <w:spacing w:after="0" w:line="360" w:lineRule="auto"/>
        <w:jc w:val="left"/>
        <w:rPr>
          <w:color w:val="FF0000"/>
        </w:rPr>
      </w:pPr>
    </w:p>
    <w:p w14:paraId="79494751" w14:textId="77777777" w:rsidR="006F1DFF" w:rsidRDefault="006F1DFF">
      <w:pPr>
        <w:spacing w:after="0" w:line="360" w:lineRule="auto"/>
        <w:jc w:val="left"/>
        <w:rPr>
          <w:color w:val="FF0000"/>
        </w:rPr>
      </w:pPr>
    </w:p>
    <w:p w14:paraId="0B41E617" w14:textId="77777777" w:rsidR="006F1DFF" w:rsidRDefault="006F1DFF">
      <w:pPr>
        <w:spacing w:after="0" w:line="360" w:lineRule="auto"/>
        <w:jc w:val="left"/>
        <w:rPr>
          <w:color w:val="FF0000"/>
        </w:rPr>
      </w:pPr>
    </w:p>
    <w:p w14:paraId="7A24B6FA" w14:textId="77777777" w:rsidR="006F1DFF" w:rsidRDefault="006F1DFF">
      <w:pPr>
        <w:spacing w:after="0" w:line="360" w:lineRule="auto"/>
        <w:jc w:val="left"/>
        <w:rPr>
          <w:color w:val="FF0000"/>
        </w:rPr>
      </w:pPr>
    </w:p>
    <w:p w14:paraId="6D8C7E9E" w14:textId="77777777" w:rsidR="006F1DFF" w:rsidRDefault="006F1DFF">
      <w:pPr>
        <w:spacing w:after="0" w:line="360" w:lineRule="auto"/>
        <w:jc w:val="left"/>
        <w:rPr>
          <w:color w:val="FF0000"/>
        </w:rPr>
      </w:pPr>
    </w:p>
    <w:p w14:paraId="41E25F85" w14:textId="77777777" w:rsidR="006F1DFF" w:rsidRDefault="006F1DFF">
      <w:pPr>
        <w:spacing w:after="0" w:line="360" w:lineRule="auto"/>
        <w:jc w:val="left"/>
        <w:rPr>
          <w:color w:val="FF0000"/>
        </w:rPr>
      </w:pPr>
    </w:p>
    <w:p w14:paraId="24774F5A" w14:textId="77777777" w:rsidR="006F1DFF" w:rsidRDefault="006F1DFF">
      <w:pPr>
        <w:spacing w:after="0" w:line="360" w:lineRule="auto"/>
        <w:jc w:val="left"/>
        <w:rPr>
          <w:color w:val="FF0000"/>
        </w:rPr>
      </w:pPr>
    </w:p>
    <w:sectPr w:rsidR="006F1DFF">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A4C14" w14:textId="77777777" w:rsidR="00921D54" w:rsidRDefault="00921D54">
      <w:pPr>
        <w:spacing w:after="0" w:line="240" w:lineRule="auto"/>
      </w:pPr>
      <w:r>
        <w:separator/>
      </w:r>
    </w:p>
  </w:endnote>
  <w:endnote w:type="continuationSeparator" w:id="0">
    <w:p w14:paraId="4CC4DACD" w14:textId="77777777" w:rsidR="00921D54" w:rsidRDefault="0092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61E25" w14:textId="00D41609" w:rsidR="006F1DFF" w:rsidRDefault="003619C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5EAB">
      <w:rPr>
        <w:b/>
        <w:noProof/>
        <w:color w:val="000000"/>
        <w:sz w:val="24"/>
        <w:szCs w:val="24"/>
      </w:rPr>
      <w:t>35</w:t>
    </w:r>
    <w:r>
      <w:rPr>
        <w:b/>
        <w:color w:val="000000"/>
        <w:sz w:val="24"/>
        <w:szCs w:val="24"/>
      </w:rPr>
      <w:fldChar w:fldCharType="end"/>
    </w:r>
  </w:p>
  <w:p w14:paraId="506F5CF6" w14:textId="77777777" w:rsidR="006F1DFF" w:rsidRDefault="006F1DF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C6E9A" w14:textId="77777777" w:rsidR="006F1DFF" w:rsidRDefault="003619C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A4C1E">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A4C1E">
      <w:rPr>
        <w:b/>
        <w:noProof/>
        <w:color w:val="000000"/>
        <w:sz w:val="24"/>
        <w:szCs w:val="24"/>
      </w:rPr>
      <w:t>35</w:t>
    </w:r>
    <w:r>
      <w:rPr>
        <w:b/>
        <w:color w:val="000000"/>
        <w:sz w:val="24"/>
        <w:szCs w:val="24"/>
      </w:rPr>
      <w:fldChar w:fldCharType="end"/>
    </w:r>
  </w:p>
  <w:p w14:paraId="51DBE3DC" w14:textId="77777777" w:rsidR="006F1DFF" w:rsidRDefault="006F1DF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23C45" w14:textId="77777777" w:rsidR="006F1DFF" w:rsidRDefault="003619C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A4C1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A4C1E">
      <w:rPr>
        <w:b/>
        <w:noProof/>
        <w:color w:val="000000"/>
        <w:sz w:val="24"/>
        <w:szCs w:val="24"/>
      </w:rPr>
      <w:t>35</w:t>
    </w:r>
    <w:r>
      <w:rPr>
        <w:b/>
        <w:color w:val="000000"/>
        <w:sz w:val="24"/>
        <w:szCs w:val="24"/>
      </w:rPr>
      <w:fldChar w:fldCharType="end"/>
    </w:r>
  </w:p>
  <w:p w14:paraId="16DF042D" w14:textId="77777777" w:rsidR="006F1DFF" w:rsidRDefault="006F1DF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2F82C" w14:textId="77777777" w:rsidR="00921D54" w:rsidRDefault="00921D54">
      <w:pPr>
        <w:spacing w:after="0" w:line="240" w:lineRule="auto"/>
      </w:pPr>
      <w:r>
        <w:separator/>
      </w:r>
    </w:p>
  </w:footnote>
  <w:footnote w:type="continuationSeparator" w:id="0">
    <w:p w14:paraId="3D0FF205" w14:textId="77777777" w:rsidR="00921D54" w:rsidRDefault="00921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8C5AA" w14:textId="77777777" w:rsidR="006F1DFF" w:rsidRDefault="006F1DFF">
    <w:pPr>
      <w:widowControl w:val="0"/>
      <w:pBdr>
        <w:top w:val="nil"/>
        <w:left w:val="nil"/>
        <w:bottom w:val="nil"/>
        <w:right w:val="nil"/>
        <w:between w:val="nil"/>
      </w:pBdr>
      <w:spacing w:after="0" w:line="276" w:lineRule="auto"/>
      <w:jc w:val="left"/>
      <w:rPr>
        <w:color w:val="FF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F1DFF" w14:paraId="5D62BF7C" w14:textId="77777777">
      <w:trPr>
        <w:trHeight w:val="132"/>
      </w:trPr>
      <w:tc>
        <w:tcPr>
          <w:tcW w:w="2691" w:type="dxa"/>
        </w:tcPr>
        <w:p w14:paraId="15340C9D" w14:textId="77777777" w:rsidR="006F1DFF" w:rsidRDefault="003619CE">
          <w:pPr>
            <w:tabs>
              <w:tab w:val="right" w:pos="8838"/>
            </w:tabs>
            <w:ind w:right="-105"/>
            <w:rPr>
              <w:b/>
            </w:rPr>
          </w:pPr>
          <w:r>
            <w:rPr>
              <w:b/>
            </w:rPr>
            <w:t>Recurso de Revisión:</w:t>
          </w:r>
        </w:p>
      </w:tc>
      <w:tc>
        <w:tcPr>
          <w:tcW w:w="3405" w:type="dxa"/>
        </w:tcPr>
        <w:p w14:paraId="08D48E46" w14:textId="77777777" w:rsidR="006F1DFF" w:rsidRDefault="003619CE">
          <w:pPr>
            <w:tabs>
              <w:tab w:val="right" w:pos="8838"/>
            </w:tabs>
            <w:ind w:left="-28" w:right="-32"/>
          </w:pPr>
          <w:r>
            <w:t>03846/INFOEM/IP/RR/2020</w:t>
          </w:r>
        </w:p>
      </w:tc>
    </w:tr>
    <w:tr w:rsidR="006F1DFF" w14:paraId="5F355A0E" w14:textId="77777777">
      <w:trPr>
        <w:trHeight w:val="261"/>
      </w:trPr>
      <w:tc>
        <w:tcPr>
          <w:tcW w:w="2691" w:type="dxa"/>
        </w:tcPr>
        <w:p w14:paraId="3058F0C2" w14:textId="77777777" w:rsidR="006F1DFF" w:rsidRDefault="003619CE">
          <w:pPr>
            <w:tabs>
              <w:tab w:val="right" w:pos="8838"/>
            </w:tabs>
            <w:ind w:right="-105"/>
            <w:rPr>
              <w:b/>
            </w:rPr>
          </w:pPr>
          <w:r>
            <w:rPr>
              <w:b/>
            </w:rPr>
            <w:t>Sujeto Obligado:</w:t>
          </w:r>
        </w:p>
      </w:tc>
      <w:tc>
        <w:tcPr>
          <w:tcW w:w="3405" w:type="dxa"/>
        </w:tcPr>
        <w:p w14:paraId="5F190DDA" w14:textId="77777777" w:rsidR="006F1DFF" w:rsidRDefault="003619CE">
          <w:pPr>
            <w:tabs>
              <w:tab w:val="right" w:pos="8838"/>
            </w:tabs>
            <w:ind w:right="-32"/>
          </w:pPr>
          <w:r>
            <w:t>Ayuntamiento de Temascalcingo</w:t>
          </w:r>
        </w:p>
      </w:tc>
    </w:tr>
    <w:tr w:rsidR="006F1DFF" w14:paraId="2996A59D" w14:textId="77777777">
      <w:trPr>
        <w:trHeight w:val="261"/>
      </w:trPr>
      <w:tc>
        <w:tcPr>
          <w:tcW w:w="2691" w:type="dxa"/>
        </w:tcPr>
        <w:p w14:paraId="1CCCC093" w14:textId="77777777" w:rsidR="006F1DFF" w:rsidRDefault="003619CE">
          <w:pPr>
            <w:tabs>
              <w:tab w:val="right" w:pos="8838"/>
            </w:tabs>
            <w:ind w:right="-105"/>
            <w:rPr>
              <w:b/>
            </w:rPr>
          </w:pPr>
          <w:r>
            <w:rPr>
              <w:b/>
            </w:rPr>
            <w:t>Comisionado Ponente:</w:t>
          </w:r>
        </w:p>
      </w:tc>
      <w:tc>
        <w:tcPr>
          <w:tcW w:w="3405" w:type="dxa"/>
        </w:tcPr>
        <w:p w14:paraId="76049A0C" w14:textId="77777777" w:rsidR="006F1DFF" w:rsidRDefault="003619CE">
          <w:pPr>
            <w:tabs>
              <w:tab w:val="right" w:pos="8838"/>
            </w:tabs>
            <w:ind w:right="-32"/>
            <w:rPr>
              <w:b/>
            </w:rPr>
          </w:pPr>
          <w:r>
            <w:t>Luis Gustavo Parra Noriega</w:t>
          </w:r>
        </w:p>
      </w:tc>
    </w:tr>
  </w:tbl>
  <w:p w14:paraId="135C3734" w14:textId="77777777" w:rsidR="006F1DFF" w:rsidRDefault="00921D54">
    <w:pPr>
      <w:pBdr>
        <w:top w:val="nil"/>
        <w:left w:val="nil"/>
        <w:bottom w:val="nil"/>
        <w:right w:val="nil"/>
        <w:between w:val="nil"/>
      </w:pBdr>
      <w:tabs>
        <w:tab w:val="center" w:pos="4419"/>
        <w:tab w:val="right" w:pos="8838"/>
      </w:tabs>
      <w:spacing w:after="0" w:line="240" w:lineRule="auto"/>
      <w:rPr>
        <w:color w:val="000000"/>
      </w:rPr>
    </w:pPr>
    <w:r>
      <w:rPr>
        <w:color w:val="000000"/>
      </w:rPr>
      <w:pict w14:anchorId="113FC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7F4AC" w14:textId="77777777" w:rsidR="006F1DFF" w:rsidRDefault="006F1DFF">
    <w:pPr>
      <w:widowControl w:val="0"/>
      <w:pBdr>
        <w:top w:val="nil"/>
        <w:left w:val="nil"/>
        <w:bottom w:val="nil"/>
        <w:right w:val="nil"/>
        <w:between w:val="nil"/>
      </w:pBdr>
      <w:spacing w:after="0" w:line="276" w:lineRule="auto"/>
      <w:jc w:val="left"/>
      <w:rPr>
        <w:color w:val="000000"/>
      </w:rPr>
    </w:pPr>
  </w:p>
  <w:tbl>
    <w:tblPr>
      <w:tblStyle w:val="a0"/>
      <w:tblW w:w="7087"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551"/>
      <w:gridCol w:w="4536"/>
    </w:tblGrid>
    <w:tr w:rsidR="006F1DFF" w14:paraId="6DFF36AF" w14:textId="77777777">
      <w:trPr>
        <w:trHeight w:val="138"/>
      </w:trPr>
      <w:tc>
        <w:tcPr>
          <w:tcW w:w="2551" w:type="dxa"/>
        </w:tcPr>
        <w:p w14:paraId="3C724CCA" w14:textId="77777777" w:rsidR="006F1DFF" w:rsidRDefault="003619CE">
          <w:pPr>
            <w:tabs>
              <w:tab w:val="right" w:pos="8838"/>
            </w:tabs>
            <w:ind w:right="-105"/>
            <w:jc w:val="left"/>
            <w:rPr>
              <w:b/>
            </w:rPr>
          </w:pPr>
          <w:r>
            <w:rPr>
              <w:b/>
            </w:rPr>
            <w:t>Recurso de Revisión:</w:t>
          </w:r>
        </w:p>
      </w:tc>
      <w:tc>
        <w:tcPr>
          <w:tcW w:w="4536" w:type="dxa"/>
        </w:tcPr>
        <w:p w14:paraId="07F8C737" w14:textId="77777777" w:rsidR="006F1DFF" w:rsidRDefault="003619CE">
          <w:pPr>
            <w:tabs>
              <w:tab w:val="right" w:pos="8838"/>
            </w:tabs>
            <w:ind w:left="-113" w:right="57"/>
          </w:pPr>
          <w:r>
            <w:t>06601/INFOEM/IP/RR/2025</w:t>
          </w:r>
        </w:p>
      </w:tc>
    </w:tr>
    <w:tr w:rsidR="006F1DFF" w14:paraId="35E29238" w14:textId="77777777">
      <w:trPr>
        <w:trHeight w:val="273"/>
      </w:trPr>
      <w:tc>
        <w:tcPr>
          <w:tcW w:w="2551" w:type="dxa"/>
        </w:tcPr>
        <w:p w14:paraId="72E1D022" w14:textId="77777777" w:rsidR="006F1DFF" w:rsidRDefault="003619CE">
          <w:pPr>
            <w:tabs>
              <w:tab w:val="right" w:pos="8838"/>
            </w:tabs>
            <w:ind w:right="-105"/>
            <w:rPr>
              <w:b/>
            </w:rPr>
          </w:pPr>
          <w:r>
            <w:rPr>
              <w:b/>
            </w:rPr>
            <w:t>Sujeto Obligado:</w:t>
          </w:r>
        </w:p>
      </w:tc>
      <w:tc>
        <w:tcPr>
          <w:tcW w:w="4536" w:type="dxa"/>
        </w:tcPr>
        <w:p w14:paraId="5BFA8C3B" w14:textId="77777777" w:rsidR="006F1DFF" w:rsidRDefault="003619CE">
          <w:pPr>
            <w:tabs>
              <w:tab w:val="left" w:pos="2728"/>
              <w:tab w:val="right" w:pos="8838"/>
            </w:tabs>
            <w:ind w:left="-113"/>
          </w:pPr>
          <w:r>
            <w:t>Ayuntamiento de Atlautla</w:t>
          </w:r>
        </w:p>
      </w:tc>
    </w:tr>
    <w:tr w:rsidR="006F1DFF" w14:paraId="74575B59" w14:textId="77777777">
      <w:trPr>
        <w:trHeight w:val="273"/>
      </w:trPr>
      <w:tc>
        <w:tcPr>
          <w:tcW w:w="2551" w:type="dxa"/>
        </w:tcPr>
        <w:p w14:paraId="50103F91" w14:textId="77777777" w:rsidR="006F1DFF" w:rsidRDefault="003619CE">
          <w:pPr>
            <w:tabs>
              <w:tab w:val="right" w:pos="8838"/>
            </w:tabs>
            <w:ind w:right="-105"/>
            <w:rPr>
              <w:b/>
            </w:rPr>
          </w:pPr>
          <w:r>
            <w:rPr>
              <w:b/>
            </w:rPr>
            <w:t>Comisionado Ponente:</w:t>
          </w:r>
        </w:p>
      </w:tc>
      <w:tc>
        <w:tcPr>
          <w:tcW w:w="4536" w:type="dxa"/>
        </w:tcPr>
        <w:p w14:paraId="1A63739F" w14:textId="77777777" w:rsidR="006F1DFF" w:rsidRDefault="003619CE">
          <w:pPr>
            <w:tabs>
              <w:tab w:val="right" w:pos="8838"/>
            </w:tabs>
            <w:ind w:left="-113" w:right="-170"/>
            <w:rPr>
              <w:b/>
            </w:rPr>
          </w:pPr>
          <w:r>
            <w:t>Luis Gustavo Parra Noriega</w:t>
          </w:r>
        </w:p>
      </w:tc>
    </w:tr>
  </w:tbl>
  <w:p w14:paraId="56585533" w14:textId="77777777" w:rsidR="006F1DFF" w:rsidRDefault="00921D54">
    <w:pPr>
      <w:pBdr>
        <w:top w:val="nil"/>
        <w:left w:val="nil"/>
        <w:bottom w:val="nil"/>
        <w:right w:val="nil"/>
        <w:between w:val="nil"/>
      </w:pBdr>
      <w:tabs>
        <w:tab w:val="center" w:pos="4419"/>
        <w:tab w:val="right" w:pos="8838"/>
      </w:tabs>
      <w:spacing w:after="0" w:line="240" w:lineRule="auto"/>
      <w:rPr>
        <w:color w:val="000000"/>
      </w:rPr>
    </w:pPr>
    <w:r>
      <w:rPr>
        <w:color w:val="000000"/>
      </w:rPr>
      <w:pict w14:anchorId="5813B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33495" w14:textId="77777777" w:rsidR="006F1DFF" w:rsidRDefault="006F1DFF">
    <w:pPr>
      <w:widowControl w:val="0"/>
      <w:pBdr>
        <w:top w:val="nil"/>
        <w:left w:val="nil"/>
        <w:bottom w:val="nil"/>
        <w:right w:val="nil"/>
        <w:between w:val="nil"/>
      </w:pBdr>
      <w:spacing w:after="0" w:line="276" w:lineRule="auto"/>
      <w:jc w:val="left"/>
      <w:rPr>
        <w:color w:val="000000"/>
      </w:rPr>
    </w:pPr>
  </w:p>
  <w:tbl>
    <w:tblPr>
      <w:tblStyle w:val="a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6F1DFF" w14:paraId="21C688C7" w14:textId="77777777">
      <w:trPr>
        <w:trHeight w:val="132"/>
      </w:trPr>
      <w:tc>
        <w:tcPr>
          <w:tcW w:w="2551" w:type="dxa"/>
        </w:tcPr>
        <w:p w14:paraId="676506E0" w14:textId="77777777" w:rsidR="006F1DFF" w:rsidRDefault="003619CE">
          <w:pPr>
            <w:tabs>
              <w:tab w:val="right" w:pos="8838"/>
            </w:tabs>
            <w:ind w:right="-105"/>
            <w:rPr>
              <w:b/>
            </w:rPr>
          </w:pPr>
          <w:r>
            <w:rPr>
              <w:b/>
            </w:rPr>
            <w:t>Recurso de Revisión:</w:t>
          </w:r>
        </w:p>
      </w:tc>
      <w:tc>
        <w:tcPr>
          <w:tcW w:w="4253" w:type="dxa"/>
        </w:tcPr>
        <w:p w14:paraId="29C5BBE8" w14:textId="77777777" w:rsidR="006F1DFF" w:rsidRDefault="003619CE">
          <w:pPr>
            <w:tabs>
              <w:tab w:val="right" w:pos="8838"/>
            </w:tabs>
            <w:ind w:left="-113" w:right="-32"/>
          </w:pPr>
          <w:r>
            <w:t>06601/INFOEM/IP/RR/2025</w:t>
          </w:r>
        </w:p>
      </w:tc>
    </w:tr>
    <w:tr w:rsidR="006F1DFF" w14:paraId="22910973" w14:textId="77777777">
      <w:trPr>
        <w:trHeight w:val="132"/>
      </w:trPr>
      <w:tc>
        <w:tcPr>
          <w:tcW w:w="2551" w:type="dxa"/>
        </w:tcPr>
        <w:p w14:paraId="5879F76F" w14:textId="77777777" w:rsidR="006F1DFF" w:rsidRDefault="003619CE">
          <w:pPr>
            <w:tabs>
              <w:tab w:val="left" w:pos="1875"/>
            </w:tabs>
            <w:ind w:right="-105"/>
            <w:rPr>
              <w:b/>
            </w:rPr>
          </w:pPr>
          <w:r>
            <w:rPr>
              <w:b/>
            </w:rPr>
            <w:t>Recurrente:</w:t>
          </w:r>
          <w:r>
            <w:rPr>
              <w:b/>
            </w:rPr>
            <w:tab/>
          </w:r>
        </w:p>
      </w:tc>
      <w:tc>
        <w:tcPr>
          <w:tcW w:w="4253" w:type="dxa"/>
        </w:tcPr>
        <w:p w14:paraId="5A163F8E" w14:textId="37DE77FC" w:rsidR="006F1DFF" w:rsidRDefault="004479C4">
          <w:pPr>
            <w:tabs>
              <w:tab w:val="right" w:pos="8838"/>
            </w:tabs>
            <w:ind w:left="-113" w:right="-32"/>
          </w:pPr>
          <w:r w:rsidRPr="004479C4">
            <w:rPr>
              <w:highlight w:val="black"/>
            </w:rPr>
            <w:t>XXXXXXXXXXXXXXXXXXXX</w:t>
          </w:r>
        </w:p>
      </w:tc>
    </w:tr>
    <w:tr w:rsidR="006F1DFF" w14:paraId="6D477750" w14:textId="77777777">
      <w:trPr>
        <w:trHeight w:val="261"/>
      </w:trPr>
      <w:tc>
        <w:tcPr>
          <w:tcW w:w="2551" w:type="dxa"/>
        </w:tcPr>
        <w:p w14:paraId="3124329B" w14:textId="77777777" w:rsidR="006F1DFF" w:rsidRDefault="003619CE">
          <w:pPr>
            <w:tabs>
              <w:tab w:val="right" w:pos="8838"/>
            </w:tabs>
            <w:ind w:right="-105"/>
            <w:rPr>
              <w:b/>
            </w:rPr>
          </w:pPr>
          <w:r>
            <w:rPr>
              <w:b/>
            </w:rPr>
            <w:t>Sujeto Obligado:</w:t>
          </w:r>
        </w:p>
      </w:tc>
      <w:tc>
        <w:tcPr>
          <w:tcW w:w="4253" w:type="dxa"/>
        </w:tcPr>
        <w:p w14:paraId="54B63621" w14:textId="77777777" w:rsidR="006F1DFF" w:rsidRDefault="003619CE">
          <w:pPr>
            <w:tabs>
              <w:tab w:val="right" w:pos="8838"/>
            </w:tabs>
            <w:ind w:left="-113" w:right="-32"/>
          </w:pPr>
          <w:r>
            <w:t>Ayuntamiento de Atlautla</w:t>
          </w:r>
        </w:p>
      </w:tc>
    </w:tr>
    <w:tr w:rsidR="006F1DFF" w14:paraId="3EAA10FB" w14:textId="77777777">
      <w:trPr>
        <w:trHeight w:val="261"/>
      </w:trPr>
      <w:tc>
        <w:tcPr>
          <w:tcW w:w="2551" w:type="dxa"/>
        </w:tcPr>
        <w:p w14:paraId="69B92468" w14:textId="77777777" w:rsidR="006F1DFF" w:rsidRDefault="003619CE">
          <w:pPr>
            <w:tabs>
              <w:tab w:val="right" w:pos="8838"/>
            </w:tabs>
            <w:ind w:right="-105"/>
            <w:rPr>
              <w:b/>
            </w:rPr>
          </w:pPr>
          <w:r>
            <w:rPr>
              <w:b/>
            </w:rPr>
            <w:t>Comisionado Ponente:</w:t>
          </w:r>
        </w:p>
      </w:tc>
      <w:tc>
        <w:tcPr>
          <w:tcW w:w="4253" w:type="dxa"/>
        </w:tcPr>
        <w:p w14:paraId="7EB69CCB" w14:textId="77777777" w:rsidR="006F1DFF" w:rsidRDefault="003619CE">
          <w:pPr>
            <w:tabs>
              <w:tab w:val="right" w:pos="8838"/>
            </w:tabs>
            <w:ind w:left="-113" w:right="-32"/>
            <w:rPr>
              <w:b/>
            </w:rPr>
          </w:pPr>
          <w:r>
            <w:t>Luis Gustavo Parra Noriega</w:t>
          </w:r>
        </w:p>
      </w:tc>
    </w:tr>
  </w:tbl>
  <w:p w14:paraId="1D5A4321" w14:textId="77777777" w:rsidR="006F1DFF" w:rsidRDefault="00921D54">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07F8B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3.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5DA3"/>
    <w:multiLevelType w:val="multilevel"/>
    <w:tmpl w:val="24F2DA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C37060"/>
    <w:multiLevelType w:val="multilevel"/>
    <w:tmpl w:val="D224484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616829"/>
    <w:multiLevelType w:val="multilevel"/>
    <w:tmpl w:val="5E70614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105AA7"/>
    <w:multiLevelType w:val="multilevel"/>
    <w:tmpl w:val="2318D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1222D5"/>
    <w:multiLevelType w:val="multilevel"/>
    <w:tmpl w:val="F76ED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5672D4"/>
    <w:multiLevelType w:val="multilevel"/>
    <w:tmpl w:val="0A20E39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610A133E"/>
    <w:multiLevelType w:val="multilevel"/>
    <w:tmpl w:val="CD56D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2B0DFC"/>
    <w:multiLevelType w:val="multilevel"/>
    <w:tmpl w:val="6772D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9D49E4"/>
    <w:multiLevelType w:val="multilevel"/>
    <w:tmpl w:val="C270D1C8"/>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4"/>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FF"/>
    <w:rsid w:val="00015EAB"/>
    <w:rsid w:val="002010F3"/>
    <w:rsid w:val="00224895"/>
    <w:rsid w:val="002A4C1E"/>
    <w:rsid w:val="003619CE"/>
    <w:rsid w:val="004479C4"/>
    <w:rsid w:val="006F1DFF"/>
    <w:rsid w:val="007F1D7F"/>
    <w:rsid w:val="00921D54"/>
    <w:rsid w:val="009D778F"/>
    <w:rsid w:val="00B13D63"/>
    <w:rsid w:val="00BB29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35A2F"/>
  <w15:docId w15:val="{AAB3BE20-25A9-4E92-BE13-1214CDD7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5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sid w:val="00076681"/>
    <w:rPr>
      <w:rFonts w:asciiTheme="majorHAnsi" w:eastAsiaTheme="majorEastAsia" w:hAnsiTheme="majorHAnsi" w:cstheme="majorBidi"/>
      <w:color w:val="2F5496" w:themeColor="accent1" w:themeShade="BF"/>
      <w:kern w:val="0"/>
      <w:sz w:val="32"/>
      <w:szCs w:val="32"/>
    </w:rPr>
  </w:style>
  <w:style w:type="paragraph" w:styleId="TtuloTDC">
    <w:name w:val="TOC Heading"/>
    <w:next w:val="Normal"/>
    <w:uiPriority w:val="39"/>
    <w:unhideWhenUsed/>
    <w:qFormat/>
    <w:rsid w:val="00076681"/>
    <w:pPr>
      <w:jc w:val="left"/>
    </w:p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sz w:val="20"/>
      <w:szCs w:val="20"/>
      <w:lang w:eastAsia="es-ES"/>
    </w:rPr>
  </w:style>
  <w:style w:type="character" w:customStyle="1" w:styleId="Ttulo2Car">
    <w:name w:val="Título 2 Car"/>
    <w:basedOn w:val="Fuentedeprrafopredeter"/>
    <w:uiPriority w:val="9"/>
    <w:rsid w:val="00076681"/>
    <w:rPr>
      <w:rFonts w:asciiTheme="majorHAnsi" w:eastAsiaTheme="majorEastAsia" w:hAnsiTheme="majorHAnsi" w:cstheme="majorBidi"/>
      <w:color w:val="2F5496" w:themeColor="accent1" w:themeShade="BF"/>
      <w:kern w:val="0"/>
      <w:sz w:val="26"/>
      <w:szCs w:val="26"/>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character" w:customStyle="1" w:styleId="Mencinsinresolver5">
    <w:name w:val="Mención sin resolver5"/>
    <w:basedOn w:val="Fuentedeprrafopredeter"/>
    <w:uiPriority w:val="99"/>
    <w:semiHidden/>
    <w:unhideWhenUsed/>
    <w:rsid w:val="00F42620"/>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partados.hacienda.gob.mx/contabilidad/documentos/informe_cuenta/1998/cuenta_publica/Glosario/n.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transparenciapresupuestaria.gob.mx/es/PTP/Glosario" TargetMode="External"/><Relationship Id="rId14" Type="http://schemas.openxmlformats.org/officeDocument/2006/relationships/hyperlink" Target="http://secretariadoejecutivo.gob.mx/work/models/SecretariadoEjecutivo/Resource/328/1/images/instructivo_final_edo_fuerza(1).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xxEwSvQQx4O8BR4KRMnBv4RPjA==">CgMxLjAyDWgua202OGRnNDFkZ3oyDmguZDgxeHR1N3AwMmUyMg5oLnV5Nzg3YjhlOXVpYTIOaC41OXQ2dzBmODZuMGgyDmguZnRhZjMzazJnYmRjMg5oLmdvdzF1aXh6MHlzOTIOaC55bnRrNzVzZm12Y3gyDmguYXZmdDdlemY3dGg1Mg5oLm90M3FpNmR4MTN5ZDIOaC56NHU1dXJ6YWFxdXoyDmguMzJ6eHhocWc0MXZqMg5oLnR4em9ycHFjZXBtYTIOaC4xbHcyMXpxd3N6YjcyDmguZ2w5emMzNDJtNm5yMg5oLnFiY2I0NGg3eW14eDIOaC41dTJpbHVsZHRpeWc4AHIhMW5TVnM1aEZkODIzeV9WZXN3UkRndlRldUhnMDc4TVY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B403D7-9CDF-48FA-997C-5AC4E525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8558</Words>
  <Characters>47070</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hugoxgar@gmail.com</cp:lastModifiedBy>
  <cp:revision>4</cp:revision>
  <cp:lastPrinted>2025-08-29T11:59:00Z</cp:lastPrinted>
  <dcterms:created xsi:type="dcterms:W3CDTF">2025-08-29T11:59:00Z</dcterms:created>
  <dcterms:modified xsi:type="dcterms:W3CDTF">2025-09-23T16:19:00Z</dcterms:modified>
</cp:coreProperties>
</file>