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Palatino Linotype" w:hAnsi="Palatino Linotype" w:cs="Palatino Linotype"/>
          <w:color w:val="auto"/>
          <w:sz w:val="22"/>
          <w:szCs w:val="22"/>
          <w:lang w:val="es-ES"/>
        </w:rPr>
        <w:id w:val="-1270922727"/>
        <w:docPartObj>
          <w:docPartGallery w:val="Table of Contents"/>
          <w:docPartUnique/>
        </w:docPartObj>
      </w:sdtPr>
      <w:sdtEndPr>
        <w:rPr>
          <w:b/>
          <w:bCs/>
        </w:rPr>
      </w:sdtEndPr>
      <w:sdtContent>
        <w:p w14:paraId="5549DCB9" w14:textId="60B9FCB3" w:rsidR="00CC25A0" w:rsidRDefault="00CC25A0">
          <w:pPr>
            <w:pStyle w:val="TtulodeTDC"/>
          </w:pPr>
          <w:r>
            <w:rPr>
              <w:lang w:val="es-ES"/>
            </w:rPr>
            <w:t>Tabla de contenido</w:t>
          </w:r>
        </w:p>
        <w:p w14:paraId="4F7BB365" w14:textId="77777777" w:rsidR="00CC25A0" w:rsidRDefault="00CC25A0">
          <w:pPr>
            <w:pStyle w:val="TDC1"/>
            <w:tabs>
              <w:tab w:val="right" w:leader="dot" w:pos="9204"/>
            </w:tabs>
            <w:rPr>
              <w:rFonts w:asciiTheme="minorHAnsi" w:eastAsiaTheme="minorEastAsia" w:hAnsiTheme="minorHAnsi"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11523207" w:history="1">
            <w:r w:rsidRPr="005B1633">
              <w:rPr>
                <w:rStyle w:val="Hipervnculo"/>
                <w:noProof/>
              </w:rPr>
              <w:t>A N T E C E D E N T E S</w:t>
            </w:r>
            <w:r>
              <w:rPr>
                <w:noProof/>
                <w:webHidden/>
              </w:rPr>
              <w:tab/>
            </w:r>
            <w:r>
              <w:rPr>
                <w:noProof/>
                <w:webHidden/>
              </w:rPr>
              <w:fldChar w:fldCharType="begin"/>
            </w:r>
            <w:r>
              <w:rPr>
                <w:noProof/>
                <w:webHidden/>
              </w:rPr>
              <w:instrText xml:space="preserve"> PAGEREF _Toc211523207 \h </w:instrText>
            </w:r>
            <w:r>
              <w:rPr>
                <w:noProof/>
                <w:webHidden/>
              </w:rPr>
            </w:r>
            <w:r>
              <w:rPr>
                <w:noProof/>
                <w:webHidden/>
              </w:rPr>
              <w:fldChar w:fldCharType="separate"/>
            </w:r>
            <w:r w:rsidR="00A45D3B">
              <w:rPr>
                <w:noProof/>
                <w:webHidden/>
              </w:rPr>
              <w:t>2</w:t>
            </w:r>
            <w:r>
              <w:rPr>
                <w:noProof/>
                <w:webHidden/>
              </w:rPr>
              <w:fldChar w:fldCharType="end"/>
            </w:r>
          </w:hyperlink>
        </w:p>
        <w:p w14:paraId="579E0D1F" w14:textId="77777777" w:rsidR="00CC25A0" w:rsidRDefault="004743CD">
          <w:pPr>
            <w:pStyle w:val="TDC2"/>
            <w:tabs>
              <w:tab w:val="right" w:leader="dot" w:pos="9204"/>
            </w:tabs>
            <w:rPr>
              <w:rFonts w:asciiTheme="minorHAnsi" w:eastAsiaTheme="minorEastAsia" w:hAnsiTheme="minorHAnsi" w:cstheme="minorBidi"/>
              <w:noProof/>
            </w:rPr>
          </w:pPr>
          <w:hyperlink w:anchor="_Toc211523208" w:history="1">
            <w:r w:rsidR="00CC25A0" w:rsidRPr="005B1633">
              <w:rPr>
                <w:rStyle w:val="Hipervnculo"/>
                <w:noProof/>
              </w:rPr>
              <w:t>I. Presentación de la solicitud de información</w:t>
            </w:r>
            <w:r w:rsidR="00CC25A0">
              <w:rPr>
                <w:noProof/>
                <w:webHidden/>
              </w:rPr>
              <w:tab/>
            </w:r>
            <w:r w:rsidR="00CC25A0">
              <w:rPr>
                <w:noProof/>
                <w:webHidden/>
              </w:rPr>
              <w:fldChar w:fldCharType="begin"/>
            </w:r>
            <w:r w:rsidR="00CC25A0">
              <w:rPr>
                <w:noProof/>
                <w:webHidden/>
              </w:rPr>
              <w:instrText xml:space="preserve"> PAGEREF _Toc211523208 \h </w:instrText>
            </w:r>
            <w:r w:rsidR="00CC25A0">
              <w:rPr>
                <w:noProof/>
                <w:webHidden/>
              </w:rPr>
            </w:r>
            <w:r w:rsidR="00CC25A0">
              <w:rPr>
                <w:noProof/>
                <w:webHidden/>
              </w:rPr>
              <w:fldChar w:fldCharType="separate"/>
            </w:r>
            <w:r w:rsidR="00A45D3B">
              <w:rPr>
                <w:noProof/>
                <w:webHidden/>
              </w:rPr>
              <w:t>2</w:t>
            </w:r>
            <w:r w:rsidR="00CC25A0">
              <w:rPr>
                <w:noProof/>
                <w:webHidden/>
              </w:rPr>
              <w:fldChar w:fldCharType="end"/>
            </w:r>
          </w:hyperlink>
        </w:p>
        <w:p w14:paraId="656A3986" w14:textId="77777777" w:rsidR="00CC25A0" w:rsidRDefault="004743CD">
          <w:pPr>
            <w:pStyle w:val="TDC2"/>
            <w:tabs>
              <w:tab w:val="right" w:leader="dot" w:pos="9204"/>
            </w:tabs>
            <w:rPr>
              <w:rFonts w:asciiTheme="minorHAnsi" w:eastAsiaTheme="minorEastAsia" w:hAnsiTheme="minorHAnsi" w:cstheme="minorBidi"/>
              <w:noProof/>
            </w:rPr>
          </w:pPr>
          <w:hyperlink w:anchor="_Toc211523209" w:history="1">
            <w:r w:rsidR="00CC25A0" w:rsidRPr="005B1633">
              <w:rPr>
                <w:rStyle w:val="Hipervnculo"/>
                <w:noProof/>
              </w:rPr>
              <w:t>II. Respuesta del Sujeto Obligado</w:t>
            </w:r>
            <w:r w:rsidR="00CC25A0">
              <w:rPr>
                <w:noProof/>
                <w:webHidden/>
              </w:rPr>
              <w:tab/>
            </w:r>
            <w:r w:rsidR="00CC25A0">
              <w:rPr>
                <w:noProof/>
                <w:webHidden/>
              </w:rPr>
              <w:fldChar w:fldCharType="begin"/>
            </w:r>
            <w:r w:rsidR="00CC25A0">
              <w:rPr>
                <w:noProof/>
                <w:webHidden/>
              </w:rPr>
              <w:instrText xml:space="preserve"> PAGEREF _Toc211523209 \h </w:instrText>
            </w:r>
            <w:r w:rsidR="00CC25A0">
              <w:rPr>
                <w:noProof/>
                <w:webHidden/>
              </w:rPr>
            </w:r>
            <w:r w:rsidR="00CC25A0">
              <w:rPr>
                <w:noProof/>
                <w:webHidden/>
              </w:rPr>
              <w:fldChar w:fldCharType="separate"/>
            </w:r>
            <w:r w:rsidR="00A45D3B">
              <w:rPr>
                <w:noProof/>
                <w:webHidden/>
              </w:rPr>
              <w:t>2</w:t>
            </w:r>
            <w:r w:rsidR="00CC25A0">
              <w:rPr>
                <w:noProof/>
                <w:webHidden/>
              </w:rPr>
              <w:fldChar w:fldCharType="end"/>
            </w:r>
          </w:hyperlink>
        </w:p>
        <w:p w14:paraId="372DACA9" w14:textId="77777777" w:rsidR="00CC25A0" w:rsidRDefault="004743CD">
          <w:pPr>
            <w:pStyle w:val="TDC2"/>
            <w:tabs>
              <w:tab w:val="right" w:leader="dot" w:pos="9204"/>
            </w:tabs>
            <w:rPr>
              <w:rFonts w:asciiTheme="minorHAnsi" w:eastAsiaTheme="minorEastAsia" w:hAnsiTheme="minorHAnsi" w:cstheme="minorBidi"/>
              <w:noProof/>
            </w:rPr>
          </w:pPr>
          <w:hyperlink w:anchor="_Toc211523210" w:history="1">
            <w:r w:rsidR="00CC25A0" w:rsidRPr="005B1633">
              <w:rPr>
                <w:rStyle w:val="Hipervnculo"/>
                <w:noProof/>
              </w:rPr>
              <w:t>III. Interposición del Recurso de Revisión</w:t>
            </w:r>
            <w:r w:rsidR="00CC25A0">
              <w:rPr>
                <w:noProof/>
                <w:webHidden/>
              </w:rPr>
              <w:tab/>
            </w:r>
            <w:r w:rsidR="00CC25A0">
              <w:rPr>
                <w:noProof/>
                <w:webHidden/>
              </w:rPr>
              <w:fldChar w:fldCharType="begin"/>
            </w:r>
            <w:r w:rsidR="00CC25A0">
              <w:rPr>
                <w:noProof/>
                <w:webHidden/>
              </w:rPr>
              <w:instrText xml:space="preserve"> PAGEREF _Toc211523210 \h </w:instrText>
            </w:r>
            <w:r w:rsidR="00CC25A0">
              <w:rPr>
                <w:noProof/>
                <w:webHidden/>
              </w:rPr>
            </w:r>
            <w:r w:rsidR="00CC25A0">
              <w:rPr>
                <w:noProof/>
                <w:webHidden/>
              </w:rPr>
              <w:fldChar w:fldCharType="separate"/>
            </w:r>
            <w:r w:rsidR="00A45D3B">
              <w:rPr>
                <w:noProof/>
                <w:webHidden/>
              </w:rPr>
              <w:t>3</w:t>
            </w:r>
            <w:r w:rsidR="00CC25A0">
              <w:rPr>
                <w:noProof/>
                <w:webHidden/>
              </w:rPr>
              <w:fldChar w:fldCharType="end"/>
            </w:r>
          </w:hyperlink>
        </w:p>
        <w:p w14:paraId="6E45A735" w14:textId="77777777" w:rsidR="00CC25A0" w:rsidRDefault="004743CD">
          <w:pPr>
            <w:pStyle w:val="TDC2"/>
            <w:tabs>
              <w:tab w:val="right" w:leader="dot" w:pos="9204"/>
            </w:tabs>
            <w:rPr>
              <w:rFonts w:asciiTheme="minorHAnsi" w:eastAsiaTheme="minorEastAsia" w:hAnsiTheme="minorHAnsi" w:cstheme="minorBidi"/>
              <w:noProof/>
            </w:rPr>
          </w:pPr>
          <w:hyperlink w:anchor="_Toc211523211" w:history="1">
            <w:r w:rsidR="00CC25A0" w:rsidRPr="005B1633">
              <w:rPr>
                <w:rStyle w:val="Hipervnculo"/>
                <w:noProof/>
              </w:rPr>
              <w:t>IV. Trámite del Recurso de Revisión ante este Instituto</w:t>
            </w:r>
            <w:r w:rsidR="00CC25A0">
              <w:rPr>
                <w:noProof/>
                <w:webHidden/>
              </w:rPr>
              <w:tab/>
            </w:r>
            <w:r w:rsidR="00CC25A0">
              <w:rPr>
                <w:noProof/>
                <w:webHidden/>
              </w:rPr>
              <w:fldChar w:fldCharType="begin"/>
            </w:r>
            <w:r w:rsidR="00CC25A0">
              <w:rPr>
                <w:noProof/>
                <w:webHidden/>
              </w:rPr>
              <w:instrText xml:space="preserve"> PAGEREF _Toc211523211 \h </w:instrText>
            </w:r>
            <w:r w:rsidR="00CC25A0">
              <w:rPr>
                <w:noProof/>
                <w:webHidden/>
              </w:rPr>
            </w:r>
            <w:r w:rsidR="00CC25A0">
              <w:rPr>
                <w:noProof/>
                <w:webHidden/>
              </w:rPr>
              <w:fldChar w:fldCharType="separate"/>
            </w:r>
            <w:r w:rsidR="00A45D3B">
              <w:rPr>
                <w:noProof/>
                <w:webHidden/>
              </w:rPr>
              <w:t>4</w:t>
            </w:r>
            <w:r w:rsidR="00CC25A0">
              <w:rPr>
                <w:noProof/>
                <w:webHidden/>
              </w:rPr>
              <w:fldChar w:fldCharType="end"/>
            </w:r>
          </w:hyperlink>
        </w:p>
        <w:p w14:paraId="012C97F7" w14:textId="77777777" w:rsidR="00CC25A0" w:rsidRDefault="004743CD">
          <w:pPr>
            <w:pStyle w:val="TDC1"/>
            <w:tabs>
              <w:tab w:val="right" w:leader="dot" w:pos="9204"/>
            </w:tabs>
            <w:rPr>
              <w:rFonts w:asciiTheme="minorHAnsi" w:eastAsiaTheme="minorEastAsia" w:hAnsiTheme="minorHAnsi" w:cstheme="minorBidi"/>
              <w:noProof/>
            </w:rPr>
          </w:pPr>
          <w:hyperlink w:anchor="_Toc211523212" w:history="1">
            <w:r w:rsidR="00CC25A0" w:rsidRPr="005B1633">
              <w:rPr>
                <w:rStyle w:val="Hipervnculo"/>
                <w:noProof/>
              </w:rPr>
              <w:t>C O N S I D E R A N D O S</w:t>
            </w:r>
            <w:r w:rsidR="00CC25A0">
              <w:rPr>
                <w:noProof/>
                <w:webHidden/>
              </w:rPr>
              <w:tab/>
            </w:r>
            <w:r w:rsidR="00CC25A0">
              <w:rPr>
                <w:noProof/>
                <w:webHidden/>
              </w:rPr>
              <w:fldChar w:fldCharType="begin"/>
            </w:r>
            <w:r w:rsidR="00CC25A0">
              <w:rPr>
                <w:noProof/>
                <w:webHidden/>
              </w:rPr>
              <w:instrText xml:space="preserve"> PAGEREF _Toc211523212 \h </w:instrText>
            </w:r>
            <w:r w:rsidR="00CC25A0">
              <w:rPr>
                <w:noProof/>
                <w:webHidden/>
              </w:rPr>
            </w:r>
            <w:r w:rsidR="00CC25A0">
              <w:rPr>
                <w:noProof/>
                <w:webHidden/>
              </w:rPr>
              <w:fldChar w:fldCharType="separate"/>
            </w:r>
            <w:r w:rsidR="00A45D3B">
              <w:rPr>
                <w:noProof/>
                <w:webHidden/>
              </w:rPr>
              <w:t>5</w:t>
            </w:r>
            <w:r w:rsidR="00CC25A0">
              <w:rPr>
                <w:noProof/>
                <w:webHidden/>
              </w:rPr>
              <w:fldChar w:fldCharType="end"/>
            </w:r>
          </w:hyperlink>
        </w:p>
        <w:p w14:paraId="26CE8E03" w14:textId="77777777" w:rsidR="00CC25A0" w:rsidRDefault="004743CD">
          <w:pPr>
            <w:pStyle w:val="TDC2"/>
            <w:tabs>
              <w:tab w:val="right" w:leader="dot" w:pos="9204"/>
            </w:tabs>
            <w:rPr>
              <w:rFonts w:asciiTheme="minorHAnsi" w:eastAsiaTheme="minorEastAsia" w:hAnsiTheme="minorHAnsi" w:cstheme="minorBidi"/>
              <w:noProof/>
            </w:rPr>
          </w:pPr>
          <w:hyperlink w:anchor="_Toc211523213" w:history="1">
            <w:r w:rsidR="00CC25A0" w:rsidRPr="005B1633">
              <w:rPr>
                <w:rStyle w:val="Hipervnculo"/>
                <w:noProof/>
              </w:rPr>
              <w:t>PRIMERO. Competencia</w:t>
            </w:r>
            <w:r w:rsidR="00CC25A0">
              <w:rPr>
                <w:noProof/>
                <w:webHidden/>
              </w:rPr>
              <w:tab/>
            </w:r>
            <w:r w:rsidR="00CC25A0">
              <w:rPr>
                <w:noProof/>
                <w:webHidden/>
              </w:rPr>
              <w:fldChar w:fldCharType="begin"/>
            </w:r>
            <w:r w:rsidR="00CC25A0">
              <w:rPr>
                <w:noProof/>
                <w:webHidden/>
              </w:rPr>
              <w:instrText xml:space="preserve"> PAGEREF _Toc211523213 \h </w:instrText>
            </w:r>
            <w:r w:rsidR="00CC25A0">
              <w:rPr>
                <w:noProof/>
                <w:webHidden/>
              </w:rPr>
            </w:r>
            <w:r w:rsidR="00CC25A0">
              <w:rPr>
                <w:noProof/>
                <w:webHidden/>
              </w:rPr>
              <w:fldChar w:fldCharType="separate"/>
            </w:r>
            <w:r w:rsidR="00A45D3B">
              <w:rPr>
                <w:noProof/>
                <w:webHidden/>
              </w:rPr>
              <w:t>5</w:t>
            </w:r>
            <w:r w:rsidR="00CC25A0">
              <w:rPr>
                <w:noProof/>
                <w:webHidden/>
              </w:rPr>
              <w:fldChar w:fldCharType="end"/>
            </w:r>
          </w:hyperlink>
        </w:p>
        <w:p w14:paraId="5D2AD42B" w14:textId="77777777" w:rsidR="00CC25A0" w:rsidRDefault="004743CD">
          <w:pPr>
            <w:pStyle w:val="TDC2"/>
            <w:tabs>
              <w:tab w:val="right" w:leader="dot" w:pos="9204"/>
            </w:tabs>
            <w:rPr>
              <w:rFonts w:asciiTheme="minorHAnsi" w:eastAsiaTheme="minorEastAsia" w:hAnsiTheme="minorHAnsi" w:cstheme="minorBidi"/>
              <w:noProof/>
            </w:rPr>
          </w:pPr>
          <w:hyperlink w:anchor="_Toc211523214" w:history="1">
            <w:r w:rsidR="00CC25A0" w:rsidRPr="005B1633">
              <w:rPr>
                <w:rStyle w:val="Hipervnculo"/>
                <w:noProof/>
              </w:rPr>
              <w:t>SEGUNDO. Causales de improcedencia y sobreseimiento</w:t>
            </w:r>
            <w:r w:rsidR="00CC25A0">
              <w:rPr>
                <w:noProof/>
                <w:webHidden/>
              </w:rPr>
              <w:tab/>
            </w:r>
            <w:r w:rsidR="00CC25A0">
              <w:rPr>
                <w:noProof/>
                <w:webHidden/>
              </w:rPr>
              <w:fldChar w:fldCharType="begin"/>
            </w:r>
            <w:r w:rsidR="00CC25A0">
              <w:rPr>
                <w:noProof/>
                <w:webHidden/>
              </w:rPr>
              <w:instrText xml:space="preserve"> PAGEREF _Toc211523214 \h </w:instrText>
            </w:r>
            <w:r w:rsidR="00CC25A0">
              <w:rPr>
                <w:noProof/>
                <w:webHidden/>
              </w:rPr>
            </w:r>
            <w:r w:rsidR="00CC25A0">
              <w:rPr>
                <w:noProof/>
                <w:webHidden/>
              </w:rPr>
              <w:fldChar w:fldCharType="separate"/>
            </w:r>
            <w:r w:rsidR="00A45D3B">
              <w:rPr>
                <w:noProof/>
                <w:webHidden/>
              </w:rPr>
              <w:t>6</w:t>
            </w:r>
            <w:r w:rsidR="00CC25A0">
              <w:rPr>
                <w:noProof/>
                <w:webHidden/>
              </w:rPr>
              <w:fldChar w:fldCharType="end"/>
            </w:r>
          </w:hyperlink>
        </w:p>
        <w:p w14:paraId="4F1A5B1C" w14:textId="77777777" w:rsidR="00CC25A0" w:rsidRDefault="004743CD">
          <w:pPr>
            <w:pStyle w:val="TDC2"/>
            <w:tabs>
              <w:tab w:val="right" w:leader="dot" w:pos="9204"/>
            </w:tabs>
            <w:rPr>
              <w:rFonts w:asciiTheme="minorHAnsi" w:eastAsiaTheme="minorEastAsia" w:hAnsiTheme="minorHAnsi" w:cstheme="minorBidi"/>
              <w:noProof/>
            </w:rPr>
          </w:pPr>
          <w:hyperlink w:anchor="_Toc211523215" w:history="1">
            <w:r w:rsidR="00CC25A0" w:rsidRPr="005B1633">
              <w:rPr>
                <w:rStyle w:val="Hipervnculo"/>
                <w:noProof/>
              </w:rPr>
              <w:t>CUARTO. Marco normativo aplicable en materia de transparencia y acceso a la información pública</w:t>
            </w:r>
            <w:r w:rsidR="00CC25A0">
              <w:rPr>
                <w:noProof/>
                <w:webHidden/>
              </w:rPr>
              <w:tab/>
            </w:r>
            <w:r w:rsidR="00CC25A0">
              <w:rPr>
                <w:noProof/>
                <w:webHidden/>
              </w:rPr>
              <w:fldChar w:fldCharType="begin"/>
            </w:r>
            <w:r w:rsidR="00CC25A0">
              <w:rPr>
                <w:noProof/>
                <w:webHidden/>
              </w:rPr>
              <w:instrText xml:space="preserve"> PAGEREF _Toc211523215 \h </w:instrText>
            </w:r>
            <w:r w:rsidR="00CC25A0">
              <w:rPr>
                <w:noProof/>
                <w:webHidden/>
              </w:rPr>
            </w:r>
            <w:r w:rsidR="00CC25A0">
              <w:rPr>
                <w:noProof/>
                <w:webHidden/>
              </w:rPr>
              <w:fldChar w:fldCharType="separate"/>
            </w:r>
            <w:r w:rsidR="00A45D3B">
              <w:rPr>
                <w:noProof/>
                <w:webHidden/>
              </w:rPr>
              <w:t>8</w:t>
            </w:r>
            <w:r w:rsidR="00CC25A0">
              <w:rPr>
                <w:noProof/>
                <w:webHidden/>
              </w:rPr>
              <w:fldChar w:fldCharType="end"/>
            </w:r>
          </w:hyperlink>
        </w:p>
        <w:p w14:paraId="41262F77" w14:textId="77777777" w:rsidR="00CC25A0" w:rsidRDefault="004743CD">
          <w:pPr>
            <w:pStyle w:val="TDC2"/>
            <w:tabs>
              <w:tab w:val="right" w:leader="dot" w:pos="9204"/>
            </w:tabs>
            <w:rPr>
              <w:rFonts w:asciiTheme="minorHAnsi" w:eastAsiaTheme="minorEastAsia" w:hAnsiTheme="minorHAnsi" w:cstheme="minorBidi"/>
              <w:noProof/>
            </w:rPr>
          </w:pPr>
          <w:hyperlink w:anchor="_Toc211523216" w:history="1">
            <w:r w:rsidR="00CC25A0" w:rsidRPr="005B1633">
              <w:rPr>
                <w:rStyle w:val="Hipervnculo"/>
                <w:smallCaps/>
                <w:noProof/>
              </w:rPr>
              <w:t>QUINTO.</w:t>
            </w:r>
            <w:r w:rsidR="00CC25A0" w:rsidRPr="005B1633">
              <w:rPr>
                <w:rStyle w:val="Hipervnculo"/>
                <w:noProof/>
              </w:rPr>
              <w:t xml:space="preserve"> Estudio de Fondo</w:t>
            </w:r>
            <w:r w:rsidR="00CC25A0">
              <w:rPr>
                <w:noProof/>
                <w:webHidden/>
              </w:rPr>
              <w:tab/>
            </w:r>
            <w:r w:rsidR="00CC25A0">
              <w:rPr>
                <w:noProof/>
                <w:webHidden/>
              </w:rPr>
              <w:fldChar w:fldCharType="begin"/>
            </w:r>
            <w:r w:rsidR="00CC25A0">
              <w:rPr>
                <w:noProof/>
                <w:webHidden/>
              </w:rPr>
              <w:instrText xml:space="preserve"> PAGEREF _Toc211523216 \h </w:instrText>
            </w:r>
            <w:r w:rsidR="00CC25A0">
              <w:rPr>
                <w:noProof/>
                <w:webHidden/>
              </w:rPr>
            </w:r>
            <w:r w:rsidR="00CC25A0">
              <w:rPr>
                <w:noProof/>
                <w:webHidden/>
              </w:rPr>
              <w:fldChar w:fldCharType="separate"/>
            </w:r>
            <w:r w:rsidR="00A45D3B">
              <w:rPr>
                <w:noProof/>
                <w:webHidden/>
              </w:rPr>
              <w:t>9</w:t>
            </w:r>
            <w:r w:rsidR="00CC25A0">
              <w:rPr>
                <w:noProof/>
                <w:webHidden/>
              </w:rPr>
              <w:fldChar w:fldCharType="end"/>
            </w:r>
          </w:hyperlink>
        </w:p>
        <w:p w14:paraId="70F7D074" w14:textId="77777777" w:rsidR="00CC25A0" w:rsidRDefault="004743CD">
          <w:pPr>
            <w:pStyle w:val="TDC2"/>
            <w:tabs>
              <w:tab w:val="right" w:leader="dot" w:pos="9204"/>
            </w:tabs>
            <w:rPr>
              <w:rFonts w:asciiTheme="minorHAnsi" w:eastAsiaTheme="minorEastAsia" w:hAnsiTheme="minorHAnsi" w:cstheme="minorBidi"/>
              <w:noProof/>
            </w:rPr>
          </w:pPr>
          <w:hyperlink w:anchor="_Toc211523217" w:history="1">
            <w:r w:rsidR="00CC25A0" w:rsidRPr="005B1633">
              <w:rPr>
                <w:rStyle w:val="Hipervnculo"/>
                <w:noProof/>
              </w:rPr>
              <w:t>SEXTO. Decisión</w:t>
            </w:r>
            <w:r w:rsidR="00CC25A0">
              <w:rPr>
                <w:noProof/>
                <w:webHidden/>
              </w:rPr>
              <w:tab/>
            </w:r>
            <w:r w:rsidR="00CC25A0">
              <w:rPr>
                <w:noProof/>
                <w:webHidden/>
              </w:rPr>
              <w:fldChar w:fldCharType="begin"/>
            </w:r>
            <w:r w:rsidR="00CC25A0">
              <w:rPr>
                <w:noProof/>
                <w:webHidden/>
              </w:rPr>
              <w:instrText xml:space="preserve"> PAGEREF _Toc211523217 \h </w:instrText>
            </w:r>
            <w:r w:rsidR="00CC25A0">
              <w:rPr>
                <w:noProof/>
                <w:webHidden/>
              </w:rPr>
            </w:r>
            <w:r w:rsidR="00CC25A0">
              <w:rPr>
                <w:noProof/>
                <w:webHidden/>
              </w:rPr>
              <w:fldChar w:fldCharType="separate"/>
            </w:r>
            <w:r w:rsidR="00A45D3B">
              <w:rPr>
                <w:noProof/>
                <w:webHidden/>
              </w:rPr>
              <w:t>34</w:t>
            </w:r>
            <w:r w:rsidR="00CC25A0">
              <w:rPr>
                <w:noProof/>
                <w:webHidden/>
              </w:rPr>
              <w:fldChar w:fldCharType="end"/>
            </w:r>
          </w:hyperlink>
        </w:p>
        <w:p w14:paraId="6E04E561" w14:textId="77777777" w:rsidR="00CC25A0" w:rsidRDefault="004743CD">
          <w:pPr>
            <w:pStyle w:val="TDC1"/>
            <w:tabs>
              <w:tab w:val="right" w:leader="dot" w:pos="9204"/>
            </w:tabs>
            <w:rPr>
              <w:rFonts w:asciiTheme="minorHAnsi" w:eastAsiaTheme="minorEastAsia" w:hAnsiTheme="minorHAnsi" w:cstheme="minorBidi"/>
              <w:noProof/>
            </w:rPr>
          </w:pPr>
          <w:hyperlink w:anchor="_Toc211523218" w:history="1">
            <w:r w:rsidR="00CC25A0" w:rsidRPr="005B1633">
              <w:rPr>
                <w:rStyle w:val="Hipervnculo"/>
                <w:noProof/>
              </w:rPr>
              <w:t>R E S U E L V E</w:t>
            </w:r>
            <w:r w:rsidR="00CC25A0">
              <w:rPr>
                <w:noProof/>
                <w:webHidden/>
              </w:rPr>
              <w:tab/>
            </w:r>
            <w:r w:rsidR="00CC25A0">
              <w:rPr>
                <w:noProof/>
                <w:webHidden/>
              </w:rPr>
              <w:fldChar w:fldCharType="begin"/>
            </w:r>
            <w:r w:rsidR="00CC25A0">
              <w:rPr>
                <w:noProof/>
                <w:webHidden/>
              </w:rPr>
              <w:instrText xml:space="preserve"> PAGEREF _Toc211523218 \h </w:instrText>
            </w:r>
            <w:r w:rsidR="00CC25A0">
              <w:rPr>
                <w:noProof/>
                <w:webHidden/>
              </w:rPr>
            </w:r>
            <w:r w:rsidR="00CC25A0">
              <w:rPr>
                <w:noProof/>
                <w:webHidden/>
              </w:rPr>
              <w:fldChar w:fldCharType="separate"/>
            </w:r>
            <w:r w:rsidR="00A45D3B">
              <w:rPr>
                <w:noProof/>
                <w:webHidden/>
              </w:rPr>
              <w:t>34</w:t>
            </w:r>
            <w:r w:rsidR="00CC25A0">
              <w:rPr>
                <w:noProof/>
                <w:webHidden/>
              </w:rPr>
              <w:fldChar w:fldCharType="end"/>
            </w:r>
          </w:hyperlink>
        </w:p>
        <w:p w14:paraId="0DA576F5" w14:textId="4CE0A22A" w:rsidR="00CC25A0" w:rsidRDefault="00CC25A0">
          <w:r>
            <w:rPr>
              <w:b/>
              <w:bCs/>
              <w:lang w:val="es-ES"/>
            </w:rPr>
            <w:fldChar w:fldCharType="end"/>
          </w:r>
        </w:p>
      </w:sdtContent>
    </w:sdt>
    <w:p w14:paraId="79857601" w14:textId="77777777" w:rsidR="00542BCE" w:rsidRDefault="00542BCE">
      <w:pPr>
        <w:widowControl w:val="0"/>
        <w:pBdr>
          <w:top w:val="nil"/>
          <w:left w:val="nil"/>
          <w:bottom w:val="nil"/>
          <w:right w:val="nil"/>
          <w:between w:val="nil"/>
        </w:pBdr>
        <w:spacing w:after="0" w:line="276" w:lineRule="auto"/>
        <w:jc w:val="left"/>
      </w:pPr>
    </w:p>
    <w:p w14:paraId="100D0A43" w14:textId="77777777" w:rsidR="00542BCE" w:rsidRDefault="00542BCE">
      <w:pPr>
        <w:widowControl w:val="0"/>
        <w:pBdr>
          <w:top w:val="nil"/>
          <w:left w:val="nil"/>
          <w:bottom w:val="nil"/>
          <w:right w:val="nil"/>
          <w:between w:val="nil"/>
        </w:pBdr>
        <w:spacing w:after="0" w:line="276" w:lineRule="auto"/>
        <w:jc w:val="left"/>
      </w:pPr>
    </w:p>
    <w:p w14:paraId="0CD142C4" w14:textId="77777777" w:rsidR="00CC25A0" w:rsidRDefault="00CC25A0">
      <w:pPr>
        <w:rPr>
          <w:color w:val="2F5496"/>
        </w:rPr>
      </w:pPr>
      <w:r>
        <w:rPr>
          <w:color w:val="2F5496"/>
        </w:rPr>
        <w:br w:type="page"/>
      </w:r>
    </w:p>
    <w:p w14:paraId="6E321FE4" w14:textId="1B6BACCF" w:rsidR="00542BCE" w:rsidRPr="00CC25A0" w:rsidRDefault="00CC25A0">
      <w:pPr>
        <w:spacing w:after="0" w:line="360" w:lineRule="auto"/>
      </w:pPr>
      <w:r w:rsidRPr="00CC25A0">
        <w:lastRenderedPageBreak/>
        <w:t>Resolución del Pleno del Instituto de Transparencia, Acceso a la Información Pública y Protección de Datos Personales del Estado de México y Municipios, con domicilio en Metepec, Estado de México, de fecha quince de octubre de dos mil veinticinco.</w:t>
      </w:r>
    </w:p>
    <w:p w14:paraId="13FE4FC3" w14:textId="77777777" w:rsidR="00542BCE" w:rsidRPr="00CC25A0" w:rsidRDefault="00542BCE">
      <w:pPr>
        <w:spacing w:after="0" w:line="360" w:lineRule="auto"/>
        <w:rPr>
          <w:b/>
        </w:rPr>
      </w:pPr>
    </w:p>
    <w:p w14:paraId="1E46AEE7" w14:textId="5E4D83E0" w:rsidR="00542BCE" w:rsidRPr="00CC25A0" w:rsidRDefault="00CC25A0">
      <w:pPr>
        <w:spacing w:after="0" w:line="360" w:lineRule="auto"/>
      </w:pPr>
      <w:r w:rsidRPr="00CC25A0">
        <w:rPr>
          <w:b/>
        </w:rPr>
        <w:t>VISTO</w:t>
      </w:r>
      <w:r w:rsidRPr="00CC25A0">
        <w:t xml:space="preserve"> el expediente conformado con motivo del Recurso de Revisión </w:t>
      </w:r>
      <w:r w:rsidRPr="005208E6">
        <w:rPr>
          <w:b/>
        </w:rPr>
        <w:t>10926/INFOEM/IP/RR/2025</w:t>
      </w:r>
      <w:r w:rsidRPr="00CC25A0">
        <w:t xml:space="preserve">, interpuesto por la persona Recurrente o Particular, en contra de la respuesta del Sujeto Obligado, </w:t>
      </w:r>
      <w:r w:rsidRPr="005208E6">
        <w:rPr>
          <w:b/>
        </w:rPr>
        <w:t xml:space="preserve">Ayuntamiento de </w:t>
      </w:r>
      <w:proofErr w:type="spellStart"/>
      <w:r w:rsidRPr="005208E6">
        <w:rPr>
          <w:b/>
        </w:rPr>
        <w:t>Tezoyuca</w:t>
      </w:r>
      <w:proofErr w:type="spellEnd"/>
      <w:r w:rsidRPr="00CC25A0">
        <w:t>, se emite la presente Resolución, con base en los antecedentes y considerandos que se exponen a continuación:</w:t>
      </w:r>
    </w:p>
    <w:p w14:paraId="18B09D33" w14:textId="77777777" w:rsidR="00542BCE" w:rsidRPr="00CC25A0" w:rsidRDefault="00542BCE">
      <w:pPr>
        <w:spacing w:after="0" w:line="360" w:lineRule="auto"/>
      </w:pPr>
    </w:p>
    <w:p w14:paraId="4A8B79BB" w14:textId="77777777" w:rsidR="00542BCE" w:rsidRPr="00CC25A0" w:rsidRDefault="00CC25A0">
      <w:pPr>
        <w:pStyle w:val="Ttulo1"/>
        <w:spacing w:before="0" w:after="0"/>
        <w:rPr>
          <w:sz w:val="22"/>
          <w:szCs w:val="22"/>
        </w:rPr>
      </w:pPr>
      <w:bookmarkStart w:id="0" w:name="_heading=h.kt9vcf9ro8vo" w:colFirst="0" w:colLast="0"/>
      <w:bookmarkStart w:id="1" w:name="_Toc211523207"/>
      <w:bookmarkEnd w:id="0"/>
      <w:r w:rsidRPr="00CC25A0">
        <w:rPr>
          <w:sz w:val="22"/>
          <w:szCs w:val="22"/>
        </w:rPr>
        <w:t>A N T E C E D E N T E S</w:t>
      </w:r>
      <w:bookmarkEnd w:id="1"/>
    </w:p>
    <w:p w14:paraId="63C9CA5B" w14:textId="77777777" w:rsidR="00542BCE" w:rsidRPr="00CC25A0" w:rsidRDefault="00542BCE">
      <w:pPr>
        <w:spacing w:after="0" w:line="360" w:lineRule="auto"/>
      </w:pPr>
      <w:bookmarkStart w:id="2" w:name="_heading=h.gjdgxs" w:colFirst="0" w:colLast="0"/>
      <w:bookmarkEnd w:id="2"/>
    </w:p>
    <w:p w14:paraId="4F64F394" w14:textId="77777777" w:rsidR="00542BCE" w:rsidRPr="00CC25A0" w:rsidRDefault="00CC25A0">
      <w:pPr>
        <w:pStyle w:val="Ttulo2"/>
        <w:spacing w:before="0" w:after="0"/>
      </w:pPr>
      <w:bookmarkStart w:id="3" w:name="_heading=h.aqww1qcnp8e" w:colFirst="0" w:colLast="0"/>
      <w:bookmarkStart w:id="4" w:name="_Toc211523208"/>
      <w:bookmarkEnd w:id="3"/>
      <w:r w:rsidRPr="00CC25A0">
        <w:t>I. Presentación de la solicitud de información</w:t>
      </w:r>
      <w:bookmarkEnd w:id="4"/>
    </w:p>
    <w:p w14:paraId="6EE14B88" w14:textId="77777777" w:rsidR="00542BCE" w:rsidRPr="00CC25A0" w:rsidRDefault="00542BCE">
      <w:pPr>
        <w:tabs>
          <w:tab w:val="left" w:pos="567"/>
        </w:tabs>
        <w:spacing w:after="0" w:line="360" w:lineRule="auto"/>
      </w:pPr>
    </w:p>
    <w:p w14:paraId="541B8748" w14:textId="77777777" w:rsidR="00542BCE" w:rsidRPr="00CC25A0" w:rsidRDefault="00CC25A0">
      <w:pPr>
        <w:spacing w:after="0" w:line="360" w:lineRule="auto"/>
      </w:pPr>
      <w:bookmarkStart w:id="5" w:name="_heading=h.7z2hm1dstc2n" w:colFirst="0" w:colLast="0"/>
      <w:bookmarkEnd w:id="5"/>
      <w:r w:rsidRPr="00CC25A0">
        <w:t xml:space="preserve">Con fecha veintidós de agosto de dos mil veinticinco, la parte Solicitante presentó una solicitud de acceso a la información pública, a través del Sistema de Acceso a la Información Mexiquense, en lo sucesivo el SAIMEX, ante el Ayuntamiento de </w:t>
      </w:r>
      <w:proofErr w:type="spellStart"/>
      <w:r w:rsidRPr="00CC25A0">
        <w:t>Tezoyuca</w:t>
      </w:r>
      <w:proofErr w:type="spellEnd"/>
      <w:r w:rsidRPr="00CC25A0">
        <w:t>, en la que requirió lo siguiente:</w:t>
      </w:r>
    </w:p>
    <w:p w14:paraId="3F21BE22" w14:textId="77777777" w:rsidR="00542BCE" w:rsidRPr="00CC25A0" w:rsidRDefault="00542BCE">
      <w:pPr>
        <w:spacing w:after="0" w:line="360" w:lineRule="auto"/>
      </w:pPr>
    </w:p>
    <w:p w14:paraId="0C87E430" w14:textId="77777777" w:rsidR="00542BCE" w:rsidRPr="00CC25A0" w:rsidRDefault="00CC25A0">
      <w:pPr>
        <w:tabs>
          <w:tab w:val="left" w:pos="567"/>
        </w:tabs>
        <w:spacing w:after="0" w:line="360" w:lineRule="auto"/>
        <w:ind w:left="567" w:right="709"/>
        <w:rPr>
          <w:b/>
          <w:sz w:val="20"/>
          <w:szCs w:val="20"/>
        </w:rPr>
      </w:pPr>
      <w:r w:rsidRPr="00CC25A0">
        <w:rPr>
          <w:b/>
          <w:sz w:val="20"/>
          <w:szCs w:val="20"/>
        </w:rPr>
        <w:t>Folio de la solicitud: 00074/TEZOYUCA/IP/2025</w:t>
      </w:r>
    </w:p>
    <w:p w14:paraId="5449C400" w14:textId="77777777" w:rsidR="00542BCE" w:rsidRPr="00CC25A0" w:rsidRDefault="00CC25A0">
      <w:pPr>
        <w:tabs>
          <w:tab w:val="left" w:pos="567"/>
        </w:tabs>
        <w:spacing w:after="0" w:line="360" w:lineRule="auto"/>
        <w:ind w:left="567" w:right="709"/>
        <w:rPr>
          <w:b/>
          <w:sz w:val="20"/>
          <w:szCs w:val="20"/>
        </w:rPr>
      </w:pPr>
      <w:r w:rsidRPr="00CC25A0">
        <w:rPr>
          <w:b/>
          <w:sz w:val="20"/>
          <w:szCs w:val="20"/>
        </w:rPr>
        <w:t>DESCRIPCIÓN CLARA Y PRECISA DE LA INFORMACIÓN SOLICITADA</w:t>
      </w:r>
    </w:p>
    <w:p w14:paraId="2CF1278A" w14:textId="77777777" w:rsidR="00542BCE" w:rsidRPr="00CC25A0" w:rsidRDefault="00CC25A0">
      <w:pPr>
        <w:tabs>
          <w:tab w:val="left" w:pos="4667"/>
        </w:tabs>
        <w:spacing w:after="0" w:line="360" w:lineRule="auto"/>
        <w:ind w:left="567" w:right="709"/>
        <w:rPr>
          <w:i/>
          <w:sz w:val="20"/>
          <w:szCs w:val="20"/>
        </w:rPr>
      </w:pPr>
      <w:r w:rsidRPr="00CC25A0">
        <w:rPr>
          <w:i/>
          <w:sz w:val="20"/>
          <w:szCs w:val="20"/>
        </w:rPr>
        <w:t xml:space="preserve">“Solicito amablemente todos y cada uno de los recibos de nómina de todo </w:t>
      </w:r>
      <w:proofErr w:type="spellStart"/>
      <w:r w:rsidRPr="00CC25A0">
        <w:rPr>
          <w:i/>
          <w:sz w:val="20"/>
          <w:szCs w:val="20"/>
        </w:rPr>
        <w:t>el.personal</w:t>
      </w:r>
      <w:proofErr w:type="spellEnd"/>
      <w:r w:rsidRPr="00CC25A0">
        <w:rPr>
          <w:i/>
          <w:sz w:val="20"/>
          <w:szCs w:val="20"/>
        </w:rPr>
        <w:t xml:space="preserve"> de </w:t>
      </w:r>
      <w:proofErr w:type="spellStart"/>
      <w:r w:rsidRPr="00CC25A0">
        <w:rPr>
          <w:i/>
          <w:sz w:val="20"/>
          <w:szCs w:val="20"/>
        </w:rPr>
        <w:t>presidencia</w:t>
      </w:r>
      <w:proofErr w:type="gramStart"/>
      <w:r w:rsidRPr="00CC25A0">
        <w:rPr>
          <w:i/>
          <w:sz w:val="20"/>
          <w:szCs w:val="20"/>
        </w:rPr>
        <w:t>,protección</w:t>
      </w:r>
      <w:proofErr w:type="spellEnd"/>
      <w:proofErr w:type="gramEnd"/>
      <w:r w:rsidRPr="00CC25A0">
        <w:rPr>
          <w:i/>
          <w:sz w:val="20"/>
          <w:szCs w:val="20"/>
        </w:rPr>
        <w:t xml:space="preserve"> civil y seguridad pública del municipio de </w:t>
      </w:r>
      <w:proofErr w:type="spellStart"/>
      <w:r w:rsidRPr="00CC25A0">
        <w:rPr>
          <w:i/>
          <w:sz w:val="20"/>
          <w:szCs w:val="20"/>
        </w:rPr>
        <w:t>Tezoyuca</w:t>
      </w:r>
      <w:proofErr w:type="spellEnd"/>
      <w:r w:rsidRPr="00CC25A0">
        <w:rPr>
          <w:i/>
          <w:sz w:val="20"/>
          <w:szCs w:val="20"/>
        </w:rPr>
        <w:t>” (Sic.)</w:t>
      </w:r>
    </w:p>
    <w:p w14:paraId="3A86B66B" w14:textId="77777777" w:rsidR="00542BCE" w:rsidRPr="00CC25A0" w:rsidRDefault="00542BCE">
      <w:pPr>
        <w:tabs>
          <w:tab w:val="left" w:pos="4667"/>
        </w:tabs>
        <w:spacing w:after="0" w:line="360" w:lineRule="auto"/>
        <w:ind w:left="567" w:right="709"/>
        <w:rPr>
          <w:b/>
          <w:sz w:val="20"/>
          <w:szCs w:val="20"/>
        </w:rPr>
      </w:pPr>
    </w:p>
    <w:p w14:paraId="5D11062E" w14:textId="77777777" w:rsidR="00542BCE" w:rsidRPr="00CC25A0" w:rsidRDefault="00CC25A0">
      <w:pPr>
        <w:tabs>
          <w:tab w:val="left" w:pos="4667"/>
        </w:tabs>
        <w:spacing w:after="0" w:line="360" w:lineRule="auto"/>
        <w:ind w:left="567" w:right="709"/>
        <w:rPr>
          <w:b/>
          <w:sz w:val="20"/>
          <w:szCs w:val="20"/>
        </w:rPr>
      </w:pPr>
      <w:r w:rsidRPr="00CC25A0">
        <w:rPr>
          <w:b/>
          <w:sz w:val="20"/>
          <w:szCs w:val="20"/>
        </w:rPr>
        <w:t xml:space="preserve">MODALIDAD DE ENTREGA </w:t>
      </w:r>
      <w:r w:rsidRPr="00CC25A0">
        <w:rPr>
          <w:i/>
          <w:sz w:val="20"/>
          <w:szCs w:val="20"/>
        </w:rPr>
        <w:t>“A través del SAIMEX.”</w:t>
      </w:r>
    </w:p>
    <w:p w14:paraId="7126EE58" w14:textId="77777777" w:rsidR="00542BCE" w:rsidRPr="00CC25A0" w:rsidRDefault="00542BCE">
      <w:pPr>
        <w:tabs>
          <w:tab w:val="left" w:pos="4667"/>
        </w:tabs>
        <w:spacing w:after="0" w:line="360" w:lineRule="auto"/>
        <w:ind w:right="709"/>
        <w:rPr>
          <w:i/>
        </w:rPr>
      </w:pPr>
    </w:p>
    <w:p w14:paraId="7D92ABCA" w14:textId="77777777" w:rsidR="00542BCE" w:rsidRPr="00CC25A0" w:rsidRDefault="00CC25A0">
      <w:pPr>
        <w:pStyle w:val="Ttulo2"/>
        <w:spacing w:before="0" w:after="0"/>
      </w:pPr>
      <w:bookmarkStart w:id="6" w:name="_heading=h.1q516pml2fdr" w:colFirst="0" w:colLast="0"/>
      <w:bookmarkStart w:id="7" w:name="_Toc211523209"/>
      <w:bookmarkEnd w:id="6"/>
      <w:r w:rsidRPr="00CC25A0">
        <w:t>II. Respuesta del Sujeto Obligado</w:t>
      </w:r>
      <w:bookmarkEnd w:id="7"/>
    </w:p>
    <w:p w14:paraId="7ED54DF4" w14:textId="77777777" w:rsidR="00542BCE" w:rsidRPr="00CC25A0" w:rsidRDefault="00542BCE">
      <w:pPr>
        <w:spacing w:after="0" w:line="360" w:lineRule="auto"/>
      </w:pPr>
    </w:p>
    <w:p w14:paraId="581C874B" w14:textId="77777777" w:rsidR="00542BCE" w:rsidRPr="00CC25A0" w:rsidRDefault="00CC25A0">
      <w:pPr>
        <w:spacing w:after="0" w:line="360" w:lineRule="auto"/>
      </w:pPr>
      <w:r w:rsidRPr="00CC25A0">
        <w:lastRenderedPageBreak/>
        <w:t>El doce de septiembre de dos mil veinticinco, el Sujeto Obligado a través de SAIMEX, dio respuesta en los siguientes términos:</w:t>
      </w:r>
    </w:p>
    <w:p w14:paraId="597F399D" w14:textId="77777777" w:rsidR="00542BCE" w:rsidRPr="00CC25A0" w:rsidRDefault="00542BCE">
      <w:pPr>
        <w:spacing w:after="0" w:line="360" w:lineRule="auto"/>
      </w:pPr>
    </w:p>
    <w:p w14:paraId="00D20F0F" w14:textId="77777777" w:rsidR="00542BCE" w:rsidRPr="00CC25A0" w:rsidRDefault="00CC25A0">
      <w:pPr>
        <w:spacing w:after="0" w:line="360" w:lineRule="auto"/>
        <w:ind w:left="567" w:right="709"/>
        <w:rPr>
          <w:i/>
          <w:sz w:val="20"/>
          <w:szCs w:val="20"/>
        </w:rPr>
      </w:pPr>
      <w:r w:rsidRPr="00CC25A0">
        <w:rPr>
          <w:i/>
          <w:sz w:val="20"/>
          <w:szCs w:val="20"/>
        </w:rPr>
        <w:t>“…</w:t>
      </w:r>
    </w:p>
    <w:p w14:paraId="15986FD2" w14:textId="77777777" w:rsidR="00542BCE" w:rsidRPr="00CC25A0" w:rsidRDefault="00CC25A0">
      <w:pPr>
        <w:spacing w:after="0" w:line="360" w:lineRule="auto"/>
        <w:ind w:left="567" w:right="709"/>
        <w:rPr>
          <w:i/>
          <w:sz w:val="20"/>
          <w:szCs w:val="20"/>
        </w:rPr>
      </w:pPr>
      <w:r w:rsidRPr="00CC25A0">
        <w:rPr>
          <w:i/>
          <w:sz w:val="20"/>
          <w:szCs w:val="20"/>
        </w:rPr>
        <w:t>C. Solicitante. PRESENTE. Por este conducto me permito informar que, en atención a la solicitud realizada, se giró el requerimiento correspondiente al área competente para obtener la información solicitada. No obstante, hasta la fecha no se ha recibido respuesta alguna que permita proporcionar los datos requeridos. Sin más por el momento, quedo atenta a cualquier indicación adicional.</w:t>
      </w:r>
    </w:p>
    <w:p w14:paraId="140675B4" w14:textId="77777777" w:rsidR="00542BCE" w:rsidRPr="00CC25A0" w:rsidRDefault="00CC25A0">
      <w:pPr>
        <w:spacing w:after="0" w:line="360" w:lineRule="auto"/>
        <w:ind w:left="567" w:right="709"/>
        <w:rPr>
          <w:i/>
          <w:sz w:val="20"/>
          <w:szCs w:val="20"/>
        </w:rPr>
      </w:pPr>
      <w:r w:rsidRPr="00CC25A0">
        <w:rPr>
          <w:i/>
          <w:sz w:val="20"/>
          <w:szCs w:val="20"/>
        </w:rPr>
        <w:t>…”</w:t>
      </w:r>
    </w:p>
    <w:p w14:paraId="56DE3206" w14:textId="77777777" w:rsidR="00542BCE" w:rsidRPr="00CC25A0" w:rsidRDefault="00542BCE">
      <w:pPr>
        <w:spacing w:after="0" w:line="360" w:lineRule="auto"/>
      </w:pPr>
    </w:p>
    <w:p w14:paraId="2531F825" w14:textId="77777777" w:rsidR="00542BCE" w:rsidRPr="00CC25A0" w:rsidRDefault="00CC25A0">
      <w:pPr>
        <w:spacing w:after="0" w:line="360" w:lineRule="auto"/>
      </w:pPr>
      <w:r w:rsidRPr="00CC25A0">
        <w:t>Aunado a lo anterior adjuntó los siguientes documentos:</w:t>
      </w:r>
    </w:p>
    <w:p w14:paraId="63AE23E3" w14:textId="77777777" w:rsidR="00A3686C" w:rsidRPr="00CC25A0" w:rsidRDefault="00A3686C">
      <w:pPr>
        <w:spacing w:after="0" w:line="360" w:lineRule="auto"/>
      </w:pPr>
    </w:p>
    <w:p w14:paraId="09096B27" w14:textId="77777777" w:rsidR="00542BCE" w:rsidRPr="00CC25A0" w:rsidRDefault="00CC25A0">
      <w:pPr>
        <w:numPr>
          <w:ilvl w:val="0"/>
          <w:numId w:val="3"/>
        </w:numPr>
        <w:pBdr>
          <w:top w:val="nil"/>
          <w:left w:val="nil"/>
          <w:bottom w:val="nil"/>
          <w:right w:val="nil"/>
          <w:between w:val="nil"/>
        </w:pBdr>
        <w:spacing w:after="0" w:line="360" w:lineRule="auto"/>
        <w:rPr>
          <w:b/>
          <w:i/>
          <w:color w:val="000000"/>
        </w:rPr>
      </w:pPr>
      <w:r w:rsidRPr="00CC25A0">
        <w:rPr>
          <w:b/>
          <w:i/>
          <w:color w:val="000000"/>
        </w:rPr>
        <w:t xml:space="preserve">Of. 177..pdf; </w:t>
      </w:r>
      <w:r w:rsidRPr="00CC25A0">
        <w:rPr>
          <w:color w:val="000000"/>
        </w:rPr>
        <w:t xml:space="preserve"> del que se desprende un oficio suscrito por la Directora de la Unidad de Transparencia del Sujeto Obligado, dirigido a la Jefa de Recursos Humanos del Sujeto Obligado, en el que se le otorgó un término de tres días para que remitiera la información a la Unidad de Transparencia.  Del que se observa acuse de recibido de fecha veintiocho de agosto de dos mil veinticinco. </w:t>
      </w:r>
    </w:p>
    <w:p w14:paraId="49606420" w14:textId="77777777" w:rsidR="00542BCE" w:rsidRPr="00CC25A0" w:rsidRDefault="00542BCE">
      <w:pPr>
        <w:pBdr>
          <w:top w:val="nil"/>
          <w:left w:val="nil"/>
          <w:bottom w:val="nil"/>
          <w:right w:val="nil"/>
          <w:between w:val="nil"/>
        </w:pBdr>
        <w:spacing w:after="0" w:line="360" w:lineRule="auto"/>
        <w:ind w:left="720"/>
        <w:rPr>
          <w:b/>
          <w:i/>
          <w:color w:val="000000"/>
        </w:rPr>
      </w:pPr>
    </w:p>
    <w:p w14:paraId="11EDF8DE" w14:textId="77777777" w:rsidR="00542BCE" w:rsidRPr="00CC25A0" w:rsidRDefault="00CC25A0">
      <w:pPr>
        <w:numPr>
          <w:ilvl w:val="0"/>
          <w:numId w:val="3"/>
        </w:numPr>
        <w:pBdr>
          <w:top w:val="nil"/>
          <w:left w:val="nil"/>
          <w:bottom w:val="nil"/>
          <w:right w:val="nil"/>
          <w:between w:val="nil"/>
        </w:pBdr>
        <w:spacing w:after="0" w:line="360" w:lineRule="auto"/>
        <w:rPr>
          <w:b/>
          <w:i/>
          <w:color w:val="000000"/>
        </w:rPr>
      </w:pPr>
      <w:r w:rsidRPr="00CC25A0">
        <w:rPr>
          <w:b/>
          <w:i/>
          <w:color w:val="000000"/>
        </w:rPr>
        <w:t xml:space="preserve">Of. 187..pdf; </w:t>
      </w:r>
      <w:r w:rsidRPr="00CC25A0">
        <w:rPr>
          <w:color w:val="000000"/>
        </w:rPr>
        <w:t>del que se advierte un oficio suscrito por la Directora de la Unidad de Transparencia del Sujeto Obligado, dirigido a la Jefa de Recursos Humanos del Sujeto Obligado, en el que reiteró la solicitud para que remitiera la información a la Unidad de Transparencia.  Del que se observa acuse de recibido de fecha diez de septiembre de dos mil veinticinco.</w:t>
      </w:r>
    </w:p>
    <w:p w14:paraId="71711CEF" w14:textId="77777777" w:rsidR="00542BCE" w:rsidRPr="00CC25A0" w:rsidRDefault="00542BCE">
      <w:pPr>
        <w:spacing w:after="0" w:line="360" w:lineRule="auto"/>
      </w:pPr>
    </w:p>
    <w:p w14:paraId="1B6FF72F" w14:textId="77777777" w:rsidR="00542BCE" w:rsidRPr="00CC25A0" w:rsidRDefault="00CC25A0">
      <w:pPr>
        <w:pStyle w:val="Ttulo2"/>
        <w:spacing w:before="0" w:after="0"/>
      </w:pPr>
      <w:bookmarkStart w:id="8" w:name="_heading=h.4o7gq8kywulw" w:colFirst="0" w:colLast="0"/>
      <w:bookmarkStart w:id="9" w:name="_Toc211523210"/>
      <w:bookmarkEnd w:id="8"/>
      <w:r w:rsidRPr="00CC25A0">
        <w:t>III. Interposición del Recurso de Revisión</w:t>
      </w:r>
      <w:bookmarkEnd w:id="9"/>
    </w:p>
    <w:p w14:paraId="316A9161" w14:textId="77777777" w:rsidR="00542BCE" w:rsidRPr="00CC25A0" w:rsidRDefault="00542BCE">
      <w:pPr>
        <w:spacing w:after="0" w:line="360" w:lineRule="auto"/>
        <w:rPr>
          <w:b/>
        </w:rPr>
      </w:pPr>
    </w:p>
    <w:p w14:paraId="6057FEC4" w14:textId="77777777" w:rsidR="00542BCE" w:rsidRPr="00CC25A0" w:rsidRDefault="00CC25A0">
      <w:pPr>
        <w:spacing w:after="0" w:line="360" w:lineRule="auto"/>
      </w:pPr>
      <w:bookmarkStart w:id="10" w:name="_heading=h.2et92p0" w:colFirst="0" w:colLast="0"/>
      <w:bookmarkEnd w:id="10"/>
      <w:r w:rsidRPr="00CC25A0">
        <w:lastRenderedPageBreak/>
        <w:t>Con fecha veinte de septiembre de dos mil veinticinco, se recibió a través del SAIMEX, el Recurso de Revisión interpuesto por la persona Recurrente, el cual se radicó el veintidós de septiembre del mismo año, al tratarse del día siguiente hábil de conformidad con el calendario que para tales efectos emite el presente Organismo Garante, en los siguientes términos:</w:t>
      </w:r>
    </w:p>
    <w:p w14:paraId="2AD59ED0" w14:textId="77777777" w:rsidR="00542BCE" w:rsidRPr="00CC25A0" w:rsidRDefault="00542BCE">
      <w:pPr>
        <w:spacing w:after="0" w:line="360" w:lineRule="auto"/>
      </w:pPr>
    </w:p>
    <w:p w14:paraId="603A63D5" w14:textId="77777777" w:rsidR="00542BCE" w:rsidRPr="00CC25A0" w:rsidRDefault="00CC25A0">
      <w:pPr>
        <w:spacing w:after="0" w:line="360" w:lineRule="auto"/>
        <w:ind w:left="567" w:right="709"/>
        <w:rPr>
          <w:b/>
          <w:sz w:val="20"/>
          <w:szCs w:val="20"/>
        </w:rPr>
      </w:pPr>
      <w:r w:rsidRPr="00CC25A0">
        <w:rPr>
          <w:b/>
          <w:sz w:val="20"/>
          <w:szCs w:val="20"/>
        </w:rPr>
        <w:t>ACTO IMPUGNADO</w:t>
      </w:r>
      <w:r w:rsidRPr="00CC25A0">
        <w:rPr>
          <w:b/>
          <w:sz w:val="20"/>
          <w:szCs w:val="20"/>
        </w:rPr>
        <w:tab/>
      </w:r>
    </w:p>
    <w:p w14:paraId="3B14CD27" w14:textId="77777777" w:rsidR="00542BCE" w:rsidRPr="00CC25A0" w:rsidRDefault="00CC25A0">
      <w:pPr>
        <w:spacing w:after="0" w:line="360" w:lineRule="auto"/>
        <w:ind w:left="567" w:right="709"/>
        <w:rPr>
          <w:b/>
          <w:sz w:val="20"/>
          <w:szCs w:val="20"/>
        </w:rPr>
      </w:pPr>
      <w:r w:rsidRPr="00CC25A0">
        <w:rPr>
          <w:i/>
          <w:sz w:val="20"/>
          <w:szCs w:val="20"/>
        </w:rPr>
        <w:t>“No dio contestación a lo solicitado” (Sic.)</w:t>
      </w:r>
    </w:p>
    <w:p w14:paraId="280F24CA" w14:textId="77777777" w:rsidR="00542BCE" w:rsidRPr="00CC25A0" w:rsidRDefault="00542BCE">
      <w:pPr>
        <w:spacing w:after="0" w:line="360" w:lineRule="auto"/>
        <w:ind w:left="567" w:right="709"/>
        <w:rPr>
          <w:sz w:val="20"/>
          <w:szCs w:val="20"/>
        </w:rPr>
      </w:pPr>
    </w:p>
    <w:p w14:paraId="68032821" w14:textId="77777777" w:rsidR="00542BCE" w:rsidRPr="00CC25A0" w:rsidRDefault="00CC25A0">
      <w:pPr>
        <w:spacing w:after="0" w:line="360" w:lineRule="auto"/>
        <w:ind w:left="567" w:right="709"/>
        <w:rPr>
          <w:b/>
          <w:sz w:val="20"/>
          <w:szCs w:val="20"/>
        </w:rPr>
      </w:pPr>
      <w:r w:rsidRPr="00CC25A0">
        <w:rPr>
          <w:b/>
          <w:sz w:val="20"/>
          <w:szCs w:val="20"/>
        </w:rPr>
        <w:t>RAZONES O MOTIVOS DE LA INCONFORMIDAD</w:t>
      </w:r>
      <w:r w:rsidRPr="00CC25A0">
        <w:rPr>
          <w:b/>
          <w:sz w:val="20"/>
          <w:szCs w:val="20"/>
        </w:rPr>
        <w:tab/>
      </w:r>
    </w:p>
    <w:p w14:paraId="5C277685" w14:textId="77777777" w:rsidR="00542BCE" w:rsidRPr="00CC25A0" w:rsidRDefault="00CC25A0">
      <w:pPr>
        <w:tabs>
          <w:tab w:val="left" w:pos="4667"/>
        </w:tabs>
        <w:spacing w:after="0" w:line="360" w:lineRule="auto"/>
        <w:ind w:left="567" w:right="709"/>
        <w:rPr>
          <w:i/>
          <w:sz w:val="20"/>
          <w:szCs w:val="20"/>
        </w:rPr>
      </w:pPr>
      <w:r w:rsidRPr="00CC25A0">
        <w:rPr>
          <w:i/>
          <w:sz w:val="20"/>
          <w:szCs w:val="20"/>
        </w:rPr>
        <w:t>“No dio contestación a lo solicitado” (Sic.)</w:t>
      </w:r>
    </w:p>
    <w:p w14:paraId="70FAA1CF" w14:textId="77777777" w:rsidR="00542BCE" w:rsidRPr="00CC25A0" w:rsidRDefault="00542BCE">
      <w:pPr>
        <w:tabs>
          <w:tab w:val="left" w:pos="4667"/>
        </w:tabs>
        <w:spacing w:after="0" w:line="360" w:lineRule="auto"/>
      </w:pPr>
    </w:p>
    <w:p w14:paraId="5A1E65B4" w14:textId="77777777" w:rsidR="00542BCE" w:rsidRPr="00CC25A0" w:rsidRDefault="00CC25A0">
      <w:pPr>
        <w:pStyle w:val="Ttulo2"/>
        <w:spacing w:before="0" w:after="0"/>
      </w:pPr>
      <w:bookmarkStart w:id="11" w:name="_heading=h.hl4gg1rmhjmt" w:colFirst="0" w:colLast="0"/>
      <w:bookmarkStart w:id="12" w:name="_Toc211523211"/>
      <w:bookmarkEnd w:id="11"/>
      <w:r w:rsidRPr="00CC25A0">
        <w:t>IV. Trámite del Recurso de Revisión ante este Instituto</w:t>
      </w:r>
      <w:bookmarkEnd w:id="12"/>
    </w:p>
    <w:p w14:paraId="5B308C9F" w14:textId="77777777" w:rsidR="00542BCE" w:rsidRPr="00CC25A0" w:rsidRDefault="00542BCE">
      <w:pPr>
        <w:spacing w:after="0" w:line="360" w:lineRule="auto"/>
        <w:rPr>
          <w:b/>
        </w:rPr>
      </w:pPr>
    </w:p>
    <w:p w14:paraId="708F8E9E" w14:textId="77777777" w:rsidR="00542BCE" w:rsidRPr="00CC25A0" w:rsidRDefault="00CC25A0">
      <w:pPr>
        <w:spacing w:after="0" w:line="360" w:lineRule="auto"/>
      </w:pPr>
      <w:r w:rsidRPr="00CC25A0">
        <w:rPr>
          <w:b/>
        </w:rPr>
        <w:t>a) Turno del Medio de Impugnación.</w:t>
      </w:r>
      <w:r w:rsidRPr="00CC25A0">
        <w:t xml:space="preserve"> El veinte de septiembre de dos mil veinticinco, el SAIMEX, asignó el número de expediente</w:t>
      </w:r>
      <w:r w:rsidRPr="00CC25A0">
        <w:rPr>
          <w:b/>
        </w:rPr>
        <w:t xml:space="preserve"> 10926/INFOEM/IP/RR/2025, </w:t>
      </w:r>
      <w:r w:rsidRPr="00CC25A0">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4E5F41F4" w14:textId="77777777" w:rsidR="00542BCE" w:rsidRPr="00CC25A0" w:rsidRDefault="00542BCE">
      <w:pPr>
        <w:spacing w:after="0" w:line="360" w:lineRule="auto"/>
      </w:pPr>
    </w:p>
    <w:p w14:paraId="3771FF8A" w14:textId="77777777" w:rsidR="00542BCE" w:rsidRPr="00CC25A0" w:rsidRDefault="00CC25A0">
      <w:pPr>
        <w:spacing w:after="0" w:line="360" w:lineRule="auto"/>
      </w:pPr>
      <w:r w:rsidRPr="00CC25A0">
        <w:rPr>
          <w:b/>
        </w:rPr>
        <w:t>b) Admisión del Recurso de Revisión.</w:t>
      </w:r>
      <w:r w:rsidRPr="00CC25A0">
        <w:t xml:space="preserve"> El veinticinco de septiembre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la cual fue notificada a las partes en la misma fecha través del SAIMEX, en el que se les otorgó un plazo de siete días hábiles posteriores a la misma, para que manifestara lo que a su derecho conviniera y formularán alegatos.</w:t>
      </w:r>
    </w:p>
    <w:p w14:paraId="607F6309" w14:textId="77777777" w:rsidR="00542BCE" w:rsidRPr="00CC25A0" w:rsidRDefault="00CC25A0">
      <w:pPr>
        <w:spacing w:after="0" w:line="360" w:lineRule="auto"/>
        <w:rPr>
          <w:b/>
        </w:rPr>
      </w:pPr>
      <w:r w:rsidRPr="00CC25A0">
        <w:rPr>
          <w:b/>
        </w:rPr>
        <w:lastRenderedPageBreak/>
        <w:t xml:space="preserve">c) Informe Justificado y manifestaciones de la parte Recurrente. </w:t>
      </w:r>
      <w:r w:rsidRPr="00CC25A0">
        <w:t xml:space="preserve">De las constancias que obran en el SAIMEX, se advierte que el Sujeto Obligado no rindió informe justificado y la parte Recurrente no añadió manifestaciones. </w:t>
      </w:r>
    </w:p>
    <w:p w14:paraId="12074383" w14:textId="77777777" w:rsidR="00542BCE" w:rsidRPr="00CC25A0" w:rsidRDefault="00542BCE">
      <w:pPr>
        <w:spacing w:after="0" w:line="360" w:lineRule="auto"/>
      </w:pPr>
    </w:p>
    <w:p w14:paraId="3BB5BA01" w14:textId="77777777" w:rsidR="00542BCE" w:rsidRPr="00CC25A0" w:rsidRDefault="00CC25A0">
      <w:pPr>
        <w:spacing w:after="0" w:line="360" w:lineRule="auto"/>
      </w:pPr>
      <w:r w:rsidRPr="00CC25A0">
        <w:rPr>
          <w:b/>
        </w:rPr>
        <w:t>d) Cierre de instrucción.</w:t>
      </w:r>
      <w:r w:rsidRPr="00CC25A0">
        <w:t xml:space="preserve"> El siete de octubre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SAIMEX.</w:t>
      </w:r>
    </w:p>
    <w:p w14:paraId="45AD81CB" w14:textId="77777777" w:rsidR="00542BCE" w:rsidRPr="00CC25A0" w:rsidRDefault="00542BCE">
      <w:pPr>
        <w:spacing w:after="0" w:line="360" w:lineRule="auto"/>
      </w:pPr>
    </w:p>
    <w:p w14:paraId="2C5922E3" w14:textId="77777777" w:rsidR="00542BCE" w:rsidRPr="00CC25A0" w:rsidRDefault="00CC25A0">
      <w:pPr>
        <w:spacing w:after="0" w:line="360" w:lineRule="auto"/>
      </w:pPr>
      <w:r w:rsidRPr="00CC25A0">
        <w:t xml:space="preserve">En razón de que fue debidamente sustanciado e integrado el expediente electrónico y no existir diligencia pendiente de desahogo, se emite la resolución que conforme a Derecho proceda, de acuerdo a los siguientes: </w:t>
      </w:r>
    </w:p>
    <w:p w14:paraId="729C25A5" w14:textId="77777777" w:rsidR="00542BCE" w:rsidRPr="00CC25A0" w:rsidRDefault="00542BCE">
      <w:pPr>
        <w:spacing w:after="0" w:line="360" w:lineRule="auto"/>
      </w:pPr>
    </w:p>
    <w:p w14:paraId="6B5D1A35" w14:textId="77777777" w:rsidR="00542BCE" w:rsidRPr="00CC25A0" w:rsidRDefault="00CC25A0">
      <w:pPr>
        <w:pStyle w:val="Ttulo1"/>
        <w:spacing w:before="0" w:after="0"/>
        <w:rPr>
          <w:sz w:val="22"/>
          <w:szCs w:val="22"/>
        </w:rPr>
      </w:pPr>
      <w:bookmarkStart w:id="13" w:name="_heading=h.voc5vpz6iwkj" w:colFirst="0" w:colLast="0"/>
      <w:bookmarkStart w:id="14" w:name="_Toc211523212"/>
      <w:bookmarkEnd w:id="13"/>
      <w:r w:rsidRPr="00CC25A0">
        <w:rPr>
          <w:sz w:val="22"/>
          <w:szCs w:val="22"/>
        </w:rPr>
        <w:t>C O N S I D E R A N D O S</w:t>
      </w:r>
      <w:bookmarkEnd w:id="14"/>
    </w:p>
    <w:p w14:paraId="6DC3596A" w14:textId="77777777" w:rsidR="00542BCE" w:rsidRPr="00CC25A0" w:rsidRDefault="00542BCE">
      <w:pPr>
        <w:spacing w:after="0" w:line="360" w:lineRule="auto"/>
        <w:rPr>
          <w:b/>
        </w:rPr>
      </w:pPr>
    </w:p>
    <w:p w14:paraId="7A4A2294" w14:textId="77777777" w:rsidR="00542BCE" w:rsidRPr="00CC25A0" w:rsidRDefault="00CC25A0">
      <w:pPr>
        <w:pStyle w:val="Ttulo2"/>
        <w:spacing w:before="0" w:after="0"/>
      </w:pPr>
      <w:bookmarkStart w:id="15" w:name="_heading=h.vltx9apqs9q1" w:colFirst="0" w:colLast="0"/>
      <w:bookmarkStart w:id="16" w:name="_Toc211523213"/>
      <w:bookmarkEnd w:id="15"/>
      <w:r w:rsidRPr="00CC25A0">
        <w:t>PRIMERO. Competencia</w:t>
      </w:r>
      <w:bookmarkEnd w:id="16"/>
    </w:p>
    <w:p w14:paraId="091D7756" w14:textId="77777777" w:rsidR="00542BCE" w:rsidRPr="00CC25A0" w:rsidRDefault="00542BCE">
      <w:pPr>
        <w:spacing w:after="0" w:line="360" w:lineRule="auto"/>
      </w:pPr>
    </w:p>
    <w:p w14:paraId="4A77E38D" w14:textId="6435B9E1" w:rsidR="00542BCE" w:rsidRPr="00CC25A0" w:rsidRDefault="00CC25A0">
      <w:pPr>
        <w:spacing w:after="0" w:line="360" w:lineRule="auto"/>
      </w:pPr>
      <w:r w:rsidRPr="00CC25A0">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noveno, cuadragésimo y cuadragésimo primero de la Constitución Política del Estado Libre y Soberano de México; 1°, 2°, fracciones II y IV; 13, 29</w:t>
      </w:r>
      <w:r w:rsidR="00A3686C" w:rsidRPr="00CC25A0">
        <w:t>,</w:t>
      </w:r>
      <w:r w:rsidRPr="00CC25A0">
        <w:t xml:space="preserve"> 36, fracciones I y II; 176, 178, 179, 181 párrafo tercero, 185, 188 y 189 de la Ley Transparencia y Acceso a la Información Pública del Estado de México y Municipios: 7°, 9°, fracciones I y XXIII y 11 del Reglamento </w:t>
      </w:r>
      <w:r w:rsidRPr="00CC25A0">
        <w:lastRenderedPageBreak/>
        <w:t>Interior del Instituto de Transparencia, Acceso a la Información Pública y Protección de Datos Personales del Estado de México y Municipios.</w:t>
      </w:r>
    </w:p>
    <w:p w14:paraId="746172BC" w14:textId="77777777" w:rsidR="00542BCE" w:rsidRPr="00CC25A0" w:rsidRDefault="00542BCE">
      <w:pPr>
        <w:spacing w:after="0" w:line="360" w:lineRule="auto"/>
      </w:pPr>
    </w:p>
    <w:p w14:paraId="597B8052" w14:textId="77777777" w:rsidR="00542BCE" w:rsidRPr="00CC25A0" w:rsidRDefault="00CC25A0">
      <w:pPr>
        <w:pStyle w:val="Ttulo2"/>
        <w:spacing w:before="0" w:after="0"/>
      </w:pPr>
      <w:bookmarkStart w:id="17" w:name="_heading=h.fms1t7wuf7jf" w:colFirst="0" w:colLast="0"/>
      <w:bookmarkStart w:id="18" w:name="_Toc211523214"/>
      <w:bookmarkEnd w:id="17"/>
      <w:r w:rsidRPr="00CC25A0">
        <w:t>SEGUNDO. Causales de improcedencia y sobreseimiento</w:t>
      </w:r>
      <w:bookmarkEnd w:id="18"/>
    </w:p>
    <w:p w14:paraId="71F6A486" w14:textId="77777777" w:rsidR="00542BCE" w:rsidRPr="00CC25A0" w:rsidRDefault="00542BCE">
      <w:pPr>
        <w:spacing w:after="0" w:line="360" w:lineRule="auto"/>
      </w:pPr>
    </w:p>
    <w:p w14:paraId="1E12A79C" w14:textId="77777777" w:rsidR="00542BCE" w:rsidRPr="00CC25A0" w:rsidRDefault="00CC25A0">
      <w:pPr>
        <w:spacing w:after="0" w:line="360" w:lineRule="auto"/>
      </w:pPr>
      <w:r w:rsidRPr="00CC25A0">
        <w:t xml:space="preserve">De las constancias que forman parte del Recurso de Revisión que se analiza, se advierte que previo al estudio del fondo de la </w:t>
      </w:r>
      <w:proofErr w:type="spellStart"/>
      <w:r w:rsidRPr="00CC25A0">
        <w:rPr>
          <w:i/>
        </w:rPr>
        <w:t>litis</w:t>
      </w:r>
      <w:proofErr w:type="spellEnd"/>
      <w:r w:rsidRPr="00CC25A0">
        <w:t>, es necesario estudiar las causales de improcedencia y sobreseimiento que se adviertan, para determinar lo que en Derecho proceda.</w:t>
      </w:r>
    </w:p>
    <w:p w14:paraId="4CB4D9F9" w14:textId="77777777" w:rsidR="00542BCE" w:rsidRPr="00CC25A0" w:rsidRDefault="00542BCE">
      <w:pPr>
        <w:spacing w:after="0" w:line="360" w:lineRule="auto"/>
      </w:pPr>
    </w:p>
    <w:p w14:paraId="511AF82D" w14:textId="77777777" w:rsidR="00542BCE" w:rsidRPr="00CC25A0" w:rsidRDefault="00CC25A0">
      <w:pPr>
        <w:spacing w:after="0" w:line="360" w:lineRule="auto"/>
        <w:rPr>
          <w:b/>
        </w:rPr>
      </w:pPr>
      <w:r w:rsidRPr="00CC25A0">
        <w:rPr>
          <w:b/>
        </w:rPr>
        <w:t>Causales de improcedencia</w:t>
      </w:r>
    </w:p>
    <w:p w14:paraId="12AFC492" w14:textId="77777777" w:rsidR="00542BCE" w:rsidRPr="00CC25A0" w:rsidRDefault="00542BCE">
      <w:pPr>
        <w:spacing w:after="0" w:line="360" w:lineRule="auto"/>
      </w:pPr>
    </w:p>
    <w:p w14:paraId="7C14CFEE" w14:textId="77777777" w:rsidR="00542BCE" w:rsidRPr="00CC25A0" w:rsidRDefault="00CC25A0">
      <w:pPr>
        <w:spacing w:after="0" w:line="360" w:lineRule="auto"/>
      </w:pPr>
      <w:r w:rsidRPr="00CC25A0">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w:t>
      </w:r>
      <w:proofErr w:type="gramStart"/>
      <w:r w:rsidRPr="00CC25A0">
        <w:t>./</w:t>
      </w:r>
      <w:proofErr w:type="gramEnd"/>
      <w:r w:rsidRPr="00CC25A0">
        <w:t>J. 163/2005</w:t>
      </w:r>
      <w:r w:rsidRPr="00CC25A0">
        <w:rPr>
          <w:b/>
        </w:rPr>
        <w:t xml:space="preserve"> </w:t>
      </w:r>
      <w:r w:rsidRPr="00CC25A0">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4579D4D2" w14:textId="77777777" w:rsidR="00542BCE" w:rsidRPr="00CC25A0" w:rsidRDefault="00542BCE">
      <w:pPr>
        <w:spacing w:after="0" w:line="360" w:lineRule="auto"/>
      </w:pPr>
    </w:p>
    <w:p w14:paraId="6DE663C3" w14:textId="77777777" w:rsidR="00542BCE" w:rsidRPr="00CC25A0" w:rsidRDefault="00CC25A0">
      <w:pPr>
        <w:spacing w:after="0" w:line="360" w:lineRule="auto"/>
      </w:pPr>
      <w:r w:rsidRPr="00CC25A0">
        <w:t xml:space="preserve">En el presente caso, </w:t>
      </w:r>
      <w:r w:rsidRPr="00CC25A0">
        <w:rPr>
          <w:b/>
        </w:rPr>
        <w:t>no se actualiza ninguna de las causales de improcedencia</w:t>
      </w:r>
      <w:r w:rsidRPr="00CC25A0">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3A8E2A20" w14:textId="77777777" w:rsidR="00542BCE" w:rsidRPr="00CC25A0" w:rsidRDefault="00542BCE">
      <w:pPr>
        <w:spacing w:after="0" w:line="360" w:lineRule="auto"/>
        <w:rPr>
          <w:b/>
        </w:rPr>
      </w:pPr>
    </w:p>
    <w:p w14:paraId="7AF2D1E2" w14:textId="77777777" w:rsidR="00542BCE" w:rsidRPr="00CC25A0" w:rsidRDefault="00CC25A0">
      <w:pPr>
        <w:spacing w:after="0" w:line="360" w:lineRule="auto"/>
        <w:ind w:right="-28"/>
        <w:rPr>
          <w:b/>
        </w:rPr>
      </w:pPr>
      <w:r w:rsidRPr="00CC25A0">
        <w:rPr>
          <w:b/>
        </w:rPr>
        <w:lastRenderedPageBreak/>
        <w:t>Causales de sobreseimiento</w:t>
      </w:r>
    </w:p>
    <w:p w14:paraId="506AB726" w14:textId="77777777" w:rsidR="00542BCE" w:rsidRPr="00CC25A0" w:rsidRDefault="00542BCE">
      <w:pPr>
        <w:spacing w:after="0" w:line="360" w:lineRule="auto"/>
        <w:ind w:right="-28"/>
      </w:pPr>
    </w:p>
    <w:p w14:paraId="290103CC" w14:textId="77777777" w:rsidR="00542BCE" w:rsidRPr="00CC25A0" w:rsidRDefault="00CC25A0">
      <w:pPr>
        <w:spacing w:after="0" w:line="360" w:lineRule="auto"/>
      </w:pPr>
      <w:r w:rsidRPr="00CC25A0">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CC25A0">
        <w:rPr>
          <w:b/>
        </w:rPr>
        <w:t xml:space="preserve"> </w:t>
      </w:r>
      <w:r w:rsidRPr="00CC25A0">
        <w:t>toda vez que no hay constancias en el expediente en que se actúa, de que la persona Recurrente se haya desistido, fallecido, que el Sujeto Obligado hubiese modificado o revocado el acto impugnado o bien, que admitido una vez admitido el Recurso de Revisión, aparezca alguna causal de improcedencia o haya quedado sin materia.</w:t>
      </w:r>
    </w:p>
    <w:p w14:paraId="26FB7E88" w14:textId="77777777" w:rsidR="00542BCE" w:rsidRPr="00CC25A0" w:rsidRDefault="00542BCE">
      <w:pPr>
        <w:spacing w:after="0" w:line="360" w:lineRule="auto"/>
      </w:pPr>
    </w:p>
    <w:p w14:paraId="1931DD95" w14:textId="77777777" w:rsidR="00542BCE" w:rsidRPr="00CC25A0" w:rsidRDefault="00CC25A0">
      <w:pPr>
        <w:keepNext/>
        <w:keepLines/>
        <w:spacing w:after="0" w:line="360" w:lineRule="auto"/>
        <w:rPr>
          <w:b/>
        </w:rPr>
      </w:pPr>
      <w:bookmarkStart w:id="19" w:name="_heading=h.woh0hg82samv" w:colFirst="0" w:colLast="0"/>
      <w:bookmarkEnd w:id="19"/>
      <w:r w:rsidRPr="00CC25A0">
        <w:rPr>
          <w:b/>
        </w:rPr>
        <w:t>TERCERO. Determinación de la Controversia</w:t>
      </w:r>
    </w:p>
    <w:p w14:paraId="290E5D1F" w14:textId="77777777" w:rsidR="00542BCE" w:rsidRPr="00CC25A0" w:rsidRDefault="00542BCE">
      <w:pPr>
        <w:spacing w:after="0" w:line="360" w:lineRule="auto"/>
      </w:pPr>
    </w:p>
    <w:p w14:paraId="2CF7387E" w14:textId="778C0AD0" w:rsidR="00542BCE" w:rsidRPr="00CC25A0" w:rsidRDefault="00CC25A0" w:rsidP="00A3686C">
      <w:pPr>
        <w:spacing w:after="0" w:line="360" w:lineRule="auto"/>
      </w:pPr>
      <w:r w:rsidRPr="00CC25A0">
        <w:t xml:space="preserve">Así, se realizará la relatoría de las actuaciones efectuadas por las partes durante el procedimiento de acceso a la información pública con el propósito de dar claridad en el tratamiento del tema en estudio; por lo que en primer término tenemos que la parte Recurrente solicitó los recibos de nómina de todo el personal </w:t>
      </w:r>
      <w:r w:rsidR="00A3686C" w:rsidRPr="00CC25A0">
        <w:t>adscrito a la</w:t>
      </w:r>
      <w:r w:rsidRPr="00CC25A0">
        <w:t xml:space="preserve"> Presidencia, Protección Civil y Seguridad Pública del Municipio de </w:t>
      </w:r>
      <w:proofErr w:type="spellStart"/>
      <w:r w:rsidRPr="00CC25A0">
        <w:t>Tezoyuca</w:t>
      </w:r>
      <w:proofErr w:type="spellEnd"/>
      <w:r w:rsidRPr="00CC25A0">
        <w:t>.</w:t>
      </w:r>
    </w:p>
    <w:p w14:paraId="233EF8DD" w14:textId="77777777" w:rsidR="00542BCE" w:rsidRPr="00CC25A0" w:rsidRDefault="00542BCE">
      <w:pPr>
        <w:spacing w:after="0" w:line="360" w:lineRule="auto"/>
      </w:pPr>
    </w:p>
    <w:p w14:paraId="3AB66D48" w14:textId="77777777" w:rsidR="00542BCE" w:rsidRPr="00CC25A0" w:rsidRDefault="00CC25A0">
      <w:pPr>
        <w:spacing w:after="0" w:line="360" w:lineRule="auto"/>
      </w:pPr>
      <w:r w:rsidRPr="00CC25A0">
        <w:t>En este tenor, en respuesta el Sujeto Obligado</w:t>
      </w:r>
      <w:r w:rsidRPr="00CC25A0">
        <w:rPr>
          <w:b/>
        </w:rPr>
        <w:t xml:space="preserve">, </w:t>
      </w:r>
      <w:r w:rsidRPr="00CC25A0">
        <w:t xml:space="preserve">a través de la Directora de la Unidad de Transparencia informó que solicitó la información a la Jefa de Recursos Humanos, sin embargo, hasta la fecha de la respuesta, no le remitieron la información. </w:t>
      </w:r>
    </w:p>
    <w:p w14:paraId="038B2639" w14:textId="77777777" w:rsidR="00542BCE" w:rsidRPr="00CC25A0" w:rsidRDefault="00542BCE">
      <w:pPr>
        <w:spacing w:after="0" w:line="360" w:lineRule="auto"/>
      </w:pPr>
    </w:p>
    <w:p w14:paraId="0C45FBA1" w14:textId="763DB6D8" w:rsidR="00542BCE" w:rsidRPr="00CC25A0" w:rsidRDefault="00CC25A0" w:rsidP="00A3686C">
      <w:pPr>
        <w:tabs>
          <w:tab w:val="left" w:pos="4962"/>
        </w:tabs>
        <w:spacing w:after="0" w:line="360" w:lineRule="auto"/>
      </w:pPr>
      <w:r w:rsidRPr="00CC25A0">
        <w:t xml:space="preserve">Derivado de ello, la parte </w:t>
      </w:r>
      <w:r w:rsidRPr="00CC25A0">
        <w:rPr>
          <w:b/>
        </w:rPr>
        <w:t xml:space="preserve">Recurrente </w:t>
      </w:r>
      <w:r w:rsidRPr="00CC25A0">
        <w:t>se inconformó bajo el argumento de que no dieron respuesta a su solicitud</w:t>
      </w:r>
      <w:r w:rsidR="00A3686C" w:rsidRPr="00CC25A0">
        <w:t xml:space="preserve">; situación que actualiza la causal de procedencia señalada en el artículo 179, fracciones VI, de la Ley de la materia. </w:t>
      </w:r>
      <w:r w:rsidRPr="00CC25A0">
        <w:t xml:space="preserve">Durante la etapa de manifestaciones el </w:t>
      </w:r>
      <w:r w:rsidRPr="00CC25A0">
        <w:rPr>
          <w:b/>
        </w:rPr>
        <w:t xml:space="preserve">Sujeto </w:t>
      </w:r>
      <w:r w:rsidRPr="00CC25A0">
        <w:rPr>
          <w:b/>
        </w:rPr>
        <w:lastRenderedPageBreak/>
        <w:t xml:space="preserve">Obligado </w:t>
      </w:r>
      <w:r w:rsidRPr="00CC25A0">
        <w:t xml:space="preserve">omitió rendir informe justificado, mientras que a parte </w:t>
      </w:r>
      <w:r w:rsidRPr="00CC25A0">
        <w:rPr>
          <w:b/>
        </w:rPr>
        <w:t xml:space="preserve">Recurrente </w:t>
      </w:r>
      <w:r w:rsidRPr="00CC25A0">
        <w:t>fue omisa en añadir manifestaciones.</w:t>
      </w:r>
    </w:p>
    <w:p w14:paraId="73D2F553" w14:textId="77777777" w:rsidR="00542BCE" w:rsidRPr="00CC25A0" w:rsidRDefault="00542BCE">
      <w:pPr>
        <w:spacing w:after="0" w:line="360" w:lineRule="auto"/>
      </w:pPr>
    </w:p>
    <w:p w14:paraId="20F13D99" w14:textId="77777777" w:rsidR="00542BCE" w:rsidRPr="00CC25A0" w:rsidRDefault="00CC25A0">
      <w:pPr>
        <w:tabs>
          <w:tab w:val="left" w:pos="4962"/>
        </w:tabs>
        <w:spacing w:after="0" w:line="360" w:lineRule="auto"/>
      </w:pPr>
      <w:r w:rsidRPr="00CC25A0">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61D4DE10" w14:textId="77777777" w:rsidR="00542BCE" w:rsidRPr="00CC25A0" w:rsidRDefault="00542BCE"/>
    <w:p w14:paraId="4EB5B675" w14:textId="77777777" w:rsidR="00542BCE" w:rsidRPr="00CC25A0" w:rsidRDefault="00CC25A0">
      <w:pPr>
        <w:pStyle w:val="Ttulo2"/>
        <w:spacing w:before="0" w:after="0"/>
      </w:pPr>
      <w:bookmarkStart w:id="20" w:name="_heading=h.sjc7y5v0b6w8" w:colFirst="0" w:colLast="0"/>
      <w:bookmarkStart w:id="21" w:name="_Toc211523215"/>
      <w:bookmarkEnd w:id="20"/>
      <w:r w:rsidRPr="00CC25A0">
        <w:t>CUARTO. Marco normativo aplicable en materia de transparencia y acceso a la información pública</w:t>
      </w:r>
      <w:bookmarkEnd w:id="21"/>
    </w:p>
    <w:p w14:paraId="2C258C09" w14:textId="77777777" w:rsidR="00542BCE" w:rsidRPr="00CC25A0" w:rsidRDefault="00542BCE">
      <w:pPr>
        <w:spacing w:after="0" w:line="360" w:lineRule="auto"/>
      </w:pPr>
    </w:p>
    <w:p w14:paraId="3779ED77" w14:textId="77777777" w:rsidR="00542BCE" w:rsidRPr="00CC25A0" w:rsidRDefault="00CC25A0">
      <w:pPr>
        <w:spacing w:after="0" w:line="360" w:lineRule="auto"/>
      </w:pPr>
      <w:r w:rsidRPr="00CC25A0">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5B97D0E9" w14:textId="77777777" w:rsidR="00542BCE" w:rsidRPr="00CC25A0" w:rsidRDefault="00542BCE">
      <w:pPr>
        <w:spacing w:after="0" w:line="360" w:lineRule="auto"/>
      </w:pPr>
    </w:p>
    <w:p w14:paraId="6A365CF3" w14:textId="77777777" w:rsidR="00542BCE" w:rsidRPr="00CC25A0" w:rsidRDefault="00CC25A0">
      <w:pPr>
        <w:spacing w:after="0" w:line="360" w:lineRule="auto"/>
      </w:pPr>
      <w:r w:rsidRPr="00CC25A0">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4298BC1B" w14:textId="77777777" w:rsidR="00542BCE" w:rsidRPr="00CC25A0" w:rsidRDefault="00542BCE">
      <w:pPr>
        <w:spacing w:after="0" w:line="360" w:lineRule="auto"/>
      </w:pPr>
    </w:p>
    <w:p w14:paraId="78752BE0" w14:textId="77777777" w:rsidR="00542BCE" w:rsidRPr="00CC25A0" w:rsidRDefault="00CC25A0">
      <w:pPr>
        <w:spacing w:after="0" w:line="360" w:lineRule="auto"/>
      </w:pPr>
      <w:r w:rsidRPr="00CC25A0">
        <w:t>Por su parte, la Ley de Transparencia y Acceso a la Información Pública del Estado de México y Municipios (Reglamentaria del artículo 5° de la Constitución Local), establece lo siguiente:</w:t>
      </w:r>
    </w:p>
    <w:p w14:paraId="422128EF" w14:textId="77777777" w:rsidR="00542BCE" w:rsidRPr="00CC25A0" w:rsidRDefault="00542BCE">
      <w:pPr>
        <w:spacing w:after="0" w:line="360" w:lineRule="auto"/>
      </w:pPr>
    </w:p>
    <w:p w14:paraId="0D2C3CB5" w14:textId="77777777" w:rsidR="00542BCE" w:rsidRPr="00CC25A0" w:rsidRDefault="00CC25A0">
      <w:pPr>
        <w:spacing w:after="0" w:line="360" w:lineRule="auto"/>
      </w:pPr>
      <w:r w:rsidRPr="00CC25A0">
        <w:t>El artículo 12 dice que, quienes generen, recopilen, administren, manejen, procesen, archiven o conserven información pública serán responsables de la misma.</w:t>
      </w:r>
    </w:p>
    <w:p w14:paraId="7521A419" w14:textId="77777777" w:rsidR="00542BCE" w:rsidRPr="00CC25A0" w:rsidRDefault="00542BCE">
      <w:pPr>
        <w:spacing w:after="0" w:line="360" w:lineRule="auto"/>
      </w:pPr>
    </w:p>
    <w:p w14:paraId="26A143B3" w14:textId="77777777" w:rsidR="00542BCE" w:rsidRPr="00CC25A0" w:rsidRDefault="00CC25A0">
      <w:pPr>
        <w:spacing w:after="0" w:line="360" w:lineRule="auto"/>
      </w:pPr>
      <w:r w:rsidRPr="00CC25A0">
        <w:lastRenderedPageBreak/>
        <w:t>El artículo 18, que, los Sujetos Obligados deberán documentar todo acto que derive del ejercicio de sus facultades, competencias o funciones, considerando desde su origen la eventual publicidad y reutilización de la información que generen.</w:t>
      </w:r>
    </w:p>
    <w:p w14:paraId="63BB8302" w14:textId="77777777" w:rsidR="00A3686C" w:rsidRPr="00CC25A0" w:rsidRDefault="00A3686C">
      <w:pPr>
        <w:spacing w:after="0" w:line="360" w:lineRule="auto"/>
      </w:pPr>
    </w:p>
    <w:p w14:paraId="13AF042B" w14:textId="77777777" w:rsidR="00542BCE" w:rsidRPr="00CC25A0" w:rsidRDefault="00CC25A0">
      <w:pPr>
        <w:spacing w:after="0" w:line="360" w:lineRule="auto"/>
      </w:pPr>
      <w:r w:rsidRPr="00CC25A0">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C3FACCE" w14:textId="77777777" w:rsidR="00542BCE" w:rsidRPr="00CC25A0" w:rsidRDefault="00542BCE">
      <w:pPr>
        <w:pStyle w:val="Ttulo2"/>
        <w:spacing w:before="0" w:after="0"/>
        <w:rPr>
          <w:smallCaps/>
        </w:rPr>
      </w:pPr>
    </w:p>
    <w:p w14:paraId="71D523BD" w14:textId="77777777" w:rsidR="00542BCE" w:rsidRPr="00CC25A0" w:rsidRDefault="00CC25A0">
      <w:pPr>
        <w:pStyle w:val="Ttulo2"/>
        <w:spacing w:before="0" w:after="0"/>
      </w:pPr>
      <w:bookmarkStart w:id="22" w:name="_heading=h.c2b4mic6089f" w:colFirst="0" w:colLast="0"/>
      <w:bookmarkStart w:id="23" w:name="_Toc211523216"/>
      <w:bookmarkEnd w:id="22"/>
      <w:r w:rsidRPr="00CC25A0">
        <w:rPr>
          <w:smallCaps/>
        </w:rPr>
        <w:t>QUINTO.</w:t>
      </w:r>
      <w:r w:rsidRPr="00CC25A0">
        <w:t xml:space="preserve"> Estudio de Fondo</w:t>
      </w:r>
      <w:bookmarkEnd w:id="23"/>
    </w:p>
    <w:p w14:paraId="18C8FFC0" w14:textId="77777777" w:rsidR="00542BCE" w:rsidRPr="00CC25A0" w:rsidRDefault="00542BCE">
      <w:pPr>
        <w:spacing w:after="0" w:line="360" w:lineRule="auto"/>
      </w:pPr>
    </w:p>
    <w:p w14:paraId="7208266A" w14:textId="77777777" w:rsidR="00542BCE" w:rsidRPr="00CC25A0" w:rsidRDefault="00CC25A0">
      <w:pPr>
        <w:spacing w:after="0" w:line="360" w:lineRule="auto"/>
      </w:pPr>
      <w:r w:rsidRPr="00CC25A0">
        <w:t xml:space="preserve">Una vez expuesto lo anterior, es menester contextualizar la solicitud de información, la cual se relaciona con recibos de nómina de las áreas de Presidencia, Protección Civil y Seguridad Pública del Municipio de </w:t>
      </w:r>
      <w:proofErr w:type="spellStart"/>
      <w:r w:rsidRPr="00CC25A0">
        <w:t>Tezoyuca</w:t>
      </w:r>
      <w:proofErr w:type="spellEnd"/>
      <w:r w:rsidRPr="00CC25A0">
        <w:t>.</w:t>
      </w:r>
    </w:p>
    <w:p w14:paraId="3DB69D28" w14:textId="77777777" w:rsidR="00542BCE" w:rsidRPr="00CC25A0" w:rsidRDefault="00542BCE">
      <w:pPr>
        <w:spacing w:after="0" w:line="360" w:lineRule="auto"/>
      </w:pPr>
    </w:p>
    <w:p w14:paraId="6A677A9E" w14:textId="77777777" w:rsidR="00A3686C" w:rsidRPr="00CC25A0" w:rsidRDefault="00A3686C" w:rsidP="00A3686C">
      <w:pPr>
        <w:tabs>
          <w:tab w:val="left" w:pos="4962"/>
        </w:tabs>
        <w:spacing w:after="0" w:line="360" w:lineRule="auto"/>
      </w:pPr>
      <w:r w:rsidRPr="00CC25A0">
        <w:t>Al respecto, el primer párrafo, del artículo 108 de la Constitución Política de los Estados Unidos Mexicanos, establece que, en materia de responsabilidades, serán servidores públicos, los representantes de elección popular, los funcionarios y empleados y, en general, a toda persona que desempeñe un empleo, cargo o comisión de cualquier naturaleza dentro de la Administración Pública. De la misma manera, el artículo 130 de la Constitución Política del Estado Libre y Soberano de México, precisa que son servidores públicos a todas las personas que desempeñen un empleo, cargo o comisión en los Municipios.</w:t>
      </w:r>
    </w:p>
    <w:p w14:paraId="1ED7EDC5" w14:textId="77777777" w:rsidR="00A3686C" w:rsidRPr="00CC25A0" w:rsidRDefault="00A3686C" w:rsidP="00A3686C">
      <w:pPr>
        <w:tabs>
          <w:tab w:val="left" w:pos="4962"/>
        </w:tabs>
        <w:spacing w:after="0" w:line="360" w:lineRule="auto"/>
      </w:pPr>
    </w:p>
    <w:p w14:paraId="5CC96765" w14:textId="77777777" w:rsidR="00A3686C" w:rsidRPr="00CC25A0" w:rsidRDefault="00A3686C" w:rsidP="00A3686C">
      <w:pPr>
        <w:tabs>
          <w:tab w:val="left" w:pos="4962"/>
        </w:tabs>
        <w:spacing w:after="0" w:line="360" w:lineRule="auto"/>
      </w:pPr>
      <w:r w:rsidRPr="00CC25A0">
        <w:t>Además, el artículo 4°, fracción VI, de la Ley del Trabajo de los servidores públicos del Estado y Municipios, precisa que son servidores públicos, todas las personas físicas que presten a una institución pública un trabajo personal subordinado, mediante el pago de un sueldo.</w:t>
      </w:r>
    </w:p>
    <w:p w14:paraId="35907CD0" w14:textId="77777777" w:rsidR="00A3686C" w:rsidRPr="00CC25A0" w:rsidRDefault="00A3686C" w:rsidP="00A3686C">
      <w:pPr>
        <w:tabs>
          <w:tab w:val="left" w:pos="4962"/>
        </w:tabs>
        <w:spacing w:after="0" w:line="360" w:lineRule="auto"/>
      </w:pPr>
    </w:p>
    <w:p w14:paraId="0310F95B" w14:textId="77777777" w:rsidR="00A3686C" w:rsidRPr="00CC25A0" w:rsidRDefault="00A3686C" w:rsidP="00A3686C">
      <w:pPr>
        <w:tabs>
          <w:tab w:val="left" w:pos="4962"/>
        </w:tabs>
        <w:spacing w:after="0" w:line="360" w:lineRule="auto"/>
      </w:pPr>
      <w:r w:rsidRPr="00CC25A0">
        <w:lastRenderedPageBreak/>
        <w:t>En ese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3D3AB79B" w14:textId="77777777" w:rsidR="00A3686C" w:rsidRPr="00CC25A0" w:rsidRDefault="00A3686C" w:rsidP="00A3686C">
      <w:pPr>
        <w:tabs>
          <w:tab w:val="left" w:pos="4962"/>
        </w:tabs>
        <w:spacing w:after="0" w:line="360" w:lineRule="auto"/>
      </w:pPr>
    </w:p>
    <w:p w14:paraId="10A27AD9" w14:textId="77777777" w:rsidR="00A3686C" w:rsidRPr="00CC25A0" w:rsidRDefault="00A3686C" w:rsidP="00A3686C">
      <w:pPr>
        <w:tabs>
          <w:tab w:val="left" w:pos="4962"/>
        </w:tabs>
        <w:spacing w:after="0" w:line="360" w:lineRule="auto"/>
      </w:pPr>
      <w:r w:rsidRPr="00CC25A0">
        <w:t>Da la misma manera, el Anexo IV.5 Glosario de Términos, del Manual para la Planeación, Programación y Presupuesto de Egresos Municipal para el ejercicio fiscal dos mil veinticinco, establece que la remuneración es la percepción de un trabajador o retribución monetaria que se da en pago por su servicio o actividad desarrollada.</w:t>
      </w:r>
    </w:p>
    <w:p w14:paraId="444F9087" w14:textId="77777777" w:rsidR="00A3686C" w:rsidRPr="00CC25A0" w:rsidRDefault="00A3686C" w:rsidP="00A3686C">
      <w:pPr>
        <w:tabs>
          <w:tab w:val="left" w:pos="4962"/>
        </w:tabs>
        <w:spacing w:after="0" w:line="360" w:lineRule="auto"/>
      </w:pPr>
    </w:p>
    <w:p w14:paraId="3B685FA3" w14:textId="77777777" w:rsidR="00A3686C" w:rsidRPr="00CC25A0" w:rsidRDefault="00A3686C" w:rsidP="00A3686C">
      <w:pPr>
        <w:tabs>
          <w:tab w:val="left" w:pos="4962"/>
        </w:tabs>
        <w:spacing w:after="0" w:line="360" w:lineRule="auto"/>
      </w:pPr>
      <w:r w:rsidRPr="00CC25A0">
        <w:t>En ese contexto, el artículo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14:paraId="2E29CCD4" w14:textId="77777777" w:rsidR="00A3686C" w:rsidRPr="00CC25A0" w:rsidRDefault="00A3686C" w:rsidP="00A3686C">
      <w:pPr>
        <w:tabs>
          <w:tab w:val="left" w:pos="4962"/>
        </w:tabs>
        <w:spacing w:after="0" w:line="360" w:lineRule="auto"/>
      </w:pPr>
    </w:p>
    <w:p w14:paraId="14A3A7FA" w14:textId="77777777" w:rsidR="00A3686C" w:rsidRPr="00CC25A0" w:rsidRDefault="00A3686C" w:rsidP="00A3686C">
      <w:pPr>
        <w:tabs>
          <w:tab w:val="left" w:pos="4962"/>
        </w:tabs>
        <w:spacing w:after="0" w:line="360" w:lineRule="auto"/>
      </w:pPr>
      <w:r w:rsidRPr="00CC25A0">
        <w:t>Además, el Anexo IV.2 Clasificación por objeto del gasto, del Manual para la Planeación, Programación y Presupuesto de Egresos Municipal para el ejercicio fiscal dos mil veinticinco, establece que los Presupuestos de Egresos Municipales, se tendrán que generar, conforme al “Clasificador por Objeto del Gasto”, el cual se conforma de diversos capítulos, entre los cuales, se encuentra el 1000 Servicios Personales, que agrupa las remuneraciones del personal al servicio de los entes públicos, tales como el sueldo, salarios, dietas, honorarios, prestaciones, aguinaldo, obligaciones laborales, entre otras.</w:t>
      </w:r>
    </w:p>
    <w:p w14:paraId="656FD5D2" w14:textId="77777777" w:rsidR="00A3686C" w:rsidRPr="00CC25A0" w:rsidRDefault="00A3686C" w:rsidP="00A3686C">
      <w:pPr>
        <w:tabs>
          <w:tab w:val="left" w:pos="4962"/>
        </w:tabs>
        <w:spacing w:after="0" w:line="360" w:lineRule="auto"/>
      </w:pPr>
    </w:p>
    <w:p w14:paraId="0E6AB561" w14:textId="77777777" w:rsidR="00A3686C" w:rsidRPr="00CC25A0" w:rsidRDefault="00A3686C" w:rsidP="00A3686C">
      <w:pPr>
        <w:tabs>
          <w:tab w:val="left" w:pos="4962"/>
        </w:tabs>
        <w:spacing w:after="0" w:line="360" w:lineRule="auto"/>
      </w:pPr>
      <w:r w:rsidRPr="00CC25A0">
        <w:t xml:space="preserve">Ahora bien, respecto de los recibos de nómina, la Ley del Trabajo de los Servidores Públicos del Estado y Municipios, en su artículo 220 K, fracciones II y IV, establece los documentos que tiene </w:t>
      </w:r>
      <w:r w:rsidRPr="00CC25A0">
        <w:lastRenderedPageBreak/>
        <w:t xml:space="preserve">la obligación de conservar el Sujeto Obligado, entre los que se encuentra los recibos de pago de salarios o las constancias documentales del pago de sueldos, cuando sea por depósito o mediante información electrónica; así como los recibos o constancias de depósito o del medio de información magnética o electrónica que sean utilizadas para el pago de salarios, prima vacacional, aguinaldo y demás prestaciones. </w:t>
      </w:r>
    </w:p>
    <w:p w14:paraId="2EBD06C8" w14:textId="77777777" w:rsidR="00A3686C" w:rsidRPr="00CC25A0" w:rsidRDefault="00A3686C" w:rsidP="00A3686C">
      <w:pPr>
        <w:tabs>
          <w:tab w:val="left" w:pos="4962"/>
        </w:tabs>
        <w:spacing w:after="0" w:line="360" w:lineRule="auto"/>
      </w:pPr>
    </w:p>
    <w:p w14:paraId="24B9F782" w14:textId="77777777" w:rsidR="00A3686C" w:rsidRPr="00CC25A0" w:rsidRDefault="00A3686C" w:rsidP="00A3686C">
      <w:pPr>
        <w:tabs>
          <w:tab w:val="left" w:pos="4962"/>
        </w:tabs>
        <w:spacing w:after="0" w:line="360" w:lineRule="auto"/>
      </w:pPr>
      <w:r w:rsidRPr="00CC25A0">
        <w:t>Lo anterior, toma sustento en la Tesis aislada número I.6o.T.154 L (10a.), emitida por los Tribunales Colegiados de Circuito, publicada el abril de dos mil dieciséis, en la Gaceta del Semanario Judicial de la Federación, en su Libro 29, Tomo III, misma que señala lo siguiente:</w:t>
      </w:r>
    </w:p>
    <w:p w14:paraId="0D58E955" w14:textId="77777777" w:rsidR="00A3686C" w:rsidRPr="00CC25A0" w:rsidRDefault="00A3686C" w:rsidP="00A3686C">
      <w:pPr>
        <w:tabs>
          <w:tab w:val="left" w:pos="4962"/>
        </w:tabs>
        <w:spacing w:after="0" w:line="360" w:lineRule="auto"/>
        <w:rPr>
          <w:sz w:val="20"/>
          <w:szCs w:val="20"/>
        </w:rPr>
      </w:pPr>
    </w:p>
    <w:p w14:paraId="26FC10B6" w14:textId="77777777" w:rsidR="00A3686C" w:rsidRPr="00CC25A0" w:rsidRDefault="00A3686C" w:rsidP="00A3686C">
      <w:pPr>
        <w:tabs>
          <w:tab w:val="left" w:pos="4962"/>
        </w:tabs>
        <w:spacing w:after="0" w:line="360" w:lineRule="auto"/>
        <w:ind w:left="567" w:right="567"/>
        <w:rPr>
          <w:i/>
          <w:sz w:val="20"/>
          <w:szCs w:val="20"/>
        </w:rPr>
      </w:pPr>
      <w:r w:rsidRPr="00CC25A0">
        <w:rPr>
          <w:i/>
          <w:sz w:val="20"/>
          <w:szCs w:val="20"/>
        </w:rPr>
        <w:t>“</w:t>
      </w:r>
      <w:r w:rsidRPr="00CC25A0">
        <w:rPr>
          <w:b/>
          <w:i/>
          <w:sz w:val="20"/>
          <w:szCs w:val="20"/>
        </w:rPr>
        <w:t>RECIBOS DE PAGO EMITIDOS POR MEDIOS ELECTRÓNICOS SIN FIRMA DEL TRABAJADOR. SON VÁLIDOS PARA ACREDITAR LOS CONCEPTOS Y MONTOS QUE EN ELLOS SE INSERTAN (APLICACIÓN SUPLETORIA DEL ARTÍCULO 776, FRACCIONES II Y VIII, DE LA LEY FEDERAL DEL TRABAJO, A LA LEY FEDERAL DE LOS TRABAJADORES AL SERVICIO DEL ESTADO)</w:t>
      </w:r>
      <w:r w:rsidRPr="00CC25A0">
        <w:rPr>
          <w:i/>
          <w:sz w:val="20"/>
          <w:szCs w:val="20"/>
        </w:rPr>
        <w:t>. En materia burocrática los recibos de pago que se obtienen por medios electrónicos son válidos para acreditar los conceptos y montos que en ellos se insertan, en términos del artículo 776, fracciones II y VIII, de la Ley Federal del Trabajo, aplicada supletoriamente a la Ley Federal de los Trabajadores al Servicio del Estado; lo anterior por no ser contrarios a la moral ni al derecho, por lo que la falta de firma de esos documentos, no les resta convicción plena, porque el avance de la ciencia y la necesidad propia de evitar pagos en efectivo, han impuesto al patrón-Estado pagar a sus trabajadores por la vía electrónica; por tanto, si para demostrar las percepciones y montos los recibos correspondientes se exhiben de esta forma sin prueba en contrario que los desvirtúe, entonces no hay razón jurídica para condicionar su eficacia probatoria a que deban adminicularse con otras pruebas; resolver en contrario, implicaría desatender el artículo 137 de la referida Ley Federal de los Trabajadores al Servicio del Estado.”</w:t>
      </w:r>
    </w:p>
    <w:p w14:paraId="2F19DDC0" w14:textId="77777777" w:rsidR="00A3686C" w:rsidRPr="00CC25A0" w:rsidRDefault="00A3686C" w:rsidP="00A3686C">
      <w:pPr>
        <w:tabs>
          <w:tab w:val="left" w:pos="4962"/>
        </w:tabs>
        <w:spacing w:after="0" w:line="360" w:lineRule="auto"/>
      </w:pPr>
    </w:p>
    <w:p w14:paraId="0E5CDB1B" w14:textId="77777777" w:rsidR="00A3686C" w:rsidRPr="00CC25A0" w:rsidRDefault="00A3686C" w:rsidP="00A3686C">
      <w:pPr>
        <w:tabs>
          <w:tab w:val="left" w:pos="4962"/>
        </w:tabs>
        <w:spacing w:after="0" w:line="360" w:lineRule="auto"/>
      </w:pPr>
      <w:r w:rsidRPr="00CC25A0">
        <w:lastRenderedPageBreak/>
        <w:t>De la tesis transcrita, se desprende que en materia burocrática los recibos de pago acreditan los conceptos y montos que en ellos se insertan, y constituyen prueba para demostrar las percepciones y montos que reciben los servidores públicos.</w:t>
      </w:r>
    </w:p>
    <w:p w14:paraId="1B4E51CF" w14:textId="77777777" w:rsidR="00A3686C" w:rsidRPr="00CC25A0" w:rsidRDefault="00A3686C" w:rsidP="00A3686C">
      <w:pPr>
        <w:tabs>
          <w:tab w:val="left" w:pos="4962"/>
        </w:tabs>
        <w:spacing w:after="0" w:line="360" w:lineRule="auto"/>
      </w:pPr>
    </w:p>
    <w:p w14:paraId="7EA6DEC8" w14:textId="26A5321D" w:rsidR="00A3686C" w:rsidRPr="00CC25A0" w:rsidRDefault="00A3686C" w:rsidP="00A3686C">
      <w:pPr>
        <w:spacing w:after="0" w:line="360" w:lineRule="auto"/>
      </w:pPr>
      <w:r w:rsidRPr="00CC25A0">
        <w:t xml:space="preserve">En ese orden de ideas, los Lineamientos para la integración y presentación de los Informes Trimestrales Estatales y Municipales del Ejercicio Fiscal 2025, establecen que el Sujeto Obligado deberá entregar al Órgano Superior de Fiscalización, los Comprobantes Fiscales Digitales por </w:t>
      </w:r>
      <w:proofErr w:type="spellStart"/>
      <w:r w:rsidRPr="00CC25A0">
        <w:t>Internete</w:t>
      </w:r>
      <w:proofErr w:type="spellEnd"/>
      <w:r w:rsidRPr="00CC25A0">
        <w:t xml:space="preserve"> por concepto de nómina</w:t>
      </w:r>
    </w:p>
    <w:p w14:paraId="1E2E1EFC" w14:textId="77777777" w:rsidR="00A3686C" w:rsidRPr="00CC25A0" w:rsidRDefault="00A3686C">
      <w:pPr>
        <w:spacing w:after="0" w:line="360" w:lineRule="auto"/>
      </w:pPr>
    </w:p>
    <w:p w14:paraId="21B7C98C" w14:textId="77777777" w:rsidR="00542BCE" w:rsidRPr="00CC25A0" w:rsidRDefault="00CC25A0">
      <w:pPr>
        <w:spacing w:after="0" w:line="360" w:lineRule="auto"/>
      </w:pPr>
      <w:r w:rsidRPr="00CC25A0">
        <w:t xml:space="preserve">Al respecto, el Bando Municipal del Sujeto Obligado 2025, prevé en su artículo 38, numerales 1, 11 y 13, que cuenta con una Presidencia y que, dentro de su estructura orgánica, tiene una Dirección de Protección Civil y Bomberos y con una Dirección de Seguridad Pública, por lo que el Sujeto Obligado puede conocer de la información relacionada con las personas servidoras públicas de dichas áreas. </w:t>
      </w:r>
    </w:p>
    <w:p w14:paraId="22BBB450" w14:textId="77777777" w:rsidR="00542BCE" w:rsidRPr="00CC25A0" w:rsidRDefault="00542BCE">
      <w:pPr>
        <w:spacing w:after="0" w:line="360" w:lineRule="auto"/>
      </w:pPr>
    </w:p>
    <w:p w14:paraId="07FF9050" w14:textId="0E0571FE" w:rsidR="00542BCE" w:rsidRPr="00CC25A0" w:rsidRDefault="00A3686C" w:rsidP="001E0DCE">
      <w:pPr>
        <w:spacing w:after="0" w:line="360" w:lineRule="auto"/>
      </w:pPr>
      <w:r w:rsidRPr="00CC25A0">
        <w:t>Ahora bien</w:t>
      </w:r>
      <w:r w:rsidR="001E0DCE" w:rsidRPr="00CC25A0">
        <w:t xml:space="preserve">, por una parte, la pretensión de la persona Recurrente es obtener todos los recibos de nómina y por otra parte, la nueva </w:t>
      </w:r>
      <w:proofErr w:type="spellStart"/>
      <w:r w:rsidR="001E0DCE" w:rsidRPr="00CC25A0">
        <w:t>adminsitración</w:t>
      </w:r>
      <w:proofErr w:type="spellEnd"/>
      <w:r w:rsidR="001E0DCE" w:rsidRPr="00CC25A0">
        <w:t xml:space="preserve"> inició en el presente año, por lo que, se logra vislumbrar que la pretensión de la persona Recurrente, es obtener los </w:t>
      </w:r>
      <w:r w:rsidRPr="00CC25A0">
        <w:rPr>
          <w:bCs/>
          <w:color w:val="000000"/>
        </w:rPr>
        <w:t xml:space="preserve">recibos de nómina de todo el personal </w:t>
      </w:r>
      <w:r w:rsidR="001E0DCE" w:rsidRPr="00CC25A0">
        <w:rPr>
          <w:bCs/>
          <w:color w:val="000000"/>
        </w:rPr>
        <w:t>adscrito a la</w:t>
      </w:r>
      <w:r w:rsidRPr="00CC25A0">
        <w:rPr>
          <w:bCs/>
          <w:color w:val="000000"/>
        </w:rPr>
        <w:t xml:space="preserve"> Presidencia Municipal, </w:t>
      </w:r>
      <w:r w:rsidR="001E0DCE" w:rsidRPr="00CC25A0">
        <w:rPr>
          <w:bCs/>
          <w:color w:val="000000"/>
        </w:rPr>
        <w:t xml:space="preserve">a la </w:t>
      </w:r>
      <w:r w:rsidRPr="00CC25A0">
        <w:rPr>
          <w:bCs/>
          <w:color w:val="000000"/>
        </w:rPr>
        <w:t xml:space="preserve">Dirección de Protección Civil y Bomberos y </w:t>
      </w:r>
      <w:r w:rsidR="001E0DCE" w:rsidRPr="00CC25A0">
        <w:rPr>
          <w:bCs/>
          <w:color w:val="000000"/>
        </w:rPr>
        <w:t xml:space="preserve">a </w:t>
      </w:r>
      <w:r w:rsidRPr="00CC25A0">
        <w:rPr>
          <w:bCs/>
          <w:color w:val="000000"/>
        </w:rPr>
        <w:t xml:space="preserve">la Dirección de Seguridad Pública, </w:t>
      </w:r>
      <w:r w:rsidR="001E0DCE" w:rsidRPr="00CC25A0">
        <w:rPr>
          <w:bCs/>
          <w:color w:val="000000"/>
        </w:rPr>
        <w:t>de la primera quincena de enero a la primera de agosto de dos mil veinticinco (esta al ser la última pagada a la fecha de la solicitud).</w:t>
      </w:r>
    </w:p>
    <w:p w14:paraId="72500781" w14:textId="77777777" w:rsidR="00542BCE" w:rsidRPr="00CC25A0" w:rsidRDefault="00542BCE">
      <w:pPr>
        <w:spacing w:after="0" w:line="360" w:lineRule="auto"/>
        <w:rPr>
          <w:color w:val="000000"/>
        </w:rPr>
      </w:pPr>
    </w:p>
    <w:p w14:paraId="033CD3C8" w14:textId="77777777" w:rsidR="00542BCE" w:rsidRPr="00CC25A0" w:rsidRDefault="00CC25A0">
      <w:pPr>
        <w:spacing w:after="0" w:line="360" w:lineRule="auto"/>
        <w:rPr>
          <w:color w:val="000000"/>
        </w:rPr>
      </w:pPr>
      <w:r w:rsidRPr="00CC25A0">
        <w:rPr>
          <w:color w:val="000000"/>
        </w:rPr>
        <w:t xml:space="preserve">Ante dicha circunstancia, es necesario precisar que de las constancias que obran en el expediente electrónico, se logra advertir que el Sujeto Obligado turnó la solicitud de información a la  Jefatura de Recursos Humanos, por lo que, resulta necesario hacer referencia al </w:t>
      </w:r>
      <w:r w:rsidRPr="00CC25A0">
        <w:rPr>
          <w:b/>
          <w:color w:val="000000"/>
        </w:rPr>
        <w:t>procedimiento de búsqueda que deben seguir los Sujetos Obligados para localizar la información,</w:t>
      </w:r>
      <w:r w:rsidRPr="00CC25A0">
        <w:rPr>
          <w:color w:val="000000"/>
        </w:rPr>
        <w:t xml:space="preserve"> el cual se encuentra previsto en el artículo 162 de la Ley de Transparencia y Acceso a la Información </w:t>
      </w:r>
      <w:r w:rsidRPr="00CC25A0">
        <w:rPr>
          <w:color w:val="000000"/>
        </w:rPr>
        <w:lastRenderedPageBreak/>
        <w:t>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4F955322" w14:textId="77777777" w:rsidR="00542BCE" w:rsidRPr="00CC25A0" w:rsidRDefault="00542BCE">
      <w:pPr>
        <w:spacing w:after="0" w:line="360" w:lineRule="auto"/>
        <w:rPr>
          <w:color w:val="FF0000"/>
        </w:rPr>
      </w:pPr>
    </w:p>
    <w:p w14:paraId="2EA31107" w14:textId="77777777" w:rsidR="00542BCE" w:rsidRPr="00CC25A0" w:rsidRDefault="00CC25A0">
      <w:pPr>
        <w:spacing w:after="0" w:line="360" w:lineRule="auto"/>
        <w:rPr>
          <w:b/>
          <w:color w:val="000000"/>
        </w:rPr>
      </w:pPr>
      <w:r w:rsidRPr="00CC25A0">
        <w:rPr>
          <w:color w:val="000000"/>
        </w:rPr>
        <w:t xml:space="preserve">Así, con la finalidad de determinar si el Sujeto Obligado cumplió parcialmente con el procedimiento de búsqueda previsto en el artículo 162 de la Ley de Transparencia y Acceso a la Información Pública del Estado de México y Municipios, dado que, si bien remitió a una de las áreas que puede conocer de lo solicitado, debió turnar también a la </w:t>
      </w:r>
      <w:r w:rsidRPr="00CC25A0">
        <w:rPr>
          <w:b/>
          <w:color w:val="000000"/>
        </w:rPr>
        <w:t>Tesorería Municipal.</w:t>
      </w:r>
    </w:p>
    <w:p w14:paraId="5BE0202E" w14:textId="77777777" w:rsidR="001E0DCE" w:rsidRPr="00CC25A0" w:rsidRDefault="001E0DCE">
      <w:pPr>
        <w:spacing w:after="0" w:line="360" w:lineRule="auto"/>
        <w:rPr>
          <w:color w:val="000000"/>
        </w:rPr>
      </w:pPr>
    </w:p>
    <w:p w14:paraId="40D10393" w14:textId="77777777" w:rsidR="00542BCE" w:rsidRPr="00CC25A0" w:rsidRDefault="00CC25A0">
      <w:pPr>
        <w:spacing w:after="0" w:line="360" w:lineRule="auto"/>
        <w:rPr>
          <w:color w:val="FF0000"/>
        </w:rPr>
      </w:pPr>
      <w:r w:rsidRPr="00CC25A0">
        <w:rPr>
          <w:color w:val="000000"/>
        </w:rPr>
        <w:t xml:space="preserve">Cabe precisar que en los registros del SAIMEX, se aprecia un turno a una persona distinta a la Jefa de Recursos Humanos del Sujeto Obligado; sin embargo, de la búsqueda realizada por este Organismo Garante tanto en los registros del Sitio de Información Pública de Oficio Mexiquense, en lo subsecuente IPOMEX del Sujeto Obligado de 2025 en su apartado de Remuneraciones y Directorio de todos los servidores públicos; así como de la página oficial del Sujeto Obligado en su apartado de Directorio, no se localizó su cargo o algún indicio que permitiera conocer el área a la que pertenece. </w:t>
      </w:r>
    </w:p>
    <w:p w14:paraId="2D82E390" w14:textId="77777777" w:rsidR="00542BCE" w:rsidRPr="00CC25A0" w:rsidRDefault="00542BCE">
      <w:pPr>
        <w:spacing w:after="0" w:line="360" w:lineRule="auto"/>
        <w:rPr>
          <w:color w:val="FF0000"/>
        </w:rPr>
      </w:pPr>
    </w:p>
    <w:p w14:paraId="6B787C95" w14:textId="77777777" w:rsidR="001E0DCE" w:rsidRPr="00CC25A0" w:rsidRDefault="00CC25A0" w:rsidP="001E0DCE">
      <w:pPr>
        <w:spacing w:after="0" w:line="360" w:lineRule="auto"/>
      </w:pPr>
      <w:r w:rsidRPr="00CC25A0">
        <w:rPr>
          <w:color w:val="000000"/>
        </w:rPr>
        <w:t xml:space="preserve">Ahora bien, tanto en respuesta, como en informe justificado, el Sujeto Obligado a </w:t>
      </w:r>
      <w:r w:rsidRPr="00CC25A0">
        <w:t>través de la Directora de la Unidad de Transparencia informó que solicitó la información a la Jefa de Recursos Humanos, sin embargo, hasta la fecha de la respuesta, no le remitieron la información</w:t>
      </w:r>
      <w:r w:rsidR="001E0DCE" w:rsidRPr="00CC25A0">
        <w:t>.</w:t>
      </w:r>
    </w:p>
    <w:p w14:paraId="0C9E04E0" w14:textId="77777777" w:rsidR="001E0DCE" w:rsidRPr="00CC25A0" w:rsidRDefault="001E0DCE" w:rsidP="001E0DCE">
      <w:pPr>
        <w:spacing w:after="0" w:line="360" w:lineRule="auto"/>
      </w:pPr>
    </w:p>
    <w:p w14:paraId="59785A10" w14:textId="4E1FB77C" w:rsidR="001E0DCE" w:rsidRPr="00CC25A0" w:rsidRDefault="001E0DCE" w:rsidP="001E0DCE">
      <w:pPr>
        <w:spacing w:after="0" w:line="360" w:lineRule="auto"/>
        <w:rPr>
          <w:rFonts w:eastAsia="Calibri" w:cs="Times New Roman"/>
          <w:color w:val="000000"/>
        </w:rPr>
      </w:pPr>
      <w:r w:rsidRPr="00CC25A0">
        <w:t xml:space="preserve">En otras palabras, en el presente caso las unidades </w:t>
      </w:r>
      <w:proofErr w:type="spellStart"/>
      <w:r w:rsidRPr="00CC25A0">
        <w:t>adminsitrativas</w:t>
      </w:r>
      <w:proofErr w:type="spellEnd"/>
      <w:r w:rsidRPr="00CC25A0">
        <w:t xml:space="preserve"> competentes, omitieron pronunciarse sobre los recibos de nómina solicitados; </w:t>
      </w:r>
      <w:r w:rsidRPr="00CC25A0">
        <w:rPr>
          <w:color w:val="000000"/>
        </w:rPr>
        <w:t>s</w:t>
      </w:r>
      <w:r w:rsidRPr="00CC25A0">
        <w:rPr>
          <w:rFonts w:eastAsia="Calibri" w:cs="Tahoma"/>
          <w:bCs/>
          <w:iCs/>
          <w:color w:val="000000"/>
          <w:szCs w:val="24"/>
        </w:rPr>
        <w:t>obre el tema</w:t>
      </w:r>
      <w:r w:rsidRPr="00CC25A0">
        <w:rPr>
          <w:rFonts w:eastAsia="Calibri" w:cs="Times New Roman"/>
          <w:color w:val="000000"/>
        </w:rPr>
        <w:t>, el artículo 1.8, fracción XIII, del Código Administrativo del Estado de México, establece que para que tenga validez, todo acto administrativo deberá resolver todos los puntos propuestos por los interesados.</w:t>
      </w:r>
    </w:p>
    <w:p w14:paraId="72288EC7" w14:textId="77777777" w:rsidR="001E0DCE" w:rsidRPr="00CC25A0" w:rsidRDefault="001E0DCE" w:rsidP="001E0DCE">
      <w:pPr>
        <w:tabs>
          <w:tab w:val="center" w:pos="4522"/>
        </w:tabs>
        <w:spacing w:after="0" w:line="360" w:lineRule="auto"/>
        <w:contextualSpacing/>
        <w:rPr>
          <w:rFonts w:eastAsia="Calibri" w:cs="Times New Roman"/>
          <w:color w:val="000000"/>
        </w:rPr>
      </w:pPr>
      <w:r w:rsidRPr="00CC25A0">
        <w:rPr>
          <w:rFonts w:eastAsia="Calibri" w:cs="Times New Roman"/>
          <w:color w:val="000000"/>
        </w:rPr>
        <w:lastRenderedPageBreak/>
        <w:t xml:space="preserve">Situación que se robustece, con el </w:t>
      </w:r>
      <w:r w:rsidRPr="00CC25A0">
        <w:rPr>
          <w:rFonts w:eastAsia="Calibri" w:cs="Tahoma"/>
          <w:bCs/>
          <w:lang w:val="es-ES"/>
        </w:rPr>
        <w:t>el Criterio de Interpretación</w:t>
      </w:r>
      <w:r w:rsidRPr="00CC25A0">
        <w:rPr>
          <w:rFonts w:eastAsia="Calibri" w:cs="Tahoma"/>
          <w:bCs/>
          <w:lang w:val="x-none"/>
        </w:rPr>
        <w:t xml:space="preserve">, con clave de control </w:t>
      </w:r>
      <w:r w:rsidRPr="00CC25A0">
        <w:rPr>
          <w:rFonts w:eastAsia="Calibri" w:cs="Tahoma"/>
          <w:bCs/>
          <w:lang w:val="es-ES"/>
        </w:rPr>
        <w:t xml:space="preserve">SO/002/2017, de la Segunda Época, emitido por el Instituto Nacional de Transparencia, Acceso a la Información y Protección de Datos Personales, que </w:t>
      </w:r>
      <w:r w:rsidRPr="00CC25A0">
        <w:rPr>
          <w:rFonts w:eastAsia="Calibri" w:cs="Times New Roman"/>
          <w:color w:val="000000"/>
        </w:rPr>
        <w:t xml:space="preserve">establece que todo acto administrativo debe apegarse al </w:t>
      </w:r>
      <w:r w:rsidRPr="00CC25A0">
        <w:rPr>
          <w:rFonts w:eastAsia="Calibri" w:cs="Times New Roman"/>
          <w:b/>
          <w:bCs/>
          <w:color w:val="000000"/>
        </w:rPr>
        <w:t>principio de exhaustividad</w:t>
      </w:r>
      <w:r w:rsidRPr="00CC25A0">
        <w:rPr>
          <w:rFonts w:eastAsia="Calibri" w:cs="Times New Roman"/>
          <w:color w:val="000000"/>
        </w:rPr>
        <w:t>, 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18FA620E" w14:textId="77777777" w:rsidR="001E0DCE" w:rsidRPr="00CC25A0" w:rsidRDefault="001E0DCE" w:rsidP="001E0DCE">
      <w:pPr>
        <w:spacing w:after="0" w:line="360" w:lineRule="auto"/>
        <w:rPr>
          <w:rFonts w:eastAsia="Calibri" w:cs="Tahoma"/>
          <w:bCs/>
          <w:color w:val="000000"/>
        </w:rPr>
      </w:pPr>
    </w:p>
    <w:p w14:paraId="30D103D6" w14:textId="7B5FD5B8" w:rsidR="001E0DCE" w:rsidRPr="00CC25A0" w:rsidRDefault="001E0DCE" w:rsidP="001E0DCE">
      <w:pPr>
        <w:spacing w:after="0" w:line="360" w:lineRule="auto"/>
        <w:rPr>
          <w:b/>
          <w:bCs/>
        </w:rPr>
      </w:pPr>
      <w:r w:rsidRPr="00CC25A0">
        <w:rPr>
          <w:rFonts w:eastAsia="Calibri" w:cs="Times New Roman"/>
          <w:color w:val="000000"/>
        </w:rPr>
        <w:t xml:space="preserve">En esa tesitura, se concluye que las unidades administrativas competentes no garantizaron el derecho de acceso a la información de la persona Recurrente, al no dar atención al requerimiento de información y por lo tanto, tampoco dar acceso a los documentos solicitados, lo cual da como resultado que el agravio sea </w:t>
      </w:r>
      <w:r w:rsidRPr="00CC25A0">
        <w:rPr>
          <w:rFonts w:eastAsia="Calibri" w:cs="Times New Roman"/>
          <w:b/>
          <w:bCs/>
          <w:color w:val="000000"/>
        </w:rPr>
        <w:t>FUNDADO.</w:t>
      </w:r>
    </w:p>
    <w:p w14:paraId="4B4711BB" w14:textId="77777777" w:rsidR="00542BCE" w:rsidRPr="00CC25A0" w:rsidRDefault="00542BCE">
      <w:pPr>
        <w:spacing w:after="0" w:line="360" w:lineRule="auto"/>
      </w:pPr>
    </w:p>
    <w:p w14:paraId="7EDB28B8" w14:textId="77777777" w:rsidR="00542BCE" w:rsidRPr="00CC25A0" w:rsidRDefault="00CC25A0">
      <w:pPr>
        <w:spacing w:after="0" w:line="360" w:lineRule="auto"/>
      </w:pPr>
      <w:r w:rsidRPr="00CC25A0">
        <w:t>Así, para atender al requerimiento en análisis, el Sujeto Obligado, deberá realizar una búsqueda exhaustiva y razonable en todas sus áreas competentes, a efecto de que proporcione la información solicitada; dicha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38B6149A" w14:textId="77777777" w:rsidR="00542BCE" w:rsidRPr="00CC25A0" w:rsidRDefault="00542BCE">
      <w:pPr>
        <w:spacing w:after="0" w:line="360" w:lineRule="auto"/>
      </w:pPr>
    </w:p>
    <w:p w14:paraId="14BA4600" w14:textId="77777777" w:rsidR="001E0DCE" w:rsidRPr="00CC25A0" w:rsidRDefault="001E0DCE" w:rsidP="001E0DCE">
      <w:pPr>
        <w:spacing w:after="0" w:line="360" w:lineRule="auto"/>
        <w:ind w:right="-28"/>
      </w:pPr>
      <w:r w:rsidRPr="00CC25A0">
        <w:t>De esta manera, el derecho de acceso a la información pública se satisface en aquellos casos en que se entregue el soporte documental en el que conste la información solicitada, sin necesidad de elaborar documentos ad hoc; lo cual, de conformidad con en el artículo 160 de la Ley de Transparencia y Acceso a la Información Pública del Estado de México y Municipios, el cual refiere que los sujetos obligados deberán entregar la información que obre en sus archivos.</w:t>
      </w:r>
    </w:p>
    <w:p w14:paraId="491C3389" w14:textId="77777777" w:rsidR="001E0DCE" w:rsidRPr="00CC25A0" w:rsidRDefault="001E0DCE" w:rsidP="001E0DCE">
      <w:pPr>
        <w:spacing w:after="0" w:line="360" w:lineRule="auto"/>
        <w:ind w:right="-28"/>
      </w:pPr>
    </w:p>
    <w:p w14:paraId="64649B49" w14:textId="751E4357" w:rsidR="00542BCE" w:rsidRPr="00CC25A0" w:rsidRDefault="001E0DCE">
      <w:pPr>
        <w:spacing w:after="0" w:line="360" w:lineRule="auto"/>
        <w:rPr>
          <w:color w:val="000000"/>
        </w:rPr>
      </w:pPr>
      <w:r w:rsidRPr="00CC25A0">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proporcionar los recibos de nómina del personal solicitado. A</w:t>
      </w:r>
      <w:r w:rsidRPr="00CC25A0">
        <w:rPr>
          <w:color w:val="000000"/>
        </w:rPr>
        <w:t>hora bien, no pasa desapercibido que los documentos que den cuenta de lo solicitado pudieran contener de manera enunciativa más no limitativa los siguientes datos:</w:t>
      </w:r>
    </w:p>
    <w:p w14:paraId="02A62DF8" w14:textId="77777777" w:rsidR="00542BCE" w:rsidRPr="00CC25A0" w:rsidRDefault="00542BCE">
      <w:pPr>
        <w:spacing w:after="0" w:line="360" w:lineRule="auto"/>
        <w:rPr>
          <w:color w:val="000000"/>
        </w:rPr>
      </w:pPr>
    </w:p>
    <w:p w14:paraId="3C3E2C88" w14:textId="77777777" w:rsidR="00542BCE" w:rsidRPr="00CC25A0" w:rsidRDefault="00CC25A0">
      <w:pPr>
        <w:numPr>
          <w:ilvl w:val="0"/>
          <w:numId w:val="8"/>
        </w:numPr>
        <w:spacing w:after="0" w:line="360" w:lineRule="auto"/>
        <w:rPr>
          <w:color w:val="000000"/>
        </w:rPr>
      </w:pPr>
      <w:bookmarkStart w:id="24" w:name="_heading=h.htxo5f8qb84d" w:colFirst="0" w:colLast="0"/>
      <w:bookmarkEnd w:id="24"/>
      <w:r w:rsidRPr="00CC25A0">
        <w:rPr>
          <w:color w:val="000000"/>
        </w:rPr>
        <w:t>Clave Única de Registro de Población (CURP);</w:t>
      </w:r>
    </w:p>
    <w:p w14:paraId="383F220B" w14:textId="77777777" w:rsidR="00542BCE" w:rsidRPr="00CC25A0" w:rsidRDefault="00CC25A0">
      <w:pPr>
        <w:numPr>
          <w:ilvl w:val="0"/>
          <w:numId w:val="8"/>
        </w:numPr>
        <w:spacing w:after="0" w:line="360" w:lineRule="auto"/>
        <w:rPr>
          <w:color w:val="000000"/>
        </w:rPr>
      </w:pPr>
      <w:r w:rsidRPr="00CC25A0">
        <w:rPr>
          <w:color w:val="000000"/>
        </w:rPr>
        <w:t>Registro Federal de Contribuyentes del servidor público (RFC);</w:t>
      </w:r>
    </w:p>
    <w:p w14:paraId="3B8D7BDB" w14:textId="73E25CD6" w:rsidR="001E0DCE" w:rsidRPr="00CC25A0" w:rsidRDefault="001E0DCE">
      <w:pPr>
        <w:numPr>
          <w:ilvl w:val="0"/>
          <w:numId w:val="8"/>
        </w:numPr>
        <w:spacing w:after="0" w:line="360" w:lineRule="auto"/>
        <w:rPr>
          <w:color w:val="000000"/>
        </w:rPr>
      </w:pPr>
      <w:r w:rsidRPr="00CC25A0">
        <w:rPr>
          <w:color w:val="000000"/>
        </w:rPr>
        <w:t>Código QR;</w:t>
      </w:r>
    </w:p>
    <w:p w14:paraId="6909D929" w14:textId="77777777" w:rsidR="00542BCE" w:rsidRPr="00CC25A0" w:rsidRDefault="00CC25A0">
      <w:pPr>
        <w:numPr>
          <w:ilvl w:val="0"/>
          <w:numId w:val="8"/>
        </w:numPr>
        <w:spacing w:after="0" w:line="360" w:lineRule="auto"/>
        <w:rPr>
          <w:color w:val="000000"/>
        </w:rPr>
      </w:pPr>
      <w:r w:rsidRPr="00CC25A0">
        <w:rPr>
          <w:color w:val="000000"/>
        </w:rPr>
        <w:t>Número de seguridad social del Instituto de Seguridad Social del Estado de México y Municipios;</w:t>
      </w:r>
    </w:p>
    <w:p w14:paraId="39DCD994" w14:textId="26BDE1A9" w:rsidR="00542BCE" w:rsidRPr="00CC25A0" w:rsidRDefault="00CC25A0">
      <w:pPr>
        <w:numPr>
          <w:ilvl w:val="0"/>
          <w:numId w:val="8"/>
        </w:numPr>
        <w:spacing w:after="0" w:line="360" w:lineRule="auto"/>
        <w:rPr>
          <w:color w:val="000000"/>
        </w:rPr>
      </w:pPr>
      <w:r w:rsidRPr="00CC25A0">
        <w:rPr>
          <w:color w:val="000000"/>
        </w:rPr>
        <w:t>Deducciones personales</w:t>
      </w:r>
      <w:r w:rsidR="008A39D5" w:rsidRPr="00CC25A0">
        <w:rPr>
          <w:color w:val="000000"/>
        </w:rPr>
        <w:t>;</w:t>
      </w:r>
    </w:p>
    <w:p w14:paraId="6893DAE1" w14:textId="4839ED18" w:rsidR="00542BCE" w:rsidRPr="00CC25A0" w:rsidRDefault="00CC25A0">
      <w:pPr>
        <w:numPr>
          <w:ilvl w:val="0"/>
          <w:numId w:val="8"/>
        </w:numPr>
        <w:spacing w:after="0" w:line="360" w:lineRule="auto"/>
        <w:rPr>
          <w:color w:val="000000"/>
        </w:rPr>
      </w:pPr>
      <w:r w:rsidRPr="00CC25A0">
        <w:rPr>
          <w:color w:val="000000"/>
        </w:rPr>
        <w:t>Cuenta Bancaria</w:t>
      </w:r>
      <w:r w:rsidR="008A39D5" w:rsidRPr="00CC25A0">
        <w:rPr>
          <w:color w:val="000000"/>
        </w:rPr>
        <w:t>, y</w:t>
      </w:r>
    </w:p>
    <w:p w14:paraId="2E30D67A" w14:textId="0B7DE21A" w:rsidR="008A39D5" w:rsidRPr="00CC25A0" w:rsidRDefault="008A39D5">
      <w:pPr>
        <w:numPr>
          <w:ilvl w:val="0"/>
          <w:numId w:val="8"/>
        </w:numPr>
        <w:spacing w:after="0" w:line="360" w:lineRule="auto"/>
        <w:rPr>
          <w:bCs/>
          <w:color w:val="000000"/>
        </w:rPr>
      </w:pPr>
      <w:r w:rsidRPr="00CC25A0">
        <w:rPr>
          <w:bCs/>
          <w:color w:val="000000"/>
        </w:rPr>
        <w:t>Sellos digitales del emisor y del Servicio de Administración Tributaria y cadena original del complemento de certificación digital del órgano previamente señalado.</w:t>
      </w:r>
    </w:p>
    <w:p w14:paraId="0B40DAF5" w14:textId="77777777" w:rsidR="00542BCE" w:rsidRPr="00CC25A0" w:rsidRDefault="00542BCE">
      <w:pPr>
        <w:spacing w:after="0" w:line="360" w:lineRule="auto"/>
        <w:ind w:right="-93"/>
        <w:rPr>
          <w:color w:val="000000"/>
        </w:rPr>
      </w:pPr>
    </w:p>
    <w:p w14:paraId="521CAE16" w14:textId="77777777" w:rsidR="00542BCE" w:rsidRPr="00CC25A0" w:rsidRDefault="00CC25A0">
      <w:pPr>
        <w:spacing w:after="0" w:line="360" w:lineRule="auto"/>
        <w:ind w:right="-28"/>
        <w:rPr>
          <w:color w:val="000000"/>
        </w:rPr>
      </w:pPr>
      <w:r w:rsidRPr="00CC25A0">
        <w:rPr>
          <w:color w:val="000000"/>
        </w:rPr>
        <w:t>De lo anterior, resulta procedente analizar si dichos datos son públicos o privados; para lo cual, cabe mencionar que el artículo 143, fracción I, de la Ley previamente citada, establece que la información privada y los datos personales, concernientes a una persona física o jurídica colectiva identificada o identificable son confidenciales.</w:t>
      </w:r>
    </w:p>
    <w:p w14:paraId="314F6DF7" w14:textId="77777777" w:rsidR="00542BCE" w:rsidRPr="00CC25A0" w:rsidRDefault="00542BCE">
      <w:pPr>
        <w:spacing w:after="0" w:line="360" w:lineRule="auto"/>
        <w:rPr>
          <w:color w:val="000000"/>
        </w:rPr>
      </w:pPr>
    </w:p>
    <w:p w14:paraId="4F3A6CC1" w14:textId="77777777" w:rsidR="00542BCE" w:rsidRPr="00CC25A0" w:rsidRDefault="00CC25A0">
      <w:pPr>
        <w:spacing w:after="0" w:line="360" w:lineRule="auto"/>
        <w:rPr>
          <w:color w:val="000000"/>
        </w:rPr>
      </w:pPr>
      <w:r w:rsidRPr="00CC25A0">
        <w:rPr>
          <w:color w:val="000000"/>
        </w:rPr>
        <w:t xml:space="preserve">Asimismo, el artículo 145 de la Ley de Transparencia y Acceso a la Información Pública del Estado de México y Municipios, prevé que para que los Sujetos Obligados puedan permitir el </w:t>
      </w:r>
      <w:r w:rsidRPr="00CC25A0">
        <w:rPr>
          <w:color w:val="000000"/>
        </w:rPr>
        <w:lastRenderedPageBreak/>
        <w:t xml:space="preserve">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w:t>
      </w:r>
      <w:r w:rsidRPr="00CC25A0">
        <w:t>transmitan</w:t>
      </w:r>
      <w:r w:rsidRPr="00CC25A0">
        <w:rPr>
          <w:color w:val="000000"/>
        </w:rPr>
        <w:t xml:space="preserve"> entre sujetos obligados en términos de los tratados y los acuerdos interinstitucionales.</w:t>
      </w:r>
    </w:p>
    <w:p w14:paraId="0F6B01A8" w14:textId="77777777" w:rsidR="00542BCE" w:rsidRPr="00CC25A0" w:rsidRDefault="00542BCE">
      <w:pPr>
        <w:spacing w:after="0" w:line="360" w:lineRule="auto"/>
        <w:rPr>
          <w:color w:val="000000"/>
        </w:rPr>
      </w:pPr>
    </w:p>
    <w:p w14:paraId="172B3FD5" w14:textId="77777777" w:rsidR="00542BCE" w:rsidRPr="00CC25A0" w:rsidRDefault="00CC25A0">
      <w:pPr>
        <w:spacing w:after="0" w:line="360" w:lineRule="auto"/>
        <w:rPr>
          <w:color w:val="000000"/>
        </w:rPr>
      </w:pPr>
      <w:r w:rsidRPr="00CC25A0">
        <w:rPr>
          <w:color w:val="000000"/>
        </w:rPr>
        <w:t>En términos de lo expuesto, la documentación y aquellos datos que se consideren confidenciales, serán una limitante del derecho de acceso a la información, siempre y cuando:</w:t>
      </w:r>
    </w:p>
    <w:p w14:paraId="713C91E3" w14:textId="77777777" w:rsidR="00542BCE" w:rsidRPr="00CC25A0" w:rsidRDefault="00542BCE">
      <w:pPr>
        <w:spacing w:after="0" w:line="360" w:lineRule="auto"/>
        <w:rPr>
          <w:color w:val="000000"/>
        </w:rPr>
      </w:pPr>
    </w:p>
    <w:p w14:paraId="3BB5A48E" w14:textId="77777777" w:rsidR="00542BCE" w:rsidRPr="00CC25A0" w:rsidRDefault="00CC25A0">
      <w:pPr>
        <w:numPr>
          <w:ilvl w:val="0"/>
          <w:numId w:val="9"/>
        </w:numPr>
        <w:spacing w:after="0" w:line="360" w:lineRule="auto"/>
        <w:rPr>
          <w:color w:val="000000"/>
        </w:rPr>
      </w:pPr>
      <w:r w:rsidRPr="00CC25A0">
        <w:rPr>
          <w:color w:val="000000"/>
        </w:rPr>
        <w:t xml:space="preserve">Se trate de datos personales o información privada; esto es, información concerniente a una persona física o </w:t>
      </w:r>
      <w:r w:rsidRPr="00CC25A0">
        <w:t>jurídica</w:t>
      </w:r>
      <w:r w:rsidRPr="00CC25A0">
        <w:rPr>
          <w:color w:val="000000"/>
        </w:rPr>
        <w:t xml:space="preserve"> colectiva y que esta sea identificada o identificable. </w:t>
      </w:r>
    </w:p>
    <w:p w14:paraId="4276B56D" w14:textId="77777777" w:rsidR="00542BCE" w:rsidRPr="00CC25A0" w:rsidRDefault="00542BCE">
      <w:pPr>
        <w:spacing w:after="0" w:line="360" w:lineRule="auto"/>
        <w:ind w:left="360"/>
        <w:rPr>
          <w:color w:val="000000"/>
        </w:rPr>
      </w:pPr>
    </w:p>
    <w:p w14:paraId="5F1AE845" w14:textId="77777777" w:rsidR="00542BCE" w:rsidRPr="00CC25A0" w:rsidRDefault="00CC25A0">
      <w:pPr>
        <w:numPr>
          <w:ilvl w:val="0"/>
          <w:numId w:val="9"/>
        </w:numPr>
        <w:spacing w:after="0" w:line="360" w:lineRule="auto"/>
        <w:rPr>
          <w:color w:val="000000"/>
        </w:rPr>
      </w:pPr>
      <w:r w:rsidRPr="00CC25A0">
        <w:rPr>
          <w:color w:val="000000"/>
        </w:rPr>
        <w:t xml:space="preserve">Para la difusión de los datos, se </w:t>
      </w:r>
      <w:r w:rsidRPr="00CC25A0">
        <w:t>requiere</w:t>
      </w:r>
      <w:r w:rsidRPr="00CC25A0">
        <w:rPr>
          <w:color w:val="000000"/>
        </w:rPr>
        <w:t xml:space="preserve"> el consentimiento del titular. </w:t>
      </w:r>
    </w:p>
    <w:p w14:paraId="264D7875" w14:textId="77777777" w:rsidR="00542BCE" w:rsidRPr="00CC25A0" w:rsidRDefault="00542BCE">
      <w:pPr>
        <w:spacing w:after="0" w:line="360" w:lineRule="auto"/>
        <w:rPr>
          <w:color w:val="000000"/>
        </w:rPr>
      </w:pPr>
    </w:p>
    <w:p w14:paraId="0512EEBC" w14:textId="77777777" w:rsidR="00542BCE" w:rsidRPr="00CC25A0" w:rsidRDefault="00CC25A0">
      <w:pPr>
        <w:spacing w:after="0" w:line="360" w:lineRule="auto"/>
        <w:rPr>
          <w:color w:val="000000"/>
        </w:rPr>
      </w:pPr>
      <w:r w:rsidRPr="00CC25A0">
        <w:rPr>
          <w:color w:val="000000"/>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425D47B0" w14:textId="77777777" w:rsidR="00542BCE" w:rsidRPr="00CC25A0" w:rsidRDefault="00542BCE">
      <w:pPr>
        <w:spacing w:after="0" w:line="360" w:lineRule="auto"/>
        <w:rPr>
          <w:color w:val="000000"/>
        </w:rPr>
      </w:pPr>
    </w:p>
    <w:p w14:paraId="0F93F6EB" w14:textId="77777777" w:rsidR="00542BCE" w:rsidRPr="00CC25A0" w:rsidRDefault="00CC25A0">
      <w:pPr>
        <w:spacing w:after="0" w:line="360" w:lineRule="auto"/>
        <w:rPr>
          <w:color w:val="000000"/>
        </w:rPr>
      </w:pPr>
      <w:r w:rsidRPr="00CC25A0">
        <w:rPr>
          <w:color w:val="000000"/>
        </w:rPr>
        <w:t xml:space="preserve">En este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w:t>
      </w:r>
      <w:r w:rsidRPr="00CC25A0">
        <w:rPr>
          <w:color w:val="000000"/>
        </w:rPr>
        <w:lastRenderedPageBreak/>
        <w:t>fracción I, de la Ley de Transparencia y Acceso a la Información Pública del Estado de México y Municipios, o públicos.</w:t>
      </w:r>
    </w:p>
    <w:p w14:paraId="3A744FE4" w14:textId="77777777" w:rsidR="00542BCE" w:rsidRPr="00CC25A0" w:rsidRDefault="00542BCE">
      <w:pPr>
        <w:spacing w:after="0" w:line="360" w:lineRule="auto"/>
        <w:ind w:right="-28"/>
        <w:rPr>
          <w:color w:val="000000"/>
        </w:rPr>
      </w:pPr>
    </w:p>
    <w:p w14:paraId="1B29B25A" w14:textId="77777777" w:rsidR="00542BCE" w:rsidRPr="00CC25A0" w:rsidRDefault="00CC25A0">
      <w:pPr>
        <w:numPr>
          <w:ilvl w:val="0"/>
          <w:numId w:val="10"/>
        </w:numPr>
        <w:spacing w:after="0" w:line="360" w:lineRule="auto"/>
        <w:rPr>
          <w:b/>
          <w:color w:val="000000"/>
        </w:rPr>
      </w:pPr>
      <w:r w:rsidRPr="00CC25A0">
        <w:rPr>
          <w:b/>
          <w:color w:val="000000"/>
        </w:rPr>
        <w:t>Clave Única de Registro de Población (CURP)</w:t>
      </w:r>
    </w:p>
    <w:p w14:paraId="29ABD5FA" w14:textId="77777777" w:rsidR="00542BCE" w:rsidRPr="00CC25A0" w:rsidRDefault="00542BCE">
      <w:pPr>
        <w:spacing w:after="0" w:line="360" w:lineRule="auto"/>
        <w:rPr>
          <w:color w:val="000000"/>
        </w:rPr>
      </w:pPr>
    </w:p>
    <w:p w14:paraId="403CA2E6" w14:textId="77777777" w:rsidR="00542BCE" w:rsidRPr="00CC25A0" w:rsidRDefault="00CC25A0">
      <w:pPr>
        <w:spacing w:after="0" w:line="360" w:lineRule="auto"/>
        <w:rPr>
          <w:color w:val="000000"/>
        </w:rPr>
      </w:pPr>
      <w:r w:rsidRPr="00CC25A0">
        <w:rPr>
          <w:color w:val="000000"/>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71422B8A" w14:textId="77777777" w:rsidR="00542BCE" w:rsidRPr="00CC25A0" w:rsidRDefault="00542BCE">
      <w:pPr>
        <w:spacing w:after="0" w:line="360" w:lineRule="auto"/>
        <w:rPr>
          <w:color w:val="000000"/>
        </w:rPr>
      </w:pPr>
    </w:p>
    <w:p w14:paraId="128D531C" w14:textId="77777777" w:rsidR="00542BCE" w:rsidRPr="00CC25A0" w:rsidRDefault="00CC25A0">
      <w:pPr>
        <w:spacing w:after="0" w:line="360" w:lineRule="auto"/>
        <w:rPr>
          <w:color w:val="000000"/>
        </w:rPr>
      </w:pPr>
      <w:r w:rsidRPr="00CC25A0">
        <w:rPr>
          <w:color w:val="000000"/>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52BA03F5" w14:textId="77777777" w:rsidR="00542BCE" w:rsidRPr="00CC25A0" w:rsidRDefault="00542BCE">
      <w:pPr>
        <w:spacing w:after="0" w:line="360" w:lineRule="auto"/>
        <w:rPr>
          <w:color w:val="000000"/>
        </w:rPr>
      </w:pPr>
    </w:p>
    <w:p w14:paraId="45369CFA" w14:textId="4E909116" w:rsidR="00542BCE" w:rsidRPr="00CC25A0" w:rsidRDefault="00CC25A0">
      <w:pPr>
        <w:spacing w:after="0" w:line="360" w:lineRule="auto"/>
        <w:rPr>
          <w:color w:val="000000"/>
        </w:rPr>
      </w:pPr>
      <w:r w:rsidRPr="00CC25A0">
        <w:rPr>
          <w:color w:val="000000"/>
        </w:rPr>
        <w:t xml:space="preserve">En ese orden de ideas, la Secretaría de Gobernación en las direcciones </w:t>
      </w:r>
      <w:hyperlink r:id="rId9">
        <w:r w:rsidRPr="00CC25A0">
          <w:rPr>
            <w:color w:val="000000"/>
            <w:u w:val="single"/>
          </w:rPr>
          <w:t>https://consultas.curp.gob.mx/CurpSP/html/informacionecurpPS.html</w:t>
        </w:r>
      </w:hyperlink>
      <w:r w:rsidRPr="00CC25A0">
        <w:rPr>
          <w:color w:val="000000"/>
        </w:rPr>
        <w:t xml:space="preserve"> y </w:t>
      </w:r>
      <w:hyperlink r:id="rId10">
        <w:r w:rsidRPr="00CC25A0">
          <w:rPr>
            <w:color w:val="000000"/>
            <w:u w:val="single"/>
          </w:rPr>
          <w:t>https://www.gob.mx/segob/renapo/acciones-y-programas/clave-unica-de-registro-de-poblacion-curp-142226</w:t>
        </w:r>
      </w:hyperlink>
      <w:r w:rsidRPr="00CC25A0">
        <w:rPr>
          <w:color w:val="000000"/>
        </w:rPr>
        <w:t xml:space="preserve">,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CC25A0">
        <w:rPr>
          <w:b/>
          <w:color w:val="000000"/>
        </w:rPr>
        <w:t>se generan a partir de los datos contenidos en el documento probatorio de la identidad</w:t>
      </w:r>
      <w:r w:rsidRPr="00CC25A0">
        <w:rPr>
          <w:color w:val="000000"/>
        </w:rPr>
        <w:t xml:space="preserve"> </w:t>
      </w:r>
      <w:r w:rsidRPr="00CC25A0">
        <w:rPr>
          <w:b/>
          <w:color w:val="000000"/>
        </w:rPr>
        <w:t xml:space="preserve">del interesado </w:t>
      </w:r>
      <w:r w:rsidRPr="00CC25A0">
        <w:rPr>
          <w:color w:val="000000"/>
        </w:rPr>
        <w:t>(acta de nacimiento, carta de naturalización o documento migratorio) de la siguiente forma:</w:t>
      </w:r>
    </w:p>
    <w:p w14:paraId="5B310DE4" w14:textId="77777777" w:rsidR="00542BCE" w:rsidRPr="00CC25A0" w:rsidRDefault="00542BCE">
      <w:pPr>
        <w:spacing w:after="0" w:line="360" w:lineRule="auto"/>
        <w:rPr>
          <w:color w:val="000000"/>
        </w:rPr>
      </w:pPr>
    </w:p>
    <w:p w14:paraId="03EED353" w14:textId="77777777" w:rsidR="00542BCE" w:rsidRPr="00CC25A0" w:rsidRDefault="00CC25A0">
      <w:pPr>
        <w:numPr>
          <w:ilvl w:val="0"/>
          <w:numId w:val="6"/>
        </w:numPr>
        <w:spacing w:after="0" w:line="360" w:lineRule="auto"/>
        <w:rPr>
          <w:color w:val="000000"/>
        </w:rPr>
      </w:pPr>
      <w:r w:rsidRPr="00CC25A0">
        <w:rPr>
          <w:color w:val="000000"/>
        </w:rPr>
        <w:lastRenderedPageBreak/>
        <w:t>El primero y segundo apellidos, así como al nombre de pila;</w:t>
      </w:r>
    </w:p>
    <w:p w14:paraId="7C2DD56A" w14:textId="77777777" w:rsidR="00542BCE" w:rsidRPr="00CC25A0" w:rsidRDefault="00CC25A0">
      <w:pPr>
        <w:numPr>
          <w:ilvl w:val="0"/>
          <w:numId w:val="6"/>
        </w:numPr>
        <w:spacing w:after="0" w:line="360" w:lineRule="auto"/>
        <w:rPr>
          <w:color w:val="000000"/>
        </w:rPr>
      </w:pPr>
      <w:r w:rsidRPr="00CC25A0">
        <w:rPr>
          <w:color w:val="000000"/>
        </w:rPr>
        <w:t>La fecha de nacimiento;</w:t>
      </w:r>
    </w:p>
    <w:p w14:paraId="0561418B" w14:textId="77777777" w:rsidR="00542BCE" w:rsidRPr="00CC25A0" w:rsidRDefault="00CC25A0">
      <w:pPr>
        <w:numPr>
          <w:ilvl w:val="0"/>
          <w:numId w:val="6"/>
        </w:numPr>
        <w:spacing w:after="0" w:line="360" w:lineRule="auto"/>
        <w:rPr>
          <w:color w:val="000000"/>
        </w:rPr>
      </w:pPr>
      <w:r w:rsidRPr="00CC25A0">
        <w:rPr>
          <w:color w:val="000000"/>
        </w:rPr>
        <w:t>El sexo, y</w:t>
      </w:r>
    </w:p>
    <w:p w14:paraId="7F1C1289" w14:textId="77777777" w:rsidR="00542BCE" w:rsidRPr="00CC25A0" w:rsidRDefault="00CC25A0">
      <w:pPr>
        <w:numPr>
          <w:ilvl w:val="0"/>
          <w:numId w:val="6"/>
        </w:numPr>
        <w:spacing w:after="0" w:line="360" w:lineRule="auto"/>
        <w:rPr>
          <w:color w:val="000000"/>
        </w:rPr>
      </w:pPr>
      <w:r w:rsidRPr="00CC25A0">
        <w:rPr>
          <w:color w:val="000000"/>
        </w:rPr>
        <w:t>La entidad federativa de nacimiento.</w:t>
      </w:r>
    </w:p>
    <w:p w14:paraId="730015F1" w14:textId="77777777" w:rsidR="00542BCE" w:rsidRPr="00CC25A0" w:rsidRDefault="00542BCE">
      <w:pPr>
        <w:spacing w:after="0" w:line="360" w:lineRule="auto"/>
        <w:rPr>
          <w:color w:val="000000"/>
        </w:rPr>
      </w:pPr>
    </w:p>
    <w:p w14:paraId="6556A846" w14:textId="77777777" w:rsidR="00542BCE" w:rsidRPr="00CC25A0" w:rsidRDefault="00CC25A0">
      <w:pPr>
        <w:spacing w:after="0" w:line="360" w:lineRule="auto"/>
        <w:rPr>
          <w:color w:val="000000"/>
        </w:rPr>
      </w:pPr>
      <w:r w:rsidRPr="00CC25A0">
        <w:rPr>
          <w:color w:val="000000"/>
        </w:rPr>
        <w:t>Los dos últimos elementos de la Clave Única de Registro de Población evitan la duplicidad de la Clave y garantizan su correcta integración.</w:t>
      </w:r>
    </w:p>
    <w:p w14:paraId="48826AA8" w14:textId="77777777" w:rsidR="00542BCE" w:rsidRPr="00CC25A0" w:rsidRDefault="00542BCE">
      <w:pPr>
        <w:spacing w:after="0" w:line="360" w:lineRule="auto"/>
        <w:rPr>
          <w:color w:val="000000"/>
        </w:rPr>
      </w:pPr>
    </w:p>
    <w:p w14:paraId="4E429815" w14:textId="77777777" w:rsidR="00542BCE" w:rsidRPr="00CC25A0" w:rsidRDefault="00CC25A0">
      <w:pPr>
        <w:spacing w:after="0" w:line="360" w:lineRule="auto"/>
        <w:rPr>
          <w:color w:val="000000"/>
        </w:rPr>
      </w:pPr>
      <w:r w:rsidRPr="00CC25A0">
        <w:rPr>
          <w:color w:val="000000"/>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6BD12A6E" w14:textId="77777777" w:rsidR="00542BCE" w:rsidRPr="00CC25A0" w:rsidRDefault="00542BCE">
      <w:pPr>
        <w:spacing w:after="0" w:line="360" w:lineRule="auto"/>
        <w:rPr>
          <w:color w:val="000000"/>
        </w:rPr>
      </w:pPr>
    </w:p>
    <w:p w14:paraId="52559EC4" w14:textId="77777777" w:rsidR="00542BCE" w:rsidRPr="00CC25A0" w:rsidRDefault="00CC25A0">
      <w:pPr>
        <w:spacing w:after="0" w:line="360" w:lineRule="auto"/>
        <w:rPr>
          <w:color w:val="000000"/>
        </w:rPr>
      </w:pPr>
      <w:r w:rsidRPr="00CC25A0">
        <w:rPr>
          <w:color w:val="000000"/>
        </w:rPr>
        <w:t>Situación que se robustece, con el Criterio Orientador, de la Segunda Época, con número de registro SO/018/2017, emitido por el entonces Instituto Nacional de Transparencia, Acceso a la Información y Protección de Datos Personales, vigente a la fecha de la solicitud, que establece lo siguiente:</w:t>
      </w:r>
    </w:p>
    <w:p w14:paraId="39B8B91E" w14:textId="77777777" w:rsidR="00542BCE" w:rsidRPr="00CC25A0" w:rsidRDefault="00542BCE">
      <w:pPr>
        <w:spacing w:after="0" w:line="360" w:lineRule="auto"/>
        <w:ind w:left="567" w:right="567"/>
        <w:rPr>
          <w:color w:val="000000"/>
        </w:rPr>
      </w:pPr>
    </w:p>
    <w:p w14:paraId="7EA28DA9" w14:textId="77777777" w:rsidR="00542BCE" w:rsidRPr="00CC25A0" w:rsidRDefault="00CC25A0">
      <w:pPr>
        <w:spacing w:after="0" w:line="360" w:lineRule="auto"/>
        <w:ind w:left="567" w:right="567"/>
        <w:rPr>
          <w:i/>
          <w:color w:val="000000"/>
          <w:sz w:val="20"/>
          <w:szCs w:val="20"/>
        </w:rPr>
      </w:pPr>
      <w:r w:rsidRPr="00CC25A0">
        <w:rPr>
          <w:b/>
          <w:i/>
          <w:color w:val="000000"/>
          <w:sz w:val="20"/>
          <w:szCs w:val="20"/>
        </w:rPr>
        <w:t xml:space="preserve">“Clave Única de Registro de Población (CURP). </w:t>
      </w:r>
      <w:r w:rsidRPr="00CC25A0">
        <w:rPr>
          <w:i/>
          <w:color w:val="000000"/>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3D217D76" w14:textId="77777777" w:rsidR="00542BCE" w:rsidRPr="00CC25A0" w:rsidRDefault="00542BCE">
      <w:pPr>
        <w:spacing w:after="0" w:line="360" w:lineRule="auto"/>
        <w:rPr>
          <w:color w:val="000000"/>
        </w:rPr>
      </w:pPr>
    </w:p>
    <w:p w14:paraId="48D6F574" w14:textId="77777777" w:rsidR="00542BCE" w:rsidRPr="00CC25A0" w:rsidRDefault="00CC25A0">
      <w:pPr>
        <w:spacing w:after="0" w:line="360" w:lineRule="auto"/>
        <w:rPr>
          <w:color w:val="000000"/>
        </w:rPr>
      </w:pPr>
      <w:r w:rsidRPr="00CC25A0">
        <w:rPr>
          <w:color w:val="000000"/>
        </w:rPr>
        <w:lastRenderedPageBreak/>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799337F5" w14:textId="77777777" w:rsidR="00542BCE" w:rsidRPr="00CC25A0" w:rsidRDefault="00542BCE">
      <w:pPr>
        <w:spacing w:after="0" w:line="360" w:lineRule="auto"/>
        <w:rPr>
          <w:color w:val="000000"/>
        </w:rPr>
      </w:pPr>
    </w:p>
    <w:p w14:paraId="1FD6A386" w14:textId="77777777" w:rsidR="00542BCE" w:rsidRPr="00CC25A0" w:rsidRDefault="00CC25A0">
      <w:pPr>
        <w:numPr>
          <w:ilvl w:val="0"/>
          <w:numId w:val="10"/>
        </w:numPr>
        <w:spacing w:after="0" w:line="360" w:lineRule="auto"/>
        <w:rPr>
          <w:b/>
          <w:color w:val="000000"/>
        </w:rPr>
      </w:pPr>
      <w:r w:rsidRPr="00CC25A0">
        <w:rPr>
          <w:b/>
          <w:color w:val="000000"/>
        </w:rPr>
        <w:t>Registro Federal de Contribuyentes (RFC)</w:t>
      </w:r>
    </w:p>
    <w:p w14:paraId="084C065A" w14:textId="77777777" w:rsidR="00542BCE" w:rsidRPr="00CC25A0" w:rsidRDefault="00542BCE">
      <w:pPr>
        <w:spacing w:after="0" w:line="360" w:lineRule="auto"/>
        <w:rPr>
          <w:color w:val="000000"/>
        </w:rPr>
      </w:pPr>
    </w:p>
    <w:p w14:paraId="679C66C9" w14:textId="77777777" w:rsidR="00542BCE" w:rsidRPr="00CC25A0" w:rsidRDefault="00CC25A0">
      <w:pPr>
        <w:spacing w:after="0" w:line="360" w:lineRule="auto"/>
        <w:rPr>
          <w:color w:val="000000"/>
        </w:rPr>
      </w:pPr>
      <w:r w:rsidRPr="00CC25A0">
        <w:rPr>
          <w:color w:val="000000"/>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762020C8" w14:textId="77777777" w:rsidR="00542BCE" w:rsidRPr="00CC25A0" w:rsidRDefault="00542BCE">
      <w:pPr>
        <w:spacing w:after="0" w:line="360" w:lineRule="auto"/>
        <w:rPr>
          <w:color w:val="000000"/>
        </w:rPr>
      </w:pPr>
    </w:p>
    <w:p w14:paraId="49968AD9" w14:textId="77777777" w:rsidR="00542BCE" w:rsidRPr="00CC25A0" w:rsidRDefault="00CC25A0">
      <w:pPr>
        <w:spacing w:after="0" w:line="360" w:lineRule="auto"/>
        <w:rPr>
          <w:color w:val="000000"/>
        </w:rPr>
      </w:pPr>
      <w:r w:rsidRPr="00CC25A0">
        <w:rPr>
          <w:color w:val="000000"/>
        </w:rPr>
        <w:t xml:space="preserve">De acuerdo a lo establecido en el artículo en comento, esta clave se compone de trece caracteres alfanuméricos, con datos obtenidos de los apellidos, nombre(s), fecha de nacimiento del titular, más una </w:t>
      </w:r>
      <w:proofErr w:type="spellStart"/>
      <w:r w:rsidRPr="00CC25A0">
        <w:rPr>
          <w:color w:val="000000"/>
        </w:rPr>
        <w:t>homoclave</w:t>
      </w:r>
      <w:proofErr w:type="spellEnd"/>
      <w:r w:rsidRPr="00CC25A0">
        <w:rPr>
          <w:color w:val="000000"/>
        </w:rPr>
        <w:t xml:space="preserve"> que establece el sistema automático del Servicio de Administración Tributaria.</w:t>
      </w:r>
    </w:p>
    <w:p w14:paraId="2F5979C7" w14:textId="77777777" w:rsidR="00542BCE" w:rsidRPr="00CC25A0" w:rsidRDefault="00542BCE">
      <w:pPr>
        <w:spacing w:after="0" w:line="360" w:lineRule="auto"/>
        <w:rPr>
          <w:color w:val="000000"/>
        </w:rPr>
      </w:pPr>
    </w:p>
    <w:p w14:paraId="16A1A40F" w14:textId="77777777" w:rsidR="00542BCE" w:rsidRPr="00CC25A0" w:rsidRDefault="00CC25A0">
      <w:pPr>
        <w:spacing w:after="0" w:line="360" w:lineRule="auto"/>
        <w:rPr>
          <w:color w:val="000000"/>
        </w:rPr>
      </w:pPr>
      <w:r w:rsidRPr="00CC25A0">
        <w:rPr>
          <w:color w:val="000000"/>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521F81FB" w14:textId="77777777" w:rsidR="00542BCE" w:rsidRPr="00CC25A0" w:rsidRDefault="00542BCE">
      <w:pPr>
        <w:spacing w:after="0" w:line="360" w:lineRule="auto"/>
        <w:rPr>
          <w:color w:val="000000"/>
        </w:rPr>
      </w:pPr>
    </w:p>
    <w:p w14:paraId="1DCA4C4F" w14:textId="77777777" w:rsidR="00542BCE" w:rsidRPr="00CC25A0" w:rsidRDefault="00CC25A0">
      <w:pPr>
        <w:spacing w:after="0" w:line="360" w:lineRule="auto"/>
        <w:rPr>
          <w:color w:val="000000"/>
        </w:rPr>
      </w:pPr>
      <w:r w:rsidRPr="00CC25A0">
        <w:rPr>
          <w:color w:val="000000"/>
        </w:rPr>
        <w:t xml:space="preserve">Así, el Registro Federal de Contribuyentes, es un dato personal, ya que hace a las personas físicas </w:t>
      </w:r>
      <w:r w:rsidRPr="00CC25A0">
        <w:t>identificadas</w:t>
      </w:r>
      <w:r w:rsidRPr="00CC25A0">
        <w:rPr>
          <w:color w:val="000000"/>
        </w:rPr>
        <w:t xml:space="preserve"> e identificables, además de que las relaciona como contribuyentes de las </w:t>
      </w:r>
      <w:r w:rsidRPr="00CC25A0">
        <w:rPr>
          <w:color w:val="000000"/>
        </w:rPr>
        <w:lastRenderedPageBreak/>
        <w:t xml:space="preserve">autoridades fiscales. Es de destacar que dicho dato únicamente sirve para efectos fiscales y pago de contribuciones, por lo que se trata de un dato relevante únicamente para las personas </w:t>
      </w:r>
      <w:proofErr w:type="gramStart"/>
      <w:r w:rsidRPr="00CC25A0">
        <w:t>involucradas</w:t>
      </w:r>
      <w:proofErr w:type="gramEnd"/>
      <w:r w:rsidRPr="00CC25A0">
        <w:rPr>
          <w:color w:val="000000"/>
        </w:rPr>
        <w:t xml:space="preserve">, en el pago de estos, en el presente caso, del pago del Impuesto Sobre el Producto del Trabajo. </w:t>
      </w:r>
    </w:p>
    <w:p w14:paraId="74DE292B" w14:textId="77777777" w:rsidR="00542BCE" w:rsidRPr="00CC25A0" w:rsidRDefault="00542BCE">
      <w:pPr>
        <w:spacing w:after="0" w:line="360" w:lineRule="auto"/>
        <w:rPr>
          <w:color w:val="000000"/>
        </w:rPr>
      </w:pPr>
    </w:p>
    <w:p w14:paraId="09DE58DA" w14:textId="77777777" w:rsidR="00542BCE" w:rsidRPr="00CC25A0" w:rsidRDefault="00CC25A0">
      <w:pPr>
        <w:spacing w:after="0" w:line="360" w:lineRule="auto"/>
        <w:rPr>
          <w:color w:val="000000"/>
        </w:rPr>
      </w:pPr>
      <w:r w:rsidRPr="00CC25A0">
        <w:rPr>
          <w:color w:val="000000"/>
        </w:rPr>
        <w:t>Lo anterior, resulta congruente con el Criterio Orientador, de la Segunda Época, con número de registro SO/019/2017, emitido por el entonces Instituto Nacional de Transparencia, Acceso a la Información y Protección de Datos Personales, vigente a la fecha de la solicitud, en el cual se señala lo siguiente:</w:t>
      </w:r>
    </w:p>
    <w:p w14:paraId="32034AD5" w14:textId="77777777" w:rsidR="00542BCE" w:rsidRPr="00CC25A0" w:rsidRDefault="00542BCE">
      <w:pPr>
        <w:spacing w:after="0" w:line="360" w:lineRule="auto"/>
        <w:rPr>
          <w:color w:val="000000"/>
        </w:rPr>
      </w:pPr>
    </w:p>
    <w:p w14:paraId="435AAA97" w14:textId="77777777" w:rsidR="00542BCE" w:rsidRPr="00CC25A0" w:rsidRDefault="00CC25A0">
      <w:pPr>
        <w:spacing w:after="0" w:line="360" w:lineRule="auto"/>
        <w:ind w:left="567" w:right="567"/>
        <w:rPr>
          <w:i/>
          <w:color w:val="000000"/>
          <w:sz w:val="20"/>
          <w:szCs w:val="20"/>
        </w:rPr>
      </w:pPr>
      <w:r w:rsidRPr="00CC25A0">
        <w:rPr>
          <w:b/>
          <w:i/>
          <w:color w:val="000000"/>
          <w:sz w:val="20"/>
          <w:szCs w:val="20"/>
        </w:rPr>
        <w:t>“Registro Federal de Contribuyentes (RFC) de personas físicas.</w:t>
      </w:r>
      <w:r w:rsidRPr="00CC25A0">
        <w:rPr>
          <w:i/>
          <w:color w:val="000000"/>
          <w:sz w:val="20"/>
          <w:szCs w:val="20"/>
        </w:rPr>
        <w:t xml:space="preserve"> El RFC es una clave de carácter fiscal, única e irrepetible, que permite identificar al titular, su edad y fecha de nacimiento, por lo que es un dato personal de carácter confidencial.”</w:t>
      </w:r>
    </w:p>
    <w:p w14:paraId="084F3B33" w14:textId="77777777" w:rsidR="00542BCE" w:rsidRPr="00CC25A0" w:rsidRDefault="00542BCE">
      <w:pPr>
        <w:spacing w:after="0" w:line="360" w:lineRule="auto"/>
        <w:ind w:left="567" w:right="567"/>
        <w:rPr>
          <w:i/>
          <w:color w:val="000000"/>
        </w:rPr>
      </w:pPr>
    </w:p>
    <w:p w14:paraId="629ECCEC" w14:textId="77777777" w:rsidR="00542BCE" w:rsidRPr="00CC25A0" w:rsidRDefault="00CC25A0">
      <w:pPr>
        <w:spacing w:after="0" w:line="360" w:lineRule="auto"/>
        <w:rPr>
          <w:color w:val="000000"/>
        </w:rPr>
      </w:pPr>
      <w:r w:rsidRPr="00CC25A0">
        <w:rPr>
          <w:color w:val="000000"/>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012858D3" w14:textId="77777777" w:rsidR="00542BCE" w:rsidRPr="00CC25A0" w:rsidRDefault="00542BCE">
      <w:pPr>
        <w:tabs>
          <w:tab w:val="center" w:pos="4522"/>
        </w:tabs>
        <w:spacing w:after="0" w:line="360" w:lineRule="auto"/>
        <w:rPr>
          <w:color w:val="000000"/>
        </w:rPr>
      </w:pPr>
    </w:p>
    <w:p w14:paraId="6C442929" w14:textId="77777777" w:rsidR="001E0DCE" w:rsidRPr="00CC25A0" w:rsidRDefault="001E0DCE" w:rsidP="001E0DCE">
      <w:pPr>
        <w:numPr>
          <w:ilvl w:val="0"/>
          <w:numId w:val="12"/>
        </w:numPr>
        <w:spacing w:after="0" w:line="360" w:lineRule="auto"/>
        <w:jc w:val="left"/>
        <w:rPr>
          <w:b/>
          <w:color w:val="000000"/>
        </w:rPr>
      </w:pPr>
      <w:r w:rsidRPr="00CC25A0">
        <w:rPr>
          <w:b/>
          <w:color w:val="000000"/>
        </w:rPr>
        <w:t xml:space="preserve">Código bidimensional o </w:t>
      </w:r>
      <w:proofErr w:type="spellStart"/>
      <w:r w:rsidRPr="00CC25A0">
        <w:rPr>
          <w:b/>
          <w:color w:val="000000"/>
        </w:rPr>
        <w:t>Qr</w:t>
      </w:r>
      <w:proofErr w:type="spellEnd"/>
    </w:p>
    <w:p w14:paraId="0DEBF7D1" w14:textId="77777777" w:rsidR="001E0DCE" w:rsidRPr="00CC25A0" w:rsidRDefault="001E0DCE" w:rsidP="001E0DCE">
      <w:pPr>
        <w:spacing w:after="0" w:line="360" w:lineRule="auto"/>
        <w:rPr>
          <w:b/>
          <w:color w:val="000000"/>
        </w:rPr>
      </w:pPr>
    </w:p>
    <w:p w14:paraId="308ED263" w14:textId="77777777" w:rsidR="001E0DCE" w:rsidRPr="00CC25A0" w:rsidRDefault="001E0DCE" w:rsidP="001E0DCE">
      <w:pPr>
        <w:spacing w:after="0" w:line="360" w:lineRule="auto"/>
        <w:rPr>
          <w:color w:val="000000"/>
        </w:rPr>
      </w:pPr>
      <w:r w:rsidRPr="00CC25A0">
        <w:rPr>
          <w:color w:val="000000"/>
        </w:rPr>
        <w:t xml:space="preserve">En principio, resulta necesario señalar que los comprobantes fiscales digitales por Internet, deben de incluir un código bidimensional conforme al formato </w:t>
      </w:r>
      <w:r w:rsidRPr="00CC25A0">
        <w:rPr>
          <w:i/>
          <w:color w:val="000000"/>
        </w:rPr>
        <w:t xml:space="preserve">QR </w:t>
      </w:r>
      <w:proofErr w:type="spellStart"/>
      <w:r w:rsidRPr="00CC25A0">
        <w:rPr>
          <w:i/>
          <w:color w:val="000000"/>
        </w:rPr>
        <w:t>Code</w:t>
      </w:r>
      <w:proofErr w:type="spellEnd"/>
      <w:r w:rsidRPr="00CC25A0">
        <w:rPr>
          <w:i/>
          <w:color w:val="000000"/>
        </w:rPr>
        <w:t xml:space="preserve"> (Quick Response </w:t>
      </w:r>
      <w:proofErr w:type="spellStart"/>
      <w:r w:rsidRPr="00CC25A0">
        <w:rPr>
          <w:i/>
          <w:color w:val="000000"/>
        </w:rPr>
        <w:t>Code</w:t>
      </w:r>
      <w:proofErr w:type="spellEnd"/>
      <w:r w:rsidRPr="00CC25A0">
        <w:rPr>
          <w:i/>
          <w:color w:val="000000"/>
        </w:rPr>
        <w:t>)</w:t>
      </w:r>
      <w:r w:rsidRPr="00CC25A0">
        <w:rPr>
          <w:color w:val="000000"/>
        </w:rPr>
        <w:t xml:space="preserve">, el cual contiene el Registro Federal de Contribuyentes del receptor, del emisor, o de ambos; lo anterior, conforme al Anexo 20 de la Segunda Resolución de modificación a la Resolución Miscelánea Fiscal. Incluso con la captura de dicho código, a través de la aplicación móvil del </w:t>
      </w:r>
      <w:r w:rsidRPr="00CC25A0">
        <w:rPr>
          <w:color w:val="000000"/>
        </w:rPr>
        <w:lastRenderedPageBreak/>
        <w:t>Servicio de Administración Tributaria, permite el acceso al Registro Federal de Contribuyentes, como del Sujeto Obligado, como de los servidores públicos.</w:t>
      </w:r>
    </w:p>
    <w:p w14:paraId="7229E20D" w14:textId="77777777" w:rsidR="001E0DCE" w:rsidRPr="00CC25A0" w:rsidRDefault="001E0DCE" w:rsidP="001E0DCE">
      <w:pPr>
        <w:spacing w:after="0" w:line="360" w:lineRule="auto"/>
        <w:rPr>
          <w:color w:val="000000"/>
        </w:rPr>
      </w:pPr>
    </w:p>
    <w:p w14:paraId="4BD1EE81" w14:textId="77777777" w:rsidR="001E0DCE" w:rsidRPr="00CC25A0" w:rsidRDefault="001E0DCE" w:rsidP="001E0DCE">
      <w:pPr>
        <w:spacing w:after="0" w:line="360" w:lineRule="auto"/>
        <w:rPr>
          <w:color w:val="000000"/>
        </w:rPr>
      </w:pPr>
      <w:r w:rsidRPr="00CC25A0">
        <w:rPr>
          <w:color w:val="000000"/>
        </w:rPr>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14:paraId="6C149279" w14:textId="77777777" w:rsidR="001E0DCE" w:rsidRPr="00CC25A0" w:rsidRDefault="001E0DCE">
      <w:pPr>
        <w:tabs>
          <w:tab w:val="center" w:pos="4522"/>
        </w:tabs>
        <w:spacing w:after="0" w:line="360" w:lineRule="auto"/>
        <w:rPr>
          <w:color w:val="000000"/>
        </w:rPr>
      </w:pPr>
    </w:p>
    <w:p w14:paraId="03E43706" w14:textId="77777777" w:rsidR="00542BCE" w:rsidRPr="00CC25A0" w:rsidRDefault="00CC25A0">
      <w:pPr>
        <w:numPr>
          <w:ilvl w:val="0"/>
          <w:numId w:val="10"/>
        </w:numPr>
        <w:spacing w:after="0" w:line="360" w:lineRule="auto"/>
        <w:rPr>
          <w:b/>
          <w:color w:val="000000"/>
        </w:rPr>
      </w:pPr>
      <w:r w:rsidRPr="00CC25A0">
        <w:rPr>
          <w:b/>
          <w:color w:val="000000"/>
        </w:rPr>
        <w:t>Número de seguridad social del Instituto de Seguridad Social del Estado de México y Municipios</w:t>
      </w:r>
    </w:p>
    <w:p w14:paraId="651FA6A3" w14:textId="77777777" w:rsidR="00542BCE" w:rsidRPr="00CC25A0" w:rsidRDefault="00542BCE">
      <w:pPr>
        <w:spacing w:after="0" w:line="360" w:lineRule="auto"/>
        <w:rPr>
          <w:b/>
          <w:color w:val="000000"/>
        </w:rPr>
      </w:pPr>
    </w:p>
    <w:p w14:paraId="0A48AF2C" w14:textId="77777777" w:rsidR="00542BCE" w:rsidRPr="00CC25A0" w:rsidRDefault="00CC25A0">
      <w:pPr>
        <w:spacing w:after="0" w:line="360" w:lineRule="auto"/>
        <w:rPr>
          <w:color w:val="000000"/>
        </w:rPr>
      </w:pPr>
      <w:r w:rsidRPr="00CC25A0">
        <w:rPr>
          <w:color w:val="000000"/>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2174CEBA" w14:textId="77777777" w:rsidR="00542BCE" w:rsidRPr="00CC25A0" w:rsidRDefault="00542BCE">
      <w:pPr>
        <w:spacing w:after="0" w:line="360" w:lineRule="auto"/>
        <w:rPr>
          <w:color w:val="000000"/>
        </w:rPr>
      </w:pPr>
    </w:p>
    <w:p w14:paraId="192B81B3" w14:textId="77777777" w:rsidR="00542BCE" w:rsidRPr="00CC25A0" w:rsidRDefault="00CC25A0">
      <w:pPr>
        <w:spacing w:after="0" w:line="360" w:lineRule="auto"/>
        <w:rPr>
          <w:color w:val="000000"/>
        </w:rPr>
      </w:pPr>
      <w:r w:rsidRPr="00CC25A0">
        <w:rPr>
          <w:color w:val="000000"/>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351B787C" w14:textId="77777777" w:rsidR="00542BCE" w:rsidRPr="00CC25A0" w:rsidRDefault="00542BCE">
      <w:pPr>
        <w:spacing w:after="0" w:line="360" w:lineRule="auto"/>
        <w:rPr>
          <w:color w:val="000000"/>
        </w:rPr>
      </w:pPr>
    </w:p>
    <w:p w14:paraId="79E9F952" w14:textId="77777777" w:rsidR="00542BCE" w:rsidRPr="00CC25A0" w:rsidRDefault="00CC25A0">
      <w:pPr>
        <w:spacing w:after="0" w:line="360" w:lineRule="auto"/>
        <w:rPr>
          <w:color w:val="000000"/>
        </w:rPr>
      </w:pPr>
      <w:r w:rsidRPr="00CC25A0">
        <w:rPr>
          <w:color w:val="000000"/>
        </w:rPr>
        <w:lastRenderedPageBreak/>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200EBB8C" w14:textId="77777777" w:rsidR="00542BCE" w:rsidRPr="00CC25A0" w:rsidRDefault="00542BCE">
      <w:pPr>
        <w:spacing w:after="0" w:line="360" w:lineRule="auto"/>
        <w:rPr>
          <w:color w:val="000000"/>
        </w:rPr>
      </w:pPr>
    </w:p>
    <w:p w14:paraId="703DADF7" w14:textId="77777777" w:rsidR="00542BCE" w:rsidRPr="00CC25A0" w:rsidRDefault="00CC25A0">
      <w:pPr>
        <w:spacing w:after="0" w:line="360" w:lineRule="auto"/>
        <w:rPr>
          <w:color w:val="000000"/>
        </w:rPr>
      </w:pPr>
      <w:r w:rsidRPr="00CC25A0">
        <w:rPr>
          <w:color w:val="000000"/>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0947E135" w14:textId="77777777" w:rsidR="00542BCE" w:rsidRPr="00CC25A0" w:rsidRDefault="00542BCE">
      <w:pPr>
        <w:spacing w:after="0" w:line="360" w:lineRule="auto"/>
        <w:rPr>
          <w:color w:val="000000"/>
        </w:rPr>
      </w:pPr>
    </w:p>
    <w:p w14:paraId="25976720" w14:textId="77777777" w:rsidR="00542BCE" w:rsidRPr="00CC25A0" w:rsidRDefault="00CC25A0">
      <w:pPr>
        <w:numPr>
          <w:ilvl w:val="0"/>
          <w:numId w:val="11"/>
        </w:numPr>
        <w:spacing w:after="0" w:line="360" w:lineRule="auto"/>
        <w:jc w:val="left"/>
        <w:rPr>
          <w:b/>
          <w:color w:val="000000"/>
        </w:rPr>
      </w:pPr>
      <w:r w:rsidRPr="00CC25A0">
        <w:rPr>
          <w:b/>
          <w:color w:val="000000"/>
        </w:rPr>
        <w:t>Deducciones personales</w:t>
      </w:r>
    </w:p>
    <w:p w14:paraId="3C5C0B4B" w14:textId="77777777" w:rsidR="00542BCE" w:rsidRPr="00CC25A0" w:rsidRDefault="00542BCE">
      <w:pPr>
        <w:spacing w:after="0" w:line="360" w:lineRule="auto"/>
        <w:ind w:left="720"/>
        <w:rPr>
          <w:b/>
          <w:color w:val="000000"/>
        </w:rPr>
      </w:pPr>
    </w:p>
    <w:p w14:paraId="322A1FD4" w14:textId="77777777" w:rsidR="00542BCE" w:rsidRPr="00CC25A0" w:rsidRDefault="00CC25A0">
      <w:pPr>
        <w:spacing w:after="0" w:line="360" w:lineRule="auto"/>
        <w:rPr>
          <w:color w:val="000000"/>
        </w:rPr>
      </w:pPr>
      <w:r w:rsidRPr="00CC25A0">
        <w:rPr>
          <w:color w:val="000000"/>
        </w:rPr>
        <w:t>Es necesario precisar que existen deducciones que se generan con motivo de una decisión libre y voluntaria de los servidores públicos, como son: créditos personales, cuotas sindicales y fondo de resistencia del Sindicato Único de Trabajadores de los Poderes, Municipios e Institución Descentralizadas del Estado de México, seguro de vida, accidentes y enfermedades.</w:t>
      </w:r>
    </w:p>
    <w:p w14:paraId="1513CADB" w14:textId="77777777" w:rsidR="00542BCE" w:rsidRPr="00CC25A0" w:rsidRDefault="00542BCE">
      <w:pPr>
        <w:spacing w:after="0" w:line="360" w:lineRule="auto"/>
        <w:rPr>
          <w:color w:val="000000"/>
        </w:rPr>
      </w:pPr>
    </w:p>
    <w:p w14:paraId="3359E7EF" w14:textId="77777777" w:rsidR="00542BCE" w:rsidRPr="00CC25A0" w:rsidRDefault="00CC25A0">
      <w:pPr>
        <w:spacing w:after="0" w:line="360" w:lineRule="auto"/>
        <w:rPr>
          <w:color w:val="000000"/>
        </w:rPr>
      </w:pPr>
      <w:r w:rsidRPr="00CC25A0">
        <w:rPr>
          <w:color w:val="000000"/>
        </w:rPr>
        <w:t xml:space="preserve">Asimismo, hay otras que se generan con motivo de una sentencia judicial, como es la pensión alimenticia que periódicamente se retira de la cuenta de un empleado, a efecto de que sea entregado a un tercero.  </w:t>
      </w:r>
    </w:p>
    <w:p w14:paraId="1B239464" w14:textId="77777777" w:rsidR="00542BCE" w:rsidRPr="00CC25A0" w:rsidRDefault="00542BCE">
      <w:pPr>
        <w:spacing w:after="0" w:line="360" w:lineRule="auto"/>
        <w:rPr>
          <w:color w:val="000000"/>
        </w:rPr>
      </w:pPr>
    </w:p>
    <w:p w14:paraId="3F008EA1" w14:textId="77777777" w:rsidR="00542BCE" w:rsidRPr="00CC25A0" w:rsidRDefault="00CC25A0">
      <w:pPr>
        <w:spacing w:after="0" w:line="360" w:lineRule="auto"/>
        <w:rPr>
          <w:color w:val="000000"/>
        </w:rPr>
      </w:pPr>
      <w:r w:rsidRPr="00CC25A0">
        <w:rPr>
          <w:color w:val="000000"/>
        </w:rPr>
        <w:t xml:space="preserve">En consecuencia, este tipo de deducciones son fruto de decisiones que impactan en el patrimonio de un servidor público con la finalidad de obtener un beneficio conforme a la </w:t>
      </w:r>
      <w:r w:rsidRPr="00CC25A0">
        <w:rPr>
          <w:color w:val="000000"/>
        </w:rPr>
        <w:lastRenderedPageBreak/>
        <w:t xml:space="preserve">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136C8936" w14:textId="77777777" w:rsidR="00542BCE" w:rsidRPr="00CC25A0" w:rsidRDefault="00542BCE">
      <w:pPr>
        <w:spacing w:after="0" w:line="360" w:lineRule="auto"/>
        <w:rPr>
          <w:color w:val="000000"/>
        </w:rPr>
      </w:pPr>
    </w:p>
    <w:p w14:paraId="45D8A479" w14:textId="77777777" w:rsidR="00542BCE" w:rsidRPr="00CC25A0" w:rsidRDefault="00CC25A0">
      <w:pPr>
        <w:spacing w:after="0" w:line="360" w:lineRule="auto"/>
        <w:rPr>
          <w:color w:val="000000"/>
        </w:rPr>
      </w:pPr>
      <w:r w:rsidRPr="00CC25A0">
        <w:rPr>
          <w:color w:val="000000"/>
        </w:rPr>
        <w:t xml:space="preserve">Así, dichas deducciones reflejan el destino que un servidor público da a su patrimonio y, por lo tanto, resulta procedente clasificar dichos datos, en el caso, que obren, en los documentos que dan cuenta de lo requerido, en términos del artículo 143, fracción I de la Ley de Transparencia y Acceso a la Información Pública del Estado de México y Municipios. </w:t>
      </w:r>
    </w:p>
    <w:p w14:paraId="232A9737" w14:textId="77777777" w:rsidR="00542BCE" w:rsidRPr="00CC25A0" w:rsidRDefault="00542BCE">
      <w:pPr>
        <w:spacing w:after="0" w:line="360" w:lineRule="auto"/>
        <w:rPr>
          <w:b/>
          <w:color w:val="000000"/>
        </w:rPr>
      </w:pPr>
    </w:p>
    <w:p w14:paraId="33F7E9FB" w14:textId="77777777" w:rsidR="00542BCE" w:rsidRPr="00CC25A0" w:rsidRDefault="00CC25A0">
      <w:pPr>
        <w:numPr>
          <w:ilvl w:val="0"/>
          <w:numId w:val="11"/>
        </w:numPr>
        <w:spacing w:after="0" w:line="360" w:lineRule="auto"/>
        <w:jc w:val="left"/>
        <w:rPr>
          <w:b/>
          <w:color w:val="000000"/>
        </w:rPr>
      </w:pPr>
      <w:r w:rsidRPr="00CC25A0">
        <w:rPr>
          <w:b/>
          <w:color w:val="000000"/>
        </w:rPr>
        <w:t>Cuenta bancaria de servidores públicos</w:t>
      </w:r>
    </w:p>
    <w:p w14:paraId="48D80339" w14:textId="77777777" w:rsidR="00542BCE" w:rsidRPr="00CC25A0" w:rsidRDefault="00542BCE">
      <w:pPr>
        <w:spacing w:after="0" w:line="360" w:lineRule="auto"/>
        <w:ind w:left="720"/>
        <w:rPr>
          <w:b/>
          <w:color w:val="000000"/>
        </w:rPr>
      </w:pPr>
    </w:p>
    <w:p w14:paraId="22006EA9" w14:textId="77777777" w:rsidR="00542BCE" w:rsidRPr="00CC25A0" w:rsidRDefault="00CC25A0">
      <w:pPr>
        <w:spacing w:after="0" w:line="360" w:lineRule="auto"/>
        <w:rPr>
          <w:color w:val="000000"/>
        </w:rPr>
      </w:pPr>
      <w:r w:rsidRPr="00CC25A0">
        <w:rPr>
          <w:color w:val="000000"/>
        </w:rPr>
        <w:t xml:space="preserve">Al respecto, se estima que dicho dato se relaciona con hechos y actos de carácter económico, pues los mismos darían cuenta, de la relación que tiene una institución financiero con un servidor público, en su carácter de particular; además, que con dicha información se podría obtener los recursos enviados a las órdenes de cargo, pago de nómina o a las transferencias electrónicas </w:t>
      </w:r>
      <w:r w:rsidRPr="00CC25A0">
        <w:t>de fondos</w:t>
      </w:r>
      <w:r w:rsidRPr="00CC25A0">
        <w:rPr>
          <w:color w:val="000000"/>
        </w:rPr>
        <w:t xml:space="preserve"> interbancarios, entre otros movimientos que sean utilizados exclusivamente en la cuenta señalada por el cliente y por lo tanto, los datos bancarios corresponden a información que se encuentra relacionada con el patrimonio de la persona titular de la cuenta.</w:t>
      </w:r>
    </w:p>
    <w:p w14:paraId="05A211C7" w14:textId="77777777" w:rsidR="00542BCE" w:rsidRPr="00CC25A0" w:rsidRDefault="00CC25A0">
      <w:pPr>
        <w:spacing w:after="0" w:line="360" w:lineRule="auto"/>
        <w:rPr>
          <w:color w:val="000000"/>
        </w:rPr>
      </w:pPr>
      <w:r w:rsidRPr="00CC25A0">
        <w:rPr>
          <w:color w:val="000000"/>
        </w:rPr>
        <w:t> </w:t>
      </w:r>
    </w:p>
    <w:p w14:paraId="3590C49A" w14:textId="77777777" w:rsidR="00542BCE" w:rsidRPr="00CC25A0" w:rsidRDefault="00CC25A0">
      <w:pPr>
        <w:spacing w:after="0" w:line="360" w:lineRule="auto"/>
        <w:rPr>
          <w:color w:val="000000"/>
        </w:rPr>
      </w:pPr>
      <w:r w:rsidRPr="00CC25A0">
        <w:rPr>
          <w:color w:val="000000"/>
        </w:rPr>
        <w:t>A mayor abundamiento, resulta necesario traer a colación el Criterio Orientador SO/010/2017, emitido por el entonces Instituto Nacional de Transparencia, Acceso a la Información y Protección de Datos Personales, vigente a la fecha de la solicitud, mismo que establece lo siguiente:</w:t>
      </w:r>
    </w:p>
    <w:p w14:paraId="0DD32276" w14:textId="77777777" w:rsidR="00542BCE" w:rsidRPr="00CC25A0" w:rsidRDefault="00542BCE">
      <w:pPr>
        <w:spacing w:after="0" w:line="360" w:lineRule="auto"/>
        <w:rPr>
          <w:color w:val="000000"/>
        </w:rPr>
      </w:pPr>
    </w:p>
    <w:p w14:paraId="77DDCC86" w14:textId="77777777" w:rsidR="00542BCE" w:rsidRPr="00CC25A0" w:rsidRDefault="00CC25A0">
      <w:pPr>
        <w:spacing w:after="0" w:line="360" w:lineRule="auto"/>
        <w:ind w:left="567" w:right="567"/>
        <w:rPr>
          <w:i/>
          <w:color w:val="000000"/>
          <w:sz w:val="20"/>
          <w:szCs w:val="20"/>
        </w:rPr>
      </w:pPr>
      <w:r w:rsidRPr="00CC25A0">
        <w:rPr>
          <w:i/>
          <w:color w:val="000000"/>
          <w:sz w:val="20"/>
          <w:szCs w:val="20"/>
        </w:rPr>
        <w:t>“</w:t>
      </w:r>
      <w:r w:rsidRPr="00CC25A0">
        <w:rPr>
          <w:b/>
          <w:i/>
          <w:color w:val="000000"/>
          <w:sz w:val="20"/>
          <w:szCs w:val="20"/>
        </w:rPr>
        <w:t>Cuentas bancarias y/o CLABE interbancaria de personas físicas y morales privadas.</w:t>
      </w:r>
      <w:r w:rsidRPr="00CC25A0">
        <w:rPr>
          <w:i/>
          <w:color w:val="000000"/>
          <w:sz w:val="20"/>
          <w:szCs w:val="20"/>
        </w:rPr>
        <w:t xml:space="preserve"> El número de cuenta bancaria y/o CLABE interbancaria de particulares es información confidencial, al </w:t>
      </w:r>
      <w:r w:rsidRPr="00CC25A0">
        <w:rPr>
          <w:i/>
          <w:color w:val="000000"/>
          <w:sz w:val="20"/>
          <w:szCs w:val="20"/>
        </w:rPr>
        <w:lastRenderedPageBreak/>
        <w:t>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12FC31B6" w14:textId="77777777" w:rsidR="00542BCE" w:rsidRPr="00CC25A0" w:rsidRDefault="00542BCE">
      <w:pPr>
        <w:spacing w:after="0" w:line="360" w:lineRule="auto"/>
        <w:rPr>
          <w:color w:val="000000"/>
        </w:rPr>
      </w:pPr>
    </w:p>
    <w:p w14:paraId="700BBE59" w14:textId="77777777" w:rsidR="00542BCE" w:rsidRPr="00CC25A0" w:rsidRDefault="00CC25A0">
      <w:pPr>
        <w:spacing w:after="0" w:line="360" w:lineRule="auto"/>
        <w:rPr>
          <w:color w:val="000000"/>
        </w:rPr>
      </w:pPr>
      <w:r w:rsidRPr="00CC25A0">
        <w:rPr>
          <w:color w:val="000000"/>
        </w:rPr>
        <w:t xml:space="preserve">Por lo cual, se puede colegir que dichos datos no guardan relación con el servicio público ni con los recursos públicos, pues </w:t>
      </w:r>
      <w:r w:rsidRPr="00CC25A0">
        <w:t>sólo</w:t>
      </w:r>
      <w:r w:rsidRPr="00CC25A0">
        <w:rPr>
          <w:color w:val="000000"/>
        </w:rPr>
        <w:t xml:space="preserve"> corresponde a información, que le atañe a la institución financiera y al cliente;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0D92551F" w14:textId="77777777" w:rsidR="00542BCE" w:rsidRPr="00CC25A0" w:rsidRDefault="00542BCE">
      <w:pPr>
        <w:spacing w:after="0" w:line="360" w:lineRule="auto"/>
        <w:rPr>
          <w:color w:val="000000"/>
        </w:rPr>
      </w:pPr>
    </w:p>
    <w:p w14:paraId="7D451F18" w14:textId="49F45770" w:rsidR="008A39D5" w:rsidRPr="00CC25A0" w:rsidRDefault="008A39D5" w:rsidP="008A39D5">
      <w:pPr>
        <w:numPr>
          <w:ilvl w:val="0"/>
          <w:numId w:val="11"/>
        </w:numPr>
        <w:spacing w:after="0" w:line="360" w:lineRule="auto"/>
        <w:rPr>
          <w:color w:val="000000"/>
        </w:rPr>
      </w:pPr>
      <w:r w:rsidRPr="00CC25A0">
        <w:rPr>
          <w:b/>
          <w:color w:val="000000"/>
        </w:rPr>
        <w:t>Sellos digitales del emisor y del Servicio de Administración Tributaria y cadena original del complemento de certificación digital del órgano previamente señalado</w:t>
      </w:r>
    </w:p>
    <w:p w14:paraId="67D0A26E" w14:textId="77777777" w:rsidR="008A39D5" w:rsidRPr="00CC25A0" w:rsidRDefault="008A39D5">
      <w:pPr>
        <w:spacing w:after="0" w:line="360" w:lineRule="auto"/>
        <w:rPr>
          <w:color w:val="000000"/>
        </w:rPr>
      </w:pPr>
    </w:p>
    <w:p w14:paraId="5629112C" w14:textId="77777777" w:rsidR="008A39D5" w:rsidRPr="00CC25A0" w:rsidRDefault="008A39D5" w:rsidP="008A39D5">
      <w:pPr>
        <w:spacing w:after="0" w:line="360" w:lineRule="auto"/>
        <w:rPr>
          <w:color w:val="000000"/>
        </w:rPr>
      </w:pPr>
      <w:r w:rsidRPr="00CC25A0">
        <w:rPr>
          <w:color w:val="000000"/>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0084ABB7" w14:textId="77777777" w:rsidR="008A39D5" w:rsidRPr="00CC25A0" w:rsidRDefault="008A39D5" w:rsidP="008A39D5">
      <w:pPr>
        <w:spacing w:after="0" w:line="360" w:lineRule="auto"/>
        <w:rPr>
          <w:color w:val="000000"/>
        </w:rPr>
      </w:pPr>
      <w:r w:rsidRPr="00CC25A0">
        <w:rPr>
          <w:color w:val="000000"/>
        </w:rPr>
        <w:lastRenderedPageBreak/>
        <w:t> </w:t>
      </w:r>
    </w:p>
    <w:p w14:paraId="7CBC4014" w14:textId="77777777" w:rsidR="008A39D5" w:rsidRPr="00CC25A0" w:rsidRDefault="008A39D5" w:rsidP="008A39D5">
      <w:pPr>
        <w:spacing w:after="0" w:line="360" w:lineRule="auto"/>
        <w:rPr>
          <w:color w:val="000000"/>
        </w:rPr>
      </w:pPr>
      <w:r w:rsidRPr="00CC25A0">
        <w:rPr>
          <w:color w:val="000000"/>
        </w:rPr>
        <w:t>Las cadenas originales y sellos que se agregan a las facturas</w:t>
      </w:r>
      <w:r w:rsidRPr="00CC25A0">
        <w:rPr>
          <w:b/>
          <w:color w:val="000000"/>
        </w:rPr>
        <w:t>,</w:t>
      </w:r>
      <w:r w:rsidRPr="00CC25A0">
        <w:rPr>
          <w:color w:val="000000"/>
        </w:rPr>
        <w:t xml:space="preserve"> tienen una secuencia de generación, determinados con base en el ANEXO 20 de la Segunda Resolución de modificaciones a la Resolución Miscelánea Fiscal, que precisa los datos de los que se componen los elementos de seguridad y se puntualiza que dicha información está encriptada.</w:t>
      </w:r>
    </w:p>
    <w:p w14:paraId="5CF32CBC" w14:textId="77777777" w:rsidR="008A39D5" w:rsidRPr="00CC25A0" w:rsidRDefault="008A39D5" w:rsidP="008A39D5">
      <w:pPr>
        <w:spacing w:after="0" w:line="360" w:lineRule="auto"/>
        <w:rPr>
          <w:color w:val="000000"/>
        </w:rPr>
      </w:pPr>
      <w:r w:rsidRPr="00CC25A0">
        <w:rPr>
          <w:color w:val="000000"/>
        </w:rPr>
        <w:t> </w:t>
      </w:r>
    </w:p>
    <w:p w14:paraId="78081C0F" w14:textId="77777777" w:rsidR="008A39D5" w:rsidRPr="00CC25A0" w:rsidRDefault="008A39D5" w:rsidP="008A39D5">
      <w:pPr>
        <w:spacing w:after="0" w:line="360" w:lineRule="auto"/>
        <w:ind w:left="567" w:right="539"/>
        <w:rPr>
          <w:i/>
          <w:color w:val="000000"/>
          <w:sz w:val="20"/>
          <w:szCs w:val="20"/>
        </w:rPr>
      </w:pPr>
      <w:r w:rsidRPr="00CC25A0">
        <w:rPr>
          <w:i/>
          <w:color w:val="000000"/>
          <w:sz w:val="20"/>
          <w:szCs w:val="20"/>
        </w:rPr>
        <w:t>“…</w:t>
      </w:r>
    </w:p>
    <w:p w14:paraId="6A295DA3" w14:textId="77777777" w:rsidR="008A39D5" w:rsidRPr="00CC25A0" w:rsidRDefault="008A39D5" w:rsidP="008A39D5">
      <w:pPr>
        <w:spacing w:after="0" w:line="360" w:lineRule="auto"/>
        <w:ind w:left="567" w:right="539"/>
        <w:rPr>
          <w:i/>
          <w:color w:val="000000"/>
          <w:sz w:val="20"/>
          <w:szCs w:val="20"/>
        </w:rPr>
      </w:pPr>
      <w:r w:rsidRPr="00CC25A0">
        <w:rPr>
          <w:i/>
          <w:color w:val="000000"/>
          <w:sz w:val="20"/>
          <w:szCs w:val="20"/>
        </w:rPr>
        <w:t>Elementos utilizados en la generación de Sellos Digitales:</w:t>
      </w:r>
    </w:p>
    <w:p w14:paraId="4FFA2F86" w14:textId="77777777" w:rsidR="008A39D5" w:rsidRPr="00CC25A0" w:rsidRDefault="008A39D5" w:rsidP="008A39D5">
      <w:pPr>
        <w:spacing w:after="0" w:line="360" w:lineRule="auto"/>
        <w:ind w:left="567" w:right="539"/>
        <w:rPr>
          <w:i/>
          <w:color w:val="000000"/>
          <w:sz w:val="20"/>
          <w:szCs w:val="20"/>
        </w:rPr>
      </w:pPr>
      <w:r w:rsidRPr="00CC25A0">
        <w:rPr>
          <w:i/>
          <w:color w:val="000000"/>
          <w:sz w:val="20"/>
          <w:szCs w:val="20"/>
        </w:rPr>
        <w:t>•</w:t>
      </w:r>
      <w:r w:rsidRPr="00CC25A0">
        <w:rPr>
          <w:i/>
          <w:color w:val="000000"/>
          <w:sz w:val="20"/>
          <w:szCs w:val="20"/>
        </w:rPr>
        <w:tab/>
        <w:t>Cadena Original, el elemento a sellar, en este caso de un comprobante fiscal digital a través de Internet.</w:t>
      </w:r>
    </w:p>
    <w:p w14:paraId="4BFE0471" w14:textId="77777777" w:rsidR="008A39D5" w:rsidRPr="00CC25A0" w:rsidRDefault="008A39D5" w:rsidP="008A39D5">
      <w:pPr>
        <w:spacing w:after="0" w:line="360" w:lineRule="auto"/>
        <w:ind w:left="567" w:right="539"/>
        <w:rPr>
          <w:i/>
          <w:color w:val="000000"/>
          <w:sz w:val="20"/>
          <w:szCs w:val="20"/>
        </w:rPr>
      </w:pPr>
      <w:r w:rsidRPr="00CC25A0">
        <w:rPr>
          <w:i/>
          <w:color w:val="000000"/>
          <w:sz w:val="20"/>
          <w:szCs w:val="20"/>
        </w:rPr>
        <w:t>•</w:t>
      </w:r>
      <w:r w:rsidRPr="00CC25A0">
        <w:rPr>
          <w:i/>
          <w:color w:val="000000"/>
          <w:sz w:val="20"/>
          <w:szCs w:val="20"/>
        </w:rPr>
        <w:tab/>
        <w:t>Certificado de Sello Digital y su correspondiente clave privada.</w:t>
      </w:r>
    </w:p>
    <w:p w14:paraId="6AFD37F1" w14:textId="77777777" w:rsidR="008A39D5" w:rsidRPr="00CC25A0" w:rsidRDefault="008A39D5" w:rsidP="008A39D5">
      <w:pPr>
        <w:spacing w:after="0" w:line="360" w:lineRule="auto"/>
        <w:ind w:left="567" w:right="539"/>
        <w:rPr>
          <w:i/>
          <w:color w:val="000000"/>
          <w:sz w:val="20"/>
          <w:szCs w:val="20"/>
        </w:rPr>
      </w:pPr>
      <w:r w:rsidRPr="00CC25A0">
        <w:rPr>
          <w:i/>
          <w:color w:val="000000"/>
          <w:sz w:val="20"/>
          <w:szCs w:val="20"/>
        </w:rPr>
        <w:t>•</w:t>
      </w:r>
      <w:r w:rsidRPr="00CC25A0">
        <w:rPr>
          <w:i/>
          <w:color w:val="000000"/>
          <w:sz w:val="20"/>
          <w:szCs w:val="20"/>
        </w:rPr>
        <w:tab/>
        <w:t>Algoritmos de criptografía de clave pública para firma electrónica avanzada.</w:t>
      </w:r>
    </w:p>
    <w:p w14:paraId="0F58110A" w14:textId="77777777" w:rsidR="008A39D5" w:rsidRPr="00CC25A0" w:rsidRDefault="008A39D5" w:rsidP="008A39D5">
      <w:pPr>
        <w:spacing w:after="0" w:line="360" w:lineRule="auto"/>
        <w:ind w:left="567" w:right="539"/>
        <w:rPr>
          <w:i/>
          <w:color w:val="000000"/>
          <w:sz w:val="20"/>
          <w:szCs w:val="20"/>
        </w:rPr>
      </w:pPr>
      <w:r w:rsidRPr="00CC25A0">
        <w:rPr>
          <w:i/>
          <w:color w:val="000000"/>
          <w:sz w:val="20"/>
          <w:szCs w:val="20"/>
        </w:rPr>
        <w:t>•</w:t>
      </w:r>
      <w:r w:rsidRPr="00CC25A0">
        <w:rPr>
          <w:i/>
          <w:color w:val="000000"/>
          <w:sz w:val="20"/>
          <w:szCs w:val="20"/>
        </w:rPr>
        <w:tab/>
        <w:t>Especificaciones de conversión de la firma electrónica avanzada a Base 64.</w:t>
      </w:r>
    </w:p>
    <w:p w14:paraId="4092631B" w14:textId="77777777" w:rsidR="008A39D5" w:rsidRPr="00CC25A0" w:rsidRDefault="008A39D5" w:rsidP="008A39D5">
      <w:pPr>
        <w:spacing w:after="0" w:line="360" w:lineRule="auto"/>
        <w:ind w:left="567" w:right="539"/>
        <w:rPr>
          <w:i/>
          <w:color w:val="000000"/>
          <w:sz w:val="20"/>
          <w:szCs w:val="20"/>
        </w:rPr>
      </w:pPr>
      <w:r w:rsidRPr="00CC25A0">
        <w:rPr>
          <w:i/>
          <w:color w:val="000000"/>
          <w:sz w:val="20"/>
          <w:szCs w:val="20"/>
        </w:rPr>
        <w:t>Para la generación de sellos digitales se utiliza criptografía de clave pública aplicada a una cadena original.</w:t>
      </w:r>
    </w:p>
    <w:p w14:paraId="4AF0DEAC" w14:textId="77777777" w:rsidR="008A39D5" w:rsidRPr="00CC25A0" w:rsidRDefault="008A39D5" w:rsidP="008A39D5">
      <w:pPr>
        <w:spacing w:after="0" w:line="360" w:lineRule="auto"/>
        <w:ind w:left="567" w:right="539"/>
        <w:rPr>
          <w:i/>
          <w:color w:val="000000"/>
          <w:sz w:val="20"/>
          <w:szCs w:val="20"/>
        </w:rPr>
      </w:pPr>
      <w:r w:rsidRPr="00CC25A0">
        <w:rPr>
          <w:i/>
          <w:color w:val="000000"/>
          <w:sz w:val="20"/>
          <w:szCs w:val="20"/>
        </w:rPr>
        <w:t>Criptografía de la Clave Pública</w:t>
      </w:r>
    </w:p>
    <w:p w14:paraId="159B3A7D" w14:textId="77777777" w:rsidR="008A39D5" w:rsidRPr="00CC25A0" w:rsidRDefault="008A39D5" w:rsidP="008A39D5">
      <w:pPr>
        <w:spacing w:after="0" w:line="360" w:lineRule="auto"/>
        <w:ind w:left="567" w:right="539"/>
        <w:rPr>
          <w:i/>
          <w:color w:val="000000"/>
          <w:sz w:val="20"/>
          <w:szCs w:val="20"/>
        </w:rPr>
      </w:pPr>
      <w:r w:rsidRPr="00CC25A0">
        <w:rPr>
          <w:i/>
          <w:color w:val="000000"/>
          <w:sz w:val="20"/>
          <w:szCs w:val="20"/>
        </w:rPr>
        <w:t xml:space="preserve">La criptografía de Clave Pública se basa en la generación de una pareja de números muy grandes relacionados íntimamente entre sí, de tal manera que una operación de </w:t>
      </w:r>
      <w:proofErr w:type="spellStart"/>
      <w:r w:rsidRPr="00CC25A0">
        <w:rPr>
          <w:i/>
          <w:color w:val="000000"/>
          <w:sz w:val="20"/>
          <w:szCs w:val="20"/>
        </w:rPr>
        <w:t>encripción</w:t>
      </w:r>
      <w:proofErr w:type="spellEnd"/>
      <w:r w:rsidRPr="00CC25A0">
        <w:rPr>
          <w:i/>
          <w:color w:val="000000"/>
          <w:sz w:val="20"/>
          <w:szCs w:val="20"/>
        </w:rPr>
        <w:t xml:space="preserve"> sobre un mensaje tomando como clave de </w:t>
      </w:r>
      <w:proofErr w:type="spellStart"/>
      <w:r w:rsidRPr="00CC25A0">
        <w:rPr>
          <w:i/>
          <w:color w:val="000000"/>
          <w:sz w:val="20"/>
          <w:szCs w:val="20"/>
        </w:rPr>
        <w:t>encripción</w:t>
      </w:r>
      <w:proofErr w:type="spellEnd"/>
      <w:r w:rsidRPr="00CC25A0">
        <w:rPr>
          <w:i/>
          <w:color w:val="000000"/>
          <w:sz w:val="20"/>
          <w:szCs w:val="20"/>
        </w:rPr>
        <w:t xml:space="preserve"> a uno de los dos números, produce un mensaje alterado en su significado que solo puede ser devuelto a su estado original mediante la operación de </w:t>
      </w:r>
      <w:proofErr w:type="spellStart"/>
      <w:r w:rsidRPr="00CC25A0">
        <w:rPr>
          <w:i/>
          <w:color w:val="000000"/>
          <w:sz w:val="20"/>
          <w:szCs w:val="20"/>
        </w:rPr>
        <w:t>desencripción</w:t>
      </w:r>
      <w:proofErr w:type="spellEnd"/>
      <w:r w:rsidRPr="00CC25A0">
        <w:rPr>
          <w:i/>
          <w:color w:val="000000"/>
          <w:sz w:val="20"/>
          <w:szCs w:val="20"/>
        </w:rPr>
        <w:t xml:space="preserve"> correspondiente tomando como clave de </w:t>
      </w:r>
      <w:proofErr w:type="spellStart"/>
      <w:r w:rsidRPr="00CC25A0">
        <w:rPr>
          <w:i/>
          <w:color w:val="000000"/>
          <w:sz w:val="20"/>
          <w:szCs w:val="20"/>
        </w:rPr>
        <w:t>desencripción</w:t>
      </w:r>
      <w:proofErr w:type="spellEnd"/>
      <w:r w:rsidRPr="00CC25A0">
        <w:rPr>
          <w:i/>
          <w:color w:val="000000"/>
          <w:sz w:val="20"/>
          <w:szCs w:val="20"/>
        </w:rPr>
        <w:t xml:space="preserve"> al otro número de la pareja.</w:t>
      </w:r>
    </w:p>
    <w:p w14:paraId="7F1F8441" w14:textId="77777777" w:rsidR="008A39D5" w:rsidRPr="00CC25A0" w:rsidRDefault="008A39D5" w:rsidP="008A39D5">
      <w:pPr>
        <w:spacing w:after="0" w:line="360" w:lineRule="auto"/>
        <w:ind w:left="567" w:right="539"/>
        <w:rPr>
          <w:i/>
          <w:color w:val="000000"/>
          <w:sz w:val="20"/>
          <w:szCs w:val="20"/>
        </w:rPr>
      </w:pPr>
      <w:r w:rsidRPr="00CC25A0">
        <w:rPr>
          <w:i/>
          <w:color w:val="000000"/>
          <w:sz w:val="20"/>
          <w:szCs w:val="20"/>
        </w:rPr>
        <w:t>…”</w:t>
      </w:r>
    </w:p>
    <w:p w14:paraId="7721B050" w14:textId="77777777" w:rsidR="008A39D5" w:rsidRPr="00CC25A0" w:rsidRDefault="008A39D5" w:rsidP="008A39D5">
      <w:pPr>
        <w:spacing w:after="0" w:line="360" w:lineRule="auto"/>
        <w:rPr>
          <w:color w:val="000000"/>
        </w:rPr>
      </w:pPr>
      <w:r w:rsidRPr="00CC25A0">
        <w:rPr>
          <w:color w:val="000000"/>
        </w:rPr>
        <w:t> </w:t>
      </w:r>
    </w:p>
    <w:p w14:paraId="6275F342" w14:textId="77777777" w:rsidR="008A39D5" w:rsidRPr="00CC25A0" w:rsidRDefault="008A39D5" w:rsidP="008A39D5">
      <w:pPr>
        <w:spacing w:after="0" w:line="360" w:lineRule="auto"/>
        <w:rPr>
          <w:color w:val="000000"/>
        </w:rPr>
      </w:pPr>
      <w:r w:rsidRPr="00CC25A0">
        <w:rPr>
          <w:color w:val="000000"/>
        </w:rPr>
        <w:t xml:space="preserve">Es decir, por sí solos las cadenas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 </w:t>
      </w:r>
    </w:p>
    <w:p w14:paraId="6202111A" w14:textId="77777777" w:rsidR="008A39D5" w:rsidRPr="00CC25A0" w:rsidRDefault="008A39D5" w:rsidP="008A39D5">
      <w:pPr>
        <w:spacing w:after="0" w:line="360" w:lineRule="auto"/>
        <w:rPr>
          <w:color w:val="000000"/>
        </w:rPr>
      </w:pPr>
    </w:p>
    <w:p w14:paraId="04570264" w14:textId="77777777" w:rsidR="008A39D5" w:rsidRPr="00CC25A0" w:rsidRDefault="008A39D5" w:rsidP="008A39D5">
      <w:pPr>
        <w:spacing w:after="0" w:line="360" w:lineRule="auto"/>
        <w:rPr>
          <w:color w:val="000000"/>
        </w:rPr>
      </w:pPr>
      <w:r w:rsidRPr="00CC25A0">
        <w:rPr>
          <w:color w:val="000000"/>
        </w:rPr>
        <w:t xml:space="preserve">Cabe precisar que existen ocasiones que los datos en análisis se conforman de datos personales, como el CURP, RFC, número de seguridad social, entre otros, por lo que, únicamente podrá clasificar las cadenas y sellos digitales, en el caso que se conformen de datos personales </w:t>
      </w:r>
      <w:proofErr w:type="spellStart"/>
      <w:r w:rsidRPr="00CC25A0">
        <w:rPr>
          <w:color w:val="000000"/>
        </w:rPr>
        <w:t>confidenciles</w:t>
      </w:r>
      <w:proofErr w:type="spellEnd"/>
      <w:r w:rsidRPr="00CC25A0">
        <w:rPr>
          <w:color w:val="000000"/>
        </w:rPr>
        <w:t>, en términos del artículo 143, fracción I, de la Ley de Transparencia y Acceso a la Información Pública del Estado de México y Municipios.</w:t>
      </w:r>
    </w:p>
    <w:p w14:paraId="3783CBAA" w14:textId="77777777" w:rsidR="008A39D5" w:rsidRPr="00CC25A0" w:rsidRDefault="008A39D5">
      <w:pPr>
        <w:spacing w:after="0" w:line="360" w:lineRule="auto"/>
        <w:rPr>
          <w:color w:val="000000"/>
        </w:rPr>
      </w:pPr>
    </w:p>
    <w:p w14:paraId="41D8323F" w14:textId="77777777" w:rsidR="00542BCE" w:rsidRPr="00CC25A0" w:rsidRDefault="00CC25A0">
      <w:pPr>
        <w:tabs>
          <w:tab w:val="left" w:pos="4962"/>
        </w:tabs>
        <w:spacing w:after="0" w:line="360" w:lineRule="auto"/>
      </w:pPr>
      <w:r w:rsidRPr="00CC25A0">
        <w:t>De tal circunstancia, el Sujeto Obligado al entregar la información, deberá tomar en cuenta lo establecido en párrafos anteriores, para que únicamente clasifique aquellos datos que sean confidenciales.</w:t>
      </w:r>
    </w:p>
    <w:p w14:paraId="3579B004" w14:textId="77777777" w:rsidR="00542BCE" w:rsidRPr="00CC25A0" w:rsidRDefault="00542BCE" w:rsidP="008A39D5">
      <w:pPr>
        <w:pBdr>
          <w:top w:val="nil"/>
          <w:left w:val="nil"/>
          <w:bottom w:val="nil"/>
          <w:right w:val="nil"/>
          <w:between w:val="nil"/>
        </w:pBdr>
        <w:spacing w:after="0" w:line="360" w:lineRule="auto"/>
        <w:ind w:right="-93"/>
        <w:rPr>
          <w:color w:val="000000"/>
          <w:u w:val="single"/>
        </w:rPr>
      </w:pPr>
    </w:p>
    <w:p w14:paraId="18625C1A" w14:textId="77777777" w:rsidR="00542BCE" w:rsidRPr="00CC25A0" w:rsidRDefault="00CC25A0">
      <w:pPr>
        <w:spacing w:after="0" w:line="360" w:lineRule="auto"/>
      </w:pPr>
      <w:r w:rsidRPr="00CC25A0">
        <w:t>Por otra parte, respecto a la información de la Dirección de Seguridad Pública el Sujeto Obligado se deberá atender lo siguiente:</w:t>
      </w:r>
    </w:p>
    <w:p w14:paraId="10741256" w14:textId="77777777" w:rsidR="00542BCE" w:rsidRPr="00CC25A0" w:rsidRDefault="00CC25A0">
      <w:pPr>
        <w:spacing w:after="0" w:line="360" w:lineRule="auto"/>
        <w:rPr>
          <w:color w:val="000000"/>
        </w:rPr>
      </w:pPr>
      <w:r w:rsidRPr="00CC25A0">
        <w:br/>
        <w:t>Al respecto, de nombre de las personas servidores públicos la Dirección de Seguridad Pública, el artículo 140, fracción IV, de la Ley de Transparencia y Acceso a la Información Pública del Estado de México y Municipios, homólogo a parte del artículo 113, fracción V de la Ley General de Transparencia y Acceso a la Información Pública, vigente a la fecha de la solicitud, prevé lo siguiente:</w:t>
      </w:r>
    </w:p>
    <w:p w14:paraId="4FF02C42" w14:textId="77777777" w:rsidR="00542BCE" w:rsidRPr="00CC25A0" w:rsidRDefault="00542BCE">
      <w:pPr>
        <w:tabs>
          <w:tab w:val="left" w:pos="4962"/>
        </w:tabs>
        <w:spacing w:after="0" w:line="360" w:lineRule="auto"/>
        <w:ind w:left="567" w:right="567"/>
        <w:rPr>
          <w:i/>
        </w:rPr>
      </w:pPr>
    </w:p>
    <w:p w14:paraId="4BDEB099" w14:textId="77777777" w:rsidR="00542BCE" w:rsidRPr="00CC25A0" w:rsidRDefault="00CC25A0">
      <w:pPr>
        <w:tabs>
          <w:tab w:val="left" w:pos="4962"/>
        </w:tabs>
        <w:spacing w:after="0" w:line="360" w:lineRule="auto"/>
        <w:ind w:left="567" w:right="567"/>
        <w:rPr>
          <w:i/>
          <w:sz w:val="20"/>
          <w:szCs w:val="20"/>
        </w:rPr>
      </w:pPr>
      <w:r w:rsidRPr="00CC25A0">
        <w:rPr>
          <w:i/>
          <w:sz w:val="20"/>
          <w:szCs w:val="20"/>
        </w:rPr>
        <w:t xml:space="preserve"> “</w:t>
      </w:r>
      <w:r w:rsidRPr="00CC25A0">
        <w:rPr>
          <w:b/>
          <w:i/>
          <w:sz w:val="20"/>
          <w:szCs w:val="20"/>
        </w:rPr>
        <w:t>Artículo 140.</w:t>
      </w:r>
      <w:r w:rsidRPr="00CC25A0">
        <w:rPr>
          <w:i/>
          <w:sz w:val="20"/>
          <w:szCs w:val="20"/>
        </w:rPr>
        <w:t xml:space="preserve"> El acceso a la información pública será restringido excepcionalmente, cuando por razones de interés público, ésta sea clasificada como reservada, conforme a los criterios siguientes: </w:t>
      </w:r>
    </w:p>
    <w:p w14:paraId="3929C881" w14:textId="77777777" w:rsidR="00542BCE" w:rsidRPr="00CC25A0" w:rsidRDefault="00CC25A0">
      <w:pPr>
        <w:tabs>
          <w:tab w:val="left" w:pos="4962"/>
        </w:tabs>
        <w:spacing w:after="0" w:line="360" w:lineRule="auto"/>
        <w:ind w:left="567" w:right="567"/>
        <w:rPr>
          <w:i/>
          <w:sz w:val="20"/>
          <w:szCs w:val="20"/>
        </w:rPr>
      </w:pPr>
      <w:r w:rsidRPr="00CC25A0">
        <w:rPr>
          <w:i/>
          <w:sz w:val="20"/>
          <w:szCs w:val="20"/>
        </w:rPr>
        <w:t>…</w:t>
      </w:r>
    </w:p>
    <w:p w14:paraId="12FDDE6C" w14:textId="77777777" w:rsidR="00542BCE" w:rsidRPr="00CC25A0" w:rsidRDefault="00CC25A0">
      <w:pPr>
        <w:tabs>
          <w:tab w:val="left" w:pos="4962"/>
        </w:tabs>
        <w:spacing w:after="0" w:line="360" w:lineRule="auto"/>
        <w:ind w:left="567" w:right="567"/>
        <w:rPr>
          <w:i/>
          <w:sz w:val="20"/>
          <w:szCs w:val="20"/>
        </w:rPr>
      </w:pPr>
      <w:r w:rsidRPr="00CC25A0">
        <w:rPr>
          <w:i/>
          <w:sz w:val="20"/>
          <w:szCs w:val="20"/>
        </w:rPr>
        <w:t>IV. Ponga en riesgo la vida, la seguridad o la salud de una persona física;</w:t>
      </w:r>
    </w:p>
    <w:p w14:paraId="304A9BBE" w14:textId="77777777" w:rsidR="00542BCE" w:rsidRPr="00CC25A0" w:rsidRDefault="00CC25A0">
      <w:pPr>
        <w:tabs>
          <w:tab w:val="left" w:pos="4962"/>
        </w:tabs>
        <w:spacing w:after="0" w:line="360" w:lineRule="auto"/>
        <w:ind w:left="567" w:right="567"/>
        <w:rPr>
          <w:i/>
          <w:sz w:val="20"/>
          <w:szCs w:val="20"/>
        </w:rPr>
      </w:pPr>
      <w:r w:rsidRPr="00CC25A0">
        <w:rPr>
          <w:i/>
          <w:sz w:val="20"/>
          <w:szCs w:val="20"/>
        </w:rPr>
        <w:t xml:space="preserve">…” </w:t>
      </w:r>
    </w:p>
    <w:p w14:paraId="39459EF1" w14:textId="77777777" w:rsidR="00542BCE" w:rsidRPr="00CC25A0" w:rsidRDefault="00542BCE">
      <w:pPr>
        <w:spacing w:after="0" w:line="360" w:lineRule="auto"/>
      </w:pPr>
    </w:p>
    <w:p w14:paraId="3EEF5200" w14:textId="77777777" w:rsidR="00542BCE" w:rsidRPr="00CC25A0" w:rsidRDefault="00CC25A0">
      <w:pPr>
        <w:spacing w:after="0" w:line="360" w:lineRule="auto"/>
      </w:pPr>
      <w:r w:rsidRPr="00CC25A0">
        <w:lastRenderedPageBreak/>
        <w:t>Del precepto legal anteriormente citado se desprende que como información reservada podrá clasificarse aquella cuya publicación pueda poner en riesgo la vida, seguridad o salud de una persona física; para acreditar lo anterior, los Lineamientos Generales vigentes a la fecha de la solicitud, establecen lo siguiente:</w:t>
      </w:r>
    </w:p>
    <w:p w14:paraId="7E29AAA7" w14:textId="77777777" w:rsidR="00542BCE" w:rsidRPr="00CC25A0" w:rsidRDefault="00542BCE">
      <w:pPr>
        <w:spacing w:after="0" w:line="360" w:lineRule="auto"/>
      </w:pPr>
    </w:p>
    <w:p w14:paraId="1F84D503" w14:textId="77777777" w:rsidR="00542BCE" w:rsidRPr="00CC25A0" w:rsidRDefault="00CC25A0">
      <w:pPr>
        <w:spacing w:after="0" w:line="360" w:lineRule="auto"/>
        <w:ind w:left="567" w:right="567"/>
        <w:rPr>
          <w:i/>
          <w:sz w:val="20"/>
          <w:szCs w:val="20"/>
        </w:rPr>
      </w:pPr>
      <w:r w:rsidRPr="00CC25A0">
        <w:rPr>
          <w:b/>
          <w:i/>
          <w:sz w:val="20"/>
          <w:szCs w:val="20"/>
        </w:rPr>
        <w:t xml:space="preserve">“Vigésimo tercero. </w:t>
      </w:r>
      <w:r w:rsidRPr="00CC25A0">
        <w:rPr>
          <w:i/>
          <w:sz w:val="20"/>
          <w:szCs w:val="20"/>
        </w:rPr>
        <w:t>Para clasificar la información como reservada, de conformidad con el artículo 113, fracción V de la Ley General, será necesario acreditar un vínculo, entre una o varias personas físicas y la información que pueda poner en riesgo su vida, seguridad o salud; especificando cuál de estos bienes jurídicos será afectado, así como el potencial daño o riesgo que causaría su difusión”</w:t>
      </w:r>
    </w:p>
    <w:p w14:paraId="45EC8FCF" w14:textId="77777777" w:rsidR="00542BCE" w:rsidRPr="00CC25A0" w:rsidRDefault="00542BCE">
      <w:pPr>
        <w:spacing w:after="0" w:line="360" w:lineRule="auto"/>
        <w:ind w:left="567" w:right="567"/>
        <w:rPr>
          <w:i/>
        </w:rPr>
      </w:pPr>
    </w:p>
    <w:p w14:paraId="1F55C920" w14:textId="77777777" w:rsidR="00542BCE" w:rsidRPr="00CC25A0" w:rsidRDefault="00CC25A0">
      <w:pPr>
        <w:spacing w:after="0" w:line="360" w:lineRule="auto"/>
        <w:rPr>
          <w:b/>
        </w:rPr>
      </w:pPr>
      <w:r w:rsidRPr="00CC25A0">
        <w:t>Del Lineamiento referido, se desprende que para clasificar la información como reservada, será necesario acreditar un vínculo, entre la persona física y la información que pueda poner en riesgo su vida, seguridad o salud, es decir, se deben señalar el bien jurídico específico afectado y el potencial de daño o riesgo que causaría su difusión.</w:t>
      </w:r>
    </w:p>
    <w:p w14:paraId="39118AB2" w14:textId="77777777" w:rsidR="00542BCE" w:rsidRPr="00CC25A0" w:rsidRDefault="00542BCE">
      <w:pPr>
        <w:spacing w:after="0" w:line="360" w:lineRule="auto"/>
      </w:pPr>
    </w:p>
    <w:p w14:paraId="71029FBC" w14:textId="77777777" w:rsidR="00542BCE" w:rsidRPr="00CC25A0" w:rsidRDefault="00CC25A0">
      <w:pPr>
        <w:spacing w:after="0" w:line="360" w:lineRule="auto"/>
      </w:pPr>
      <w:r w:rsidRPr="00CC25A0">
        <w:t>Además, el artículo 81, fracción III, de la Ley de Seguridad del Estado de México, establece lo siguiente:</w:t>
      </w:r>
    </w:p>
    <w:p w14:paraId="0CB6DDAB" w14:textId="77777777" w:rsidR="00542BCE" w:rsidRPr="00CC25A0" w:rsidRDefault="00542BCE">
      <w:pPr>
        <w:spacing w:after="0" w:line="360" w:lineRule="auto"/>
      </w:pPr>
    </w:p>
    <w:p w14:paraId="5E62B206" w14:textId="77777777" w:rsidR="00542BCE" w:rsidRPr="00CC25A0" w:rsidRDefault="00CC25A0">
      <w:pPr>
        <w:spacing w:after="0" w:line="360" w:lineRule="auto"/>
        <w:ind w:left="567" w:right="567"/>
        <w:rPr>
          <w:i/>
          <w:sz w:val="20"/>
          <w:szCs w:val="20"/>
        </w:rPr>
      </w:pPr>
      <w:r w:rsidRPr="00CC25A0">
        <w:rPr>
          <w:b/>
          <w:i/>
          <w:sz w:val="20"/>
          <w:szCs w:val="20"/>
        </w:rPr>
        <w:t>“Artículo 81.-</w:t>
      </w:r>
      <w:r w:rsidRPr="00CC25A0">
        <w:rPr>
          <w:i/>
          <w:sz w:val="20"/>
          <w:szCs w:val="20"/>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0B548645" w14:textId="77777777" w:rsidR="00542BCE" w:rsidRPr="00CC25A0" w:rsidRDefault="00CC25A0">
      <w:pPr>
        <w:spacing w:after="0" w:line="360" w:lineRule="auto"/>
        <w:ind w:left="567" w:right="567"/>
        <w:rPr>
          <w:i/>
          <w:sz w:val="20"/>
          <w:szCs w:val="20"/>
        </w:rPr>
      </w:pPr>
      <w:r w:rsidRPr="00CC25A0">
        <w:rPr>
          <w:i/>
          <w:sz w:val="20"/>
          <w:szCs w:val="20"/>
        </w:rPr>
        <w:t>…</w:t>
      </w:r>
    </w:p>
    <w:p w14:paraId="44AFC2BC" w14:textId="77777777" w:rsidR="00542BCE" w:rsidRPr="00CC25A0" w:rsidRDefault="00CC25A0">
      <w:pPr>
        <w:spacing w:after="0" w:line="360" w:lineRule="auto"/>
        <w:ind w:left="567" w:right="567"/>
        <w:rPr>
          <w:i/>
          <w:sz w:val="20"/>
          <w:szCs w:val="20"/>
        </w:rPr>
      </w:pPr>
      <w:r w:rsidRPr="00CC25A0">
        <w:rPr>
          <w:i/>
          <w:sz w:val="20"/>
          <w:szCs w:val="20"/>
        </w:rPr>
        <w:t>III. La relativa a los servidores públicos integrantes de las instituciones de seguridad pública, cuya revelación pueda poner en riesgo su vida e integridad física con motivo de sus funciones;</w:t>
      </w:r>
    </w:p>
    <w:p w14:paraId="25CE6C95" w14:textId="77777777" w:rsidR="00542BCE" w:rsidRPr="00CC25A0" w:rsidRDefault="00CC25A0">
      <w:pPr>
        <w:spacing w:after="0" w:line="360" w:lineRule="auto"/>
        <w:ind w:left="567" w:right="567"/>
        <w:rPr>
          <w:i/>
          <w:sz w:val="20"/>
          <w:szCs w:val="20"/>
        </w:rPr>
      </w:pPr>
      <w:r w:rsidRPr="00CC25A0">
        <w:rPr>
          <w:i/>
          <w:sz w:val="20"/>
          <w:szCs w:val="20"/>
        </w:rPr>
        <w:t>…”</w:t>
      </w:r>
    </w:p>
    <w:p w14:paraId="7B285223" w14:textId="77777777" w:rsidR="00542BCE" w:rsidRPr="00CC25A0" w:rsidRDefault="00542BCE">
      <w:pPr>
        <w:spacing w:after="0" w:line="360" w:lineRule="auto"/>
      </w:pPr>
    </w:p>
    <w:p w14:paraId="54E409E4" w14:textId="77777777" w:rsidR="00542BCE" w:rsidRPr="00CC25A0" w:rsidRDefault="00CC25A0">
      <w:pPr>
        <w:spacing w:after="0" w:line="360" w:lineRule="auto"/>
      </w:pPr>
      <w:r w:rsidRPr="00CC25A0">
        <w:lastRenderedPageBreak/>
        <w:t>Conforme al citado artículo, se desprende que es reservada toda aquella información de los servidores públicos integrantes de las instituciones de seguridad pública, cuya revelación pueda poner en riesgo su vida e integridad física con motivo de sus funciones.</w:t>
      </w:r>
    </w:p>
    <w:p w14:paraId="4B5C4F5D" w14:textId="77777777" w:rsidR="00542BCE" w:rsidRPr="00CC25A0" w:rsidRDefault="00542BCE">
      <w:pPr>
        <w:spacing w:after="0" w:line="360" w:lineRule="auto"/>
        <w:rPr>
          <w:color w:val="000000"/>
        </w:rPr>
      </w:pPr>
    </w:p>
    <w:p w14:paraId="2F5D6CF7" w14:textId="77777777" w:rsidR="00542BCE" w:rsidRPr="00CC25A0" w:rsidRDefault="00CC25A0">
      <w:pPr>
        <w:spacing w:after="0" w:line="360" w:lineRule="auto"/>
      </w:pPr>
      <w:r w:rsidRPr="00CC25A0">
        <w:t>En ese contexto, es de señalar que los datos de servidores públicos, entre los que se encuentran el nombre de los trabajadores, por regla general, son de naturaleza pública, de conformidad con el 92, fracción VII, de la Ley de Transparencia y Acceso a la Información Pública del Estado de México y Municipios.</w:t>
      </w:r>
    </w:p>
    <w:p w14:paraId="2E2A12D4" w14:textId="77777777" w:rsidR="00542BCE" w:rsidRPr="00CC25A0" w:rsidRDefault="00542BCE">
      <w:pPr>
        <w:spacing w:after="0" w:line="360" w:lineRule="auto"/>
      </w:pPr>
    </w:p>
    <w:p w14:paraId="1F21135A" w14:textId="77777777" w:rsidR="00542BCE" w:rsidRPr="00CC25A0" w:rsidRDefault="00CC25A0">
      <w:pPr>
        <w:spacing w:after="0" w:line="360" w:lineRule="auto"/>
      </w:pPr>
      <w:r w:rsidRPr="00CC25A0">
        <w:t xml:space="preserve">No obstante, resulta necesario traer a colación por analogía, el </w:t>
      </w:r>
      <w:r w:rsidRPr="00CC25A0">
        <w:rPr>
          <w:color w:val="000000"/>
        </w:rPr>
        <w:t xml:space="preserve">Criterio Orientador, con número de registro SO/006/2009, de la Primera Época, </w:t>
      </w:r>
      <w:r w:rsidRPr="00CC25A0">
        <w:t>emitido por el entonces Instituto Federal de Acceso a la Información y Protección de Datos ahora Instituto Nacional de Transparencia, Acceso a la Información y Protección de Datos Personales, vigente a la fecha de la solicitud, que establece lo siguiente:</w:t>
      </w:r>
    </w:p>
    <w:p w14:paraId="52F03059" w14:textId="77777777" w:rsidR="00542BCE" w:rsidRPr="00CC25A0" w:rsidRDefault="00542BCE">
      <w:pPr>
        <w:spacing w:after="0" w:line="360" w:lineRule="auto"/>
      </w:pPr>
    </w:p>
    <w:p w14:paraId="637B9933" w14:textId="77777777" w:rsidR="00542BCE" w:rsidRPr="00CC25A0" w:rsidRDefault="00CC25A0">
      <w:pPr>
        <w:tabs>
          <w:tab w:val="left" w:pos="4962"/>
        </w:tabs>
        <w:spacing w:after="0" w:line="360" w:lineRule="auto"/>
        <w:ind w:left="567" w:right="709"/>
        <w:rPr>
          <w:i/>
          <w:sz w:val="20"/>
          <w:szCs w:val="20"/>
        </w:rPr>
      </w:pPr>
      <w:r w:rsidRPr="00CC25A0">
        <w:rPr>
          <w:b/>
          <w:i/>
          <w:sz w:val="20"/>
          <w:szCs w:val="20"/>
        </w:rPr>
        <w:t>“Nombres de servidores públicos dedicados a actividades en materia de seguridad, por excepción pueden considerarse información reservada.</w:t>
      </w:r>
      <w:r w:rsidRPr="00CC25A0">
        <w:rPr>
          <w:i/>
          <w:sz w:val="20"/>
          <w:szCs w:val="20"/>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w:t>
      </w:r>
      <w:r w:rsidRPr="00CC25A0">
        <w:rPr>
          <w:i/>
          <w:sz w:val="20"/>
          <w:szCs w:val="20"/>
        </w:rPr>
        <w:lastRenderedPageBreak/>
        <w:t>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17B135B0" w14:textId="77777777" w:rsidR="00542BCE" w:rsidRPr="00CC25A0" w:rsidRDefault="00542BCE">
      <w:pPr>
        <w:spacing w:after="0" w:line="360" w:lineRule="auto"/>
      </w:pPr>
    </w:p>
    <w:p w14:paraId="04655398" w14:textId="77777777" w:rsidR="00542BCE" w:rsidRPr="00CC25A0" w:rsidRDefault="00CC25A0">
      <w:pPr>
        <w:spacing w:after="0" w:line="360" w:lineRule="auto"/>
      </w:pPr>
      <w:r w:rsidRPr="00CC25A0">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3E44999A" w14:textId="77777777" w:rsidR="00542BCE" w:rsidRPr="00CC25A0" w:rsidRDefault="00542BCE">
      <w:pPr>
        <w:spacing w:after="0" w:line="360" w:lineRule="auto"/>
      </w:pPr>
    </w:p>
    <w:p w14:paraId="68C5894D" w14:textId="77777777" w:rsidR="00542BCE" w:rsidRPr="00CC25A0" w:rsidRDefault="00CC25A0">
      <w:pPr>
        <w:spacing w:after="0" w:line="360" w:lineRule="auto"/>
        <w:rPr>
          <w:color w:val="000000"/>
        </w:rPr>
      </w:pPr>
      <w:r w:rsidRPr="00CC25A0">
        <w:rPr>
          <w:color w:val="000000"/>
        </w:rPr>
        <w:t>Además, el Criterio Reiterado 09/24, emitido por el Pleno de este Instituto, precisa que el nombre del personal operativo de seguridad pública debe clasificarse como información reservada, previa acreditación de la prueba de daño, ya que su publicidad podría poner en riesgo la vida, la seguridad o la salud del servidor público, ya que los vuelve plenamente identificables ante grupos delictivos.</w:t>
      </w:r>
    </w:p>
    <w:p w14:paraId="7D313F70" w14:textId="77777777" w:rsidR="00542BCE" w:rsidRPr="00CC25A0" w:rsidRDefault="00542BCE">
      <w:pPr>
        <w:spacing w:after="0" w:line="360" w:lineRule="auto"/>
      </w:pPr>
    </w:p>
    <w:p w14:paraId="655B9E2D" w14:textId="77777777" w:rsidR="00542BCE" w:rsidRPr="00CC25A0" w:rsidRDefault="00CC25A0">
      <w:pPr>
        <w:spacing w:after="0" w:line="360" w:lineRule="auto"/>
      </w:pPr>
      <w:r w:rsidRPr="00CC25A0">
        <w:t xml:space="preserve">En ese orden de ideas, si bien por regla general los nombres de los trabajadores gubernamentales son información pública de oficio, existe una excepción relativa a </w:t>
      </w:r>
      <w:r w:rsidRPr="00CC25A0">
        <w:rPr>
          <w:b/>
        </w:rPr>
        <w:t>aquellos que realicen actividades operativas en materia de seguridad,</w:t>
      </w:r>
      <w:r w:rsidRPr="00CC25A0">
        <w:t xml:space="preserve"> como es el caso de los elementos operativos y la policía municipal.</w:t>
      </w:r>
    </w:p>
    <w:p w14:paraId="06D0132C" w14:textId="77777777" w:rsidR="00542BCE" w:rsidRPr="00CC25A0" w:rsidRDefault="00542BCE">
      <w:pPr>
        <w:spacing w:after="0" w:line="360" w:lineRule="auto"/>
      </w:pPr>
    </w:p>
    <w:p w14:paraId="777C24E5" w14:textId="77777777" w:rsidR="00542BCE" w:rsidRPr="00CC25A0" w:rsidRDefault="00CC25A0">
      <w:pPr>
        <w:spacing w:after="0" w:line="360" w:lineRule="auto"/>
      </w:pPr>
      <w:r w:rsidRPr="00CC25A0">
        <w:t xml:space="preserve">Al respecto,  el artículo 4° de la Ley de Seguridad del Estado de México prevé que la función de seguridad pública se realizará, en los diversos ámbitos de competencia, por conducto de las </w:t>
      </w:r>
      <w:r w:rsidRPr="00CC25A0">
        <w:lastRenderedPageBreak/>
        <w:t>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70A061F2" w14:textId="77777777" w:rsidR="00542BCE" w:rsidRPr="00CC25A0" w:rsidRDefault="00542BCE">
      <w:pPr>
        <w:spacing w:after="0" w:line="360" w:lineRule="auto"/>
      </w:pPr>
    </w:p>
    <w:p w14:paraId="53DA6B63" w14:textId="77777777" w:rsidR="00542BCE" w:rsidRPr="00CC25A0" w:rsidRDefault="00CC25A0">
      <w:pPr>
        <w:spacing w:after="0" w:line="360" w:lineRule="auto"/>
      </w:pPr>
      <w:r w:rsidRPr="00CC25A0">
        <w:t>En ese contexto, el artículo 6°, fracciones XI y XII de dicho ordenamiento jurídico, establece los siguientes conceptos:</w:t>
      </w:r>
    </w:p>
    <w:p w14:paraId="7D569325" w14:textId="77777777" w:rsidR="00542BCE" w:rsidRPr="00CC25A0" w:rsidRDefault="00542BCE">
      <w:pPr>
        <w:spacing w:after="0" w:line="360" w:lineRule="auto"/>
      </w:pPr>
    </w:p>
    <w:p w14:paraId="7D57FF01" w14:textId="77777777" w:rsidR="00542BCE" w:rsidRPr="00CC25A0" w:rsidRDefault="00CC25A0">
      <w:pPr>
        <w:numPr>
          <w:ilvl w:val="0"/>
          <w:numId w:val="2"/>
        </w:numPr>
        <w:spacing w:after="0" w:line="360" w:lineRule="auto"/>
        <w:jc w:val="left"/>
        <w:rPr>
          <w:b/>
        </w:rPr>
      </w:pPr>
      <w:r w:rsidRPr="00CC25A0">
        <w:rPr>
          <w:b/>
        </w:rPr>
        <w:t xml:space="preserve">Instituciones Policiales: </w:t>
      </w:r>
      <w:r w:rsidRPr="00CC25A0">
        <w:t xml:space="preserve">Son los cuerpos de policía, de vigilancia y custodia de los establecimientos penitenciarios, detención preventiva, centros de arraigo y en general, </w:t>
      </w:r>
      <w:r w:rsidRPr="00CC25A0">
        <w:rPr>
          <w:b/>
        </w:rPr>
        <w:t>todas las dependencias encargadas de la seguridad pública a nivel</w:t>
      </w:r>
      <w:r w:rsidRPr="00CC25A0">
        <w:t xml:space="preserve"> estatal y </w:t>
      </w:r>
      <w:r w:rsidRPr="00CC25A0">
        <w:rPr>
          <w:b/>
        </w:rPr>
        <w:t>municipal.</w:t>
      </w:r>
    </w:p>
    <w:p w14:paraId="33DEC047" w14:textId="77777777" w:rsidR="00542BCE" w:rsidRPr="00CC25A0" w:rsidRDefault="00542BCE">
      <w:pPr>
        <w:spacing w:after="0" w:line="360" w:lineRule="auto"/>
        <w:ind w:left="720"/>
      </w:pPr>
    </w:p>
    <w:p w14:paraId="03832177" w14:textId="77777777" w:rsidR="00542BCE" w:rsidRPr="00CC25A0" w:rsidRDefault="00CC25A0">
      <w:pPr>
        <w:numPr>
          <w:ilvl w:val="0"/>
          <w:numId w:val="2"/>
        </w:numPr>
        <w:spacing w:after="0" w:line="360" w:lineRule="auto"/>
        <w:jc w:val="left"/>
        <w:rPr>
          <w:b/>
        </w:rPr>
      </w:pPr>
      <w:r w:rsidRPr="00CC25A0">
        <w:rPr>
          <w:b/>
        </w:rPr>
        <w:t xml:space="preserve">Instituciones de Seguridad Pública: </w:t>
      </w:r>
      <w:r w:rsidRPr="00CC25A0">
        <w:t xml:space="preserve">Instituciones Policiales, Procuración de Justicia, Sistema Penitenciario y </w:t>
      </w:r>
      <w:r w:rsidRPr="00CC25A0">
        <w:rPr>
          <w:b/>
        </w:rPr>
        <w:t xml:space="preserve">dependencias encargadas de la seguridad pública a nivel </w:t>
      </w:r>
      <w:r w:rsidRPr="00CC25A0">
        <w:t xml:space="preserve">estatal y </w:t>
      </w:r>
      <w:r w:rsidRPr="00CC25A0">
        <w:rPr>
          <w:b/>
        </w:rPr>
        <w:t>municipal.</w:t>
      </w:r>
    </w:p>
    <w:p w14:paraId="58A77226" w14:textId="77777777" w:rsidR="00542BCE" w:rsidRPr="00CC25A0" w:rsidRDefault="00542BCE">
      <w:pPr>
        <w:spacing w:after="0" w:line="360" w:lineRule="auto"/>
        <w:rPr>
          <w:b/>
        </w:rPr>
      </w:pPr>
    </w:p>
    <w:p w14:paraId="2AD3042E" w14:textId="77777777" w:rsidR="00542BCE" w:rsidRPr="00CC25A0" w:rsidRDefault="00CC25A0">
      <w:pPr>
        <w:spacing w:after="0" w:line="360" w:lineRule="auto"/>
      </w:pPr>
      <w:r w:rsidRPr="00CC25A0">
        <w:t>Conforme a lo anterior, se puede deducir que la</w:t>
      </w:r>
      <w:r w:rsidRPr="00CC25A0">
        <w:rPr>
          <w:color w:val="000000"/>
        </w:rPr>
        <w:t xml:space="preserve"> Dirección de Seguridad Pública</w:t>
      </w:r>
      <w:r w:rsidRPr="00CC25A0">
        <w:t>, es una institución de seguridad pública, pues tiene como atribución principal, la prevención de delitos y proteger a las personas, sus propiedades, posesiones y derechos.</w:t>
      </w:r>
    </w:p>
    <w:p w14:paraId="7C543385" w14:textId="77777777" w:rsidR="00542BCE" w:rsidRPr="00CC25A0" w:rsidRDefault="00542BCE">
      <w:pPr>
        <w:spacing w:after="0" w:line="360" w:lineRule="auto"/>
      </w:pPr>
    </w:p>
    <w:p w14:paraId="45497B37" w14:textId="77777777" w:rsidR="00542BCE" w:rsidRPr="00CC25A0" w:rsidRDefault="00CC25A0">
      <w:pPr>
        <w:tabs>
          <w:tab w:val="left" w:pos="4962"/>
        </w:tabs>
        <w:spacing w:after="0" w:line="360" w:lineRule="auto"/>
        <w:ind w:right="-28"/>
      </w:pPr>
      <w:r w:rsidRPr="00CC25A0">
        <w:t xml:space="preserve">Además, el Instructivo de llenado del Formato “Personal de Seguridad Pública”, del Secretariado Ejecutivo del Sistema Nacional de Seguridad Pública, establece que los elementos operativos de seguridad pública, son aquellos que desempeñan funciones de campo (policiales, especializadas o equivalentes y que no </w:t>
      </w:r>
      <w:r w:rsidRPr="00CC25A0">
        <w:rPr>
          <w:b/>
        </w:rPr>
        <w:t>desempeña funciones de mando</w:t>
      </w:r>
      <w:r w:rsidRPr="00CC25A0">
        <w:t xml:space="preserve">), entre los cuales, se encuentra </w:t>
      </w:r>
      <w:r w:rsidRPr="00CC25A0">
        <w:rPr>
          <w:b/>
        </w:rPr>
        <w:t>la Policía Municipal</w:t>
      </w:r>
      <w:r w:rsidRPr="00CC25A0">
        <w:t>.</w:t>
      </w:r>
    </w:p>
    <w:p w14:paraId="2F08B73C" w14:textId="77777777" w:rsidR="00542BCE" w:rsidRPr="00CC25A0" w:rsidRDefault="00542BCE">
      <w:pPr>
        <w:tabs>
          <w:tab w:val="left" w:pos="4962"/>
        </w:tabs>
        <w:spacing w:after="0" w:line="360" w:lineRule="auto"/>
        <w:ind w:right="-28"/>
      </w:pPr>
    </w:p>
    <w:p w14:paraId="7C6A52DB" w14:textId="77777777" w:rsidR="00542BCE" w:rsidRPr="00CC25A0" w:rsidRDefault="00CC25A0">
      <w:pPr>
        <w:tabs>
          <w:tab w:val="left" w:pos="4962"/>
        </w:tabs>
        <w:spacing w:after="0" w:line="360" w:lineRule="auto"/>
        <w:ind w:right="-28"/>
      </w:pPr>
      <w:r w:rsidRPr="00CC25A0">
        <w:t xml:space="preserve">Asimismo, se advierte que las Instituciones Policiales, se conforman del personal </w:t>
      </w:r>
      <w:r w:rsidRPr="00CC25A0">
        <w:rPr>
          <w:b/>
        </w:rPr>
        <w:t>administrativo,</w:t>
      </w:r>
      <w:r w:rsidRPr="00CC25A0">
        <w:t xml:space="preserve"> que son los trabajadores de apoyo (chofer, personal de mantenimiento, servicios generales y área secretaría); </w:t>
      </w:r>
      <w:r w:rsidRPr="00CC25A0">
        <w:rPr>
          <w:b/>
        </w:rPr>
        <w:t>así como, el personal de mando</w:t>
      </w:r>
      <w:r w:rsidRPr="00CC25A0">
        <w:t xml:space="preserve"> (alto, medio y superior), que es aquel que realiza funciones de dirección, coordinación y supervisión, por lo cual, corresponde a aquel que tenga trabajadores a su cargo.</w:t>
      </w:r>
    </w:p>
    <w:p w14:paraId="15F9A880" w14:textId="77777777" w:rsidR="00542BCE" w:rsidRPr="00CC25A0" w:rsidRDefault="00542BCE">
      <w:pPr>
        <w:spacing w:after="0" w:line="360" w:lineRule="auto"/>
      </w:pPr>
    </w:p>
    <w:p w14:paraId="25C2039A" w14:textId="77777777" w:rsidR="00542BCE" w:rsidRPr="00CC25A0" w:rsidRDefault="00CC25A0">
      <w:pPr>
        <w:spacing w:after="0" w:line="360" w:lineRule="auto"/>
      </w:pPr>
      <w:r w:rsidRPr="00CC25A0">
        <w:t>Así, dar a conocer el nombre de las personas, vinculado con el hecho que son policías,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1F110144" w14:textId="77777777" w:rsidR="00542BCE" w:rsidRPr="00CC25A0" w:rsidRDefault="00542BCE">
      <w:pPr>
        <w:spacing w:after="0" w:line="360" w:lineRule="auto"/>
      </w:pPr>
    </w:p>
    <w:p w14:paraId="6A6A4AC4" w14:textId="77777777" w:rsidR="00542BCE" w:rsidRPr="00CC25A0" w:rsidRDefault="00CC25A0">
      <w:pPr>
        <w:spacing w:after="0" w:line="360" w:lineRule="auto"/>
      </w:pPr>
      <w:r w:rsidRPr="00CC25A0">
        <w:t xml:space="preserve">Sin embargo, por lo que hace al </w:t>
      </w:r>
      <w:r w:rsidRPr="00CC25A0">
        <w:rPr>
          <w:b/>
        </w:rPr>
        <w:t>personal administrativo y los mandos medios y superiores</w:t>
      </w:r>
      <w:r w:rsidRPr="00CC25A0">
        <w:t>, se advierte que estos no realizan funciones operativas, sino únicamente realizan actividades de apoyo y dirección respectivamente, por lo que, no procede la causal de reserva establecida en el artículo 140, fracción IV, de la Ley de la materia, pues por el tipo de funciones que realizan, no se pone en peligro su vida, seguridad o salud de este tipo de trabajadores.</w:t>
      </w:r>
    </w:p>
    <w:p w14:paraId="0AC342D5" w14:textId="77777777" w:rsidR="00542BCE" w:rsidRPr="00CC25A0" w:rsidRDefault="00542BCE">
      <w:pPr>
        <w:spacing w:after="0" w:line="360" w:lineRule="auto"/>
      </w:pPr>
    </w:p>
    <w:p w14:paraId="7FE7A1FE" w14:textId="77777777" w:rsidR="00542BCE" w:rsidRPr="00CC25A0" w:rsidRDefault="00CC25A0">
      <w:pPr>
        <w:spacing w:after="0" w:line="360" w:lineRule="auto"/>
      </w:pPr>
      <w:r w:rsidRPr="00CC25A0">
        <w:t xml:space="preserve">De tal situación, se considera que dar a conocer el nombre de los elementos operativos en materia de seguridad, como lo son los policías municipales, puede poner en riesgo la vida, seguridad y salud de estos, de sus familias e incluso su entorno social, pues al hacerlos </w:t>
      </w:r>
      <w:r w:rsidRPr="00CC25A0">
        <w:lastRenderedPageBreak/>
        <w:t>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743E8B73" w14:textId="77777777" w:rsidR="00542BCE" w:rsidRPr="00CC25A0" w:rsidRDefault="00542BCE">
      <w:pPr>
        <w:spacing w:after="0" w:line="360" w:lineRule="auto"/>
      </w:pPr>
    </w:p>
    <w:p w14:paraId="1E78B67D" w14:textId="77777777" w:rsidR="00542BCE" w:rsidRPr="00CC25A0" w:rsidRDefault="00CC25A0">
      <w:pPr>
        <w:spacing w:after="0" w:line="360" w:lineRule="auto"/>
      </w:pPr>
      <w:r w:rsidRPr="00CC25A0">
        <w:t>Lo anterior toma relevancia pues los individuos con pretensiones delictivas pudieran promover algún vínculo o relación directa con los elementos operativos, que incluye a la policía municipal o bien, someterla a extorsión o amenazas con el fin de obtener información sensible sobre el modus operandi de dicha área, lo cual se traduciría en un detrimento al combate a la delincuencia y un perjuicio a la seguridad pública, vulnerando así, el interés general.</w:t>
      </w:r>
    </w:p>
    <w:p w14:paraId="17FD88B1" w14:textId="77777777" w:rsidR="00542BCE" w:rsidRPr="00CC25A0" w:rsidRDefault="00542BCE">
      <w:pPr>
        <w:spacing w:after="0" w:line="360" w:lineRule="auto"/>
      </w:pPr>
    </w:p>
    <w:p w14:paraId="7471B960" w14:textId="77777777" w:rsidR="00542BCE" w:rsidRPr="00CC25A0" w:rsidRDefault="00CC25A0">
      <w:pPr>
        <w:spacing w:after="0" w:line="360" w:lineRule="auto"/>
      </w:pPr>
      <w:r w:rsidRPr="00CC25A0">
        <w:t xml:space="preserve">Por tales consideraciones, </w:t>
      </w:r>
      <w:r w:rsidRPr="00CC25A0">
        <w:rPr>
          <w:b/>
        </w:rPr>
        <w:t>resulta procedente la reserva del nombre de los elementos operativos adscritos a la</w:t>
      </w:r>
      <w:r w:rsidRPr="00CC25A0">
        <w:rPr>
          <w:b/>
          <w:color w:val="000000"/>
        </w:rPr>
        <w:t xml:space="preserve"> Dirección de Seguridad Pública</w:t>
      </w:r>
      <w:r w:rsidRPr="00CC25A0">
        <w:rPr>
          <w:b/>
        </w:rPr>
        <w:t>, en términos del artículo 140, fracción IV, de la Ley de Transparencia y Acceso a la Información Pública del Estado de México y Municipios. No obstante, no podrá clasificar al personal administrativo, ni los mandos medios o superiores de dicha área.</w:t>
      </w:r>
    </w:p>
    <w:p w14:paraId="49E1983A" w14:textId="77777777" w:rsidR="00542BCE" w:rsidRPr="00CC25A0" w:rsidRDefault="00542BCE">
      <w:pPr>
        <w:spacing w:after="0" w:line="360" w:lineRule="auto"/>
        <w:rPr>
          <w:b/>
        </w:rPr>
      </w:pPr>
    </w:p>
    <w:p w14:paraId="6E99C8C0" w14:textId="77777777" w:rsidR="00542BCE" w:rsidRPr="00CC25A0" w:rsidRDefault="00CC25A0">
      <w:pPr>
        <w:tabs>
          <w:tab w:val="left" w:pos="4962"/>
        </w:tabs>
        <w:spacing w:after="0" w:line="360" w:lineRule="auto"/>
      </w:pPr>
      <w:r w:rsidRPr="00CC25A0">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1CB76C3B" w14:textId="77777777" w:rsidR="00542BCE" w:rsidRPr="00CC25A0" w:rsidRDefault="00542BCE">
      <w:pPr>
        <w:tabs>
          <w:tab w:val="left" w:pos="4962"/>
        </w:tabs>
        <w:spacing w:after="0" w:line="360" w:lineRule="auto"/>
      </w:pPr>
    </w:p>
    <w:p w14:paraId="43BFDE49" w14:textId="77777777" w:rsidR="00542BCE" w:rsidRPr="00CC25A0" w:rsidRDefault="00CC25A0">
      <w:pPr>
        <w:numPr>
          <w:ilvl w:val="0"/>
          <w:numId w:val="1"/>
        </w:numPr>
        <w:tabs>
          <w:tab w:val="left" w:pos="4962"/>
        </w:tabs>
        <w:spacing w:after="0" w:line="360" w:lineRule="auto"/>
        <w:ind w:left="709" w:hanging="436"/>
      </w:pPr>
      <w:r w:rsidRPr="00CC25A0">
        <w:t>La divulgación de la información representa un riesgo real, demostrable e identificable de perjuicio significativo al interés público o a la seguridad nacional.</w:t>
      </w:r>
    </w:p>
    <w:p w14:paraId="32BF81F8" w14:textId="77777777" w:rsidR="00542BCE" w:rsidRPr="00CC25A0" w:rsidRDefault="00542BCE">
      <w:pPr>
        <w:tabs>
          <w:tab w:val="left" w:pos="4962"/>
        </w:tabs>
        <w:spacing w:after="0" w:line="360" w:lineRule="auto"/>
        <w:ind w:left="709"/>
      </w:pPr>
    </w:p>
    <w:p w14:paraId="77E9CCB3" w14:textId="77777777" w:rsidR="00542BCE" w:rsidRPr="00CC25A0" w:rsidRDefault="00CC25A0">
      <w:pPr>
        <w:numPr>
          <w:ilvl w:val="0"/>
          <w:numId w:val="1"/>
        </w:numPr>
        <w:tabs>
          <w:tab w:val="left" w:pos="4962"/>
        </w:tabs>
        <w:spacing w:after="0" w:line="360" w:lineRule="auto"/>
        <w:ind w:left="709" w:hanging="436"/>
        <w:jc w:val="left"/>
      </w:pPr>
      <w:r w:rsidRPr="00CC25A0">
        <w:t>El riesgo de perjuicio supera el interés público general de que se difunda.</w:t>
      </w:r>
    </w:p>
    <w:p w14:paraId="5F5EE56A" w14:textId="77777777" w:rsidR="00542BCE" w:rsidRPr="00CC25A0" w:rsidRDefault="00542BCE">
      <w:pPr>
        <w:pBdr>
          <w:top w:val="nil"/>
          <w:left w:val="nil"/>
          <w:bottom w:val="nil"/>
          <w:right w:val="nil"/>
          <w:between w:val="nil"/>
        </w:pBdr>
        <w:spacing w:after="0" w:line="240" w:lineRule="auto"/>
        <w:ind w:left="720"/>
        <w:rPr>
          <w:color w:val="000000"/>
        </w:rPr>
      </w:pPr>
    </w:p>
    <w:p w14:paraId="03F9C186" w14:textId="77777777" w:rsidR="00542BCE" w:rsidRPr="00CC25A0" w:rsidRDefault="00CC25A0">
      <w:pPr>
        <w:numPr>
          <w:ilvl w:val="0"/>
          <w:numId w:val="1"/>
        </w:numPr>
        <w:tabs>
          <w:tab w:val="left" w:pos="4962"/>
        </w:tabs>
        <w:spacing w:after="0" w:line="360" w:lineRule="auto"/>
        <w:ind w:left="709" w:hanging="436"/>
        <w:jc w:val="left"/>
      </w:pPr>
      <w:r w:rsidRPr="00CC25A0">
        <w:lastRenderedPageBreak/>
        <w:t>Que la limitación se adecua al principio de proporcionalidad y representa el medio menos restrictivo disponible para evitar el perjuicio.</w:t>
      </w:r>
    </w:p>
    <w:p w14:paraId="1F81F531" w14:textId="77777777" w:rsidR="00542BCE" w:rsidRPr="00CC25A0" w:rsidRDefault="00542BCE">
      <w:pPr>
        <w:spacing w:after="0" w:line="360" w:lineRule="auto"/>
        <w:jc w:val="left"/>
      </w:pPr>
    </w:p>
    <w:p w14:paraId="57A82587" w14:textId="77777777" w:rsidR="00542BCE" w:rsidRPr="00CC25A0" w:rsidRDefault="00CC25A0">
      <w:pPr>
        <w:spacing w:after="0" w:line="360" w:lineRule="auto"/>
      </w:pPr>
      <w:r w:rsidRPr="00CC25A0">
        <w:t xml:space="preserve">Además, el artículo 125 de la Ley de la materia, establece que la información clasificada como reservada según el artículo 140 de la Ley de Transparencia y Acceso a la Información Pública del Estado de México y Municipios, podrá permanecer con tal carácter hasta por un periodo de cinco años. </w:t>
      </w:r>
    </w:p>
    <w:p w14:paraId="68B485E1" w14:textId="77777777" w:rsidR="00542BCE" w:rsidRPr="00CC25A0" w:rsidRDefault="00542BCE">
      <w:pPr>
        <w:spacing w:after="0" w:line="360" w:lineRule="auto"/>
      </w:pPr>
    </w:p>
    <w:p w14:paraId="708100C5" w14:textId="77777777" w:rsidR="00542BCE" w:rsidRPr="00CC25A0" w:rsidRDefault="00CC25A0">
      <w:pPr>
        <w:spacing w:after="0" w:line="360" w:lineRule="auto"/>
      </w:pPr>
      <w:r w:rsidRPr="00CC25A0">
        <w:t>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por lo que, en las versiones públicas, deberá clasificar el nombre de los elementos operativos de la</w:t>
      </w:r>
      <w:r w:rsidRPr="00CC25A0">
        <w:rPr>
          <w:color w:val="000000"/>
        </w:rPr>
        <w:t xml:space="preserve"> Dirección de Seguridad Pública</w:t>
      </w:r>
      <w:r w:rsidRPr="00CC25A0">
        <w:t>, de manera fundada y motivada, mediante la respectiva prueba de daño, y deberá proporcionar la información del personal administrativo y mandos medios y superiores de dicha área.</w:t>
      </w:r>
    </w:p>
    <w:p w14:paraId="20078552" w14:textId="77777777" w:rsidR="00542BCE" w:rsidRPr="00CC25A0" w:rsidRDefault="00542BCE">
      <w:pPr>
        <w:tabs>
          <w:tab w:val="center" w:pos="4522"/>
        </w:tabs>
        <w:spacing w:after="0" w:line="360" w:lineRule="auto"/>
        <w:rPr>
          <w:color w:val="000000"/>
        </w:rPr>
      </w:pPr>
    </w:p>
    <w:p w14:paraId="5B926916" w14:textId="77777777" w:rsidR="00542BCE" w:rsidRPr="00CC25A0" w:rsidRDefault="00CC25A0">
      <w:pPr>
        <w:spacing w:after="0" w:line="360" w:lineRule="auto"/>
        <w:ind w:right="-28"/>
        <w:rPr>
          <w:color w:val="000000"/>
        </w:rPr>
      </w:pPr>
      <w:r w:rsidRPr="00CC25A0">
        <w:t>Por lo que, para atender el requerimiento deberá proporcionar los documentos solicitados en versión pública; p</w:t>
      </w:r>
      <w:r w:rsidRPr="00CC25A0">
        <w:rPr>
          <w:color w:val="000000"/>
        </w:rPr>
        <w:t>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manera enunciativa más no limitativa los datos previamente señalados, fundando y motivando la clasificación.</w:t>
      </w:r>
    </w:p>
    <w:p w14:paraId="1AD66A14" w14:textId="77777777" w:rsidR="00542BCE" w:rsidRPr="00CC25A0" w:rsidRDefault="00542BCE">
      <w:pPr>
        <w:spacing w:after="0" w:line="360" w:lineRule="auto"/>
      </w:pPr>
    </w:p>
    <w:p w14:paraId="2EB04920" w14:textId="77777777" w:rsidR="00542BCE" w:rsidRPr="00CC25A0" w:rsidRDefault="00CC25A0">
      <w:pPr>
        <w:pStyle w:val="Ttulo2"/>
        <w:spacing w:before="0" w:after="0"/>
        <w:rPr>
          <w:b w:val="0"/>
        </w:rPr>
      </w:pPr>
      <w:bookmarkStart w:id="25" w:name="_heading=h.eg7g51ox003g" w:colFirst="0" w:colLast="0"/>
      <w:bookmarkStart w:id="26" w:name="_Toc211523217"/>
      <w:bookmarkEnd w:id="25"/>
      <w:r w:rsidRPr="00CC25A0">
        <w:lastRenderedPageBreak/>
        <w:t>SEXTO. Decisión</w:t>
      </w:r>
      <w:bookmarkEnd w:id="26"/>
    </w:p>
    <w:p w14:paraId="3BF20B85" w14:textId="77777777" w:rsidR="00542BCE" w:rsidRPr="00CC25A0" w:rsidRDefault="00542BCE">
      <w:pPr>
        <w:spacing w:after="0" w:line="360" w:lineRule="auto"/>
        <w:rPr>
          <w:b/>
        </w:rPr>
      </w:pPr>
    </w:p>
    <w:p w14:paraId="4FB0BE50" w14:textId="77777777" w:rsidR="00542BCE" w:rsidRPr="00CC25A0" w:rsidRDefault="00CC25A0">
      <w:pPr>
        <w:spacing w:after="0" w:line="360" w:lineRule="auto"/>
      </w:pPr>
      <w:r w:rsidRPr="00CC25A0">
        <w:t xml:space="preserve">Con fundamento en el artículo 186, fracción III, de la Ley de Transparencia y Acceso a la Información Pública del Estado de México y Municipios, este Instituto considera procedente </w:t>
      </w:r>
      <w:r w:rsidRPr="00CC25A0">
        <w:rPr>
          <w:b/>
        </w:rPr>
        <w:t xml:space="preserve">REVOCAR </w:t>
      </w:r>
      <w:r w:rsidRPr="00CC25A0">
        <w:t xml:space="preserve">la respuesta otorgada por el Sujeto Obligado a la solicitud de información </w:t>
      </w:r>
      <w:r w:rsidRPr="00CC25A0">
        <w:rPr>
          <w:b/>
        </w:rPr>
        <w:t>00074/TEZOYUCA/IP/2025</w:t>
      </w:r>
      <w:r w:rsidRPr="00CC25A0">
        <w:t xml:space="preserve">, por resultar fundadas las razones o motivos de inconformidad hechos valer por la parte Recurrente, en el Recurso de Revisión </w:t>
      </w:r>
      <w:r w:rsidRPr="00CC25A0">
        <w:rPr>
          <w:b/>
        </w:rPr>
        <w:t>10926/INFOEM/IP/RR/2025</w:t>
      </w:r>
      <w:r w:rsidRPr="00CC25A0">
        <w:t xml:space="preserve">, en consecuencia procede </w:t>
      </w:r>
      <w:r w:rsidRPr="00CC25A0">
        <w:rPr>
          <w:b/>
        </w:rPr>
        <w:t xml:space="preserve">ORDENAR, </w:t>
      </w:r>
      <w:r w:rsidRPr="00CC25A0">
        <w:t>la entrega de la información en los términos expuestos.</w:t>
      </w:r>
    </w:p>
    <w:p w14:paraId="4A81EA77" w14:textId="77777777" w:rsidR="00542BCE" w:rsidRPr="00CC25A0" w:rsidRDefault="00542BCE">
      <w:pPr>
        <w:spacing w:after="0" w:line="360" w:lineRule="auto"/>
      </w:pPr>
    </w:p>
    <w:p w14:paraId="750CA42E" w14:textId="0E3E9DF4" w:rsidR="00542BCE" w:rsidRPr="00CC25A0" w:rsidRDefault="00CC25A0">
      <w:pPr>
        <w:spacing w:after="0" w:line="360" w:lineRule="auto"/>
        <w:rPr>
          <w:b/>
          <w:u w:val="single"/>
        </w:rPr>
      </w:pPr>
      <w:r w:rsidRPr="00CC25A0">
        <w:rPr>
          <w:b/>
          <w:u w:val="single"/>
        </w:rPr>
        <w:t>Términos de la Reso</w:t>
      </w:r>
      <w:r w:rsidR="0048166E">
        <w:rPr>
          <w:b/>
          <w:u w:val="single"/>
        </w:rPr>
        <w:t>lución para la parte Recurrente</w:t>
      </w:r>
    </w:p>
    <w:p w14:paraId="01036776" w14:textId="77777777" w:rsidR="00542BCE" w:rsidRPr="00CC25A0" w:rsidRDefault="00542BCE">
      <w:pPr>
        <w:spacing w:after="0" w:line="360" w:lineRule="auto"/>
      </w:pPr>
    </w:p>
    <w:p w14:paraId="7AA4B8CF" w14:textId="77777777" w:rsidR="00542BCE" w:rsidRPr="00CC25A0" w:rsidRDefault="00CC25A0">
      <w:pPr>
        <w:spacing w:after="0" w:line="360" w:lineRule="auto"/>
        <w:rPr>
          <w:u w:val="single"/>
        </w:rPr>
      </w:pPr>
      <w:r w:rsidRPr="00CC25A0">
        <w:rPr>
          <w:u w:val="single"/>
        </w:rPr>
        <w:t xml:space="preserve">Se hace del conocimiento de parte Recurrente que este Organismo Garante determinó concederle la razón, puesto que no le entregaron la información solicitada. Por lo que se ordena la entrega de la información. </w:t>
      </w:r>
    </w:p>
    <w:p w14:paraId="1C52DE14" w14:textId="77777777" w:rsidR="00542BCE" w:rsidRPr="00CC25A0" w:rsidRDefault="00542BCE">
      <w:pPr>
        <w:spacing w:after="0" w:line="360" w:lineRule="auto"/>
        <w:rPr>
          <w:u w:val="single"/>
        </w:rPr>
      </w:pPr>
    </w:p>
    <w:p w14:paraId="321E7477" w14:textId="77777777" w:rsidR="00542BCE" w:rsidRPr="00CC25A0" w:rsidRDefault="00CC25A0">
      <w:pPr>
        <w:spacing w:after="0" w:line="360" w:lineRule="auto"/>
        <w:rPr>
          <w:u w:val="single"/>
        </w:rPr>
      </w:pPr>
      <w:r w:rsidRPr="00CC25A0">
        <w:rPr>
          <w:u w:val="single"/>
        </w:rPr>
        <w:t>Es necesario mencionar que para el caso de que la información tenga información confidencial o reservada, la misma debe ser testada y se entregará acompañada de un acuerdo en el que se expresen las razones por las que se protege dicha información.</w:t>
      </w:r>
    </w:p>
    <w:p w14:paraId="5566D2D8" w14:textId="77777777" w:rsidR="00542BCE" w:rsidRPr="00CC25A0" w:rsidRDefault="00542BCE">
      <w:pPr>
        <w:spacing w:after="0" w:line="360" w:lineRule="auto"/>
        <w:rPr>
          <w:u w:val="single"/>
        </w:rPr>
      </w:pPr>
    </w:p>
    <w:p w14:paraId="64B38B99" w14:textId="77777777" w:rsidR="00542BCE" w:rsidRPr="00CC25A0" w:rsidRDefault="00CC25A0">
      <w:pPr>
        <w:spacing w:after="0" w:line="360" w:lineRule="auto"/>
        <w:rPr>
          <w:u w:val="single"/>
        </w:rPr>
      </w:pPr>
      <w:r w:rsidRPr="00CC25A0">
        <w:rPr>
          <w:u w:val="single"/>
        </w:rPr>
        <w:t>La labor del INFOEM, es apoyar a la población para acceder a la información pública y garantizar la protección de sus datos personales.</w:t>
      </w:r>
    </w:p>
    <w:p w14:paraId="56FF5255" w14:textId="77777777" w:rsidR="00542BCE" w:rsidRPr="00CC25A0" w:rsidRDefault="00542BCE">
      <w:pPr>
        <w:spacing w:after="0" w:line="360" w:lineRule="auto"/>
        <w:rPr>
          <w:u w:val="single"/>
        </w:rPr>
      </w:pPr>
    </w:p>
    <w:p w14:paraId="1C067A59" w14:textId="77777777" w:rsidR="00542BCE" w:rsidRPr="00CC25A0" w:rsidRDefault="00CC25A0">
      <w:pPr>
        <w:pStyle w:val="Ttulo1"/>
        <w:spacing w:before="0" w:after="0"/>
        <w:rPr>
          <w:b w:val="0"/>
          <w:sz w:val="22"/>
          <w:szCs w:val="22"/>
        </w:rPr>
      </w:pPr>
      <w:bookmarkStart w:id="27" w:name="_heading=h.toy4ubtk56w7" w:colFirst="0" w:colLast="0"/>
      <w:bookmarkStart w:id="28" w:name="_Toc211523218"/>
      <w:bookmarkEnd w:id="27"/>
      <w:r w:rsidRPr="00CC25A0">
        <w:rPr>
          <w:sz w:val="22"/>
          <w:szCs w:val="22"/>
        </w:rPr>
        <w:t>R E S U E L V E</w:t>
      </w:r>
      <w:bookmarkEnd w:id="28"/>
    </w:p>
    <w:p w14:paraId="3F905849" w14:textId="77777777" w:rsidR="00542BCE" w:rsidRPr="00CC25A0" w:rsidRDefault="00542BCE">
      <w:pPr>
        <w:spacing w:after="0" w:line="360" w:lineRule="auto"/>
        <w:rPr>
          <w:b/>
        </w:rPr>
      </w:pPr>
    </w:p>
    <w:p w14:paraId="1F97CBF4" w14:textId="77777777" w:rsidR="00542BCE" w:rsidRPr="00CC25A0" w:rsidRDefault="00CC25A0">
      <w:pPr>
        <w:spacing w:after="0" w:line="360" w:lineRule="auto"/>
      </w:pPr>
      <w:r w:rsidRPr="00CC25A0">
        <w:rPr>
          <w:b/>
        </w:rPr>
        <w:t xml:space="preserve">PRIMERO. </w:t>
      </w:r>
      <w:r w:rsidRPr="00CC25A0">
        <w:t xml:space="preserve">Se </w:t>
      </w:r>
      <w:r w:rsidRPr="00CC25A0">
        <w:rPr>
          <w:b/>
        </w:rPr>
        <w:t>REVOCA</w:t>
      </w:r>
      <w:r w:rsidRPr="00CC25A0">
        <w:t xml:space="preserve"> la respuesta entregada por el Ayuntamiento de </w:t>
      </w:r>
      <w:proofErr w:type="spellStart"/>
      <w:r w:rsidRPr="00CC25A0">
        <w:t>Tezoyuca</w:t>
      </w:r>
      <w:proofErr w:type="spellEnd"/>
      <w:r w:rsidRPr="00CC25A0">
        <w:t xml:space="preserve"> a la solicitud de información 00074/TEZOYUCA/IP/2025 por resultar fundadas las razones o motivos de inconformidad hechos valer por la persona Recurrente en el Recurso de Revisión </w:t>
      </w:r>
      <w:r w:rsidRPr="00CC25A0">
        <w:lastRenderedPageBreak/>
        <w:t xml:space="preserve">10926/INFOEM/IP/RR/2025, en términos de los considerandos </w:t>
      </w:r>
      <w:r w:rsidRPr="00CC25A0">
        <w:rPr>
          <w:b/>
          <w:bCs/>
        </w:rPr>
        <w:t>QUINTO y SEXTO</w:t>
      </w:r>
      <w:r w:rsidRPr="00CC25A0">
        <w:t xml:space="preserve"> de la presente Resolución.</w:t>
      </w:r>
    </w:p>
    <w:p w14:paraId="1D78048B" w14:textId="77777777" w:rsidR="00542BCE" w:rsidRPr="00CC25A0" w:rsidRDefault="00542BCE">
      <w:pPr>
        <w:spacing w:after="0" w:line="360" w:lineRule="auto"/>
      </w:pPr>
    </w:p>
    <w:p w14:paraId="2053051E" w14:textId="2A352D9A" w:rsidR="00542BCE" w:rsidRPr="00CC25A0" w:rsidRDefault="00CC25A0">
      <w:pPr>
        <w:spacing w:after="0" w:line="360" w:lineRule="auto"/>
      </w:pPr>
      <w:bookmarkStart w:id="29" w:name="_heading=h.argy21qnkmhr" w:colFirst="0" w:colLast="0"/>
      <w:bookmarkEnd w:id="29"/>
      <w:r w:rsidRPr="00CC25A0">
        <w:rPr>
          <w:b/>
        </w:rPr>
        <w:t xml:space="preserve">SEGUNDO. </w:t>
      </w:r>
      <w:r w:rsidRPr="00CC25A0">
        <w:t xml:space="preserve">Se </w:t>
      </w:r>
      <w:r w:rsidRPr="00CC25A0">
        <w:rPr>
          <w:b/>
        </w:rPr>
        <w:t>ORDENA</w:t>
      </w:r>
      <w:r w:rsidRPr="00CC25A0">
        <w:t xml:space="preserve"> al Sujeto Obligado, a efecto de que previa búsqueda exhaustiva y razonable, en los archivos de las unidades administrativas competentes, entregue a través del Sistema de Acceso a la Información Mexiquense (SAIMEX), en versión pública, lo siguiente:</w:t>
      </w:r>
    </w:p>
    <w:p w14:paraId="2BF8015A" w14:textId="77777777" w:rsidR="00542BCE" w:rsidRPr="00CC25A0" w:rsidRDefault="00542BCE">
      <w:pPr>
        <w:spacing w:after="0" w:line="360" w:lineRule="auto"/>
      </w:pPr>
    </w:p>
    <w:p w14:paraId="6458AF09" w14:textId="34D9B0B8" w:rsidR="00542BCE" w:rsidRPr="00CC25A0" w:rsidRDefault="008A39D5">
      <w:pPr>
        <w:numPr>
          <w:ilvl w:val="0"/>
          <w:numId w:val="3"/>
        </w:numPr>
        <w:pBdr>
          <w:top w:val="nil"/>
          <w:left w:val="nil"/>
          <w:bottom w:val="nil"/>
          <w:right w:val="nil"/>
          <w:between w:val="nil"/>
        </w:pBdr>
        <w:spacing w:after="0" w:line="360" w:lineRule="auto"/>
        <w:rPr>
          <w:bCs/>
          <w:color w:val="000000"/>
        </w:rPr>
      </w:pPr>
      <w:r w:rsidRPr="00CC25A0">
        <w:rPr>
          <w:bCs/>
          <w:color w:val="000000"/>
        </w:rPr>
        <w:t xml:space="preserve">Los recibos de nómina del personal adscrito a la Presidencia Municipal, a la Dirección de Protección Civil y Bomberos, y a la Dirección de Seguridad Pública del Municipio de </w:t>
      </w:r>
      <w:proofErr w:type="spellStart"/>
      <w:r w:rsidRPr="00CC25A0">
        <w:rPr>
          <w:bCs/>
          <w:color w:val="000000"/>
        </w:rPr>
        <w:t>Tezoyuca</w:t>
      </w:r>
      <w:proofErr w:type="spellEnd"/>
      <w:r w:rsidRPr="00CC25A0">
        <w:rPr>
          <w:bCs/>
          <w:color w:val="000000"/>
        </w:rPr>
        <w:t>, de la primera quincena de enero a la primera de agosto de dos mil veinticinco.</w:t>
      </w:r>
    </w:p>
    <w:p w14:paraId="393FE834" w14:textId="77777777" w:rsidR="00542BCE" w:rsidRPr="00CC25A0" w:rsidRDefault="00542BCE">
      <w:pPr>
        <w:spacing w:after="0" w:line="360" w:lineRule="auto"/>
      </w:pPr>
    </w:p>
    <w:p w14:paraId="63BBD700" w14:textId="77777777" w:rsidR="00542BCE" w:rsidRPr="00CC25A0" w:rsidRDefault="00CC25A0">
      <w:pPr>
        <w:spacing w:after="0" w:line="360" w:lineRule="auto"/>
      </w:pPr>
      <w:r w:rsidRPr="00CC25A0">
        <w:rPr>
          <w:color w:val="000000"/>
        </w:rPr>
        <w:t xml:space="preserve">Además, </w:t>
      </w:r>
      <w:r w:rsidRPr="00CC25A0">
        <w:t>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14:paraId="3833F91C" w14:textId="77777777" w:rsidR="00542BCE" w:rsidRPr="00CC25A0" w:rsidRDefault="00542BCE">
      <w:pPr>
        <w:spacing w:after="0" w:line="360" w:lineRule="auto"/>
      </w:pPr>
    </w:p>
    <w:p w14:paraId="3CE88668" w14:textId="77777777" w:rsidR="00542BCE" w:rsidRPr="00CC25A0" w:rsidRDefault="00CC25A0">
      <w:pPr>
        <w:spacing w:after="0" w:line="360" w:lineRule="auto"/>
      </w:pPr>
      <w:r w:rsidRPr="00CC25A0">
        <w:rPr>
          <w:b/>
        </w:rPr>
        <w:t xml:space="preserve">TERCERO. NOTIFÍQUESE POR SAIMEX </w:t>
      </w:r>
      <w:r w:rsidRPr="00CC25A0">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3F791873" w14:textId="77777777" w:rsidR="00542BCE" w:rsidRPr="00CC25A0" w:rsidRDefault="00542BCE">
      <w:pPr>
        <w:spacing w:after="0" w:line="360" w:lineRule="auto"/>
      </w:pPr>
    </w:p>
    <w:p w14:paraId="23ABD75C" w14:textId="77777777" w:rsidR="00542BCE" w:rsidRPr="00CC25A0" w:rsidRDefault="00CC25A0">
      <w:pPr>
        <w:spacing w:after="0" w:line="360" w:lineRule="auto"/>
      </w:pPr>
      <w:r w:rsidRPr="00CC25A0">
        <w:lastRenderedPageBreak/>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271A743" w14:textId="77777777" w:rsidR="00542BCE" w:rsidRPr="00CC25A0" w:rsidRDefault="00542BCE">
      <w:pPr>
        <w:spacing w:after="0" w:line="360" w:lineRule="auto"/>
      </w:pPr>
    </w:p>
    <w:p w14:paraId="2D2A69B7" w14:textId="77777777" w:rsidR="00542BCE" w:rsidRPr="00CC25A0" w:rsidRDefault="00CC25A0">
      <w:pPr>
        <w:spacing w:after="0" w:line="360" w:lineRule="auto"/>
      </w:pPr>
      <w:r w:rsidRPr="00CC25A0">
        <w:rPr>
          <w:b/>
        </w:rPr>
        <w:t>CUARTO. NOTIFÍQUESE</w:t>
      </w:r>
      <w:r w:rsidRPr="00CC25A0">
        <w:t xml:space="preserve"> </w:t>
      </w:r>
      <w:r w:rsidRPr="00CC25A0">
        <w:rPr>
          <w:b/>
        </w:rPr>
        <w:t xml:space="preserve">POR SAIMEX </w:t>
      </w:r>
      <w:r w:rsidRPr="00CC25A0">
        <w:t xml:space="preserve">a la parte Recurrente la presente Resolución, </w:t>
      </w:r>
      <w:bookmarkStart w:id="30" w:name="_GoBack"/>
      <w:r w:rsidRPr="00CC25A0">
        <w:t xml:space="preserve">asimismo, se hace de su conocimiento que de conformidad con lo establecido en el artículo 196 de la Ley de Transparencia y Acceso a la Información Pública del Estado de México y </w:t>
      </w:r>
      <w:bookmarkEnd w:id="30"/>
      <w:r w:rsidRPr="00CC25A0">
        <w:t>Municipios podrá promover el Juicio de Amparo en los términos de las leyes aplicables.</w:t>
      </w:r>
    </w:p>
    <w:p w14:paraId="4F266A0C" w14:textId="77777777" w:rsidR="00542BCE" w:rsidRPr="00CC25A0" w:rsidRDefault="00542BCE">
      <w:pPr>
        <w:spacing w:after="0" w:line="360" w:lineRule="auto"/>
      </w:pPr>
    </w:p>
    <w:p w14:paraId="0FBF1CAA" w14:textId="0735DD74" w:rsidR="00542BCE" w:rsidRDefault="00CC25A0">
      <w:pPr>
        <w:spacing w:after="0" w:line="360" w:lineRule="auto"/>
      </w:pPr>
      <w:r w:rsidRPr="00CC25A0">
        <w:t xml:space="preserve">ASÍ LO RESUELVE, POR </w:t>
      </w:r>
      <w:r w:rsidRPr="00CC25A0">
        <w:rPr>
          <w:b/>
        </w:rPr>
        <w:t>UNANIMIDAD</w:t>
      </w:r>
      <w:r w:rsidRPr="00CC25A0">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SÉPTIMA SESIÓN ORDINARIA, CELEBRADA EL QUINCE DE OCTUBRE DE DOS MIL VEINTICINCO, ANTE EL SECRETARIO TÉCNICO DEL PLENO, ALEXIS TAPIA RAMÍREZ.</w:t>
      </w:r>
    </w:p>
    <w:p w14:paraId="31BB521E" w14:textId="77777777" w:rsidR="00542BCE" w:rsidRDefault="00542BCE">
      <w:pPr>
        <w:pStyle w:val="Ttulo2"/>
        <w:spacing w:before="0" w:after="0"/>
        <w:rPr>
          <w:b w:val="0"/>
        </w:rPr>
      </w:pPr>
    </w:p>
    <w:p w14:paraId="7A4A10C0" w14:textId="77777777" w:rsidR="00542BCE" w:rsidRDefault="00542BCE">
      <w:pPr>
        <w:spacing w:after="0" w:line="360" w:lineRule="auto"/>
      </w:pPr>
    </w:p>
    <w:p w14:paraId="06719D60" w14:textId="77777777" w:rsidR="00542BCE" w:rsidRDefault="00542BCE">
      <w:pPr>
        <w:spacing w:after="0" w:line="360" w:lineRule="auto"/>
      </w:pPr>
    </w:p>
    <w:p w14:paraId="4FAF1682" w14:textId="77777777" w:rsidR="00542BCE" w:rsidRDefault="00542BCE">
      <w:pPr>
        <w:spacing w:after="0" w:line="360" w:lineRule="auto"/>
      </w:pPr>
    </w:p>
    <w:p w14:paraId="0AFF60A2" w14:textId="77777777" w:rsidR="00542BCE" w:rsidRDefault="00542BCE">
      <w:pPr>
        <w:spacing w:after="0" w:line="360" w:lineRule="auto"/>
      </w:pPr>
    </w:p>
    <w:p w14:paraId="022ACD72" w14:textId="77777777" w:rsidR="00542BCE" w:rsidRDefault="00542BCE">
      <w:pPr>
        <w:spacing w:after="0" w:line="360" w:lineRule="auto"/>
      </w:pPr>
    </w:p>
    <w:p w14:paraId="3F18306F" w14:textId="77777777" w:rsidR="00542BCE" w:rsidRDefault="00542BCE">
      <w:pPr>
        <w:spacing w:after="0" w:line="360" w:lineRule="auto"/>
      </w:pPr>
    </w:p>
    <w:p w14:paraId="1E06D7A3" w14:textId="77777777" w:rsidR="00542BCE" w:rsidRDefault="00542BCE">
      <w:pPr>
        <w:spacing w:after="0" w:line="360" w:lineRule="auto"/>
      </w:pPr>
    </w:p>
    <w:p w14:paraId="078B535F" w14:textId="77777777" w:rsidR="00542BCE" w:rsidRDefault="00542BCE">
      <w:pPr>
        <w:spacing w:after="0" w:line="360" w:lineRule="auto"/>
      </w:pPr>
    </w:p>
    <w:p w14:paraId="070A1E1C" w14:textId="77777777" w:rsidR="00542BCE" w:rsidRDefault="00542BCE">
      <w:pPr>
        <w:spacing w:after="0" w:line="360" w:lineRule="auto"/>
      </w:pPr>
    </w:p>
    <w:p w14:paraId="2A31CD4C" w14:textId="77777777" w:rsidR="00542BCE" w:rsidRDefault="00542BCE">
      <w:pPr>
        <w:spacing w:after="0" w:line="360" w:lineRule="auto"/>
      </w:pPr>
    </w:p>
    <w:p w14:paraId="539DAE21" w14:textId="77777777" w:rsidR="00542BCE" w:rsidRDefault="00542BCE">
      <w:pPr>
        <w:spacing w:after="0" w:line="360" w:lineRule="auto"/>
      </w:pPr>
    </w:p>
    <w:p w14:paraId="632E19CD" w14:textId="77777777" w:rsidR="00542BCE" w:rsidRDefault="00542BCE">
      <w:pPr>
        <w:spacing w:after="0" w:line="360" w:lineRule="auto"/>
      </w:pPr>
    </w:p>
    <w:p w14:paraId="7AA0CA4D" w14:textId="77777777" w:rsidR="00542BCE" w:rsidRDefault="00542BCE">
      <w:pPr>
        <w:spacing w:after="0" w:line="360" w:lineRule="auto"/>
      </w:pPr>
    </w:p>
    <w:p w14:paraId="057DDD58" w14:textId="77777777" w:rsidR="00542BCE" w:rsidRDefault="00542BCE">
      <w:pPr>
        <w:spacing w:after="0" w:line="360" w:lineRule="auto"/>
      </w:pPr>
    </w:p>
    <w:p w14:paraId="48A125B3" w14:textId="77777777" w:rsidR="00542BCE" w:rsidRDefault="00542BCE">
      <w:pPr>
        <w:spacing w:after="0" w:line="360" w:lineRule="auto"/>
      </w:pPr>
    </w:p>
    <w:p w14:paraId="69302EB9" w14:textId="77777777" w:rsidR="00542BCE" w:rsidRDefault="00542BCE">
      <w:pPr>
        <w:spacing w:after="0" w:line="360" w:lineRule="auto"/>
      </w:pPr>
    </w:p>
    <w:p w14:paraId="787D6238" w14:textId="77777777" w:rsidR="00542BCE" w:rsidRDefault="00542BCE">
      <w:pPr>
        <w:spacing w:after="0" w:line="360" w:lineRule="auto"/>
      </w:pPr>
    </w:p>
    <w:p w14:paraId="7D2DF793" w14:textId="77777777" w:rsidR="00542BCE" w:rsidRDefault="00542BCE">
      <w:pPr>
        <w:spacing w:after="0" w:line="360" w:lineRule="auto"/>
      </w:pPr>
    </w:p>
    <w:p w14:paraId="677FBE8E" w14:textId="77777777" w:rsidR="00542BCE" w:rsidRDefault="00542BCE">
      <w:pPr>
        <w:spacing w:after="0" w:line="360" w:lineRule="auto"/>
      </w:pPr>
    </w:p>
    <w:p w14:paraId="2ABE4D0A" w14:textId="77777777" w:rsidR="00542BCE" w:rsidRDefault="00542BCE">
      <w:pPr>
        <w:spacing w:after="0" w:line="360" w:lineRule="auto"/>
      </w:pPr>
    </w:p>
    <w:p w14:paraId="619E5159" w14:textId="77777777" w:rsidR="00542BCE" w:rsidRDefault="00542BCE">
      <w:pPr>
        <w:spacing w:after="0" w:line="360" w:lineRule="auto"/>
      </w:pPr>
    </w:p>
    <w:p w14:paraId="11A39F92" w14:textId="77777777" w:rsidR="00542BCE" w:rsidRDefault="00542BCE">
      <w:pPr>
        <w:spacing w:after="0" w:line="360" w:lineRule="auto"/>
      </w:pPr>
    </w:p>
    <w:p w14:paraId="4D2D6E84" w14:textId="77777777" w:rsidR="00542BCE" w:rsidRDefault="00542BCE">
      <w:pPr>
        <w:spacing w:after="0" w:line="360" w:lineRule="auto"/>
      </w:pPr>
    </w:p>
    <w:sectPr w:rsidR="00542BCE">
      <w:headerReference w:type="even" r:id="rId11"/>
      <w:headerReference w:type="default" r:id="rId12"/>
      <w:footerReference w:type="even" r:id="rId13"/>
      <w:footerReference w:type="default" r:id="rId14"/>
      <w:headerReference w:type="first" r:id="rId15"/>
      <w:footerReference w:type="first" r:id="rId16"/>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2D553A" w14:textId="77777777" w:rsidR="004743CD" w:rsidRDefault="004743CD">
      <w:pPr>
        <w:spacing w:after="0" w:line="240" w:lineRule="auto"/>
      </w:pPr>
      <w:r>
        <w:separator/>
      </w:r>
    </w:p>
  </w:endnote>
  <w:endnote w:type="continuationSeparator" w:id="0">
    <w:p w14:paraId="56DC2A7D" w14:textId="77777777" w:rsidR="004743CD" w:rsidRDefault="00474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1" w:fontKey="{59D73A5E-B7E4-4398-99A3-FD240FB0439A}"/>
  </w:font>
  <w:font w:name="Palatino Linotype">
    <w:panose1 w:val="02040502050505030304"/>
    <w:charset w:val="00"/>
    <w:family w:val="roman"/>
    <w:pitch w:val="variable"/>
    <w:sig w:usb0="E0000287" w:usb1="40000013" w:usb2="00000000" w:usb3="00000000" w:csb0="0000019F" w:csb1="00000000"/>
    <w:embedRegular r:id="rId2" w:fontKey="{48797E4E-4251-4321-B345-148DDB5D4E83}"/>
    <w:embedBold r:id="rId3" w:fontKey="{9693A542-3935-49F8-B364-435D16E786EC}"/>
    <w:embedItalic r:id="rId4" w:fontKey="{1D7EEA9B-02DB-4F31-BE35-7B21290B511F}"/>
    <w:embedBoldItalic r:id="rId5" w:fontKey="{FD7479F0-9E82-4646-90FB-4632DDE0DDF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81C7EE37-B722-4AB5-A5F3-C66076C8487B}"/>
  </w:font>
  <w:font w:name="Georgia">
    <w:panose1 w:val="02040502050405020303"/>
    <w:charset w:val="00"/>
    <w:family w:val="roman"/>
    <w:pitch w:val="variable"/>
    <w:sig w:usb0="00000287" w:usb1="00000000" w:usb2="00000000" w:usb3="00000000" w:csb0="0000009F" w:csb1="00000000"/>
    <w:embedRegular r:id="rId7" w:fontKey="{0C773893-C85D-42AB-9621-8EBABEC796BF}"/>
    <w:embedItalic r:id="rId8" w:fontKey="{1E4D8C1D-28CF-4354-B91A-248C928DB744}"/>
  </w:font>
  <w:font w:name="Calibri">
    <w:panose1 w:val="020F0502020204030204"/>
    <w:charset w:val="00"/>
    <w:family w:val="swiss"/>
    <w:pitch w:val="variable"/>
    <w:sig w:usb0="E4002EFF" w:usb1="C200247B" w:usb2="00000009" w:usb3="00000000" w:csb0="000001FF" w:csb1="00000000"/>
    <w:embedRegular r:id="rId9" w:fontKey="{93127718-62A4-4D40-804A-A7A4578BEB9A}"/>
    <w:embedBold r:id="rId10" w:fontKey="{2B24A19C-14B1-4D93-A3A9-B529457A31A8}"/>
  </w:font>
  <w:font w:name="Tahoma">
    <w:panose1 w:val="020B0604030504040204"/>
    <w:charset w:val="00"/>
    <w:family w:val="swiss"/>
    <w:pitch w:val="variable"/>
    <w:sig w:usb0="E1002EFF" w:usb1="C000605B" w:usb2="00000029" w:usb3="00000000" w:csb0="000101FF" w:csb1="00000000"/>
    <w:embedBold r:id="rId11" w:fontKey="{F12581CC-10C0-48B1-95BA-C03BAF0F67D3}"/>
    <w:embedBoldItalic r:id="rId12" w:fontKey="{39FF2C88-C1F5-47F3-9761-CFE4A5430364}"/>
  </w:font>
  <w:font w:name="Garamond">
    <w:panose1 w:val="02020404030301010803"/>
    <w:charset w:val="00"/>
    <w:family w:val="roman"/>
    <w:pitch w:val="variable"/>
    <w:sig w:usb0="00000287" w:usb1="00000000" w:usb2="00000000" w:usb3="00000000" w:csb0="0000009F" w:csb1="00000000"/>
    <w:embedRegular r:id="rId13" w:fontKey="{CE3925A3-8961-40A5-9F9D-367DC4D513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F987A0" w14:textId="77777777" w:rsidR="00542BCE" w:rsidRDefault="00CC25A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sidR="00A45D3B">
      <w:rPr>
        <w:b/>
        <w:color w:val="000000"/>
        <w:sz w:val="24"/>
        <w:szCs w:val="24"/>
      </w:rPr>
      <w:fldChar w:fldCharType="separate"/>
    </w:r>
    <w:r w:rsidR="00A45D3B">
      <w:rPr>
        <w:b/>
        <w:noProof/>
        <w:color w:val="000000"/>
        <w:sz w:val="24"/>
        <w:szCs w:val="24"/>
      </w:rPr>
      <w:t>37</w:t>
    </w:r>
    <w:r>
      <w:rPr>
        <w:b/>
        <w:color w:val="000000"/>
        <w:sz w:val="24"/>
        <w:szCs w:val="24"/>
      </w:rPr>
      <w:fldChar w:fldCharType="end"/>
    </w:r>
  </w:p>
  <w:p w14:paraId="61D4DEF6" w14:textId="77777777" w:rsidR="00542BCE" w:rsidRDefault="00542BCE">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CF7CE" w14:textId="52436890" w:rsidR="00542BCE" w:rsidRDefault="00CC25A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A45D3B">
      <w:rPr>
        <w:b/>
        <w:noProof/>
        <w:color w:val="000000"/>
        <w:sz w:val="24"/>
        <w:szCs w:val="24"/>
      </w:rPr>
      <w:t>35</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45D3B">
      <w:rPr>
        <w:b/>
        <w:noProof/>
        <w:color w:val="000000"/>
        <w:sz w:val="24"/>
        <w:szCs w:val="24"/>
      </w:rPr>
      <w:t>37</w:t>
    </w:r>
    <w:r>
      <w:rPr>
        <w:b/>
        <w:color w:val="000000"/>
        <w:sz w:val="24"/>
        <w:szCs w:val="24"/>
      </w:rPr>
      <w:fldChar w:fldCharType="end"/>
    </w:r>
  </w:p>
  <w:p w14:paraId="671B8E6C" w14:textId="77777777" w:rsidR="00542BCE" w:rsidRDefault="00542BCE">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47C80E" w14:textId="77777777" w:rsidR="00542BCE" w:rsidRDefault="00CC25A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A45D3B">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45D3B">
      <w:rPr>
        <w:b/>
        <w:noProof/>
        <w:color w:val="000000"/>
        <w:sz w:val="24"/>
        <w:szCs w:val="24"/>
      </w:rPr>
      <w:t>37</w:t>
    </w:r>
    <w:r>
      <w:rPr>
        <w:b/>
        <w:color w:val="000000"/>
        <w:sz w:val="24"/>
        <w:szCs w:val="24"/>
      </w:rPr>
      <w:fldChar w:fldCharType="end"/>
    </w:r>
  </w:p>
  <w:p w14:paraId="4BD28E56" w14:textId="77777777" w:rsidR="00542BCE" w:rsidRDefault="00542BC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CA3649" w14:textId="77777777" w:rsidR="004743CD" w:rsidRDefault="004743CD">
      <w:pPr>
        <w:spacing w:after="0" w:line="240" w:lineRule="auto"/>
      </w:pPr>
      <w:r>
        <w:separator/>
      </w:r>
    </w:p>
  </w:footnote>
  <w:footnote w:type="continuationSeparator" w:id="0">
    <w:p w14:paraId="1020AECB" w14:textId="77777777" w:rsidR="004743CD" w:rsidRDefault="004743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4238DC" w14:textId="77777777" w:rsidR="00542BCE" w:rsidRDefault="00542BCE">
    <w:pPr>
      <w:widowControl w:val="0"/>
      <w:pBdr>
        <w:top w:val="nil"/>
        <w:left w:val="nil"/>
        <w:bottom w:val="nil"/>
        <w:right w:val="nil"/>
        <w:between w:val="nil"/>
      </w:pBdr>
      <w:spacing w:after="0" w:line="276" w:lineRule="auto"/>
      <w:jc w:val="left"/>
      <w:rPr>
        <w:color w:val="000000"/>
      </w:rPr>
    </w:pPr>
  </w:p>
  <w:tbl>
    <w:tblPr>
      <w:tblStyle w:val="afffffc"/>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542BCE" w14:paraId="01EC5730" w14:textId="77777777">
      <w:trPr>
        <w:trHeight w:val="141"/>
      </w:trPr>
      <w:tc>
        <w:tcPr>
          <w:tcW w:w="2404" w:type="dxa"/>
        </w:tcPr>
        <w:p w14:paraId="7E8C49D4" w14:textId="77777777" w:rsidR="00542BCE" w:rsidRDefault="00CC25A0">
          <w:pPr>
            <w:tabs>
              <w:tab w:val="right" w:pos="8838"/>
            </w:tabs>
            <w:ind w:right="-105"/>
            <w:rPr>
              <w:b/>
            </w:rPr>
          </w:pPr>
          <w:r>
            <w:rPr>
              <w:b/>
            </w:rPr>
            <w:t>Recurso de Revisión:</w:t>
          </w:r>
        </w:p>
      </w:tc>
      <w:tc>
        <w:tcPr>
          <w:tcW w:w="3587" w:type="dxa"/>
        </w:tcPr>
        <w:p w14:paraId="66F93828" w14:textId="77777777" w:rsidR="00542BCE" w:rsidRDefault="00CC25A0">
          <w:pPr>
            <w:tabs>
              <w:tab w:val="right" w:pos="8838"/>
            </w:tabs>
            <w:ind w:left="-28" w:right="683"/>
          </w:pPr>
          <w:r>
            <w:t>04196/INFOEM/IP/RR/2020</w:t>
          </w:r>
        </w:p>
      </w:tc>
    </w:tr>
    <w:tr w:rsidR="00542BCE" w14:paraId="644BC57D" w14:textId="77777777">
      <w:trPr>
        <w:trHeight w:val="276"/>
      </w:trPr>
      <w:tc>
        <w:tcPr>
          <w:tcW w:w="2404" w:type="dxa"/>
        </w:tcPr>
        <w:p w14:paraId="62D97B31" w14:textId="77777777" w:rsidR="00542BCE" w:rsidRDefault="00CC25A0">
          <w:pPr>
            <w:tabs>
              <w:tab w:val="right" w:pos="8838"/>
            </w:tabs>
            <w:ind w:right="-105"/>
            <w:rPr>
              <w:b/>
            </w:rPr>
          </w:pPr>
          <w:r>
            <w:rPr>
              <w:b/>
            </w:rPr>
            <w:t>Sujeto Obligado:</w:t>
          </w:r>
        </w:p>
      </w:tc>
      <w:tc>
        <w:tcPr>
          <w:tcW w:w="3587" w:type="dxa"/>
        </w:tcPr>
        <w:p w14:paraId="4C57EDD4" w14:textId="77777777" w:rsidR="00542BCE" w:rsidRDefault="00CC25A0">
          <w:pPr>
            <w:tabs>
              <w:tab w:val="right" w:pos="8838"/>
            </w:tabs>
            <w:ind w:right="116"/>
          </w:pPr>
          <w:r>
            <w:t>Ayuntamiento de Chapultepec</w:t>
          </w:r>
        </w:p>
      </w:tc>
    </w:tr>
    <w:tr w:rsidR="00542BCE" w14:paraId="190CEFC9" w14:textId="77777777">
      <w:trPr>
        <w:trHeight w:val="276"/>
      </w:trPr>
      <w:tc>
        <w:tcPr>
          <w:tcW w:w="2404" w:type="dxa"/>
        </w:tcPr>
        <w:p w14:paraId="49E446B1" w14:textId="77777777" w:rsidR="00542BCE" w:rsidRDefault="00CC25A0">
          <w:pPr>
            <w:tabs>
              <w:tab w:val="right" w:pos="8838"/>
            </w:tabs>
            <w:ind w:right="-105"/>
            <w:rPr>
              <w:b/>
            </w:rPr>
          </w:pPr>
          <w:r>
            <w:rPr>
              <w:b/>
            </w:rPr>
            <w:t>Comisionado Ponente:</w:t>
          </w:r>
        </w:p>
      </w:tc>
      <w:tc>
        <w:tcPr>
          <w:tcW w:w="3587" w:type="dxa"/>
        </w:tcPr>
        <w:p w14:paraId="5578DEEC" w14:textId="77777777" w:rsidR="00542BCE" w:rsidRDefault="00CC25A0">
          <w:pPr>
            <w:tabs>
              <w:tab w:val="right" w:pos="8838"/>
            </w:tabs>
            <w:ind w:right="-32"/>
          </w:pPr>
          <w:r>
            <w:t>Luis Gustavo Parra Noriega</w:t>
          </w:r>
        </w:p>
      </w:tc>
    </w:tr>
  </w:tbl>
  <w:p w14:paraId="2057A2A6" w14:textId="77777777" w:rsidR="00542BCE" w:rsidRDefault="004743CD">
    <w:pPr>
      <w:pBdr>
        <w:top w:val="nil"/>
        <w:left w:val="nil"/>
        <w:bottom w:val="nil"/>
        <w:right w:val="nil"/>
        <w:between w:val="nil"/>
      </w:pBdr>
      <w:tabs>
        <w:tab w:val="center" w:pos="4419"/>
        <w:tab w:val="right" w:pos="8838"/>
      </w:tabs>
      <w:spacing w:after="0" w:line="240" w:lineRule="auto"/>
      <w:rPr>
        <w:color w:val="000000"/>
      </w:rPr>
    </w:pPr>
    <w:r>
      <w:rPr>
        <w:color w:val="000000"/>
      </w:rPr>
      <w:pict w14:anchorId="7D95C8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188BF" w14:textId="77777777" w:rsidR="00542BCE" w:rsidRDefault="00542BCE">
    <w:pPr>
      <w:rPr>
        <w:sz w:val="16"/>
        <w:szCs w:val="16"/>
      </w:rPr>
    </w:pPr>
  </w:p>
  <w:tbl>
    <w:tblPr>
      <w:tblStyle w:val="afffffd"/>
      <w:tblW w:w="6095" w:type="dxa"/>
      <w:tblInd w:w="3828"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542BCE" w14:paraId="282D8123" w14:textId="77777777" w:rsidTr="00A3686C">
      <w:trPr>
        <w:trHeight w:val="141"/>
      </w:trPr>
      <w:tc>
        <w:tcPr>
          <w:tcW w:w="2409" w:type="dxa"/>
        </w:tcPr>
        <w:p w14:paraId="4F87C760" w14:textId="77777777" w:rsidR="00542BCE" w:rsidRDefault="00CC25A0">
          <w:pPr>
            <w:tabs>
              <w:tab w:val="right" w:pos="8838"/>
            </w:tabs>
            <w:ind w:left="-395" w:right="-105" w:firstLine="395"/>
            <w:rPr>
              <w:b/>
            </w:rPr>
          </w:pPr>
          <w:r>
            <w:rPr>
              <w:b/>
            </w:rPr>
            <w:t>Recurso de Revisión:</w:t>
          </w:r>
        </w:p>
      </w:tc>
      <w:tc>
        <w:tcPr>
          <w:tcW w:w="3686" w:type="dxa"/>
        </w:tcPr>
        <w:p w14:paraId="26F88C5D" w14:textId="77777777" w:rsidR="00542BCE" w:rsidRPr="00A3686C" w:rsidRDefault="00CC25A0">
          <w:pPr>
            <w:tabs>
              <w:tab w:val="right" w:pos="8838"/>
            </w:tabs>
            <w:ind w:right="176"/>
            <w:rPr>
              <w:bCs/>
            </w:rPr>
          </w:pPr>
          <w:r w:rsidRPr="00A3686C">
            <w:rPr>
              <w:bCs/>
            </w:rPr>
            <w:t>10926/INFOEM/IP/RR/2025</w:t>
          </w:r>
        </w:p>
      </w:tc>
    </w:tr>
    <w:tr w:rsidR="00542BCE" w14:paraId="0529E4FB" w14:textId="77777777" w:rsidTr="00A3686C">
      <w:trPr>
        <w:trHeight w:val="266"/>
      </w:trPr>
      <w:tc>
        <w:tcPr>
          <w:tcW w:w="2409" w:type="dxa"/>
        </w:tcPr>
        <w:p w14:paraId="74BFDBC7" w14:textId="77777777" w:rsidR="00542BCE" w:rsidRDefault="00CC25A0">
          <w:pPr>
            <w:tabs>
              <w:tab w:val="right" w:pos="8838"/>
            </w:tabs>
            <w:ind w:right="-105"/>
            <w:rPr>
              <w:b/>
            </w:rPr>
          </w:pPr>
          <w:r>
            <w:rPr>
              <w:b/>
            </w:rPr>
            <w:t>Sujeto Obligado:</w:t>
          </w:r>
        </w:p>
      </w:tc>
      <w:tc>
        <w:tcPr>
          <w:tcW w:w="3686" w:type="dxa"/>
        </w:tcPr>
        <w:p w14:paraId="7F5F46BE" w14:textId="77777777" w:rsidR="00542BCE" w:rsidRDefault="00CC25A0">
          <w:pPr>
            <w:tabs>
              <w:tab w:val="left" w:pos="3158"/>
              <w:tab w:val="left" w:pos="4292"/>
              <w:tab w:val="right" w:pos="8838"/>
            </w:tabs>
            <w:ind w:right="176"/>
          </w:pPr>
          <w:r>
            <w:t xml:space="preserve">Ayuntamiento de </w:t>
          </w:r>
          <w:proofErr w:type="spellStart"/>
          <w:r>
            <w:t>Tezoyuca</w:t>
          </w:r>
          <w:proofErr w:type="spellEnd"/>
        </w:p>
      </w:tc>
    </w:tr>
    <w:tr w:rsidR="00542BCE" w14:paraId="64457E2E" w14:textId="77777777" w:rsidTr="00A3686C">
      <w:trPr>
        <w:trHeight w:val="276"/>
      </w:trPr>
      <w:tc>
        <w:tcPr>
          <w:tcW w:w="2409" w:type="dxa"/>
        </w:tcPr>
        <w:p w14:paraId="334231B3" w14:textId="77777777" w:rsidR="00542BCE" w:rsidRDefault="00CC25A0">
          <w:pPr>
            <w:tabs>
              <w:tab w:val="right" w:pos="8838"/>
            </w:tabs>
            <w:ind w:right="-105"/>
            <w:rPr>
              <w:b/>
            </w:rPr>
          </w:pPr>
          <w:r>
            <w:rPr>
              <w:b/>
            </w:rPr>
            <w:t>Comisionado Ponente:</w:t>
          </w:r>
        </w:p>
      </w:tc>
      <w:tc>
        <w:tcPr>
          <w:tcW w:w="3686" w:type="dxa"/>
        </w:tcPr>
        <w:p w14:paraId="0D796291" w14:textId="77777777" w:rsidR="00542BCE" w:rsidRDefault="00CC25A0">
          <w:pPr>
            <w:tabs>
              <w:tab w:val="right" w:pos="8838"/>
            </w:tabs>
            <w:ind w:right="176"/>
          </w:pPr>
          <w:r>
            <w:t>Luis Gustavo Parra Noriega</w:t>
          </w:r>
        </w:p>
        <w:p w14:paraId="04C7138B" w14:textId="77777777" w:rsidR="00542BCE" w:rsidRDefault="00542BCE">
          <w:pPr>
            <w:tabs>
              <w:tab w:val="right" w:pos="8838"/>
            </w:tabs>
            <w:ind w:right="176"/>
          </w:pPr>
        </w:p>
      </w:tc>
    </w:tr>
  </w:tbl>
  <w:p w14:paraId="59069DE0" w14:textId="77777777" w:rsidR="00542BCE" w:rsidRDefault="004743CD">
    <w:pPr>
      <w:pBdr>
        <w:top w:val="nil"/>
        <w:left w:val="nil"/>
        <w:bottom w:val="nil"/>
        <w:right w:val="nil"/>
        <w:between w:val="nil"/>
      </w:pBdr>
      <w:tabs>
        <w:tab w:val="center" w:pos="4419"/>
        <w:tab w:val="right" w:pos="8838"/>
      </w:tabs>
      <w:spacing w:after="0" w:line="240" w:lineRule="auto"/>
      <w:rPr>
        <w:color w:val="000000"/>
      </w:rPr>
    </w:pPr>
    <w:r>
      <w:rPr>
        <w:color w:val="000000"/>
      </w:rPr>
      <w:pict w14:anchorId="30158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MARCA DE AGUA - HOJA RESOLUCIÓN"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DC3AD" w14:textId="77777777" w:rsidR="00542BCE" w:rsidRDefault="004743CD">
    <w:pPr>
      <w:widowControl w:val="0"/>
      <w:pBdr>
        <w:top w:val="nil"/>
        <w:left w:val="nil"/>
        <w:bottom w:val="nil"/>
        <w:right w:val="nil"/>
        <w:between w:val="nil"/>
      </w:pBdr>
      <w:spacing w:after="0" w:line="276" w:lineRule="auto"/>
      <w:jc w:val="left"/>
      <w:rPr>
        <w:color w:val="000000"/>
      </w:rPr>
    </w:pPr>
    <w:r>
      <w:rPr>
        <w:color w:val="000000"/>
      </w:rPr>
      <w:pict w14:anchorId="2785D4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MARCA DE AGUA - HOJA RESOLUCIÓN" style="position:absolute;margin-left:-97.1pt;margin-top:-123.85pt;width:663.5pt;height:12in;z-index:-251658752;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tbl>
    <w:tblPr>
      <w:tblStyle w:val="afffffe"/>
      <w:tblW w:w="9214" w:type="dxa"/>
      <w:tblInd w:w="0" w:type="dxa"/>
      <w:tblLayout w:type="fixed"/>
      <w:tblLook w:val="0400" w:firstRow="0" w:lastRow="0" w:firstColumn="0" w:lastColumn="0" w:noHBand="0" w:noVBand="1"/>
    </w:tblPr>
    <w:tblGrid>
      <w:gridCol w:w="2127"/>
      <w:gridCol w:w="7087"/>
    </w:tblGrid>
    <w:tr w:rsidR="00542BCE" w14:paraId="79D9DA93" w14:textId="77777777">
      <w:trPr>
        <w:trHeight w:val="1546"/>
      </w:trPr>
      <w:tc>
        <w:tcPr>
          <w:tcW w:w="2127" w:type="dxa"/>
        </w:tcPr>
        <w:p w14:paraId="59187E5E" w14:textId="77777777" w:rsidR="00542BCE" w:rsidRDefault="00542BCE">
          <w:pPr>
            <w:tabs>
              <w:tab w:val="right" w:pos="4273"/>
            </w:tabs>
            <w:rPr>
              <w:rFonts w:ascii="Garamond" w:eastAsia="Garamond" w:hAnsi="Garamond" w:cs="Garamond"/>
              <w:sz w:val="16"/>
              <w:szCs w:val="16"/>
            </w:rPr>
          </w:pPr>
        </w:p>
      </w:tc>
      <w:tc>
        <w:tcPr>
          <w:tcW w:w="7087" w:type="dxa"/>
        </w:tcPr>
        <w:p w14:paraId="1BB4B0AC" w14:textId="77777777" w:rsidR="00542BCE" w:rsidRDefault="00542BCE">
          <w:pPr>
            <w:rPr>
              <w:sz w:val="10"/>
              <w:szCs w:val="10"/>
            </w:rPr>
          </w:pPr>
        </w:p>
        <w:tbl>
          <w:tblPr>
            <w:tblStyle w:val="affffff"/>
            <w:tblW w:w="5812" w:type="dxa"/>
            <w:tblInd w:w="1601" w:type="dxa"/>
            <w:tblLayout w:type="fixed"/>
            <w:tblLook w:val="0400" w:firstRow="0" w:lastRow="0" w:firstColumn="0" w:lastColumn="0" w:noHBand="0" w:noVBand="1"/>
          </w:tblPr>
          <w:tblGrid>
            <w:gridCol w:w="2410"/>
            <w:gridCol w:w="3402"/>
          </w:tblGrid>
          <w:tr w:rsidR="00542BCE" w14:paraId="1399F20E" w14:textId="77777777" w:rsidTr="00A3686C">
            <w:trPr>
              <w:trHeight w:val="427"/>
            </w:trPr>
            <w:tc>
              <w:tcPr>
                <w:tcW w:w="2410" w:type="dxa"/>
                <w:vAlign w:val="bottom"/>
              </w:tcPr>
              <w:p w14:paraId="7DEA65C3" w14:textId="77777777" w:rsidR="00542BCE" w:rsidRDefault="00CC25A0">
                <w:pPr>
                  <w:tabs>
                    <w:tab w:val="right" w:pos="8838"/>
                  </w:tabs>
                  <w:ind w:right="-105"/>
                  <w:rPr>
                    <w:b/>
                  </w:rPr>
                </w:pPr>
                <w:r>
                  <w:rPr>
                    <w:b/>
                  </w:rPr>
                  <w:t>Recurso de Revisión:</w:t>
                </w:r>
              </w:p>
            </w:tc>
            <w:tc>
              <w:tcPr>
                <w:tcW w:w="3402" w:type="dxa"/>
              </w:tcPr>
              <w:p w14:paraId="244EDB49" w14:textId="77777777" w:rsidR="00542BCE" w:rsidRDefault="00542BCE">
                <w:pPr>
                  <w:tabs>
                    <w:tab w:val="right" w:pos="8838"/>
                  </w:tabs>
                  <w:ind w:left="-28" w:right="-107"/>
                  <w:rPr>
                    <w:b/>
                  </w:rPr>
                </w:pPr>
              </w:p>
              <w:p w14:paraId="003F3326" w14:textId="77777777" w:rsidR="00542BCE" w:rsidRPr="00A3686C" w:rsidRDefault="00CC25A0">
                <w:pPr>
                  <w:tabs>
                    <w:tab w:val="right" w:pos="8838"/>
                  </w:tabs>
                  <w:ind w:left="-28" w:right="-107"/>
                  <w:rPr>
                    <w:bCs/>
                  </w:rPr>
                </w:pPr>
                <w:r w:rsidRPr="00A3686C">
                  <w:rPr>
                    <w:bCs/>
                  </w:rPr>
                  <w:t>10926/INFOEM/IP/RR/2025</w:t>
                </w:r>
              </w:p>
            </w:tc>
          </w:tr>
          <w:tr w:rsidR="00542BCE" w14:paraId="183A67D3" w14:textId="77777777" w:rsidTr="00A3686C">
            <w:trPr>
              <w:trHeight w:val="141"/>
            </w:trPr>
            <w:tc>
              <w:tcPr>
                <w:tcW w:w="2410" w:type="dxa"/>
              </w:tcPr>
              <w:p w14:paraId="13E7ADE0" w14:textId="77777777" w:rsidR="00542BCE" w:rsidRDefault="00CC25A0">
                <w:pPr>
                  <w:tabs>
                    <w:tab w:val="right" w:pos="8838"/>
                  </w:tabs>
                  <w:ind w:right="-105"/>
                  <w:rPr>
                    <w:b/>
                  </w:rPr>
                </w:pPr>
                <w:r>
                  <w:rPr>
                    <w:b/>
                  </w:rPr>
                  <w:t>Recurrente:</w:t>
                </w:r>
              </w:p>
            </w:tc>
            <w:tc>
              <w:tcPr>
                <w:tcW w:w="3402" w:type="dxa"/>
              </w:tcPr>
              <w:p w14:paraId="3A06215B" w14:textId="77777777" w:rsidR="00542BCE" w:rsidRDefault="00CC25A0">
                <w:pPr>
                  <w:tabs>
                    <w:tab w:val="right" w:pos="8838"/>
                  </w:tabs>
                  <w:ind w:right="-107"/>
                </w:pPr>
                <w:r>
                  <w:t xml:space="preserve"> </w:t>
                </w:r>
              </w:p>
            </w:tc>
          </w:tr>
          <w:tr w:rsidR="00542BCE" w14:paraId="1F0652A6" w14:textId="77777777" w:rsidTr="00A3686C">
            <w:trPr>
              <w:trHeight w:val="276"/>
            </w:trPr>
            <w:tc>
              <w:tcPr>
                <w:tcW w:w="2410" w:type="dxa"/>
              </w:tcPr>
              <w:p w14:paraId="13ADC573" w14:textId="77777777" w:rsidR="00542BCE" w:rsidRDefault="00CC25A0">
                <w:pPr>
                  <w:tabs>
                    <w:tab w:val="right" w:pos="8838"/>
                  </w:tabs>
                  <w:ind w:right="-105"/>
                  <w:rPr>
                    <w:b/>
                  </w:rPr>
                </w:pPr>
                <w:r>
                  <w:rPr>
                    <w:b/>
                  </w:rPr>
                  <w:t>Sujeto Obligado:</w:t>
                </w:r>
              </w:p>
            </w:tc>
            <w:tc>
              <w:tcPr>
                <w:tcW w:w="3402" w:type="dxa"/>
              </w:tcPr>
              <w:p w14:paraId="0C7C7E4F" w14:textId="77777777" w:rsidR="00542BCE" w:rsidRDefault="00CC25A0">
                <w:pPr>
                  <w:tabs>
                    <w:tab w:val="right" w:pos="8838"/>
                  </w:tabs>
                  <w:ind w:right="33"/>
                </w:pPr>
                <w:r>
                  <w:t xml:space="preserve">Ayuntamiento de </w:t>
                </w:r>
                <w:proofErr w:type="spellStart"/>
                <w:r>
                  <w:t>Tezoyuca</w:t>
                </w:r>
                <w:proofErr w:type="spellEnd"/>
              </w:p>
            </w:tc>
          </w:tr>
          <w:tr w:rsidR="00542BCE" w14:paraId="7DDD4B2B" w14:textId="77777777" w:rsidTr="00A3686C">
            <w:trPr>
              <w:trHeight w:val="276"/>
            </w:trPr>
            <w:tc>
              <w:tcPr>
                <w:tcW w:w="2410" w:type="dxa"/>
              </w:tcPr>
              <w:p w14:paraId="509D7BC0" w14:textId="77777777" w:rsidR="00542BCE" w:rsidRDefault="00CC25A0">
                <w:pPr>
                  <w:tabs>
                    <w:tab w:val="right" w:pos="8838"/>
                  </w:tabs>
                  <w:ind w:right="-105"/>
                  <w:rPr>
                    <w:b/>
                  </w:rPr>
                </w:pPr>
                <w:r>
                  <w:rPr>
                    <w:b/>
                  </w:rPr>
                  <w:t>Comisionado Ponente:</w:t>
                </w:r>
              </w:p>
            </w:tc>
            <w:tc>
              <w:tcPr>
                <w:tcW w:w="3402" w:type="dxa"/>
              </w:tcPr>
              <w:p w14:paraId="44A15F99" w14:textId="77777777" w:rsidR="00542BCE" w:rsidRDefault="00CC25A0">
                <w:pPr>
                  <w:tabs>
                    <w:tab w:val="right" w:pos="8838"/>
                  </w:tabs>
                  <w:ind w:right="-107"/>
                </w:pPr>
                <w:r>
                  <w:t>Luis Gustavo Parra Noriega</w:t>
                </w:r>
              </w:p>
            </w:tc>
          </w:tr>
        </w:tbl>
        <w:p w14:paraId="2D99A19D" w14:textId="77777777" w:rsidR="00542BCE" w:rsidRDefault="00542BCE">
          <w:pPr>
            <w:tabs>
              <w:tab w:val="right" w:pos="8838"/>
            </w:tabs>
            <w:ind w:left="-28"/>
            <w:rPr>
              <w:rFonts w:ascii="Arial" w:eastAsia="Arial" w:hAnsi="Arial" w:cs="Arial"/>
              <w:b/>
            </w:rPr>
          </w:pPr>
        </w:p>
      </w:tc>
    </w:tr>
  </w:tbl>
  <w:p w14:paraId="35A331BD" w14:textId="77777777" w:rsidR="00542BCE" w:rsidRDefault="00542BCE">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B868F8"/>
    <w:multiLevelType w:val="multilevel"/>
    <w:tmpl w:val="6A5A9892"/>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F907F47"/>
    <w:multiLevelType w:val="multilevel"/>
    <w:tmpl w:val="1DA49B7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0B163F"/>
    <w:multiLevelType w:val="multilevel"/>
    <w:tmpl w:val="5D14340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14B3DEA"/>
    <w:multiLevelType w:val="multilevel"/>
    <w:tmpl w:val="FF5C09EA"/>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AFB7CA5"/>
    <w:multiLevelType w:val="multilevel"/>
    <w:tmpl w:val="449EBA60"/>
    <w:lvl w:ilvl="0">
      <w:start w:val="1"/>
      <w:numFmt w:val="upp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5324530"/>
    <w:multiLevelType w:val="multilevel"/>
    <w:tmpl w:val="0C9C1B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8953AD0"/>
    <w:multiLevelType w:val="multilevel"/>
    <w:tmpl w:val="134001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40C24FA"/>
    <w:multiLevelType w:val="multilevel"/>
    <w:tmpl w:val="83D2740E"/>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ED715D0"/>
    <w:multiLevelType w:val="multilevel"/>
    <w:tmpl w:val="1B46A8EC"/>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23C6D47"/>
    <w:multiLevelType w:val="multilevel"/>
    <w:tmpl w:val="FE8A8C20"/>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4BC44C0"/>
    <w:multiLevelType w:val="multilevel"/>
    <w:tmpl w:val="5C9C33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B1B3CA3"/>
    <w:multiLevelType w:val="multilevel"/>
    <w:tmpl w:val="16F8977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6"/>
  </w:num>
  <w:num w:numId="3">
    <w:abstractNumId w:val="5"/>
  </w:num>
  <w:num w:numId="4">
    <w:abstractNumId w:val="2"/>
  </w:num>
  <w:num w:numId="5">
    <w:abstractNumId w:val="0"/>
  </w:num>
  <w:num w:numId="6">
    <w:abstractNumId w:val="1"/>
  </w:num>
  <w:num w:numId="7">
    <w:abstractNumId w:val="4"/>
  </w:num>
  <w:num w:numId="8">
    <w:abstractNumId w:val="10"/>
  </w:num>
  <w:num w:numId="9">
    <w:abstractNumId w:val="11"/>
  </w:num>
  <w:num w:numId="10">
    <w:abstractNumId w:val="9"/>
  </w:num>
  <w:num w:numId="11">
    <w:abstractNumId w:val="7"/>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BCE"/>
    <w:rsid w:val="001E0DCE"/>
    <w:rsid w:val="004743CD"/>
    <w:rsid w:val="0048166E"/>
    <w:rsid w:val="005208E6"/>
    <w:rsid w:val="00542BCE"/>
    <w:rsid w:val="00756D91"/>
    <w:rsid w:val="008A39D5"/>
    <w:rsid w:val="00A3686C"/>
    <w:rsid w:val="00A45D3B"/>
    <w:rsid w:val="00CC25A0"/>
    <w:rsid w:val="00E438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C207E49"/>
  <w15:docId w15:val="{6C2B1A36-E762-2745-926F-B7E41DABF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1"/>
    <w:pPr>
      <w:spacing w:after="0" w:line="240" w:lineRule="auto"/>
    </w:pPr>
    <w:tblPr>
      <w:tblStyleRowBandSize w:val="1"/>
      <w:tblStyleColBandSize w:val="1"/>
      <w:tblCellMar>
        <w:left w:w="108" w:type="dxa"/>
        <w:right w:w="108" w:type="dxa"/>
      </w:tblCellMar>
    </w:tblPr>
  </w:style>
  <w:style w:type="table" w:customStyle="1" w:styleId="a0">
    <w:basedOn w:val="TableNormalf1"/>
    <w:pPr>
      <w:spacing w:after="0" w:line="240" w:lineRule="auto"/>
    </w:pPr>
    <w:tblPr>
      <w:tblStyleRowBandSize w:val="1"/>
      <w:tblStyleColBandSize w:val="1"/>
      <w:tblCellMar>
        <w:left w:w="108" w:type="dxa"/>
        <w:right w:w="108" w:type="dxa"/>
      </w:tblCellMar>
    </w:tblPr>
  </w:style>
  <w:style w:type="table" w:customStyle="1" w:styleId="a1">
    <w:basedOn w:val="TableNormalf1"/>
    <w:tblPr>
      <w:tblStyleRowBandSize w:val="1"/>
      <w:tblStyleColBandSize w:val="1"/>
      <w:tblCellMar>
        <w:left w:w="115" w:type="dxa"/>
        <w:right w:w="115" w:type="dxa"/>
      </w:tblCellMar>
    </w:tblPr>
  </w:style>
  <w:style w:type="table" w:customStyle="1" w:styleId="a2">
    <w:basedOn w:val="TableNormalf1"/>
    <w:pPr>
      <w:spacing w:after="0" w:line="240" w:lineRule="auto"/>
    </w:pPr>
    <w:tblPr>
      <w:tblStyleRowBandSize w:val="1"/>
      <w:tblStyleColBandSize w:val="1"/>
      <w:tblCellMar>
        <w:left w:w="108" w:type="dxa"/>
        <w:right w:w="108" w:type="dxa"/>
      </w:tblCellMar>
    </w:tblPr>
  </w:style>
  <w:style w:type="paragraph" w:styleId="Ttulode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1"/>
    <w:pPr>
      <w:spacing w:after="0" w:line="240" w:lineRule="auto"/>
    </w:pPr>
    <w:tblPr>
      <w:tblStyleRowBandSize w:val="1"/>
      <w:tblStyleColBandSize w:val="1"/>
      <w:tblCellMar>
        <w:left w:w="108" w:type="dxa"/>
        <w:right w:w="108" w:type="dxa"/>
      </w:tblCellMar>
    </w:tblPr>
  </w:style>
  <w:style w:type="table" w:customStyle="1" w:styleId="a4">
    <w:basedOn w:val="TableNormalf1"/>
    <w:pPr>
      <w:spacing w:after="0" w:line="240" w:lineRule="auto"/>
    </w:pPr>
    <w:tblPr>
      <w:tblStyleRowBandSize w:val="1"/>
      <w:tblStyleColBandSize w:val="1"/>
      <w:tblCellMar>
        <w:left w:w="108" w:type="dxa"/>
        <w:right w:w="108" w:type="dxa"/>
      </w:tblCellMar>
    </w:tblPr>
  </w:style>
  <w:style w:type="table" w:customStyle="1" w:styleId="a5">
    <w:basedOn w:val="TableNormalf1"/>
    <w:pPr>
      <w:spacing w:after="0" w:line="240" w:lineRule="auto"/>
    </w:pPr>
    <w:tblPr>
      <w:tblStyleRowBandSize w:val="1"/>
      <w:tblStyleColBandSize w:val="1"/>
      <w:tblCellMar>
        <w:left w:w="108" w:type="dxa"/>
        <w:right w:w="108" w:type="dxa"/>
      </w:tblCellMar>
    </w:tblPr>
  </w:style>
  <w:style w:type="table" w:customStyle="1" w:styleId="a6">
    <w:basedOn w:val="TableNormalf1"/>
    <w:pPr>
      <w:spacing w:after="0" w:line="240" w:lineRule="auto"/>
    </w:pPr>
    <w:tblPr>
      <w:tblStyleRowBandSize w:val="1"/>
      <w:tblStyleColBandSize w:val="1"/>
      <w:tblCellMar>
        <w:left w:w="108" w:type="dxa"/>
        <w:right w:w="108" w:type="dxa"/>
      </w:tblCellMar>
    </w:tblPr>
  </w:style>
  <w:style w:type="table" w:customStyle="1" w:styleId="a7">
    <w:basedOn w:val="TableNormalf0"/>
    <w:pPr>
      <w:spacing w:after="0" w:line="240" w:lineRule="auto"/>
    </w:pPr>
    <w:tblPr>
      <w:tblStyleRowBandSize w:val="1"/>
      <w:tblStyleColBandSize w:val="1"/>
      <w:tblCellMar>
        <w:left w:w="108" w:type="dxa"/>
        <w:right w:w="108" w:type="dxa"/>
      </w:tblCellMar>
    </w:tblPr>
  </w:style>
  <w:style w:type="table" w:customStyle="1" w:styleId="a8">
    <w:basedOn w:val="TableNormalf0"/>
    <w:pPr>
      <w:spacing w:after="0" w:line="240" w:lineRule="auto"/>
    </w:pPr>
    <w:tblPr>
      <w:tblStyleRowBandSize w:val="1"/>
      <w:tblStyleColBandSize w:val="1"/>
      <w:tblCellMar>
        <w:left w:w="108" w:type="dxa"/>
        <w:right w:w="108" w:type="dxa"/>
      </w:tblCellMar>
    </w:tblPr>
  </w:style>
  <w:style w:type="table" w:customStyle="1" w:styleId="a9">
    <w:basedOn w:val="TableNormalf0"/>
    <w:pPr>
      <w:spacing w:after="0" w:line="240" w:lineRule="auto"/>
    </w:pPr>
    <w:tblPr>
      <w:tblStyleRowBandSize w:val="1"/>
      <w:tblStyleColBandSize w:val="1"/>
      <w:tblCellMar>
        <w:left w:w="108" w:type="dxa"/>
        <w:right w:w="108" w:type="dxa"/>
      </w:tblCellMar>
    </w:tblPr>
  </w:style>
  <w:style w:type="table" w:customStyle="1" w:styleId="aa">
    <w:basedOn w:val="TableNormalf0"/>
    <w:pPr>
      <w:spacing w:after="0" w:line="240" w:lineRule="auto"/>
    </w:pPr>
    <w:tblPr>
      <w:tblStyleRowBandSize w:val="1"/>
      <w:tblStyleColBandSize w:val="1"/>
      <w:tblCellMar>
        <w:left w:w="108" w:type="dxa"/>
        <w:right w:w="108" w:type="dxa"/>
      </w:tblCellMar>
    </w:tblPr>
  </w:style>
  <w:style w:type="table" w:customStyle="1" w:styleId="ab">
    <w:basedOn w:val="TableNormalf"/>
    <w:pPr>
      <w:spacing w:after="0" w:line="240" w:lineRule="auto"/>
    </w:pPr>
    <w:tblPr>
      <w:tblStyleRowBandSize w:val="1"/>
      <w:tblStyleColBandSize w:val="1"/>
      <w:tblCellMar>
        <w:left w:w="108" w:type="dxa"/>
        <w:right w:w="108" w:type="dxa"/>
      </w:tblCellMar>
    </w:tblPr>
  </w:style>
  <w:style w:type="table" w:customStyle="1" w:styleId="ac">
    <w:basedOn w:val="TableNormalf"/>
    <w:pPr>
      <w:spacing w:after="0" w:line="240" w:lineRule="auto"/>
    </w:pPr>
    <w:tblPr>
      <w:tblStyleRowBandSize w:val="1"/>
      <w:tblStyleColBandSize w:val="1"/>
      <w:tblCellMar>
        <w:left w:w="108" w:type="dxa"/>
        <w:right w:w="108" w:type="dxa"/>
      </w:tblCellMar>
    </w:tblPr>
  </w:style>
  <w:style w:type="table" w:customStyle="1" w:styleId="ad">
    <w:basedOn w:val="TableNormalf"/>
    <w:pPr>
      <w:spacing w:after="0" w:line="240" w:lineRule="auto"/>
    </w:pPr>
    <w:tblPr>
      <w:tblStyleRowBandSize w:val="1"/>
      <w:tblStyleColBandSize w:val="1"/>
      <w:tblCellMar>
        <w:left w:w="108" w:type="dxa"/>
        <w:right w:w="108" w:type="dxa"/>
      </w:tblCellMar>
    </w:tblPr>
  </w:style>
  <w:style w:type="table" w:customStyle="1" w:styleId="ae">
    <w:basedOn w:val="TableNormalf"/>
    <w:pPr>
      <w:spacing w:after="0" w:line="240" w:lineRule="auto"/>
    </w:pPr>
    <w:tblPr>
      <w:tblStyleRowBandSize w:val="1"/>
      <w:tblStyleColBandSize w:val="1"/>
      <w:tblCellMar>
        <w:left w:w="108" w:type="dxa"/>
        <w:right w:w="108" w:type="dxa"/>
      </w:tblCellMar>
    </w:tblPr>
  </w:style>
  <w:style w:type="table" w:customStyle="1" w:styleId="af">
    <w:basedOn w:val="TableNormale"/>
    <w:pPr>
      <w:spacing w:after="0" w:line="240" w:lineRule="auto"/>
    </w:pPr>
    <w:tblPr>
      <w:tblStyleRowBandSize w:val="1"/>
      <w:tblStyleColBandSize w:val="1"/>
      <w:tblCellMar>
        <w:left w:w="108" w:type="dxa"/>
        <w:right w:w="108" w:type="dxa"/>
      </w:tblCellMar>
    </w:tblPr>
  </w:style>
  <w:style w:type="table" w:customStyle="1" w:styleId="af0">
    <w:basedOn w:val="TableNormale"/>
    <w:pPr>
      <w:spacing w:after="0" w:line="240" w:lineRule="auto"/>
    </w:pPr>
    <w:tblPr>
      <w:tblStyleRowBandSize w:val="1"/>
      <w:tblStyleColBandSize w:val="1"/>
      <w:tblCellMar>
        <w:left w:w="108" w:type="dxa"/>
        <w:right w:w="108" w:type="dxa"/>
      </w:tblCellMar>
    </w:tblPr>
  </w:style>
  <w:style w:type="table" w:customStyle="1" w:styleId="af1">
    <w:basedOn w:val="TableNormale"/>
    <w:pPr>
      <w:spacing w:after="0" w:line="240" w:lineRule="auto"/>
    </w:pPr>
    <w:tblPr>
      <w:tblStyleRowBandSize w:val="1"/>
      <w:tblStyleColBandSize w:val="1"/>
      <w:tblCellMar>
        <w:left w:w="108" w:type="dxa"/>
        <w:right w:w="108" w:type="dxa"/>
      </w:tblCellMar>
    </w:tblPr>
  </w:style>
  <w:style w:type="table" w:customStyle="1" w:styleId="af2">
    <w:basedOn w:val="TableNormale"/>
    <w:pPr>
      <w:spacing w:after="0" w:line="240" w:lineRule="auto"/>
    </w:pPr>
    <w:tblPr>
      <w:tblStyleRowBandSize w:val="1"/>
      <w:tblStyleColBandSize w:val="1"/>
      <w:tblCellMar>
        <w:left w:w="108" w:type="dxa"/>
        <w:right w:w="108" w:type="dxa"/>
      </w:tblCellMar>
    </w:tblPr>
  </w:style>
  <w:style w:type="table" w:customStyle="1" w:styleId="af3">
    <w:basedOn w:val="TableNormald"/>
    <w:pPr>
      <w:spacing w:after="0" w:line="240" w:lineRule="auto"/>
    </w:pPr>
    <w:tblPr>
      <w:tblStyleRowBandSize w:val="1"/>
      <w:tblStyleColBandSize w:val="1"/>
      <w:tblCellMar>
        <w:left w:w="108" w:type="dxa"/>
        <w:right w:w="108" w:type="dxa"/>
      </w:tblCellMar>
    </w:tblPr>
  </w:style>
  <w:style w:type="table" w:customStyle="1" w:styleId="af4">
    <w:basedOn w:val="TableNormald"/>
    <w:pPr>
      <w:spacing w:after="0" w:line="240" w:lineRule="auto"/>
    </w:pPr>
    <w:tblPr>
      <w:tblStyleRowBandSize w:val="1"/>
      <w:tblStyleColBandSize w:val="1"/>
      <w:tblCellMar>
        <w:left w:w="108" w:type="dxa"/>
        <w:right w:w="108" w:type="dxa"/>
      </w:tblCellMar>
    </w:tblPr>
  </w:style>
  <w:style w:type="table" w:customStyle="1" w:styleId="af5">
    <w:basedOn w:val="TableNormald"/>
    <w:pPr>
      <w:spacing w:after="0" w:line="240" w:lineRule="auto"/>
    </w:pPr>
    <w:tblPr>
      <w:tblStyleRowBandSize w:val="1"/>
      <w:tblStyleColBandSize w:val="1"/>
      <w:tblCellMar>
        <w:left w:w="108" w:type="dxa"/>
        <w:right w:w="108" w:type="dxa"/>
      </w:tblCellMar>
    </w:tblPr>
  </w:style>
  <w:style w:type="table" w:customStyle="1" w:styleId="af6">
    <w:basedOn w:val="TableNormald"/>
    <w:pPr>
      <w:spacing w:after="0" w:line="240" w:lineRule="auto"/>
    </w:pPr>
    <w:tblPr>
      <w:tblStyleRowBandSize w:val="1"/>
      <w:tblStyleColBandSize w:val="1"/>
      <w:tblCellMar>
        <w:left w:w="108" w:type="dxa"/>
        <w:right w:w="108" w:type="dxa"/>
      </w:tblCellMar>
    </w:tblPr>
  </w:style>
  <w:style w:type="table" w:customStyle="1" w:styleId="af7">
    <w:basedOn w:val="TableNormalc"/>
    <w:pPr>
      <w:spacing w:after="0" w:line="240" w:lineRule="auto"/>
    </w:pPr>
    <w:tblPr>
      <w:tblStyleRowBandSize w:val="1"/>
      <w:tblStyleColBandSize w:val="1"/>
      <w:tblCellMar>
        <w:left w:w="108" w:type="dxa"/>
        <w:right w:w="108" w:type="dxa"/>
      </w:tblCellMar>
    </w:tblPr>
  </w:style>
  <w:style w:type="table" w:customStyle="1" w:styleId="af8">
    <w:basedOn w:val="TableNormalc"/>
    <w:pPr>
      <w:spacing w:after="0" w:line="240" w:lineRule="auto"/>
    </w:pPr>
    <w:tblPr>
      <w:tblStyleRowBandSize w:val="1"/>
      <w:tblStyleColBandSize w:val="1"/>
      <w:tblCellMar>
        <w:left w:w="108" w:type="dxa"/>
        <w:right w:w="108" w:type="dxa"/>
      </w:tblCellMar>
    </w:tblPr>
  </w:style>
  <w:style w:type="table" w:customStyle="1" w:styleId="af9">
    <w:basedOn w:val="TableNormalc"/>
    <w:pPr>
      <w:spacing w:after="0" w:line="240" w:lineRule="auto"/>
    </w:pPr>
    <w:tblPr>
      <w:tblStyleRowBandSize w:val="1"/>
      <w:tblStyleColBandSize w:val="1"/>
      <w:tblCellMar>
        <w:left w:w="108" w:type="dxa"/>
        <w:right w:w="108" w:type="dxa"/>
      </w:tblCellMar>
    </w:tblPr>
  </w:style>
  <w:style w:type="table" w:customStyle="1" w:styleId="afa">
    <w:basedOn w:val="TableNormalc"/>
    <w:pPr>
      <w:spacing w:after="0" w:line="240" w:lineRule="auto"/>
    </w:pPr>
    <w:tblPr>
      <w:tblStyleRowBandSize w:val="1"/>
      <w:tblStyleColBandSize w:val="1"/>
      <w:tblCellMar>
        <w:left w:w="108" w:type="dxa"/>
        <w:right w:w="108" w:type="dxa"/>
      </w:tblCellMar>
    </w:tblPr>
  </w:style>
  <w:style w:type="table" w:customStyle="1" w:styleId="afb">
    <w:basedOn w:val="TableNormalb"/>
    <w:pPr>
      <w:spacing w:after="0" w:line="240" w:lineRule="auto"/>
    </w:pPr>
    <w:tblPr>
      <w:tblStyleRowBandSize w:val="1"/>
      <w:tblStyleColBandSize w:val="1"/>
      <w:tblCellMar>
        <w:left w:w="108" w:type="dxa"/>
        <w:right w:w="108" w:type="dxa"/>
      </w:tblCellMar>
    </w:tblPr>
  </w:style>
  <w:style w:type="table" w:customStyle="1" w:styleId="afc">
    <w:basedOn w:val="TableNormalb"/>
    <w:pPr>
      <w:spacing w:after="0" w:line="240" w:lineRule="auto"/>
    </w:pPr>
    <w:tblPr>
      <w:tblStyleRowBandSize w:val="1"/>
      <w:tblStyleColBandSize w:val="1"/>
      <w:tblCellMar>
        <w:left w:w="108" w:type="dxa"/>
        <w:right w:w="108" w:type="dxa"/>
      </w:tblCellMar>
    </w:tblPr>
  </w:style>
  <w:style w:type="table" w:customStyle="1" w:styleId="afd">
    <w:basedOn w:val="TableNormalb"/>
    <w:pPr>
      <w:spacing w:after="0" w:line="240" w:lineRule="auto"/>
    </w:pPr>
    <w:tblPr>
      <w:tblStyleRowBandSize w:val="1"/>
      <w:tblStyleColBandSize w:val="1"/>
      <w:tblCellMar>
        <w:left w:w="108" w:type="dxa"/>
        <w:right w:w="108" w:type="dxa"/>
      </w:tblCellMar>
    </w:tblPr>
  </w:style>
  <w:style w:type="table" w:customStyle="1" w:styleId="afe">
    <w:basedOn w:val="TableNormalb"/>
    <w:pPr>
      <w:spacing w:after="0" w:line="240" w:lineRule="auto"/>
    </w:pPr>
    <w:tblPr>
      <w:tblStyleRowBandSize w:val="1"/>
      <w:tblStyleColBandSize w:val="1"/>
      <w:tblCellMar>
        <w:left w:w="108" w:type="dxa"/>
        <w:right w:w="108" w:type="dxa"/>
      </w:tblCellMar>
    </w:tblPr>
  </w:style>
  <w:style w:type="table" w:customStyle="1" w:styleId="aff">
    <w:basedOn w:val="TableNormala"/>
    <w:pPr>
      <w:spacing w:after="0" w:line="240" w:lineRule="auto"/>
    </w:pPr>
    <w:tblPr>
      <w:tblStyleRowBandSize w:val="1"/>
      <w:tblStyleColBandSize w:val="1"/>
      <w:tblCellMar>
        <w:left w:w="108" w:type="dxa"/>
        <w:right w:w="108" w:type="dxa"/>
      </w:tblCellMar>
    </w:tblPr>
  </w:style>
  <w:style w:type="table" w:customStyle="1" w:styleId="aff0">
    <w:basedOn w:val="TableNormala"/>
    <w:pPr>
      <w:spacing w:after="0" w:line="240" w:lineRule="auto"/>
    </w:pPr>
    <w:tblPr>
      <w:tblStyleRowBandSize w:val="1"/>
      <w:tblStyleColBandSize w:val="1"/>
      <w:tblCellMar>
        <w:left w:w="108" w:type="dxa"/>
        <w:right w:w="108" w:type="dxa"/>
      </w:tblCellMar>
    </w:tblPr>
  </w:style>
  <w:style w:type="table" w:customStyle="1" w:styleId="aff1">
    <w:basedOn w:val="TableNormala"/>
    <w:pPr>
      <w:spacing w:after="0" w:line="240" w:lineRule="auto"/>
    </w:pPr>
    <w:tblPr>
      <w:tblStyleRowBandSize w:val="1"/>
      <w:tblStyleColBandSize w:val="1"/>
      <w:tblCellMar>
        <w:left w:w="108" w:type="dxa"/>
        <w:right w:w="108" w:type="dxa"/>
      </w:tblCellMar>
    </w:tblPr>
  </w:style>
  <w:style w:type="table" w:customStyle="1" w:styleId="aff2">
    <w:basedOn w:val="TableNormala"/>
    <w:pPr>
      <w:spacing w:after="0" w:line="240" w:lineRule="auto"/>
    </w:pPr>
    <w:tblPr>
      <w:tblStyleRowBandSize w:val="1"/>
      <w:tblStyleColBandSize w:val="1"/>
      <w:tblCellMar>
        <w:left w:w="108" w:type="dxa"/>
        <w:right w:w="108" w:type="dxa"/>
      </w:tblCellMar>
    </w:tblPr>
  </w:style>
  <w:style w:type="table" w:customStyle="1" w:styleId="aff3">
    <w:basedOn w:val="TableNormal9"/>
    <w:pPr>
      <w:spacing w:after="0" w:line="240" w:lineRule="auto"/>
    </w:pPr>
    <w:tblPr>
      <w:tblStyleRowBandSize w:val="1"/>
      <w:tblStyleColBandSize w:val="1"/>
      <w:tblCellMar>
        <w:left w:w="108" w:type="dxa"/>
        <w:right w:w="108" w:type="dxa"/>
      </w:tblCellMar>
    </w:tblPr>
  </w:style>
  <w:style w:type="table" w:customStyle="1" w:styleId="aff4">
    <w:basedOn w:val="TableNormal9"/>
    <w:pPr>
      <w:spacing w:after="0" w:line="240" w:lineRule="auto"/>
    </w:pPr>
    <w:tblPr>
      <w:tblStyleRowBandSize w:val="1"/>
      <w:tblStyleColBandSize w:val="1"/>
      <w:tblCellMar>
        <w:left w:w="108" w:type="dxa"/>
        <w:right w:w="108" w:type="dxa"/>
      </w:tblCellMar>
    </w:tblPr>
  </w:style>
  <w:style w:type="table" w:customStyle="1" w:styleId="aff5">
    <w:basedOn w:val="TableNormal9"/>
    <w:pPr>
      <w:spacing w:after="0" w:line="240" w:lineRule="auto"/>
    </w:pPr>
    <w:tblPr>
      <w:tblStyleRowBandSize w:val="1"/>
      <w:tblStyleColBandSize w:val="1"/>
      <w:tblCellMar>
        <w:left w:w="108" w:type="dxa"/>
        <w:right w:w="108" w:type="dxa"/>
      </w:tblCellMar>
    </w:tblPr>
  </w:style>
  <w:style w:type="table" w:customStyle="1" w:styleId="aff6">
    <w:basedOn w:val="TableNormal9"/>
    <w:pPr>
      <w:spacing w:after="0" w:line="240" w:lineRule="auto"/>
    </w:pPr>
    <w:tblPr>
      <w:tblStyleRowBandSize w:val="1"/>
      <w:tblStyleColBandSize w:val="1"/>
      <w:tblCellMar>
        <w:left w:w="108" w:type="dxa"/>
        <w:right w:w="108" w:type="dxa"/>
      </w:tblCellMar>
    </w:tblPr>
  </w:style>
  <w:style w:type="table" w:customStyle="1" w:styleId="aff7">
    <w:basedOn w:val="TableNormal8"/>
    <w:pPr>
      <w:spacing w:after="0" w:line="240" w:lineRule="auto"/>
    </w:pPr>
    <w:tblPr>
      <w:tblStyleRowBandSize w:val="1"/>
      <w:tblStyleColBandSize w:val="1"/>
      <w:tblCellMar>
        <w:left w:w="108" w:type="dxa"/>
        <w:right w:w="108" w:type="dxa"/>
      </w:tblCellMar>
    </w:tblPr>
  </w:style>
  <w:style w:type="table" w:customStyle="1" w:styleId="aff8">
    <w:basedOn w:val="TableNormal8"/>
    <w:pPr>
      <w:spacing w:after="0" w:line="240" w:lineRule="auto"/>
    </w:pPr>
    <w:tblPr>
      <w:tblStyleRowBandSize w:val="1"/>
      <w:tblStyleColBandSize w:val="1"/>
      <w:tblCellMar>
        <w:left w:w="108" w:type="dxa"/>
        <w:right w:w="108" w:type="dxa"/>
      </w:tblCellMar>
    </w:tblPr>
  </w:style>
  <w:style w:type="table" w:customStyle="1" w:styleId="aff9">
    <w:basedOn w:val="TableNormal8"/>
    <w:pPr>
      <w:spacing w:after="0" w:line="240" w:lineRule="auto"/>
    </w:pPr>
    <w:tblPr>
      <w:tblStyleRowBandSize w:val="1"/>
      <w:tblStyleColBandSize w:val="1"/>
      <w:tblCellMar>
        <w:left w:w="108" w:type="dxa"/>
        <w:right w:w="108" w:type="dxa"/>
      </w:tblCellMar>
    </w:tblPr>
  </w:style>
  <w:style w:type="table" w:customStyle="1" w:styleId="affa">
    <w:basedOn w:val="TableNormal8"/>
    <w:pPr>
      <w:spacing w:after="0" w:line="240" w:lineRule="auto"/>
    </w:pPr>
    <w:tblPr>
      <w:tblStyleRowBandSize w:val="1"/>
      <w:tblStyleColBandSize w:val="1"/>
      <w:tblCellMar>
        <w:left w:w="108" w:type="dxa"/>
        <w:right w:w="108" w:type="dxa"/>
      </w:tblCellMar>
    </w:tblPr>
  </w:style>
  <w:style w:type="table" w:customStyle="1" w:styleId="affb">
    <w:basedOn w:val="TableNormal8"/>
    <w:pPr>
      <w:spacing w:after="0" w:line="240" w:lineRule="auto"/>
    </w:pPr>
    <w:tblPr>
      <w:tblStyleRowBandSize w:val="1"/>
      <w:tblStyleColBandSize w:val="1"/>
      <w:tblCellMar>
        <w:left w:w="108" w:type="dxa"/>
        <w:right w:w="108" w:type="dxa"/>
      </w:tblCellMar>
    </w:tblPr>
  </w:style>
  <w:style w:type="table" w:customStyle="1" w:styleId="affc">
    <w:basedOn w:val="TableNormal8"/>
    <w:pPr>
      <w:spacing w:after="0" w:line="240" w:lineRule="auto"/>
    </w:pPr>
    <w:tblPr>
      <w:tblStyleRowBandSize w:val="1"/>
      <w:tblStyleColBandSize w:val="1"/>
      <w:tblCellMar>
        <w:left w:w="108" w:type="dxa"/>
        <w:right w:w="108" w:type="dxa"/>
      </w:tblCellMar>
    </w:tblPr>
  </w:style>
  <w:style w:type="table" w:customStyle="1" w:styleId="affd">
    <w:basedOn w:val="TableNormal8"/>
    <w:pPr>
      <w:spacing w:after="0" w:line="240" w:lineRule="auto"/>
    </w:pPr>
    <w:tblPr>
      <w:tblStyleRowBandSize w:val="1"/>
      <w:tblStyleColBandSize w:val="1"/>
      <w:tblCellMar>
        <w:left w:w="108" w:type="dxa"/>
        <w:right w:w="108" w:type="dxa"/>
      </w:tblCellMar>
    </w:tblPr>
  </w:style>
  <w:style w:type="table" w:customStyle="1" w:styleId="affe">
    <w:basedOn w:val="TableNormal8"/>
    <w:pPr>
      <w:spacing w:after="0" w:line="240" w:lineRule="auto"/>
    </w:pPr>
    <w:tblPr>
      <w:tblStyleRowBandSize w:val="1"/>
      <w:tblStyleColBandSize w:val="1"/>
      <w:tblCellMar>
        <w:left w:w="108" w:type="dxa"/>
        <w:right w:w="108" w:type="dxa"/>
      </w:tblCellMar>
    </w:tblPr>
  </w:style>
  <w:style w:type="table" w:customStyle="1" w:styleId="afff">
    <w:basedOn w:val="TableNormal8"/>
    <w:pPr>
      <w:spacing w:after="0" w:line="240" w:lineRule="auto"/>
    </w:pPr>
    <w:tblPr>
      <w:tblStyleRowBandSize w:val="1"/>
      <w:tblStyleColBandSize w:val="1"/>
      <w:tblCellMar>
        <w:left w:w="108" w:type="dxa"/>
        <w:right w:w="108" w:type="dxa"/>
      </w:tblCellMar>
    </w:tblPr>
  </w:style>
  <w:style w:type="table" w:customStyle="1" w:styleId="afff0">
    <w:basedOn w:val="TableNormal8"/>
    <w:pPr>
      <w:spacing w:after="0" w:line="240" w:lineRule="auto"/>
    </w:pPr>
    <w:tblPr>
      <w:tblStyleRowBandSize w:val="1"/>
      <w:tblStyleColBandSize w:val="1"/>
      <w:tblCellMar>
        <w:left w:w="108" w:type="dxa"/>
        <w:right w:w="108" w:type="dxa"/>
      </w:tblCellMar>
    </w:tblPr>
  </w:style>
  <w:style w:type="table" w:customStyle="1" w:styleId="afff1">
    <w:basedOn w:val="TableNormal8"/>
    <w:pPr>
      <w:spacing w:after="0" w:line="240" w:lineRule="auto"/>
    </w:pPr>
    <w:tblPr>
      <w:tblStyleRowBandSize w:val="1"/>
      <w:tblStyleColBandSize w:val="1"/>
      <w:tblCellMar>
        <w:left w:w="108" w:type="dxa"/>
        <w:right w:w="108" w:type="dxa"/>
      </w:tblCellMar>
    </w:tblPr>
  </w:style>
  <w:style w:type="table" w:customStyle="1" w:styleId="afff2">
    <w:basedOn w:val="TableNormal8"/>
    <w:pPr>
      <w:spacing w:after="0" w:line="240" w:lineRule="auto"/>
    </w:pPr>
    <w:tblPr>
      <w:tblStyleRowBandSize w:val="1"/>
      <w:tblStyleColBandSize w:val="1"/>
      <w:tblCellMar>
        <w:left w:w="108" w:type="dxa"/>
        <w:right w:w="108" w:type="dxa"/>
      </w:tblCellMar>
    </w:tblPr>
  </w:style>
  <w:style w:type="table" w:customStyle="1" w:styleId="afff3">
    <w:basedOn w:val="TableNormal8"/>
    <w:pPr>
      <w:spacing w:after="0" w:line="240" w:lineRule="auto"/>
    </w:pPr>
    <w:tblPr>
      <w:tblStyleRowBandSize w:val="1"/>
      <w:tblStyleColBandSize w:val="1"/>
      <w:tblCellMar>
        <w:left w:w="108" w:type="dxa"/>
        <w:right w:w="108" w:type="dxa"/>
      </w:tblCellMar>
    </w:tblPr>
  </w:style>
  <w:style w:type="table" w:customStyle="1" w:styleId="afff4">
    <w:basedOn w:val="TableNormal8"/>
    <w:pPr>
      <w:spacing w:after="0" w:line="240" w:lineRule="auto"/>
    </w:pPr>
    <w:tblPr>
      <w:tblStyleRowBandSize w:val="1"/>
      <w:tblStyleColBandSize w:val="1"/>
      <w:tblCellMar>
        <w:left w:w="108" w:type="dxa"/>
        <w:right w:w="108" w:type="dxa"/>
      </w:tblCellMar>
    </w:tblPr>
  </w:style>
  <w:style w:type="table" w:customStyle="1" w:styleId="afff5">
    <w:basedOn w:val="TableNormal8"/>
    <w:pPr>
      <w:spacing w:after="0" w:line="240" w:lineRule="auto"/>
    </w:pPr>
    <w:tblPr>
      <w:tblStyleRowBandSize w:val="1"/>
      <w:tblStyleColBandSize w:val="1"/>
      <w:tblCellMar>
        <w:left w:w="108" w:type="dxa"/>
        <w:right w:w="108" w:type="dxa"/>
      </w:tblCellMar>
    </w:tblPr>
  </w:style>
  <w:style w:type="table" w:customStyle="1" w:styleId="afff6">
    <w:basedOn w:val="TableNormal8"/>
    <w:pPr>
      <w:spacing w:after="0" w:line="240" w:lineRule="auto"/>
    </w:pPr>
    <w:tblPr>
      <w:tblStyleRowBandSize w:val="1"/>
      <w:tblStyleColBandSize w:val="1"/>
      <w:tblCellMar>
        <w:left w:w="108" w:type="dxa"/>
        <w:right w:w="108" w:type="dxa"/>
      </w:tblCellMar>
    </w:tblPr>
  </w:style>
  <w:style w:type="table" w:customStyle="1" w:styleId="afff7">
    <w:basedOn w:val="TableNormal8"/>
    <w:pPr>
      <w:spacing w:after="0" w:line="240" w:lineRule="auto"/>
    </w:pPr>
    <w:tblPr>
      <w:tblStyleRowBandSize w:val="1"/>
      <w:tblStyleColBandSize w:val="1"/>
      <w:tblCellMar>
        <w:left w:w="108" w:type="dxa"/>
        <w:right w:w="108" w:type="dxa"/>
      </w:tblCellMar>
    </w:tblPr>
  </w:style>
  <w:style w:type="table" w:customStyle="1" w:styleId="afff8">
    <w:basedOn w:val="TableNormal8"/>
    <w:pPr>
      <w:spacing w:after="0" w:line="240" w:lineRule="auto"/>
    </w:pPr>
    <w:tblPr>
      <w:tblStyleRowBandSize w:val="1"/>
      <w:tblStyleColBandSize w:val="1"/>
      <w:tblCellMar>
        <w:left w:w="108" w:type="dxa"/>
        <w:right w:w="108" w:type="dxa"/>
      </w:tblCellMar>
    </w:tblPr>
  </w:style>
  <w:style w:type="table" w:customStyle="1" w:styleId="afff9">
    <w:basedOn w:val="TableNormal8"/>
    <w:pPr>
      <w:spacing w:after="0" w:line="240" w:lineRule="auto"/>
    </w:pPr>
    <w:tblPr>
      <w:tblStyleRowBandSize w:val="1"/>
      <w:tblStyleColBandSize w:val="1"/>
      <w:tblCellMar>
        <w:left w:w="108" w:type="dxa"/>
        <w:right w:w="108" w:type="dxa"/>
      </w:tblCellMar>
    </w:tblPr>
  </w:style>
  <w:style w:type="table" w:customStyle="1" w:styleId="afffa">
    <w:basedOn w:val="TableNormal8"/>
    <w:pPr>
      <w:spacing w:after="0" w:line="240" w:lineRule="auto"/>
    </w:pPr>
    <w:tblPr>
      <w:tblStyleRowBandSize w:val="1"/>
      <w:tblStyleColBandSize w:val="1"/>
      <w:tblCellMar>
        <w:left w:w="108" w:type="dxa"/>
        <w:right w:w="108" w:type="dxa"/>
      </w:tblCellMar>
    </w:tblPr>
  </w:style>
  <w:style w:type="table" w:customStyle="1" w:styleId="afffb">
    <w:basedOn w:val="TableNormal8"/>
    <w:pPr>
      <w:spacing w:after="0" w:line="240" w:lineRule="auto"/>
    </w:pPr>
    <w:tblPr>
      <w:tblStyleRowBandSize w:val="1"/>
      <w:tblStyleColBandSize w:val="1"/>
      <w:tblCellMar>
        <w:left w:w="108" w:type="dxa"/>
        <w:right w:w="108" w:type="dxa"/>
      </w:tblCellMar>
    </w:tblPr>
  </w:style>
  <w:style w:type="table" w:customStyle="1" w:styleId="afffc">
    <w:basedOn w:val="TableNormal8"/>
    <w:pPr>
      <w:spacing w:after="0" w:line="240" w:lineRule="auto"/>
    </w:pPr>
    <w:tblPr>
      <w:tblStyleRowBandSize w:val="1"/>
      <w:tblStyleColBandSize w:val="1"/>
      <w:tblCellMar>
        <w:left w:w="108" w:type="dxa"/>
        <w:right w:w="108" w:type="dxa"/>
      </w:tblCellMar>
    </w:tblPr>
  </w:style>
  <w:style w:type="table" w:customStyle="1" w:styleId="afffd">
    <w:basedOn w:val="TableNormal7"/>
    <w:pPr>
      <w:spacing w:after="0" w:line="240" w:lineRule="auto"/>
    </w:pPr>
    <w:tblPr>
      <w:tblStyleRowBandSize w:val="1"/>
      <w:tblStyleColBandSize w:val="1"/>
      <w:tblCellMar>
        <w:left w:w="108" w:type="dxa"/>
        <w:right w:w="108" w:type="dxa"/>
      </w:tblCellMar>
    </w:tblPr>
  </w:style>
  <w:style w:type="table" w:customStyle="1" w:styleId="afffe">
    <w:basedOn w:val="TableNormal7"/>
    <w:pPr>
      <w:spacing w:after="0" w:line="240" w:lineRule="auto"/>
    </w:pPr>
    <w:tblPr>
      <w:tblStyleRowBandSize w:val="1"/>
      <w:tblStyleColBandSize w:val="1"/>
      <w:tblCellMar>
        <w:left w:w="108" w:type="dxa"/>
        <w:right w:w="108" w:type="dxa"/>
      </w:tblCellMar>
    </w:tblPr>
  </w:style>
  <w:style w:type="table" w:customStyle="1" w:styleId="affff">
    <w:basedOn w:val="TableNormal7"/>
    <w:pPr>
      <w:spacing w:after="0" w:line="240" w:lineRule="auto"/>
    </w:pPr>
    <w:tblPr>
      <w:tblStyleRowBandSize w:val="1"/>
      <w:tblStyleColBandSize w:val="1"/>
      <w:tblCellMar>
        <w:left w:w="108" w:type="dxa"/>
        <w:right w:w="108" w:type="dxa"/>
      </w:tblCellMar>
    </w:tblPr>
  </w:style>
  <w:style w:type="table" w:customStyle="1" w:styleId="affff0">
    <w:basedOn w:val="TableNormal7"/>
    <w:pPr>
      <w:spacing w:after="0" w:line="240" w:lineRule="auto"/>
    </w:pPr>
    <w:tblPr>
      <w:tblStyleRowBandSize w:val="1"/>
      <w:tblStyleColBandSize w:val="1"/>
      <w:tblCellMar>
        <w:left w:w="108" w:type="dxa"/>
        <w:right w:w="108" w:type="dxa"/>
      </w:tblCellMar>
    </w:tblPr>
  </w:style>
  <w:style w:type="table" w:customStyle="1" w:styleId="affff1">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6"/>
    <w:pPr>
      <w:spacing w:after="0" w:line="240" w:lineRule="auto"/>
    </w:pPr>
    <w:tblPr>
      <w:tblStyleRowBandSize w:val="1"/>
      <w:tblStyleColBandSize w:val="1"/>
      <w:tblCellMar>
        <w:left w:w="108" w:type="dxa"/>
        <w:right w:w="108" w:type="dxa"/>
      </w:tblCellMar>
    </w:tblPr>
  </w:style>
  <w:style w:type="table" w:customStyle="1" w:styleId="affff3">
    <w:basedOn w:val="TableNormal6"/>
    <w:pPr>
      <w:spacing w:after="0" w:line="240" w:lineRule="auto"/>
    </w:pPr>
    <w:tblPr>
      <w:tblStyleRowBandSize w:val="1"/>
      <w:tblStyleColBandSize w:val="1"/>
      <w:tblCellMar>
        <w:left w:w="108" w:type="dxa"/>
        <w:right w:w="108" w:type="dxa"/>
      </w:tblCellMar>
    </w:tblPr>
  </w:style>
  <w:style w:type="table" w:customStyle="1" w:styleId="affff4">
    <w:basedOn w:val="TableNormal6"/>
    <w:pPr>
      <w:spacing w:after="0" w:line="240" w:lineRule="auto"/>
    </w:pPr>
    <w:tblPr>
      <w:tblStyleRowBandSize w:val="1"/>
      <w:tblStyleColBandSize w:val="1"/>
      <w:tblCellMar>
        <w:left w:w="108" w:type="dxa"/>
        <w:right w:w="108" w:type="dxa"/>
      </w:tblCellMar>
    </w:tblPr>
  </w:style>
  <w:style w:type="table" w:customStyle="1" w:styleId="affff5">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5"/>
    <w:pPr>
      <w:spacing w:after="0" w:line="240" w:lineRule="auto"/>
    </w:pPr>
    <w:tblPr>
      <w:tblStyleRowBandSize w:val="1"/>
      <w:tblStyleColBandSize w:val="1"/>
      <w:tblCellMar>
        <w:left w:w="108" w:type="dxa"/>
        <w:right w:w="108" w:type="dxa"/>
      </w:tblCellMar>
    </w:tblPr>
  </w:style>
  <w:style w:type="table" w:customStyle="1" w:styleId="affff7">
    <w:basedOn w:val="TableNormal5"/>
    <w:pPr>
      <w:spacing w:after="0" w:line="240" w:lineRule="auto"/>
    </w:pPr>
    <w:tblPr>
      <w:tblStyleRowBandSize w:val="1"/>
      <w:tblStyleColBandSize w:val="1"/>
      <w:tblCellMar>
        <w:left w:w="108" w:type="dxa"/>
        <w:right w:w="108" w:type="dxa"/>
      </w:tblCellMar>
    </w:tblPr>
  </w:style>
  <w:style w:type="table" w:customStyle="1" w:styleId="affff8">
    <w:basedOn w:val="TableNormal5"/>
    <w:pPr>
      <w:spacing w:after="0" w:line="240" w:lineRule="auto"/>
    </w:pPr>
    <w:tblPr>
      <w:tblStyleRowBandSize w:val="1"/>
      <w:tblStyleColBandSize w:val="1"/>
      <w:tblCellMar>
        <w:left w:w="108" w:type="dxa"/>
        <w:right w:w="108" w:type="dxa"/>
      </w:tblCellMar>
    </w:tblPr>
  </w:style>
  <w:style w:type="table" w:customStyle="1" w:styleId="affff9">
    <w:basedOn w:val="TableNormal5"/>
    <w:pPr>
      <w:spacing w:after="0" w:line="240" w:lineRule="auto"/>
    </w:pPr>
    <w:tblPr>
      <w:tblStyleRowBandSize w:val="1"/>
      <w:tblStyleColBandSize w:val="1"/>
      <w:tblCellMar>
        <w:left w:w="108" w:type="dxa"/>
        <w:right w:w="108" w:type="dxa"/>
      </w:tblCellMar>
    </w:tblPr>
  </w:style>
  <w:style w:type="table" w:customStyle="1" w:styleId="affffa">
    <w:basedOn w:val="TableNormal5"/>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4"/>
    <w:pPr>
      <w:spacing w:after="0" w:line="240" w:lineRule="auto"/>
    </w:pPr>
    <w:tblPr>
      <w:tblStyleRowBandSize w:val="1"/>
      <w:tblStyleColBandSize w:val="1"/>
      <w:tblCellMar>
        <w:left w:w="108" w:type="dxa"/>
        <w:right w:w="108" w:type="dxa"/>
      </w:tblCellMar>
    </w:tblPr>
  </w:style>
  <w:style w:type="table" w:customStyle="1" w:styleId="affffc">
    <w:basedOn w:val="TableNormal4"/>
    <w:pPr>
      <w:spacing w:after="0" w:line="240" w:lineRule="auto"/>
    </w:pPr>
    <w:tblPr>
      <w:tblStyleRowBandSize w:val="1"/>
      <w:tblStyleColBandSize w:val="1"/>
      <w:tblCellMar>
        <w:left w:w="108" w:type="dxa"/>
        <w:right w:w="108" w:type="dxa"/>
      </w:tblCellMar>
    </w:tblPr>
  </w:style>
  <w:style w:type="table" w:customStyle="1" w:styleId="affffd">
    <w:basedOn w:val="TableNormal4"/>
    <w:pPr>
      <w:spacing w:after="0" w:line="240" w:lineRule="auto"/>
    </w:pPr>
    <w:tblPr>
      <w:tblStyleRowBandSize w:val="1"/>
      <w:tblStyleColBandSize w:val="1"/>
      <w:tblCellMar>
        <w:left w:w="108" w:type="dxa"/>
        <w:right w:w="108" w:type="dxa"/>
      </w:tblCellMar>
    </w:tblPr>
  </w:style>
  <w:style w:type="table" w:customStyle="1" w:styleId="affffe">
    <w:basedOn w:val="TableNormal4"/>
    <w:pPr>
      <w:spacing w:after="0" w:line="240" w:lineRule="auto"/>
    </w:pPr>
    <w:tblPr>
      <w:tblStyleRowBandSize w:val="1"/>
      <w:tblStyleColBandSize w:val="1"/>
      <w:tblCellMar>
        <w:left w:w="108" w:type="dxa"/>
        <w:right w:w="108" w:type="dxa"/>
      </w:tblCellMar>
    </w:tblPr>
  </w:style>
  <w:style w:type="table" w:customStyle="1" w:styleId="afffff">
    <w:basedOn w:val="TableNormal3"/>
    <w:pPr>
      <w:spacing w:after="0" w:line="240" w:lineRule="auto"/>
    </w:pPr>
    <w:tblPr>
      <w:tblStyleRowBandSize w:val="1"/>
      <w:tblStyleColBandSize w:val="1"/>
      <w:tblCellMar>
        <w:left w:w="108" w:type="dxa"/>
        <w:right w:w="108" w:type="dxa"/>
      </w:tblCellMar>
    </w:tblPr>
  </w:style>
  <w:style w:type="table" w:customStyle="1" w:styleId="afffff0">
    <w:basedOn w:val="TableNormal3"/>
    <w:pPr>
      <w:spacing w:after="0" w:line="240" w:lineRule="auto"/>
    </w:pPr>
    <w:tblPr>
      <w:tblStyleRowBandSize w:val="1"/>
      <w:tblStyleColBandSize w:val="1"/>
      <w:tblCellMar>
        <w:left w:w="108" w:type="dxa"/>
        <w:right w:w="108" w:type="dxa"/>
      </w:tblCellMar>
    </w:tblPr>
  </w:style>
  <w:style w:type="table" w:customStyle="1" w:styleId="afffff1">
    <w:basedOn w:val="TableNormal3"/>
    <w:pPr>
      <w:spacing w:after="0" w:line="240" w:lineRule="auto"/>
    </w:pPr>
    <w:tblPr>
      <w:tblStyleRowBandSize w:val="1"/>
      <w:tblStyleColBandSize w:val="1"/>
      <w:tblCellMar>
        <w:left w:w="108" w:type="dxa"/>
        <w:right w:w="108" w:type="dxa"/>
      </w:tblCellMar>
    </w:tblPr>
  </w:style>
  <w:style w:type="table" w:customStyle="1" w:styleId="afffff2">
    <w:basedOn w:val="TableNormal3"/>
    <w:pPr>
      <w:spacing w:after="0" w:line="240" w:lineRule="auto"/>
    </w:pPr>
    <w:tblPr>
      <w:tblStyleRowBandSize w:val="1"/>
      <w:tblStyleColBandSize w:val="1"/>
      <w:tblCellMar>
        <w:left w:w="108" w:type="dxa"/>
        <w:right w:w="108" w:type="dxa"/>
      </w:tblCellMar>
    </w:tblPr>
  </w:style>
  <w:style w:type="table" w:customStyle="1" w:styleId="afffff3">
    <w:basedOn w:val="TableNormal3"/>
    <w:pPr>
      <w:spacing w:after="0" w:line="240" w:lineRule="auto"/>
    </w:pPr>
    <w:tblPr>
      <w:tblStyleRowBandSize w:val="1"/>
      <w:tblStyleColBandSize w:val="1"/>
      <w:tblCellMar>
        <w:left w:w="108" w:type="dxa"/>
        <w:right w:w="108" w:type="dxa"/>
      </w:tblCellMar>
    </w:tblPr>
  </w:style>
  <w:style w:type="table" w:customStyle="1" w:styleId="afffff4">
    <w:basedOn w:val="TableNormal2"/>
    <w:pPr>
      <w:spacing w:after="0" w:line="240" w:lineRule="auto"/>
    </w:pPr>
    <w:tblPr>
      <w:tblStyleRowBandSize w:val="1"/>
      <w:tblStyleColBandSize w:val="1"/>
      <w:tblCellMar>
        <w:left w:w="108" w:type="dxa"/>
        <w:right w:w="108" w:type="dxa"/>
      </w:tblCellMar>
    </w:tblPr>
  </w:style>
  <w:style w:type="table" w:customStyle="1" w:styleId="afffff5">
    <w:basedOn w:val="TableNormal2"/>
    <w:pPr>
      <w:spacing w:after="0" w:line="240" w:lineRule="auto"/>
    </w:pPr>
    <w:tblPr>
      <w:tblStyleRowBandSize w:val="1"/>
      <w:tblStyleColBandSize w:val="1"/>
      <w:tblCellMar>
        <w:left w:w="108" w:type="dxa"/>
        <w:right w:w="108" w:type="dxa"/>
      </w:tblCellMar>
    </w:tblPr>
  </w:style>
  <w:style w:type="table" w:customStyle="1" w:styleId="afffff6">
    <w:basedOn w:val="TableNormal2"/>
    <w:pPr>
      <w:spacing w:after="0" w:line="240" w:lineRule="auto"/>
    </w:pPr>
    <w:tblPr>
      <w:tblStyleRowBandSize w:val="1"/>
      <w:tblStyleColBandSize w:val="1"/>
      <w:tblCellMar>
        <w:left w:w="108" w:type="dxa"/>
        <w:right w:w="108" w:type="dxa"/>
      </w:tblCellMar>
    </w:tblPr>
  </w:style>
  <w:style w:type="table" w:customStyle="1" w:styleId="afffff7">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character" w:customStyle="1" w:styleId="UnresolvedMention">
    <w:name w:val="Unresolved Mention"/>
    <w:basedOn w:val="Fuentedeprrafopredeter"/>
    <w:uiPriority w:val="99"/>
    <w:semiHidden/>
    <w:unhideWhenUsed/>
    <w:rsid w:val="006F079B"/>
    <w:rPr>
      <w:color w:val="605E5C"/>
      <w:shd w:val="clear" w:color="auto" w:fill="E1DFDD"/>
    </w:rPr>
  </w:style>
  <w:style w:type="table" w:customStyle="1" w:styleId="afffff8">
    <w:basedOn w:val="TableNormal1"/>
    <w:pPr>
      <w:spacing w:after="0" w:line="240" w:lineRule="auto"/>
    </w:pPr>
    <w:tblPr>
      <w:tblStyleRowBandSize w:val="1"/>
      <w:tblStyleColBandSize w:val="1"/>
      <w:tblCellMar>
        <w:left w:w="108" w:type="dxa"/>
        <w:right w:w="108" w:type="dxa"/>
      </w:tblCellMar>
    </w:tblPr>
  </w:style>
  <w:style w:type="table" w:customStyle="1" w:styleId="afffff9">
    <w:basedOn w:val="TableNormal1"/>
    <w:pPr>
      <w:spacing w:after="0" w:line="240" w:lineRule="auto"/>
    </w:pPr>
    <w:tblPr>
      <w:tblStyleRowBandSize w:val="1"/>
      <w:tblStyleColBandSize w:val="1"/>
      <w:tblCellMar>
        <w:left w:w="108" w:type="dxa"/>
        <w:right w:w="108" w:type="dxa"/>
      </w:tblCellMar>
    </w:tblPr>
  </w:style>
  <w:style w:type="table" w:customStyle="1" w:styleId="afffffa">
    <w:basedOn w:val="TableNormal1"/>
    <w:pPr>
      <w:spacing w:after="0" w:line="240" w:lineRule="auto"/>
    </w:pPr>
    <w:tblPr>
      <w:tblStyleRowBandSize w:val="1"/>
      <w:tblStyleColBandSize w:val="1"/>
      <w:tblCellMar>
        <w:left w:w="108" w:type="dxa"/>
        <w:right w:w="108" w:type="dxa"/>
      </w:tblCellMar>
    </w:tblPr>
  </w:style>
  <w:style w:type="table" w:customStyle="1" w:styleId="afffffb">
    <w:basedOn w:val="TableNormal1"/>
    <w:pPr>
      <w:spacing w:after="0" w:line="240" w:lineRule="auto"/>
    </w:pPr>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ffc">
    <w:basedOn w:val="TableNormal0"/>
    <w:pPr>
      <w:spacing w:after="0" w:line="240" w:lineRule="auto"/>
    </w:pPr>
    <w:tblPr>
      <w:tblStyleRowBandSize w:val="1"/>
      <w:tblStyleColBandSize w:val="1"/>
      <w:tblCellMar>
        <w:left w:w="108" w:type="dxa"/>
        <w:right w:w="108" w:type="dxa"/>
      </w:tblCellMar>
    </w:tblPr>
  </w:style>
  <w:style w:type="table" w:customStyle="1" w:styleId="afffffd">
    <w:basedOn w:val="TableNormal0"/>
    <w:pPr>
      <w:spacing w:after="0" w:line="240" w:lineRule="auto"/>
    </w:pPr>
    <w:tblPr>
      <w:tblStyleRowBandSize w:val="1"/>
      <w:tblStyleColBandSize w:val="1"/>
      <w:tblCellMar>
        <w:left w:w="108" w:type="dxa"/>
        <w:right w:w="108" w:type="dxa"/>
      </w:tblCellMar>
    </w:tblPr>
  </w:style>
  <w:style w:type="table" w:customStyle="1" w:styleId="afffffe">
    <w:basedOn w:val="TableNormal0"/>
    <w:pPr>
      <w:spacing w:after="0" w:line="240" w:lineRule="auto"/>
    </w:pPr>
    <w:tblPr>
      <w:tblStyleRowBandSize w:val="1"/>
      <w:tblStyleColBandSize w:val="1"/>
      <w:tblCellMar>
        <w:left w:w="108" w:type="dxa"/>
        <w:right w:w="108" w:type="dxa"/>
      </w:tblCellMar>
    </w:tblPr>
  </w:style>
  <w:style w:type="table" w:customStyle="1" w:styleId="affffff">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www.gob.mx/segob/renapo/acciones-y-programas/clave-unica-de-registro-de-poblacion-curp-142226" TargetMode="External"/><Relationship Id="rId4" Type="http://schemas.openxmlformats.org/officeDocument/2006/relationships/styles" Target="styles.xml"/><Relationship Id="rId9" Type="http://schemas.openxmlformats.org/officeDocument/2006/relationships/hyperlink" Target="https://consultas.curp.gob.mx/CurpSP/html/informacionecurpPS.html"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DKQFueu2tWQQOr94SJVXAocSQ==">CgMxLjAyDmgua3Q5dmNmOXJvOHZvMghoLmdqZGd4czINaC5hcXd3MXFjbnA4ZTIOaC43ejJobTFkc3RjMm4yDmguMXE1MTZwbWwyZmRyMg5oLjRvN2dxOGt5d3VsdzIJaC4yZXQ5MnAwMg5oLmhsNGdnMXJtaGptdDIOaC52b2M1dnB6Nml3a2oyDmgudmx0eDlhcHFzOXExMg5oLmZtczF0N3d1ZjdqZjIOaC53b2gwaGc4MnNhbXYyDmguc2pjN3k1djBiNnc4Mg5oLmMyYjRtaWM2MDg5ZjIOaC5odHhvNWY4cWI4NGQyDmguZWc3ZzUxb3gwMDNnMg5oLnRveTR1YnRrNTZ3NzIOaC5hcmd5MjFxbmttaHI4AHIhMTI2VnE0ZE1NcEx0YnlkLVljanhmYS1FM1lfdENEZEhN</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8B7E9CE-754E-47AE-9F40-B78731AB8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9628</Words>
  <Characters>52954</Characters>
  <Application>Microsoft Office Word</Application>
  <DocSecurity>0</DocSecurity>
  <Lines>441</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3</cp:revision>
  <cp:lastPrinted>2025-10-17T16:31:00Z</cp:lastPrinted>
  <dcterms:created xsi:type="dcterms:W3CDTF">2025-10-17T16:31:00Z</dcterms:created>
  <dcterms:modified xsi:type="dcterms:W3CDTF">2025-10-17T16:31:00Z</dcterms:modified>
</cp:coreProperties>
</file>