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93" w:rsidRPr="00B306EF" w:rsidRDefault="00281A34">
      <w:pPr>
        <w:tabs>
          <w:tab w:val="left" w:pos="3465"/>
        </w:tabs>
        <w:spacing w:line="360" w:lineRule="auto"/>
        <w:ind w:right="-787"/>
        <w:jc w:val="both"/>
        <w:rPr>
          <w:rFonts w:ascii="Palatino Linotype" w:eastAsia="Palatino Linotype" w:hAnsi="Palatino Linotype" w:cs="Palatino Linotype"/>
        </w:rPr>
      </w:pPr>
      <w:r w:rsidRPr="00B306E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(22) de enero de dos mil veinticinco.</w:t>
      </w:r>
    </w:p>
    <w:p w:rsidR="00376793" w:rsidRPr="00B306EF" w:rsidRDefault="00376793">
      <w:pPr>
        <w:tabs>
          <w:tab w:val="left" w:pos="3465"/>
        </w:tabs>
        <w:spacing w:line="360" w:lineRule="auto"/>
        <w:ind w:right="-787"/>
        <w:jc w:val="both"/>
        <w:rPr>
          <w:rFonts w:ascii="Palatino Linotype" w:eastAsia="Palatino Linotype" w:hAnsi="Palatino Linotype" w:cs="Palatino Linotype"/>
        </w:rPr>
      </w:pPr>
    </w:p>
    <w:p w:rsidR="00376793" w:rsidRPr="00B306EF" w:rsidRDefault="00281A34">
      <w:pPr>
        <w:spacing w:line="360" w:lineRule="auto"/>
        <w:ind w:right="-787"/>
        <w:jc w:val="both"/>
        <w:rPr>
          <w:rFonts w:ascii="Palatino Linotype" w:eastAsia="Palatino Linotype" w:hAnsi="Palatino Linotype" w:cs="Palatino Linotype"/>
        </w:rPr>
      </w:pPr>
      <w:r w:rsidRPr="00B306EF">
        <w:rPr>
          <w:rFonts w:ascii="Palatino Linotype" w:eastAsia="Palatino Linotype" w:hAnsi="Palatino Linotype" w:cs="Palatino Linotype"/>
          <w:b/>
        </w:rPr>
        <w:t xml:space="preserve">VISTAS </w:t>
      </w:r>
      <w:r w:rsidRPr="00B306EF">
        <w:rPr>
          <w:rFonts w:ascii="Palatino Linotype" w:eastAsia="Palatino Linotype" w:hAnsi="Palatino Linotype" w:cs="Palatino Linotype"/>
        </w:rPr>
        <w:t xml:space="preserve">las constancias para resolver el recurso de revisión </w:t>
      </w:r>
      <w:r w:rsidRPr="00B306EF">
        <w:rPr>
          <w:rFonts w:ascii="Palatino Linotype" w:eastAsia="Palatino Linotype" w:hAnsi="Palatino Linotype" w:cs="Palatino Linotype"/>
          <w:b/>
        </w:rPr>
        <w:t xml:space="preserve">07413/INFOEM/IP/RR/2024, </w:t>
      </w:r>
      <w:r w:rsidRPr="00B306EF">
        <w:rPr>
          <w:rFonts w:ascii="Palatino Linotype" w:eastAsia="Palatino Linotype" w:hAnsi="Palatino Linotype" w:cs="Palatino Linotype"/>
        </w:rPr>
        <w:t xml:space="preserve">presentado por </w:t>
      </w:r>
      <w:r w:rsidR="00D705CF" w:rsidRPr="00B306EF">
        <w:rPr>
          <w:rFonts w:ascii="Palatino Linotype" w:eastAsia="Palatino Linotype" w:hAnsi="Palatino Linotype" w:cs="Palatino Linotype"/>
          <w:color w:val="000000"/>
          <w:sz w:val="22"/>
          <w:szCs w:val="22"/>
        </w:rPr>
        <w:t>XXXXXXXX</w:t>
      </w:r>
      <w:r w:rsidRPr="00B306EF">
        <w:rPr>
          <w:rFonts w:ascii="Palatino Linotype" w:eastAsia="Palatino Linotype" w:hAnsi="Palatino Linotype" w:cs="Palatino Linotype"/>
          <w:b/>
        </w:rPr>
        <w:t>,</w:t>
      </w:r>
      <w:r w:rsidRPr="00B306EF">
        <w:rPr>
          <w:rFonts w:ascii="Palatino Linotype" w:eastAsia="Palatino Linotype" w:hAnsi="Palatino Linotype" w:cs="Palatino Linotype"/>
        </w:rPr>
        <w:t xml:space="preserve"> en lo sucesivo</w:t>
      </w:r>
      <w:r w:rsidR="00637E61" w:rsidRPr="00B306EF">
        <w:rPr>
          <w:rFonts w:ascii="Palatino Linotype" w:eastAsia="Palatino Linotype" w:hAnsi="Palatino Linotype" w:cs="Palatino Linotype"/>
        </w:rPr>
        <w:t xml:space="preserve"> se denominará como</w:t>
      </w:r>
      <w:r w:rsidRPr="00B306EF">
        <w:rPr>
          <w:rFonts w:ascii="Palatino Linotype" w:eastAsia="Palatino Linotype" w:hAnsi="Palatino Linotype" w:cs="Palatino Linotype"/>
        </w:rPr>
        <w:t xml:space="preserve"> </w:t>
      </w:r>
      <w:r w:rsidRPr="00B306EF">
        <w:rPr>
          <w:rFonts w:ascii="Palatino Linotype" w:eastAsia="Palatino Linotype" w:hAnsi="Palatino Linotype" w:cs="Palatino Linotype"/>
          <w:b/>
        </w:rPr>
        <w:t>LA RECURRENTE</w:t>
      </w:r>
      <w:r w:rsidRPr="00B306EF">
        <w:rPr>
          <w:rFonts w:ascii="Palatino Linotype" w:eastAsia="Palatino Linotype" w:hAnsi="Palatino Linotype" w:cs="Palatino Linotype"/>
        </w:rPr>
        <w:t xml:space="preserve">, en contra de la respuesta otorgada a la solicitud de información con número de folio </w:t>
      </w:r>
      <w:r w:rsidRPr="00B306EF">
        <w:rPr>
          <w:rFonts w:ascii="Palatino Linotype" w:eastAsia="Palatino Linotype" w:hAnsi="Palatino Linotype" w:cs="Palatino Linotype"/>
          <w:b/>
        </w:rPr>
        <w:t>00245/CHALCO/IP/2024</w:t>
      </w:r>
      <w:r w:rsidR="00637E61" w:rsidRPr="00B306EF">
        <w:rPr>
          <w:rFonts w:ascii="Palatino Linotype" w:eastAsia="Palatino Linotype" w:hAnsi="Palatino Linotype" w:cs="Palatino Linotype"/>
        </w:rPr>
        <w:t>, por parte del</w:t>
      </w:r>
      <w:r w:rsidRPr="00B306EF">
        <w:rPr>
          <w:rFonts w:ascii="Palatino Linotype" w:eastAsia="Palatino Linotype" w:hAnsi="Palatino Linotype" w:cs="Palatino Linotype"/>
        </w:rPr>
        <w:t xml:space="preserve"> </w:t>
      </w:r>
      <w:r w:rsidRPr="00B306EF">
        <w:rPr>
          <w:rFonts w:ascii="Palatino Linotype" w:eastAsia="Palatino Linotype" w:hAnsi="Palatino Linotype" w:cs="Palatino Linotype"/>
          <w:b/>
        </w:rPr>
        <w:t xml:space="preserve">Ayuntamiento de Chalco, </w:t>
      </w:r>
      <w:r w:rsidRPr="00B306EF">
        <w:rPr>
          <w:rFonts w:ascii="Palatino Linotype" w:eastAsia="Palatino Linotype" w:hAnsi="Palatino Linotype" w:cs="Palatino Linotype"/>
        </w:rPr>
        <w:t xml:space="preserve">en adelante el </w:t>
      </w:r>
      <w:r w:rsidRPr="00B306EF">
        <w:rPr>
          <w:rFonts w:ascii="Palatino Linotype" w:eastAsia="Palatino Linotype" w:hAnsi="Palatino Linotype" w:cs="Palatino Linotype"/>
          <w:b/>
        </w:rPr>
        <w:t>SUJETO OBLIGADO,</w:t>
      </w:r>
      <w:r w:rsidRPr="00B306EF">
        <w:rPr>
          <w:rFonts w:ascii="Palatino Linotype" w:eastAsia="Palatino Linotype" w:hAnsi="Palatino Linotype" w:cs="Palatino Linotype"/>
        </w:rPr>
        <w:t xml:space="preserve"> se emite la presente resolución con base en los siguientes:</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B306EF">
        <w:rPr>
          <w:rFonts w:ascii="Palatino Linotype" w:eastAsia="Palatino Linotype" w:hAnsi="Palatino Linotype" w:cs="Palatino Linotype"/>
          <w:b/>
          <w:color w:val="000000"/>
          <w:sz w:val="24"/>
          <w:szCs w:val="24"/>
        </w:rPr>
        <w:t>A N T E C E D E N T E S</w:t>
      </w:r>
    </w:p>
    <w:p w:rsidR="00376793" w:rsidRPr="00B306EF" w:rsidRDefault="00376793">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rsidR="00376793" w:rsidRPr="00B306EF" w:rsidRDefault="00281A34">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306EF">
        <w:rPr>
          <w:rFonts w:ascii="Palatino Linotype" w:eastAsia="Palatino Linotype" w:hAnsi="Palatino Linotype" w:cs="Palatino Linotype"/>
          <w:color w:val="000000"/>
        </w:rPr>
        <w:t>El día</w:t>
      </w:r>
      <w:r w:rsidRPr="00B306EF">
        <w:rPr>
          <w:rFonts w:ascii="Palatino Linotype" w:eastAsia="Palatino Linotype" w:hAnsi="Palatino Linotype" w:cs="Palatino Linotype"/>
          <w:b/>
          <w:color w:val="000000"/>
        </w:rPr>
        <w:t xml:space="preserve"> veinticinco de octubre de dos mil veinticuatro</w:t>
      </w:r>
      <w:r w:rsidRPr="00B306EF">
        <w:rPr>
          <w:rFonts w:ascii="Palatino Linotype" w:eastAsia="Palatino Linotype" w:hAnsi="Palatino Linotype" w:cs="Palatino Linotype"/>
          <w:color w:val="000000"/>
        </w:rPr>
        <w:t>,</w:t>
      </w:r>
      <w:r w:rsidRPr="00B306EF">
        <w:rPr>
          <w:rFonts w:ascii="Palatino Linotype" w:eastAsia="Palatino Linotype" w:hAnsi="Palatino Linotype" w:cs="Palatino Linotype"/>
          <w:b/>
          <w:color w:val="000000"/>
        </w:rPr>
        <w:t xml:space="preserve"> </w:t>
      </w:r>
      <w:r w:rsidRPr="00B306EF">
        <w:rPr>
          <w:rFonts w:ascii="Palatino Linotype" w:eastAsia="Palatino Linotype" w:hAnsi="Palatino Linotype" w:cs="Palatino Linotype"/>
          <w:color w:val="000000"/>
        </w:rPr>
        <w:t>se presentó ante el Sujeto Obligado vía Plataforma Nacional de Transparencia (PNT), vinculada al Sistema de Acceso a la Información Mexiquense, en adelante (SAIMEX), la siguiente solicitud de información pública:</w:t>
      </w:r>
    </w:p>
    <w:p w:rsidR="00376793" w:rsidRPr="00B306EF" w:rsidRDefault="0037679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76793" w:rsidRPr="00B306EF" w:rsidRDefault="00281A34">
      <w:pPr>
        <w:pBdr>
          <w:top w:val="nil"/>
          <w:left w:val="nil"/>
          <w:bottom w:val="nil"/>
          <w:right w:val="nil"/>
          <w:between w:val="nil"/>
        </w:pBdr>
        <w:spacing w:line="360" w:lineRule="auto"/>
        <w:ind w:left="426" w:right="-787"/>
        <w:jc w:val="both"/>
        <w:rPr>
          <w:rFonts w:ascii="Palatino Linotype" w:eastAsia="Palatino Linotype" w:hAnsi="Palatino Linotype" w:cs="Palatino Linotype"/>
          <w:i/>
          <w:color w:val="000000"/>
        </w:rPr>
      </w:pPr>
      <w:r w:rsidRPr="00B306EF">
        <w:rPr>
          <w:rFonts w:ascii="Palatino Linotype" w:eastAsia="Palatino Linotype" w:hAnsi="Palatino Linotype" w:cs="Palatino Linotype"/>
          <w:i/>
          <w:color w:val="000000"/>
        </w:rPr>
        <w:t xml:space="preserve">“Nos rinda resolución de los diversos trámites administrativos llevados ante desarrollo urbano del municipio de Chalco. Puesto desde </w:t>
      </w:r>
      <w:proofErr w:type="spellStart"/>
      <w:r w:rsidRPr="00B306EF">
        <w:rPr>
          <w:rFonts w:ascii="Palatino Linotype" w:eastAsia="Palatino Linotype" w:hAnsi="Palatino Linotype" w:cs="Palatino Linotype"/>
          <w:i/>
          <w:color w:val="000000"/>
        </w:rPr>
        <w:t>el.mes</w:t>
      </w:r>
      <w:proofErr w:type="spellEnd"/>
      <w:r w:rsidRPr="00B306EF">
        <w:rPr>
          <w:rFonts w:ascii="Palatino Linotype" w:eastAsia="Palatino Linotype" w:hAnsi="Palatino Linotype" w:cs="Palatino Linotype"/>
          <w:i/>
          <w:color w:val="000000"/>
        </w:rPr>
        <w:t xml:space="preserve"> de junio se llevó acabo la garantía de audiencia y se manifestó como establece el </w:t>
      </w:r>
      <w:proofErr w:type="spellStart"/>
      <w:r w:rsidRPr="00B306EF">
        <w:rPr>
          <w:rFonts w:ascii="Palatino Linotype" w:eastAsia="Palatino Linotype" w:hAnsi="Palatino Linotype" w:cs="Palatino Linotype"/>
          <w:i/>
          <w:color w:val="000000"/>
        </w:rPr>
        <w:t>codigo</w:t>
      </w:r>
      <w:proofErr w:type="spellEnd"/>
      <w:r w:rsidRPr="00B306EF">
        <w:rPr>
          <w:rFonts w:ascii="Palatino Linotype" w:eastAsia="Palatino Linotype" w:hAnsi="Palatino Linotype" w:cs="Palatino Linotype"/>
          <w:i/>
          <w:color w:val="000000"/>
        </w:rPr>
        <w:t xml:space="preserve"> de procedimientos administrativos tenía 15 días hábiles para resolver. Hasta el día de hoy 25 de octubre sigue dilatando la </w:t>
      </w:r>
      <w:proofErr w:type="spellStart"/>
      <w:r w:rsidRPr="00B306EF">
        <w:rPr>
          <w:rFonts w:ascii="Palatino Linotype" w:eastAsia="Palatino Linotype" w:hAnsi="Palatino Linotype" w:cs="Palatino Linotype"/>
          <w:i/>
          <w:color w:val="000000"/>
        </w:rPr>
        <w:t>resolucion</w:t>
      </w:r>
      <w:proofErr w:type="spellEnd"/>
      <w:r w:rsidRPr="00B306EF">
        <w:rPr>
          <w:rFonts w:ascii="Palatino Linotype" w:eastAsia="Palatino Linotype" w:hAnsi="Palatino Linotype" w:cs="Palatino Linotype"/>
          <w:i/>
          <w:color w:val="000000"/>
        </w:rPr>
        <w:t xml:space="preserve"> sin justificación alguna la subdirectora de desarrollo urbano Lic. Reyna Guerrero. Sin emitir resolución y retrasando la demolición de las diversas construcciones </w:t>
      </w:r>
      <w:proofErr w:type="spellStart"/>
      <w:r w:rsidRPr="00B306EF">
        <w:rPr>
          <w:rFonts w:ascii="Palatino Linotype" w:eastAsia="Palatino Linotype" w:hAnsi="Palatino Linotype" w:cs="Palatino Linotype"/>
          <w:i/>
          <w:color w:val="000000"/>
        </w:rPr>
        <w:t>irregulare</w:t>
      </w:r>
      <w:proofErr w:type="spellEnd"/>
      <w:r w:rsidRPr="00B306EF">
        <w:rPr>
          <w:rFonts w:ascii="Palatino Linotype" w:eastAsia="Palatino Linotype" w:hAnsi="Palatino Linotype" w:cs="Palatino Linotype"/>
          <w:i/>
          <w:color w:val="000000"/>
        </w:rPr>
        <w:t xml:space="preserve"> que se encuentran dentro </w:t>
      </w:r>
      <w:proofErr w:type="spellStart"/>
      <w:r w:rsidRPr="00B306EF">
        <w:rPr>
          <w:rFonts w:ascii="Palatino Linotype" w:eastAsia="Palatino Linotype" w:hAnsi="Palatino Linotype" w:cs="Palatino Linotype"/>
          <w:i/>
          <w:color w:val="000000"/>
        </w:rPr>
        <w:t>de el</w:t>
      </w:r>
      <w:proofErr w:type="spellEnd"/>
      <w:r w:rsidRPr="00B306EF">
        <w:rPr>
          <w:rFonts w:ascii="Palatino Linotype" w:eastAsia="Palatino Linotype" w:hAnsi="Palatino Linotype" w:cs="Palatino Linotype"/>
          <w:i/>
          <w:color w:val="000000"/>
        </w:rPr>
        <w:t xml:space="preserve"> inmueble propiedad de </w:t>
      </w:r>
      <w:r w:rsidR="00D705CF" w:rsidRPr="00B306EF">
        <w:rPr>
          <w:rFonts w:ascii="Palatino Linotype" w:eastAsia="Palatino Linotype" w:hAnsi="Palatino Linotype" w:cs="Palatino Linotype"/>
          <w:i/>
          <w:color w:val="000000"/>
        </w:rPr>
        <w:t>XXXXXXXX</w:t>
      </w:r>
      <w:r w:rsidRPr="00B306EF">
        <w:rPr>
          <w:rFonts w:ascii="Palatino Linotype" w:eastAsia="Palatino Linotype" w:hAnsi="Palatino Linotype" w:cs="Palatino Linotype"/>
          <w:i/>
          <w:color w:val="000000"/>
        </w:rPr>
        <w:t>.”</w:t>
      </w:r>
    </w:p>
    <w:p w:rsidR="00376793" w:rsidRPr="00B306EF" w:rsidRDefault="00281A34">
      <w:pPr>
        <w:numPr>
          <w:ilvl w:val="0"/>
          <w:numId w:val="4"/>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B306EF">
        <w:rPr>
          <w:rFonts w:ascii="Palatino Linotype" w:eastAsia="Palatino Linotype" w:hAnsi="Palatino Linotype" w:cs="Palatino Linotype"/>
          <w:color w:val="000000"/>
        </w:rPr>
        <w:lastRenderedPageBreak/>
        <w:t>Se adjuntó copia de una garantía de audiencia relacionada con un procedimiento administrativo común.</w:t>
      </w:r>
    </w:p>
    <w:p w:rsidR="00376793" w:rsidRPr="00B306EF" w:rsidRDefault="00376793">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376793" w:rsidRPr="00B306EF" w:rsidRDefault="00281A34">
      <w:pPr>
        <w:numPr>
          <w:ilvl w:val="0"/>
          <w:numId w:val="4"/>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B306EF">
        <w:rPr>
          <w:rFonts w:ascii="Palatino Linotype" w:eastAsia="Palatino Linotype" w:hAnsi="Palatino Linotype" w:cs="Palatino Linotype"/>
          <w:color w:val="000000"/>
        </w:rPr>
        <w:t xml:space="preserve">Se eligió como modalidad de entrega de la información: A través del </w:t>
      </w:r>
      <w:r w:rsidRPr="00B306EF">
        <w:rPr>
          <w:rFonts w:ascii="Palatino Linotype" w:eastAsia="Palatino Linotype" w:hAnsi="Palatino Linotype" w:cs="Palatino Linotype"/>
          <w:b/>
          <w:color w:val="000000"/>
        </w:rPr>
        <w:t xml:space="preserve">SAIMEX </w:t>
      </w:r>
      <w:r w:rsidRPr="00B306EF">
        <w:rPr>
          <w:rFonts w:ascii="Palatino Linotype" w:eastAsia="Palatino Linotype" w:hAnsi="Palatino Linotype" w:cs="Palatino Linotype"/>
          <w:color w:val="000000"/>
        </w:rPr>
        <w:t>y</w:t>
      </w:r>
      <w:r w:rsidRPr="00B306EF">
        <w:rPr>
          <w:rFonts w:ascii="Palatino Linotype" w:eastAsia="Palatino Linotype" w:hAnsi="Palatino Linotype" w:cs="Palatino Linotype"/>
          <w:b/>
          <w:color w:val="000000"/>
        </w:rPr>
        <w:t xml:space="preserve"> correo electrónico.</w:t>
      </w:r>
    </w:p>
    <w:p w:rsidR="00376793" w:rsidRPr="00B306EF" w:rsidRDefault="00376793">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376793" w:rsidRPr="00B306EF" w:rsidRDefault="00281A34">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r w:rsidRPr="00B306EF">
        <w:rPr>
          <w:rFonts w:ascii="Palatino Linotype" w:eastAsia="Palatino Linotype" w:hAnsi="Palatino Linotype" w:cs="Palatino Linotype"/>
          <w:color w:val="000000"/>
        </w:rPr>
        <w:t xml:space="preserve">El </w:t>
      </w:r>
      <w:r w:rsidRPr="00B306EF">
        <w:rPr>
          <w:rFonts w:ascii="Palatino Linotype" w:eastAsia="Palatino Linotype" w:hAnsi="Palatino Linotype" w:cs="Palatino Linotype"/>
          <w:b/>
          <w:color w:val="000000"/>
        </w:rPr>
        <w:t>ocho de noviembre de dos mil veinticuatro</w:t>
      </w:r>
      <w:r w:rsidRPr="00B306EF">
        <w:rPr>
          <w:rFonts w:ascii="Palatino Linotype" w:eastAsia="Palatino Linotype" w:hAnsi="Palatino Linotype" w:cs="Palatino Linotype"/>
          <w:color w:val="000000"/>
        </w:rPr>
        <w:t>, el Sujeto Obligado</w:t>
      </w:r>
      <w:r w:rsidRPr="00B306EF">
        <w:rPr>
          <w:rFonts w:ascii="Palatino Linotype" w:eastAsia="Palatino Linotype" w:hAnsi="Palatino Linotype" w:cs="Palatino Linotype"/>
          <w:b/>
          <w:color w:val="000000"/>
        </w:rPr>
        <w:t>,</w:t>
      </w:r>
      <w:r w:rsidRPr="00B306EF">
        <w:rPr>
          <w:rFonts w:ascii="Palatino Linotype" w:eastAsia="Palatino Linotype" w:hAnsi="Palatino Linotype" w:cs="Palatino Linotype"/>
          <w:color w:val="000000"/>
        </w:rPr>
        <w:t xml:space="preserve"> dio respuesta a través del escrito siguiente:</w:t>
      </w:r>
    </w:p>
    <w:p w:rsidR="00376793" w:rsidRPr="00B306EF" w:rsidRDefault="00281A34">
      <w:pPr>
        <w:spacing w:line="360" w:lineRule="auto"/>
        <w:ind w:left="426" w:right="-787"/>
        <w:jc w:val="both"/>
        <w:rPr>
          <w:rFonts w:ascii="Palatino Linotype" w:eastAsia="Palatino Linotype" w:hAnsi="Palatino Linotype" w:cs="Palatino Linotype"/>
          <w:i/>
          <w:color w:val="000000"/>
          <w:sz w:val="22"/>
          <w:szCs w:val="22"/>
        </w:rPr>
      </w:pPr>
      <w:r w:rsidRPr="00B306EF">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376793" w:rsidRPr="00B306EF" w:rsidRDefault="00281A34">
      <w:pPr>
        <w:spacing w:line="360" w:lineRule="auto"/>
        <w:ind w:left="426" w:right="-787"/>
        <w:jc w:val="both"/>
        <w:rPr>
          <w:rFonts w:ascii="Palatino Linotype" w:eastAsia="Palatino Linotype" w:hAnsi="Palatino Linotype" w:cs="Palatino Linotype"/>
          <w:i/>
          <w:color w:val="000000"/>
          <w:sz w:val="22"/>
          <w:szCs w:val="22"/>
        </w:rPr>
      </w:pPr>
      <w:r w:rsidRPr="00B306EF">
        <w:rPr>
          <w:rFonts w:ascii="Palatino Linotype" w:eastAsia="Palatino Linotype" w:hAnsi="Palatino Linotype" w:cs="Palatino Linotype"/>
          <w:i/>
          <w:color w:val="000000"/>
          <w:sz w:val="22"/>
          <w:szCs w:val="22"/>
        </w:rPr>
        <w:t>En seguimiento a la solicitud de información registrada con el número de folio 00245/CHALCO/IP/2024, al respecto le informo que, el responsable de atender su requerimiento de información fue el Lic. Bernardo Martínez Palma, Director de Desarrollo Urbano, quien emitió respuesta en los siguientes términos: “Al respecto, hago de su conocimiento que una vez que se agoten las etapas procesales que marca la ley y no exista prueba pendiente por desahogar, se emitirá la resolución correspondiente apegada a derecho, por lo que nos vemos imposibilitados para atender de manera satisfactoria la petición del o la solicitante.” (Sic)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p w:rsidR="00376793" w:rsidRPr="00B306EF" w:rsidRDefault="00376793">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376793" w:rsidRPr="00B306EF" w:rsidRDefault="00376793">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376793" w:rsidRPr="00B306EF" w:rsidRDefault="00281A34">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306EF">
        <w:rPr>
          <w:rFonts w:ascii="Palatino Linotype" w:eastAsia="Palatino Linotype" w:hAnsi="Palatino Linotype" w:cs="Palatino Linotype"/>
          <w:color w:val="000000"/>
        </w:rPr>
        <w:lastRenderedPageBreak/>
        <w:t>El</w:t>
      </w:r>
      <w:r w:rsidRPr="00B306EF">
        <w:rPr>
          <w:rFonts w:ascii="Palatino Linotype" w:eastAsia="Palatino Linotype" w:hAnsi="Palatino Linotype" w:cs="Palatino Linotype"/>
          <w:b/>
          <w:color w:val="000000"/>
        </w:rPr>
        <w:t xml:space="preserve"> veintinueve de noviembre de dos mil veinticuatro</w:t>
      </w:r>
      <w:r w:rsidRPr="00B306EF">
        <w:rPr>
          <w:rFonts w:ascii="Palatino Linotype" w:eastAsia="Palatino Linotype" w:hAnsi="Palatino Linotype" w:cs="Palatino Linotype"/>
          <w:color w:val="000000"/>
        </w:rPr>
        <w:t>, el particular interpuso el recurso de revisión en contra de la respuesta, realizando las siguientes manifestaciones:</w:t>
      </w:r>
    </w:p>
    <w:p w:rsidR="00376793" w:rsidRPr="00B306EF" w:rsidRDefault="00281A34">
      <w:pPr>
        <w:numPr>
          <w:ilvl w:val="0"/>
          <w:numId w:val="3"/>
        </w:numPr>
        <w:pBdr>
          <w:top w:val="nil"/>
          <w:left w:val="nil"/>
          <w:bottom w:val="nil"/>
          <w:right w:val="nil"/>
          <w:between w:val="nil"/>
        </w:pBdr>
        <w:spacing w:line="360" w:lineRule="auto"/>
        <w:ind w:right="-220" w:hanging="360"/>
        <w:jc w:val="both"/>
        <w:rPr>
          <w:rFonts w:ascii="Palatino Linotype" w:eastAsia="Palatino Linotype" w:hAnsi="Palatino Linotype" w:cs="Palatino Linotype"/>
          <w:i/>
          <w:color w:val="000000"/>
          <w:sz w:val="22"/>
          <w:szCs w:val="22"/>
        </w:rPr>
      </w:pPr>
      <w:bookmarkStart w:id="1" w:name="_heading=h.30j0zll" w:colFirst="0" w:colLast="0"/>
      <w:bookmarkEnd w:id="1"/>
      <w:r w:rsidRPr="00B306EF">
        <w:rPr>
          <w:rFonts w:ascii="Palatino Linotype" w:eastAsia="Palatino Linotype" w:hAnsi="Palatino Linotype" w:cs="Palatino Linotype"/>
          <w:b/>
          <w:color w:val="000000"/>
          <w:sz w:val="22"/>
          <w:szCs w:val="22"/>
        </w:rPr>
        <w:t xml:space="preserve">ACTO IMPUGNADO: </w:t>
      </w:r>
      <w:r w:rsidRPr="00B306EF">
        <w:rPr>
          <w:rFonts w:ascii="Palatino Linotype" w:eastAsia="Palatino Linotype" w:hAnsi="Palatino Linotype" w:cs="Palatino Linotype"/>
          <w:i/>
          <w:color w:val="000000"/>
          <w:sz w:val="22"/>
          <w:szCs w:val="22"/>
        </w:rPr>
        <w:t xml:space="preserve">“Solicito se me informe por qué no han sido resueltas si no existen pruebas pendientes de las carpetas administrativas llevadas ante Desarrollo urbano del municipio de Chalco. Y si se resolvieron que nos expidan constancia. Se anexa a la presente copia de la garantía de audiencia de 10 de junio de 2024 y que a la fecha se sigue dilatando el proceso y violando el derecho humano de </w:t>
      </w:r>
      <w:r w:rsidR="00D705CF" w:rsidRPr="00B306EF">
        <w:rPr>
          <w:rFonts w:ascii="Palatino Linotype" w:eastAsia="Palatino Linotype" w:hAnsi="Palatino Linotype" w:cs="Palatino Linotype"/>
          <w:i/>
          <w:color w:val="000000"/>
          <w:sz w:val="22"/>
          <w:szCs w:val="22"/>
        </w:rPr>
        <w:t>XXXXXXXXXXXX</w:t>
      </w:r>
      <w:r w:rsidRPr="00B306EF">
        <w:rPr>
          <w:rFonts w:ascii="Palatino Linotype" w:eastAsia="Palatino Linotype" w:hAnsi="Palatino Linotype" w:cs="Palatino Linotype"/>
          <w:i/>
          <w:color w:val="000000"/>
          <w:sz w:val="22"/>
          <w:szCs w:val="22"/>
        </w:rPr>
        <w:t>.”</w:t>
      </w:r>
    </w:p>
    <w:p w:rsidR="00376793" w:rsidRPr="00B306EF" w:rsidRDefault="00281A34">
      <w:pPr>
        <w:numPr>
          <w:ilvl w:val="0"/>
          <w:numId w:val="3"/>
        </w:numPr>
        <w:pBdr>
          <w:top w:val="nil"/>
          <w:left w:val="nil"/>
          <w:bottom w:val="nil"/>
          <w:right w:val="nil"/>
          <w:between w:val="nil"/>
        </w:pBdr>
        <w:spacing w:line="360" w:lineRule="auto"/>
        <w:ind w:right="-220" w:hanging="360"/>
        <w:jc w:val="both"/>
        <w:rPr>
          <w:rFonts w:ascii="Palatino Linotype" w:eastAsia="Palatino Linotype" w:hAnsi="Palatino Linotype" w:cs="Palatino Linotype"/>
          <w:i/>
          <w:color w:val="000000"/>
          <w:sz w:val="22"/>
          <w:szCs w:val="22"/>
        </w:rPr>
      </w:pPr>
      <w:r w:rsidRPr="00B306EF">
        <w:rPr>
          <w:rFonts w:ascii="Palatino Linotype" w:eastAsia="Palatino Linotype" w:hAnsi="Palatino Linotype" w:cs="Palatino Linotype"/>
          <w:b/>
          <w:color w:val="000000"/>
          <w:sz w:val="22"/>
          <w:szCs w:val="22"/>
        </w:rPr>
        <w:t xml:space="preserve">RAZONES O MOTIVOS DE LA INCONFORMIDAD: </w:t>
      </w:r>
      <w:r w:rsidRPr="00B306EF">
        <w:rPr>
          <w:rFonts w:ascii="Palatino Linotype" w:eastAsia="Palatino Linotype" w:hAnsi="Palatino Linotype" w:cs="Palatino Linotype"/>
          <w:i/>
          <w:color w:val="000000"/>
          <w:sz w:val="22"/>
          <w:szCs w:val="22"/>
        </w:rPr>
        <w:t xml:space="preserve">“Si existe las carpetas y autoridades y procesos administrativos y se siguen dilatando violando en derecho humano de </w:t>
      </w:r>
      <w:r w:rsidR="00D705CF" w:rsidRPr="00B306EF">
        <w:rPr>
          <w:rFonts w:ascii="Palatino Linotype" w:eastAsia="Palatino Linotype" w:hAnsi="Palatino Linotype" w:cs="Palatino Linotype"/>
          <w:i/>
          <w:color w:val="000000"/>
          <w:sz w:val="22"/>
          <w:szCs w:val="22"/>
        </w:rPr>
        <w:t>XXXXXXXXX</w:t>
      </w:r>
      <w:r w:rsidRPr="00B306EF">
        <w:rPr>
          <w:rFonts w:ascii="Palatino Linotype" w:eastAsia="Palatino Linotype" w:hAnsi="Palatino Linotype" w:cs="Palatino Linotype"/>
          <w:i/>
          <w:color w:val="000000"/>
          <w:sz w:val="22"/>
          <w:szCs w:val="22"/>
        </w:rPr>
        <w:t>. La cuál de anexa a la presente para su conocimiento.”</w:t>
      </w:r>
    </w:p>
    <w:p w:rsidR="00376793" w:rsidRPr="00B306EF" w:rsidRDefault="00281A34">
      <w:pPr>
        <w:numPr>
          <w:ilvl w:val="0"/>
          <w:numId w:val="3"/>
        </w:numPr>
        <w:pBdr>
          <w:top w:val="nil"/>
          <w:left w:val="nil"/>
          <w:bottom w:val="nil"/>
          <w:right w:val="nil"/>
          <w:between w:val="nil"/>
        </w:pBdr>
        <w:spacing w:line="360" w:lineRule="auto"/>
        <w:ind w:right="-220" w:hanging="360"/>
        <w:jc w:val="both"/>
        <w:rPr>
          <w:rFonts w:ascii="Palatino Linotype" w:eastAsia="Palatino Linotype" w:hAnsi="Palatino Linotype" w:cs="Palatino Linotype"/>
          <w:i/>
          <w:color w:val="000000"/>
          <w:sz w:val="22"/>
          <w:szCs w:val="22"/>
        </w:rPr>
      </w:pPr>
      <w:r w:rsidRPr="00B306EF">
        <w:rPr>
          <w:rFonts w:ascii="Palatino Linotype" w:eastAsia="Palatino Linotype" w:hAnsi="Palatino Linotype" w:cs="Palatino Linotype"/>
          <w:color w:val="000000"/>
          <w:sz w:val="22"/>
          <w:szCs w:val="22"/>
        </w:rPr>
        <w:t>Se adjuntan cuatro archivos que conciernen a la garantía de audiencia aludida en el anexo de la solicitud de información inicial, que por contener datos personales y ya ser del conocimiento de las partes se omite su inserción.</w:t>
      </w:r>
    </w:p>
    <w:p w:rsidR="00376793" w:rsidRPr="00B306EF" w:rsidRDefault="00376793">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376793" w:rsidRPr="00B306EF" w:rsidRDefault="00281A34">
      <w:pPr>
        <w:numPr>
          <w:ilvl w:val="0"/>
          <w:numId w:val="1"/>
        </w:numPr>
        <w:pBdr>
          <w:top w:val="nil"/>
          <w:left w:val="nil"/>
          <w:bottom w:val="nil"/>
          <w:right w:val="nil"/>
          <w:between w:val="nil"/>
        </w:pBdr>
        <w:spacing w:line="360" w:lineRule="auto"/>
        <w:ind w:left="0" w:right="-787" w:firstLine="0"/>
        <w:jc w:val="both"/>
        <w:rPr>
          <w:color w:val="000000"/>
        </w:rPr>
      </w:pPr>
      <w:r w:rsidRPr="00B306EF">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rsidR="00376793" w:rsidRPr="00B306EF" w:rsidRDefault="0037679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76793" w:rsidRPr="00B306EF" w:rsidRDefault="00281A34">
      <w:pPr>
        <w:numPr>
          <w:ilvl w:val="0"/>
          <w:numId w:val="1"/>
        </w:numPr>
        <w:pBdr>
          <w:top w:val="nil"/>
          <w:left w:val="nil"/>
          <w:bottom w:val="nil"/>
          <w:right w:val="nil"/>
          <w:between w:val="nil"/>
        </w:pBdr>
        <w:spacing w:line="360" w:lineRule="auto"/>
        <w:ind w:left="0" w:right="-787" w:firstLine="0"/>
        <w:jc w:val="both"/>
        <w:rPr>
          <w:color w:val="000000"/>
        </w:rPr>
      </w:pPr>
      <w:r w:rsidRPr="00B306EF">
        <w:rPr>
          <w:rFonts w:ascii="Palatino Linotype" w:eastAsia="Palatino Linotype" w:hAnsi="Palatino Linotype" w:cs="Palatino Linotype"/>
          <w:color w:val="000000"/>
        </w:rPr>
        <w:t xml:space="preserve">El particular fue omiso en realizar manifestaciones que a su derecho conviniera y asistiera. Por su parte el </w:t>
      </w:r>
      <w:r w:rsidRPr="00B306EF">
        <w:rPr>
          <w:rFonts w:ascii="Palatino Linotype" w:eastAsia="Palatino Linotype" w:hAnsi="Palatino Linotype" w:cs="Palatino Linotype"/>
          <w:b/>
          <w:color w:val="000000"/>
        </w:rPr>
        <w:t>SUJETO PUBLICO</w:t>
      </w:r>
      <w:r w:rsidRPr="00B306EF">
        <w:rPr>
          <w:rFonts w:ascii="Palatino Linotype" w:eastAsia="Palatino Linotype" w:hAnsi="Palatino Linotype" w:cs="Palatino Linotype"/>
          <w:color w:val="000000"/>
        </w:rPr>
        <w:t xml:space="preserve"> remitió un escrito signado por el Encargado de Despacho de la Unidad de Prevención de la Corrupción y Responsable de la Unidad de Transparencia en el que refrenda su respuesta inicial sin agregar elementos novedosos que la revoquen o modifiquen.</w:t>
      </w:r>
    </w:p>
    <w:p w:rsidR="00376793" w:rsidRPr="00B306EF" w:rsidRDefault="00281A34">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2" w:name="_heading=h.1fob9te" w:colFirst="0" w:colLast="0"/>
      <w:bookmarkEnd w:id="2"/>
      <w:r w:rsidRPr="00B306EF">
        <w:rPr>
          <w:rFonts w:ascii="Palatino Linotype" w:eastAsia="Palatino Linotype" w:hAnsi="Palatino Linotype" w:cs="Palatino Linotype"/>
          <w:color w:val="000000"/>
        </w:rPr>
        <w:lastRenderedPageBreak/>
        <w:t xml:space="preserve">En fecha </w:t>
      </w:r>
      <w:r w:rsidRPr="00B306EF">
        <w:rPr>
          <w:rFonts w:ascii="Palatino Linotype" w:eastAsia="Palatino Linotype" w:hAnsi="Palatino Linotype" w:cs="Palatino Linotype"/>
          <w:b/>
          <w:color w:val="000000"/>
        </w:rPr>
        <w:t>veintidós de enero de dos mil veinticinco</w:t>
      </w:r>
      <w:r w:rsidRPr="00B306EF">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376793" w:rsidRPr="00B306EF" w:rsidRDefault="0037679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376793" w:rsidRPr="00B306EF" w:rsidRDefault="00281A3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B306EF">
        <w:rPr>
          <w:rFonts w:ascii="Palatino Linotype" w:eastAsia="Palatino Linotype" w:hAnsi="Palatino Linotype" w:cs="Palatino Linotype"/>
          <w:b/>
          <w:color w:val="000000"/>
        </w:rPr>
        <w:t>C O N S I D E R A C I O N E S</w:t>
      </w:r>
    </w:p>
    <w:p w:rsidR="00376793" w:rsidRPr="00B306EF" w:rsidRDefault="0037679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376793" w:rsidRPr="00B306EF" w:rsidRDefault="00281A34">
      <w:pPr>
        <w:pStyle w:val="Ttulo2"/>
        <w:spacing w:before="0" w:line="360" w:lineRule="auto"/>
        <w:ind w:right="-787"/>
        <w:rPr>
          <w:rFonts w:ascii="Palatino Linotype" w:eastAsia="Palatino Linotype" w:hAnsi="Palatino Linotype" w:cs="Palatino Linotype"/>
          <w:b/>
          <w:color w:val="000000"/>
          <w:sz w:val="24"/>
          <w:szCs w:val="24"/>
        </w:rPr>
      </w:pPr>
      <w:bookmarkStart w:id="3" w:name="_heading=h.3znysh7" w:colFirst="0" w:colLast="0"/>
      <w:bookmarkEnd w:id="3"/>
      <w:r w:rsidRPr="00B306EF">
        <w:rPr>
          <w:rFonts w:ascii="Palatino Linotype" w:eastAsia="Palatino Linotype" w:hAnsi="Palatino Linotype" w:cs="Palatino Linotype"/>
          <w:b/>
          <w:color w:val="000000"/>
          <w:sz w:val="24"/>
          <w:szCs w:val="24"/>
        </w:rPr>
        <w:t>PRIMERA. Competencia</w:t>
      </w:r>
    </w:p>
    <w:p w:rsidR="00376793" w:rsidRPr="00B306EF" w:rsidRDefault="00281A34">
      <w:pPr>
        <w:numPr>
          <w:ilvl w:val="0"/>
          <w:numId w:val="1"/>
        </w:numPr>
        <w:pBdr>
          <w:top w:val="nil"/>
          <w:left w:val="nil"/>
          <w:bottom w:val="nil"/>
          <w:right w:val="nil"/>
          <w:between w:val="nil"/>
        </w:pBdr>
        <w:spacing w:line="360" w:lineRule="auto"/>
        <w:ind w:left="0" w:right="-787" w:firstLine="0"/>
        <w:jc w:val="both"/>
        <w:rPr>
          <w:color w:val="000000"/>
        </w:rPr>
      </w:pPr>
      <w:r w:rsidRPr="00B306EF">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376793" w:rsidRPr="00B306EF" w:rsidRDefault="0037679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76793" w:rsidRPr="00B306EF" w:rsidRDefault="00281A34">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B306EF">
        <w:rPr>
          <w:rFonts w:ascii="Palatino Linotype" w:eastAsia="Palatino Linotype" w:hAnsi="Palatino Linotype" w:cs="Palatino Linotype"/>
          <w:b/>
          <w:color w:val="000000"/>
          <w:sz w:val="24"/>
          <w:szCs w:val="24"/>
        </w:rPr>
        <w:t>SEGUNDA. Procedencia.</w:t>
      </w: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Este Órgano Garante considera que el medio de impugnación reúne los requisitos de procedencia </w:t>
      </w:r>
      <w:r w:rsidRPr="00B306EF">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sidRPr="00B306EF">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376793" w:rsidRPr="00B306EF" w:rsidRDefault="00376793">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376793" w:rsidRPr="00B306EF" w:rsidRDefault="00281A34">
      <w:pPr>
        <w:pStyle w:val="Ttulo1"/>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B306EF">
        <w:rPr>
          <w:rFonts w:ascii="Palatino Linotype" w:eastAsia="Palatino Linotype" w:hAnsi="Palatino Linotype" w:cs="Palatino Linotype"/>
          <w:b/>
          <w:color w:val="000000"/>
          <w:sz w:val="24"/>
          <w:szCs w:val="24"/>
        </w:rPr>
        <w:t>TERCERA. De las causales de sobreseimiento</w:t>
      </w:r>
    </w:p>
    <w:p w:rsidR="00376793" w:rsidRPr="00B306EF" w:rsidRDefault="00281A34">
      <w:pPr>
        <w:numPr>
          <w:ilvl w:val="0"/>
          <w:numId w:val="1"/>
        </w:numPr>
        <w:pBdr>
          <w:top w:val="nil"/>
          <w:left w:val="nil"/>
          <w:bottom w:val="nil"/>
          <w:right w:val="nil"/>
          <w:between w:val="nil"/>
        </w:pBdr>
        <w:spacing w:line="360" w:lineRule="auto"/>
        <w:ind w:left="0" w:right="-787" w:firstLine="0"/>
        <w:jc w:val="both"/>
        <w:rPr>
          <w:color w:val="000000"/>
        </w:rPr>
      </w:pPr>
      <w:r w:rsidRPr="00B306EF">
        <w:rPr>
          <w:rFonts w:ascii="Palatino Linotype" w:eastAsia="Palatino Linotype" w:hAnsi="Palatino Linotype" w:cs="Palatino Linotype"/>
          <w:color w:val="000000"/>
        </w:rPr>
        <w:t>Se realizó el requerimiento siguiente:</w:t>
      </w:r>
    </w:p>
    <w:p w:rsidR="00376793" w:rsidRPr="00B306EF" w:rsidRDefault="00281A34">
      <w:pPr>
        <w:numPr>
          <w:ilvl w:val="0"/>
          <w:numId w:val="6"/>
        </w:numPr>
        <w:pBdr>
          <w:top w:val="nil"/>
          <w:left w:val="nil"/>
          <w:bottom w:val="nil"/>
          <w:right w:val="nil"/>
          <w:between w:val="nil"/>
        </w:pBdr>
        <w:spacing w:line="360" w:lineRule="auto"/>
        <w:ind w:right="-362"/>
        <w:jc w:val="both"/>
        <w:rPr>
          <w:rFonts w:ascii="Palatino Linotype" w:eastAsia="Palatino Linotype" w:hAnsi="Palatino Linotype" w:cs="Palatino Linotype"/>
          <w:b/>
          <w:color w:val="000000"/>
          <w:sz w:val="22"/>
          <w:szCs w:val="22"/>
        </w:rPr>
      </w:pPr>
      <w:r w:rsidRPr="00B306EF">
        <w:rPr>
          <w:rFonts w:ascii="Palatino Linotype" w:eastAsia="Palatino Linotype" w:hAnsi="Palatino Linotype" w:cs="Palatino Linotype"/>
          <w:i/>
          <w:color w:val="000000"/>
          <w:sz w:val="22"/>
          <w:szCs w:val="22"/>
        </w:rPr>
        <w:t xml:space="preserve">“Nos rinda resolución de los diversos trámites administrativos llevados ante desarrollo urbano del municipio de Chalco. Puesto desde </w:t>
      </w:r>
      <w:proofErr w:type="spellStart"/>
      <w:r w:rsidRPr="00B306EF">
        <w:rPr>
          <w:rFonts w:ascii="Palatino Linotype" w:eastAsia="Palatino Linotype" w:hAnsi="Palatino Linotype" w:cs="Palatino Linotype"/>
          <w:i/>
          <w:color w:val="000000"/>
          <w:sz w:val="22"/>
          <w:szCs w:val="22"/>
        </w:rPr>
        <w:t>el.mes</w:t>
      </w:r>
      <w:proofErr w:type="spellEnd"/>
      <w:r w:rsidRPr="00B306EF">
        <w:rPr>
          <w:rFonts w:ascii="Palatino Linotype" w:eastAsia="Palatino Linotype" w:hAnsi="Palatino Linotype" w:cs="Palatino Linotype"/>
          <w:i/>
          <w:color w:val="000000"/>
          <w:sz w:val="22"/>
          <w:szCs w:val="22"/>
        </w:rPr>
        <w:t xml:space="preserve"> de junio se llevó acabo la garantía de audiencia y se manifestó como establece el </w:t>
      </w:r>
      <w:proofErr w:type="spellStart"/>
      <w:r w:rsidRPr="00B306EF">
        <w:rPr>
          <w:rFonts w:ascii="Palatino Linotype" w:eastAsia="Palatino Linotype" w:hAnsi="Palatino Linotype" w:cs="Palatino Linotype"/>
          <w:i/>
          <w:color w:val="000000"/>
          <w:sz w:val="22"/>
          <w:szCs w:val="22"/>
        </w:rPr>
        <w:t>codigo</w:t>
      </w:r>
      <w:proofErr w:type="spellEnd"/>
      <w:r w:rsidRPr="00B306EF">
        <w:rPr>
          <w:rFonts w:ascii="Palatino Linotype" w:eastAsia="Palatino Linotype" w:hAnsi="Palatino Linotype" w:cs="Palatino Linotype"/>
          <w:i/>
          <w:color w:val="000000"/>
          <w:sz w:val="22"/>
          <w:szCs w:val="22"/>
        </w:rPr>
        <w:t xml:space="preserve"> de procedimientos administrativos tenía 15 días hábiles para resolver. Hasta el día de hoy 25 de octubre sigue dilatando la </w:t>
      </w:r>
      <w:proofErr w:type="spellStart"/>
      <w:r w:rsidRPr="00B306EF">
        <w:rPr>
          <w:rFonts w:ascii="Palatino Linotype" w:eastAsia="Palatino Linotype" w:hAnsi="Palatino Linotype" w:cs="Palatino Linotype"/>
          <w:i/>
          <w:color w:val="000000"/>
          <w:sz w:val="22"/>
          <w:szCs w:val="22"/>
        </w:rPr>
        <w:t>resolucion</w:t>
      </w:r>
      <w:proofErr w:type="spellEnd"/>
      <w:r w:rsidRPr="00B306EF">
        <w:rPr>
          <w:rFonts w:ascii="Palatino Linotype" w:eastAsia="Palatino Linotype" w:hAnsi="Palatino Linotype" w:cs="Palatino Linotype"/>
          <w:i/>
          <w:color w:val="000000"/>
          <w:sz w:val="22"/>
          <w:szCs w:val="22"/>
        </w:rPr>
        <w:t xml:space="preserve"> sin justificación alguna la subdirectora de desarrollo urbano Lic. Reyna Guerrero. Sin emitir resolución y retrasando la demolición de las diversas construcciones </w:t>
      </w:r>
      <w:proofErr w:type="spellStart"/>
      <w:r w:rsidRPr="00B306EF">
        <w:rPr>
          <w:rFonts w:ascii="Palatino Linotype" w:eastAsia="Palatino Linotype" w:hAnsi="Palatino Linotype" w:cs="Palatino Linotype"/>
          <w:i/>
          <w:color w:val="000000"/>
          <w:sz w:val="22"/>
          <w:szCs w:val="22"/>
        </w:rPr>
        <w:t>irregulare</w:t>
      </w:r>
      <w:proofErr w:type="spellEnd"/>
      <w:r w:rsidRPr="00B306EF">
        <w:rPr>
          <w:rFonts w:ascii="Palatino Linotype" w:eastAsia="Palatino Linotype" w:hAnsi="Palatino Linotype" w:cs="Palatino Linotype"/>
          <w:i/>
          <w:color w:val="000000"/>
          <w:sz w:val="22"/>
          <w:szCs w:val="22"/>
        </w:rPr>
        <w:t xml:space="preserve"> que se encuentran dentro </w:t>
      </w:r>
      <w:proofErr w:type="spellStart"/>
      <w:r w:rsidRPr="00B306EF">
        <w:rPr>
          <w:rFonts w:ascii="Palatino Linotype" w:eastAsia="Palatino Linotype" w:hAnsi="Palatino Linotype" w:cs="Palatino Linotype"/>
          <w:i/>
          <w:color w:val="000000"/>
          <w:sz w:val="22"/>
          <w:szCs w:val="22"/>
        </w:rPr>
        <w:t>de el</w:t>
      </w:r>
      <w:proofErr w:type="spellEnd"/>
      <w:r w:rsidRPr="00B306EF">
        <w:rPr>
          <w:rFonts w:ascii="Palatino Linotype" w:eastAsia="Palatino Linotype" w:hAnsi="Palatino Linotype" w:cs="Palatino Linotype"/>
          <w:i/>
          <w:color w:val="000000"/>
          <w:sz w:val="22"/>
          <w:szCs w:val="22"/>
        </w:rPr>
        <w:t xml:space="preserve"> inmueble propiedad de </w:t>
      </w:r>
      <w:r w:rsidR="00D705CF" w:rsidRPr="00B306EF">
        <w:rPr>
          <w:rFonts w:ascii="Palatino Linotype" w:eastAsia="Palatino Linotype" w:hAnsi="Palatino Linotype" w:cs="Palatino Linotype"/>
          <w:i/>
          <w:color w:val="000000"/>
          <w:sz w:val="22"/>
          <w:szCs w:val="22"/>
        </w:rPr>
        <w:t>XXXXXXXXXX</w:t>
      </w:r>
      <w:r w:rsidRPr="00B306EF">
        <w:rPr>
          <w:rFonts w:ascii="Palatino Linotype" w:eastAsia="Palatino Linotype" w:hAnsi="Palatino Linotype" w:cs="Palatino Linotype"/>
          <w:i/>
          <w:color w:val="000000"/>
          <w:sz w:val="22"/>
          <w:szCs w:val="22"/>
        </w:rPr>
        <w:t>.”</w:t>
      </w:r>
    </w:p>
    <w:p w:rsidR="00376793" w:rsidRPr="00B306EF" w:rsidRDefault="00376793">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376793" w:rsidRPr="00B306EF" w:rsidRDefault="00281A34">
      <w:pPr>
        <w:numPr>
          <w:ilvl w:val="0"/>
          <w:numId w:val="1"/>
        </w:numPr>
        <w:spacing w:line="360" w:lineRule="auto"/>
        <w:ind w:left="0" w:right="-787" w:firstLine="0"/>
        <w:jc w:val="both"/>
        <w:rPr>
          <w:color w:val="000000"/>
        </w:rPr>
      </w:pPr>
      <w:r w:rsidRPr="00B306EF">
        <w:rPr>
          <w:rFonts w:ascii="Palatino Linotype" w:eastAsia="Palatino Linotype" w:hAnsi="Palatino Linotype" w:cs="Palatino Linotype"/>
        </w:rPr>
        <w:t>En respuesta, el Sujeto Obligado</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remitió el escrito ya transcrito en el anterior Párrafo 2. Inconforme con la respuesta, se interpuso recurso de revisión inconformándose de manera general por la negativa a la solicitud de información interpuesta.</w:t>
      </w:r>
    </w:p>
    <w:p w:rsidR="00376793" w:rsidRPr="00B306EF" w:rsidRDefault="00376793">
      <w:pPr>
        <w:spacing w:line="360" w:lineRule="auto"/>
        <w:ind w:right="-787"/>
        <w:jc w:val="both"/>
        <w:rPr>
          <w:rFonts w:ascii="Palatino Linotype" w:eastAsia="Palatino Linotype" w:hAnsi="Palatino Linotype" w:cs="Palatino Linotype"/>
          <w:i/>
          <w:color w:val="000000"/>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IV</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de la Ley de Transparencia y Acceso a la Información Pública del Estado de</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México</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y</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 xml:space="preserve">Municipios; </w:t>
      </w:r>
      <w:r w:rsidRPr="00B306EF">
        <w:rPr>
          <w:rFonts w:ascii="Palatino Linotype" w:eastAsia="Palatino Linotype" w:hAnsi="Palatino Linotype" w:cs="Palatino Linotype"/>
          <w:color w:val="000000"/>
        </w:rPr>
        <w:t xml:space="preserve">fracción que determina la hipótesis relativa a la declaración de </w:t>
      </w:r>
      <w:r w:rsidRPr="00B306EF">
        <w:rPr>
          <w:rFonts w:ascii="Palatino Linotype" w:eastAsia="Palatino Linotype" w:hAnsi="Palatino Linotype" w:cs="Palatino Linotype"/>
          <w:color w:val="000000"/>
        </w:rPr>
        <w:lastRenderedPageBreak/>
        <w:t xml:space="preserve">incompetencia por el sujeto obligado; </w:t>
      </w:r>
      <w:r w:rsidRPr="00B306EF">
        <w:rPr>
          <w:rFonts w:ascii="Palatino Linotype" w:eastAsia="Palatino Linotype" w:hAnsi="Palatino Linotype" w:cs="Palatino Linotype"/>
        </w:rPr>
        <w:t>contexto del cual se dolió el Recurrente al momento de interponer su inconformidad.</w:t>
      </w:r>
      <w:r w:rsidRPr="00B306EF">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B306EF">
        <w:rPr>
          <w:rFonts w:ascii="Palatino Linotype" w:eastAsia="Palatino Linotype" w:hAnsi="Palatino Linotype" w:cs="Palatino Linotype"/>
          <w:b/>
          <w:color w:val="000000"/>
        </w:rPr>
        <w:t xml:space="preserve"> </w:t>
      </w:r>
      <w:r w:rsidRPr="00B306EF">
        <w:rPr>
          <w:rFonts w:ascii="Palatino Linotype" w:eastAsia="Palatino Linotype" w:hAnsi="Palatino Linotype" w:cs="Palatino Linotype"/>
          <w:color w:val="000000"/>
        </w:rPr>
        <w:t xml:space="preserve">señalada. </w:t>
      </w:r>
    </w:p>
    <w:p w:rsidR="00376793" w:rsidRPr="00B306EF" w:rsidRDefault="00376793">
      <w:pPr>
        <w:spacing w:line="360" w:lineRule="auto"/>
        <w:ind w:right="-787"/>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76793" w:rsidRPr="00B306EF" w:rsidRDefault="0037679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w:t>
      </w:r>
      <w:r w:rsidRPr="00B306EF">
        <w:rPr>
          <w:rFonts w:ascii="Palatino Linotype" w:eastAsia="Palatino Linotype" w:hAnsi="Palatino Linotype" w:cs="Palatino Linotype"/>
        </w:rPr>
        <w:lastRenderedPageBreak/>
        <w:t>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376793" w:rsidRPr="00B306EF" w:rsidRDefault="00376793">
      <w:pPr>
        <w:spacing w:line="360" w:lineRule="auto"/>
        <w:ind w:right="-787"/>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Acotado lo anterior, es dable primeramente recordar que lo solicitado; lo cual no versó en requerir algún tipo de información o soporte documental a efecto de ser remitido vía PNT-SAIMEX, sino que </w:t>
      </w:r>
      <w:r w:rsidRPr="00B306EF">
        <w:rPr>
          <w:rFonts w:ascii="Palatino Linotype" w:eastAsia="Palatino Linotype" w:hAnsi="Palatino Linotype" w:cs="Palatino Linotype"/>
          <w:b/>
        </w:rPr>
        <w:t>se planteó un requerimiento</w:t>
      </w:r>
      <w:r w:rsidRPr="00B306EF">
        <w:rPr>
          <w:rFonts w:ascii="Palatino Linotype" w:eastAsia="Palatino Linotype" w:hAnsi="Palatino Linotype" w:cs="Palatino Linotype"/>
        </w:rPr>
        <w:t xml:space="preserve">, en el entendido que el particular advierte que solicita que ya sea emitida la resolución de un procedimiento administrativo, en atención a sus propias expectativas o condiciones que el </w:t>
      </w:r>
      <w:r w:rsidRPr="00B306EF">
        <w:rPr>
          <w:rFonts w:ascii="Palatino Linotype" w:eastAsia="Palatino Linotype" w:hAnsi="Palatino Linotype" w:cs="Palatino Linotype"/>
          <w:b/>
        </w:rPr>
        <w:t>SUJETO OBLIGADO</w:t>
      </w:r>
      <w:r w:rsidRPr="00B306EF">
        <w:rPr>
          <w:rFonts w:ascii="Palatino Linotype" w:eastAsia="Palatino Linotype" w:hAnsi="Palatino Linotype" w:cs="Palatino Linotype"/>
        </w:rPr>
        <w:t xml:space="preserve"> deba cumplir en un contexto específico en materia de derecho administrativo para que sea considerado satisfactorio al particular. Luego entonces resulta evidente que no se pretendió ejercer el derecho de acceso a la información pública, sino uno diverso como lo es del derecho de petición.</w:t>
      </w:r>
    </w:p>
    <w:p w:rsidR="00376793" w:rsidRPr="00B306EF" w:rsidRDefault="0037679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Lo anterior resulta así en virtud que una acción determinada, razón o un razonamiento por parte del </w:t>
      </w:r>
      <w:r w:rsidRPr="00B306EF">
        <w:rPr>
          <w:rFonts w:ascii="Palatino Linotype" w:eastAsia="Palatino Linotype" w:hAnsi="Palatino Linotype" w:cs="Palatino Linotype"/>
          <w:b/>
        </w:rPr>
        <w:t>SUJETO OBLIGADO</w:t>
      </w:r>
      <w:r w:rsidRPr="00B306EF">
        <w:rPr>
          <w:rFonts w:ascii="Palatino Linotype" w:eastAsia="Palatino Linotype" w:hAnsi="Palatino Linotype" w:cs="Palatino Linotype"/>
        </w:rPr>
        <w:t xml:space="preserve"> no es algo que la ley establezca como atribución, derecho, o facultad; pues ello implicaría un juicio de valor referente a un cuestionamiento realizado, los cuales, al constituir interrogantes, inquietudes y manifestaciones, realizar determinada acción que no constituye la entrega de información </w:t>
      </w:r>
      <w:r w:rsidRPr="00B306EF">
        <w:rPr>
          <w:rFonts w:ascii="Palatino Linotype" w:eastAsia="Palatino Linotype" w:hAnsi="Palatino Linotype" w:cs="Palatino Linotype"/>
        </w:rPr>
        <w:lastRenderedPageBreak/>
        <w:t>generada previa a la interposición de una solicitud de información, lo cual se satisfacen vía derecho de petición.</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Luego entonces, es importante dejar en claro lo que debe entenderse por derecho de petición y por derecho de acceso a la información pública.</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pStyle w:val="Ttulo2"/>
        <w:numPr>
          <w:ilvl w:val="0"/>
          <w:numId w:val="2"/>
        </w:numPr>
        <w:spacing w:before="0" w:line="360" w:lineRule="auto"/>
        <w:ind w:right="-787"/>
        <w:rPr>
          <w:rFonts w:ascii="Palatino Linotype" w:eastAsia="Palatino Linotype" w:hAnsi="Palatino Linotype" w:cs="Palatino Linotype"/>
          <w:b/>
          <w:i/>
          <w:color w:val="000000"/>
          <w:sz w:val="24"/>
          <w:szCs w:val="24"/>
        </w:rPr>
      </w:pPr>
      <w:bookmarkStart w:id="6" w:name="_heading=h.3dy6vkm" w:colFirst="0" w:colLast="0"/>
      <w:bookmarkEnd w:id="6"/>
      <w:r w:rsidRPr="00B306EF">
        <w:rPr>
          <w:rFonts w:ascii="Palatino Linotype" w:eastAsia="Palatino Linotype" w:hAnsi="Palatino Linotype" w:cs="Palatino Linotype"/>
          <w:b/>
          <w:i/>
          <w:color w:val="000000"/>
          <w:sz w:val="24"/>
          <w:szCs w:val="24"/>
        </w:rPr>
        <w:t>El derecho de petición y de acceso a la información.</w:t>
      </w: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Por lo que respecta a la definición de </w:t>
      </w:r>
      <w:r w:rsidRPr="00B306EF">
        <w:rPr>
          <w:rFonts w:ascii="Palatino Linotype" w:eastAsia="Palatino Linotype" w:hAnsi="Palatino Linotype" w:cs="Palatino Linotype"/>
          <w:b/>
        </w:rPr>
        <w:t>derecho de petición</w:t>
      </w:r>
      <w:r w:rsidRPr="00B306EF">
        <w:rPr>
          <w:rFonts w:ascii="Palatino Linotype" w:eastAsia="Palatino Linotype" w:hAnsi="Palatino Linotype" w:cs="Palatino Linotype"/>
        </w:rPr>
        <w:t xml:space="preserve">, el Maestro Ignacio Burgoa Orihuela refiere: </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sz w:val="22"/>
          <w:szCs w:val="22"/>
        </w:rPr>
        <w:t>“…</w:t>
      </w:r>
      <w:r w:rsidRPr="00B306EF">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B306EF">
        <w:rPr>
          <w:rFonts w:ascii="Palatino Linotype" w:eastAsia="Palatino Linotype" w:hAnsi="Palatino Linotype" w:cs="Palatino Linotype"/>
          <w:i/>
          <w:sz w:val="22"/>
          <w:szCs w:val="22"/>
          <w:vertAlign w:val="superscript"/>
        </w:rPr>
        <w:footnoteReference w:id="1"/>
      </w:r>
      <w:r w:rsidRPr="00B306EF">
        <w:rPr>
          <w:rFonts w:ascii="Palatino Linotype" w:eastAsia="Palatino Linotype" w:hAnsi="Palatino Linotype" w:cs="Palatino Linotype"/>
          <w:i/>
          <w:sz w:val="22"/>
          <w:szCs w:val="22"/>
        </w:rPr>
        <w:t xml:space="preserve">  “(Sic)</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Por</w:t>
      </w:r>
      <w:r w:rsidRPr="00B306EF">
        <w:rPr>
          <w:rFonts w:ascii="Palatino Linotype" w:eastAsia="Palatino Linotype" w:hAnsi="Palatino Linotype" w:cs="Palatino Linotype"/>
          <w:i/>
        </w:rPr>
        <w:t xml:space="preserve"> </w:t>
      </w:r>
      <w:r w:rsidRPr="00B306EF">
        <w:rPr>
          <w:rFonts w:ascii="Palatino Linotype" w:eastAsia="Palatino Linotype" w:hAnsi="Palatino Linotype" w:cs="Palatino Linotype"/>
        </w:rPr>
        <w:t>su parte, David Cienfuegos Salgado, concibe al derecho de petición como:</w:t>
      </w:r>
    </w:p>
    <w:p w:rsidR="00376793" w:rsidRPr="00B306EF" w:rsidRDefault="00281A34">
      <w:pPr>
        <w:spacing w:line="360" w:lineRule="auto"/>
        <w:ind w:left="567" w:right="-787"/>
        <w:jc w:val="both"/>
        <w:rPr>
          <w:rFonts w:ascii="Palatino Linotype" w:eastAsia="Palatino Linotype" w:hAnsi="Palatino Linotype" w:cs="Palatino Linotype"/>
          <w:sz w:val="22"/>
          <w:szCs w:val="22"/>
        </w:rPr>
      </w:pPr>
      <w:r w:rsidRPr="00B306EF">
        <w:rPr>
          <w:rFonts w:ascii="Palatino Linotype" w:eastAsia="Palatino Linotype" w:hAnsi="Palatino Linotype" w:cs="Palatino Linotype"/>
          <w:i/>
          <w:sz w:val="22"/>
          <w:szCs w:val="22"/>
        </w:rPr>
        <w:t>“el derecho de toda persona a ser escuchado por quienes ejercen el poder público</w:t>
      </w:r>
      <w:proofErr w:type="gramStart"/>
      <w:r w:rsidRPr="00B306EF">
        <w:rPr>
          <w:rFonts w:ascii="Palatino Linotype" w:eastAsia="Palatino Linotype" w:hAnsi="Palatino Linotype" w:cs="Palatino Linotype"/>
          <w:i/>
          <w:sz w:val="22"/>
          <w:szCs w:val="22"/>
        </w:rPr>
        <w:t xml:space="preserve">. </w:t>
      </w:r>
      <w:proofErr w:type="gramEnd"/>
      <w:r w:rsidRPr="00B306EF">
        <w:rPr>
          <w:rFonts w:ascii="Palatino Linotype" w:eastAsia="Palatino Linotype" w:hAnsi="Palatino Linotype" w:cs="Palatino Linotype"/>
          <w:i/>
          <w:sz w:val="22"/>
          <w:szCs w:val="22"/>
          <w:vertAlign w:val="superscript"/>
        </w:rPr>
        <w:footnoteReference w:id="2"/>
      </w:r>
      <w:r w:rsidRPr="00B306EF">
        <w:rPr>
          <w:rFonts w:ascii="Palatino Linotype" w:eastAsia="Palatino Linotype" w:hAnsi="Palatino Linotype" w:cs="Palatino Linotype"/>
          <w:i/>
          <w:sz w:val="22"/>
          <w:szCs w:val="22"/>
        </w:rPr>
        <w:t xml:space="preserve">” </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Luego entonces, para diferenciar el derecho de petición al derecho de acceso a la información, resulta conducente señalar que José Guadalupe Robles, conceptualiza el </w:t>
      </w:r>
      <w:r w:rsidRPr="00B306EF">
        <w:rPr>
          <w:rFonts w:ascii="Palatino Linotype" w:eastAsia="Palatino Linotype" w:hAnsi="Palatino Linotype" w:cs="Palatino Linotype"/>
          <w:b/>
        </w:rPr>
        <w:t>derecho a la información</w:t>
      </w:r>
      <w:r w:rsidRPr="00B306EF">
        <w:rPr>
          <w:rFonts w:ascii="Palatino Linotype" w:eastAsia="Palatino Linotype" w:hAnsi="Palatino Linotype" w:cs="Palatino Linotype"/>
        </w:rPr>
        <w:t xml:space="preserve"> como:</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sz w:val="22"/>
          <w:szCs w:val="22"/>
        </w:rPr>
        <w:t xml:space="preserve"> </w:t>
      </w:r>
      <w:r w:rsidRPr="00B306EF">
        <w:rPr>
          <w:rFonts w:ascii="Palatino Linotype" w:eastAsia="Palatino Linotype" w:hAnsi="Palatino Linotype" w:cs="Palatino Linotype"/>
          <w:i/>
          <w:sz w:val="22"/>
          <w:szCs w:val="22"/>
        </w:rPr>
        <w:t xml:space="preserve">“un derecho fundamental tanto de carácter individual como colectivo, cuyas limitaciones deben estar establecidas en la ley, así como una garantía de que la información sea transmitida con </w:t>
      </w:r>
      <w:r w:rsidRPr="00B306EF">
        <w:rPr>
          <w:rFonts w:ascii="Palatino Linotype" w:eastAsia="Palatino Linotype" w:hAnsi="Palatino Linotype" w:cs="Palatino Linotype"/>
          <w:i/>
          <w:sz w:val="22"/>
          <w:szCs w:val="22"/>
        </w:rPr>
        <w:lastRenderedPageBreak/>
        <w:t xml:space="preserve">claridad y objetividad, por cuanto a que es un bien jurídico que coadyuva al desarrollo de las personas y a la formación de opinión pública de calidad para poder participar y luego influir en la vida pública. </w:t>
      </w:r>
      <w:r w:rsidRPr="00B306EF">
        <w:rPr>
          <w:rFonts w:ascii="Palatino Linotype" w:eastAsia="Palatino Linotype" w:hAnsi="Palatino Linotype" w:cs="Palatino Linotype"/>
          <w:i/>
          <w:sz w:val="22"/>
          <w:szCs w:val="22"/>
          <w:vertAlign w:val="superscript"/>
        </w:rPr>
        <w:footnoteReference w:id="3"/>
      </w:r>
      <w:r w:rsidRPr="00B306EF">
        <w:rPr>
          <w:rFonts w:ascii="Palatino Linotype" w:eastAsia="Palatino Linotype" w:hAnsi="Palatino Linotype" w:cs="Palatino Linotype"/>
          <w:i/>
          <w:sz w:val="22"/>
          <w:szCs w:val="22"/>
        </w:rPr>
        <w:t>“</w:t>
      </w:r>
    </w:p>
    <w:p w:rsidR="00376793" w:rsidRPr="00B306EF" w:rsidRDefault="00376793">
      <w:pPr>
        <w:spacing w:line="360" w:lineRule="auto"/>
        <w:ind w:left="567"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Ahora </w:t>
      </w:r>
      <w:r w:rsidRPr="00B306EF">
        <w:rPr>
          <w:rFonts w:ascii="Palatino Linotype" w:eastAsia="Palatino Linotype" w:hAnsi="Palatino Linotype" w:cs="Palatino Linotype"/>
          <w:color w:val="000000"/>
        </w:rPr>
        <w:t xml:space="preserve">bien, el derecho </w:t>
      </w:r>
      <w:r w:rsidRPr="00B306EF">
        <w:rPr>
          <w:rFonts w:ascii="Palatino Linotype" w:eastAsia="Palatino Linotype" w:hAnsi="Palatino Linotype" w:cs="Palatino Linotype"/>
        </w:rPr>
        <w:t>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Es </w:t>
      </w:r>
      <w:r w:rsidRPr="00B306EF">
        <w:rPr>
          <w:rFonts w:ascii="Palatino Linotype" w:eastAsia="Palatino Linotype" w:hAnsi="Palatino Linotype" w:cs="Palatino Linotype"/>
          <w:color w:val="000000"/>
        </w:rPr>
        <w:t xml:space="preserve">por ello </w:t>
      </w:r>
      <w:r w:rsidRPr="00B306EF">
        <w:rPr>
          <w:rFonts w:ascii="Palatino Linotype" w:eastAsia="Palatino Linotype" w:hAnsi="Palatino Linotype" w:cs="Palatino Linotype"/>
        </w:rPr>
        <w:t>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Por </w:t>
      </w:r>
      <w:r w:rsidRPr="00B306EF">
        <w:rPr>
          <w:rFonts w:ascii="Palatino Linotype" w:eastAsia="Palatino Linotype" w:hAnsi="Palatino Linotype" w:cs="Palatino Linotype"/>
          <w:color w:val="000000"/>
        </w:rPr>
        <w:t xml:space="preserve">tanto, </w:t>
      </w:r>
      <w:r w:rsidRPr="00B306EF">
        <w:rPr>
          <w:rFonts w:ascii="Palatino Linotype" w:eastAsia="Palatino Linotype" w:hAnsi="Palatino Linotype" w:cs="Palatino Linotype"/>
        </w:rPr>
        <w:t xml:space="preserve">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w:t>
      </w:r>
      <w:r w:rsidRPr="00B306EF">
        <w:rPr>
          <w:rFonts w:ascii="Palatino Linotype" w:eastAsia="Palatino Linotype" w:hAnsi="Palatino Linotype" w:cs="Palatino Linotype"/>
        </w:rPr>
        <w:lastRenderedPageBreak/>
        <w:t>demás disposiciones de la materia, privilegiando el principio de máxima publicidad de la información.</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En </w:t>
      </w:r>
      <w:r w:rsidRPr="00B306EF">
        <w:rPr>
          <w:rFonts w:ascii="Palatino Linotype" w:eastAsia="Palatino Linotype" w:hAnsi="Palatino Linotype" w:cs="Palatino Linotype"/>
          <w:color w:val="000000"/>
        </w:rPr>
        <w:t xml:space="preserve">esa </w:t>
      </w:r>
      <w:r w:rsidRPr="00B306EF">
        <w:rPr>
          <w:rFonts w:ascii="Palatino Linotype" w:eastAsia="Palatino Linotype" w:hAnsi="Palatino Linotype" w:cs="Palatino Linotype"/>
        </w:rPr>
        <w:t>esa tesitura, los Sujetos Obligados deberán poner en práctica, políticas y programas de acceso a la información que se apeguen a criterios de publicidad, veracidad, oportunidad, precisión y suficiencia en beneficio de los solicitantes.</w:t>
      </w:r>
    </w:p>
    <w:p w:rsidR="00376793" w:rsidRPr="00B306EF" w:rsidRDefault="00376793">
      <w:pPr>
        <w:spacing w:line="360" w:lineRule="auto"/>
        <w:ind w:left="360"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Lo </w:t>
      </w:r>
      <w:r w:rsidRPr="00B306EF">
        <w:rPr>
          <w:rFonts w:ascii="Palatino Linotype" w:eastAsia="Palatino Linotype" w:hAnsi="Palatino Linotype" w:cs="Palatino Linotype"/>
          <w:color w:val="000000"/>
        </w:rPr>
        <w:t xml:space="preserve">anterior, </w:t>
      </w:r>
      <w:r w:rsidRPr="00B306EF">
        <w:rPr>
          <w:rFonts w:ascii="Palatino Linotype" w:eastAsia="Palatino Linotype" w:hAnsi="Palatino Linotype" w:cs="Palatino Linotype"/>
        </w:rPr>
        <w:t>tiene sustento en los artículos 3, fracciones XI y XXII; 4; 11 y 12 de la Ley de Transparencia y Acceso a la Información Pública del Estado de México y Municipios:</w:t>
      </w:r>
    </w:p>
    <w:p w:rsidR="00376793" w:rsidRPr="00B306EF" w:rsidRDefault="00281A34">
      <w:pPr>
        <w:spacing w:line="360" w:lineRule="auto"/>
        <w:ind w:left="567" w:right="-220"/>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rPr>
        <w:t xml:space="preserve">“Artículo 3. Para los efectos de la presente Ley se entenderá por: </w:t>
      </w:r>
      <w:r w:rsidRPr="00B306EF">
        <w:rPr>
          <w:rFonts w:ascii="Palatino Linotype" w:eastAsia="Palatino Linotype" w:hAnsi="Palatino Linotype" w:cs="Palatino Linotype"/>
          <w:i/>
          <w:sz w:val="22"/>
          <w:szCs w:val="22"/>
        </w:rPr>
        <w:t>…</w:t>
      </w:r>
    </w:p>
    <w:p w:rsidR="00376793" w:rsidRPr="00B306EF" w:rsidRDefault="00281A34">
      <w:pPr>
        <w:spacing w:line="360" w:lineRule="auto"/>
        <w:ind w:left="567" w:right="-220"/>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rPr>
        <w:t xml:space="preserve">XI. Documento: </w:t>
      </w:r>
      <w:r w:rsidRPr="00B306EF">
        <w:rPr>
          <w:rFonts w:ascii="Palatino Linotype" w:eastAsia="Palatino Linotype" w:hAnsi="Palatino Linotype" w:cs="Palatino Linotype"/>
          <w:i/>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376793" w:rsidRPr="00B306EF" w:rsidRDefault="00281A34">
      <w:pPr>
        <w:spacing w:line="360" w:lineRule="auto"/>
        <w:ind w:left="567" w:right="-220"/>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rPr>
        <w:t xml:space="preserve">XXII. </w:t>
      </w:r>
      <w:r w:rsidRPr="00B306EF">
        <w:rPr>
          <w:rFonts w:ascii="Palatino Linotype" w:eastAsia="Palatino Linotype" w:hAnsi="Palatino Linotype" w:cs="Palatino Linotype"/>
          <w:i/>
          <w:sz w:val="22"/>
          <w:szCs w:val="22"/>
        </w:rPr>
        <w:t>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rsidR="00376793" w:rsidRPr="00B306EF" w:rsidRDefault="00376793">
      <w:pPr>
        <w:spacing w:line="360" w:lineRule="auto"/>
        <w:ind w:left="567" w:right="-220"/>
        <w:jc w:val="both"/>
        <w:rPr>
          <w:rFonts w:ascii="Palatino Linotype" w:eastAsia="Palatino Linotype" w:hAnsi="Palatino Linotype" w:cs="Palatino Linotype"/>
          <w:i/>
          <w:sz w:val="22"/>
          <w:szCs w:val="22"/>
        </w:rPr>
      </w:pPr>
    </w:p>
    <w:p w:rsidR="00376793" w:rsidRPr="00B306EF" w:rsidRDefault="00281A34">
      <w:pPr>
        <w:spacing w:line="360" w:lineRule="auto"/>
        <w:ind w:left="567" w:right="-220"/>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rPr>
        <w:t xml:space="preserve">Artículo 4. </w:t>
      </w:r>
      <w:r w:rsidRPr="00B306EF">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376793" w:rsidRPr="00B306EF" w:rsidRDefault="00376793">
      <w:pPr>
        <w:spacing w:line="360" w:lineRule="auto"/>
        <w:ind w:left="567" w:right="-220"/>
        <w:jc w:val="both"/>
        <w:rPr>
          <w:rFonts w:ascii="Palatino Linotype" w:eastAsia="Palatino Linotype" w:hAnsi="Palatino Linotype" w:cs="Palatino Linotype"/>
          <w:i/>
          <w:sz w:val="22"/>
          <w:szCs w:val="22"/>
        </w:rPr>
      </w:pP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rPr>
        <w:t xml:space="preserve">Artículo 11.- </w:t>
      </w:r>
      <w:r w:rsidRPr="00B306EF">
        <w:rPr>
          <w:rFonts w:ascii="Palatino Linotype" w:eastAsia="Palatino Linotype" w:hAnsi="Palatino Linotype" w:cs="Palatino Linotype"/>
          <w:i/>
          <w:sz w:val="22"/>
          <w:szCs w:val="22"/>
        </w:rPr>
        <w:t>Los Sujetos Obligados sólo proporcionarán la información que generen en el ejercicio de sus atribuciones.</w:t>
      </w:r>
    </w:p>
    <w:p w:rsidR="00376793" w:rsidRPr="00B306EF" w:rsidRDefault="00376793">
      <w:pPr>
        <w:spacing w:line="360" w:lineRule="auto"/>
        <w:ind w:left="567" w:right="-220"/>
        <w:jc w:val="both"/>
        <w:rPr>
          <w:rFonts w:ascii="Palatino Linotype" w:eastAsia="Palatino Linotype" w:hAnsi="Palatino Linotype" w:cs="Palatino Linotype"/>
          <w:i/>
          <w:sz w:val="22"/>
          <w:szCs w:val="22"/>
        </w:rPr>
      </w:pP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rPr>
        <w:t xml:space="preserve">Artículo 12. </w:t>
      </w:r>
      <w:r w:rsidRPr="00B306EF">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roofErr w:type="gramStart"/>
      <w:r w:rsidRPr="00B306EF">
        <w:rPr>
          <w:rFonts w:ascii="Palatino Linotype" w:eastAsia="Palatino Linotype" w:hAnsi="Palatino Linotype" w:cs="Palatino Linotype"/>
          <w:i/>
          <w:sz w:val="22"/>
          <w:szCs w:val="22"/>
        </w:rPr>
        <w:t>..”</w:t>
      </w:r>
      <w:proofErr w:type="gramEnd"/>
    </w:p>
    <w:p w:rsidR="00376793" w:rsidRPr="00B306EF" w:rsidRDefault="00281A34">
      <w:pPr>
        <w:spacing w:line="360" w:lineRule="auto"/>
        <w:ind w:left="567" w:right="-220"/>
        <w:jc w:val="both"/>
        <w:rPr>
          <w:rFonts w:ascii="Palatino Linotype" w:eastAsia="Palatino Linotype" w:hAnsi="Palatino Linotype" w:cs="Palatino Linotype"/>
          <w:sz w:val="22"/>
          <w:szCs w:val="22"/>
        </w:rPr>
      </w:pPr>
      <w:r w:rsidRPr="00B306EF">
        <w:rPr>
          <w:rFonts w:ascii="Palatino Linotype" w:eastAsia="Palatino Linotype" w:hAnsi="Palatino Linotype" w:cs="Palatino Linotype"/>
          <w:sz w:val="22"/>
          <w:szCs w:val="22"/>
        </w:rPr>
        <w:t>(Énfasis añadido)</w:t>
      </w:r>
    </w:p>
    <w:p w:rsidR="00637E61" w:rsidRPr="00B306EF" w:rsidRDefault="00637E61">
      <w:pPr>
        <w:spacing w:line="360" w:lineRule="auto"/>
        <w:ind w:left="567" w:right="-220"/>
        <w:jc w:val="both"/>
        <w:rPr>
          <w:rFonts w:ascii="Palatino Linotype" w:eastAsia="Palatino Linotype" w:hAnsi="Palatino Linotype" w:cs="Palatino Linotype"/>
          <w:sz w:val="22"/>
          <w:szCs w:val="22"/>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De una interpretación </w:t>
      </w:r>
      <w:r w:rsidRPr="00B306EF">
        <w:rPr>
          <w:rFonts w:ascii="Palatino Linotype" w:eastAsia="Palatino Linotype" w:hAnsi="Palatino Linotype" w:cs="Palatino Linotype"/>
          <w:color w:val="000000"/>
        </w:rPr>
        <w:t xml:space="preserve">sistemática de los artículos anteriores, se puede advertir que el ejercicio del derecho de acceso a la información pública se centra en la potestad de los particulares para conocer el contenido de los documentos que obren en los archivos de los </w:t>
      </w:r>
      <w:r w:rsidRPr="00B306EF">
        <w:rPr>
          <w:rFonts w:ascii="Palatino Linotype" w:eastAsia="Palatino Linotype" w:hAnsi="Palatino Linotype" w:cs="Palatino Linotype"/>
          <w:color w:val="000000"/>
        </w:rPr>
        <w:lastRenderedPageBreak/>
        <w:t>Sujetos Obligados, ya sea porque los generen, administren o simplemente los posean en el ejercicio de sus atribuciones.</w:t>
      </w:r>
    </w:p>
    <w:p w:rsidR="00376793" w:rsidRPr="00B306EF" w:rsidRDefault="00376793">
      <w:pPr>
        <w:spacing w:line="360" w:lineRule="auto"/>
        <w:ind w:left="360"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Para </w:t>
      </w:r>
      <w:r w:rsidRPr="00B306EF">
        <w:rPr>
          <w:rFonts w:ascii="Palatino Linotype" w:eastAsia="Palatino Linotype" w:hAnsi="Palatino Linotype" w:cs="Palatino Linotype"/>
          <w:color w:val="000000"/>
        </w:rPr>
        <w:t xml:space="preserve">ello, la Ley </w:t>
      </w:r>
      <w:r w:rsidRPr="00B306EF">
        <w:rPr>
          <w:rFonts w:ascii="Palatino Linotype" w:eastAsia="Palatino Linotype" w:hAnsi="Palatino Linotype" w:cs="Palatino Linotype"/>
        </w:rPr>
        <w:t xml:space="preserve">de la materia otorga la calidad de documento a los expedientes, reportes, estudios, actas, resoluciones, oficios, correspondencia, acuerdos, directivas, directrices, circulares, contratos, convenios, instructivos, notas, memorandos, estadísticas o bien, </w:t>
      </w:r>
      <w:r w:rsidRPr="00B306EF">
        <w:rPr>
          <w:rFonts w:ascii="Palatino Linotype" w:eastAsia="Palatino Linotype" w:hAnsi="Palatino Linotype" w:cs="Palatino Linotype"/>
          <w:b/>
        </w:rPr>
        <w:t>cualquier otro registro que documente el ejercicio de las facultades, funciones y competencias de los sujetos obligados</w:t>
      </w:r>
      <w:r w:rsidRPr="00B306EF">
        <w:rPr>
          <w:rFonts w:ascii="Palatino Linotype" w:eastAsia="Palatino Linotype" w:hAnsi="Palatino Linotype" w:cs="Palatino Linotype"/>
        </w:rPr>
        <w:t>, sus servidores públicos e integrantes, sin importar su fuente o fecha de elaboración. Los documentos podrán estar en cualquier medio, sea escrito, impreso, sonoro, visual, electrónico, informático u holográfico.</w:t>
      </w:r>
    </w:p>
    <w:p w:rsidR="00376793" w:rsidRPr="00B306EF" w:rsidRDefault="00376793">
      <w:pPr>
        <w:spacing w:line="360" w:lineRule="auto"/>
        <w:ind w:right="-787"/>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Por otro </w:t>
      </w:r>
      <w:r w:rsidRPr="00B306EF">
        <w:rPr>
          <w:rFonts w:ascii="Palatino Linotype" w:eastAsia="Palatino Linotype" w:hAnsi="Palatino Linotype" w:cs="Palatino Linotype"/>
          <w:color w:val="000000"/>
        </w:rPr>
        <w:t xml:space="preserve">lado, </w:t>
      </w:r>
      <w:r w:rsidRPr="00B306EF">
        <w:rPr>
          <w:rFonts w:ascii="Palatino Linotype" w:eastAsia="Palatino Linotype" w:hAnsi="Palatino Linotype" w:cs="Palatino Linotype"/>
        </w:rPr>
        <w:t>así como la Constitución y la Ley de la materia otorgan a los particulares el derecho de acceder a los documentos generados o en posesión de las autoridades; también lo es que, la obligación de proporcionar información no comprende el procesamiento de esta, ni el presentarla conforme al interés del solicitante ya que no estarán constreñidos a generarla, resumirla, efectuar cálculos o practicar investigaciones.</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Así, el derecho a la información constituye una prerrogativa a acceder a documentación en poder de los Sujetos Obligados, no así a realizar cuestionamientos, o manifestaciones subjetivas. Sirve de apoyo a lo anterior la definición de </w:t>
      </w:r>
      <w:r w:rsidRPr="00B306EF">
        <w:rPr>
          <w:rFonts w:ascii="Palatino Linotype" w:eastAsia="Palatino Linotype" w:hAnsi="Palatino Linotype" w:cs="Palatino Linotype"/>
          <w:b/>
        </w:rPr>
        <w:t>derecho a la información</w:t>
      </w:r>
      <w:r w:rsidRPr="00B306EF">
        <w:rPr>
          <w:rFonts w:ascii="Palatino Linotype" w:eastAsia="Palatino Linotype" w:hAnsi="Palatino Linotype" w:cs="Palatino Linotype"/>
        </w:rPr>
        <w:t xml:space="preserve"> de Ernesto Villanueva </w:t>
      </w:r>
      <w:proofErr w:type="spellStart"/>
      <w:r w:rsidRPr="00B306EF">
        <w:rPr>
          <w:rFonts w:ascii="Palatino Linotype" w:eastAsia="Palatino Linotype" w:hAnsi="Palatino Linotype" w:cs="Palatino Linotype"/>
        </w:rPr>
        <w:t>Villanueva</w:t>
      </w:r>
      <w:proofErr w:type="spellEnd"/>
      <w:r w:rsidRPr="00B306EF">
        <w:rPr>
          <w:rFonts w:ascii="Palatino Linotype" w:eastAsia="Palatino Linotype" w:hAnsi="Palatino Linotype" w:cs="Palatino Linotype"/>
        </w:rPr>
        <w:t xml:space="preserve">, que dice: </w:t>
      </w:r>
    </w:p>
    <w:p w:rsidR="00376793" w:rsidRPr="00B306EF" w:rsidRDefault="00281A34">
      <w:pPr>
        <w:spacing w:line="360" w:lineRule="auto"/>
        <w:ind w:left="567" w:right="-220"/>
        <w:jc w:val="both"/>
        <w:rPr>
          <w:rFonts w:ascii="Palatino Linotype" w:eastAsia="Palatino Linotype" w:hAnsi="Palatino Linotype" w:cs="Palatino Linotype"/>
          <w:sz w:val="22"/>
          <w:szCs w:val="22"/>
        </w:rPr>
      </w:pPr>
      <w:r w:rsidRPr="00B306EF">
        <w:rPr>
          <w:rFonts w:ascii="Palatino Linotype" w:eastAsia="Palatino Linotype" w:hAnsi="Palatino Linotype" w:cs="Palatino Linotype"/>
          <w:i/>
          <w:sz w:val="22"/>
          <w:szCs w:val="22"/>
        </w:rPr>
        <w:lastRenderedPageBreak/>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B306EF">
        <w:rPr>
          <w:rFonts w:ascii="Palatino Linotype" w:eastAsia="Palatino Linotype" w:hAnsi="Palatino Linotype" w:cs="Palatino Linotype"/>
          <w:i/>
          <w:sz w:val="22"/>
          <w:szCs w:val="22"/>
          <w:vertAlign w:val="superscript"/>
        </w:rPr>
        <w:footnoteReference w:id="4"/>
      </w:r>
      <w:r w:rsidRPr="00B306EF">
        <w:rPr>
          <w:rFonts w:ascii="Palatino Linotype" w:eastAsia="Palatino Linotype" w:hAnsi="Palatino Linotype" w:cs="Palatino Linotype"/>
          <w:i/>
          <w:sz w:val="22"/>
          <w:szCs w:val="22"/>
        </w:rPr>
        <w:t xml:space="preserve">” (Sic)  </w:t>
      </w:r>
    </w:p>
    <w:p w:rsidR="00376793" w:rsidRPr="00B306EF" w:rsidRDefault="00376793">
      <w:pPr>
        <w:spacing w:line="360" w:lineRule="auto"/>
        <w:ind w:right="-220"/>
        <w:jc w:val="both"/>
        <w:rPr>
          <w:rFonts w:ascii="Palatino Linotype" w:eastAsia="Palatino Linotype" w:hAnsi="Palatino Linotype" w:cs="Palatino Linotype"/>
          <w:sz w:val="22"/>
          <w:szCs w:val="22"/>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Aunado a lo anterior,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376793" w:rsidRPr="00B306EF" w:rsidRDefault="00281A34">
      <w:pPr>
        <w:tabs>
          <w:tab w:val="left" w:pos="8222"/>
        </w:tabs>
        <w:spacing w:line="360" w:lineRule="auto"/>
        <w:ind w:left="567" w:right="-220"/>
        <w:jc w:val="center"/>
        <w:rPr>
          <w:rFonts w:ascii="Palatino Linotype" w:eastAsia="Palatino Linotype" w:hAnsi="Palatino Linotype" w:cs="Palatino Linotype"/>
          <w:b/>
          <w:i/>
          <w:sz w:val="22"/>
          <w:szCs w:val="22"/>
        </w:rPr>
      </w:pPr>
      <w:r w:rsidRPr="00B306EF">
        <w:rPr>
          <w:rFonts w:ascii="Palatino Linotype" w:eastAsia="Palatino Linotype" w:hAnsi="Palatino Linotype" w:cs="Palatino Linotype"/>
          <w:b/>
          <w:i/>
          <w:sz w:val="22"/>
          <w:szCs w:val="22"/>
        </w:rPr>
        <w:t>“CRITERIO 0002-11</w:t>
      </w:r>
    </w:p>
    <w:p w:rsidR="00376793" w:rsidRPr="00B306EF" w:rsidRDefault="00281A34">
      <w:pPr>
        <w:tabs>
          <w:tab w:val="left" w:pos="8222"/>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rPr>
        <w:t>INFORMACIÓN PÚBLICA, CONCEPTO DE, EN MATERIA DE TRANSPARENCIA. INTERPRETACIÓN TEMÁTICA DE LOS ARTÍCULOS 2, FRACCIÓN V, XV, Y XVI, 3, 4, 11 Y 41.</w:t>
      </w:r>
      <w:r w:rsidRPr="00B306E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76793" w:rsidRPr="00B306EF" w:rsidRDefault="00281A34">
      <w:pPr>
        <w:tabs>
          <w:tab w:val="left" w:pos="8222"/>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En consecuencia, el acceso a la información se refiere a que se cumplan cualquiera de los siguientes tres supuestos:</w:t>
      </w:r>
    </w:p>
    <w:p w:rsidR="00376793" w:rsidRPr="00B306EF" w:rsidRDefault="00376793">
      <w:pPr>
        <w:tabs>
          <w:tab w:val="left" w:pos="8222"/>
        </w:tabs>
        <w:spacing w:line="360" w:lineRule="auto"/>
        <w:ind w:left="567" w:right="-220"/>
        <w:jc w:val="both"/>
        <w:rPr>
          <w:rFonts w:ascii="Palatino Linotype" w:eastAsia="Palatino Linotype" w:hAnsi="Palatino Linotype" w:cs="Palatino Linotype"/>
          <w:i/>
          <w:sz w:val="22"/>
          <w:szCs w:val="22"/>
        </w:rPr>
      </w:pPr>
    </w:p>
    <w:p w:rsidR="00376793" w:rsidRPr="00B306EF" w:rsidRDefault="00281A34">
      <w:pPr>
        <w:tabs>
          <w:tab w:val="left" w:pos="8222"/>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376793" w:rsidRPr="00B306EF" w:rsidRDefault="00376793">
      <w:pPr>
        <w:tabs>
          <w:tab w:val="left" w:pos="8222"/>
        </w:tabs>
        <w:spacing w:line="360" w:lineRule="auto"/>
        <w:ind w:left="567" w:right="-220"/>
        <w:jc w:val="both"/>
        <w:rPr>
          <w:rFonts w:ascii="Palatino Linotype" w:eastAsia="Palatino Linotype" w:hAnsi="Palatino Linotype" w:cs="Palatino Linotype"/>
          <w:i/>
          <w:sz w:val="22"/>
          <w:szCs w:val="22"/>
        </w:rPr>
      </w:pPr>
    </w:p>
    <w:p w:rsidR="00376793" w:rsidRPr="00B306EF" w:rsidRDefault="00281A34">
      <w:pPr>
        <w:tabs>
          <w:tab w:val="left" w:pos="8222"/>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administrada por los Sujetos Obligados, y</w:t>
      </w:r>
    </w:p>
    <w:p w:rsidR="00376793" w:rsidRPr="00B306EF" w:rsidRDefault="00281A34">
      <w:pPr>
        <w:tabs>
          <w:tab w:val="left" w:pos="8222"/>
        </w:tabs>
        <w:spacing w:line="360" w:lineRule="auto"/>
        <w:ind w:left="567" w:right="-220"/>
        <w:jc w:val="both"/>
        <w:rPr>
          <w:rFonts w:ascii="Palatino Linotype" w:eastAsia="Palatino Linotype" w:hAnsi="Palatino Linotype" w:cs="Palatino Linotype"/>
          <w:sz w:val="22"/>
          <w:szCs w:val="22"/>
        </w:rPr>
      </w:pPr>
      <w:r w:rsidRPr="00B306EF">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r w:rsidRPr="00B306EF">
        <w:rPr>
          <w:rFonts w:ascii="Palatino Linotype" w:eastAsia="Palatino Linotype" w:hAnsi="Palatino Linotype" w:cs="Palatino Linotype"/>
          <w:sz w:val="22"/>
          <w:szCs w:val="22"/>
        </w:rPr>
        <w:t>.”</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Así,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w:t>
      </w:r>
      <w:r w:rsidRPr="00B306EF">
        <w:rPr>
          <w:rFonts w:ascii="Palatino Linotype" w:eastAsia="Palatino Linotype" w:hAnsi="Palatino Linotype" w:cs="Palatino Linotype"/>
          <w:b/>
          <w:u w:val="single"/>
        </w:rPr>
        <w:t>la solicitud de acceso a la información pública se encamina primordialmente a permitir el acceso a datos, registros y todo tipo de</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b/>
          <w:u w:val="single"/>
        </w:rPr>
        <w:t>información pública que conste en documentos, sea generada o se encuentre en</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b/>
          <w:u w:val="single"/>
        </w:rPr>
        <w:t xml:space="preserve">posesión de la autoridad.  </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Es así como, la entrega de una razón o un razonamiento por parte del </w:t>
      </w:r>
      <w:r w:rsidRPr="00B306EF">
        <w:rPr>
          <w:rFonts w:ascii="Palatino Linotype" w:eastAsia="Palatino Linotype" w:hAnsi="Palatino Linotype" w:cs="Palatino Linotype"/>
          <w:b/>
        </w:rPr>
        <w:t xml:space="preserve">SUJETO OBLIGADO </w:t>
      </w:r>
      <w:r w:rsidRPr="00B306EF">
        <w:rPr>
          <w:rFonts w:ascii="Palatino Linotype" w:eastAsia="Palatino Linotype" w:hAnsi="Palatino Linotype" w:cs="Palatino Linotype"/>
        </w:rPr>
        <w:t>no es algo que la ley establezca como atribución, derecho, o facultad; pues ello implicaría un juicio de valor referente a un cuestionamiento realizado, los cuales, al constituir interrogantes, inquietudes, manifestaciones, o solicitar determinada acción como se desprende del caso concreto, se satisfacen vía derecho de petición.</w:t>
      </w:r>
    </w:p>
    <w:p w:rsidR="00376793" w:rsidRPr="00B306EF" w:rsidRDefault="0037679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Esto último también encuentra relación con el motivo de inconformidad “</w:t>
      </w:r>
      <w:r w:rsidRPr="00B306EF">
        <w:rPr>
          <w:rFonts w:ascii="Palatino Linotype" w:eastAsia="Palatino Linotype" w:hAnsi="Palatino Linotype" w:cs="Palatino Linotype"/>
          <w:i/>
        </w:rPr>
        <w:t>Solicito se me informe por qué no han sido resueltas… Y si se resolvieron que nos expidan constancia…</w:t>
      </w:r>
      <w:r w:rsidRPr="00B306EF">
        <w:rPr>
          <w:rFonts w:ascii="Palatino Linotype" w:eastAsia="Palatino Linotype" w:hAnsi="Palatino Linotype" w:cs="Palatino Linotype"/>
        </w:rPr>
        <w:t xml:space="preserve">” primer contexto que ciertamente implica le entrega de una razón o un razonamiento por parte del </w:t>
      </w:r>
      <w:r w:rsidRPr="00B306EF">
        <w:rPr>
          <w:rFonts w:ascii="Palatino Linotype" w:eastAsia="Palatino Linotype" w:hAnsi="Palatino Linotype" w:cs="Palatino Linotype"/>
          <w:b/>
        </w:rPr>
        <w:t xml:space="preserve">SUJETO OBLIGADO </w:t>
      </w:r>
      <w:r w:rsidRPr="00B306EF">
        <w:rPr>
          <w:rFonts w:ascii="Palatino Linotype" w:eastAsia="Palatino Linotype" w:hAnsi="Palatino Linotype" w:cs="Palatino Linotype"/>
        </w:rPr>
        <w:t>lo cual no es algo que la ley establezca como atribución; sumado a que ambas solicitudes corresponden a un contexto que no fue planteado en la solicita de información inicial.</w:t>
      </w: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lastRenderedPageBreak/>
        <w:t xml:space="preserve">Por ello, resulta claro que </w:t>
      </w:r>
      <w:r w:rsidRPr="00B306EF">
        <w:rPr>
          <w:rFonts w:ascii="Palatino Linotype" w:eastAsia="Palatino Linotype" w:hAnsi="Palatino Linotype" w:cs="Palatino Linotype"/>
          <w:b/>
        </w:rPr>
        <w:t xml:space="preserve">EL RECURRENTE </w:t>
      </w:r>
      <w:r w:rsidRPr="00B306EF">
        <w:rPr>
          <w:rFonts w:ascii="Palatino Linotype" w:eastAsia="Palatino Linotype" w:hAnsi="Palatino Linotype" w:cs="Palatino Linotype"/>
        </w:rPr>
        <w:t xml:space="preserve">añade nuevos puntos a su solicitud de información y se aleja de la materia que dio origen a la respuesta de </w:t>
      </w:r>
      <w:r w:rsidRPr="00B306EF">
        <w:rPr>
          <w:rFonts w:ascii="Palatino Linotype" w:eastAsia="Palatino Linotype" w:hAnsi="Palatino Linotype" w:cs="Palatino Linotype"/>
          <w:b/>
        </w:rPr>
        <w:t>El Sujeto Obligado.</w:t>
      </w:r>
      <w:r w:rsidRPr="00B306EF">
        <w:rPr>
          <w:rFonts w:ascii="Palatino Linotype" w:eastAsia="Palatino Linotype" w:hAnsi="Palatino Linotype" w:cs="Palatino Linotype"/>
        </w:rPr>
        <w:t xml:space="preserve"> A mayor abundamiento, los nuevos puntos de la solicitud son considerados “</w:t>
      </w:r>
      <w:r w:rsidRPr="00B306EF">
        <w:rPr>
          <w:rFonts w:ascii="Palatino Linotype" w:eastAsia="Palatino Linotype" w:hAnsi="Palatino Linotype" w:cs="Palatino Linotype"/>
          <w:b/>
          <w:i/>
        </w:rPr>
        <w:t xml:space="preserve">plus </w:t>
      </w:r>
      <w:proofErr w:type="spellStart"/>
      <w:r w:rsidRPr="00B306EF">
        <w:rPr>
          <w:rFonts w:ascii="Palatino Linotype" w:eastAsia="Palatino Linotype" w:hAnsi="Palatino Linotype" w:cs="Palatino Linotype"/>
          <w:b/>
          <w:i/>
        </w:rPr>
        <w:t>petitio</w:t>
      </w:r>
      <w:proofErr w:type="spellEnd"/>
      <w:r w:rsidRPr="00B306EF">
        <w:rPr>
          <w:rFonts w:ascii="Palatino Linotype" w:eastAsia="Palatino Linotype" w:hAnsi="Palatino Linotype" w:cs="Palatino Linotype"/>
          <w:b/>
          <w:i/>
        </w:rPr>
        <w:t>”</w:t>
      </w:r>
      <w:r w:rsidRPr="00B306EF">
        <w:rPr>
          <w:rFonts w:ascii="Palatino Linotype" w:eastAsia="Palatino Linotype" w:hAnsi="Palatino Linotype" w:cs="Palatino Linotype"/>
          <w:i/>
        </w:rPr>
        <w:t xml:space="preserve"> </w:t>
      </w:r>
      <w:r w:rsidRPr="00B306EF">
        <w:rPr>
          <w:rFonts w:ascii="Palatino Linotype" w:eastAsia="Palatino Linotype" w:hAnsi="Palatino Linotype" w:cs="Palatino Linotype"/>
        </w:rPr>
        <w:t xml:space="preserve">y no son susceptibles de ser valorados, destacando que el primero de ellos se trata de hechos futuros. </w:t>
      </w:r>
    </w:p>
    <w:p w:rsidR="00376793" w:rsidRPr="00B306EF" w:rsidRDefault="00376793">
      <w:pPr>
        <w:tabs>
          <w:tab w:val="left" w:pos="7088"/>
        </w:tabs>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rsidR="00376793" w:rsidRPr="00B306EF" w:rsidRDefault="00376793">
      <w:pPr>
        <w:tabs>
          <w:tab w:val="left" w:pos="7088"/>
        </w:tabs>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Sirve de apoyo a lo anterior por analogía, la Jurisprudencia No. 29 visible a foja 19 del Apéndice al Semanario Judicial de la Federación 1917-1995, Tomo IV, Materia Común, Primera Parte, Tesis de la Suprema Corte de Justicia, que señala:</w:t>
      </w:r>
    </w:p>
    <w:p w:rsidR="00376793" w:rsidRPr="00B306EF" w:rsidRDefault="00281A34">
      <w:pPr>
        <w:spacing w:line="360" w:lineRule="auto"/>
        <w:ind w:left="567" w:right="-220"/>
        <w:jc w:val="both"/>
        <w:rPr>
          <w:rFonts w:ascii="Palatino Linotype" w:eastAsia="Palatino Linotype" w:hAnsi="Palatino Linotype" w:cs="Palatino Linotype"/>
          <w:b/>
          <w:i/>
          <w:sz w:val="22"/>
          <w:szCs w:val="22"/>
        </w:rPr>
      </w:pPr>
      <w:r w:rsidRPr="00B306EF">
        <w:rPr>
          <w:rFonts w:ascii="Palatino Linotype" w:eastAsia="Palatino Linotype" w:hAnsi="Palatino Linotype" w:cs="Palatino Linotype"/>
          <w:b/>
          <w:i/>
          <w:sz w:val="22"/>
          <w:szCs w:val="22"/>
        </w:rPr>
        <w:t>“AGRAVIOS EN LA REVISIÓN. DEBEN ESTAR EN RELACIÓN DIRECTA CON LOS FUNDAMENTOS Y CONSIDERACIONES DE LA SENTENCIA</w:t>
      </w:r>
    </w:p>
    <w:p w:rsidR="00376793" w:rsidRPr="00B306EF" w:rsidRDefault="00376793">
      <w:pPr>
        <w:tabs>
          <w:tab w:val="left" w:pos="7797"/>
        </w:tabs>
        <w:spacing w:line="360" w:lineRule="auto"/>
        <w:ind w:left="567" w:right="-220"/>
        <w:jc w:val="both"/>
        <w:rPr>
          <w:rFonts w:ascii="Palatino Linotype" w:eastAsia="Palatino Linotype" w:hAnsi="Palatino Linotype" w:cs="Palatino Linotype"/>
          <w:b/>
          <w:i/>
          <w:sz w:val="22"/>
          <w:szCs w:val="22"/>
          <w:u w:val="single"/>
        </w:rPr>
      </w:pPr>
    </w:p>
    <w:p w:rsidR="00376793" w:rsidRPr="00B306EF" w:rsidRDefault="00281A34">
      <w:pPr>
        <w:tabs>
          <w:tab w:val="left" w:pos="7797"/>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u w:val="single"/>
        </w:rPr>
        <w:t>Los agravios deben estar en relación directa e inmediata con los fundamentos contenidos en la sentencia que se recurre</w:t>
      </w:r>
      <w:r w:rsidRPr="00B306EF">
        <w:rPr>
          <w:rFonts w:ascii="Palatino Linotype" w:eastAsia="Palatino Linotype" w:hAnsi="Palatino Linotype" w:cs="Palatino Linotype"/>
          <w:i/>
          <w:sz w:val="22"/>
          <w:szCs w:val="22"/>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w:t>
      </w:r>
      <w:r w:rsidRPr="00B306EF">
        <w:rPr>
          <w:rFonts w:ascii="Palatino Linotype" w:eastAsia="Palatino Linotype" w:hAnsi="Palatino Linotype" w:cs="Palatino Linotype"/>
          <w:i/>
          <w:sz w:val="22"/>
          <w:szCs w:val="22"/>
        </w:rPr>
        <w:lastRenderedPageBreak/>
        <w:t>su materia, toda vez que esta se limita al estudio integral del fallo que se combate, con vista de los motivos de inconformidad que plantean los recurrentes.”</w:t>
      </w:r>
    </w:p>
    <w:p w:rsidR="00376793" w:rsidRPr="00B306EF" w:rsidRDefault="00376793">
      <w:pPr>
        <w:tabs>
          <w:tab w:val="left" w:pos="7088"/>
          <w:tab w:val="left" w:pos="7230"/>
        </w:tabs>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Por lo anterior, se establece que dentro del recurso de revisión presentado por </w:t>
      </w:r>
      <w:r w:rsidRPr="00B306EF">
        <w:rPr>
          <w:rFonts w:ascii="Palatino Linotype" w:eastAsia="Palatino Linotype" w:hAnsi="Palatino Linotype" w:cs="Palatino Linotype"/>
          <w:b/>
        </w:rPr>
        <w:t xml:space="preserve">EL RECURRENTE </w:t>
      </w:r>
      <w:r w:rsidRPr="00B306EF">
        <w:rPr>
          <w:rFonts w:ascii="Palatino Linotype" w:eastAsia="Palatino Linotype" w:hAnsi="Palatino Linotype" w:cs="Palatino Linotype"/>
        </w:rPr>
        <w:t xml:space="preserve">no debe variar el fondo de </w:t>
      </w:r>
      <w:r w:rsidRPr="00B306EF">
        <w:rPr>
          <w:rFonts w:ascii="Palatino Linotype" w:eastAsia="Palatino Linotype" w:hAnsi="Palatino Linotype" w:cs="Palatino Linotype"/>
          <w:i/>
        </w:rPr>
        <w:t>la Litis,</w:t>
      </w:r>
      <w:r w:rsidRPr="00B306EF">
        <w:rPr>
          <w:rFonts w:ascii="Palatino Linotype" w:eastAsia="Palatino Linotype" w:hAnsi="Palatino Linotype" w:cs="Palatino Linotype"/>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rsidR="00376793" w:rsidRPr="00B306EF" w:rsidRDefault="00376793">
      <w:pPr>
        <w:tabs>
          <w:tab w:val="left" w:pos="7088"/>
          <w:tab w:val="left" w:pos="7230"/>
        </w:tabs>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De igual manera, tiene aplicación al respecto por analogía, la tesis aislada número I.8o.A.136 A, de la No</w:t>
      </w:r>
      <w:r w:rsidR="00637E61" w:rsidRPr="00B306EF">
        <w:rPr>
          <w:rFonts w:ascii="Palatino Linotype" w:eastAsia="Palatino Linotype" w:hAnsi="Palatino Linotype" w:cs="Palatino Linotype"/>
        </w:rPr>
        <w:t>vena Época, publicada en el Sema</w:t>
      </w:r>
      <w:r w:rsidRPr="00B306EF">
        <w:rPr>
          <w:rFonts w:ascii="Palatino Linotype" w:eastAsia="Palatino Linotype" w:hAnsi="Palatino Linotype" w:cs="Palatino Linotype"/>
        </w:rPr>
        <w:t>nario Oficial de la Federación y su Gaceta Tomo XXIX, Marzo de 2009, página 2887, con número de registro 167607, que lleva por rubro y texto los siguientes:</w:t>
      </w:r>
    </w:p>
    <w:p w:rsidR="00376793" w:rsidRPr="00B306EF" w:rsidRDefault="00281A34">
      <w:pPr>
        <w:tabs>
          <w:tab w:val="left" w:pos="6237"/>
        </w:tabs>
        <w:spacing w:line="360" w:lineRule="auto"/>
        <w:ind w:left="567" w:right="-220"/>
        <w:jc w:val="both"/>
        <w:rPr>
          <w:rFonts w:ascii="Palatino Linotype" w:eastAsia="Palatino Linotype" w:hAnsi="Palatino Linotype" w:cs="Palatino Linotype"/>
          <w:b/>
          <w:i/>
          <w:sz w:val="22"/>
          <w:szCs w:val="22"/>
          <w:u w:val="single"/>
        </w:rPr>
      </w:pPr>
      <w:r w:rsidRPr="00B306EF">
        <w:rPr>
          <w:rFonts w:ascii="Palatino Linotype" w:eastAsia="Palatino Linotype" w:hAnsi="Palatino Linotype" w:cs="Palatino Linotype"/>
          <w:b/>
          <w:i/>
          <w:sz w:val="22"/>
          <w:szCs w:val="22"/>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B306EF">
        <w:rPr>
          <w:rFonts w:ascii="Palatino Linotype" w:eastAsia="Palatino Linotype" w:hAnsi="Palatino Linotype" w:cs="Palatino Linotype"/>
          <w:b/>
          <w:i/>
          <w:sz w:val="22"/>
          <w:szCs w:val="22"/>
          <w:u w:val="single"/>
        </w:rPr>
        <w:t xml:space="preserve">O SEAN DISTINTOS A LOS DE SU PETICIÓN INICIAL. </w:t>
      </w:r>
    </w:p>
    <w:p w:rsidR="00376793" w:rsidRPr="00B306EF" w:rsidRDefault="00376793">
      <w:pPr>
        <w:tabs>
          <w:tab w:val="left" w:pos="6237"/>
        </w:tabs>
        <w:spacing w:line="360" w:lineRule="auto"/>
        <w:ind w:left="567" w:right="-220"/>
        <w:jc w:val="both"/>
        <w:rPr>
          <w:rFonts w:ascii="Palatino Linotype" w:eastAsia="Palatino Linotype" w:hAnsi="Palatino Linotype" w:cs="Palatino Linotype"/>
          <w:i/>
          <w:sz w:val="22"/>
          <w:szCs w:val="22"/>
        </w:rPr>
      </w:pPr>
    </w:p>
    <w:p w:rsidR="00376793" w:rsidRPr="00B306EF" w:rsidRDefault="00281A34">
      <w:pPr>
        <w:tabs>
          <w:tab w:val="left" w:pos="6237"/>
        </w:tabs>
        <w:spacing w:line="360" w:lineRule="auto"/>
        <w:ind w:left="567" w:right="-220"/>
        <w:jc w:val="both"/>
        <w:rPr>
          <w:rFonts w:ascii="Palatino Linotype" w:eastAsia="Palatino Linotype" w:hAnsi="Palatino Linotype" w:cs="Palatino Linotype"/>
          <w:b/>
          <w:i/>
          <w:sz w:val="22"/>
          <w:szCs w:val="22"/>
        </w:rPr>
      </w:pPr>
      <w:r w:rsidRPr="00B306EF">
        <w:rPr>
          <w:rFonts w:ascii="Palatino Linotype" w:eastAsia="Palatino Linotype" w:hAnsi="Palatino Linotype" w:cs="Palatino Linotype"/>
          <w:i/>
          <w:sz w:val="22"/>
          <w:szCs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w:t>
      </w:r>
      <w:r w:rsidRPr="00B306EF">
        <w:rPr>
          <w:rFonts w:ascii="Palatino Linotype" w:eastAsia="Palatino Linotype" w:hAnsi="Palatino Linotype" w:cs="Palatino Linotype"/>
          <w:i/>
          <w:sz w:val="22"/>
          <w:szCs w:val="22"/>
        </w:rPr>
        <w:lastRenderedPageBreak/>
        <w:t xml:space="preserve">refiere dicha ley es pública y los particulares tendrán acceso a ella en los términos que en ésta se señalen y que, por otra parte, </w:t>
      </w:r>
      <w:r w:rsidRPr="00B306EF">
        <w:rPr>
          <w:rFonts w:ascii="Palatino Linotype" w:eastAsia="Palatino Linotype" w:hAnsi="Palatino Linotype" w:cs="Palatino Linotype"/>
          <w:b/>
          <w:i/>
          <w:sz w:val="22"/>
          <w:szCs w:val="22"/>
          <w:u w:val="single"/>
        </w:rPr>
        <w:t>el precepto 6 de la propia legislación prevé el principio de máxima publicidad y disponibilidad de la información en posesión de los sujetos obligados;</w:t>
      </w:r>
      <w:r w:rsidRPr="00B306EF">
        <w:rPr>
          <w:rFonts w:ascii="Palatino Linotype" w:eastAsia="Palatino Linotype" w:hAnsi="Palatino Linotype" w:cs="Palatino Linotype"/>
          <w:i/>
          <w:sz w:val="22"/>
          <w:szCs w:val="22"/>
        </w:rPr>
        <w:t xml:space="preserve"> también lo es que ello no implica que tales numerales deban interpretarse en el sentido de permitir al gobernado que a su arbitrio solicite copia de documentos que no obren en los expedientes de los sujetos obligados</w:t>
      </w:r>
      <w:r w:rsidRPr="00B306EF">
        <w:rPr>
          <w:rFonts w:ascii="Palatino Linotype" w:eastAsia="Palatino Linotype" w:hAnsi="Palatino Linotype" w:cs="Palatino Linotype"/>
          <w:b/>
          <w:i/>
          <w:sz w:val="22"/>
          <w:szCs w:val="22"/>
        </w:rPr>
        <w:t xml:space="preserve">, </w:t>
      </w:r>
      <w:r w:rsidRPr="00B306EF">
        <w:rPr>
          <w:rFonts w:ascii="Palatino Linotype" w:eastAsia="Palatino Linotype" w:hAnsi="Palatino Linotype" w:cs="Palatino Linotype"/>
          <w:b/>
          <w:i/>
          <w:sz w:val="22"/>
          <w:szCs w:val="22"/>
          <w:u w:val="single"/>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rsidR="00376793" w:rsidRPr="00B306EF" w:rsidRDefault="00281A34">
      <w:pPr>
        <w:tabs>
          <w:tab w:val="left" w:pos="6237"/>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 xml:space="preserve">OCTAVO TRIBUNAL COLEGIADO EN MATERIA ADMINISTRATIVA DEL PRIMER CIRCUITO.” </w:t>
      </w:r>
    </w:p>
    <w:p w:rsidR="00376793" w:rsidRPr="00B306EF" w:rsidRDefault="00376793">
      <w:pPr>
        <w:tabs>
          <w:tab w:val="left" w:pos="6237"/>
        </w:tabs>
        <w:spacing w:line="360" w:lineRule="auto"/>
        <w:ind w:left="567" w:right="-787"/>
        <w:jc w:val="both"/>
        <w:rPr>
          <w:rFonts w:ascii="Palatino Linotype" w:eastAsia="Palatino Linotype" w:hAnsi="Palatino Linotype" w:cs="Palatino Linotype"/>
          <w:i/>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rsidR="00376793" w:rsidRPr="00B306EF" w:rsidRDefault="00281A34">
      <w:pPr>
        <w:tabs>
          <w:tab w:val="left" w:pos="7513"/>
        </w:tabs>
        <w:spacing w:line="360" w:lineRule="auto"/>
        <w:ind w:left="567" w:right="-220"/>
        <w:jc w:val="both"/>
        <w:rPr>
          <w:rFonts w:ascii="Palatino Linotype" w:eastAsia="Palatino Linotype" w:hAnsi="Palatino Linotype" w:cs="Palatino Linotype"/>
          <w:b/>
          <w:i/>
          <w:sz w:val="22"/>
          <w:szCs w:val="22"/>
        </w:rPr>
      </w:pPr>
      <w:r w:rsidRPr="00B306EF">
        <w:rPr>
          <w:rFonts w:ascii="Palatino Linotype" w:eastAsia="Palatino Linotype" w:hAnsi="Palatino Linotype" w:cs="Palatino Linotype"/>
          <w:b/>
          <w:i/>
          <w:sz w:val="22"/>
          <w:szCs w:val="22"/>
        </w:rPr>
        <w:t>“ES IMPROCEDENTE AMPLIAR LAS SOLICITUDES DE ACCESO A INFORMACIÓN PÚBLICA O DATOS PERSONALES, A TRAVÉS DE LA INTERPOSICIÓN DEL RECURSO DE REVISIÓN</w:t>
      </w:r>
    </w:p>
    <w:p w:rsidR="00376793" w:rsidRPr="00B306EF" w:rsidRDefault="00376793">
      <w:pPr>
        <w:tabs>
          <w:tab w:val="left" w:pos="7513"/>
        </w:tabs>
        <w:spacing w:line="360" w:lineRule="auto"/>
        <w:ind w:left="567" w:right="-220"/>
        <w:jc w:val="both"/>
        <w:rPr>
          <w:rFonts w:ascii="Palatino Linotype" w:eastAsia="Palatino Linotype" w:hAnsi="Palatino Linotype" w:cs="Palatino Linotype"/>
          <w:b/>
          <w:i/>
          <w:sz w:val="22"/>
          <w:szCs w:val="22"/>
          <w:u w:val="single"/>
        </w:rPr>
      </w:pPr>
    </w:p>
    <w:p w:rsidR="00376793" w:rsidRPr="00B306EF" w:rsidRDefault="00281A34">
      <w:pPr>
        <w:tabs>
          <w:tab w:val="left" w:pos="7513"/>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u w:val="single"/>
        </w:rPr>
        <w:t>En aquellos casos en los que los recurrentes amplíen los alcances de la solicitud de información o acceso a datos personales a través de un recurso de revisión, esta</w:t>
      </w:r>
      <w:r w:rsidRPr="00B306EF">
        <w:rPr>
          <w:rFonts w:ascii="Palatino Linotype" w:eastAsia="Palatino Linotype" w:hAnsi="Palatino Linotype" w:cs="Palatino Linotype"/>
          <w:i/>
          <w:sz w:val="22"/>
          <w:szCs w:val="22"/>
          <w:u w:val="single"/>
        </w:rPr>
        <w:t xml:space="preserve"> </w:t>
      </w:r>
      <w:r w:rsidRPr="00B306EF">
        <w:rPr>
          <w:rFonts w:ascii="Palatino Linotype" w:eastAsia="Palatino Linotype" w:hAnsi="Palatino Linotype" w:cs="Palatino Linotype"/>
          <w:b/>
          <w:i/>
          <w:sz w:val="22"/>
          <w:szCs w:val="22"/>
          <w:u w:val="single"/>
        </w:rPr>
        <w:lastRenderedPageBreak/>
        <w:t>ampliación no podrá constituir materia del procedimiento a sustanciarse</w:t>
      </w:r>
      <w:r w:rsidRPr="00B306EF">
        <w:rPr>
          <w:rFonts w:ascii="Palatino Linotype" w:eastAsia="Palatino Linotype" w:hAnsi="Palatino Linotype" w:cs="Palatino Linotype"/>
          <w:i/>
          <w:sz w:val="22"/>
          <w:szCs w:val="22"/>
        </w:rPr>
        <w:t xml:space="preserve"> por el Instituto Federal de Acceso a la Información y Protección de Datos. Lo anterior, sin perjuicio de que los recurrentes puedan ejercer su derecho a realizar una nueva solicitud en términos de la Ley de la materia. </w:t>
      </w:r>
    </w:p>
    <w:p w:rsidR="00376793" w:rsidRPr="00B306EF" w:rsidRDefault="00376793">
      <w:pPr>
        <w:tabs>
          <w:tab w:val="left" w:pos="7513"/>
        </w:tabs>
        <w:spacing w:line="360" w:lineRule="auto"/>
        <w:ind w:left="567" w:right="-220"/>
        <w:jc w:val="both"/>
        <w:rPr>
          <w:rFonts w:ascii="Palatino Linotype" w:eastAsia="Palatino Linotype" w:hAnsi="Palatino Linotype" w:cs="Palatino Linotype"/>
          <w:i/>
          <w:sz w:val="22"/>
          <w:szCs w:val="22"/>
        </w:rPr>
      </w:pPr>
    </w:p>
    <w:p w:rsidR="00376793" w:rsidRPr="00B306EF" w:rsidRDefault="00281A34">
      <w:pPr>
        <w:tabs>
          <w:tab w:val="left" w:pos="7513"/>
        </w:tabs>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 xml:space="preserve">Expedientes: 5871/08 Secretaría de Educación Pública –Alonso Gómez- Robledo Verduzco 3468/09 Instituto de Seguridad y Servicios Sociales de los Trabajadores del Estado – Ángel Trinidad Zaldívar 5417/09 Procuraduría General de la República  - María </w:t>
      </w:r>
      <w:proofErr w:type="spellStart"/>
      <w:r w:rsidRPr="00B306EF">
        <w:rPr>
          <w:rFonts w:ascii="Palatino Linotype" w:eastAsia="Palatino Linotype" w:hAnsi="Palatino Linotype" w:cs="Palatino Linotype"/>
          <w:i/>
          <w:sz w:val="22"/>
          <w:szCs w:val="22"/>
        </w:rPr>
        <w:t>Marván</w:t>
      </w:r>
      <w:proofErr w:type="spellEnd"/>
      <w:r w:rsidRPr="00B306EF">
        <w:rPr>
          <w:rFonts w:ascii="Palatino Linotype" w:eastAsia="Palatino Linotype" w:hAnsi="Palatino Linotype" w:cs="Palatino Linotype"/>
          <w:i/>
          <w:sz w:val="22"/>
          <w:szCs w:val="22"/>
        </w:rPr>
        <w:t xml:space="preserve"> Laborde1523 1006/10 Instituto Mexicano del Seguro Social – Sigrid </w:t>
      </w:r>
      <w:proofErr w:type="spellStart"/>
      <w:r w:rsidRPr="00B306EF">
        <w:rPr>
          <w:rFonts w:ascii="Palatino Linotype" w:eastAsia="Palatino Linotype" w:hAnsi="Palatino Linotype" w:cs="Palatino Linotype"/>
          <w:i/>
          <w:sz w:val="22"/>
          <w:szCs w:val="22"/>
        </w:rPr>
        <w:t>Arzt</w:t>
      </w:r>
      <w:proofErr w:type="spellEnd"/>
      <w:r w:rsidRPr="00B306EF">
        <w:rPr>
          <w:rFonts w:ascii="Palatino Linotype" w:eastAsia="Palatino Linotype" w:hAnsi="Palatino Linotype" w:cs="Palatino Linotype"/>
          <w:i/>
          <w:sz w:val="22"/>
          <w:szCs w:val="22"/>
        </w:rPr>
        <w:t xml:space="preserve"> Colunga 1378/10 Instituto de Seguridad y Servicios Sociales de los Trabajadores del Estado – María Elena Pérez-Jaén Zermeño.”</w:t>
      </w:r>
    </w:p>
    <w:p w:rsidR="00376793" w:rsidRPr="00B306EF" w:rsidRDefault="00281A34">
      <w:pPr>
        <w:tabs>
          <w:tab w:val="left" w:pos="7513"/>
        </w:tabs>
        <w:spacing w:line="360" w:lineRule="auto"/>
        <w:ind w:left="567" w:right="-787"/>
        <w:jc w:val="both"/>
        <w:rPr>
          <w:rFonts w:ascii="Palatino Linotype" w:eastAsia="Palatino Linotype" w:hAnsi="Palatino Linotype" w:cs="Palatino Linotype"/>
        </w:rPr>
      </w:pPr>
      <w:r w:rsidRPr="00B306EF">
        <w:rPr>
          <w:rFonts w:ascii="Palatino Linotype" w:eastAsia="Palatino Linotype" w:hAnsi="Palatino Linotype" w:cs="Palatino Linotype"/>
        </w:rPr>
        <w:t xml:space="preserve"> </w:t>
      </w: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Al respecto, cabe traer a cuenta lo previsto por el artículo 12, párrafo segundo de la Ley de Transparencia y Acceso a la Información Pública del Estado de México y Municipios que la letra establece lo siguiente:</w:t>
      </w:r>
    </w:p>
    <w:p w:rsidR="00376793" w:rsidRPr="00B306EF" w:rsidRDefault="00281A34">
      <w:pPr>
        <w:spacing w:line="360" w:lineRule="auto"/>
        <w:ind w:left="851" w:right="-220"/>
        <w:jc w:val="both"/>
        <w:rPr>
          <w:rFonts w:ascii="Palatino Linotype" w:eastAsia="Palatino Linotype" w:hAnsi="Palatino Linotype" w:cs="Palatino Linotype"/>
          <w:b/>
          <w:i/>
          <w:sz w:val="22"/>
          <w:szCs w:val="22"/>
        </w:rPr>
      </w:pPr>
      <w:r w:rsidRPr="00B306EF">
        <w:rPr>
          <w:rFonts w:ascii="Palatino Linotype" w:eastAsia="Palatino Linotype" w:hAnsi="Palatino Linotype" w:cs="Palatino Linotype"/>
          <w:b/>
          <w:i/>
          <w:sz w:val="22"/>
          <w:szCs w:val="22"/>
        </w:rPr>
        <w:t>Artículo 12.</w:t>
      </w:r>
      <w:r w:rsidRPr="00B306EF">
        <w:rPr>
          <w:rFonts w:ascii="Palatino Linotype" w:eastAsia="Palatino Linotype" w:hAnsi="Palatino Linotype" w:cs="Palatino Linotype"/>
          <w:i/>
          <w:sz w:val="22"/>
          <w:szCs w:val="22"/>
        </w:rPr>
        <w:t xml:space="preserve"> …</w:t>
      </w:r>
      <w:r w:rsidRPr="00B306EF">
        <w:rPr>
          <w:rFonts w:ascii="Palatino Linotype" w:eastAsia="Palatino Linotype" w:hAnsi="Palatino Linotype" w:cs="Palatino Linotype"/>
          <w:b/>
          <w:i/>
          <w:sz w:val="22"/>
          <w:szCs w:val="22"/>
        </w:rPr>
        <w:t xml:space="preserve"> </w:t>
      </w:r>
    </w:p>
    <w:p w:rsidR="00376793" w:rsidRPr="00B306EF" w:rsidRDefault="00281A34">
      <w:pPr>
        <w:spacing w:line="360" w:lineRule="auto"/>
        <w:ind w:left="851"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w:t>
      </w:r>
      <w:r w:rsidRPr="00B306EF">
        <w:rPr>
          <w:rFonts w:ascii="Palatino Linotype" w:eastAsia="Palatino Linotype" w:hAnsi="Palatino Linotype" w:cs="Palatino Linotype"/>
          <w:i/>
          <w:sz w:val="22"/>
          <w:szCs w:val="22"/>
        </w:rPr>
        <w:t>. La obligación de proporcionar información no comprende el procesamiento de la misma, ni el presentarla conforme al interés del solicitante; no estarán obligados a generarla, resumirla, efectuar cálculos o practicar investigaciones.</w:t>
      </w:r>
    </w:p>
    <w:p w:rsidR="00376793" w:rsidRPr="00B306EF" w:rsidRDefault="00376793">
      <w:pPr>
        <w:spacing w:line="360" w:lineRule="auto"/>
        <w:ind w:left="851" w:right="-220"/>
        <w:jc w:val="both"/>
        <w:rPr>
          <w:rFonts w:ascii="Palatino Linotype" w:eastAsia="Palatino Linotype" w:hAnsi="Palatino Linotype" w:cs="Palatino Linotype"/>
          <w:b/>
          <w:i/>
          <w:sz w:val="22"/>
          <w:szCs w:val="22"/>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Además, y de conformidad con lo ya establecido anteriormente en el artículo 12, de la Ley de Transparencia y Acceso a la Información Pública del Estado de México y Municipios, anteriormente invocado el </w:t>
      </w:r>
      <w:r w:rsidRPr="00B306EF">
        <w:rPr>
          <w:rFonts w:ascii="Palatino Linotype" w:eastAsia="Palatino Linotype" w:hAnsi="Palatino Linotype" w:cs="Palatino Linotype"/>
          <w:b/>
        </w:rPr>
        <w:t>Sujeto Obligado</w:t>
      </w:r>
      <w:r w:rsidRPr="00B306EF">
        <w:rPr>
          <w:rFonts w:ascii="Palatino Linotype" w:eastAsia="Palatino Linotype" w:hAnsi="Palatino Linotype" w:cs="Palatino Linotype"/>
        </w:rPr>
        <w:t xml:space="preserve"> sólo proporcionará la información </w:t>
      </w:r>
      <w:r w:rsidRPr="00B306EF">
        <w:rPr>
          <w:rFonts w:ascii="Palatino Linotype" w:eastAsia="Palatino Linotype" w:hAnsi="Palatino Linotype" w:cs="Palatino Linotype"/>
        </w:rPr>
        <w:lastRenderedPageBreak/>
        <w:t xml:space="preserve">que obra en sus archivos, lo que </w:t>
      </w:r>
      <w:r w:rsidRPr="00B306EF">
        <w:rPr>
          <w:rFonts w:ascii="Palatino Linotype" w:eastAsia="Palatino Linotype" w:hAnsi="Palatino Linotype" w:cs="Palatino Linotype"/>
          <w:i/>
        </w:rPr>
        <w:t>a contrario sensu</w:t>
      </w:r>
      <w:r w:rsidRPr="00B306EF">
        <w:rPr>
          <w:rFonts w:ascii="Palatino Linotype" w:eastAsia="Palatino Linotype" w:hAnsi="Palatino Linotype" w:cs="Palatino Linotype"/>
        </w:rPr>
        <w:t xml:space="preserve"> significa que no se está obligado a proporcionar lo que no obre en sus archivos.</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Luego entonces</w:t>
      </w:r>
      <w:r w:rsidRPr="00B306EF">
        <w:rPr>
          <w:rFonts w:ascii="Palatino Linotype" w:eastAsia="Palatino Linotype" w:hAnsi="Palatino Linotype" w:cs="Palatino Linotype"/>
          <w:b/>
        </w:rPr>
        <w:t>, al no advertirse algún otro rubro que pudiera ser objeto de análisis</w:t>
      </w:r>
      <w:r w:rsidRPr="00B306EF">
        <w:rPr>
          <w:rFonts w:ascii="Palatino Linotype" w:eastAsia="Palatino Linotype" w:hAnsi="Palatino Linotype" w:cs="Palatino Linotype"/>
        </w:rPr>
        <w:t>, adicional al relativo a la petición, se advierte que se actualiza la hipótesis prevista en el artículo 191, fracción VI, de la Ley de Transparencia y Acceso a la Información Pública del Estado de México y Municipios en vigor, que a la letra establece lo siguiente:</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w:t>
      </w:r>
      <w:r w:rsidRPr="00B306EF">
        <w:rPr>
          <w:rFonts w:ascii="Palatino Linotype" w:eastAsia="Palatino Linotype" w:hAnsi="Palatino Linotype" w:cs="Palatino Linotype"/>
          <w:b/>
          <w:i/>
          <w:sz w:val="22"/>
          <w:szCs w:val="22"/>
        </w:rPr>
        <w:t>Artículo 191</w:t>
      </w:r>
      <w:r w:rsidRPr="00B306EF">
        <w:rPr>
          <w:rFonts w:ascii="Palatino Linotype" w:eastAsia="Palatino Linotype" w:hAnsi="Palatino Linotype" w:cs="Palatino Linotype"/>
          <w:i/>
          <w:sz w:val="22"/>
          <w:szCs w:val="22"/>
        </w:rPr>
        <w:t>. El recurso será desechado por improcedente cuando:</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w:t>
      </w:r>
    </w:p>
    <w:p w:rsidR="00376793" w:rsidRPr="00B306EF" w:rsidRDefault="00281A34">
      <w:pPr>
        <w:spacing w:line="360" w:lineRule="auto"/>
        <w:ind w:left="567" w:right="-220"/>
        <w:jc w:val="both"/>
        <w:rPr>
          <w:rFonts w:ascii="Palatino Linotype" w:eastAsia="Palatino Linotype" w:hAnsi="Palatino Linotype" w:cs="Palatino Linotype"/>
          <w:b/>
          <w:i/>
          <w:sz w:val="22"/>
          <w:szCs w:val="22"/>
        </w:rPr>
      </w:pPr>
      <w:proofErr w:type="gramStart"/>
      <w:r w:rsidRPr="00B306EF">
        <w:rPr>
          <w:rFonts w:ascii="Palatino Linotype" w:eastAsia="Palatino Linotype" w:hAnsi="Palatino Linotype" w:cs="Palatino Linotype"/>
          <w:b/>
          <w:i/>
          <w:sz w:val="22"/>
          <w:szCs w:val="22"/>
        </w:rPr>
        <w:t>VI .</w:t>
      </w:r>
      <w:proofErr w:type="gramEnd"/>
      <w:r w:rsidRPr="00B306EF">
        <w:rPr>
          <w:rFonts w:ascii="Palatino Linotype" w:eastAsia="Palatino Linotype" w:hAnsi="Palatino Linotype" w:cs="Palatino Linotype"/>
          <w:b/>
          <w:i/>
          <w:sz w:val="22"/>
          <w:szCs w:val="22"/>
        </w:rPr>
        <w:t xml:space="preserve"> Se trate de una consulta, o trámite en específico; y </w:t>
      </w:r>
    </w:p>
    <w:p w:rsidR="00376793" w:rsidRPr="00B306EF" w:rsidRDefault="00281A34">
      <w:pPr>
        <w:spacing w:line="360" w:lineRule="auto"/>
        <w:ind w:left="567"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w:t>
      </w:r>
    </w:p>
    <w:p w:rsidR="00376793" w:rsidRPr="00B306EF" w:rsidRDefault="00376793">
      <w:pPr>
        <w:spacing w:line="360" w:lineRule="auto"/>
        <w:ind w:right="-220"/>
        <w:jc w:val="both"/>
        <w:rPr>
          <w:rFonts w:ascii="Palatino Linotype" w:eastAsia="Palatino Linotype" w:hAnsi="Palatino Linotype" w:cs="Palatino Linotype"/>
          <w:sz w:val="22"/>
          <w:szCs w:val="22"/>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En conclusión, la ley de la materia establece en la fracción IV, del artículo 192, de la Ley de Transparencia vigente en la entidad, que a la letra establecen:</w:t>
      </w:r>
    </w:p>
    <w:p w:rsidR="00376793" w:rsidRPr="00B306EF" w:rsidRDefault="00281A34">
      <w:pPr>
        <w:spacing w:line="360" w:lineRule="auto"/>
        <w:ind w:left="708" w:right="-2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w:t>
      </w:r>
      <w:r w:rsidRPr="00B306EF">
        <w:rPr>
          <w:rFonts w:ascii="Palatino Linotype" w:eastAsia="Palatino Linotype" w:hAnsi="Palatino Linotype" w:cs="Palatino Linotype"/>
          <w:b/>
          <w:i/>
          <w:sz w:val="22"/>
          <w:szCs w:val="22"/>
        </w:rPr>
        <w:t xml:space="preserve">Artículo 192. </w:t>
      </w:r>
      <w:r w:rsidRPr="00B306EF">
        <w:rPr>
          <w:rFonts w:ascii="Palatino Linotype" w:eastAsia="Palatino Linotype" w:hAnsi="Palatino Linotype" w:cs="Palatino Linotype"/>
          <w:b/>
          <w:i/>
          <w:sz w:val="22"/>
          <w:szCs w:val="22"/>
          <w:u w:val="single"/>
        </w:rPr>
        <w:t>El recurso será sobreseído, en todo o en parte, cuando una vez admitido, se actualicen alguno de los siguientes supuestos</w:t>
      </w:r>
      <w:r w:rsidRPr="00B306EF">
        <w:rPr>
          <w:rFonts w:ascii="Palatino Linotype" w:eastAsia="Palatino Linotype" w:hAnsi="Palatino Linotype" w:cs="Palatino Linotype"/>
          <w:i/>
          <w:sz w:val="22"/>
          <w:szCs w:val="22"/>
        </w:rPr>
        <w:t>:</w:t>
      </w:r>
    </w:p>
    <w:p w:rsidR="00376793" w:rsidRPr="00B306EF" w:rsidRDefault="00376793">
      <w:pPr>
        <w:spacing w:line="360" w:lineRule="auto"/>
        <w:ind w:left="708" w:right="-220"/>
        <w:jc w:val="both"/>
        <w:rPr>
          <w:rFonts w:ascii="Palatino Linotype" w:eastAsia="Palatino Linotype" w:hAnsi="Palatino Linotype" w:cs="Palatino Linotype"/>
          <w:i/>
          <w:sz w:val="22"/>
          <w:szCs w:val="22"/>
        </w:rPr>
      </w:pPr>
    </w:p>
    <w:p w:rsidR="00376793" w:rsidRPr="00B306EF" w:rsidRDefault="00281A34">
      <w:pPr>
        <w:numPr>
          <w:ilvl w:val="0"/>
          <w:numId w:val="5"/>
        </w:numPr>
        <w:spacing w:line="360" w:lineRule="auto"/>
        <w:ind w:right="-220" w:hanging="7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 xml:space="preserve">El recurrente se desista expresamente del recurso; </w:t>
      </w:r>
    </w:p>
    <w:p w:rsidR="00376793" w:rsidRPr="00B306EF" w:rsidRDefault="00281A34">
      <w:pPr>
        <w:numPr>
          <w:ilvl w:val="0"/>
          <w:numId w:val="5"/>
        </w:numPr>
        <w:spacing w:line="360" w:lineRule="auto"/>
        <w:ind w:right="-220" w:hanging="7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 xml:space="preserve">El recurrente fallezca o, tratándose de personas jurídicas colectivas, se disuelva; </w:t>
      </w:r>
    </w:p>
    <w:p w:rsidR="00376793" w:rsidRPr="00B306EF" w:rsidRDefault="00281A34">
      <w:pPr>
        <w:numPr>
          <w:ilvl w:val="0"/>
          <w:numId w:val="5"/>
        </w:numPr>
        <w:spacing w:line="360" w:lineRule="auto"/>
        <w:ind w:right="-220" w:hanging="7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 xml:space="preserve">El sujeto obligado responsable del acto lo modifique o revoque de tal manera que el recurso de revisión quede sin materia; </w:t>
      </w:r>
    </w:p>
    <w:p w:rsidR="00376793" w:rsidRPr="00B306EF" w:rsidRDefault="00281A34">
      <w:pPr>
        <w:numPr>
          <w:ilvl w:val="0"/>
          <w:numId w:val="5"/>
        </w:numPr>
        <w:spacing w:line="360" w:lineRule="auto"/>
        <w:ind w:right="-220" w:hanging="7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b/>
          <w:i/>
          <w:sz w:val="22"/>
          <w:szCs w:val="22"/>
          <w:u w:val="single"/>
        </w:rPr>
        <w:t>Admitido el recurso de revisión, aparezca alguna causal de improcedencia en los términos de la presente Ley</w:t>
      </w:r>
      <w:r w:rsidRPr="00B306EF">
        <w:rPr>
          <w:rFonts w:ascii="Palatino Linotype" w:eastAsia="Palatino Linotype" w:hAnsi="Palatino Linotype" w:cs="Palatino Linotype"/>
          <w:i/>
          <w:sz w:val="22"/>
          <w:szCs w:val="22"/>
        </w:rPr>
        <w:t xml:space="preserve">; y </w:t>
      </w:r>
    </w:p>
    <w:p w:rsidR="00376793" w:rsidRPr="00B306EF" w:rsidRDefault="00281A34">
      <w:pPr>
        <w:numPr>
          <w:ilvl w:val="0"/>
          <w:numId w:val="5"/>
        </w:numPr>
        <w:spacing w:line="360" w:lineRule="auto"/>
        <w:ind w:right="-220" w:hanging="720"/>
        <w:jc w:val="both"/>
        <w:rPr>
          <w:rFonts w:ascii="Palatino Linotype" w:eastAsia="Palatino Linotype" w:hAnsi="Palatino Linotype" w:cs="Palatino Linotype"/>
          <w:i/>
          <w:sz w:val="22"/>
          <w:szCs w:val="22"/>
        </w:rPr>
      </w:pPr>
      <w:r w:rsidRPr="00B306EF">
        <w:rPr>
          <w:rFonts w:ascii="Palatino Linotype" w:eastAsia="Palatino Linotype" w:hAnsi="Palatino Linotype" w:cs="Palatino Linotype"/>
          <w:i/>
          <w:sz w:val="22"/>
          <w:szCs w:val="22"/>
        </w:rPr>
        <w:t>Cuando por cualquier motivo quede sin materia el recurso.”</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numPr>
          <w:ilvl w:val="0"/>
          <w:numId w:val="1"/>
        </w:numPr>
        <w:spacing w:line="360" w:lineRule="auto"/>
        <w:ind w:left="0" w:right="-787" w:firstLine="0"/>
        <w:jc w:val="both"/>
        <w:rPr>
          <w:rFonts w:ascii="Palatino Linotype" w:eastAsia="Palatino Linotype" w:hAnsi="Palatino Linotype" w:cs="Palatino Linotype"/>
          <w:b/>
        </w:rPr>
      </w:pPr>
      <w:r w:rsidRPr="00B306EF">
        <w:rPr>
          <w:rFonts w:ascii="Palatino Linotype" w:eastAsia="Palatino Linotype" w:hAnsi="Palatino Linotype" w:cs="Palatino Linotype"/>
        </w:rPr>
        <w:lastRenderedPageBreak/>
        <w:t xml:space="preserve">Es importante resaltar a manera de analogía que la Suprema Corte de Justicia de la Nación mediante el número 2 de la Serie </w:t>
      </w:r>
      <w:r w:rsidRPr="00B306EF">
        <w:rPr>
          <w:rFonts w:ascii="Palatino Linotype" w:eastAsia="Palatino Linotype" w:hAnsi="Palatino Linotype" w:cs="Palatino Linotype"/>
          <w:i/>
        </w:rPr>
        <w:t xml:space="preserve">Estudios Introductorios sobre el Juicio de Amparo </w:t>
      </w:r>
      <w:r w:rsidRPr="00B306EF">
        <w:rPr>
          <w:rFonts w:ascii="Palatino Linotype" w:eastAsia="Palatino Linotype" w:hAnsi="Palatino Linotype" w:cs="Palatino Linotype"/>
        </w:rPr>
        <w:t xml:space="preserve">relativo a </w:t>
      </w:r>
      <w:r w:rsidRPr="00B306EF">
        <w:rPr>
          <w:rFonts w:ascii="Palatino Linotype" w:eastAsia="Palatino Linotype" w:hAnsi="Palatino Linotype" w:cs="Palatino Linotype"/>
          <w:i/>
        </w:rPr>
        <w:t xml:space="preserve">LA IMPROCEDENCIA DE LA ACCIÓN DE AMPARO </w:t>
      </w:r>
      <w:r w:rsidRPr="00B306EF">
        <w:rPr>
          <w:rFonts w:ascii="Palatino Linotype" w:eastAsia="Palatino Linotype" w:hAnsi="Palatino Linotype" w:cs="Palatino Linotype"/>
        </w:rPr>
        <w:t>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lo que generará que la demanda sea desechada; o bien, después de admitida la demanda, lo que tendrá como consecuencia que se sobresea en el juicio.</w:t>
      </w:r>
    </w:p>
    <w:p w:rsidR="00376793" w:rsidRPr="00B306EF" w:rsidRDefault="00376793">
      <w:pPr>
        <w:spacing w:line="360" w:lineRule="auto"/>
        <w:ind w:right="-787"/>
        <w:jc w:val="both"/>
        <w:rPr>
          <w:rFonts w:ascii="Palatino Linotype" w:eastAsia="Palatino Linotype" w:hAnsi="Palatino Linotype" w:cs="Palatino Linotype"/>
          <w:b/>
          <w:u w:val="single"/>
        </w:rPr>
      </w:pP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En este orden de ideas, es conducente colegir que en el presente Recurso de Revisión, se actualizó la causal de improcedencia prevista en la fracción VII, del numeral 191, de la Ley de Transparencia y Acceso a la Información Pública del Estado de México y Municipios, en virtud que se hizo consistir en ampliar su solicitud de información, proporcionando nuevos elementos en el recurso de revisión; lo que se vio superado con las referencias señaladas en el ordenamiento en cita. </w:t>
      </w:r>
    </w:p>
    <w:p w:rsidR="00376793" w:rsidRPr="00B306EF" w:rsidRDefault="00376793">
      <w:pPr>
        <w:spacing w:line="360" w:lineRule="auto"/>
        <w:ind w:right="-787"/>
        <w:jc w:val="both"/>
        <w:rPr>
          <w:rFonts w:ascii="Palatino Linotype" w:eastAsia="Palatino Linotype" w:hAnsi="Palatino Linotype" w:cs="Palatino Linotype"/>
          <w:b/>
          <w:u w:val="single"/>
        </w:rPr>
      </w:pPr>
      <w:bookmarkStart w:id="7" w:name="_heading=h.1t3h5sf" w:colFirst="0" w:colLast="0"/>
      <w:bookmarkEnd w:id="7"/>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rPr>
        <w:t xml:space="preserve">En mérito de lo expuesto en líneas anteriores, resultan parcialmente procedentes los motivos de inconformidad que arguye </w:t>
      </w:r>
      <w:r w:rsidRPr="00B306EF">
        <w:rPr>
          <w:rFonts w:ascii="Palatino Linotype" w:eastAsia="Palatino Linotype" w:hAnsi="Palatino Linotype" w:cs="Palatino Linotype"/>
          <w:b/>
        </w:rPr>
        <w:t>EL RECURRENTE</w:t>
      </w:r>
      <w:r w:rsidRPr="00B306EF">
        <w:rPr>
          <w:rFonts w:ascii="Palatino Linotype" w:eastAsia="Palatino Linotype" w:hAnsi="Palatino Linotype" w:cs="Palatino Linotype"/>
        </w:rPr>
        <w:t xml:space="preserve"> en su medio de impugnación que fue materia de estudio, por ello con fundamento en el artículo 186, fracción I, en concordancia con el artículo 192, fracción IV, de la Ley de Transparencia y Acceso a la Información Pública del Estado de México y Municipios, se </w:t>
      </w:r>
      <w:r w:rsidRPr="00B306EF">
        <w:rPr>
          <w:rFonts w:ascii="Palatino Linotype" w:eastAsia="Palatino Linotype" w:hAnsi="Palatino Linotype" w:cs="Palatino Linotype"/>
          <w:b/>
        </w:rPr>
        <w:t>SOBRESEE</w:t>
      </w:r>
      <w:r w:rsidRPr="00B306EF">
        <w:rPr>
          <w:rFonts w:ascii="Palatino Linotype" w:eastAsia="Palatino Linotype" w:hAnsi="Palatino Linotype" w:cs="Palatino Linotype"/>
        </w:rPr>
        <w:t xml:space="preserve"> el Recurso de Revisión </w:t>
      </w:r>
      <w:r w:rsidRPr="00B306EF">
        <w:rPr>
          <w:rFonts w:ascii="Palatino Linotype" w:eastAsia="Palatino Linotype" w:hAnsi="Palatino Linotype" w:cs="Palatino Linotype"/>
          <w:b/>
        </w:rPr>
        <w:t>07413/INFOEM/IP/RR/2024</w:t>
      </w:r>
      <w:r w:rsidRPr="00B306EF">
        <w:rPr>
          <w:rFonts w:ascii="Palatino Linotype" w:eastAsia="Palatino Linotype" w:hAnsi="Palatino Linotype" w:cs="Palatino Linotype"/>
        </w:rPr>
        <w:t>,</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que ha sido materia del presente fallo.</w:t>
      </w:r>
    </w:p>
    <w:p w:rsidR="00376793" w:rsidRPr="00B306EF" w:rsidRDefault="00281A34">
      <w:pPr>
        <w:numPr>
          <w:ilvl w:val="0"/>
          <w:numId w:val="1"/>
        </w:numPr>
        <w:spacing w:line="360" w:lineRule="auto"/>
        <w:ind w:left="0" w:right="-787" w:firstLine="0"/>
        <w:jc w:val="both"/>
      </w:pPr>
      <w:r w:rsidRPr="00B306EF">
        <w:rPr>
          <w:rFonts w:ascii="Palatino Linotype" w:eastAsia="Palatino Linotype" w:hAnsi="Palatino Linotype" w:cs="Palatino Linotype"/>
          <w:color w:val="222222"/>
        </w:rPr>
        <w:lastRenderedPageBreak/>
        <w:t xml:space="preserve">Por lo </w:t>
      </w:r>
      <w:r w:rsidRPr="00B306EF">
        <w:rPr>
          <w:rFonts w:ascii="Palatino Linotype" w:eastAsia="Palatino Linotype" w:hAnsi="Palatino Linotype" w:cs="Palatino Linotype"/>
          <w:color w:val="000000"/>
        </w:rPr>
        <w:t>anteriormente</w:t>
      </w:r>
      <w:r w:rsidRPr="00B306EF">
        <w:rPr>
          <w:rFonts w:ascii="Palatino Linotype" w:eastAsia="Palatino Linotype" w:hAnsi="Palatino Linotype" w:cs="Palatino Linotype"/>
          <w:color w:val="222222"/>
        </w:rPr>
        <w:t xml:space="preserve"> expuesto y fundado, este </w:t>
      </w:r>
      <w:r w:rsidRPr="00B306EF">
        <w:rPr>
          <w:rFonts w:ascii="Palatino Linotype" w:eastAsia="Palatino Linotype" w:hAnsi="Palatino Linotype" w:cs="Palatino Linotype"/>
          <w:b/>
          <w:color w:val="222222"/>
        </w:rPr>
        <w:t>ÓRGANO GARANTE</w:t>
      </w:r>
      <w:r w:rsidRPr="00B306EF">
        <w:rPr>
          <w:rFonts w:ascii="Palatino Linotype" w:eastAsia="Palatino Linotype" w:hAnsi="Palatino Linotype" w:cs="Palatino Linotype"/>
          <w:color w:val="222222"/>
        </w:rPr>
        <w:t xml:space="preserve"> emite los siguientes:</w:t>
      </w:r>
    </w:p>
    <w:p w:rsidR="00376793" w:rsidRPr="00B306EF" w:rsidRDefault="00376793">
      <w:pPr>
        <w:spacing w:line="360" w:lineRule="auto"/>
        <w:ind w:right="-787"/>
        <w:jc w:val="both"/>
        <w:rPr>
          <w:rFonts w:ascii="Palatino Linotype" w:eastAsia="Palatino Linotype" w:hAnsi="Palatino Linotype" w:cs="Palatino Linotype"/>
        </w:rPr>
      </w:pPr>
    </w:p>
    <w:p w:rsidR="00376793" w:rsidRPr="00B306EF" w:rsidRDefault="00281A34">
      <w:pPr>
        <w:keepNext/>
        <w:keepLines/>
        <w:spacing w:line="360" w:lineRule="auto"/>
        <w:ind w:right="-787"/>
        <w:jc w:val="center"/>
        <w:rPr>
          <w:rFonts w:ascii="Palatino Linotype" w:eastAsia="Palatino Linotype" w:hAnsi="Palatino Linotype" w:cs="Palatino Linotype"/>
          <w:b/>
          <w:color w:val="000000"/>
        </w:rPr>
      </w:pPr>
      <w:r w:rsidRPr="00B306EF">
        <w:rPr>
          <w:rFonts w:ascii="Palatino Linotype" w:eastAsia="Palatino Linotype" w:hAnsi="Palatino Linotype" w:cs="Palatino Linotype"/>
          <w:b/>
          <w:color w:val="000000"/>
        </w:rPr>
        <w:t>R E S O L U T I V O S</w:t>
      </w:r>
    </w:p>
    <w:p w:rsidR="00376793" w:rsidRPr="00B306EF" w:rsidRDefault="00376793">
      <w:pPr>
        <w:keepNext/>
        <w:keepLines/>
        <w:spacing w:line="360" w:lineRule="auto"/>
        <w:ind w:right="-787"/>
        <w:jc w:val="center"/>
        <w:rPr>
          <w:rFonts w:ascii="Palatino Linotype" w:eastAsia="Palatino Linotype" w:hAnsi="Palatino Linotype" w:cs="Palatino Linotype"/>
          <w:b/>
          <w:color w:val="000000"/>
        </w:rPr>
      </w:pPr>
    </w:p>
    <w:p w:rsidR="00376793" w:rsidRPr="00B306EF" w:rsidRDefault="00281A34">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r w:rsidRPr="00B306EF">
        <w:rPr>
          <w:rFonts w:ascii="Palatino Linotype" w:eastAsia="Palatino Linotype" w:hAnsi="Palatino Linotype" w:cs="Palatino Linotype"/>
          <w:b/>
        </w:rPr>
        <w:t xml:space="preserve">PRIMERO </w:t>
      </w:r>
      <w:r w:rsidRPr="00B306EF">
        <w:rPr>
          <w:rFonts w:ascii="Palatino Linotype" w:eastAsia="Palatino Linotype" w:hAnsi="Palatino Linotype" w:cs="Palatino Linotype"/>
        </w:rPr>
        <w:t>Se</w:t>
      </w:r>
      <w:r w:rsidRPr="00B306EF">
        <w:rPr>
          <w:rFonts w:ascii="Palatino Linotype" w:eastAsia="Palatino Linotype" w:hAnsi="Palatino Linotype" w:cs="Palatino Linotype"/>
          <w:b/>
        </w:rPr>
        <w:t xml:space="preserve"> SOBRESEE </w:t>
      </w:r>
      <w:r w:rsidRPr="00B306EF">
        <w:rPr>
          <w:rFonts w:ascii="Palatino Linotype" w:eastAsia="Palatino Linotype" w:hAnsi="Palatino Linotype" w:cs="Palatino Linotype"/>
        </w:rPr>
        <w:t xml:space="preserve">el Recurso de Revisión número </w:t>
      </w:r>
      <w:r w:rsidRPr="00B306EF">
        <w:rPr>
          <w:rFonts w:ascii="Palatino Linotype" w:eastAsia="Palatino Linotype" w:hAnsi="Palatino Linotype" w:cs="Palatino Linotype"/>
          <w:b/>
        </w:rPr>
        <w:t xml:space="preserve">07413/INFOEM/IP/RR/2024, </w:t>
      </w:r>
      <w:r w:rsidRPr="00B306EF">
        <w:rPr>
          <w:rFonts w:ascii="Palatino Linotype" w:eastAsia="Palatino Linotype" w:hAnsi="Palatino Linotype" w:cs="Palatino Linotype"/>
        </w:rPr>
        <w:t>porque una vez admitido se actualizó la causal de improcedencia prevista en artículo 192, fracción IV, en relación con la fracción VI, del artículo 191, de la Ley de Transparencia vigente en la entidad, que lo dejó sin materia en términos del Considerando</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Tercero</w:t>
      </w:r>
      <w:r w:rsidRPr="00B306EF">
        <w:rPr>
          <w:rFonts w:ascii="Palatino Linotype" w:eastAsia="Palatino Linotype" w:hAnsi="Palatino Linotype" w:cs="Palatino Linotype"/>
          <w:b/>
        </w:rPr>
        <w:t xml:space="preserve"> </w:t>
      </w:r>
      <w:r w:rsidRPr="00B306EF">
        <w:rPr>
          <w:rFonts w:ascii="Palatino Linotype" w:eastAsia="Palatino Linotype" w:hAnsi="Palatino Linotype" w:cs="Palatino Linotype"/>
        </w:rPr>
        <w:t>de la presente Resolución.</w:t>
      </w:r>
    </w:p>
    <w:p w:rsidR="00376793" w:rsidRPr="00B306EF" w:rsidRDefault="00376793">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p>
    <w:p w:rsidR="00376793" w:rsidRPr="00B306EF" w:rsidRDefault="00637E61">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r w:rsidRPr="00B306EF">
        <w:rPr>
          <w:rFonts w:ascii="Palatino Linotype" w:eastAsia="Palatino Linotype" w:hAnsi="Palatino Linotype" w:cs="Palatino Linotype"/>
          <w:b/>
        </w:rPr>
        <w:t xml:space="preserve">SEGUNDO. </w:t>
      </w:r>
      <w:r w:rsidR="00281A34" w:rsidRPr="00B306EF">
        <w:rPr>
          <w:rFonts w:ascii="Palatino Linotype" w:eastAsia="Palatino Linotype" w:hAnsi="Palatino Linotype" w:cs="Palatino Linotype"/>
          <w:b/>
        </w:rPr>
        <w:t xml:space="preserve">Notifíquese, </w:t>
      </w:r>
      <w:r w:rsidR="00281A34" w:rsidRPr="00B306EF">
        <w:rPr>
          <w:rFonts w:ascii="Palatino Linotype" w:eastAsia="Palatino Linotype" w:hAnsi="Palatino Linotype" w:cs="Palatino Linotype"/>
        </w:rPr>
        <w:t>vía</w:t>
      </w:r>
      <w:r w:rsidR="00281A34" w:rsidRPr="00B306EF">
        <w:rPr>
          <w:rFonts w:ascii="Palatino Linotype" w:eastAsia="Palatino Linotype" w:hAnsi="Palatino Linotype" w:cs="Palatino Linotype"/>
          <w:b/>
        </w:rPr>
        <w:t xml:space="preserve"> SAIMEX,</w:t>
      </w:r>
      <w:r w:rsidR="00281A34" w:rsidRPr="00B306EF">
        <w:rPr>
          <w:rFonts w:ascii="Palatino Linotype" w:eastAsia="Palatino Linotype" w:hAnsi="Palatino Linotype" w:cs="Palatino Linotype"/>
        </w:rPr>
        <w:t xml:space="preserve"> al Responsable de la Unidad de Transparencia del </w:t>
      </w:r>
      <w:r w:rsidR="00281A34" w:rsidRPr="00B306EF">
        <w:rPr>
          <w:rFonts w:ascii="Palatino Linotype" w:eastAsia="Palatino Linotype" w:hAnsi="Palatino Linotype" w:cs="Palatino Linotype"/>
          <w:b/>
        </w:rPr>
        <w:t>Sujeto Obligado</w:t>
      </w:r>
      <w:r w:rsidR="00281A34" w:rsidRPr="00B306EF">
        <w:rPr>
          <w:rFonts w:ascii="Palatino Linotype" w:eastAsia="Palatino Linotype" w:hAnsi="Palatino Linotype" w:cs="Palatino Linotype"/>
        </w:rPr>
        <w:t xml:space="preserve"> la presente Resolución, para su conocimiento.</w:t>
      </w:r>
    </w:p>
    <w:p w:rsidR="00376793" w:rsidRPr="00B306EF" w:rsidRDefault="00376793">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p>
    <w:p w:rsidR="00376793" w:rsidRPr="00B306EF" w:rsidRDefault="00637E61">
      <w:pPr>
        <w:spacing w:line="360" w:lineRule="auto"/>
        <w:ind w:right="-787"/>
        <w:jc w:val="both"/>
        <w:rPr>
          <w:rFonts w:ascii="Palatino Linotype" w:eastAsia="Palatino Linotype" w:hAnsi="Palatino Linotype" w:cs="Palatino Linotype"/>
        </w:rPr>
      </w:pPr>
      <w:r w:rsidRPr="00B306EF">
        <w:rPr>
          <w:rFonts w:ascii="Palatino Linotype" w:eastAsia="Palatino Linotype" w:hAnsi="Palatino Linotype" w:cs="Palatino Linotype"/>
          <w:b/>
        </w:rPr>
        <w:t xml:space="preserve">TERCERO. </w:t>
      </w:r>
      <w:r w:rsidR="00281A34" w:rsidRPr="00B306EF">
        <w:rPr>
          <w:rFonts w:ascii="Palatino Linotype" w:eastAsia="Palatino Linotype" w:hAnsi="Palatino Linotype" w:cs="Palatino Linotype"/>
          <w:b/>
        </w:rPr>
        <w:t xml:space="preserve">Notifíquese, </w:t>
      </w:r>
      <w:r w:rsidR="00281A34" w:rsidRPr="00B306EF">
        <w:rPr>
          <w:rFonts w:ascii="Palatino Linotype" w:eastAsia="Palatino Linotype" w:hAnsi="Palatino Linotype" w:cs="Palatino Linotype"/>
        </w:rPr>
        <w:t>vía</w:t>
      </w:r>
      <w:r w:rsidR="00281A34" w:rsidRPr="00B306EF">
        <w:rPr>
          <w:rFonts w:ascii="Palatino Linotype" w:eastAsia="Palatino Linotype" w:hAnsi="Palatino Linotype" w:cs="Palatino Linotype"/>
          <w:b/>
        </w:rPr>
        <w:t xml:space="preserve"> SAIMEX y correo electrónico</w:t>
      </w:r>
      <w:r w:rsidR="00281A34" w:rsidRPr="00B306EF">
        <w:rPr>
          <w:rFonts w:ascii="Palatino Linotype" w:eastAsia="Palatino Linotype" w:hAnsi="Palatino Linotype" w:cs="Palatino Linotype"/>
        </w:rPr>
        <w:t>, a</w:t>
      </w:r>
      <w:r w:rsidR="00281A34" w:rsidRPr="00B306EF">
        <w:rPr>
          <w:rFonts w:ascii="Palatino Linotype" w:eastAsia="Palatino Linotype" w:hAnsi="Palatino Linotype" w:cs="Palatino Linotype"/>
          <w:b/>
        </w:rPr>
        <w:t xml:space="preserve"> </w:t>
      </w:r>
      <w:r w:rsidR="00281A34" w:rsidRPr="00B306EF">
        <w:rPr>
          <w:rFonts w:ascii="Palatino Linotype" w:eastAsia="Palatino Linotype" w:hAnsi="Palatino Linotype" w:cs="Palatino Linotype"/>
        </w:rPr>
        <w:t xml:space="preserve">la parte </w:t>
      </w:r>
      <w:r w:rsidR="00281A34" w:rsidRPr="00B306EF">
        <w:rPr>
          <w:rFonts w:ascii="Palatino Linotype" w:eastAsia="Palatino Linotype" w:hAnsi="Palatino Linotype" w:cs="Palatino Linotype"/>
          <w:b/>
        </w:rPr>
        <w:t>Recurrente</w:t>
      </w:r>
      <w:r w:rsidR="00281A34" w:rsidRPr="00B306EF">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rsidR="00376793" w:rsidRPr="00B306EF" w:rsidRDefault="00376793">
      <w:pPr>
        <w:shd w:val="clear" w:color="auto" w:fill="FFFFFF"/>
        <w:spacing w:line="360" w:lineRule="auto"/>
        <w:ind w:right="-787"/>
        <w:jc w:val="both"/>
        <w:rPr>
          <w:rFonts w:ascii="Palatino Linotype" w:eastAsia="Palatino Linotype" w:hAnsi="Palatino Linotype" w:cs="Palatino Linotype"/>
        </w:rPr>
      </w:pPr>
    </w:p>
    <w:p w:rsidR="00743ADD" w:rsidRPr="003C7186" w:rsidRDefault="00743ADD" w:rsidP="00743ADD">
      <w:pPr>
        <w:spacing w:line="360" w:lineRule="auto"/>
        <w:ind w:left="-142" w:right="-234" w:firstLine="1"/>
        <w:jc w:val="both"/>
        <w:rPr>
          <w:rFonts w:ascii="Palatino Linotype" w:hAnsi="Palatino Linotype"/>
        </w:rPr>
      </w:pPr>
      <w:r w:rsidRPr="00B306EF">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w:t>
      </w:r>
      <w:r w:rsidRPr="00B306EF">
        <w:rPr>
          <w:rFonts w:ascii="Palatino Linotype" w:hAnsi="Palatino Linotype"/>
        </w:rPr>
        <w:lastRenderedPageBreak/>
        <w:t>MEJÍA AYALA; SHARON CRISTINA MORALES MARTÍNEZ; LUIS GUSTAVO PARRA NORIEGA Y GUADALUPE RAMÍREZ PEÑA; EN LA SEGUNDA SESIÓN ORDINARIA CELEBRADA EL VEINTIDÓS (22) DE ENERO DE DOS MIL VEINTICINCO, ANTE EL SECRETARIO TÉCNICO DEL PLENO ALEXIS TAPIA RAMÍREZ.</w:t>
      </w:r>
      <w:bookmarkStart w:id="8" w:name="_GoBack"/>
      <w:bookmarkEnd w:id="8"/>
      <w:r w:rsidRPr="003C7186">
        <w:rPr>
          <w:rFonts w:ascii="Palatino Linotype" w:hAnsi="Palatino Linotype"/>
        </w:rPr>
        <w:t xml:space="preserve"> </w:t>
      </w:r>
    </w:p>
    <w:p w:rsidR="00376793" w:rsidRDefault="00376793">
      <w:pPr>
        <w:spacing w:line="360" w:lineRule="auto"/>
        <w:ind w:right="-787"/>
        <w:jc w:val="both"/>
        <w:rPr>
          <w:rFonts w:ascii="Palatino Linotype" w:eastAsia="Palatino Linotype" w:hAnsi="Palatino Linotype" w:cs="Palatino Linotype"/>
        </w:rPr>
      </w:pPr>
    </w:p>
    <w:p w:rsidR="00376793" w:rsidRDefault="00376793">
      <w:pPr>
        <w:spacing w:line="360" w:lineRule="auto"/>
        <w:ind w:right="-787"/>
        <w:jc w:val="both"/>
        <w:rPr>
          <w:rFonts w:ascii="Palatino Linotype" w:eastAsia="Palatino Linotype" w:hAnsi="Palatino Linotype" w:cs="Palatino Linotype"/>
        </w:rPr>
      </w:pPr>
    </w:p>
    <w:p w:rsidR="00376793" w:rsidRDefault="00376793">
      <w:pPr>
        <w:spacing w:line="360" w:lineRule="auto"/>
        <w:ind w:right="-787"/>
        <w:jc w:val="both"/>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281A34">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tabs>
          <w:tab w:val="left" w:pos="3374"/>
        </w:tabs>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p w:rsidR="00376793" w:rsidRDefault="00376793">
      <w:pPr>
        <w:spacing w:line="360" w:lineRule="auto"/>
        <w:ind w:right="-787"/>
        <w:rPr>
          <w:rFonts w:ascii="Palatino Linotype" w:eastAsia="Palatino Linotype" w:hAnsi="Palatino Linotype" w:cs="Palatino Linotype"/>
        </w:rPr>
      </w:pPr>
    </w:p>
    <w:sectPr w:rsidR="00376793">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10" w:rsidRDefault="00502110">
      <w:r>
        <w:separator/>
      </w:r>
    </w:p>
  </w:endnote>
  <w:endnote w:type="continuationSeparator" w:id="0">
    <w:p w:rsidR="00502110" w:rsidRDefault="0050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93" w:rsidRDefault="00281A3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06EF">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06EF">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376793" w:rsidRDefault="00376793">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93" w:rsidRDefault="00281A3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06E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06EF">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376793" w:rsidRDefault="00376793">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10" w:rsidRDefault="00502110">
      <w:r>
        <w:separator/>
      </w:r>
    </w:p>
  </w:footnote>
  <w:footnote w:type="continuationSeparator" w:id="0">
    <w:p w:rsidR="00502110" w:rsidRDefault="00502110">
      <w:r>
        <w:continuationSeparator/>
      </w:r>
    </w:p>
  </w:footnote>
  <w:footnote w:id="1">
    <w:p w:rsidR="00376793" w:rsidRDefault="00281A3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BURGOA ORIHUELA Ignacio. </w:t>
      </w:r>
      <w:r>
        <w:rPr>
          <w:rFonts w:ascii="Palatino Linotype" w:eastAsia="Palatino Linotype" w:hAnsi="Palatino Linotype" w:cs="Palatino Linotype"/>
          <w:i/>
          <w:color w:val="000000"/>
          <w:sz w:val="16"/>
          <w:szCs w:val="16"/>
        </w:rPr>
        <w:t>Diccionario De Derecho Constitucional, Garantías y Amparo</w:t>
      </w:r>
      <w:r>
        <w:rPr>
          <w:rFonts w:ascii="Palatino Linotype" w:eastAsia="Palatino Linotype" w:hAnsi="Palatino Linotype" w:cs="Palatino Linotype"/>
          <w:color w:val="000000"/>
          <w:sz w:val="16"/>
          <w:szCs w:val="16"/>
        </w:rPr>
        <w:t>. Ed. Porrúa, S.A., México. 1992. p. 115.</w:t>
      </w:r>
    </w:p>
  </w:footnote>
  <w:footnote w:id="2">
    <w:p w:rsidR="00376793" w:rsidRDefault="00281A3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CIENFUEGOS SALGADO David. </w:t>
      </w:r>
      <w:r>
        <w:rPr>
          <w:rFonts w:ascii="Palatino Linotype" w:eastAsia="Palatino Linotype" w:hAnsi="Palatino Linotype" w:cs="Palatino Linotype"/>
          <w:i/>
          <w:color w:val="000000"/>
          <w:sz w:val="16"/>
          <w:szCs w:val="16"/>
        </w:rPr>
        <w:t xml:space="preserve">El Derecho de Petición en México. </w:t>
      </w:r>
      <w:r>
        <w:rPr>
          <w:rFonts w:ascii="Palatino Linotype" w:eastAsia="Palatino Linotype" w:hAnsi="Palatino Linotype" w:cs="Palatino Linotype"/>
          <w:color w:val="000000"/>
          <w:sz w:val="16"/>
          <w:szCs w:val="16"/>
        </w:rPr>
        <w:t>Ed. Instituto de Investigaciones Jurídica UNAM. México 2004. p. 31</w:t>
      </w:r>
    </w:p>
  </w:footnote>
  <w:footnote w:id="3">
    <w:p w:rsidR="00376793" w:rsidRDefault="00281A3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ROBLES HERNÁNDEZ José Guadalupe. </w:t>
      </w:r>
      <w:r>
        <w:rPr>
          <w:rFonts w:ascii="Palatino Linotype" w:eastAsia="Palatino Linotype" w:hAnsi="Palatino Linotype" w:cs="Palatino Linotype"/>
          <w:i/>
          <w:color w:val="000000"/>
          <w:sz w:val="16"/>
          <w:szCs w:val="16"/>
        </w:rPr>
        <w:t xml:space="preserve">Derecho de la Información y Comunicación Pública. </w:t>
      </w:r>
      <w:r>
        <w:rPr>
          <w:rFonts w:ascii="Palatino Linotype" w:eastAsia="Palatino Linotype" w:hAnsi="Palatino Linotype" w:cs="Palatino Linotype"/>
          <w:color w:val="000000"/>
          <w:sz w:val="16"/>
          <w:szCs w:val="16"/>
        </w:rPr>
        <w:t>Ed. Universidad de Occidente. México. 2004, p. 72</w:t>
      </w:r>
    </w:p>
  </w:footnote>
  <w:footnote w:id="4">
    <w:p w:rsidR="00376793" w:rsidRDefault="00281A3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93" w:rsidRDefault="00502110">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6519" w:type="dxa"/>
      <w:tblInd w:w="3544" w:type="dxa"/>
      <w:tblLayout w:type="fixed"/>
      <w:tblLook w:val="0400" w:firstRow="0" w:lastRow="0" w:firstColumn="0" w:lastColumn="0" w:noHBand="0" w:noVBand="1"/>
    </w:tblPr>
    <w:tblGrid>
      <w:gridCol w:w="2976"/>
      <w:gridCol w:w="3543"/>
    </w:tblGrid>
    <w:tr w:rsidR="00376793" w:rsidTr="00637E61">
      <w:trPr>
        <w:trHeight w:val="227"/>
      </w:trPr>
      <w:tc>
        <w:tcPr>
          <w:tcW w:w="2976" w:type="dxa"/>
          <w:vAlign w:val="center"/>
        </w:tcPr>
        <w:p w:rsidR="00376793" w:rsidRDefault="00281A34">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376793" w:rsidRDefault="00281A34">
          <w:pPr>
            <w:pBdr>
              <w:top w:val="nil"/>
              <w:left w:val="nil"/>
              <w:bottom w:val="nil"/>
              <w:right w:val="nil"/>
              <w:between w:val="nil"/>
            </w:pBdr>
            <w:tabs>
              <w:tab w:val="center" w:pos="4419"/>
              <w:tab w:val="right" w:pos="8838"/>
            </w:tabs>
            <w:spacing w:line="360" w:lineRule="auto"/>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07413/INFOEM/IP/RR/2024</w:t>
          </w:r>
        </w:p>
      </w:tc>
    </w:tr>
    <w:tr w:rsidR="00376793" w:rsidTr="00637E61">
      <w:trPr>
        <w:trHeight w:val="242"/>
      </w:trPr>
      <w:tc>
        <w:tcPr>
          <w:tcW w:w="2976" w:type="dxa"/>
          <w:vAlign w:val="center"/>
        </w:tcPr>
        <w:p w:rsidR="00376793" w:rsidRDefault="00281A34">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376793" w:rsidRDefault="00281A34">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Chalco</w:t>
          </w:r>
        </w:p>
      </w:tc>
    </w:tr>
    <w:tr w:rsidR="00376793" w:rsidTr="00637E61">
      <w:trPr>
        <w:trHeight w:val="342"/>
      </w:trPr>
      <w:tc>
        <w:tcPr>
          <w:tcW w:w="2976" w:type="dxa"/>
          <w:vAlign w:val="center"/>
        </w:tcPr>
        <w:p w:rsidR="00376793" w:rsidRDefault="00281A34">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376793" w:rsidRDefault="00281A34">
          <w:pPr>
            <w:pBdr>
              <w:top w:val="nil"/>
              <w:left w:val="nil"/>
              <w:bottom w:val="nil"/>
              <w:right w:val="nil"/>
              <w:between w:val="nil"/>
            </w:pBdr>
            <w:tabs>
              <w:tab w:val="center" w:pos="4419"/>
              <w:tab w:val="right" w:pos="8838"/>
            </w:tabs>
            <w:spacing w:line="360" w:lineRule="auto"/>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76793" w:rsidRDefault="00502110">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2.6pt;margin-top:-117.5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660" w:type="dxa"/>
      <w:tblInd w:w="3544" w:type="dxa"/>
      <w:tblLayout w:type="fixed"/>
      <w:tblLook w:val="0400" w:firstRow="0" w:lastRow="0" w:firstColumn="0" w:lastColumn="0" w:noHBand="0" w:noVBand="1"/>
    </w:tblPr>
    <w:tblGrid>
      <w:gridCol w:w="2977"/>
      <w:gridCol w:w="3683"/>
    </w:tblGrid>
    <w:tr w:rsidR="00376793" w:rsidTr="00637E61">
      <w:trPr>
        <w:trHeight w:val="227"/>
      </w:trPr>
      <w:tc>
        <w:tcPr>
          <w:tcW w:w="2977" w:type="dxa"/>
          <w:vAlign w:val="center"/>
        </w:tcPr>
        <w:p w:rsidR="00376793" w:rsidRDefault="00281A3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376793" w:rsidRDefault="00281A3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07413/INFOEM/IP/RR/2024</w:t>
          </w:r>
        </w:p>
      </w:tc>
    </w:tr>
    <w:tr w:rsidR="00376793" w:rsidTr="00637E61">
      <w:trPr>
        <w:trHeight w:val="242"/>
      </w:trPr>
      <w:tc>
        <w:tcPr>
          <w:tcW w:w="2977" w:type="dxa"/>
          <w:vAlign w:val="center"/>
        </w:tcPr>
        <w:p w:rsidR="00376793" w:rsidRDefault="00281A3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376793" w:rsidRDefault="00D705CF">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w:t>
          </w:r>
        </w:p>
      </w:tc>
    </w:tr>
    <w:tr w:rsidR="00376793" w:rsidTr="00637E61">
      <w:trPr>
        <w:trHeight w:val="342"/>
      </w:trPr>
      <w:tc>
        <w:tcPr>
          <w:tcW w:w="2977" w:type="dxa"/>
          <w:vAlign w:val="center"/>
        </w:tcPr>
        <w:p w:rsidR="00376793" w:rsidRDefault="00281A3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376793" w:rsidRDefault="00281A34">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Chalco</w:t>
          </w:r>
        </w:p>
      </w:tc>
    </w:tr>
    <w:tr w:rsidR="00376793" w:rsidTr="00637E61">
      <w:trPr>
        <w:trHeight w:val="342"/>
      </w:trPr>
      <w:tc>
        <w:tcPr>
          <w:tcW w:w="2977" w:type="dxa"/>
          <w:vAlign w:val="center"/>
        </w:tcPr>
        <w:p w:rsidR="00376793" w:rsidRDefault="00281A3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376793" w:rsidRDefault="00281A3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76793" w:rsidRDefault="00502110">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CD0"/>
    <w:multiLevelType w:val="multilevel"/>
    <w:tmpl w:val="5F18AE32"/>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 w15:restartNumberingAfterBreak="0">
    <w:nsid w:val="072F48E6"/>
    <w:multiLevelType w:val="multilevel"/>
    <w:tmpl w:val="A5A4104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507F1"/>
    <w:multiLevelType w:val="multilevel"/>
    <w:tmpl w:val="94D67F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1D5170"/>
    <w:multiLevelType w:val="multilevel"/>
    <w:tmpl w:val="E2AA23FC"/>
    <w:lvl w:ilvl="0">
      <w:start w:val="1"/>
      <w:numFmt w:val="upperRoman"/>
      <w:lvlText w:val="%1."/>
      <w:lvlJc w:val="left"/>
      <w:pPr>
        <w:ind w:left="1488" w:hanging="719"/>
      </w:pPr>
      <w:rPr>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4" w15:restartNumberingAfterBreak="0">
    <w:nsid w:val="2DDE5B80"/>
    <w:multiLevelType w:val="multilevel"/>
    <w:tmpl w:val="07ACB94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66EB06C6"/>
    <w:multiLevelType w:val="multilevel"/>
    <w:tmpl w:val="159A0C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93"/>
    <w:rsid w:val="00281A34"/>
    <w:rsid w:val="00376793"/>
    <w:rsid w:val="00502110"/>
    <w:rsid w:val="00637E61"/>
    <w:rsid w:val="00743ADD"/>
    <w:rsid w:val="00860AB6"/>
    <w:rsid w:val="00881408"/>
    <w:rsid w:val="00B306EF"/>
    <w:rsid w:val="00D70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91B92D2-E510-4753-9D8A-5985C92D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637E6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gvo3spLD44LIW4DdEKau2f9bA==">CgMxLjAyCGguZ2pkZ3hzMgloLjMwajB6bGwyCWguMWZvYjl0ZTIJaC4zem55c2g3MgloLjJldDkycDAyCGgudHlqY3d0MgloLjNkeTZ2a20yCWguMXQzaDVzZjgAciExUkZFSnVRUUxUQXVfbHNmZmJUS0Y5Wi12elpKMDh4VHE=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5253</Words>
  <Characters>28897</Characters>
  <Application>Microsoft Office Word</Application>
  <DocSecurity>0</DocSecurity>
  <Lines>240</Lines>
  <Paragraphs>68</Paragraphs>
  <ScaleCrop>false</ScaleCrop>
  <Company>HP Inc.</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8</cp:revision>
  <dcterms:created xsi:type="dcterms:W3CDTF">2025-01-16T16:25:00Z</dcterms:created>
  <dcterms:modified xsi:type="dcterms:W3CDTF">2025-02-10T23:23:00Z</dcterms:modified>
</cp:coreProperties>
</file>