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56A8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524C3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veinte de noviembre de dos mil veinticinco. </w:t>
      </w:r>
    </w:p>
    <w:p w14:paraId="7844AD48" w14:textId="7F82669F" w:rsidR="007307D6" w:rsidRPr="00524C36" w:rsidRDefault="006265EB">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524C36">
        <w:rPr>
          <w:rFonts w:ascii="Palatino Linotype" w:eastAsia="Palatino Linotype" w:hAnsi="Palatino Linotype" w:cs="Palatino Linotype"/>
          <w:b/>
          <w:bCs/>
          <w:sz w:val="22"/>
          <w:szCs w:val="22"/>
        </w:rPr>
        <w:t>VISTO</w:t>
      </w:r>
      <w:r w:rsidRPr="00524C36">
        <w:rPr>
          <w:rFonts w:ascii="Palatino Linotype" w:eastAsia="Palatino Linotype" w:hAnsi="Palatino Linotype" w:cs="Palatino Linotype"/>
          <w:sz w:val="22"/>
          <w:szCs w:val="22"/>
        </w:rPr>
        <w:t xml:space="preserve"> el expediente formado con motivo del recurso de revisión </w:t>
      </w:r>
      <w:r w:rsidRPr="00524C36">
        <w:rPr>
          <w:rFonts w:ascii="Palatino Linotype" w:eastAsia="Palatino Linotype" w:hAnsi="Palatino Linotype" w:cs="Palatino Linotype"/>
          <w:b/>
          <w:bCs/>
          <w:sz w:val="22"/>
          <w:szCs w:val="22"/>
        </w:rPr>
        <w:t>10279/INFOEM/IP/RR/2025</w:t>
      </w:r>
      <w:r w:rsidRPr="00524C36">
        <w:rPr>
          <w:rFonts w:ascii="Palatino Linotype" w:eastAsia="Palatino Linotype" w:hAnsi="Palatino Linotype" w:cs="Palatino Linotype"/>
          <w:sz w:val="22"/>
          <w:szCs w:val="22"/>
        </w:rPr>
        <w:t>, interpuesto por</w:t>
      </w:r>
      <w:r w:rsidRPr="00524C36">
        <w:rPr>
          <w:rFonts w:ascii="Palatino Linotype" w:eastAsia="Palatino Linotype" w:hAnsi="Palatino Linotype" w:cs="Palatino Linotype"/>
          <w:b/>
          <w:bCs/>
          <w:sz w:val="22"/>
          <w:szCs w:val="22"/>
        </w:rPr>
        <w:t xml:space="preserve"> </w:t>
      </w:r>
      <w:r w:rsidR="00353671">
        <w:rPr>
          <w:rFonts w:ascii="Palatino Linotype" w:eastAsia="Palatino Linotype" w:hAnsi="Palatino Linotype" w:cs="Palatino Linotype"/>
          <w:b/>
          <w:bCs/>
          <w:sz w:val="22"/>
          <w:szCs w:val="22"/>
        </w:rPr>
        <w:t>XX XXX XXXXX</w:t>
      </w:r>
      <w:r w:rsidRPr="00524C36">
        <w:rPr>
          <w:rFonts w:ascii="Palatino Linotype" w:eastAsia="Palatino Linotype" w:hAnsi="Palatino Linotype" w:cs="Palatino Linotype"/>
          <w:b/>
          <w:bCs/>
          <w:sz w:val="22"/>
          <w:szCs w:val="22"/>
        </w:rPr>
        <w:t>,</w:t>
      </w:r>
      <w:r w:rsidRPr="00524C36">
        <w:rPr>
          <w:rFonts w:ascii="Palatino Linotype" w:eastAsia="Palatino Linotype" w:hAnsi="Palatino Linotype" w:cs="Palatino Linotype"/>
          <w:sz w:val="22"/>
          <w:szCs w:val="22"/>
        </w:rPr>
        <w:t xml:space="preserve"> en lo sucesivo</w:t>
      </w:r>
      <w:r w:rsidRPr="00524C36">
        <w:rPr>
          <w:rFonts w:ascii="Palatino Linotype" w:eastAsia="Palatino Linotype" w:hAnsi="Palatino Linotype" w:cs="Palatino Linotype"/>
          <w:b/>
          <w:bCs/>
          <w:sz w:val="22"/>
          <w:szCs w:val="22"/>
        </w:rPr>
        <w:t xml:space="preserve"> </w:t>
      </w:r>
      <w:r w:rsidRPr="00524C36">
        <w:rPr>
          <w:rFonts w:ascii="Palatino Linotype" w:eastAsia="Palatino Linotype" w:hAnsi="Palatino Linotype" w:cs="Palatino Linotype"/>
          <w:sz w:val="22"/>
          <w:szCs w:val="22"/>
        </w:rPr>
        <w:t xml:space="preserve">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en contra de la respuesta a la solicitud de información con número de folio</w:t>
      </w:r>
      <w:r w:rsidRPr="00524C36">
        <w:rPr>
          <w:rFonts w:ascii="Palatino Linotype" w:eastAsia="Palatino Linotype" w:hAnsi="Palatino Linotype" w:cs="Palatino Linotype"/>
          <w:b/>
          <w:bCs/>
          <w:sz w:val="22"/>
          <w:szCs w:val="22"/>
        </w:rPr>
        <w:t xml:space="preserve"> 00073/PROPAEM/IP/2025, </w:t>
      </w:r>
      <w:r w:rsidRPr="00524C36">
        <w:rPr>
          <w:rFonts w:ascii="Palatino Linotype" w:eastAsia="Palatino Linotype" w:hAnsi="Palatino Linotype" w:cs="Palatino Linotype"/>
          <w:sz w:val="22"/>
          <w:szCs w:val="22"/>
        </w:rPr>
        <w:t xml:space="preserve">por parte del </w:t>
      </w:r>
      <w:r w:rsidRPr="00524C36">
        <w:rPr>
          <w:rFonts w:ascii="Palatino Linotype" w:eastAsia="Palatino Linotype" w:hAnsi="Palatino Linotype" w:cs="Palatino Linotype"/>
          <w:b/>
          <w:bCs/>
          <w:sz w:val="22"/>
          <w:szCs w:val="22"/>
        </w:rPr>
        <w:t xml:space="preserve">Procuraduría de Protección al Ambiente del Estado de México, </w:t>
      </w:r>
      <w:r w:rsidRPr="00524C36">
        <w:rPr>
          <w:rFonts w:ascii="Palatino Linotype" w:eastAsia="Palatino Linotype" w:hAnsi="Palatino Linotype" w:cs="Palatino Linotype"/>
          <w:sz w:val="22"/>
          <w:szCs w:val="22"/>
        </w:rPr>
        <w:t xml:space="preserve">en lo sucesivo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 xml:space="preserve">se procede a dictar la presente resolución con base en los siguientes: </w:t>
      </w:r>
    </w:p>
    <w:p w14:paraId="7DB8A71A" w14:textId="77777777" w:rsidR="007307D6" w:rsidRPr="00524C36" w:rsidRDefault="006265EB">
      <w:pPr>
        <w:spacing w:before="240" w:after="240" w:line="360" w:lineRule="auto"/>
        <w:jc w:val="center"/>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t>I. A N T E C E D E N T E S</w:t>
      </w:r>
    </w:p>
    <w:p w14:paraId="2FEF8BB4"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524C36">
        <w:rPr>
          <w:rFonts w:ascii="Palatino Linotype" w:eastAsia="Palatino Linotype" w:hAnsi="Palatino Linotype" w:cs="Palatino Linotype"/>
          <w:b/>
          <w:bCs/>
          <w:sz w:val="22"/>
          <w:szCs w:val="22"/>
        </w:rPr>
        <w:t>1. Solicitud de acceso a la información.</w:t>
      </w:r>
      <w:r w:rsidRPr="00524C36">
        <w:rPr>
          <w:rFonts w:ascii="Palatino Linotype" w:eastAsia="Palatino Linotype" w:hAnsi="Palatino Linotype" w:cs="Palatino Linotype"/>
          <w:sz w:val="22"/>
          <w:szCs w:val="22"/>
        </w:rPr>
        <w:t xml:space="preserve"> El </w:t>
      </w:r>
      <w:r w:rsidRPr="00524C36">
        <w:rPr>
          <w:rFonts w:ascii="Palatino Linotype" w:eastAsia="Palatino Linotype" w:hAnsi="Palatino Linotype" w:cs="Palatino Linotype"/>
          <w:b/>
          <w:bCs/>
          <w:sz w:val="22"/>
          <w:szCs w:val="22"/>
        </w:rPr>
        <w:t>trece de agosto de dos mil veinticinco,</w:t>
      </w:r>
      <w:r w:rsidRPr="00524C36">
        <w:rPr>
          <w:rFonts w:ascii="Palatino Linotype" w:eastAsia="Palatino Linotype" w:hAnsi="Palatino Linotype" w:cs="Palatino Linotype"/>
          <w:sz w:val="22"/>
          <w:szCs w:val="22"/>
        </w:rPr>
        <w:t xml:space="preserve">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 xml:space="preserve">presentó la solicitud de acceso a la información pública ante 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a través del Sistema de Acceso a la Información Mexiquense, en lo subsecuente el </w:t>
      </w:r>
      <w:r w:rsidRPr="00524C36">
        <w:rPr>
          <w:rFonts w:ascii="Palatino Linotype" w:eastAsia="Palatino Linotype" w:hAnsi="Palatino Linotype" w:cs="Palatino Linotype"/>
          <w:b/>
          <w:bCs/>
          <w:sz w:val="22"/>
          <w:szCs w:val="22"/>
        </w:rPr>
        <w:t>SAIMEX,</w:t>
      </w:r>
      <w:r w:rsidRPr="00524C36">
        <w:rPr>
          <w:rFonts w:ascii="Palatino Linotype" w:eastAsia="Palatino Linotype" w:hAnsi="Palatino Linotype" w:cs="Palatino Linotype"/>
          <w:sz w:val="22"/>
          <w:szCs w:val="22"/>
        </w:rPr>
        <w:t xml:space="preserve"> sin embargo, al corresponder con un día inhábil, se tuvo por presentada el </w:t>
      </w:r>
      <w:r w:rsidRPr="00524C36">
        <w:rPr>
          <w:rFonts w:ascii="Palatino Linotype" w:eastAsia="Palatino Linotype" w:hAnsi="Palatino Linotype" w:cs="Palatino Linotype"/>
          <w:b/>
          <w:bCs/>
          <w:sz w:val="22"/>
          <w:szCs w:val="22"/>
        </w:rPr>
        <w:t xml:space="preserve">cuatro de agosto de dos mil veinticinco, </w:t>
      </w:r>
      <w:r w:rsidRPr="00524C36">
        <w:rPr>
          <w:rFonts w:ascii="Palatino Linotype" w:eastAsia="Palatino Linotype" w:hAnsi="Palatino Linotype" w:cs="Palatino Linotype"/>
          <w:sz w:val="22"/>
          <w:szCs w:val="22"/>
        </w:rPr>
        <w:t>mediante la cual requirió lo siguiente:</w:t>
      </w:r>
    </w:p>
    <w:p w14:paraId="13CF4A97" w14:textId="77777777" w:rsidR="007307D6" w:rsidRPr="00524C36" w:rsidRDefault="006265EB">
      <w:pPr>
        <w:spacing w:before="120" w:after="120"/>
        <w:ind w:left="851" w:right="902"/>
        <w:jc w:val="both"/>
        <w:rPr>
          <w:rFonts w:ascii="Palatino Linotype" w:eastAsia="Palatino Linotype" w:hAnsi="Palatino Linotype" w:cs="Palatino Linotype"/>
          <w:b/>
          <w:bCs/>
          <w:i/>
          <w:iCs/>
          <w:sz w:val="22"/>
          <w:szCs w:val="22"/>
        </w:rPr>
      </w:pPr>
      <w:r w:rsidRPr="00524C36">
        <w:rPr>
          <w:rFonts w:ascii="Palatino Linotype" w:eastAsia="Palatino Linotype" w:hAnsi="Palatino Linotype" w:cs="Palatino Linotype"/>
          <w:i/>
          <w:iCs/>
          <w:sz w:val="22"/>
          <w:szCs w:val="22"/>
        </w:rPr>
        <w:t xml:space="preserve"> “Cuántas denuncias se recibieron por maltrato animal 2024, cuántos animales fueron asegurados, cuántos perros y gatos, en que municipios fueron las denuncias.</w:t>
      </w:r>
      <w:r w:rsidRPr="00524C36">
        <w:rPr>
          <w:rFonts w:ascii="Palatino Linotype" w:eastAsia="Palatino Linotype" w:hAnsi="Palatino Linotype" w:cs="Palatino Linotype"/>
          <w:b/>
          <w:bCs/>
          <w:i/>
          <w:iCs/>
          <w:sz w:val="22"/>
          <w:szCs w:val="22"/>
        </w:rPr>
        <w:t>”</w:t>
      </w:r>
      <w:r w:rsidRPr="00524C36">
        <w:rPr>
          <w:rFonts w:ascii="Palatino Linotype" w:eastAsia="Palatino Linotype" w:hAnsi="Palatino Linotype" w:cs="Palatino Linotype"/>
          <w:i/>
          <w:iCs/>
          <w:sz w:val="22"/>
          <w:szCs w:val="22"/>
        </w:rPr>
        <w:t xml:space="preserve"> (sic) </w:t>
      </w:r>
    </w:p>
    <w:p w14:paraId="126D404D"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524C36">
        <w:rPr>
          <w:rFonts w:ascii="Palatino Linotype" w:eastAsia="Palatino Linotype" w:hAnsi="Palatino Linotype" w:cs="Palatino Linotype"/>
          <w:b/>
          <w:bCs/>
          <w:sz w:val="22"/>
          <w:szCs w:val="22"/>
        </w:rPr>
        <w:t>Modalidad de Entrega:</w:t>
      </w:r>
      <w:r w:rsidRPr="00524C36">
        <w:rPr>
          <w:rFonts w:ascii="Palatino Linotype" w:eastAsia="Palatino Linotype" w:hAnsi="Palatino Linotype" w:cs="Palatino Linotype"/>
          <w:sz w:val="22"/>
          <w:szCs w:val="22"/>
        </w:rPr>
        <w:t xml:space="preserve"> a través del</w:t>
      </w:r>
      <w:r w:rsidRPr="00524C36">
        <w:rPr>
          <w:rFonts w:ascii="Palatino Linotype" w:eastAsia="Palatino Linotype" w:hAnsi="Palatino Linotype" w:cs="Palatino Linotype"/>
          <w:b/>
          <w:bCs/>
          <w:sz w:val="22"/>
          <w:szCs w:val="22"/>
        </w:rPr>
        <w:t xml:space="preserve"> SAIMEX.</w:t>
      </w:r>
    </w:p>
    <w:p w14:paraId="04487B5B"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2. Respuesta. </w:t>
      </w:r>
      <w:r w:rsidRPr="00524C36">
        <w:rPr>
          <w:rFonts w:ascii="Palatino Linotype" w:eastAsia="Palatino Linotype" w:hAnsi="Palatino Linotype" w:cs="Palatino Linotype"/>
          <w:sz w:val="22"/>
          <w:szCs w:val="22"/>
        </w:rPr>
        <w:t xml:space="preserve">El </w:t>
      </w:r>
      <w:r w:rsidRPr="00524C36">
        <w:rPr>
          <w:rFonts w:ascii="Palatino Linotype" w:eastAsia="Palatino Linotype" w:hAnsi="Palatino Linotype" w:cs="Palatino Linotype"/>
          <w:b/>
          <w:bCs/>
          <w:sz w:val="22"/>
          <w:szCs w:val="22"/>
        </w:rPr>
        <w:t>veintinueve de agosto de dos mil veinticinco,</w:t>
      </w:r>
      <w:r w:rsidRPr="00524C36">
        <w:rPr>
          <w:rFonts w:ascii="Palatino Linotype" w:eastAsia="Palatino Linotype" w:hAnsi="Palatino Linotype" w:cs="Palatino Linotype"/>
          <w:sz w:val="22"/>
          <w:szCs w:val="22"/>
        </w:rPr>
        <w:t xml:space="preserve">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6BB0FA11" w14:textId="77777777" w:rsidR="007307D6" w:rsidRPr="00524C36" w:rsidRDefault="006265EB">
      <w:pPr>
        <w:spacing w:before="240" w:after="24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lastRenderedPageBreak/>
        <w:t>“…POR MEDIO DE ESTE CONDUCTO Y CON FUNDAMENTO EN LO DISPUESTO POR EL ARTÍCULO 53 DE LA LEY DE TRANSPARENCIA Y ACCESO A LA INFORMACIÓN PÚBLICA DEL ESTADO DE MÉXICO Y MUNICIPIOS, ME PERMITO REMITIR LA RESPUESTA ENVIADA POR EL SERVIDOR PÚBLICO HABILITADO. NO OMITO MENCIONAR QUE, CUENTA CON UN PLAZO DE QUINCE DÍAS HÁBILES, CONTADOS A PARTIR DE LA FECHA EN QUE SE REALICE LA NOTIFICACIÓN, PARA INTERPONER RECURSO DE REVISIÓN, QUE SE SEÑALA LOS ARTÍCULOS 176, 177 Y 178 DE LA LEY DE TRANSPARENCIA Y ACCESO A LA INFORMACIÓN PÚBLICA DEL ESTADO DE MÉXICO Y MUNICIPIOS. SIN MÁS POR EL MOMENTO, ME DESPIDO DE USTED, REITERANDO ESTAR A SUS ÓRDENES...” (sic)</w:t>
      </w:r>
    </w:p>
    <w:p w14:paraId="7F765E3A"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adjuntó lo siguiente:</w:t>
      </w:r>
    </w:p>
    <w:p w14:paraId="7B09C13E"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Oficio número 231C01010006000L, mediante el cual el Subprocurador de Protección a la Fauna, mediante el cual proporcionó el número de denuncias presentadas por maltrato y crueldad animal en el ejercicio 2024, asimismo, refirió que derivado de realizar una búsqueda exhaustiva, minuciosa y razonable en los archivos físicos y electrónicos que se encuentran en la Subprocuraduría de Protección a la Fauna de la Procuraduría de Protección al Ambiente del Estado de México, se observó que no se cuenta con la información en los términos requeridos, por lo que se refiere a número de animales que fueron asegurados y el número de perros y gatos; y, finalmente, proporcionó los municipios en los cuales se presentaron las denuncias.</w:t>
      </w:r>
    </w:p>
    <w:p w14:paraId="40475033"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3. Interposición del recurso de revisión. </w:t>
      </w:r>
      <w:r w:rsidRPr="00524C36">
        <w:rPr>
          <w:rFonts w:ascii="Palatino Linotype" w:eastAsia="Palatino Linotype" w:hAnsi="Palatino Linotype" w:cs="Palatino Linotype"/>
          <w:sz w:val="22"/>
          <w:szCs w:val="22"/>
        </w:rPr>
        <w:t xml:space="preserve">Inconforme con los términos de la respuesta emitida por parte del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el </w:t>
      </w:r>
      <w:r w:rsidRPr="00524C36">
        <w:rPr>
          <w:rFonts w:ascii="Palatino Linotype" w:eastAsia="Palatino Linotype" w:hAnsi="Palatino Linotype" w:cs="Palatino Linotype"/>
          <w:b/>
          <w:bCs/>
          <w:sz w:val="22"/>
          <w:szCs w:val="22"/>
        </w:rPr>
        <w:t>uno de septiembre de dos mil veinticinco,</w:t>
      </w:r>
      <w:r w:rsidRPr="00524C36">
        <w:rPr>
          <w:rFonts w:ascii="Palatino Linotype" w:eastAsia="Palatino Linotype" w:hAnsi="Palatino Linotype" w:cs="Palatino Linotype"/>
          <w:sz w:val="22"/>
          <w:szCs w:val="22"/>
        </w:rPr>
        <w:t xml:space="preserve">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interpuso el recurso de revisión a través de </w:t>
      </w:r>
      <w:r w:rsidRPr="00524C36">
        <w:rPr>
          <w:rFonts w:ascii="Palatino Linotype" w:eastAsia="Palatino Linotype" w:hAnsi="Palatino Linotype" w:cs="Palatino Linotype"/>
          <w:b/>
          <w:bCs/>
          <w:sz w:val="22"/>
          <w:szCs w:val="22"/>
        </w:rPr>
        <w:t xml:space="preserve">SAIMEX, </w:t>
      </w:r>
      <w:r w:rsidRPr="00524C36">
        <w:rPr>
          <w:rFonts w:ascii="Palatino Linotype" w:eastAsia="Palatino Linotype" w:hAnsi="Palatino Linotype" w:cs="Palatino Linotype"/>
          <w:sz w:val="22"/>
          <w:szCs w:val="22"/>
        </w:rPr>
        <w:t>en donde se manifestó de la siguiente manera:</w:t>
      </w:r>
    </w:p>
    <w:p w14:paraId="0ADC84EE" w14:textId="77777777" w:rsidR="007307D6" w:rsidRPr="00524C36" w:rsidRDefault="007307D6">
      <w:pPr>
        <w:spacing w:before="240" w:after="240" w:line="360" w:lineRule="auto"/>
        <w:ind w:right="49"/>
        <w:jc w:val="both"/>
        <w:rPr>
          <w:rFonts w:ascii="Palatino Linotype" w:eastAsia="Palatino Linotype" w:hAnsi="Palatino Linotype" w:cs="Palatino Linotype"/>
          <w:sz w:val="22"/>
          <w:szCs w:val="22"/>
        </w:rPr>
      </w:pPr>
    </w:p>
    <w:p w14:paraId="48E44E1D" w14:textId="77777777" w:rsidR="007307D6" w:rsidRPr="00524C36" w:rsidRDefault="006265EB">
      <w:pPr>
        <w:spacing w:before="240" w:after="240" w:line="360" w:lineRule="auto"/>
        <w:ind w:right="49"/>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lastRenderedPageBreak/>
        <w:t xml:space="preserve">Acto impugnado: </w:t>
      </w:r>
    </w:p>
    <w:p w14:paraId="79959C74" w14:textId="77777777" w:rsidR="007307D6" w:rsidRPr="00524C36" w:rsidRDefault="006265EB">
      <w:pPr>
        <w:ind w:left="851" w:right="900"/>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“La respuesta de la procuraduría de protección al ambiente” (sic)</w:t>
      </w:r>
    </w:p>
    <w:p w14:paraId="7B9FF9E2" w14:textId="77777777" w:rsidR="007307D6" w:rsidRPr="00524C36" w:rsidRDefault="006265EB">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524C36">
        <w:rPr>
          <w:rFonts w:ascii="Palatino Linotype" w:eastAsia="Palatino Linotype" w:hAnsi="Palatino Linotype" w:cs="Palatino Linotype"/>
          <w:b/>
          <w:bCs/>
          <w:sz w:val="22"/>
          <w:szCs w:val="22"/>
        </w:rPr>
        <w:t>Y, Razones o motivos de inconformidad</w:t>
      </w:r>
      <w:r w:rsidRPr="00524C36">
        <w:rPr>
          <w:rFonts w:ascii="Palatino Linotype" w:eastAsia="Palatino Linotype" w:hAnsi="Palatino Linotype" w:cs="Palatino Linotype"/>
          <w:sz w:val="22"/>
          <w:szCs w:val="22"/>
        </w:rPr>
        <w:t>:</w:t>
      </w:r>
    </w:p>
    <w:p w14:paraId="43425B19" w14:textId="77777777" w:rsidR="007307D6" w:rsidRPr="00524C36" w:rsidRDefault="006265EB">
      <w:pPr>
        <w:tabs>
          <w:tab w:val="left" w:pos="2745"/>
        </w:tabs>
        <w:spacing w:before="240" w:after="240"/>
        <w:ind w:left="851" w:right="900"/>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“Me entregan la información incompleta, no me indica cuántos animales fueron los asegurados, no menciona si estos fueron perros o gatos, si no pueden contestar bien una solicituducho menos atender los casos de los animales maltratados” (sic)</w:t>
      </w:r>
    </w:p>
    <w:p w14:paraId="63AD9BA2" w14:textId="77777777" w:rsidR="007307D6" w:rsidRPr="00524C36" w:rsidRDefault="006265EB">
      <w:pPr>
        <w:spacing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4. Turno. </w:t>
      </w:r>
      <w:r w:rsidRPr="00524C3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24C36">
        <w:rPr>
          <w:rFonts w:ascii="Palatino Linotype" w:eastAsia="Palatino Linotype" w:hAnsi="Palatino Linotype" w:cs="Palatino Linotype"/>
          <w:b/>
          <w:bCs/>
          <w:sz w:val="22"/>
          <w:szCs w:val="22"/>
        </w:rPr>
        <w:t xml:space="preserve">Guadalupe Ramírez Peña, </w:t>
      </w:r>
      <w:r w:rsidRPr="00524C36">
        <w:rPr>
          <w:rFonts w:ascii="Palatino Linotype" w:eastAsia="Palatino Linotype" w:hAnsi="Palatino Linotype" w:cs="Palatino Linotype"/>
          <w:sz w:val="22"/>
          <w:szCs w:val="22"/>
        </w:rPr>
        <w:t>a efecto de que analizara sobre su admisión o su desechamiento.</w:t>
      </w:r>
    </w:p>
    <w:p w14:paraId="16386F9E" w14:textId="77777777" w:rsidR="007307D6" w:rsidRPr="00524C36" w:rsidRDefault="006265EB">
      <w:pPr>
        <w:spacing w:before="240" w:after="240" w:line="360" w:lineRule="auto"/>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t>5. Admisión del Recurso de revisión.</w:t>
      </w:r>
      <w:r w:rsidRPr="00524C36">
        <w:rPr>
          <w:rFonts w:ascii="Palatino Linotype" w:eastAsia="Palatino Linotype" w:hAnsi="Palatino Linotype" w:cs="Palatino Linotype"/>
          <w:sz w:val="22"/>
          <w:szCs w:val="22"/>
        </w:rPr>
        <w:t xml:space="preserve"> El</w:t>
      </w:r>
      <w:r w:rsidRPr="00524C36">
        <w:rPr>
          <w:rFonts w:ascii="Palatino Linotype" w:eastAsia="Palatino Linotype" w:hAnsi="Palatino Linotype" w:cs="Palatino Linotype"/>
          <w:b/>
          <w:bCs/>
          <w:sz w:val="22"/>
          <w:szCs w:val="22"/>
        </w:rPr>
        <w:t xml:space="preserve"> cuatro de septiembre de dos mil veinticinco, </w:t>
      </w:r>
      <w:r w:rsidRPr="00524C3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presentara su informe justificado.</w:t>
      </w:r>
    </w:p>
    <w:p w14:paraId="0E1ECB1B"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524C36">
        <w:rPr>
          <w:rFonts w:ascii="Palatino Linotype" w:eastAsia="Palatino Linotype" w:hAnsi="Palatino Linotype" w:cs="Palatino Linotype"/>
          <w:b/>
          <w:bCs/>
          <w:sz w:val="22"/>
          <w:szCs w:val="22"/>
        </w:rPr>
        <w:t>6. Manifestaciones</w:t>
      </w:r>
      <w:r w:rsidRPr="00524C36">
        <w:rPr>
          <w:rFonts w:ascii="Palatino Linotype" w:eastAsia="Palatino Linotype" w:hAnsi="Palatino Linotype" w:cs="Palatino Linotype"/>
          <w:sz w:val="22"/>
          <w:szCs w:val="22"/>
        </w:rPr>
        <w:t xml:space="preserve">. De las constancias que obran en el expediente electrónico del SAIMEX se desprende que 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no rindió su Informe Justificado, como se observa a continuación:</w:t>
      </w:r>
    </w:p>
    <w:p w14:paraId="4E6281F5"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noProof/>
          <w:sz w:val="22"/>
          <w:szCs w:val="22"/>
        </w:rPr>
        <w:drawing>
          <wp:inline distT="0" distB="0" distL="0" distR="0" wp14:anchorId="2A68631B" wp14:editId="01AED65C">
            <wp:extent cx="5612130" cy="1439693"/>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25541"/>
                    <a:stretch>
                      <a:fillRect/>
                    </a:stretch>
                  </pic:blipFill>
                  <pic:spPr>
                    <a:xfrm>
                      <a:off x="0" y="0"/>
                      <a:ext cx="5612130" cy="1439693"/>
                    </a:xfrm>
                    <a:prstGeom prst="rect">
                      <a:avLst/>
                    </a:prstGeom>
                    <a:ln/>
                  </pic:spPr>
                </pic:pic>
              </a:graphicData>
            </a:graphic>
          </wp:inline>
        </w:drawing>
      </w:r>
    </w:p>
    <w:p w14:paraId="342061DB"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Mientras que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el </w:t>
      </w:r>
      <w:r w:rsidRPr="00524C36">
        <w:rPr>
          <w:rFonts w:ascii="Palatino Linotype" w:eastAsia="Palatino Linotype" w:hAnsi="Palatino Linotype" w:cs="Palatino Linotype"/>
          <w:b/>
          <w:bCs/>
          <w:sz w:val="22"/>
          <w:szCs w:val="22"/>
        </w:rPr>
        <w:t xml:space="preserve">veintiocho de septiembre de dos mil veinticinco, </w:t>
      </w:r>
      <w:r w:rsidRPr="00524C36">
        <w:rPr>
          <w:rFonts w:ascii="Palatino Linotype" w:eastAsia="Palatino Linotype" w:hAnsi="Palatino Linotype" w:cs="Palatino Linotype"/>
          <w:sz w:val="22"/>
          <w:szCs w:val="22"/>
        </w:rPr>
        <w:t xml:space="preserve">remitió a través del </w:t>
      </w:r>
      <w:r w:rsidRPr="00524C36">
        <w:rPr>
          <w:rFonts w:ascii="Palatino Linotype" w:eastAsia="Palatino Linotype" w:hAnsi="Palatino Linotype" w:cs="Palatino Linotype"/>
          <w:b/>
          <w:bCs/>
          <w:sz w:val="22"/>
          <w:szCs w:val="22"/>
        </w:rPr>
        <w:t xml:space="preserve">SAIMEX, </w:t>
      </w:r>
      <w:r w:rsidRPr="00524C36">
        <w:rPr>
          <w:rFonts w:ascii="Palatino Linotype" w:eastAsia="Palatino Linotype" w:hAnsi="Palatino Linotype" w:cs="Palatino Linotype"/>
          <w:sz w:val="22"/>
          <w:szCs w:val="22"/>
        </w:rPr>
        <w:t>un escrito libre en formato Word, mediante el cual refirió lo siguiente:</w:t>
      </w:r>
    </w:p>
    <w:p w14:paraId="5956DDD5" w14:textId="77777777" w:rsidR="007307D6" w:rsidRPr="00524C36" w:rsidRDefault="006265EB">
      <w:pPr>
        <w:spacing w:before="240" w:after="240" w:line="360" w:lineRule="auto"/>
        <w:jc w:val="center"/>
        <w:rPr>
          <w:rFonts w:ascii="Palatino Linotype" w:eastAsia="Palatino Linotype" w:hAnsi="Palatino Linotype" w:cs="Palatino Linotype"/>
          <w:sz w:val="22"/>
          <w:szCs w:val="22"/>
        </w:rPr>
      </w:pPr>
      <w:r w:rsidRPr="00524C36">
        <w:rPr>
          <w:rFonts w:ascii="Palatino Linotype" w:eastAsia="Palatino Linotype" w:hAnsi="Palatino Linotype" w:cs="Palatino Linotype"/>
          <w:noProof/>
          <w:sz w:val="22"/>
          <w:szCs w:val="22"/>
        </w:rPr>
        <w:drawing>
          <wp:inline distT="0" distB="0" distL="0" distR="0" wp14:anchorId="2B6228D7" wp14:editId="6FC59A65">
            <wp:extent cx="4500000" cy="1307026"/>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00000" cy="1307026"/>
                    </a:xfrm>
                    <a:prstGeom prst="rect">
                      <a:avLst/>
                    </a:prstGeom>
                    <a:ln/>
                  </pic:spPr>
                </pic:pic>
              </a:graphicData>
            </a:graphic>
          </wp:inline>
        </w:drawing>
      </w:r>
    </w:p>
    <w:p w14:paraId="748914F5" w14:textId="77777777" w:rsidR="007307D6" w:rsidRPr="00524C36" w:rsidRDefault="006265EB">
      <w:pPr>
        <w:widowControl w:val="0"/>
        <w:spacing w:before="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7. Cierre de instrucción. </w:t>
      </w:r>
      <w:r w:rsidRPr="00524C3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524C36">
        <w:rPr>
          <w:rFonts w:ascii="Palatino Linotype" w:eastAsia="Palatino Linotype" w:hAnsi="Palatino Linotype" w:cs="Palatino Linotype"/>
          <w:b/>
          <w:bCs/>
          <w:sz w:val="22"/>
          <w:szCs w:val="22"/>
        </w:rPr>
        <w:t>cuatro de noviembre de dos mil veinticinco</w:t>
      </w:r>
      <w:r w:rsidRPr="00524C3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9F60060" w14:textId="77777777" w:rsidR="007307D6" w:rsidRPr="00524C36" w:rsidRDefault="006265EB">
      <w:pPr>
        <w:widowControl w:val="0"/>
        <w:spacing w:before="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8. Ampliación del término para resolver</w:t>
      </w:r>
      <w:r w:rsidRPr="00524C36">
        <w:rPr>
          <w:rFonts w:ascii="Palatino Linotype" w:eastAsia="Palatino Linotype" w:hAnsi="Palatino Linotype" w:cs="Palatino Linotype"/>
          <w:sz w:val="22"/>
          <w:szCs w:val="22"/>
        </w:rPr>
        <w:t xml:space="preserve">. El </w:t>
      </w:r>
      <w:r w:rsidRPr="00524C36">
        <w:rPr>
          <w:rFonts w:ascii="Palatino Linotype" w:eastAsia="Palatino Linotype" w:hAnsi="Palatino Linotype" w:cs="Palatino Linotype"/>
          <w:b/>
          <w:bCs/>
          <w:sz w:val="22"/>
          <w:szCs w:val="22"/>
        </w:rPr>
        <w:t>seis de noviembre de dos mil veinticinco</w:t>
      </w:r>
      <w:r w:rsidRPr="00524C36">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D794900"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0F274F2"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07D29C6"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B8842C"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B34D66" w14:textId="77777777" w:rsidR="007307D6" w:rsidRPr="00524C36" w:rsidRDefault="006265EB">
      <w:pPr>
        <w:spacing w:before="240" w:after="240" w:line="360" w:lineRule="auto"/>
        <w:jc w:val="both"/>
        <w:rPr>
          <w:rFonts w:ascii="Palatino Linotype" w:eastAsia="Palatino Linotype" w:hAnsi="Palatino Linotype" w:cs="Palatino Linotype"/>
          <w:strike/>
          <w:sz w:val="22"/>
          <w:szCs w:val="22"/>
        </w:rPr>
      </w:pPr>
      <w:r w:rsidRPr="00524C3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2AD0B7C" w14:textId="77777777" w:rsidR="007307D6" w:rsidRPr="00524C36" w:rsidRDefault="006265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339E6E30" w14:textId="77777777" w:rsidR="007307D6" w:rsidRPr="00524C36" w:rsidRDefault="006265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Actividad Procesal del interesado. Acciones u omisiones del interesado.</w:t>
      </w:r>
    </w:p>
    <w:p w14:paraId="5FF5EE9E" w14:textId="77777777" w:rsidR="007307D6" w:rsidRPr="00524C36" w:rsidRDefault="006265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8D012AA" w14:textId="77777777" w:rsidR="007307D6" w:rsidRPr="00524C36" w:rsidRDefault="006265EB">
      <w:pPr>
        <w:tabs>
          <w:tab w:val="left" w:pos="567"/>
        </w:tabs>
        <w:spacing w:before="240" w:after="240" w:line="360" w:lineRule="auto"/>
        <w:ind w:left="284"/>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168F9D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45B780" w14:textId="77777777" w:rsidR="007307D6" w:rsidRPr="00524C36" w:rsidRDefault="006265EB">
      <w:pPr>
        <w:spacing w:before="240" w:after="240" w:line="360" w:lineRule="auto"/>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24C36">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524C36">
        <w:rPr>
          <w:rFonts w:ascii="Palatino Linotype" w:eastAsia="Palatino Linotype" w:hAnsi="Palatino Linotype" w:cs="Palatino Linotype"/>
          <w:sz w:val="22"/>
          <w:szCs w:val="22"/>
        </w:rPr>
        <w:t>, visible en la Gaceta del Seminario Judicial de la Federación con el registro digital 205635.</w:t>
      </w:r>
    </w:p>
    <w:p w14:paraId="749D6FC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D6340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296F1CB" w14:textId="77777777" w:rsidR="007307D6" w:rsidRPr="00524C36" w:rsidRDefault="006265EB">
      <w:pPr>
        <w:spacing w:before="120" w:after="120"/>
        <w:ind w:left="851" w:right="902"/>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 </w:t>
      </w: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sz w:val="22"/>
          <w:szCs w:val="22"/>
        </w:rPr>
        <w:t xml:space="preserve"> consultable en el Seminario Judicial de la Federación y su gaceta, con el registro digital 2002351.</w:t>
      </w:r>
    </w:p>
    <w:p w14:paraId="23C6DF40" w14:textId="77777777" w:rsidR="007307D6" w:rsidRPr="00524C36" w:rsidRDefault="006265EB">
      <w:pPr>
        <w:spacing w:before="120" w:after="120"/>
        <w:ind w:left="851" w:right="902"/>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sz w:val="22"/>
          <w:szCs w:val="22"/>
        </w:rPr>
        <w:t>, visible en el Seminario Judicial de la Federación y su gaceta, con el registro digital 2002350.</w:t>
      </w:r>
    </w:p>
    <w:p w14:paraId="1F6F604F"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ECE8A2C" w14:textId="77777777" w:rsidR="007307D6" w:rsidRPr="00524C36" w:rsidRDefault="006265EB">
      <w:pPr>
        <w:widowControl w:val="0"/>
        <w:spacing w:before="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4977ACD" w14:textId="77777777" w:rsidR="007307D6" w:rsidRPr="00524C36" w:rsidRDefault="006265EB">
      <w:pPr>
        <w:widowControl w:val="0"/>
        <w:spacing w:before="240" w:after="240" w:line="360" w:lineRule="auto"/>
        <w:jc w:val="center"/>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t>II. C O N S I D E R A N D O S</w:t>
      </w:r>
    </w:p>
    <w:p w14:paraId="624EC284"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Primero. Competencia.</w:t>
      </w:r>
      <w:r w:rsidRPr="00524C3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893D10"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524C36">
        <w:rPr>
          <w:rFonts w:ascii="Palatino Linotype" w:eastAsia="Palatino Linotype" w:hAnsi="Palatino Linotype" w:cs="Palatino Linotype"/>
          <w:b/>
          <w:bCs/>
          <w:sz w:val="22"/>
          <w:szCs w:val="22"/>
        </w:rPr>
        <w:t>Segundo. Oportunidad y Procedibilidad del Recurso de Revisión</w:t>
      </w:r>
      <w:r w:rsidRPr="00524C3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F852FF"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 xml:space="preserve">remitió la respuesta a la solicitud de información el día </w:t>
      </w:r>
      <w:r w:rsidRPr="00524C36">
        <w:rPr>
          <w:rFonts w:ascii="Palatino Linotype" w:eastAsia="Palatino Linotype" w:hAnsi="Palatino Linotype" w:cs="Palatino Linotype"/>
          <w:b/>
          <w:bCs/>
          <w:sz w:val="22"/>
          <w:szCs w:val="22"/>
        </w:rPr>
        <w:t xml:space="preserve">veintinueve de agosto de dos mil veinticinco, </w:t>
      </w:r>
      <w:r w:rsidRPr="00524C36">
        <w:rPr>
          <w:rFonts w:ascii="Palatino Linotype" w:eastAsia="Palatino Linotype" w:hAnsi="Palatino Linotype" w:cs="Palatino Linotype"/>
          <w:sz w:val="22"/>
          <w:szCs w:val="22"/>
        </w:rPr>
        <w:t xml:space="preserve">mientras que el recurso de revisión interpuesto por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se tuvo por presentado el día</w:t>
      </w:r>
      <w:r w:rsidRPr="00524C36">
        <w:rPr>
          <w:rFonts w:ascii="Palatino Linotype" w:eastAsia="Palatino Linotype" w:hAnsi="Palatino Linotype" w:cs="Palatino Linotype"/>
          <w:b/>
          <w:bCs/>
          <w:sz w:val="22"/>
          <w:szCs w:val="22"/>
        </w:rPr>
        <w:t xml:space="preserve"> uno de septiembre de dos mil veinticinco, </w:t>
      </w:r>
      <w:r w:rsidRPr="00524C36">
        <w:rPr>
          <w:rFonts w:ascii="Palatino Linotype" w:eastAsia="Palatino Linotype" w:hAnsi="Palatino Linotype" w:cs="Palatino Linotype"/>
          <w:sz w:val="22"/>
          <w:szCs w:val="22"/>
        </w:rPr>
        <w:t>esto es, al siguiente día hábil posterior a aquel en el que tuvo conocimiento de la respuesta impugnada. En este sentido, se concluye que el presente recurso de revisión se encuentra dentro de los márgenes temporales previstos en las disposiciones legales referidas.</w:t>
      </w:r>
    </w:p>
    <w:p w14:paraId="0294E5B9" w14:textId="77777777" w:rsidR="007307D6" w:rsidRPr="00524C36" w:rsidRDefault="006265EB">
      <w:pPr>
        <w:spacing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Además, por cuanto hace a la procedibilidad del recurso de revisión, es de suma importancia señalar que la parte</w:t>
      </w:r>
      <w:r w:rsidRPr="00524C36">
        <w:rPr>
          <w:rFonts w:ascii="Palatino Linotype" w:eastAsia="Palatino Linotype" w:hAnsi="Palatino Linotype" w:cs="Palatino Linotype"/>
          <w:b/>
          <w:bCs/>
          <w:sz w:val="22"/>
          <w:szCs w:val="22"/>
        </w:rPr>
        <w:t xml:space="preserve"> Recurrente</w:t>
      </w:r>
      <w:r w:rsidRPr="00524C36">
        <w:rPr>
          <w:rFonts w:ascii="Palatino Linotype" w:eastAsia="Palatino Linotype" w:hAnsi="Palatino Linotype" w:cs="Palatino Linotype"/>
          <w:sz w:val="22"/>
          <w:szCs w:val="22"/>
        </w:rPr>
        <w:t xml:space="preserve">, no señaló un </w:t>
      </w:r>
      <w:r w:rsidRPr="00524C36">
        <w:rPr>
          <w:rFonts w:ascii="Palatino Linotype" w:eastAsia="Palatino Linotype" w:hAnsi="Palatino Linotype" w:cs="Palatino Linotype"/>
          <w:b/>
          <w:bCs/>
          <w:sz w:val="22"/>
          <w:szCs w:val="22"/>
        </w:rPr>
        <w:t>nombre</w:t>
      </w:r>
      <w:r w:rsidRPr="00524C36">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53D8F99"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Las solicitudes anónimas</w:t>
      </w:r>
      <w:r w:rsidRPr="00524C36">
        <w:rPr>
          <w:rFonts w:ascii="Palatino Linotype" w:eastAsia="Palatino Linotype" w:hAnsi="Palatino Linotype" w:cs="Palatino Linotype"/>
          <w:i/>
          <w:iCs/>
          <w:sz w:val="22"/>
          <w:szCs w:val="22"/>
        </w:rPr>
        <w:t xml:space="preserve">, con nombre incompleto o </w:t>
      </w:r>
      <w:r w:rsidRPr="00524C36">
        <w:rPr>
          <w:rFonts w:ascii="Palatino Linotype" w:eastAsia="Palatino Linotype" w:hAnsi="Palatino Linotype" w:cs="Palatino Linotype"/>
          <w:b/>
          <w:bCs/>
          <w:i/>
          <w:iCs/>
          <w:sz w:val="22"/>
          <w:szCs w:val="22"/>
        </w:rPr>
        <w:t>seudónimo</w:t>
      </w:r>
      <w:r w:rsidRPr="00524C36">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45BAAC90" w14:textId="77777777" w:rsidR="007307D6" w:rsidRPr="00524C36" w:rsidRDefault="006265EB">
      <w:pPr>
        <w:spacing w:before="240" w:after="240" w:line="360" w:lineRule="auto"/>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524C36">
        <w:rPr>
          <w:rFonts w:ascii="Palatino Linotype" w:eastAsia="Palatino Linotype" w:hAnsi="Palatino Linotype" w:cs="Palatino Linotype"/>
          <w:b/>
          <w:bCs/>
          <w:sz w:val="22"/>
          <w:szCs w:val="22"/>
        </w:rPr>
        <w:t xml:space="preserve"> SAIMEX.</w:t>
      </w:r>
    </w:p>
    <w:p w14:paraId="257AE1D6"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76369A31" w14:textId="77777777" w:rsidR="007307D6" w:rsidRPr="00524C36" w:rsidRDefault="006265EB">
      <w:pPr>
        <w:tabs>
          <w:tab w:val="left" w:pos="7938"/>
        </w:tabs>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Artículo 179.</w:t>
      </w:r>
      <w:r w:rsidRPr="00524C36">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27C646A2" w14:textId="77777777" w:rsidR="007307D6" w:rsidRPr="00524C36" w:rsidRDefault="006265EB">
      <w:pPr>
        <w:tabs>
          <w:tab w:val="left" w:pos="7938"/>
        </w:tabs>
        <w:spacing w:before="120" w:after="120"/>
        <w:ind w:left="851" w:right="900"/>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p>
    <w:p w14:paraId="7C908000" w14:textId="77777777" w:rsidR="007307D6" w:rsidRPr="00524C36" w:rsidRDefault="006265EB">
      <w:pPr>
        <w:tabs>
          <w:tab w:val="left" w:pos="7938"/>
        </w:tabs>
        <w:spacing w:before="120" w:after="120"/>
        <w:ind w:left="851" w:right="900"/>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V.</w:t>
      </w:r>
      <w:r w:rsidRPr="00524C36">
        <w:rPr>
          <w:rFonts w:ascii="Palatino Linotype" w:eastAsia="Palatino Linotype" w:hAnsi="Palatino Linotype" w:cs="Palatino Linotype"/>
          <w:i/>
          <w:iCs/>
          <w:sz w:val="22"/>
          <w:szCs w:val="22"/>
        </w:rPr>
        <w:t xml:space="preserve"> La entrega de información incompleta;”</w:t>
      </w:r>
    </w:p>
    <w:p w14:paraId="4E8B8752" w14:textId="77777777" w:rsidR="007307D6" w:rsidRPr="00524C36" w:rsidRDefault="006265EB">
      <w:pPr>
        <w:spacing w:before="240" w:after="240" w:line="360" w:lineRule="auto"/>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t xml:space="preserve">Tercero. Materia de la revisión. </w:t>
      </w:r>
      <w:r w:rsidRPr="00524C3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24C36">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524C36">
        <w:rPr>
          <w:rFonts w:ascii="Palatino Linotype" w:eastAsia="Palatino Linotype" w:hAnsi="Palatino Linotype" w:cs="Palatino Linotype"/>
          <w:sz w:val="22"/>
          <w:szCs w:val="22"/>
        </w:rPr>
        <w:t xml:space="preserve">de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o en su defecto, en caso de ser procedente, ordenar la entrega de información.</w:t>
      </w:r>
    </w:p>
    <w:p w14:paraId="59D3306D"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524C36">
        <w:rPr>
          <w:rFonts w:ascii="Palatino Linotype" w:eastAsia="Palatino Linotype" w:hAnsi="Palatino Linotype" w:cs="Palatino Linotype"/>
          <w:b/>
          <w:bCs/>
          <w:sz w:val="22"/>
          <w:szCs w:val="22"/>
        </w:rPr>
        <w:t xml:space="preserve">Cuarto. Estudio del asunto. </w:t>
      </w:r>
      <w:r w:rsidRPr="00524C36">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F5A50F"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Artículo 4</w:t>
      </w:r>
      <w:r w:rsidRPr="00524C36">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BC9F3AA"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24C36">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95719C"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24C36">
        <w:rPr>
          <w:rFonts w:ascii="Palatino Linotype" w:eastAsia="Palatino Linotype" w:hAnsi="Palatino Linotype" w:cs="Palatino Linotype"/>
          <w:i/>
          <w:iCs/>
          <w:sz w:val="22"/>
          <w:szCs w:val="22"/>
        </w:rPr>
        <w:t>.”</w:t>
      </w:r>
    </w:p>
    <w:p w14:paraId="493457FF"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820A1CF"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“Artículo 12.-</w:t>
      </w:r>
      <w:r w:rsidRPr="00524C36">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6EC69AE"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24C36">
        <w:rPr>
          <w:rFonts w:ascii="Palatino Linotype" w:eastAsia="Palatino Linotype" w:hAnsi="Palatino Linotype" w:cs="Palatino Linotype"/>
          <w:i/>
          <w:iCs/>
          <w:sz w:val="22"/>
          <w:szCs w:val="22"/>
        </w:rPr>
        <w:t xml:space="preserve">. </w:t>
      </w:r>
      <w:r w:rsidRPr="00524C36">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69EE5D9" w14:textId="77777777" w:rsidR="007307D6" w:rsidRPr="00524C36" w:rsidRDefault="006265EB">
      <w:pPr>
        <w:spacing w:before="240" w:after="240" w:line="360" w:lineRule="auto"/>
        <w:ind w:right="-93"/>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8E45AB3" w14:textId="77777777" w:rsidR="007307D6" w:rsidRPr="00524C36" w:rsidRDefault="006265EB">
      <w:pPr>
        <w:spacing w:before="240" w:after="240" w:line="360" w:lineRule="auto"/>
        <w:jc w:val="both"/>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524C36">
        <w:rPr>
          <w:rFonts w:ascii="Palatino Linotype" w:eastAsia="Palatino Linotype" w:hAnsi="Palatino Linotype" w:cs="Palatino Linotype"/>
          <w:b/>
          <w:bCs/>
          <w:sz w:val="22"/>
          <w:szCs w:val="22"/>
        </w:rPr>
        <w:t xml:space="preserve"> </w:t>
      </w:r>
    </w:p>
    <w:p w14:paraId="0B784698" w14:textId="77777777" w:rsidR="007307D6" w:rsidRPr="00524C36" w:rsidRDefault="006265EB">
      <w:pPr>
        <w:spacing w:before="120" w:after="120"/>
        <w:ind w:left="1134"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 xml:space="preserve"> “</w:t>
      </w:r>
      <w:r w:rsidRPr="00524C36">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24C36">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038E639" w14:textId="77777777" w:rsidR="007307D6" w:rsidRPr="00524C36" w:rsidRDefault="006265EB">
      <w:pPr>
        <w:spacing w:before="120" w:after="12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1E4EA9B" w14:textId="77777777" w:rsidR="007307D6" w:rsidRPr="00524C36" w:rsidRDefault="006265EB">
      <w:pPr>
        <w:spacing w:before="120" w:after="12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609043E" w14:textId="77777777" w:rsidR="007307D6" w:rsidRPr="00524C36" w:rsidRDefault="006265EB">
      <w:pPr>
        <w:tabs>
          <w:tab w:val="left" w:pos="993"/>
        </w:tabs>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 xml:space="preserve">Artículo 3. </w:t>
      </w:r>
      <w:r w:rsidRPr="00524C36">
        <w:rPr>
          <w:rFonts w:ascii="Palatino Linotype" w:eastAsia="Palatino Linotype" w:hAnsi="Palatino Linotype" w:cs="Palatino Linotype"/>
          <w:i/>
          <w:iCs/>
          <w:sz w:val="22"/>
          <w:szCs w:val="22"/>
        </w:rPr>
        <w:t>Para los efectos de la presente Ley se entenderá por:</w:t>
      </w:r>
    </w:p>
    <w:p w14:paraId="22F48063" w14:textId="77777777" w:rsidR="007307D6" w:rsidRPr="00524C36" w:rsidRDefault="006265EB">
      <w:pPr>
        <w:tabs>
          <w:tab w:val="left" w:pos="993"/>
        </w:tabs>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p>
    <w:p w14:paraId="18EE22D8" w14:textId="77777777" w:rsidR="007307D6" w:rsidRPr="00524C36" w:rsidRDefault="006265EB">
      <w:pPr>
        <w:tabs>
          <w:tab w:val="left" w:pos="993"/>
        </w:tabs>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z w:val="22"/>
          <w:szCs w:val="22"/>
        </w:rPr>
        <w:t>XI. Documento:</w:t>
      </w:r>
      <w:r w:rsidRPr="00524C36">
        <w:rPr>
          <w:rFonts w:ascii="Palatino Linotype" w:eastAsia="Palatino Linotype" w:hAnsi="Palatino Linotype" w:cs="Palatino Linotype"/>
          <w:i/>
          <w:iCs/>
          <w:sz w:val="22"/>
          <w:szCs w:val="22"/>
        </w:rPr>
        <w:t xml:space="preserve"> Los expedientes, reportes, estudios, actas</w:t>
      </w:r>
      <w:r w:rsidRPr="00524C36">
        <w:rPr>
          <w:rFonts w:ascii="Palatino Linotype" w:eastAsia="Palatino Linotype" w:hAnsi="Palatino Linotype" w:cs="Palatino Linotype"/>
          <w:b/>
          <w:bCs/>
          <w:i/>
          <w:iCs/>
          <w:sz w:val="22"/>
          <w:szCs w:val="22"/>
        </w:rPr>
        <w:t>,</w:t>
      </w:r>
      <w:r w:rsidRPr="00524C36">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2BB79E3"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3F9C87"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sz w:val="22"/>
          <w:szCs w:val="22"/>
        </w:rPr>
        <w:t>“</w:t>
      </w:r>
      <w:r w:rsidRPr="00524C36">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524C36">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64E78C" w14:textId="77777777" w:rsidR="007307D6" w:rsidRPr="00524C36" w:rsidRDefault="006265EB">
      <w:pP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613C40C" w14:textId="77777777" w:rsidR="007307D6" w:rsidRPr="00524C36" w:rsidRDefault="006265EB">
      <w:pPr>
        <w:spacing w:before="120" w:after="120"/>
        <w:ind w:left="1134"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3F54C033" w14:textId="77777777" w:rsidR="007307D6" w:rsidRPr="00524C36" w:rsidRDefault="006265EB">
      <w:pPr>
        <w:spacing w:before="120" w:after="120"/>
        <w:ind w:left="1134"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315E3514" w14:textId="77777777" w:rsidR="007307D6" w:rsidRPr="00524C36" w:rsidRDefault="006265EB">
      <w:pPr>
        <w:spacing w:before="120" w:after="120"/>
        <w:ind w:left="1134"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0626FDDC" w14:textId="77777777" w:rsidR="007307D6" w:rsidRPr="00524C36" w:rsidRDefault="006265EB">
      <w:pPr>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E5A03D"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410A4C" w14:textId="77777777" w:rsidR="007307D6" w:rsidRPr="00524C36" w:rsidRDefault="006265EB">
      <w:pPr>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w:t>
      </w:r>
    </w:p>
    <w:p w14:paraId="6E34B9AF" w14:textId="77777777" w:rsidR="007307D6" w:rsidRPr="00524C36" w:rsidRDefault="006265EB">
      <w:pPr>
        <w:spacing w:before="240" w:after="240" w:line="360" w:lineRule="auto"/>
        <w:ind w:left="284"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1. Número de denuncias que se recibieron por maltrato animal en el 2024.</w:t>
      </w:r>
    </w:p>
    <w:p w14:paraId="77C451A0" w14:textId="77777777" w:rsidR="007307D6" w:rsidRPr="00524C36" w:rsidRDefault="006265EB">
      <w:pPr>
        <w:spacing w:before="240" w:after="240" w:line="360" w:lineRule="auto"/>
        <w:ind w:left="284"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2. Número de animales que fueron asegurados, precisando el número de perros y gatos.</w:t>
      </w:r>
    </w:p>
    <w:p w14:paraId="417C6C6C" w14:textId="77777777" w:rsidR="007307D6" w:rsidRPr="00524C36" w:rsidRDefault="006265EB">
      <w:pPr>
        <w:spacing w:before="240" w:after="240" w:line="360" w:lineRule="auto"/>
        <w:ind w:left="284"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3. Municipios en los que se presentaron las denuncias.</w:t>
      </w:r>
    </w:p>
    <w:p w14:paraId="5D584A77" w14:textId="77777777" w:rsidR="007307D6" w:rsidRPr="00524C36" w:rsidRDefault="006265EB">
      <w:pPr>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F2DB244"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371C97EC" w14:textId="77777777" w:rsidR="007307D6" w:rsidRPr="00524C36" w:rsidRDefault="006265EB">
      <w:pPr>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EFCFB92"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A4BEAC7"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Subprocuraduría de Protección a la Fauna, como el área competente para conocer de la información que es del interés de la persona solicitante.</w:t>
      </w:r>
    </w:p>
    <w:p w14:paraId="3D7AACDC"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Cabe señalar que de conformidad con el código estructural 231C0201000600L del Manual General de Organización de la Procuraduría de Protección al Medio Ambiente del Estado de México, la Subprocuraduría de Protección a la Fauna, dicha unidad administrativa tiene conferidas las siguientes funciones en su parte conducente:</w:t>
      </w:r>
    </w:p>
    <w:p w14:paraId="26464239" w14:textId="77777777" w:rsidR="007307D6" w:rsidRPr="00524C36" w:rsidRDefault="006265EB">
      <w:pPr>
        <w:spacing w:before="240" w:after="240" w:line="360" w:lineRule="auto"/>
        <w:ind w:left="284"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Autorizar, emitir, participar y coordinar las actividades de inspección y verificar el cumplimiento de la normatividad en materia de protección a la fauna.</w:t>
      </w:r>
    </w:p>
    <w:p w14:paraId="7067576D" w14:textId="77777777" w:rsidR="007307D6" w:rsidRPr="00524C36" w:rsidRDefault="006265EB">
      <w:pPr>
        <w:spacing w:before="240" w:after="240" w:line="360" w:lineRule="auto"/>
        <w:ind w:left="284"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 Desarrollar y proponer estrategias que garanticen que las acciones de inspección en materia de fauna y bienestar animal en el Estado de México se lleven a cabo de manera eficaz y eficiente. </w:t>
      </w:r>
    </w:p>
    <w:p w14:paraId="4791DED1" w14:textId="77777777" w:rsidR="007307D6" w:rsidRPr="00524C36" w:rsidRDefault="006265EB">
      <w:pPr>
        <w:spacing w:before="240" w:after="240" w:line="360" w:lineRule="auto"/>
        <w:ind w:left="284"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Realizar auditorías sobre la fauna y la protección y bienestar animal para verificar el cumplimiento de las disposiciones en la materia.</w:t>
      </w:r>
    </w:p>
    <w:p w14:paraId="421DD942" w14:textId="77777777" w:rsidR="007307D6" w:rsidRPr="00524C36" w:rsidRDefault="006265EB">
      <w:pPr>
        <w:spacing w:before="240" w:after="240" w:line="360" w:lineRule="auto"/>
        <w:ind w:left="284"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Tramitar los procedimientos administrativos que se inicien con motivo del maltrato animal, hasta dejarlo en estado de resolución.</w:t>
      </w:r>
    </w:p>
    <w:p w14:paraId="0E2490F2" w14:textId="77777777" w:rsidR="007307D6" w:rsidRPr="00524C36" w:rsidRDefault="006265EB">
      <w:pPr>
        <w:spacing w:before="240" w:after="240" w:line="360" w:lineRule="auto"/>
        <w:ind w:left="284"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Verificar y garantizar el legal destino de los animales que hayan sido asegurados por maltrato animal.</w:t>
      </w:r>
    </w:p>
    <w:p w14:paraId="2BD950D5"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Con base en las atribuciones citadas se advierte que la Subprocuraduría de Protección a la Fauna cuenta con competencia para generar, administrar y/o poseer la información que es del interés de la persona solicitante, por lo tanto, se colige que la Unidad de Transparencia, en cumplimiento en los artículos 53, fracción IV y  162 de la Ley de Transparencia y Acceso a la Información Pública del Estado de México y Municipios,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llevó a cabo los pasos que le conmina sus funciones, de acuerdo con la referida Ley, ya que solicitó la información a la unidad administrativa que de acuerdo con sus atribuciones puede dar atención a la misma.</w:t>
      </w:r>
    </w:p>
    <w:p w14:paraId="4AFEC8B4"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En este tenor, el servidor público habilitado proporcionó el número de denuncias presentadas por maltrato y crueldad animal en el ejercicio 2024, así como los municipios en los cuales se presentaron, mientras que, en el caso del número de animales que fueron asegurados y el número de perros y gatos, precisó que no se contaba con la información en los términos requeridos derivado de realizar una búsqueda exhaustiva, minuciosa y razonable en los archivos físicos y electrónicos que se encuentran en la Subprocuraduría de Protección a la Fauna.</w:t>
      </w:r>
    </w:p>
    <w:p w14:paraId="2B668C9D" w14:textId="77777777" w:rsidR="007307D6" w:rsidRPr="00524C36" w:rsidRDefault="006265EB">
      <w:pPr>
        <w:spacing w:before="240" w:after="240" w:line="360" w:lineRule="auto"/>
        <w:ind w:right="49"/>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Sin embargo, al no estar conforme con los términos de la respuesta proporcionada en primera instancia,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interpuso el recurso de revisión que nos ocupa, en el que manifestó que no se hizo entrega de la información completa, al no indicar el número de animales que fueron los asegurados y si fueron perros o gatos.</w:t>
      </w:r>
    </w:p>
    <w:p w14:paraId="182D3A1B" w14:textId="77777777" w:rsidR="007307D6" w:rsidRPr="00524C36" w:rsidRDefault="006265EB">
      <w:pPr>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Es de señalar que de la lectura del motivo de inconformidad de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 xml:space="preserve">se advierte que este no versa sobre la totalidad de la información proporcionada por 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ya que no manifestó agravios respecto del número de denuncias que se recibieron por maltrato animal en el año dos mil veinticuatro y los municipios en los cuales se presentaron, 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1A1AD3D6" w14:textId="77777777" w:rsidR="007307D6" w:rsidRPr="00524C36" w:rsidRDefault="006265EB">
      <w:pPr>
        <w:spacing w:before="240" w:after="36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Lo anterior es así, debido a que cuando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impugna la respuesta del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123D6ACC"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5936D479" w14:textId="77777777" w:rsidR="007307D6" w:rsidRPr="00524C36" w:rsidRDefault="006265E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i/>
          <w:iCs/>
          <w:sz w:val="22"/>
          <w:szCs w:val="22"/>
        </w:rPr>
        <w:t>“</w:t>
      </w:r>
      <w:r w:rsidRPr="00524C36">
        <w:rPr>
          <w:rFonts w:ascii="Palatino Linotype" w:eastAsia="Palatino Linotype" w:hAnsi="Palatino Linotype" w:cs="Palatino Linotype"/>
          <w:b/>
          <w:bCs/>
          <w:i/>
          <w:iCs/>
          <w:sz w:val="22"/>
          <w:szCs w:val="22"/>
        </w:rPr>
        <w:t xml:space="preserve">Actos consentidos tácitamente. Improcedencia de su análisis. </w:t>
      </w:r>
      <w:r w:rsidRPr="00524C36">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78200EC"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16A24D7" w14:textId="77777777" w:rsidR="007307D6" w:rsidRPr="00524C36" w:rsidRDefault="006265EB">
      <w:pPr>
        <w:ind w:left="851" w:right="900"/>
        <w:jc w:val="both"/>
        <w:rPr>
          <w:rFonts w:ascii="Palatino Linotype" w:eastAsia="Palatino Linotype" w:hAnsi="Palatino Linotype" w:cs="Palatino Linotype"/>
          <w:i/>
          <w:iCs/>
          <w:sz w:val="22"/>
          <w:szCs w:val="22"/>
        </w:rPr>
      </w:pPr>
      <w:r w:rsidRPr="00524C36">
        <w:rPr>
          <w:rFonts w:ascii="Palatino Linotype" w:eastAsia="Palatino Linotype" w:hAnsi="Palatino Linotype" w:cs="Palatino Linotype"/>
          <w:b/>
          <w:bCs/>
          <w:i/>
          <w:iCs/>
          <w:smallCaps/>
          <w:sz w:val="22"/>
          <w:szCs w:val="22"/>
        </w:rPr>
        <w:t xml:space="preserve">“ACTOS CONSENTIDOS. SON LOS QUE NO SE IMPUGNAN MEDIANTE EL RECURSO IDÓNEO. </w:t>
      </w:r>
      <w:r w:rsidRPr="00524C36">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14346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por consiguiente, no es procedente el análisis de fondo en la resolución.</w:t>
      </w:r>
    </w:p>
    <w:p w14:paraId="422B4DA0"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En la etapa de manifestaciones, es de recordar que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 xml:space="preserve">omitió rendir su informe justificado, mientras que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presentó un escrito libre en formato Word, mediante el cual agradeció la información.</w:t>
      </w:r>
    </w:p>
    <w:p w14:paraId="124DD6C8" w14:textId="77777777" w:rsidR="007307D6" w:rsidRPr="00524C36" w:rsidRDefault="006265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En este sentido, por lo que se refiere al número de animales que fueron asegurados, precisando el número de perros y gatos, si bien es cierto que de conformidad con el artículo 36 de la Ley de Transparencia y Acceso a la Información Pública del Estado de México y Municipios, este Pleno no está facultado para manifestarse sobre la veracidad de la información proporcionada por los sujetos obligados, debe mencionarse que de la consulta realizada por este Organismo Garante, advirtió que como parte de los Informes de Gestión que presenta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 xml:space="preserve">reporta diversa información estadística, como lo es el número de denuncias por maltrato animal, el número de inspecciones en materia de protección a la fauna, </w:t>
      </w:r>
      <w:r w:rsidRPr="00524C36">
        <w:rPr>
          <w:rFonts w:ascii="Palatino Linotype" w:eastAsia="Palatino Linotype" w:hAnsi="Palatino Linotype" w:cs="Palatino Linotype"/>
          <w:b/>
          <w:bCs/>
          <w:sz w:val="22"/>
          <w:szCs w:val="22"/>
        </w:rPr>
        <w:t xml:space="preserve">el número de animales asegurados, </w:t>
      </w:r>
      <w:r w:rsidRPr="00524C36">
        <w:rPr>
          <w:rFonts w:ascii="Palatino Linotype" w:eastAsia="Palatino Linotype" w:hAnsi="Palatino Linotype" w:cs="Palatino Linotype"/>
          <w:sz w:val="22"/>
          <w:szCs w:val="22"/>
        </w:rPr>
        <w:t>entre otros datos.</w:t>
      </w:r>
    </w:p>
    <w:p w14:paraId="4F358076" w14:textId="77777777" w:rsidR="007307D6" w:rsidRPr="00524C36" w:rsidRDefault="006265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Lo anterior se puede corroborar, a manera de ejemplo en el Informe de Gestión 2023:</w:t>
      </w:r>
    </w:p>
    <w:p w14:paraId="528E057C" w14:textId="77777777" w:rsidR="007307D6" w:rsidRPr="00524C36" w:rsidRDefault="006265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noProof/>
          <w:sz w:val="22"/>
          <w:szCs w:val="22"/>
        </w:rPr>
        <w:drawing>
          <wp:inline distT="0" distB="0" distL="0" distR="0" wp14:anchorId="0AC100D1" wp14:editId="29490999">
            <wp:extent cx="5612130" cy="370205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3702050"/>
                    </a:xfrm>
                    <a:prstGeom prst="rect">
                      <a:avLst/>
                    </a:prstGeom>
                    <a:ln/>
                  </pic:spPr>
                </pic:pic>
              </a:graphicData>
            </a:graphic>
          </wp:inline>
        </w:drawing>
      </w:r>
    </w:p>
    <w:p w14:paraId="2D753EFD" w14:textId="77777777" w:rsidR="007307D6" w:rsidRPr="00524C36" w:rsidRDefault="006265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Bajo esta línea de pensamiento, es evidente que no puede tenerse por satisfecho el Derecho de acceso de la persona solicitante, y para tal efecto es necesario que previa búsqueda exhaustiva y razonable en los archivos del área competente, se haga entrega del o los documentos que den cuenta del número de animales asegurados durante en ejercicio 2024, al mayor grado de desagregación posible.</w:t>
      </w:r>
    </w:p>
    <w:p w14:paraId="05FE3AB1" w14:textId="77777777" w:rsidR="007307D6" w:rsidRPr="00524C36" w:rsidRDefault="006265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De lo hasta aquí expuesto, se concluye que los motivos de inconformidad de la parte </w:t>
      </w:r>
      <w:r w:rsidRPr="00524C36">
        <w:rPr>
          <w:rFonts w:ascii="Palatino Linotype" w:eastAsia="Palatino Linotype" w:hAnsi="Palatino Linotype" w:cs="Palatino Linotype"/>
          <w:b/>
          <w:bCs/>
          <w:sz w:val="22"/>
          <w:szCs w:val="22"/>
        </w:rPr>
        <w:t xml:space="preserve">Recurrente </w:t>
      </w:r>
      <w:r w:rsidRPr="00524C36">
        <w:rPr>
          <w:rFonts w:ascii="Palatino Linotype" w:eastAsia="Palatino Linotype" w:hAnsi="Palatino Linotype" w:cs="Palatino Linotype"/>
          <w:sz w:val="22"/>
          <w:szCs w:val="22"/>
        </w:rPr>
        <w:t xml:space="preserve">devienen fundados, siendo procedente </w:t>
      </w:r>
      <w:r w:rsidRPr="00524C36">
        <w:rPr>
          <w:rFonts w:ascii="Palatino Linotype" w:eastAsia="Palatino Linotype" w:hAnsi="Palatino Linotype" w:cs="Palatino Linotype"/>
          <w:i/>
          <w:iCs/>
          <w:sz w:val="22"/>
          <w:szCs w:val="22"/>
        </w:rPr>
        <w:t xml:space="preserve">Modificar </w:t>
      </w:r>
      <w:r w:rsidRPr="00524C36">
        <w:rPr>
          <w:rFonts w:ascii="Palatino Linotype" w:eastAsia="Palatino Linotype" w:hAnsi="Palatino Linotype" w:cs="Palatino Linotype"/>
          <w:sz w:val="22"/>
          <w:szCs w:val="22"/>
        </w:rPr>
        <w:t xml:space="preserve">la respuesta proporcionada por el </w:t>
      </w:r>
      <w:r w:rsidRPr="00524C36">
        <w:rPr>
          <w:rFonts w:ascii="Palatino Linotype" w:eastAsia="Palatino Linotype" w:hAnsi="Palatino Linotype" w:cs="Palatino Linotype"/>
          <w:b/>
          <w:bCs/>
          <w:sz w:val="22"/>
          <w:szCs w:val="22"/>
        </w:rPr>
        <w:t xml:space="preserve">Sujeto Obligado </w:t>
      </w:r>
      <w:r w:rsidRPr="00524C36">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51E566C"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7E61099" w14:textId="77777777" w:rsidR="007307D6" w:rsidRPr="00524C36" w:rsidRDefault="006265EB">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524C36">
        <w:rPr>
          <w:rFonts w:ascii="Palatino Linotype" w:eastAsia="Palatino Linotype" w:hAnsi="Palatino Linotype" w:cs="Palatino Linotype"/>
          <w:b/>
          <w:bCs/>
          <w:sz w:val="22"/>
          <w:szCs w:val="22"/>
        </w:rPr>
        <w:t>III. R E S U E L V E</w:t>
      </w:r>
    </w:p>
    <w:p w14:paraId="5017B398"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524C36">
        <w:rPr>
          <w:rFonts w:ascii="Palatino Linotype" w:eastAsia="Palatino Linotype" w:hAnsi="Palatino Linotype" w:cs="Palatino Linotype"/>
          <w:b/>
          <w:bCs/>
          <w:sz w:val="22"/>
          <w:szCs w:val="22"/>
        </w:rPr>
        <w:t xml:space="preserve">Primero. </w:t>
      </w:r>
      <w:r w:rsidRPr="00524C36">
        <w:rPr>
          <w:rFonts w:ascii="Palatino Linotype" w:eastAsia="Palatino Linotype" w:hAnsi="Palatino Linotype" w:cs="Palatino Linotype"/>
          <w:sz w:val="22"/>
          <w:szCs w:val="22"/>
        </w:rPr>
        <w:t>Resultan</w:t>
      </w:r>
      <w:r w:rsidRPr="00524C36">
        <w:rPr>
          <w:rFonts w:ascii="Palatino Linotype" w:eastAsia="Palatino Linotype" w:hAnsi="Palatino Linotype" w:cs="Palatino Linotype"/>
          <w:b/>
          <w:bCs/>
          <w:sz w:val="22"/>
          <w:szCs w:val="22"/>
        </w:rPr>
        <w:t xml:space="preserve"> fundadas</w:t>
      </w:r>
      <w:r w:rsidRPr="00524C36">
        <w:rPr>
          <w:rFonts w:ascii="Palatino Linotype" w:eastAsia="Palatino Linotype" w:hAnsi="Palatino Linotype" w:cs="Palatino Linotype"/>
          <w:sz w:val="22"/>
          <w:szCs w:val="22"/>
        </w:rPr>
        <w:t xml:space="preserve"> las razones o motivos de inconformidad hechos valer por la parte</w:t>
      </w:r>
      <w:r w:rsidRPr="00524C36">
        <w:rPr>
          <w:rFonts w:ascii="Palatino Linotype" w:eastAsia="Palatino Linotype" w:hAnsi="Palatino Linotype" w:cs="Palatino Linotype"/>
          <w:b/>
          <w:bCs/>
          <w:sz w:val="22"/>
          <w:szCs w:val="22"/>
        </w:rPr>
        <w:t xml:space="preserve"> Recurrente</w:t>
      </w:r>
      <w:r w:rsidRPr="00524C36">
        <w:rPr>
          <w:rFonts w:ascii="Palatino Linotype" w:eastAsia="Palatino Linotype" w:hAnsi="Palatino Linotype" w:cs="Palatino Linotype"/>
          <w:sz w:val="22"/>
          <w:szCs w:val="22"/>
        </w:rPr>
        <w:t xml:space="preserve"> en el recurso de revisión </w:t>
      </w:r>
      <w:r w:rsidRPr="00524C36">
        <w:rPr>
          <w:rFonts w:ascii="Palatino Linotype" w:eastAsia="Palatino Linotype" w:hAnsi="Palatino Linotype" w:cs="Palatino Linotype"/>
          <w:b/>
          <w:bCs/>
          <w:sz w:val="22"/>
          <w:szCs w:val="22"/>
        </w:rPr>
        <w:t>10279/INFOEM/IP/RR/2025</w:t>
      </w:r>
      <w:r w:rsidRPr="00524C36">
        <w:rPr>
          <w:rFonts w:ascii="Palatino Linotype" w:eastAsia="Palatino Linotype" w:hAnsi="Palatino Linotype" w:cs="Palatino Linotype"/>
          <w:sz w:val="22"/>
          <w:szCs w:val="22"/>
        </w:rPr>
        <w:t xml:space="preserve">; por lo que, en términos del </w:t>
      </w:r>
      <w:r w:rsidRPr="00524C36">
        <w:rPr>
          <w:rFonts w:ascii="Palatino Linotype" w:eastAsia="Palatino Linotype" w:hAnsi="Palatino Linotype" w:cs="Palatino Linotype"/>
          <w:b/>
          <w:bCs/>
          <w:sz w:val="22"/>
          <w:szCs w:val="22"/>
        </w:rPr>
        <w:t>Considerando</w:t>
      </w:r>
      <w:r w:rsidRPr="00524C36">
        <w:rPr>
          <w:rFonts w:ascii="Palatino Linotype" w:eastAsia="Palatino Linotype" w:hAnsi="Palatino Linotype" w:cs="Palatino Linotype"/>
          <w:sz w:val="22"/>
          <w:szCs w:val="22"/>
        </w:rPr>
        <w:t xml:space="preserve"> </w:t>
      </w:r>
      <w:r w:rsidRPr="00524C36">
        <w:rPr>
          <w:rFonts w:ascii="Palatino Linotype" w:eastAsia="Palatino Linotype" w:hAnsi="Palatino Linotype" w:cs="Palatino Linotype"/>
          <w:b/>
          <w:bCs/>
          <w:sz w:val="22"/>
          <w:szCs w:val="22"/>
        </w:rPr>
        <w:t xml:space="preserve">Cuarto </w:t>
      </w:r>
      <w:r w:rsidRPr="00524C36">
        <w:rPr>
          <w:rFonts w:ascii="Palatino Linotype" w:eastAsia="Palatino Linotype" w:hAnsi="Palatino Linotype" w:cs="Palatino Linotype"/>
          <w:sz w:val="22"/>
          <w:szCs w:val="22"/>
        </w:rPr>
        <w:t xml:space="preserve">de esta resolución, se </w:t>
      </w:r>
      <w:r w:rsidRPr="00524C36">
        <w:rPr>
          <w:rFonts w:ascii="Palatino Linotype" w:eastAsia="Palatino Linotype" w:hAnsi="Palatino Linotype" w:cs="Palatino Linotype"/>
          <w:b/>
          <w:bCs/>
          <w:sz w:val="22"/>
          <w:szCs w:val="22"/>
        </w:rPr>
        <w:t xml:space="preserve">Modifica </w:t>
      </w:r>
      <w:r w:rsidRPr="00524C36">
        <w:rPr>
          <w:rFonts w:ascii="Palatino Linotype" w:eastAsia="Palatino Linotype" w:hAnsi="Palatino Linotype" w:cs="Palatino Linotype"/>
          <w:sz w:val="22"/>
          <w:szCs w:val="22"/>
        </w:rPr>
        <w:t xml:space="preserve">la respuesta emitida por el </w:t>
      </w:r>
      <w:r w:rsidRPr="00524C36">
        <w:rPr>
          <w:rFonts w:ascii="Palatino Linotype" w:eastAsia="Palatino Linotype" w:hAnsi="Palatino Linotype" w:cs="Palatino Linotype"/>
          <w:b/>
          <w:bCs/>
          <w:sz w:val="22"/>
          <w:szCs w:val="22"/>
        </w:rPr>
        <w:t xml:space="preserve">Sujeto Obligado. </w:t>
      </w:r>
    </w:p>
    <w:p w14:paraId="3851AB5B"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Segundo. </w:t>
      </w:r>
      <w:r w:rsidRPr="00524C36">
        <w:rPr>
          <w:rFonts w:ascii="Palatino Linotype" w:eastAsia="Palatino Linotype" w:hAnsi="Palatino Linotype" w:cs="Palatino Linotype"/>
          <w:sz w:val="22"/>
          <w:szCs w:val="22"/>
        </w:rPr>
        <w:t xml:space="preserve">Se </w:t>
      </w:r>
      <w:r w:rsidRPr="00524C36">
        <w:rPr>
          <w:rFonts w:ascii="Palatino Linotype" w:eastAsia="Palatino Linotype" w:hAnsi="Palatino Linotype" w:cs="Palatino Linotype"/>
          <w:b/>
          <w:bCs/>
          <w:sz w:val="22"/>
          <w:szCs w:val="22"/>
        </w:rPr>
        <w:t>Ordena</w:t>
      </w:r>
      <w:r w:rsidRPr="00524C36">
        <w:rPr>
          <w:rFonts w:ascii="Palatino Linotype" w:eastAsia="Palatino Linotype" w:hAnsi="Palatino Linotype" w:cs="Palatino Linotype"/>
          <w:sz w:val="22"/>
          <w:szCs w:val="22"/>
        </w:rPr>
        <w:t xml:space="preserve"> al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en términos del  Considerando </w:t>
      </w:r>
      <w:r w:rsidRPr="00524C36">
        <w:rPr>
          <w:rFonts w:ascii="Palatino Linotype" w:eastAsia="Palatino Linotype" w:hAnsi="Palatino Linotype" w:cs="Palatino Linotype"/>
          <w:b/>
          <w:bCs/>
          <w:sz w:val="22"/>
          <w:szCs w:val="22"/>
        </w:rPr>
        <w:t xml:space="preserve">Cuarto </w:t>
      </w:r>
      <w:r w:rsidRPr="00524C36">
        <w:rPr>
          <w:rFonts w:ascii="Palatino Linotype" w:eastAsia="Palatino Linotype" w:hAnsi="Palatino Linotype" w:cs="Palatino Linotype"/>
          <w:sz w:val="22"/>
          <w:szCs w:val="22"/>
        </w:rPr>
        <w:t xml:space="preserve">de esta resolución, haga entrega, vía </w:t>
      </w:r>
      <w:r w:rsidRPr="00524C36">
        <w:rPr>
          <w:rFonts w:ascii="Palatino Linotype" w:eastAsia="Palatino Linotype" w:hAnsi="Palatino Linotype" w:cs="Palatino Linotype"/>
          <w:b/>
          <w:bCs/>
          <w:sz w:val="22"/>
          <w:szCs w:val="22"/>
        </w:rPr>
        <w:t>SAIMEX</w:t>
      </w:r>
      <w:r w:rsidRPr="00524C36">
        <w:rPr>
          <w:rFonts w:ascii="Palatino Linotype" w:eastAsia="Palatino Linotype" w:hAnsi="Palatino Linotype" w:cs="Palatino Linotype"/>
          <w:sz w:val="22"/>
          <w:szCs w:val="22"/>
        </w:rPr>
        <w:t>, previa búsqueda exhaustiva y razonable, de lo siguiente:</w:t>
      </w:r>
    </w:p>
    <w:p w14:paraId="3027936F" w14:textId="77777777" w:rsidR="007307D6" w:rsidRPr="00524C36" w:rsidRDefault="006265EB">
      <w:pPr>
        <w:spacing w:before="240" w:after="240" w:line="360" w:lineRule="auto"/>
        <w:ind w:left="284"/>
        <w:jc w:val="both"/>
        <w:rPr>
          <w:rFonts w:ascii="Palatino Linotype" w:eastAsia="Palatino Linotype" w:hAnsi="Palatino Linotype" w:cs="Palatino Linotype"/>
          <w:sz w:val="22"/>
          <w:szCs w:val="22"/>
        </w:rPr>
      </w:pPr>
      <w:bookmarkStart w:id="9" w:name="_heading=h.i8dwjabpl2v3" w:colFirst="0" w:colLast="0"/>
      <w:bookmarkEnd w:id="9"/>
      <w:r w:rsidRPr="00524C36">
        <w:rPr>
          <w:rFonts w:ascii="Palatino Linotype" w:eastAsia="Palatino Linotype" w:hAnsi="Palatino Linotype" w:cs="Palatino Linotype"/>
          <w:sz w:val="22"/>
          <w:szCs w:val="22"/>
        </w:rPr>
        <w:t>1. El o los documentos donde conste el número de animales asegurados durante el ejercicio 2024, al mayor grado de desagregación posible.</w:t>
      </w:r>
    </w:p>
    <w:p w14:paraId="794FC6D6"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b/>
          <w:bCs/>
          <w:sz w:val="22"/>
          <w:szCs w:val="22"/>
        </w:rPr>
        <w:t xml:space="preserve">Tercero. Notifíquese, </w:t>
      </w:r>
      <w:r w:rsidRPr="00524C36">
        <w:rPr>
          <w:rFonts w:ascii="Palatino Linotype" w:eastAsia="Palatino Linotype" w:hAnsi="Palatino Linotype" w:cs="Palatino Linotype"/>
          <w:sz w:val="22"/>
          <w:szCs w:val="22"/>
        </w:rPr>
        <w:t xml:space="preserve">vía </w:t>
      </w:r>
      <w:r w:rsidRPr="00524C36">
        <w:rPr>
          <w:rFonts w:ascii="Palatino Linotype" w:eastAsia="Palatino Linotype" w:hAnsi="Palatino Linotype" w:cs="Palatino Linotype"/>
          <w:b/>
          <w:bCs/>
          <w:sz w:val="22"/>
          <w:szCs w:val="22"/>
        </w:rPr>
        <w:t>SAIMEX</w:t>
      </w:r>
      <w:r w:rsidRPr="00524C36">
        <w:rPr>
          <w:rFonts w:ascii="Palatino Linotype" w:eastAsia="Palatino Linotype" w:hAnsi="Palatino Linotype" w:cs="Palatino Linotype"/>
          <w:sz w:val="22"/>
          <w:szCs w:val="22"/>
        </w:rPr>
        <w:t xml:space="preserve">, al Titular de la Unidad de Transparencia del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C04D2"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24C36">
        <w:rPr>
          <w:rFonts w:ascii="Palatino Linotype" w:eastAsia="Palatino Linotype" w:hAnsi="Palatino Linotype" w:cs="Palatino Linotype"/>
          <w:b/>
          <w:bCs/>
          <w:sz w:val="22"/>
          <w:szCs w:val="22"/>
        </w:rPr>
        <w:t>Sujeto Obligado</w:t>
      </w:r>
      <w:r w:rsidRPr="00524C3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AA1902F" w14:textId="77777777" w:rsidR="007307D6" w:rsidRPr="00524C36" w:rsidRDefault="006265EB">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524C36">
        <w:rPr>
          <w:rFonts w:ascii="Palatino Linotype" w:eastAsia="Palatino Linotype" w:hAnsi="Palatino Linotype" w:cs="Palatino Linotype"/>
          <w:b/>
          <w:bCs/>
          <w:sz w:val="22"/>
          <w:szCs w:val="22"/>
        </w:rPr>
        <w:t xml:space="preserve">Cuarto.  Notifíquese, </w:t>
      </w:r>
      <w:r w:rsidRPr="00524C36">
        <w:rPr>
          <w:rFonts w:ascii="Palatino Linotype" w:eastAsia="Palatino Linotype" w:hAnsi="Palatino Linotype" w:cs="Palatino Linotype"/>
          <w:sz w:val="22"/>
          <w:szCs w:val="22"/>
        </w:rPr>
        <w:t xml:space="preserve">vía </w:t>
      </w:r>
      <w:r w:rsidRPr="00524C36">
        <w:rPr>
          <w:rFonts w:ascii="Palatino Linotype" w:eastAsia="Palatino Linotype" w:hAnsi="Palatino Linotype" w:cs="Palatino Linotype"/>
          <w:b/>
          <w:bCs/>
          <w:sz w:val="22"/>
          <w:szCs w:val="22"/>
        </w:rPr>
        <w:t>SAIMEX</w:t>
      </w:r>
      <w:r w:rsidRPr="00524C36">
        <w:rPr>
          <w:rFonts w:ascii="Palatino Linotype" w:eastAsia="Palatino Linotype" w:hAnsi="Palatino Linotype" w:cs="Palatino Linotype"/>
          <w:sz w:val="22"/>
          <w:szCs w:val="22"/>
        </w:rPr>
        <w:t xml:space="preserve">, a la parte </w:t>
      </w:r>
      <w:r w:rsidRPr="00524C36">
        <w:rPr>
          <w:rFonts w:ascii="Palatino Linotype" w:eastAsia="Palatino Linotype" w:hAnsi="Palatino Linotype" w:cs="Palatino Linotype"/>
          <w:b/>
          <w:bCs/>
          <w:sz w:val="22"/>
          <w:szCs w:val="22"/>
        </w:rPr>
        <w:t>Recurrente</w:t>
      </w:r>
      <w:r w:rsidRPr="00524C36">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3250EC6" w14:textId="77777777" w:rsidR="007307D6" w:rsidRPr="00761642" w:rsidRDefault="006265EB">
      <w:pPr>
        <w:tabs>
          <w:tab w:val="left" w:pos="8647"/>
        </w:tabs>
        <w:spacing w:before="240" w:after="240" w:line="360" w:lineRule="auto"/>
        <w:ind w:right="51"/>
        <w:jc w:val="both"/>
        <w:rPr>
          <w:rFonts w:ascii="Palatino Linotype" w:eastAsia="Palatino Linotype" w:hAnsi="Palatino Linotype" w:cs="Palatino Linotype"/>
          <w:sz w:val="22"/>
          <w:szCs w:val="22"/>
        </w:rPr>
      </w:pPr>
      <w:r w:rsidRPr="00524C3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w:t>
      </w:r>
      <w:bookmarkStart w:id="11" w:name="_GoBack"/>
      <w:bookmarkEnd w:id="11"/>
      <w:r w:rsidRPr="00524C36">
        <w:rPr>
          <w:rFonts w:ascii="Palatino Linotype" w:eastAsia="Palatino Linotype" w:hAnsi="Palatino Linotype" w:cs="Palatino Linotype"/>
          <w:sz w:val="22"/>
          <w:szCs w:val="22"/>
        </w:rPr>
        <w:t>NOVIEMBRE DE DOS MIL VEINTICINCO, ANTE EL SECRETARIO TÉCNICO DEL PLENO ALEXIS TAPIA RAMÍREZ.</w:t>
      </w:r>
    </w:p>
    <w:p w14:paraId="6FB4A881"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0B15055" w14:textId="77777777" w:rsidR="007307D6" w:rsidRPr="00761642" w:rsidRDefault="007307D6">
      <w:pPr>
        <w:spacing w:line="360" w:lineRule="auto"/>
        <w:jc w:val="center"/>
        <w:rPr>
          <w:rFonts w:ascii="Palatino Linotype" w:eastAsia="Palatino Linotype" w:hAnsi="Palatino Linotype" w:cs="Palatino Linotype"/>
          <w:sz w:val="22"/>
          <w:szCs w:val="22"/>
        </w:rPr>
      </w:pPr>
    </w:p>
    <w:p w14:paraId="2D637CE9"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5CBBBAAE"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28F587DB"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6E69A83C"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6667F12B"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3C9BE3B3"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437B2524"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664CAB1F"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264DA452"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BA5B263"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6EB93636"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5261A2F0"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6B4ABA1"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5C28FC2E"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2B5F4F7F"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2798C5D"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C0A7B5E"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092B85BE"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65B68428"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25F8E1AE" w14:textId="77777777" w:rsidR="007307D6" w:rsidRPr="00761642" w:rsidRDefault="007307D6">
      <w:pPr>
        <w:spacing w:line="360" w:lineRule="auto"/>
        <w:jc w:val="both"/>
        <w:rPr>
          <w:rFonts w:ascii="Palatino Linotype" w:eastAsia="Palatino Linotype" w:hAnsi="Palatino Linotype" w:cs="Palatino Linotype"/>
          <w:sz w:val="22"/>
          <w:szCs w:val="22"/>
        </w:rPr>
      </w:pPr>
    </w:p>
    <w:p w14:paraId="57F6996A" w14:textId="77777777" w:rsidR="007307D6" w:rsidRPr="00761642" w:rsidRDefault="007307D6">
      <w:pPr>
        <w:spacing w:line="360" w:lineRule="auto"/>
        <w:jc w:val="both"/>
        <w:rPr>
          <w:rFonts w:ascii="Palatino Linotype" w:eastAsia="Palatino Linotype" w:hAnsi="Palatino Linotype" w:cs="Palatino Linotype"/>
          <w:sz w:val="22"/>
          <w:szCs w:val="22"/>
        </w:rPr>
      </w:pPr>
    </w:p>
    <w:sectPr w:rsidR="007307D6" w:rsidRPr="00761642">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281A5" w14:textId="77777777" w:rsidR="000448A9" w:rsidRDefault="000448A9">
      <w:r>
        <w:separator/>
      </w:r>
    </w:p>
  </w:endnote>
  <w:endnote w:type="continuationSeparator" w:id="0">
    <w:p w14:paraId="52B85E48" w14:textId="77777777" w:rsidR="000448A9" w:rsidRDefault="00044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30E80E-9DDA-4F74-BDC8-702A71EB8813}"/>
    <w:embedBold r:id="rId2" w:fontKey="{32E3FE23-A244-4273-A414-1B48C58CF086}"/>
  </w:font>
  <w:font w:name="Cambria">
    <w:panose1 w:val="02040503050406030204"/>
    <w:charset w:val="00"/>
    <w:family w:val="roman"/>
    <w:pitch w:val="variable"/>
    <w:sig w:usb0="E00006FF" w:usb1="420024FF" w:usb2="02000000" w:usb3="00000000" w:csb0="0000019F" w:csb1="00000000"/>
    <w:embedRegular r:id="rId3" w:fontKey="{49F8FEB8-F682-4EA9-9FC1-A7C9A2060106}"/>
    <w:embedBold r:id="rId4" w:fontKey="{F5409894-DBD5-44C7-A3C4-1642B6D5D6DA}"/>
    <w:embedBoldItalic r:id="rId5" w:fontKey="{965BB373-AA9A-4125-AF86-324F948E2D7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2B1D3A3-79A0-40A8-A065-B41B54E5ABEC}"/>
  </w:font>
  <w:font w:name="Georgia">
    <w:panose1 w:val="02040502050405020303"/>
    <w:charset w:val="00"/>
    <w:family w:val="roman"/>
    <w:pitch w:val="variable"/>
    <w:sig w:usb0="00000287" w:usb1="00000000" w:usb2="00000000" w:usb3="00000000" w:csb0="0000009F" w:csb1="00000000"/>
    <w:embedItalic r:id="rId7" w:fontKey="{4171FACF-CA6A-4257-8063-F59C8ACFB9D6}"/>
  </w:font>
  <w:font w:name="Palatino Linotype">
    <w:panose1 w:val="02040502050505030304"/>
    <w:charset w:val="00"/>
    <w:family w:val="roman"/>
    <w:pitch w:val="variable"/>
    <w:sig w:usb0="E0000287" w:usb1="40000013" w:usb2="00000000" w:usb3="00000000" w:csb0="0000019F" w:csb1="00000000"/>
    <w:embedRegular r:id="rId8" w:fontKey="{B5AA0FF0-F31F-4116-99BD-7E2A214B853D}"/>
    <w:embedBold r:id="rId9" w:fontKey="{4C5F2FE9-F2FC-4887-B20B-8A3271C33DE0}"/>
    <w:embedItalic r:id="rId10" w:fontKey="{4FE80858-A581-4146-A9A9-72EE7F8EEB68}"/>
    <w:embedBoldItalic r:id="rId11" w:fontKey="{DDBC55F3-AC2B-4DB1-8D9F-E78ED155995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03C09" w14:textId="06B54322" w:rsidR="007307D6" w:rsidRDefault="006265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53671">
      <w:rPr>
        <w:rFonts w:ascii="Palatino Linotype" w:eastAsia="Palatino Linotype" w:hAnsi="Palatino Linotype" w:cs="Palatino Linotype"/>
        <w:b/>
        <w:bCs/>
        <w:noProof/>
        <w:color w:val="000000"/>
        <w:sz w:val="20"/>
        <w:szCs w:val="20"/>
      </w:rPr>
      <w:t>22</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53671">
      <w:rPr>
        <w:rFonts w:ascii="Palatino Linotype" w:eastAsia="Palatino Linotype" w:hAnsi="Palatino Linotype" w:cs="Palatino Linotype"/>
        <w:b/>
        <w:bCs/>
        <w:noProof/>
        <w:color w:val="000000"/>
        <w:sz w:val="20"/>
        <w:szCs w:val="20"/>
      </w:rPr>
      <w:t>23</w:t>
    </w:r>
    <w:r>
      <w:rPr>
        <w:rFonts w:ascii="Palatino Linotype" w:eastAsia="Palatino Linotype" w:hAnsi="Palatino Linotype" w:cs="Palatino Linotype"/>
        <w:b/>
        <w:bCs/>
        <w:color w:val="000000"/>
        <w:sz w:val="20"/>
        <w:szCs w:val="20"/>
      </w:rPr>
      <w:fldChar w:fldCharType="end"/>
    </w:r>
  </w:p>
  <w:p w14:paraId="3E3C11C4" w14:textId="77777777" w:rsidR="007307D6" w:rsidRDefault="007307D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714E6" w14:textId="56282F40" w:rsidR="007307D6" w:rsidRDefault="006265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53671">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53671">
      <w:rPr>
        <w:rFonts w:ascii="Palatino Linotype" w:eastAsia="Palatino Linotype" w:hAnsi="Palatino Linotype" w:cs="Palatino Linotype"/>
        <w:b/>
        <w:bCs/>
        <w:noProof/>
        <w:color w:val="000000"/>
        <w:sz w:val="20"/>
        <w:szCs w:val="20"/>
      </w:rPr>
      <w:t>23</w:t>
    </w:r>
    <w:r>
      <w:rPr>
        <w:rFonts w:ascii="Palatino Linotype" w:eastAsia="Palatino Linotype" w:hAnsi="Palatino Linotype" w:cs="Palatino Linotype"/>
        <w:b/>
        <w:bCs/>
        <w:color w:val="000000"/>
        <w:sz w:val="20"/>
        <w:szCs w:val="20"/>
      </w:rPr>
      <w:fldChar w:fldCharType="end"/>
    </w:r>
  </w:p>
  <w:p w14:paraId="2EA9A6DA" w14:textId="77777777" w:rsidR="007307D6" w:rsidRDefault="007307D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D3812" w14:textId="77777777" w:rsidR="000448A9" w:rsidRDefault="000448A9">
      <w:r>
        <w:separator/>
      </w:r>
    </w:p>
  </w:footnote>
  <w:footnote w:type="continuationSeparator" w:id="0">
    <w:p w14:paraId="448B554E" w14:textId="77777777" w:rsidR="000448A9" w:rsidRDefault="000448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19ABF" w14:textId="77777777" w:rsidR="007307D6" w:rsidRDefault="006265EB">
    <w:pPr>
      <w:rPr>
        <w:rFonts w:ascii="Cambria" w:eastAsia="Cambria" w:hAnsi="Cambria" w:cs="Cambria"/>
        <w:color w:val="000000"/>
      </w:rPr>
    </w:pPr>
    <w:r>
      <w:rPr>
        <w:noProof/>
      </w:rPr>
      <w:drawing>
        <wp:anchor distT="0" distB="0" distL="0" distR="0" simplePos="0" relativeHeight="251658240" behindDoc="1" locked="0" layoutInCell="1" hidden="0" allowOverlap="1" wp14:anchorId="1AE80DD2" wp14:editId="5366EE34">
          <wp:simplePos x="0" y="0"/>
          <wp:positionH relativeFrom="column">
            <wp:posOffset>-1080090</wp:posOffset>
          </wp:positionH>
          <wp:positionV relativeFrom="paragraph">
            <wp:posOffset>-488261</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7307D6" w14:paraId="1EF92DAA" w14:textId="77777777">
      <w:tc>
        <w:tcPr>
          <w:tcW w:w="2489" w:type="dxa"/>
        </w:tcPr>
        <w:p w14:paraId="502A6C6D" w14:textId="77777777" w:rsidR="007307D6" w:rsidRDefault="006265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068E5FAD" w14:textId="77777777" w:rsidR="007307D6" w:rsidRDefault="006265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10279/INFOEM/IP/RR/2025</w:t>
          </w:r>
        </w:p>
      </w:tc>
    </w:tr>
    <w:tr w:rsidR="007307D6" w14:paraId="5D300034" w14:textId="77777777">
      <w:trPr>
        <w:trHeight w:val="228"/>
      </w:trPr>
      <w:tc>
        <w:tcPr>
          <w:tcW w:w="2489" w:type="dxa"/>
          <w:vAlign w:val="center"/>
        </w:tcPr>
        <w:p w14:paraId="5859A6FA" w14:textId="77777777" w:rsidR="007307D6" w:rsidRDefault="006265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267A4F5" w14:textId="77777777" w:rsidR="007307D6" w:rsidRDefault="006265E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Procuraduría de Protección al Ambiente del Estado de México</w:t>
          </w:r>
        </w:p>
      </w:tc>
    </w:tr>
    <w:tr w:rsidR="007307D6" w14:paraId="799BF8F6" w14:textId="77777777">
      <w:tc>
        <w:tcPr>
          <w:tcW w:w="2489" w:type="dxa"/>
          <w:vAlign w:val="center"/>
        </w:tcPr>
        <w:p w14:paraId="1584A363" w14:textId="77777777" w:rsidR="007307D6" w:rsidRDefault="006265E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1C7CC4F0" w14:textId="77777777" w:rsidR="007307D6" w:rsidRDefault="006265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FAAE409" w14:textId="77777777" w:rsidR="007307D6" w:rsidRDefault="006265E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884A3" w14:textId="77777777" w:rsidR="007307D6" w:rsidRDefault="006265E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ECD3495" wp14:editId="1166FCFE">
          <wp:simplePos x="0" y="0"/>
          <wp:positionH relativeFrom="column">
            <wp:posOffset>-1080132</wp:posOffset>
          </wp:positionH>
          <wp:positionV relativeFrom="paragraph">
            <wp:posOffset>-369891</wp:posOffset>
          </wp:positionV>
          <wp:extent cx="7809865" cy="1016571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7307D6" w14:paraId="76BEC5A1" w14:textId="77777777">
      <w:tc>
        <w:tcPr>
          <w:tcW w:w="2489" w:type="dxa"/>
        </w:tcPr>
        <w:p w14:paraId="35F519A3" w14:textId="77777777" w:rsidR="007307D6" w:rsidRDefault="006265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6E55371" w14:textId="77777777" w:rsidR="007307D6" w:rsidRDefault="006265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10279/INFOEM/IP/RR/2025</w:t>
          </w:r>
        </w:p>
      </w:tc>
    </w:tr>
    <w:tr w:rsidR="007307D6" w14:paraId="7823186E" w14:textId="77777777">
      <w:tc>
        <w:tcPr>
          <w:tcW w:w="2489" w:type="dxa"/>
        </w:tcPr>
        <w:p w14:paraId="0FB09871" w14:textId="77777777" w:rsidR="007307D6" w:rsidRDefault="006265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04D4F0B6" w14:textId="43F29ADD" w:rsidR="007307D6" w:rsidRDefault="00353671" w:rsidP="00353671">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 XXX XXXXX </w:t>
          </w:r>
        </w:p>
      </w:tc>
    </w:tr>
    <w:tr w:rsidR="007307D6" w14:paraId="1C62ED15" w14:textId="77777777">
      <w:trPr>
        <w:trHeight w:val="228"/>
      </w:trPr>
      <w:tc>
        <w:tcPr>
          <w:tcW w:w="2489" w:type="dxa"/>
          <w:vAlign w:val="center"/>
        </w:tcPr>
        <w:p w14:paraId="756D3B81" w14:textId="77777777" w:rsidR="007307D6" w:rsidRDefault="006265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7A90B454" w14:textId="77777777" w:rsidR="007307D6" w:rsidRDefault="006265E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Procuraduría de Protección al Ambiente del Estado de México</w:t>
          </w:r>
        </w:p>
      </w:tc>
    </w:tr>
    <w:tr w:rsidR="007307D6" w14:paraId="13A9462F" w14:textId="77777777">
      <w:tc>
        <w:tcPr>
          <w:tcW w:w="2489" w:type="dxa"/>
          <w:vAlign w:val="center"/>
        </w:tcPr>
        <w:p w14:paraId="1A2E0E21" w14:textId="77777777" w:rsidR="007307D6" w:rsidRDefault="006265E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73E0D71C" w14:textId="77777777" w:rsidR="007307D6" w:rsidRDefault="006265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FF63A09" w14:textId="77777777" w:rsidR="007307D6" w:rsidRDefault="007307D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4E9"/>
    <w:multiLevelType w:val="multilevel"/>
    <w:tmpl w:val="696A925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7D6"/>
    <w:rsid w:val="000448A9"/>
    <w:rsid w:val="00353671"/>
    <w:rsid w:val="00524C36"/>
    <w:rsid w:val="006265EB"/>
    <w:rsid w:val="007307D6"/>
    <w:rsid w:val="007616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EF35"/>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MuiHqn83zGDbfd+AHvLm+JiWg==">CgMxLjAyCWguM3JkY3JqbjIOaC5kYWozajJ4bzZxNjYyCGguZ2pkZ3hzMgloLjNkeTZ2a20yCWguMzBqMHpsbDIJaC4yczhleW8xMghoLnR5amN3dDIJaC4yZXQ5MnAwMgloLjI2aW4xcmcyDmguaThkd2phYnBsMnYzMgloLjE3ZHA4dnU4AHIhMXV1SkxENmt1SlFodVZLR09NNGNQLXhYNzluRlh6a2ln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5832</Words>
  <Characters>32078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2025-11-24T16:15:00Z</cp:lastPrinted>
  <dcterms:created xsi:type="dcterms:W3CDTF">2025-12-15T02:01:00Z</dcterms:created>
  <dcterms:modified xsi:type="dcterms:W3CDTF">2025-12-15T02:01:00Z</dcterms:modified>
</cp:coreProperties>
</file>