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494FF"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veintiuno de mayo de dos mil veinticinco. </w:t>
      </w:r>
    </w:p>
    <w:p w14:paraId="48A4F166"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w:t>
      </w:r>
      <w:r>
        <w:rPr>
          <w:rFonts w:ascii="Palatino Linotype" w:eastAsia="Palatino Linotype" w:hAnsi="Palatino Linotype" w:cs="Palatino Linotype"/>
        </w:rPr>
        <w:t xml:space="preserve">l expediente relativo al recurso de revisión </w:t>
      </w:r>
      <w:r>
        <w:rPr>
          <w:rFonts w:ascii="Palatino Linotype" w:eastAsia="Palatino Linotype" w:hAnsi="Palatino Linotype" w:cs="Palatino Linotype"/>
          <w:b/>
        </w:rPr>
        <w:t>02799/INFOEM/IP/RR/2025</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que no proporcionó nombre o seudónimo para ser identificado</w:t>
      </w:r>
      <w:r>
        <w:rPr>
          <w:rFonts w:ascii="Palatino Linotype" w:eastAsia="Palatino Linotype" w:hAnsi="Palatino Linotype" w:cs="Palatino Linotype"/>
        </w:rPr>
        <w:t xml:space="preserve">, al cual en lo sucesivo se le denominará la parte </w:t>
      </w:r>
      <w:r>
        <w:rPr>
          <w:rFonts w:ascii="Palatino Linotype" w:eastAsia="Palatino Linotype" w:hAnsi="Palatino Linotype" w:cs="Palatino Linotype"/>
          <w:b/>
        </w:rPr>
        <w:t>Recurrente</w:t>
      </w:r>
      <w:r>
        <w:rPr>
          <w:rFonts w:ascii="Palatino Linotype" w:eastAsia="Palatino Linotype" w:hAnsi="Palatino Linotype" w:cs="Palatino Linotype"/>
        </w:rPr>
        <w:t>, en contra de la respuesta a su sol</w:t>
      </w:r>
      <w:r>
        <w:rPr>
          <w:rFonts w:ascii="Palatino Linotype" w:eastAsia="Palatino Linotype" w:hAnsi="Palatino Linotype" w:cs="Palatino Linotype"/>
        </w:rPr>
        <w:t xml:space="preserve">icitud de información identificada con número de folio </w:t>
      </w:r>
      <w:r>
        <w:rPr>
          <w:rFonts w:ascii="Palatino Linotype" w:eastAsia="Palatino Linotype" w:hAnsi="Palatino Linotype" w:cs="Palatino Linotype"/>
          <w:b/>
        </w:rPr>
        <w:t xml:space="preserve">00951/TOLUCA/IP/2025, </w:t>
      </w:r>
      <w:r>
        <w:rPr>
          <w:rFonts w:ascii="Palatino Linotype" w:eastAsia="Palatino Linotype" w:hAnsi="Palatino Linotype" w:cs="Palatino Linotype"/>
        </w:rPr>
        <w:t xml:space="preserve">proporcionada por parte del </w:t>
      </w:r>
      <w:r>
        <w:rPr>
          <w:rFonts w:ascii="Palatino Linotype" w:eastAsia="Palatino Linotype" w:hAnsi="Palatino Linotype" w:cs="Palatino Linotype"/>
          <w:b/>
        </w:rPr>
        <w:t>Ayuntamiento de Toluca</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 se procede a dictar la presente resolución, con base en los siguientes:</w:t>
      </w:r>
    </w:p>
    <w:p w14:paraId="7ACDAC25" w14:textId="77777777" w:rsidR="007A7615" w:rsidRDefault="00F77212">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I. A N T E C E D E N</w:t>
      </w:r>
      <w:r>
        <w:rPr>
          <w:rFonts w:ascii="Palatino Linotype" w:eastAsia="Palatino Linotype" w:hAnsi="Palatino Linotype" w:cs="Palatino Linotype"/>
          <w:b/>
        </w:rPr>
        <w:t xml:space="preserve"> T E S</w:t>
      </w:r>
    </w:p>
    <w:p w14:paraId="3F51FC54" w14:textId="77777777" w:rsidR="007A7615" w:rsidRDefault="00F77212">
      <w:pPr>
        <w:tabs>
          <w:tab w:val="left" w:pos="5071"/>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diecisiete de febrero de dos mil veinticinco </w:t>
      </w:r>
      <w:r>
        <w:rPr>
          <w:rFonts w:ascii="Palatino Linotype" w:eastAsia="Palatino Linotype" w:hAnsi="Palatino Linotype" w:cs="Palatino Linotype"/>
        </w:rPr>
        <w:t xml:space="preserve">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la solicitud de acceso a la información pública ante el </w:t>
      </w:r>
      <w:r>
        <w:rPr>
          <w:rFonts w:ascii="Palatino Linotype" w:eastAsia="Palatino Linotype" w:hAnsi="Palatino Linotype" w:cs="Palatino Linotype"/>
          <w:b/>
        </w:rPr>
        <w:t>Sujeto Obligado</w:t>
      </w:r>
      <w:r>
        <w:rPr>
          <w:rFonts w:ascii="Palatino Linotype" w:eastAsia="Palatino Linotype" w:hAnsi="Palatino Linotype" w:cs="Palatino Linotype"/>
        </w:rPr>
        <w:t>, a través del Sistema de Acceso a la Información Mexiquense</w:t>
      </w:r>
      <w:r>
        <w:rPr>
          <w:rFonts w:ascii="Palatino Linotype" w:eastAsia="Palatino Linotype" w:hAnsi="Palatino Linotype" w:cs="Palatino Linotype"/>
        </w:rPr>
        <w:t xml:space="preserv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mediante la cual requirió lo siguiente:</w:t>
      </w:r>
    </w:p>
    <w:p w14:paraId="474A0A24" w14:textId="77777777" w:rsidR="007A7615" w:rsidRDefault="00F77212">
      <w:pPr>
        <w:spacing w:before="120" w:after="120" w:line="240" w:lineRule="auto"/>
        <w:ind w:left="851" w:right="1128"/>
        <w:jc w:val="both"/>
        <w:rPr>
          <w:rFonts w:ascii="Palatino Linotype" w:eastAsia="Palatino Linotype" w:hAnsi="Palatino Linotype" w:cs="Palatino Linotype"/>
          <w:i/>
        </w:rPr>
      </w:pPr>
      <w:bookmarkStart w:id="0" w:name="_heading=h.30j0zll" w:colFirst="0" w:colLast="0"/>
      <w:bookmarkEnd w:id="0"/>
      <w:r>
        <w:rPr>
          <w:rFonts w:ascii="Palatino Linotype" w:eastAsia="Palatino Linotype" w:hAnsi="Palatino Linotype" w:cs="Palatino Linotype"/>
          <w:i/>
        </w:rPr>
        <w:t xml:space="preserve"> “Solicito </w:t>
      </w:r>
      <w:proofErr w:type="gramStart"/>
      <w:r>
        <w:rPr>
          <w:rFonts w:ascii="Palatino Linotype" w:eastAsia="Palatino Linotype" w:hAnsi="Palatino Linotype" w:cs="Palatino Linotype"/>
          <w:i/>
        </w:rPr>
        <w:t>todo los contratos firmados</w:t>
      </w:r>
      <w:proofErr w:type="gramEnd"/>
      <w:r>
        <w:rPr>
          <w:rFonts w:ascii="Palatino Linotype" w:eastAsia="Palatino Linotype" w:hAnsi="Palatino Linotype" w:cs="Palatino Linotype"/>
          <w:i/>
        </w:rPr>
        <w:t xml:space="preserve"> en esta administración el expediente completo tipo de adquisiciones licitación pública, invitación restringida o directa” (sic)</w:t>
      </w:r>
    </w:p>
    <w:p w14:paraId="7E73E8EE"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w:t>
      </w:r>
      <w:r>
        <w:rPr>
          <w:rFonts w:ascii="Palatino Linotype" w:eastAsia="Palatino Linotype" w:hAnsi="Palatino Linotype" w:cs="Palatino Linotype"/>
          <w:b/>
        </w:rPr>
        <w:t>ga:</w:t>
      </w:r>
      <w:r>
        <w:rPr>
          <w:rFonts w:ascii="Palatino Linotype" w:eastAsia="Palatino Linotype" w:hAnsi="Palatino Linotype" w:cs="Palatino Linotype"/>
        </w:rPr>
        <w:t xml:space="preserve"> a través del</w:t>
      </w:r>
      <w:r>
        <w:rPr>
          <w:rFonts w:ascii="Palatino Linotype" w:eastAsia="Palatino Linotype" w:hAnsi="Palatino Linotype" w:cs="Palatino Linotype"/>
          <w:b/>
        </w:rPr>
        <w:t xml:space="preserve"> SAIMEX.</w:t>
      </w:r>
    </w:p>
    <w:p w14:paraId="3FBBFB35"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once de marzo de dos mil veinticinco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29A0E6C3" w14:textId="77777777" w:rsidR="007A7615" w:rsidRDefault="00F77212">
      <w:pPr>
        <w:spacing w:before="240" w:after="24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“…En atención a la solicitud </w:t>
      </w:r>
      <w:r>
        <w:rPr>
          <w:rFonts w:ascii="Palatino Linotype" w:eastAsia="Palatino Linotype" w:hAnsi="Palatino Linotype" w:cs="Palatino Linotype"/>
          <w:i/>
        </w:rPr>
        <w:t>con folio 0951/TOLUCA/IP/2025, me permito adjuntar al presente la respuesta correspondiente. Sin más por el momento, reciba un saludo...” (sic)</w:t>
      </w:r>
    </w:p>
    <w:p w14:paraId="1CC19DC2" w14:textId="77777777" w:rsidR="007A7615" w:rsidRDefault="00F77212">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adjuntó el escrito del once de marzo de dos mil veinticinco, mediante el cual el titular de l</w:t>
      </w:r>
      <w:r>
        <w:rPr>
          <w:rFonts w:ascii="Palatino Linotype" w:eastAsia="Palatino Linotype" w:hAnsi="Palatino Linotype" w:cs="Palatino Linotype"/>
        </w:rPr>
        <w:t xml:space="preserve">a Unidad de Transparencia hizo del conocimiento de la persona solicitante, el pronunciamiento emitido por la persona servidora pública habilitada del Instituto Municipal de la Mujer, quien manifestó que </w:t>
      </w:r>
      <w:r>
        <w:rPr>
          <w:rFonts w:ascii="Palatino Linotype" w:eastAsia="Palatino Linotype" w:hAnsi="Palatino Linotype" w:cs="Palatino Linotype"/>
          <w:b/>
        </w:rPr>
        <w:t xml:space="preserve">no se contaba con contratos firmados en la presente  </w:t>
      </w:r>
      <w:r>
        <w:rPr>
          <w:rFonts w:ascii="Palatino Linotype" w:eastAsia="Palatino Linotype" w:hAnsi="Palatino Linotype" w:cs="Palatino Linotype"/>
          <w:b/>
        </w:rPr>
        <w:t>administración</w:t>
      </w:r>
      <w:r>
        <w:rPr>
          <w:rFonts w:ascii="Palatino Linotype" w:eastAsia="Palatino Linotype" w:hAnsi="Palatino Linotype" w:cs="Palatino Linotype"/>
        </w:rPr>
        <w:t xml:space="preserve">, </w:t>
      </w:r>
      <w:r>
        <w:rPr>
          <w:rFonts w:ascii="Palatino Linotype" w:eastAsia="Palatino Linotype" w:hAnsi="Palatino Linotype" w:cs="Palatino Linotype"/>
          <w:b/>
        </w:rPr>
        <w:t>ni expedientes completos</w:t>
      </w:r>
      <w:r>
        <w:rPr>
          <w:rFonts w:ascii="Palatino Linotype" w:eastAsia="Palatino Linotype" w:hAnsi="Palatino Linotype" w:cs="Palatino Linotype"/>
        </w:rPr>
        <w:t xml:space="preserve"> o tipo de adquisiciones, licitación pública, invitación restringida o directa, puesto que </w:t>
      </w:r>
      <w:r>
        <w:rPr>
          <w:rFonts w:ascii="Palatino Linotype" w:eastAsia="Palatino Linotype" w:hAnsi="Palatino Linotype" w:cs="Palatino Linotype"/>
          <w:b/>
        </w:rPr>
        <w:t>aún está por conformarse el Comité de Adquisiciones.</w:t>
      </w:r>
    </w:p>
    <w:p w14:paraId="4ACDE9ED"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Inconforme con los términos de</w:t>
      </w:r>
      <w:r>
        <w:rPr>
          <w:rFonts w:ascii="Palatino Linotype" w:eastAsia="Palatino Linotype" w:hAnsi="Palatino Linotype" w:cs="Palatino Linotype"/>
        </w:rPr>
        <w:t xml:space="preserv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once de marzo de dos mil veinticinco,</w:t>
      </w:r>
      <w:r>
        <w:rPr>
          <w:rFonts w:ascii="Palatino Linotype" w:eastAsia="Palatino Linotype" w:hAnsi="Palatino Linotype" w:cs="Palatino Linotype"/>
        </w:rPr>
        <w:t xml:space="preserv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589409C1" w14:textId="77777777" w:rsidR="007A7615" w:rsidRDefault="00F77212">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42471717" w14:textId="77777777" w:rsidR="007A7615" w:rsidRDefault="00F77212">
      <w:pPr>
        <w:tabs>
          <w:tab w:val="left" w:pos="2745"/>
        </w:tabs>
        <w:spacing w:before="240" w:after="240"/>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“La falta de información” </w:t>
      </w:r>
      <w:r>
        <w:rPr>
          <w:rFonts w:ascii="Palatino Linotype" w:eastAsia="Palatino Linotype" w:hAnsi="Palatino Linotype" w:cs="Palatino Linotype"/>
          <w:i/>
        </w:rPr>
        <w:t>(sic)</w:t>
      </w:r>
    </w:p>
    <w:p w14:paraId="3C4DAF5D" w14:textId="77777777" w:rsidR="007A7615" w:rsidRDefault="00F7721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0B4D4CBE" w14:textId="77777777" w:rsidR="007A7615" w:rsidRDefault="00F77212">
      <w:pPr>
        <w:tabs>
          <w:tab w:val="left" w:pos="2745"/>
        </w:tabs>
        <w:spacing w:before="240" w:after="240"/>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“La negativa de la información” (sic)</w:t>
      </w:r>
    </w:p>
    <w:p w14:paraId="2F85D337" w14:textId="77777777" w:rsidR="007A7615" w:rsidRDefault="00F7721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w:t>
      </w:r>
      <w:r>
        <w:rPr>
          <w:rFonts w:ascii="Palatino Linotype" w:eastAsia="Palatino Linotype" w:hAnsi="Palatino Linotype" w:cs="Palatino Linotype"/>
        </w:rPr>
        <w:t xml:space="preserve">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3C04B5AE" w14:textId="77777777" w:rsidR="007A7615" w:rsidRDefault="00F7721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5. Admisión del Recurso de revisión.</w:t>
      </w:r>
      <w:r>
        <w:rPr>
          <w:rFonts w:ascii="Palatino Linotype" w:eastAsia="Palatino Linotype" w:hAnsi="Palatino Linotype" w:cs="Palatino Linotype"/>
        </w:rPr>
        <w:t xml:space="preserve"> El</w:t>
      </w:r>
      <w:r>
        <w:rPr>
          <w:rFonts w:ascii="Palatino Linotype" w:eastAsia="Palatino Linotype" w:hAnsi="Palatino Linotype" w:cs="Palatino Linotype"/>
          <w:b/>
        </w:rPr>
        <w:t xml:space="preserve"> catorce de marzo </w:t>
      </w:r>
      <w:r>
        <w:rPr>
          <w:rFonts w:ascii="Palatino Linotype" w:eastAsia="Palatino Linotype" w:hAnsi="Palatino Linotype" w:cs="Palatino Linotype"/>
          <w:b/>
        </w:rPr>
        <w:t xml:space="preserve">de dos mil veinticinco,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que ahora se resuelve, dando un plazo máximo de siete días</w:t>
      </w:r>
      <w:r>
        <w:rPr>
          <w:rFonts w:ascii="Palatino Linotype" w:eastAsia="Palatino Linotype" w:hAnsi="Palatino Linotype" w:cs="Palatino Linotype"/>
        </w:rPr>
        <w:t xml:space="preserve">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1BBA9FBE" w14:textId="77777777" w:rsidR="007A7615" w:rsidRDefault="00F77212">
      <w:pPr>
        <w:spacing w:before="240" w:after="240" w:line="360" w:lineRule="auto"/>
        <w:jc w:val="both"/>
        <w:rPr>
          <w:rFonts w:ascii="Palatino Linotype" w:eastAsia="Palatino Linotype" w:hAnsi="Palatino Linotype" w:cs="Palatino Linotype"/>
        </w:rPr>
      </w:pPr>
      <w:bookmarkStart w:id="1" w:name="_heading=h.2s8eyo1" w:colFirst="0" w:colLast="0"/>
      <w:bookmarkEnd w:id="1"/>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veintiséis de marzo dos mil veinticinco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w:t>
      </w:r>
      <w:r>
        <w:rPr>
          <w:rFonts w:ascii="Palatino Linotype" w:eastAsia="Palatino Linotype" w:hAnsi="Palatino Linotype" w:cs="Palatino Linotype"/>
          <w:b/>
        </w:rPr>
        <w:t>bligado</w:t>
      </w:r>
      <w:r>
        <w:rPr>
          <w:rFonts w:ascii="Palatino Linotype" w:eastAsia="Palatino Linotype" w:hAnsi="Palatino Linotype" w:cs="Palatino Linotype"/>
        </w:rPr>
        <w:t xml:space="preserve"> remitió, a través de SAIMEX, su informe justificado, mediante el cual ratificó en lo sustancial la respuesta emitida en primera instancia por conducto de la </w:t>
      </w:r>
      <w:proofErr w:type="gramStart"/>
      <w:r>
        <w:rPr>
          <w:rFonts w:ascii="Palatino Linotype" w:eastAsia="Palatino Linotype" w:hAnsi="Palatino Linotype" w:cs="Palatino Linotype"/>
        </w:rPr>
        <w:t>Directora General</w:t>
      </w:r>
      <w:proofErr w:type="gramEnd"/>
      <w:r>
        <w:rPr>
          <w:rFonts w:ascii="Palatino Linotype" w:eastAsia="Palatino Linotype" w:hAnsi="Palatino Linotype" w:cs="Palatino Linotype"/>
        </w:rPr>
        <w:t xml:space="preserve"> del Instituto Municipal de la Mujer, la Tesorería Municipal, la Directora</w:t>
      </w:r>
      <w:r>
        <w:rPr>
          <w:rFonts w:ascii="Palatino Linotype" w:eastAsia="Palatino Linotype" w:hAnsi="Palatino Linotype" w:cs="Palatino Linotype"/>
        </w:rPr>
        <w:t xml:space="preserve"> de Recursos Materiales, el Director General de Innovación, Planeación y el Director General de Obras Públicas.</w:t>
      </w:r>
    </w:p>
    <w:p w14:paraId="618EF318"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Una vez transcurrido el periodo otorgado a las partes para realizar sus manifestaciones y no habiendo documentos que i</w:t>
      </w:r>
      <w:r>
        <w:rPr>
          <w:rFonts w:ascii="Palatino Linotype" w:eastAsia="Palatino Linotype" w:hAnsi="Palatino Linotype" w:cs="Palatino Linotype"/>
        </w:rPr>
        <w:t xml:space="preserve">ntegrar al expediente, el </w:t>
      </w:r>
      <w:r>
        <w:rPr>
          <w:rFonts w:ascii="Palatino Linotype" w:eastAsia="Palatino Linotype" w:hAnsi="Palatino Linotype" w:cs="Palatino Linotype"/>
          <w:b/>
        </w:rPr>
        <w:t>treinta de abril de dos mil veinticinco</w:t>
      </w:r>
      <w:r>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w:t>
      </w:r>
      <w:r>
        <w:rPr>
          <w:rFonts w:ascii="Palatino Linotype" w:eastAsia="Palatino Linotype" w:hAnsi="Palatino Linotype" w:cs="Palatino Linotype"/>
        </w:rPr>
        <w:t>Municipios.</w:t>
      </w:r>
    </w:p>
    <w:p w14:paraId="4410CCF7"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Pr>
          <w:rFonts w:ascii="Palatino Linotype" w:eastAsia="Palatino Linotype" w:hAnsi="Palatino Linotype" w:cs="Palatino Linotype"/>
        </w:rPr>
        <w:t xml:space="preserve">. </w:t>
      </w:r>
      <w:r>
        <w:rPr>
          <w:rFonts w:ascii="Palatino Linotype" w:eastAsia="Palatino Linotype" w:hAnsi="Palatino Linotype" w:cs="Palatino Linotype"/>
          <w:b/>
        </w:rPr>
        <w:t>Ampliación del término para resolver</w:t>
      </w:r>
      <w:r>
        <w:rPr>
          <w:rFonts w:ascii="Palatino Linotype" w:eastAsia="Palatino Linotype" w:hAnsi="Palatino Linotype" w:cs="Palatino Linotype"/>
        </w:rPr>
        <w:t xml:space="preserve">. El </w:t>
      </w:r>
      <w:r>
        <w:rPr>
          <w:rFonts w:ascii="Palatino Linotype" w:eastAsia="Palatino Linotype" w:hAnsi="Palatino Linotype" w:cs="Palatino Linotype"/>
          <w:b/>
        </w:rPr>
        <w:t>treinta de abril de dos mil veinticinco</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w:t>
      </w:r>
      <w:r>
        <w:rPr>
          <w:rFonts w:ascii="Palatino Linotype" w:eastAsia="Palatino Linotype" w:hAnsi="Palatino Linotype" w:cs="Palatino Linotype"/>
        </w:rPr>
        <w:t>lica del Estado de México y Municipios.</w:t>
      </w:r>
    </w:p>
    <w:p w14:paraId="5393F320"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DE2F2D5" w14:textId="77777777" w:rsidR="007A7615" w:rsidRDefault="007A7615">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368AB7E9" w14:textId="77777777" w:rsidR="007A7615" w:rsidRDefault="00F77212">
      <w:pPr>
        <w:spacing w:after="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II. C O N S </w:t>
      </w:r>
      <w:r>
        <w:rPr>
          <w:rFonts w:ascii="Palatino Linotype" w:eastAsia="Palatino Linotype" w:hAnsi="Palatino Linotype" w:cs="Palatino Linotype"/>
          <w:b/>
        </w:rPr>
        <w:t>I D E R A N D O S</w:t>
      </w:r>
    </w:p>
    <w:p w14:paraId="02BE3A18"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w:t>
      </w:r>
      <w:r>
        <w:rPr>
          <w:rFonts w:ascii="Palatino Linotype" w:eastAsia="Palatino Linotype" w:hAnsi="Palatino Linotype" w:cs="Palatino Linotype"/>
        </w:rPr>
        <w:t xml:space="preserve"> la parte recurrente, conforme a lo dispuesto en los artículos 6, apartado A de la Constitución Política de los Estados Unidos Mexicanos; 5 párrafos trigésimo séptimo, trigésimo octavo y trigésimo noveno, fracciones IV y V de la Constitución Política del E</w:t>
      </w:r>
      <w:r>
        <w:rPr>
          <w:rFonts w:ascii="Palatino Linotype" w:eastAsia="Palatino Linotype" w:hAnsi="Palatino Linotype" w:cs="Palatino Linotype"/>
        </w:rPr>
        <w:t>stado Libre y Soberano de México; 2, fracción II; 29, 36 fracciones I y II; 176, 178, 181, 185, fracción I, 186 y 188 de la Ley Transparencia y Acceso a la Información Pública del Estado de México y Municipios; 9, fracciones I y XXIII y 11 del Reglamento I</w:t>
      </w:r>
      <w:r>
        <w:rPr>
          <w:rFonts w:ascii="Palatino Linotype" w:eastAsia="Palatino Linotype" w:hAnsi="Palatino Linotype" w:cs="Palatino Linotype"/>
        </w:rPr>
        <w:t>nterior del Instituto de Transparencia, Acceso a la Información Pública y Protección de Datos Personales del Estado de México y Municipios.</w:t>
      </w:r>
    </w:p>
    <w:p w14:paraId="56C75307" w14:textId="77777777" w:rsidR="007A7615" w:rsidRDefault="00F77212">
      <w:pPr>
        <w:spacing w:before="240" w:after="240" w:line="360" w:lineRule="auto"/>
        <w:jc w:val="both"/>
        <w:rPr>
          <w:rFonts w:ascii="Palatino Linotype" w:eastAsia="Palatino Linotype" w:hAnsi="Palatino Linotype" w:cs="Palatino Linotype"/>
        </w:rPr>
      </w:pPr>
      <w:bookmarkStart w:id="2" w:name="_heading=h.tyjcwt" w:colFirst="0" w:colLast="0"/>
      <w:bookmarkEnd w:id="2"/>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w:t>
      </w:r>
      <w:r>
        <w:rPr>
          <w:rFonts w:ascii="Palatino Linotype" w:eastAsia="Palatino Linotype" w:hAnsi="Palatino Linotype" w:cs="Palatino Linotype"/>
        </w:rPr>
        <w:t>analizar los requisitos de oportunidad y procedibilidad que debe reunir el recurso de revisión interpuesto, previstos en los artículos 178 y 180 de la Ley de Transparencia y Acceso a la Información Pública del Estado de México y Municipios.</w:t>
      </w:r>
    </w:p>
    <w:p w14:paraId="37C9291C"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recurso de r</w:t>
      </w:r>
      <w:r>
        <w:rPr>
          <w:rFonts w:ascii="Palatino Linotype" w:eastAsia="Palatino Linotype" w:hAnsi="Palatino Linotype" w:cs="Palatino Linotype"/>
        </w:rPr>
        <w:t xml:space="preserve">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la respuesta a la solicitud</w:t>
      </w:r>
      <w:r>
        <w:rPr>
          <w:rFonts w:ascii="Palatino Linotype" w:eastAsia="Palatino Linotype" w:hAnsi="Palatino Linotype" w:cs="Palatino Linotype"/>
        </w:rPr>
        <w:t xml:space="preserve"> de información el día </w:t>
      </w:r>
      <w:r>
        <w:rPr>
          <w:rFonts w:ascii="Palatino Linotype" w:eastAsia="Palatino Linotype" w:hAnsi="Palatino Linotype" w:cs="Palatino Linotype"/>
          <w:b/>
        </w:rPr>
        <w:t xml:space="preserve">once de marzo de dos mil veinticinco,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se tuvo por presentado el día</w:t>
      </w:r>
      <w:r>
        <w:rPr>
          <w:rFonts w:ascii="Palatino Linotype" w:eastAsia="Palatino Linotype" w:hAnsi="Palatino Linotype" w:cs="Palatino Linotype"/>
          <w:b/>
        </w:rPr>
        <w:t xml:space="preserve"> once de marzo de dos mil veinticinco, </w:t>
      </w:r>
      <w:r>
        <w:rPr>
          <w:rFonts w:ascii="Palatino Linotype" w:eastAsia="Palatino Linotype" w:hAnsi="Palatino Linotype" w:cs="Palatino Linotype"/>
        </w:rPr>
        <w:t>esto es, el mismo día en el que tuvo conocimiento de l</w:t>
      </w:r>
      <w:r>
        <w:rPr>
          <w:rFonts w:ascii="Palatino Linotype" w:eastAsia="Palatino Linotype" w:hAnsi="Palatino Linotype" w:cs="Palatino Linotype"/>
        </w:rPr>
        <w:t>a respuesta impugnada. En este sentido, se concluye que el presente recurso de revisión se encuentra dentro de los márgenes temporales previstos en las disposiciones legales referidas.</w:t>
      </w:r>
    </w:p>
    <w:p w14:paraId="3B3AE16D"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Sin que contraríe a lo anterior, el artículo 178 en análisis, refiere q</w:t>
      </w:r>
      <w:r>
        <w:rPr>
          <w:rFonts w:ascii="Palatino Linotype" w:eastAsia="Palatino Linotype" w:hAnsi="Palatino Linotype" w:cs="Palatino Linotype"/>
        </w:rPr>
        <w:t xml:space="preserve">ue el plazo de quince días hábiles se contará a partir del día siguiente de la fecha en que el afectado tuvo conocimiento </w:t>
      </w:r>
      <w:r>
        <w:rPr>
          <w:rFonts w:ascii="Palatino Linotype" w:eastAsia="Palatino Linotype" w:hAnsi="Palatino Linotype" w:cs="Palatino Linotype"/>
        </w:rPr>
        <w:lastRenderedPageBreak/>
        <w:t>de la resolución materia de impugnación, ya que ello debe entenderse para el efecto de que transcurrido dicho plazo ya no podrá presen</w:t>
      </w:r>
      <w:r>
        <w:rPr>
          <w:rFonts w:ascii="Palatino Linotype" w:eastAsia="Palatino Linotype" w:hAnsi="Palatino Linotype" w:cs="Palatino Linotype"/>
        </w:rPr>
        <w:t>tarse el medio de impugnación o si es que se presenta, el mismo se considerará extemporáneo, no así cuando el medio de defensa se interponga antes de que comience a correr el plazo legal; tiene aplicación por analogía, la jurisprudencia 1ª. /J.41/2015, pub</w:t>
      </w:r>
      <w:r>
        <w:rPr>
          <w:rFonts w:ascii="Palatino Linotype" w:eastAsia="Palatino Linotype" w:hAnsi="Palatino Linotype" w:cs="Palatino Linotype"/>
        </w:rPr>
        <w:t>licada en el Semanario Judicial de la Federación y su Gaceta, Libro 19, Junio de 2015, Tomo I, página 569 de la Décima época que lleva por rubro y texto los siguientes:</w:t>
      </w:r>
    </w:p>
    <w:p w14:paraId="5CE6ECA9"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“RECURSO DE RECLAMACIÓN. SU INTERPOSICIÓN NO ES EXTEMPORÁNEA SI SE REALIZA ANTES DE QUE</w:t>
      </w:r>
      <w:r>
        <w:rPr>
          <w:rFonts w:ascii="Palatino Linotype" w:eastAsia="Palatino Linotype" w:hAnsi="Palatino Linotype" w:cs="Palatino Linotype"/>
          <w:b/>
          <w:i/>
        </w:rPr>
        <w:t xml:space="preserve"> INICIE EL PLAZO PARA HACERLO</w:t>
      </w:r>
      <w:r>
        <w:rPr>
          <w:rFonts w:ascii="Palatino Linotype" w:eastAsia="Palatino Linotype" w:hAnsi="Palatino Linotype" w:cs="Palatino Linotype"/>
          <w:i/>
        </w:rPr>
        <w:t>. Conforme al artículo 104, párrafo segundo, de la Ley de Amparo, el recurso de reclamación podrá interponerse por cualquiera de las partes, por escrito, dentro del término de tres días siguientes al en que surta efectos la not</w:t>
      </w:r>
      <w:r>
        <w:rPr>
          <w:rFonts w:ascii="Palatino Linotype" w:eastAsia="Palatino Linotype" w:hAnsi="Palatino Linotype" w:cs="Palatino Linotype"/>
          <w:i/>
        </w:rPr>
        <w:t xml:space="preserve">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si dicho recurso se interpone antes de que inicie el plazo para hacerlo, su presentación no es extemporánea.”</w:t>
      </w:r>
    </w:p>
    <w:p w14:paraId="2211F5F9" w14:textId="77777777" w:rsidR="007A7615" w:rsidRDefault="007A7615">
      <w:pPr>
        <w:spacing w:before="240" w:after="240" w:line="360" w:lineRule="auto"/>
        <w:jc w:val="both"/>
        <w:rPr>
          <w:rFonts w:ascii="Palatino Linotype" w:eastAsia="Palatino Linotype" w:hAnsi="Palatino Linotype" w:cs="Palatino Linotype"/>
        </w:rPr>
      </w:pPr>
    </w:p>
    <w:p w14:paraId="26161E7C"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por cuanto hace a la procedibilidad del recurso de revisión, es de suma importancia señalar que la parte</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no señaló un </w:t>
      </w:r>
      <w:r>
        <w:rPr>
          <w:rFonts w:ascii="Palatino Linotype" w:eastAsia="Palatino Linotype" w:hAnsi="Palatino Linotype" w:cs="Palatino Linotype"/>
          <w:b/>
        </w:rPr>
        <w:t>nom</w:t>
      </w:r>
      <w:r>
        <w:rPr>
          <w:rFonts w:ascii="Palatino Linotype" w:eastAsia="Palatino Linotype" w:hAnsi="Palatino Linotype" w:cs="Palatino Linotype"/>
          <w:b/>
        </w:rPr>
        <w:t>bre</w:t>
      </w:r>
      <w:r>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w:t>
      </w:r>
      <w:r>
        <w:rPr>
          <w:rFonts w:ascii="Palatino Linotype" w:eastAsia="Palatino Linotype" w:hAnsi="Palatino Linotype" w:cs="Palatino Linotype"/>
        </w:rPr>
        <w:t>artículo 155, penúltimo párrafo de la Ley de Transparencia y Acceso a la Información Pública del Estado de México y Municipios que establece lo siguiente:</w:t>
      </w:r>
    </w:p>
    <w:p w14:paraId="399C4A66"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Las solicitudes anónimas</w:t>
      </w:r>
      <w:r>
        <w:rPr>
          <w:rFonts w:ascii="Palatino Linotype" w:eastAsia="Palatino Linotype" w:hAnsi="Palatino Linotype" w:cs="Palatino Linotype"/>
          <w:i/>
        </w:rPr>
        <w:t>, con nombre incompleto o seudónimo serán procedentes para su trámite por pa</w:t>
      </w:r>
      <w:r>
        <w:rPr>
          <w:rFonts w:ascii="Palatino Linotype" w:eastAsia="Palatino Linotype" w:hAnsi="Palatino Linotype" w:cs="Palatino Linotype"/>
          <w:i/>
        </w:rPr>
        <w:t xml:space="preserve">rte del sujeto obligado ante quien se presente. </w:t>
      </w:r>
      <w:r>
        <w:rPr>
          <w:rFonts w:ascii="Palatino Linotype" w:eastAsia="Palatino Linotype" w:hAnsi="Palatino Linotype" w:cs="Palatino Linotype"/>
          <w:i/>
        </w:rPr>
        <w:lastRenderedPageBreak/>
        <w:t>No podrá requerirse información adicional con motivo del nombre proporcionado por el solicitante."</w:t>
      </w:r>
    </w:p>
    <w:p w14:paraId="3BDEEC3E" w14:textId="77777777" w:rsidR="007A7615" w:rsidRDefault="00F7721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w:t>
      </w:r>
      <w:r>
        <w:rPr>
          <w:rFonts w:ascii="Palatino Linotype" w:eastAsia="Palatino Linotype" w:hAnsi="Palatino Linotype" w:cs="Palatino Linotype"/>
        </w:rPr>
        <w:t>ción Pública del Estado de México y Municipios en vigor, en atención a que fue presentado mediante el formato visible en el</w:t>
      </w:r>
      <w:r>
        <w:rPr>
          <w:rFonts w:ascii="Palatino Linotype" w:eastAsia="Palatino Linotype" w:hAnsi="Palatino Linotype" w:cs="Palatino Linotype"/>
          <w:b/>
        </w:rPr>
        <w:t xml:space="preserve"> SAIMEX.</w:t>
      </w:r>
    </w:p>
    <w:p w14:paraId="7219E169" w14:textId="77777777" w:rsidR="007A7615" w:rsidRDefault="00F77212">
      <w:pPr>
        <w:spacing w:before="240" w:after="240" w:line="360" w:lineRule="auto"/>
        <w:jc w:val="both"/>
        <w:rPr>
          <w:rFonts w:ascii="Palatino Linotype" w:eastAsia="Palatino Linotype" w:hAnsi="Palatino Linotype" w:cs="Palatino Linotype"/>
        </w:rPr>
      </w:pPr>
      <w:bookmarkStart w:id="3" w:name="_heading=h.3znysh7" w:colFirst="0" w:colLast="0"/>
      <w:bookmarkEnd w:id="3"/>
      <w:r>
        <w:rPr>
          <w:rFonts w:ascii="Palatino Linotype" w:eastAsia="Palatino Linotype" w:hAnsi="Palatino Linotype" w:cs="Palatino Linotype"/>
        </w:rPr>
        <w:t xml:space="preserve">Finalmente, se advierte que resulta procedente la interposición del recurso, según lo manifestado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I del ordenamiento legal citado, que a la letra dice: </w:t>
      </w:r>
    </w:p>
    <w:p w14:paraId="65E95FA5" w14:textId="77777777" w:rsidR="007A7615" w:rsidRDefault="00F77212">
      <w:pPr>
        <w:tabs>
          <w:tab w:val="left" w:pos="7938"/>
        </w:tabs>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w:t>
      </w:r>
      <w:r>
        <w:rPr>
          <w:rFonts w:ascii="Palatino Linotype" w:eastAsia="Palatino Linotype" w:hAnsi="Palatino Linotype" w:cs="Palatino Linotype"/>
          <w:b/>
          <w:i/>
        </w:rPr>
        <w:t xml:space="preserve"> 179.</w:t>
      </w:r>
      <w:r>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4507295D"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negativa a la información solicitada;</w:t>
      </w:r>
    </w:p>
    <w:p w14:paraId="3ECAA841" w14:textId="77777777" w:rsidR="007A7615" w:rsidRDefault="00F7721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Tercero</w:t>
      </w:r>
      <w:r>
        <w:rPr>
          <w:rFonts w:ascii="Palatino Linotype" w:eastAsia="Palatino Linotype" w:hAnsi="Palatino Linotype" w:cs="Palatino Linotype"/>
          <w:b/>
        </w:rPr>
        <w:t xml:space="preserve">.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verificar si la info</w:t>
      </w:r>
      <w:r>
        <w:rPr>
          <w:rFonts w:ascii="Palatino Linotype" w:eastAsia="Palatino Linotype" w:hAnsi="Palatino Linotype" w:cs="Palatino Linotype"/>
          <w:b/>
        </w:rPr>
        <w:t xml:space="preserve">rmación proporcionada por el Sujeto Obligado es adecuada y suficiente para satisfacer el derecho de acceso a la información pública </w:t>
      </w:r>
      <w:r>
        <w:rPr>
          <w:rFonts w:ascii="Palatino Linotype" w:eastAsia="Palatino Linotype" w:hAnsi="Palatino Linotype" w:cs="Palatino Linotype"/>
        </w:rPr>
        <w:t xml:space="preserve">de la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7FA5ACC9" w14:textId="77777777" w:rsidR="007A7615" w:rsidRDefault="00F77212">
      <w:pPr>
        <w:spacing w:before="240" w:after="240"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b/>
        </w:rPr>
        <w:t>Cuarto. Estudio del a</w:t>
      </w:r>
      <w:r>
        <w:rPr>
          <w:rFonts w:ascii="Palatino Linotype" w:eastAsia="Palatino Linotype" w:hAnsi="Palatino Linotype" w:cs="Palatino Linotype"/>
          <w:b/>
        </w:rPr>
        <w:t xml:space="preserve">sunto. </w:t>
      </w:r>
      <w:r>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w:t>
      </w:r>
      <w:r>
        <w:rPr>
          <w:rFonts w:ascii="Palatino Linotype" w:eastAsia="Palatino Linotype" w:hAnsi="Palatino Linotype" w:cs="Palatino Linotype"/>
        </w:rPr>
        <w:t xml:space="preserve">da o en posesión de los sujetos obligados es pública y accesible de manera permanente a cualquier persona, privilegiando el principio de máxima publicidad, como así </w:t>
      </w:r>
      <w:r>
        <w:rPr>
          <w:rFonts w:ascii="Palatino Linotype" w:eastAsia="Palatino Linotype" w:hAnsi="Palatino Linotype" w:cs="Palatino Linotype"/>
        </w:rPr>
        <w:lastRenderedPageBreak/>
        <w:t>lo establece dicha determinación, que a continuación se transcribe para un mejor entendimie</w:t>
      </w:r>
      <w:r>
        <w:rPr>
          <w:rFonts w:ascii="Palatino Linotype" w:eastAsia="Palatino Linotype" w:hAnsi="Palatino Linotype" w:cs="Palatino Linotype"/>
        </w:rPr>
        <w:t>nto:</w:t>
      </w:r>
    </w:p>
    <w:p w14:paraId="11E29FCC"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E19037E"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Tod</w:t>
      </w:r>
      <w:r>
        <w:rPr>
          <w:rFonts w:ascii="Palatino Linotype" w:eastAsia="Palatino Linotype" w:hAnsi="Palatino Linotype" w:cs="Palatino Linotype"/>
          <w:b/>
          <w:i/>
        </w:rPr>
        <w:t>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w:t>
      </w:r>
      <w:r>
        <w:rPr>
          <w:rFonts w:ascii="Palatino Linotype" w:eastAsia="Palatino Linotype" w:hAnsi="Palatino Linotype" w:cs="Palatino Linotype"/>
          <w:i/>
        </w:rPr>
        <w:t>les de los que el Estado mexicano sea parte, en la Ley General, la presente Ley y demás disposiciones de la materia, privilegiando el principio de máxima publicidad de la información. Solo podrá ser clasificada excepcionalmente Ley de Transparencia y Acces</w:t>
      </w:r>
      <w:r>
        <w:rPr>
          <w:rFonts w:ascii="Palatino Linotype" w:eastAsia="Palatino Linotype" w:hAnsi="Palatino Linotype" w:cs="Palatino Linotype"/>
          <w:i/>
        </w:rPr>
        <w:t>o a la Información Pública del Estado de México y Municipios 29 como reservada temporalmente por razones de interés público, en los términos de las causas legítimas y estrictamente necesarias previstas por esta Ley.</w:t>
      </w:r>
    </w:p>
    <w:p w14:paraId="60A7BCF5"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Los sujetos obligados deben poner en prá</w:t>
      </w:r>
      <w:r>
        <w:rPr>
          <w:rFonts w:ascii="Palatino Linotype" w:eastAsia="Palatino Linotype" w:hAnsi="Palatino Linotype" w:cs="Palatino Linotype"/>
          <w:b/>
          <w:i/>
        </w:rPr>
        <w:t>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rPr>
        <w:t>.”</w:t>
      </w:r>
    </w:p>
    <w:p w14:paraId="1E08E816"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los Sujetos Obligados tiene la obligación o deber de atender l</w:t>
      </w:r>
      <w:r>
        <w:rPr>
          <w:rFonts w:ascii="Palatino Linotype" w:eastAsia="Palatino Linotype" w:hAnsi="Palatino Linotype" w:cs="Palatino Linotype"/>
        </w:rPr>
        <w:t>as solicitudes de acceso a la información pública que se les hagan de su conocimiento y proporcionar la información pública que obren en su poder conforme el estado que se encuentra y no hacer un procesamiento de la misma, ni presentarla conforme al interé</w:t>
      </w:r>
      <w:r>
        <w:rPr>
          <w:rFonts w:ascii="Palatino Linotype" w:eastAsia="Palatino Linotype" w:hAnsi="Palatino Linotype" w:cs="Palatino Linotype"/>
        </w:rPr>
        <w:t>s del solicitante; como así lo establece el artículo 12 de la Ley de Transparencia y Acceso a la Información Pública del Estado de México y Municipios, que a la letra dice:</w:t>
      </w:r>
    </w:p>
    <w:p w14:paraId="56BC48BE"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w:t>
      </w:r>
      <w:r>
        <w:rPr>
          <w:rFonts w:ascii="Palatino Linotype" w:eastAsia="Palatino Linotype" w:hAnsi="Palatino Linotype" w:cs="Palatino Linotype"/>
          <w:i/>
        </w:rPr>
        <w:t xml:space="preserve"> o conserven información pública serán responsables de la misma en los términos de las disposiciones jurídicas aplicables. </w:t>
      </w:r>
    </w:p>
    <w:p w14:paraId="103F7612"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w:t>
      </w:r>
      <w:r>
        <w:rPr>
          <w:rFonts w:ascii="Palatino Linotype" w:eastAsia="Palatino Linotype" w:hAnsi="Palatino Linotype" w:cs="Palatino Linotype"/>
          <w:b/>
          <w:i/>
        </w:rPr>
        <w:t>e ésta se encuentre</w:t>
      </w:r>
      <w:r>
        <w:rPr>
          <w:rFonts w:ascii="Palatino Linotype" w:eastAsia="Palatino Linotype" w:hAnsi="Palatino Linotype" w:cs="Palatino Linotype"/>
          <w:i/>
        </w:rPr>
        <w:t xml:space="preserve">. </w:t>
      </w:r>
      <w:r>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p>
    <w:p w14:paraId="6DA14A3B" w14:textId="77777777" w:rsidR="007A7615" w:rsidRDefault="00F77212">
      <w:pPr>
        <w:spacing w:before="240" w:after="240"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Es</w:t>
      </w:r>
      <w:r>
        <w:rPr>
          <w:rFonts w:ascii="Palatino Linotype" w:eastAsia="Palatino Linotype" w:hAnsi="Palatino Linotype" w:cs="Palatino Linotype"/>
        </w:rPr>
        <w:t xml:space="preserve"> decir, que todo sujeto obligado que genere, recopile, administre, procese, archive, posea o conserven, son responsables de la misma teniendo a su vez la obligación de proporcionar la información que se les requiera sin necesidad de resumirla, efectuar pro</w:t>
      </w:r>
      <w:r>
        <w:rPr>
          <w:rFonts w:ascii="Palatino Linotype" w:eastAsia="Palatino Linotype" w:hAnsi="Palatino Linotype" w:cs="Palatino Linotype"/>
        </w:rPr>
        <w:t xml:space="preserve">cedimientos para obtenerla, calcular y practicar investigaciones; en otras palabras, que los Sujetos Obligados sólo se concretaran a proporcionar la información solicitada que tengan en su poder en el estado que se encuentran, sin necesidad de concretarse </w:t>
      </w:r>
      <w:r>
        <w:rPr>
          <w:rFonts w:ascii="Palatino Linotype" w:eastAsia="Palatino Linotype" w:hAnsi="Palatino Linotype" w:cs="Palatino Linotype"/>
        </w:rPr>
        <w:t>al interés o términos específicos del solicitante.</w:t>
      </w:r>
    </w:p>
    <w:p w14:paraId="5FA9B464" w14:textId="77777777" w:rsidR="007A7615" w:rsidRDefault="00F7721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Sirve de apoyo a lo anterior, el criterio orientador con clave de control SO/003/2017, emitido por el entonces Instituto Nacional de Transparencia, Acceso a la Información y Protección de Datos Personales,</w:t>
      </w:r>
      <w:r>
        <w:rPr>
          <w:rFonts w:ascii="Palatino Linotype" w:eastAsia="Palatino Linotype" w:hAnsi="Palatino Linotype" w:cs="Palatino Linotype"/>
        </w:rPr>
        <w:t xml:space="preserv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por rubro y texto, dispone lo siguiente:</w:t>
      </w:r>
      <w:r>
        <w:rPr>
          <w:rFonts w:ascii="Palatino Linotype" w:eastAsia="Palatino Linotype" w:hAnsi="Palatino Linotype" w:cs="Palatino Linotype"/>
          <w:b/>
        </w:rPr>
        <w:t xml:space="preserve"> </w:t>
      </w:r>
    </w:p>
    <w:p w14:paraId="0C7A3D05"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No existe obligación de elaborar documentos ad hoc para atender las solicitudes de acceso a la información.</w:t>
      </w:r>
      <w:r>
        <w:rPr>
          <w:rFonts w:ascii="Palatino Linotype" w:eastAsia="Palatino Linotype" w:hAnsi="Palatino Linotype" w:cs="Palatino Linotype"/>
          <w:i/>
        </w:rPr>
        <w:t xml:space="preserve"> Los artículos 129 de la Ley General de Transparencia y Acceso a la Información Pública y 130, párra</w:t>
      </w:r>
      <w:r>
        <w:rPr>
          <w:rFonts w:ascii="Palatino Linotype" w:eastAsia="Palatino Linotype" w:hAnsi="Palatino Linotype" w:cs="Palatino Linotype"/>
          <w:i/>
        </w:rPr>
        <w:t xml:space="preserve">fo cuarto, de la Ley Federal de Transparencia y Acceso a la Información Pública, señalan que los sujetos obligados deberán otorgar acceso a los documentos que se encuentren en sus archivos o que estén obligados a documentar, de acuerdo con sus facultades, </w:t>
      </w:r>
      <w:r>
        <w:rPr>
          <w:rFonts w:ascii="Palatino Linotype" w:eastAsia="Palatino Linotype" w:hAnsi="Palatino Linotype" w:cs="Palatino Linotype"/>
          <w:i/>
        </w:rPr>
        <w:t>competencias o funciones, conforme a las características físicas de la información o del lugar donde se encuentre. Por lo anterior, los sujetos obligados deben garantizar el derecho de acceso a la información del particular, proporcionando la información c</w:t>
      </w:r>
      <w:r>
        <w:rPr>
          <w:rFonts w:ascii="Palatino Linotype" w:eastAsia="Palatino Linotype" w:hAnsi="Palatino Linotype" w:cs="Palatino Linotype"/>
          <w:i/>
        </w:rPr>
        <w:t xml:space="preserve">on la que cuentan en el formato en que la misma obre en sus archivos; sin necesidad de elaborar documentos ad hoc para atender las solicitudes de información.” </w:t>
      </w:r>
    </w:p>
    <w:p w14:paraId="48839061" w14:textId="77777777" w:rsidR="007A7615" w:rsidRDefault="00F77212">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esa tesitura, el artículo 24 en su último párrafo de la Ley de la Materia, dispone que los S</w:t>
      </w:r>
      <w:r>
        <w:rPr>
          <w:rFonts w:ascii="Palatino Linotype" w:eastAsia="Palatino Linotype" w:hAnsi="Palatino Linotype" w:cs="Palatino Linotype"/>
        </w:rPr>
        <w:t xml:space="preserve">ujetos Obligados sólo proporcionarán la información pública que generen, administren o posean en el ejercicio de sus atribuciones; por consiguiente, la información pública se encuentra a disposición de cualquier persona, lo que implica que es deber de los </w:t>
      </w:r>
      <w:r>
        <w:rPr>
          <w:rFonts w:ascii="Palatino Linotype" w:eastAsia="Palatino Linotype" w:hAnsi="Palatino Linotype" w:cs="Palatino Linotype"/>
        </w:rPr>
        <w:t>Sujetos Obligados, garantizar el Derecho de Acceso a la Información Pública.</w:t>
      </w:r>
    </w:p>
    <w:p w14:paraId="7A46AF7A" w14:textId="77777777" w:rsidR="007A7615" w:rsidRDefault="00F77212">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w:t>
      </w:r>
      <w:r>
        <w:rPr>
          <w:rFonts w:ascii="Palatino Linotype" w:eastAsia="Palatino Linotype" w:hAnsi="Palatino Linotype" w:cs="Palatino Linotype"/>
        </w:rPr>
        <w:t>eportes, estudios, actas, resoluciones, oficios, correspondencia, acuerdos, directivas, directrices, circulares, contratos, convenios, instructivos, notas, memorandos, estadísticas o bien, cualquier otro registro que documente el ejercicio de las facultade</w:t>
      </w:r>
      <w:r>
        <w:rPr>
          <w:rFonts w:ascii="Palatino Linotype" w:eastAsia="Palatino Linotype" w:hAnsi="Palatino Linotype" w:cs="Palatino Linotype"/>
        </w:rPr>
        <w:t>s, funciones y competencias de los Sujetos Obligados; los que, podrán estar en cualquier medio, sea escrito, impreso, sonoro, visual, electrónico, informático u holográfico de conformidad con el artículo 3, fracción XI de la Ley de la materia, el cual seña</w:t>
      </w:r>
      <w:r>
        <w:rPr>
          <w:rFonts w:ascii="Palatino Linotype" w:eastAsia="Palatino Linotype" w:hAnsi="Palatino Linotype" w:cs="Palatino Linotype"/>
        </w:rPr>
        <w:t xml:space="preserve">la lo siguiente: </w:t>
      </w:r>
    </w:p>
    <w:p w14:paraId="04C6DE26"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5C4510F9"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60A910FF"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w:t>
      </w:r>
      <w:r>
        <w:rPr>
          <w:rFonts w:ascii="Palatino Linotype" w:eastAsia="Palatino Linotype" w:hAnsi="Palatino Linotype" w:cs="Palatino Linotype"/>
          <w:b/>
          <w:i/>
        </w:rPr>
        <w:t>,</w:t>
      </w:r>
      <w:r>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w:t>
      </w:r>
      <w:r>
        <w:rPr>
          <w:rFonts w:ascii="Palatino Linotype" w:eastAsia="Palatino Linotype" w:hAnsi="Palatino Linotype" w:cs="Palatino Linotype"/>
          <w:i/>
        </w:rPr>
        <w:t xml:space="preserve">as de los sujetos obligados, sus servidores públicos e integrantes, sin importar su fuente o fecha de elaboración. Los documentos podrán estar en cualquier medio, sea escrito, impreso, sonoro, visual, electrónico, informático u holográfico…” </w:t>
      </w:r>
    </w:p>
    <w:p w14:paraId="50FE0018"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w:t>
      </w:r>
      <w:r>
        <w:rPr>
          <w:rFonts w:ascii="Palatino Linotype" w:eastAsia="Palatino Linotype" w:hAnsi="Palatino Linotype" w:cs="Palatino Linotype"/>
        </w:rPr>
        <w:t>obierno del Estado Libre y Soberano de México “Gaceta del Gobierno”, el diecinueve de octubre de dos mil once, cuyo rubro y texto refieren lo siguiente:</w:t>
      </w:r>
    </w:p>
    <w:p w14:paraId="3B56836B"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rPr>
        <w:lastRenderedPageBreak/>
        <w:t>“</w:t>
      </w:r>
      <w:r>
        <w:rPr>
          <w:rFonts w:ascii="Palatino Linotype" w:eastAsia="Palatino Linotype" w:hAnsi="Palatino Linotype" w:cs="Palatino Linotype"/>
          <w:b/>
          <w:i/>
        </w:rPr>
        <w:t>INFORMACIÓN PÚBLICA, CONCEPTO DE, EN MATERIA DE TRANSPARENCIA. INTERPRETACIÓN SISTEMÁTICA DE LOS ARTÍC</w:t>
      </w:r>
      <w:r>
        <w:rPr>
          <w:rFonts w:ascii="Palatino Linotype" w:eastAsia="Palatino Linotype" w:hAnsi="Palatino Linotype" w:cs="Palatino Linotype"/>
          <w:b/>
          <w:i/>
        </w:rPr>
        <w:t>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w:t>
      </w:r>
      <w:r>
        <w:rPr>
          <w:rFonts w:ascii="Palatino Linotype" w:eastAsia="Palatino Linotype" w:hAnsi="Palatino Linotype" w:cs="Palatino Linotype"/>
          <w:i/>
        </w:rPr>
        <w:t>os, administrados, generados o en posesión de los órganos u organismos públicos, en virtud del ejercicio de sus funciones de derecho público, sin importar su fuente, soporte o fecha de elaboración.</w:t>
      </w:r>
    </w:p>
    <w:p w14:paraId="00FC6C87"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w:t>
      </w:r>
      <w:r>
        <w:rPr>
          <w:rFonts w:ascii="Palatino Linotype" w:eastAsia="Palatino Linotype" w:hAnsi="Palatino Linotype" w:cs="Palatino Linotype"/>
          <w:i/>
        </w:rPr>
        <w:t>e se cumplan cualquiera de los siguientes tres supuestos:</w:t>
      </w:r>
    </w:p>
    <w:p w14:paraId="6EDC238C"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1)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0E4CAE05"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w:t>
      </w:r>
      <w:r>
        <w:rPr>
          <w:rFonts w:ascii="Palatino Linotype" w:eastAsia="Palatino Linotype" w:hAnsi="Palatino Linotype" w:cs="Palatino Linotype"/>
          <w:i/>
        </w:rPr>
        <w:t xml:space="preserve">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2EBCB415"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3) 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w:t>
      </w:r>
      <w:r>
        <w:rPr>
          <w:rFonts w:ascii="Palatino Linotype" w:eastAsia="Palatino Linotype" w:hAnsi="Palatino Linotype" w:cs="Palatino Linotype"/>
          <w:i/>
        </w:rPr>
        <w:t>as, se encuentre en posesión de los Sujetos Obligados.”</w:t>
      </w:r>
    </w:p>
    <w:p w14:paraId="1855614C" w14:textId="77777777" w:rsidR="007A7615" w:rsidRDefault="00F7721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w:t>
      </w:r>
      <w:r>
        <w:rPr>
          <w:rFonts w:ascii="Palatino Linotype" w:eastAsia="Palatino Linotype" w:hAnsi="Palatino Linotype" w:cs="Palatino Linotype"/>
        </w:rPr>
        <w:t>ue el interés de conocerse, o bien, generar un daño en los derechos de las personas, debiendo tener audacia los Sujetos Obligados para cuidar esta información a través del acuerdo clasificatorio del comité de transparencia y la versión pública que emita el</w:t>
      </w:r>
      <w:r>
        <w:rPr>
          <w:rFonts w:ascii="Palatino Linotype" w:eastAsia="Palatino Linotype" w:hAnsi="Palatino Linotype" w:cs="Palatino Linotype"/>
        </w:rPr>
        <w:t xml:space="preserve"> servidor público habilitado de cada Sujeto Obligado; como así se establece en la Ley de Transparencia y Acceso a la Información Pública del Estado de México y Municipios.</w:t>
      </w:r>
    </w:p>
    <w:p w14:paraId="1E826805"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mismo tenor, los artículos 6, apartado A, fracción I, de la Constitución Polít</w:t>
      </w:r>
      <w:r>
        <w:rPr>
          <w:rFonts w:ascii="Palatino Linotype" w:eastAsia="Palatino Linotype" w:hAnsi="Palatino Linotype" w:cs="Palatino Linotype"/>
        </w:rPr>
        <w:t xml:space="preserve">ica de los Estados Unidos Mexicanos y 5, fracción I, de la Constitución Política del Estado Libre y </w:t>
      </w:r>
      <w:r>
        <w:rPr>
          <w:rFonts w:ascii="Palatino Linotype" w:eastAsia="Palatino Linotype" w:hAnsi="Palatino Linotype" w:cs="Palatino Linotype"/>
        </w:rPr>
        <w:lastRenderedPageBreak/>
        <w:t>Soberano de México, establecen que toda la información en posesión de cualquier autoridad, entidad, órgano y organismos de los Poderes Ejecutivo, Legislativ</w:t>
      </w:r>
      <w:r>
        <w:rPr>
          <w:rFonts w:ascii="Palatino Linotype" w:eastAsia="Palatino Linotype" w:hAnsi="Palatino Linotype" w:cs="Palatino Linotype"/>
        </w:rPr>
        <w:t>o y Judicial, órganos autónomos, partidos políticos, fideicomisos y fondos públicos estatales y municipales, así como del gobierno y de la administración pública municipal y sus organismos descentralizados, asimismo de cualquier persona física, jurídica co</w:t>
      </w:r>
      <w:r>
        <w:rPr>
          <w:rFonts w:ascii="Palatino Linotype" w:eastAsia="Palatino Linotype" w:hAnsi="Palatino Linotype" w:cs="Palatino Linotype"/>
        </w:rPr>
        <w:t>lectiva o sindicato que reciba y ejerza recursos públicos o realice actos de autoridad en el ámbito estatal y municipal, es pública y sólo podrá ser reservada temporalmente por las razones previstas en la Constitución Federal por interés público y segurida</w:t>
      </w:r>
      <w:r>
        <w:rPr>
          <w:rFonts w:ascii="Palatino Linotype" w:eastAsia="Palatino Linotype" w:hAnsi="Palatino Linotype" w:cs="Palatino Linotype"/>
        </w:rPr>
        <w:t>d, en los términos que fijen las leyes de la materia.</w:t>
      </w:r>
    </w:p>
    <w:p w14:paraId="0BDD3F44" w14:textId="77777777" w:rsidR="007A7615" w:rsidRDefault="00F7721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le proporcione, información</w:t>
      </w:r>
      <w:r>
        <w:rPr>
          <w:rFonts w:ascii="Palatino Linotype" w:eastAsia="Palatino Linotype" w:hAnsi="Palatino Linotype" w:cs="Palatino Linotype"/>
        </w:rPr>
        <w:t xml:space="preserve"> consistente en lo siguiente:</w:t>
      </w:r>
    </w:p>
    <w:p w14:paraId="41D0D710" w14:textId="77777777" w:rsidR="007A7615" w:rsidRDefault="00F77212">
      <w:pPr>
        <w:numPr>
          <w:ilvl w:val="0"/>
          <w:numId w:val="1"/>
        </w:numPr>
        <w:pBdr>
          <w:top w:val="nil"/>
          <w:left w:val="nil"/>
          <w:bottom w:val="nil"/>
          <w:right w:val="nil"/>
          <w:between w:val="nil"/>
        </w:pBdr>
        <w:spacing w:before="240" w:after="240" w:line="360" w:lineRule="auto"/>
        <w:ind w:left="567" w:right="51"/>
        <w:jc w:val="both"/>
        <w:rPr>
          <w:rFonts w:ascii="Palatino Linotype" w:eastAsia="Palatino Linotype" w:hAnsi="Palatino Linotype" w:cs="Palatino Linotype"/>
        </w:rPr>
      </w:pPr>
      <w:r>
        <w:rPr>
          <w:rFonts w:ascii="Palatino Linotype" w:eastAsia="Palatino Linotype" w:hAnsi="Palatino Linotype" w:cs="Palatino Linotype"/>
        </w:rPr>
        <w:t>Todos los contratos firmados y el expediente completo del uno de enero al diecisiete de febrero de dos mil veinticinco, señalando el tipo de adquisición: licitación pública, invitación restringida o directa.</w:t>
      </w:r>
    </w:p>
    <w:p w14:paraId="03D765F8" w14:textId="77777777" w:rsidR="007A7615" w:rsidRDefault="00F77212">
      <w:pPr>
        <w:pBdr>
          <w:top w:val="nil"/>
          <w:left w:val="nil"/>
          <w:bottom w:val="nil"/>
          <w:right w:val="nil"/>
          <w:between w:val="nil"/>
        </w:pBdr>
        <w:tabs>
          <w:tab w:val="left" w:pos="993"/>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Sujeto Obligado</w:t>
      </w:r>
      <w:r>
        <w:rPr>
          <w:rFonts w:ascii="Palatino Linotype" w:eastAsia="Palatino Linotype" w:hAnsi="Palatino Linotype" w:cs="Palatino Linotype"/>
        </w:rPr>
        <w:t>, por conducto del Instituto Municipal de la Mujer, informó que al momento no se cuentan con contratos firmados en esta Administración, ni expedientes completos o tipo de adquisiciones, licitación pública, invitación restrin</w:t>
      </w:r>
      <w:r>
        <w:rPr>
          <w:rFonts w:ascii="Palatino Linotype" w:eastAsia="Palatino Linotype" w:hAnsi="Palatino Linotype" w:cs="Palatino Linotype"/>
        </w:rPr>
        <w:t>gida o directa, puesto que aún está por conformarse el Comité de Adquisiciones.</w:t>
      </w:r>
    </w:p>
    <w:p w14:paraId="796F96CF" w14:textId="77777777" w:rsidR="007A7615" w:rsidRDefault="00F77212">
      <w:pPr>
        <w:pBdr>
          <w:top w:val="nil"/>
          <w:left w:val="nil"/>
          <w:bottom w:val="nil"/>
          <w:right w:val="nil"/>
          <w:between w:val="nil"/>
        </w:pBdr>
        <w:tabs>
          <w:tab w:val="left" w:pos="993"/>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Al no estar conforme con los términos de la respuesta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la persona solicitante interpuso el recurso de revisión que se resuelve, mediante el</w:t>
      </w:r>
      <w:r>
        <w:rPr>
          <w:rFonts w:ascii="Palatino Linotype" w:eastAsia="Palatino Linotype" w:hAnsi="Palatino Linotype" w:cs="Palatino Linotype"/>
        </w:rPr>
        <w:t xml:space="preserve"> cual alegó, en lo medular, que se le negó la información solicitada.</w:t>
      </w:r>
    </w:p>
    <w:p w14:paraId="48F97A7C"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Durante el periodo de manifestaciones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ratificó en lo sustancial la respuesta proporcionada en primera instancia, y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fue omisa en hacer </w:t>
      </w:r>
      <w:r>
        <w:rPr>
          <w:rFonts w:ascii="Palatino Linotype" w:eastAsia="Palatino Linotype" w:hAnsi="Palatino Linotype" w:cs="Palatino Linotype"/>
        </w:rPr>
        <w:lastRenderedPageBreak/>
        <w:t>valer manifes</w:t>
      </w:r>
      <w:r>
        <w:rPr>
          <w:rFonts w:ascii="Palatino Linotype" w:eastAsia="Palatino Linotype" w:hAnsi="Palatino Linotype" w:cs="Palatino Linotype"/>
        </w:rPr>
        <w:t xml:space="preserve">taciones o rendir alegatos que conforme a derecho resultaran procedentes, por lo </w:t>
      </w:r>
      <w:proofErr w:type="gramStart"/>
      <w:r>
        <w:rPr>
          <w:rFonts w:ascii="Palatino Linotype" w:eastAsia="Palatino Linotype" w:hAnsi="Palatino Linotype" w:cs="Palatino Linotype"/>
        </w:rPr>
        <w:t>tanto</w:t>
      </w:r>
      <w:proofErr w:type="gramEnd"/>
      <w:r>
        <w:rPr>
          <w:rFonts w:ascii="Palatino Linotype" w:eastAsia="Palatino Linotype" w:hAnsi="Palatino Linotype" w:cs="Palatino Linotype"/>
        </w:rPr>
        <w:t xml:space="preserve"> se tiene por precluido su derecho.</w:t>
      </w:r>
    </w:p>
    <w:p w14:paraId="25DCC77B" w14:textId="77777777" w:rsidR="007A7615" w:rsidRDefault="00F7721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establecidas las posturas de las partes, se procede al análisis de los requerimientos de información, así como la información </w:t>
      </w:r>
      <w:r>
        <w:rPr>
          <w:rFonts w:ascii="Palatino Linotype" w:eastAsia="Palatino Linotype" w:hAnsi="Palatino Linotype" w:cs="Palatino Linotype"/>
        </w:rPr>
        <w:t xml:space="preserve">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contraposición con el motivo de inconformidad alegado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con la finalidad de determinar si el Derecho de acceso de esta se satisfizo, o en su defecto, señalar los documentos que en el ejercicio</w:t>
      </w:r>
      <w:r>
        <w:rPr>
          <w:rFonts w:ascii="Palatino Linotype" w:eastAsia="Palatino Linotype" w:hAnsi="Palatino Linotype" w:cs="Palatino Linotype"/>
        </w:rPr>
        <w:t xml:space="preserve"> de sus atribuciones pudo haber generado, y que, de manera enunciativa más no limitativa, pudieran colmar dicho derecho, en caso de ser procedente.</w:t>
      </w:r>
    </w:p>
    <w:p w14:paraId="21DD8AC2"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tenor, en principio es imprescindible mencionar que las Unidades de Transparencia, son el área respo</w:t>
      </w:r>
      <w:r>
        <w:rPr>
          <w:rFonts w:ascii="Palatino Linotype" w:eastAsia="Palatino Linotype" w:hAnsi="Palatino Linotype" w:cs="Palatino Linotype"/>
        </w:rPr>
        <w:t>nsable en cada Sujeto Obligado para dar atención a las solicitudes de información que se realicen al amparo de la Ley, el responsable de dicha área funge como enlace entre el Sujeto Obligado y los solicitantes, y tiene bajo su responsabilidad el tramitar i</w:t>
      </w:r>
      <w:r>
        <w:rPr>
          <w:rFonts w:ascii="Palatino Linotype" w:eastAsia="Palatino Linotype" w:hAnsi="Palatino Linotype" w:cs="Palatino Linotype"/>
        </w:rPr>
        <w:t>nternamente la solicitud de información.</w:t>
      </w:r>
    </w:p>
    <w:p w14:paraId="4B20FC7B"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w:t>
      </w:r>
      <w:r>
        <w:rPr>
          <w:rFonts w:ascii="Palatino Linotype" w:eastAsia="Palatino Linotype" w:hAnsi="Palatino Linotype" w:cs="Palatino Linotype"/>
        </w:rPr>
        <w:t>eas que conforman la estructura orgánica del Sujeto Obligado, es por ello que debe turnar la solicitud al servidor público habilitado que tiene bajo su resguardo la misma, de conformidad con los artículos 53, fracciones II y IV y 162 de la Ley de Transpare</w:t>
      </w:r>
      <w:r>
        <w:rPr>
          <w:rFonts w:ascii="Palatino Linotype" w:eastAsia="Palatino Linotype" w:hAnsi="Palatino Linotype" w:cs="Palatino Linotype"/>
        </w:rPr>
        <w:t>ncia y Acceso a la Información Pública del Estado de México y Municipios.</w:t>
      </w:r>
    </w:p>
    <w:p w14:paraId="4B82E9E0" w14:textId="77777777" w:rsidR="007A7615" w:rsidRDefault="00F7721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su parte, los servidores públicos habilitados, quienes son designados por el titular de cada Sujeto Obligado derivado de la propuesta del responsable de la Unidad de Transparenci</w:t>
      </w:r>
      <w:r>
        <w:rPr>
          <w:rFonts w:ascii="Palatino Linotype" w:eastAsia="Palatino Linotype" w:hAnsi="Palatino Linotype" w:cs="Palatino Linotype"/>
        </w:rPr>
        <w:t xml:space="preserve">a, son las personas encargadas dentro de las diversas unidades administrativas o áreas de los Sujeto Obligado, de apoyar, gestionar y entregar la </w:t>
      </w:r>
      <w:r>
        <w:rPr>
          <w:rFonts w:ascii="Palatino Linotype" w:eastAsia="Palatino Linotype" w:hAnsi="Palatino Linotype" w:cs="Palatino Linotype"/>
        </w:rPr>
        <w:lastRenderedPageBreak/>
        <w:t>información o datos personales que se ubiquen en la misma, a sus respectivas unidades de transparencia; respec</w:t>
      </w:r>
      <w:r>
        <w:rPr>
          <w:rFonts w:ascii="Palatino Linotype" w:eastAsia="Palatino Linotype" w:hAnsi="Palatino Linotype" w:cs="Palatino Linotype"/>
        </w:rPr>
        <w:t>to de las solicitudes presentadas, y aportar en primera instancia el fundamento y motivación de la clasificación de la información, teniendo como función buscar, localizar y en su caso entregar la información solicitada, así como integrar y presentar al re</w:t>
      </w:r>
      <w:r>
        <w:rPr>
          <w:rFonts w:ascii="Palatino Linotype" w:eastAsia="Palatino Linotype" w:hAnsi="Palatino Linotype" w:cs="Palatino Linotype"/>
        </w:rPr>
        <w:t>sponsable de la Unidad de Transparencia la propuesta de clasificación de información, la cual tendrá los fundamentos y argumentos en que se basa dicha propuesta y verificar, una vez analizado el contenido de la información, que no se encuentre en los supue</w:t>
      </w:r>
      <w:r>
        <w:rPr>
          <w:rFonts w:ascii="Palatino Linotype" w:eastAsia="Palatino Linotype" w:hAnsi="Palatino Linotype" w:cs="Palatino Linotype"/>
        </w:rPr>
        <w:t>stos de información clasificada, de conformidad con los artículos 3, fracción XXXIX, 58 y 59, de la Ley de Transparencia y Acceso a la Información Pública del Estado de México y Municipios.</w:t>
      </w:r>
    </w:p>
    <w:p w14:paraId="7853257E"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manifestado con antelación se advierte que la persona Titula</w:t>
      </w:r>
      <w:r>
        <w:rPr>
          <w:rFonts w:ascii="Palatino Linotype" w:eastAsia="Palatino Linotype" w:hAnsi="Palatino Linotype" w:cs="Palatino Linotype"/>
        </w:rPr>
        <w:t>r de la Unidad de Transparencia debe garantizar que las solicitudes se turnen a todas las áreas competentes que puedan contar con la información, con el objeto de que los servidores públicos habilitados realicen la búsqueda exhaustiva y razonable de la inf</w:t>
      </w:r>
      <w:r>
        <w:rPr>
          <w:rFonts w:ascii="Palatino Linotype" w:eastAsia="Palatino Linotype" w:hAnsi="Palatino Linotype" w:cs="Palatino Linotype"/>
        </w:rPr>
        <w:t>ormación solicitada, y que una vez localizada, la misma sea proporcionada a las personas solicitantes atendiendo a la naturaleza jurídica de la misma.</w:t>
      </w:r>
    </w:p>
    <w:p w14:paraId="28D23AED" w14:textId="77777777" w:rsidR="007A7615" w:rsidRDefault="00F7721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esta línea de pensamiento, derivado del análisis de las constancias que obran en el expediente electró</w:t>
      </w:r>
      <w:r>
        <w:rPr>
          <w:rFonts w:ascii="Palatino Linotype" w:eastAsia="Palatino Linotype" w:hAnsi="Palatino Linotype" w:cs="Palatino Linotype"/>
        </w:rPr>
        <w:t xml:space="preserve">nico en el que se actúa, se advirtió que la Unidad de Transparencia, turnó la solicitud de información al Instituto Municipal de la Mujer de Toluca, el cual, de conformidad con el artículo 3.67 del Código Reglamentario Municipal de Toluca, es un organismo </w:t>
      </w:r>
      <w:r>
        <w:rPr>
          <w:rFonts w:ascii="Palatino Linotype" w:eastAsia="Palatino Linotype" w:hAnsi="Palatino Linotype" w:cs="Palatino Linotype"/>
        </w:rPr>
        <w:t>descentralizado de la administración pública municipal.</w:t>
      </w:r>
    </w:p>
    <w:p w14:paraId="242B5C28" w14:textId="77777777" w:rsidR="007A7615" w:rsidRDefault="00F7721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el artículo 1 de la Ley que crea el organismo Público Descentralizado denominado Instituto Municipal de la Mujer de Toluca, dispone que dicho organismo cuenta con personalidad jurídica y patri</w:t>
      </w:r>
      <w:r>
        <w:rPr>
          <w:rFonts w:ascii="Palatino Linotype" w:eastAsia="Palatino Linotype" w:hAnsi="Palatino Linotype" w:cs="Palatino Linotype"/>
        </w:rPr>
        <w:t>monio propio para el cumplimiento del objeto y el ejercicio de funciones que le otorga la misma Ley y demás leyes y reglamentos en la materia.</w:t>
      </w:r>
    </w:p>
    <w:p w14:paraId="2E7B3E01" w14:textId="77777777" w:rsidR="007A7615" w:rsidRDefault="00F7721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tenor, el Instituto Municipal de la Mujer cuenta con su propia estructura orgánica para el estudio, plane</w:t>
      </w:r>
      <w:r>
        <w:rPr>
          <w:rFonts w:ascii="Palatino Linotype" w:eastAsia="Palatino Linotype" w:hAnsi="Palatino Linotype" w:cs="Palatino Linotype"/>
        </w:rPr>
        <w:t>ación y despacho de los asuntos de su competencia, así como para atender las acciones de control y evaluación que le corresponden, como se desprende del artículo 13 del Reglamento Interno de dicho Instituto, a saber:</w:t>
      </w:r>
    </w:p>
    <w:p w14:paraId="49066D2D"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13.</w:t>
      </w:r>
      <w:r>
        <w:rPr>
          <w:rFonts w:ascii="Palatino Linotype" w:eastAsia="Palatino Linotype" w:hAnsi="Palatino Linotype" w:cs="Palatino Linotype"/>
          <w:i/>
        </w:rPr>
        <w:t xml:space="preserve"> Para el estudio, planeaci</w:t>
      </w:r>
      <w:r>
        <w:rPr>
          <w:rFonts w:ascii="Palatino Linotype" w:eastAsia="Palatino Linotype" w:hAnsi="Palatino Linotype" w:cs="Palatino Linotype"/>
          <w:i/>
        </w:rPr>
        <w:t>ón y despacho de los asuntos de su competencia, así como para atender las acciones de control y evaluación que le corresponden, la persona titular de la Dirección General se auxiliará de las siguientes unidades administrativas básicas:</w:t>
      </w:r>
    </w:p>
    <w:p w14:paraId="169735C3"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I. Órgano Interno de</w:t>
      </w:r>
      <w:r>
        <w:rPr>
          <w:rFonts w:ascii="Palatino Linotype" w:eastAsia="Palatino Linotype" w:hAnsi="Palatino Linotype" w:cs="Palatino Linotype"/>
          <w:i/>
        </w:rPr>
        <w:t xml:space="preserve"> Control; </w:t>
      </w:r>
    </w:p>
    <w:p w14:paraId="41F62838"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Unidad de Información, Planeación, Programación y Evaluación; </w:t>
      </w:r>
    </w:p>
    <w:p w14:paraId="1B71D6E5"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III. Coordinación de Administración y Finanzas</w:t>
      </w:r>
      <w:r>
        <w:rPr>
          <w:rFonts w:ascii="Palatino Linotype" w:eastAsia="Palatino Linotype" w:hAnsi="Palatino Linotype" w:cs="Palatino Linotype"/>
          <w:i/>
        </w:rPr>
        <w:t xml:space="preserve">; </w:t>
      </w:r>
    </w:p>
    <w:p w14:paraId="794DCDE7"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IV. Coordinación Integral para la Atención a la Violencia de Género; y </w:t>
      </w:r>
    </w:p>
    <w:p w14:paraId="38E11865"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V. Coordinación para el Bienestar Integral de la Mujer. </w:t>
      </w:r>
    </w:p>
    <w:p w14:paraId="2E71AFBD"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El Instituto </w:t>
      </w:r>
      <w:proofErr w:type="gramStart"/>
      <w:r>
        <w:rPr>
          <w:rFonts w:ascii="Palatino Linotype" w:eastAsia="Palatino Linotype" w:hAnsi="Palatino Linotype" w:cs="Palatino Linotype"/>
          <w:i/>
        </w:rPr>
        <w:t>contará</w:t>
      </w:r>
      <w:proofErr w:type="gramEnd"/>
      <w:r>
        <w:rPr>
          <w:rFonts w:ascii="Palatino Linotype" w:eastAsia="Palatino Linotype" w:hAnsi="Palatino Linotype" w:cs="Palatino Linotype"/>
          <w:i/>
        </w:rPr>
        <w:t xml:space="preserve"> además, con las unidades administrativas que le sean autorizadas y se auxiliará del personal necesario par</w:t>
      </w:r>
      <w:r>
        <w:rPr>
          <w:rFonts w:ascii="Palatino Linotype" w:eastAsia="Palatino Linotype" w:hAnsi="Palatino Linotype" w:cs="Palatino Linotype"/>
          <w:i/>
        </w:rPr>
        <w:t>a el cumplimiento de sus atribuciones, de acuerdo con la estructura orgánica y presupuesto.”</w:t>
      </w:r>
    </w:p>
    <w:p w14:paraId="5A6F9F5B"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La Coordinación de Administración y Finanzas, en términos del artículo 17, fracciones VII,VII y IX del Reglamento Interno del Instituto Municipal de la Mujer, es r</w:t>
      </w:r>
      <w:r>
        <w:rPr>
          <w:rFonts w:ascii="Palatino Linotype" w:eastAsia="Palatino Linotype" w:hAnsi="Palatino Linotype" w:cs="Palatino Linotype"/>
        </w:rPr>
        <w:t>esponsable de formular conjuntamente con las demás unidades administrativas del Instituto, los programas anuales de adquisiciones, arrendamientos y servicios, de acuerdo con las disposiciones legales aplicables, programas de trabajo y proyectos de presupue</w:t>
      </w:r>
      <w:r>
        <w:rPr>
          <w:rFonts w:ascii="Palatino Linotype" w:eastAsia="Palatino Linotype" w:hAnsi="Palatino Linotype" w:cs="Palatino Linotype"/>
        </w:rPr>
        <w:t xml:space="preserve">sto respectivo; de coordinar, y en su caso, ejecutar los procedimientos de adquisición y/o arrendamiento de bienes y servicios de acuerdo a los lineamientos y/o reglas de operación de los recursos gestionados por el Instituto; y de proponer a la Dirección </w:t>
      </w:r>
      <w:r>
        <w:rPr>
          <w:rFonts w:ascii="Palatino Linotype" w:eastAsia="Palatino Linotype" w:hAnsi="Palatino Linotype" w:cs="Palatino Linotype"/>
        </w:rPr>
        <w:t>General la suscripción de contratos y convenios derivados de los procedimientos adquisitivos de bienes y servicios, con base en la normatividad aplicable.</w:t>
      </w:r>
    </w:p>
    <w:p w14:paraId="07413AA8"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la servidora pública habilitada del Instituto Municipal de la Mujer, manifestó que no </w:t>
      </w:r>
      <w:r>
        <w:rPr>
          <w:rFonts w:ascii="Palatino Linotype" w:eastAsia="Palatino Linotype" w:hAnsi="Palatino Linotype" w:cs="Palatino Linotype"/>
        </w:rPr>
        <w:t xml:space="preserve">contaba con contratos firmados en la presente administración, así como expedientes </w:t>
      </w:r>
      <w:r>
        <w:rPr>
          <w:rFonts w:ascii="Palatino Linotype" w:eastAsia="Palatino Linotype" w:hAnsi="Palatino Linotype" w:cs="Palatino Linotype"/>
        </w:rPr>
        <w:lastRenderedPageBreak/>
        <w:t>completos o tipo de adquisiciones, licitación pública, invitación restringida o directa, puesto que aún estaba por conformarse el Comité de Adquisiciones, lo cual reiteró en</w:t>
      </w:r>
      <w:r>
        <w:rPr>
          <w:rFonts w:ascii="Palatino Linotype" w:eastAsia="Palatino Linotype" w:hAnsi="Palatino Linotype" w:cs="Palatino Linotype"/>
        </w:rPr>
        <w:t xml:space="preserve"> la etapa de manifestaciones al precisar que a la fecha de la solicitud</w:t>
      </w:r>
      <w:r>
        <w:t xml:space="preserve"> </w:t>
      </w:r>
      <w:r>
        <w:rPr>
          <w:rFonts w:ascii="Palatino Linotype" w:eastAsia="Palatino Linotype" w:hAnsi="Palatino Linotype" w:cs="Palatino Linotype"/>
        </w:rPr>
        <w:t>no se habían realizado contratos de ningún tipo de adquisiciones.</w:t>
      </w:r>
    </w:p>
    <w:p w14:paraId="6C73F547" w14:textId="77777777" w:rsidR="007A7615" w:rsidRDefault="00F77212">
      <w:pPr>
        <w:tabs>
          <w:tab w:val="left" w:pos="3544"/>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Atento a lo anterior, se precisa que lo manifestado por la persona servidora pública habilitada se constituye en una e</w:t>
      </w:r>
      <w:r>
        <w:rPr>
          <w:rFonts w:ascii="Palatino Linotype" w:eastAsia="Palatino Linotype" w:hAnsi="Palatino Linotype" w:cs="Palatino Linotype"/>
        </w:rPr>
        <w:t>xpresión en sentido negativo, esto es, niegan la existencia de información alguna relacionada con contratos firmados en la presente Administración  así como expedientes completos de procedimientos de adquisición en las modalidades de licitación pública, in</w:t>
      </w:r>
      <w:r>
        <w:rPr>
          <w:rFonts w:ascii="Palatino Linotype" w:eastAsia="Palatino Linotype" w:hAnsi="Palatino Linotype" w:cs="Palatino Linotype"/>
        </w:rPr>
        <w:t>vitación restringida o directa, no encontrarse constituido el Comité de Adquisiciones, por lo que al considerarse como hecho negativo, resulta obvio que no puede tener en sus archivos información que satisfaga el requerimiento de información, ya que no pue</w:t>
      </w:r>
      <w:r>
        <w:rPr>
          <w:rFonts w:ascii="Palatino Linotype" w:eastAsia="Palatino Linotype" w:hAnsi="Palatino Linotype" w:cs="Palatino Linotype"/>
        </w:rPr>
        <w:t>de probarse por ser lógica y materialmente imposible, ello aunado a que no es obligatorio que la información se haya generado durante el periodo al que se hace alusión, sirve de sustento la siguiente Tesis</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emitida por la Segunda Sala de la Suprema Corte </w:t>
      </w:r>
      <w:r>
        <w:rPr>
          <w:rFonts w:ascii="Palatino Linotype" w:eastAsia="Palatino Linotype" w:hAnsi="Palatino Linotype" w:cs="Palatino Linotype"/>
        </w:rPr>
        <w:t>de la Nación, que es del tenor literal siguiente:</w:t>
      </w:r>
    </w:p>
    <w:p w14:paraId="3795921D" w14:textId="77777777" w:rsidR="007A7615" w:rsidRDefault="00F77212">
      <w:pPr>
        <w:pBdr>
          <w:top w:val="nil"/>
          <w:left w:val="nil"/>
          <w:bottom w:val="nil"/>
          <w:right w:val="nil"/>
          <w:between w:val="nil"/>
        </w:pBdr>
        <w:spacing w:before="120" w:after="120"/>
        <w:ind w:left="851" w:right="900"/>
        <w:jc w:val="both"/>
      </w:pPr>
      <w:r>
        <w:rPr>
          <w:rFonts w:ascii="Palatino Linotype" w:eastAsia="Palatino Linotype" w:hAnsi="Palatino Linotype" w:cs="Palatino Linotype"/>
          <w:b/>
          <w:i/>
        </w:rPr>
        <w:t xml:space="preserve">“HECHOS NEGATIVOS, NO SON SUSCEPTIBLES DE DEMOSTRACIÓN. </w:t>
      </w:r>
      <w:r>
        <w:rPr>
          <w:rFonts w:ascii="Palatino Linotype" w:eastAsia="Palatino Linotype" w:hAnsi="Palatino Linotype" w:cs="Palatino Linotype"/>
          <w:i/>
        </w:rPr>
        <w:t xml:space="preserve">Tratándose de un hecho negativo, el Juez no tiene </w:t>
      </w:r>
      <w:proofErr w:type="spellStart"/>
      <w:r>
        <w:rPr>
          <w:rFonts w:ascii="Palatino Linotype" w:eastAsia="Palatino Linotype" w:hAnsi="Palatino Linotype" w:cs="Palatino Linotype"/>
          <w:i/>
        </w:rPr>
        <w:t>por que</w:t>
      </w:r>
      <w:proofErr w:type="spellEnd"/>
      <w:r>
        <w:rPr>
          <w:rFonts w:ascii="Palatino Linotype" w:eastAsia="Palatino Linotype" w:hAnsi="Palatino Linotype" w:cs="Palatino Linotype"/>
          <w:i/>
        </w:rPr>
        <w:t xml:space="preserve"> invocar prueba alguna de la que se desprenda, ya que es bien sabido que esta clase de hechos</w:t>
      </w:r>
      <w:r>
        <w:rPr>
          <w:rFonts w:ascii="Palatino Linotype" w:eastAsia="Palatino Linotype" w:hAnsi="Palatino Linotype" w:cs="Palatino Linotype"/>
          <w:i/>
        </w:rPr>
        <w:t xml:space="preserve"> no son susceptibles de demostración.”</w:t>
      </w:r>
    </w:p>
    <w:p w14:paraId="00133CFA"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tal sentido, se tiene por atendida la solicitud de información en lo que compete al Instituto Municipal de la Mujer.</w:t>
      </w:r>
    </w:p>
    <w:p w14:paraId="7D16FF82"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por lo que se refiere a la administración pública municipal centralizada, es oportuno mencionar que en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pronunció, por conducto de los servidores públicos habilitados de la Tesorería Municipal, l</w:t>
      </w:r>
      <w:r>
        <w:rPr>
          <w:rFonts w:ascii="Palatino Linotype" w:eastAsia="Palatino Linotype" w:hAnsi="Palatino Linotype" w:cs="Palatino Linotype"/>
        </w:rPr>
        <w:t xml:space="preserve">a Dirección </w:t>
      </w:r>
      <w:r>
        <w:rPr>
          <w:rFonts w:ascii="Palatino Linotype" w:eastAsia="Palatino Linotype" w:hAnsi="Palatino Linotype" w:cs="Palatino Linotype"/>
        </w:rPr>
        <w:lastRenderedPageBreak/>
        <w:t>General de Administración, la Dirección General de Innovación, Planeación y Gestión Urbana, y la Dirección General de Obras Públicas, en los siguientes términos:</w:t>
      </w:r>
    </w:p>
    <w:p w14:paraId="7655235F" w14:textId="77777777" w:rsidR="007A7615" w:rsidRDefault="00F77212">
      <w:pPr>
        <w:pBdr>
          <w:top w:val="nil"/>
          <w:left w:val="nil"/>
          <w:bottom w:val="nil"/>
          <w:right w:val="nil"/>
          <w:between w:val="nil"/>
        </w:pBdr>
        <w:tabs>
          <w:tab w:val="left" w:pos="284"/>
        </w:tabs>
        <w:spacing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b/>
        </w:rPr>
        <w:t>Tesorería Municipal</w:t>
      </w:r>
      <w:r>
        <w:rPr>
          <w:rFonts w:ascii="Palatino Linotype" w:eastAsia="Palatino Linotype" w:hAnsi="Palatino Linotype" w:cs="Palatino Linotype"/>
        </w:rPr>
        <w:t>. Ratificada la respuesta emitida el día 19 de febrero de 202</w:t>
      </w:r>
      <w:r>
        <w:rPr>
          <w:rFonts w:ascii="Palatino Linotype" w:eastAsia="Palatino Linotype" w:hAnsi="Palatino Linotype" w:cs="Palatino Linotype"/>
        </w:rPr>
        <w:t>5, mediante oficio 202010000/0621/2025.</w:t>
      </w:r>
    </w:p>
    <w:p w14:paraId="3B3AF8CF" w14:textId="77777777" w:rsidR="007A7615" w:rsidRDefault="00F77212">
      <w:pPr>
        <w:pBdr>
          <w:top w:val="nil"/>
          <w:left w:val="nil"/>
          <w:bottom w:val="nil"/>
          <w:right w:val="nil"/>
          <w:between w:val="nil"/>
        </w:pBdr>
        <w:tabs>
          <w:tab w:val="left" w:pos="284"/>
        </w:tabs>
        <w:spacing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b/>
        </w:rPr>
        <w:t>Dirección General de Administración</w:t>
      </w:r>
      <w:r>
        <w:rPr>
          <w:rFonts w:ascii="Palatino Linotype" w:eastAsia="Palatino Linotype" w:hAnsi="Palatino Linotype" w:cs="Palatino Linotype"/>
        </w:rPr>
        <w:t>. Por conducto de la Dirección de Recursos Humanos, ratificó la respuesta inicial.</w:t>
      </w:r>
    </w:p>
    <w:p w14:paraId="6067FC6E" w14:textId="77777777" w:rsidR="007A7615" w:rsidRDefault="00F77212">
      <w:pPr>
        <w:pBdr>
          <w:top w:val="nil"/>
          <w:left w:val="nil"/>
          <w:bottom w:val="nil"/>
          <w:right w:val="nil"/>
          <w:between w:val="nil"/>
        </w:pBdr>
        <w:tabs>
          <w:tab w:val="left" w:pos="284"/>
        </w:tabs>
        <w:spacing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b/>
        </w:rPr>
        <w:t>Dirección General de Innovación, Planeación y Gestión Urbana</w:t>
      </w:r>
      <w:r>
        <w:rPr>
          <w:rFonts w:ascii="Palatino Linotype" w:eastAsia="Palatino Linotype" w:hAnsi="Palatino Linotype" w:cs="Palatino Linotype"/>
        </w:rPr>
        <w:t>. Se realizó una búsqueda exhausti</w:t>
      </w:r>
      <w:r>
        <w:rPr>
          <w:rFonts w:ascii="Palatino Linotype" w:eastAsia="Palatino Linotype" w:hAnsi="Palatino Linotype" w:cs="Palatino Linotype"/>
        </w:rPr>
        <w:t>va y razonable de la información objeto de la solicitud en los archivos que se encuentran bajo su resguardo y custodia, en la que no se localizó documento que dé cuenta de lo solicitado por el peticionario.</w:t>
      </w:r>
    </w:p>
    <w:p w14:paraId="104C02FF" w14:textId="77777777" w:rsidR="007A7615" w:rsidRDefault="00F77212">
      <w:pPr>
        <w:pBdr>
          <w:top w:val="nil"/>
          <w:left w:val="nil"/>
          <w:bottom w:val="nil"/>
          <w:right w:val="nil"/>
          <w:between w:val="nil"/>
        </w:pBdr>
        <w:tabs>
          <w:tab w:val="left" w:pos="284"/>
        </w:tabs>
        <w:spacing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b/>
        </w:rPr>
        <w:t>Dirección General de Obras Públicas</w:t>
      </w:r>
      <w:r>
        <w:rPr>
          <w:rFonts w:ascii="Palatino Linotype" w:eastAsia="Palatino Linotype" w:hAnsi="Palatino Linotype" w:cs="Palatino Linotype"/>
        </w:rPr>
        <w:t>. De acuerdo</w:t>
      </w:r>
      <w:r>
        <w:rPr>
          <w:rFonts w:ascii="Palatino Linotype" w:eastAsia="Palatino Linotype" w:hAnsi="Palatino Linotype" w:cs="Palatino Linotype"/>
        </w:rPr>
        <w:t xml:space="preserve"> con sus funciones y atribuciones manifestó que atendió la solicitud en tiempo y forma mediante oficio DGOP/0219/2025, conforme a lo informado por la Dirección de Obras Públicas en el oficio DOP/0365/2025, haciendo del conocimiento al entonces solicitante </w:t>
      </w:r>
      <w:r>
        <w:rPr>
          <w:rFonts w:ascii="Palatino Linotype" w:eastAsia="Palatino Linotype" w:hAnsi="Palatino Linotype" w:cs="Palatino Linotype"/>
        </w:rPr>
        <w:t>que a la fecha de la solicitud, que no realizaron procedimientos de contratación de obras públicas, razón por la que no se generó, ni administró expresión documental que diera cuenta de los documentos requeridos en la solicitud de origen.</w:t>
      </w:r>
    </w:p>
    <w:p w14:paraId="4F1BADDA"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Como se advierte,</w:t>
      </w:r>
      <w:r>
        <w:rPr>
          <w:rFonts w:ascii="Palatino Linotype" w:eastAsia="Palatino Linotype" w:hAnsi="Palatino Linotype" w:cs="Palatino Linotype"/>
        </w:rPr>
        <w:t xml:space="preserve"> los servidores públicos habilitados refirieron haber dado respuesta a la solicitud, misma que fue ratificada en sus términos en la etapa de manifestaciones, sin embargo, es de señalar que dicha información no se hizo del conocimiento de la persona solicit</w:t>
      </w:r>
      <w:r>
        <w:rPr>
          <w:rFonts w:ascii="Palatino Linotype" w:eastAsia="Palatino Linotype" w:hAnsi="Palatino Linotype" w:cs="Palatino Linotype"/>
        </w:rPr>
        <w:t>ante en respuesta, como se advierte en las constancias que integran el expediente, ante lo cual se puntualiza que de conformidad con el artículo 53, fracciones IV, V y VI de la Ley de Transparencia y Acceso a la Información Pública del Estado de México y M</w:t>
      </w:r>
      <w:r>
        <w:rPr>
          <w:rFonts w:ascii="Palatino Linotype" w:eastAsia="Palatino Linotype" w:hAnsi="Palatino Linotype" w:cs="Palatino Linotype"/>
        </w:rPr>
        <w:t xml:space="preserve">unicipios, las Unidades de Transparencia cuentan con el deber de realizar con efectividad los trámites internos necesarios para la atención de las solicitudes, entregar a los particulares la </w:t>
      </w:r>
      <w:r>
        <w:rPr>
          <w:rFonts w:ascii="Palatino Linotype" w:eastAsia="Palatino Linotype" w:hAnsi="Palatino Linotype" w:cs="Palatino Linotype"/>
        </w:rPr>
        <w:lastRenderedPageBreak/>
        <w:t xml:space="preserve">información solicitada en caso de ser procedente, y efectuar las </w:t>
      </w:r>
      <w:r>
        <w:rPr>
          <w:rFonts w:ascii="Palatino Linotype" w:eastAsia="Palatino Linotype" w:hAnsi="Palatino Linotype" w:cs="Palatino Linotype"/>
        </w:rPr>
        <w:t xml:space="preserve">notificaciones, por lo que se le insta a que en próximas ocasiones atienda las solicitudes de acceso a la información bajo los principios rectores previstos en la normativa de la materia, a fin de garantizar dicho Derecho Humano. </w:t>
      </w:r>
    </w:p>
    <w:p w14:paraId="73E96D64"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Ahora bien, por lo que se</w:t>
      </w:r>
      <w:r>
        <w:rPr>
          <w:rFonts w:ascii="Palatino Linotype" w:eastAsia="Palatino Linotype" w:hAnsi="Palatino Linotype" w:cs="Palatino Linotype"/>
        </w:rPr>
        <w:t xml:space="preserve"> refiere al pronunciamiento emitido por la Dirección General de Obras Públicas, entre cuyas funciones se encuentra las de coordinar actos relativos a la planeación, programación, presupuestación, adjudicación y contratación de la obra pública, así como los</w:t>
      </w:r>
      <w:r>
        <w:rPr>
          <w:rFonts w:ascii="Palatino Linotype" w:eastAsia="Palatino Linotype" w:hAnsi="Palatino Linotype" w:cs="Palatino Linotype"/>
        </w:rPr>
        <w:t xml:space="preserve"> servicios relacionados con las mismas y vigilar la construcción de obras por contrato, administración y cualquier otra modalidad que haya sido adjudicadas en términos de la legislación de la materia; de conformidad con el artículo 3.53, fracciones XII y X</w:t>
      </w:r>
      <w:r>
        <w:rPr>
          <w:rFonts w:ascii="Palatino Linotype" w:eastAsia="Palatino Linotype" w:hAnsi="Palatino Linotype" w:cs="Palatino Linotype"/>
        </w:rPr>
        <w:t>IV del Código Reglamentario Municipal de Toluca,</w:t>
      </w:r>
      <w:r>
        <w:t xml:space="preserve"> </w:t>
      </w:r>
      <w:r>
        <w:rPr>
          <w:rFonts w:ascii="Palatino Linotype" w:eastAsia="Palatino Linotype" w:hAnsi="Palatino Linotype" w:cs="Palatino Linotype"/>
        </w:rPr>
        <w:t xml:space="preserve">es de señalar que el mismo se constituye en una expresión en sentido negativo, puesto que refiere de manera clara que a la fecha de la solicitud </w:t>
      </w:r>
      <w:r>
        <w:rPr>
          <w:rFonts w:ascii="Palatino Linotype" w:eastAsia="Palatino Linotype" w:hAnsi="Palatino Linotype" w:cs="Palatino Linotype"/>
          <w:b/>
          <w:u w:val="single"/>
        </w:rPr>
        <w:t>no se realizaron procedimientos de contratación de obras públi</w:t>
      </w:r>
      <w:r>
        <w:rPr>
          <w:rFonts w:ascii="Palatino Linotype" w:eastAsia="Palatino Linotype" w:hAnsi="Palatino Linotype" w:cs="Palatino Linotype"/>
          <w:b/>
          <w:u w:val="single"/>
        </w:rPr>
        <w:t>cas, por lo que no generó, ni administra documentos relacionados con lo solicitado</w:t>
      </w:r>
      <w:r>
        <w:rPr>
          <w:rFonts w:ascii="Palatino Linotype" w:eastAsia="Palatino Linotype" w:hAnsi="Palatino Linotype" w:cs="Palatino Linotype"/>
        </w:rPr>
        <w:t>, por consiguiente es evidente que no puede tener en sus archivos información que satisfaga el requerimiento de información.</w:t>
      </w:r>
    </w:p>
    <w:p w14:paraId="5D16966E"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Bajo esta óptica, se estima que el pronunciamient</w:t>
      </w:r>
      <w:r>
        <w:rPr>
          <w:rFonts w:ascii="Palatino Linotype" w:eastAsia="Palatino Linotype" w:hAnsi="Palatino Linotype" w:cs="Palatino Linotype"/>
        </w:rPr>
        <w:t>o del servidor público habilitado es suficiente para tener por satisfecho el requerimiento de información, por lo que se refiere a de la Dirección General de Obras Públicas, por tratarse de un hecho negativo, en los términos ya precisados en líneas anterio</w:t>
      </w:r>
      <w:r>
        <w:rPr>
          <w:rFonts w:ascii="Palatino Linotype" w:eastAsia="Palatino Linotype" w:hAnsi="Palatino Linotype" w:cs="Palatino Linotype"/>
        </w:rPr>
        <w:t xml:space="preserve">res. </w:t>
      </w:r>
    </w:p>
    <w:p w14:paraId="4695D29A"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se refiere a la Dirección de General de Innovación, Planeación y Gestión Urbana, la cual, de conformidad con el artículo 92, fracción IX del Bando Municipal de Toluca, tiene entre otras atribuciones, </w:t>
      </w:r>
      <w:r>
        <w:rPr>
          <w:rFonts w:ascii="Palatino Linotype" w:eastAsia="Palatino Linotype" w:hAnsi="Palatino Linotype" w:cs="Palatino Linotype"/>
          <w:b/>
        </w:rPr>
        <w:t>la planeación, supervisión y validación</w:t>
      </w:r>
      <w:r>
        <w:rPr>
          <w:rFonts w:ascii="Palatino Linotype" w:eastAsia="Palatino Linotype" w:hAnsi="Palatino Linotype" w:cs="Palatino Linotype"/>
          <w:b/>
        </w:rPr>
        <w:t xml:space="preserve"> de proyectos de urbanización, infraestructura y movilidad</w:t>
      </w:r>
      <w:r>
        <w:rPr>
          <w:rFonts w:ascii="Palatino Linotype" w:eastAsia="Palatino Linotype" w:hAnsi="Palatino Linotype" w:cs="Palatino Linotype"/>
        </w:rPr>
        <w:t xml:space="preserve"> en coordinación con instancias públicas y privadas, se limitó a referir que no se localizó documento que dé cuenta de lo solicitado, </w:t>
      </w:r>
      <w:r>
        <w:rPr>
          <w:rFonts w:ascii="Palatino Linotype" w:eastAsia="Palatino Linotype" w:hAnsi="Palatino Linotype" w:cs="Palatino Linotype"/>
        </w:rPr>
        <w:lastRenderedPageBreak/>
        <w:t>derivado de la búsqueda exhaustiva y razonable de la información</w:t>
      </w:r>
      <w:r>
        <w:rPr>
          <w:rFonts w:ascii="Palatino Linotype" w:eastAsia="Palatino Linotype" w:hAnsi="Palatino Linotype" w:cs="Palatino Linotype"/>
        </w:rPr>
        <w:t xml:space="preserve"> objeto de la solicitud en los archivos que se encuentran bajo su resguardo y custodia.</w:t>
      </w:r>
    </w:p>
    <w:p w14:paraId="7CBD3336"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Sin embargo, la respuesta proporcionada no brinda certeza sobre la existencia o inexistencia de la información, al no señalar de manera clara las razones por las cuales</w:t>
      </w:r>
      <w:r>
        <w:rPr>
          <w:rFonts w:ascii="Palatino Linotype" w:eastAsia="Palatino Linotype" w:hAnsi="Palatino Linotype" w:cs="Palatino Linotype"/>
        </w:rPr>
        <w:t xml:space="preserve"> no se cuenta con algún documento que dé cuenta de la información solicitada.</w:t>
      </w:r>
    </w:p>
    <w:p w14:paraId="01629396"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debe mencionarse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 la consulta realizada por este Organismo Garante en la página oficial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encontró información publicada el día 20 de enero de 2025, referente a la colocación de un nuevo sistema que se basa en </w:t>
      </w:r>
      <w:proofErr w:type="spellStart"/>
      <w:r>
        <w:rPr>
          <w:rFonts w:ascii="Palatino Linotype" w:eastAsia="Palatino Linotype" w:hAnsi="Palatino Linotype" w:cs="Palatino Linotype"/>
        </w:rPr>
        <w:t>geoceldas</w:t>
      </w:r>
      <w:proofErr w:type="spellEnd"/>
      <w:r>
        <w:rPr>
          <w:rFonts w:ascii="Palatino Linotype" w:eastAsia="Palatino Linotype" w:hAnsi="Palatino Linotype" w:cs="Palatino Linotype"/>
        </w:rPr>
        <w:t xml:space="preserve"> de polietileno de alta densidad en San Felipe </w:t>
      </w:r>
      <w:proofErr w:type="spellStart"/>
      <w:r>
        <w:rPr>
          <w:rFonts w:ascii="Palatino Linotype" w:eastAsia="Palatino Linotype" w:hAnsi="Palatino Linotype" w:cs="Palatino Linotype"/>
        </w:rPr>
        <w:t>Tlalmimilolpan</w:t>
      </w:r>
      <w:proofErr w:type="spellEnd"/>
      <w:r>
        <w:rPr>
          <w:rFonts w:ascii="Palatino Linotype" w:eastAsia="Palatino Linotype" w:hAnsi="Palatino Linotype" w:cs="Palatino Linotype"/>
        </w:rPr>
        <w:t xml:space="preserve"> y que permitirán un ahorro aproximado de 30% en tiempo y mat</w:t>
      </w:r>
      <w:r>
        <w:rPr>
          <w:rFonts w:ascii="Palatino Linotype" w:eastAsia="Palatino Linotype" w:hAnsi="Palatino Linotype" w:cs="Palatino Linotype"/>
        </w:rPr>
        <w:t>erial, tal y como se observa de las siguientes imágenes:</w:t>
      </w:r>
    </w:p>
    <w:p w14:paraId="3DC4836F" w14:textId="77777777" w:rsidR="007A7615" w:rsidRDefault="00F77212">
      <w:pPr>
        <w:pBdr>
          <w:top w:val="nil"/>
          <w:left w:val="nil"/>
          <w:bottom w:val="nil"/>
          <w:right w:val="nil"/>
          <w:between w:val="nil"/>
        </w:pBdr>
        <w:tabs>
          <w:tab w:val="left" w:pos="284"/>
        </w:tabs>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1FBA3CE4" wp14:editId="46BEB4A5">
            <wp:extent cx="3600000" cy="4156008"/>
            <wp:effectExtent l="0" t="0" r="0" b="0"/>
            <wp:docPr id="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600000" cy="4156008"/>
                    </a:xfrm>
                    <a:prstGeom prst="rect">
                      <a:avLst/>
                    </a:prstGeom>
                    <a:ln/>
                  </pic:spPr>
                </pic:pic>
              </a:graphicData>
            </a:graphic>
          </wp:inline>
        </w:drawing>
      </w:r>
    </w:p>
    <w:p w14:paraId="36F31E08" w14:textId="77777777" w:rsidR="007A7615" w:rsidRDefault="00F77212">
      <w:pPr>
        <w:pBdr>
          <w:top w:val="nil"/>
          <w:left w:val="nil"/>
          <w:bottom w:val="nil"/>
          <w:right w:val="nil"/>
          <w:between w:val="nil"/>
        </w:pBdr>
        <w:tabs>
          <w:tab w:val="left" w:pos="284"/>
        </w:tabs>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1D24F22A" wp14:editId="2D6AEF07">
            <wp:extent cx="3600000" cy="3944603"/>
            <wp:effectExtent l="0" t="0" r="0" b="0"/>
            <wp:docPr id="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600000" cy="3944603"/>
                    </a:xfrm>
                    <a:prstGeom prst="rect">
                      <a:avLst/>
                    </a:prstGeom>
                    <a:ln/>
                  </pic:spPr>
                </pic:pic>
              </a:graphicData>
            </a:graphic>
          </wp:inline>
        </w:drawing>
      </w:r>
    </w:p>
    <w:p w14:paraId="27D3DCA5"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con lo vertido anteriormente, podemos advertir que obran indicios de que el Ayuntamiento de Toluca celebró contratos para la adquisición de materiales para la construcción y mantenimiento de calles, avenidas y caminos del uno de enero al </w:t>
      </w:r>
      <w:r>
        <w:rPr>
          <w:rFonts w:ascii="Palatino Linotype" w:eastAsia="Palatino Linotype" w:hAnsi="Palatino Linotype" w:cs="Palatino Linotype"/>
        </w:rPr>
        <w:t>diecisiete de febrero de dos mil veinticinco, por lo que estaríamos ante un hecho notorio, el cual se sustenta conforme a las siguientes Tesis de la Suprema Corte de Justicia de la Nación, cuyo rubro y texto son del tenor siguiente:</w:t>
      </w:r>
    </w:p>
    <w:p w14:paraId="05C46137" w14:textId="77777777" w:rsidR="007A7615" w:rsidRDefault="00F77212">
      <w:pPr>
        <w:tabs>
          <w:tab w:val="left" w:pos="7938"/>
        </w:tabs>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“HECHOS NOTORIOS. CONCE</w:t>
      </w:r>
      <w:r>
        <w:rPr>
          <w:rFonts w:ascii="Palatino Linotype" w:eastAsia="Palatino Linotype" w:hAnsi="Palatino Linotype" w:cs="Palatino Linotype"/>
          <w:b/>
          <w:i/>
        </w:rPr>
        <w:t xml:space="preserve">PTOS GENERAL Y JURÍDICO. Conforme al artículo 88 del Código Federal de Procedimientos Civiles los tribunales pueden invocar hechos </w:t>
      </w:r>
      <w:proofErr w:type="gramStart"/>
      <w:r>
        <w:rPr>
          <w:rFonts w:ascii="Palatino Linotype" w:eastAsia="Palatino Linotype" w:hAnsi="Palatino Linotype" w:cs="Palatino Linotype"/>
          <w:b/>
          <w:i/>
        </w:rPr>
        <w:t>notorios</w:t>
      </w:r>
      <w:proofErr w:type="gramEnd"/>
      <w:r>
        <w:rPr>
          <w:rFonts w:ascii="Palatino Linotype" w:eastAsia="Palatino Linotype" w:hAnsi="Palatino Linotype" w:cs="Palatino Linotype"/>
          <w:b/>
          <w:i/>
        </w:rPr>
        <w:t xml:space="preserve"> aunque no hayan sido alegados ni probados por las partes.</w:t>
      </w:r>
      <w:r>
        <w:rPr>
          <w:rFonts w:ascii="Palatino Linotype" w:eastAsia="Palatino Linotype" w:hAnsi="Palatino Linotype" w:cs="Palatino Linotype"/>
          <w:i/>
        </w:rPr>
        <w:t xml:space="preserve"> Por hechos notorios deben entenderse, en general, aquellos</w:t>
      </w:r>
      <w:r>
        <w:rPr>
          <w:rFonts w:ascii="Palatino Linotype" w:eastAsia="Palatino Linotype" w:hAnsi="Palatino Linotype" w:cs="Palatino Linotype"/>
          <w:i/>
        </w:rPr>
        <w:t xml:space="preserve"> que por el conocimiento humano se consideran ciertos e indiscutibles, ya sea que pertenezcan a la historia, a la ciencia, a la naturaleza</w:t>
      </w:r>
      <w:r>
        <w:rPr>
          <w:rFonts w:ascii="Palatino Linotype" w:eastAsia="Palatino Linotype" w:hAnsi="Palatino Linotype" w:cs="Palatino Linotype"/>
          <w:b/>
          <w:i/>
        </w:rPr>
        <w:t>, a las vicisitudes de la vida pública actual o a circunstancias comúnmente conocidas en un determinado lugar</w:t>
      </w:r>
      <w:r>
        <w:rPr>
          <w:rFonts w:ascii="Palatino Linotype" w:eastAsia="Palatino Linotype" w:hAnsi="Palatino Linotype" w:cs="Palatino Linotype"/>
          <w:i/>
        </w:rPr>
        <w:t xml:space="preserve">, </w:t>
      </w:r>
      <w:r>
        <w:rPr>
          <w:rFonts w:ascii="Palatino Linotype" w:eastAsia="Palatino Linotype" w:hAnsi="Palatino Linotype" w:cs="Palatino Linotype"/>
          <w:b/>
          <w:i/>
        </w:rPr>
        <w:t>de modo</w:t>
      </w:r>
      <w:r>
        <w:rPr>
          <w:rFonts w:ascii="Palatino Linotype" w:eastAsia="Palatino Linotype" w:hAnsi="Palatino Linotype" w:cs="Palatino Linotype"/>
          <w:b/>
          <w:i/>
        </w:rPr>
        <w:t xml:space="preserve"> que toda persona de ese </w:t>
      </w:r>
      <w:r>
        <w:rPr>
          <w:rFonts w:ascii="Palatino Linotype" w:eastAsia="Palatino Linotype" w:hAnsi="Palatino Linotype" w:cs="Palatino Linotype"/>
          <w:b/>
          <w:i/>
        </w:rPr>
        <w:lastRenderedPageBreak/>
        <w:t>medio esté en condiciones de saberlo</w:t>
      </w:r>
      <w:r>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w:t>
      </w:r>
      <w:r>
        <w:rPr>
          <w:rFonts w:ascii="Palatino Linotype" w:eastAsia="Palatino Linotype" w:hAnsi="Palatino Linotype" w:cs="Palatino Linotype"/>
          <w:i/>
        </w:rPr>
        <w:t>unciarse la decisión judicial, respecto del cual no hay duda ni discusión; de manera que al ser notorio la ley exime de su prueba, por ser del conocimiento público en el medio social donde ocurrió o donde se tramita el procedimiento.”</w:t>
      </w:r>
      <w:r>
        <w:rPr>
          <w:rFonts w:ascii="Palatino Linotype" w:eastAsia="Palatino Linotype" w:hAnsi="Palatino Linotype" w:cs="Palatino Linotype"/>
          <w:i/>
          <w:vertAlign w:val="superscript"/>
        </w:rPr>
        <w:footnoteReference w:id="2"/>
      </w:r>
    </w:p>
    <w:p w14:paraId="59D22217"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PÁGINAS WEB O ELEC</w:t>
      </w:r>
      <w:r>
        <w:rPr>
          <w:rFonts w:ascii="Palatino Linotype" w:eastAsia="Palatino Linotype" w:hAnsi="Palatino Linotype" w:cs="Palatino Linotype"/>
          <w:b/>
          <w:i/>
        </w:rPr>
        <w:t>TRÓNICAS. SU CONTENIDO ES UN HECHO NOTORIO Y SUSCEPTIBLE DE SER VALORADO EN UNA DECISIÓN JUDICIAL.</w:t>
      </w:r>
      <w:r>
        <w:rPr>
          <w:rFonts w:ascii="Palatino Linotype" w:eastAsia="Palatino Linotype" w:hAnsi="Palatino Linotype" w:cs="Palatino Linotype"/>
          <w:i/>
        </w:rPr>
        <w:t xml:space="preserve"> Los datos publicados en documentos o páginas situados en redes informáticas constituyen un hecho notorio por formar parte del conocimiento público a través d</w:t>
      </w:r>
      <w:r>
        <w:rPr>
          <w:rFonts w:ascii="Palatino Linotype" w:eastAsia="Palatino Linotype" w:hAnsi="Palatino Linotype" w:cs="Palatino Linotype"/>
          <w:i/>
        </w:rPr>
        <w:t>e tales medios al momento en que se dicta una resolución judicial, de conformidad con el artículo 88 del Código Federal de Procedimientos Civiles. El acceso al uso de Internet para buscar información sobre la existencia de personas morales, establecimiento</w:t>
      </w:r>
      <w:r>
        <w:rPr>
          <w:rFonts w:ascii="Palatino Linotype" w:eastAsia="Palatino Linotype" w:hAnsi="Palatino Linotype" w:cs="Palatino Linotype"/>
          <w:i/>
        </w:rPr>
        <w:t>s mercantiles, domicilios y en general cualquier dato publicado en redes informáticas, forma parte de la cultura normal de sectores específicos de la sociedad dependiendo del tipo de información de que se trate. De ahí que, si bien no es posible afirmar qu</w:t>
      </w:r>
      <w:r>
        <w:rPr>
          <w:rFonts w:ascii="Palatino Linotype" w:eastAsia="Palatino Linotype" w:hAnsi="Palatino Linotype" w:cs="Palatino Linotype"/>
          <w:i/>
        </w:rPr>
        <w:t>e esa información se encuentra al alcance de todos los sectores de la sociedad, lo cierto es que sí es posible determinar si por el tipo de datos un hecho forma parte de la cultura normal de un sector de la sociedad y pueda ser considerado como notorio por</w:t>
      </w:r>
      <w:r>
        <w:rPr>
          <w:rFonts w:ascii="Palatino Linotype" w:eastAsia="Palatino Linotype" w:hAnsi="Palatino Linotype" w:cs="Palatino Linotype"/>
          <w:i/>
        </w:rPr>
        <w:t xml:space="preserve"> el juzgador y, consecuentemente, valorado en una decisión judicial, por tratarse de un dato u opinión común indiscutible, no por el número de personas que conocen ese hecho, sino por la notoriedad, accesibilidad, aceptación e imparcialidad de este conocim</w:t>
      </w:r>
      <w:r>
        <w:rPr>
          <w:rFonts w:ascii="Palatino Linotype" w:eastAsia="Palatino Linotype" w:hAnsi="Palatino Linotype" w:cs="Palatino Linotype"/>
          <w:i/>
        </w:rPr>
        <w:t>iento. Por tanto, el contenido de una página de Internet que refleja hechos propios de una de las partes en cualquier juicio, puede ser tomado como prueba plena, a menos que haya una en contrario que no fue creada por orden del interesado, ya que se le rep</w:t>
      </w:r>
      <w:r>
        <w:rPr>
          <w:rFonts w:ascii="Palatino Linotype" w:eastAsia="Palatino Linotype" w:hAnsi="Palatino Linotype" w:cs="Palatino Linotype"/>
          <w:i/>
        </w:rPr>
        <w:t>utará autor y podrá perjudicarle lo que ofrezca en sus términos.</w:t>
      </w:r>
      <w:r>
        <w:rPr>
          <w:rFonts w:ascii="Palatino Linotype" w:eastAsia="Palatino Linotype" w:hAnsi="Palatino Linotype" w:cs="Palatino Linotype"/>
          <w:i/>
          <w:vertAlign w:val="superscript"/>
        </w:rPr>
        <w:footnoteReference w:id="3"/>
      </w:r>
    </w:p>
    <w:p w14:paraId="6D72C583"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HECHO NOTORIO. LO CONSTITUYEN LOS DATOS QUE APARECEN EN LAS PÁGINAS ELECTRÓNICAS OFICIALES QUE LOS ÓRGANOS DE GOBIERNO UTILIZAN PARA PONER A DISPOSICIÓN DEL PÚBLICO, ENTRE OTROS SERVICIOS,</w:t>
      </w:r>
      <w:r>
        <w:rPr>
          <w:rFonts w:ascii="Palatino Linotype" w:eastAsia="Palatino Linotype" w:hAnsi="Palatino Linotype" w:cs="Palatino Linotype"/>
          <w:b/>
          <w:i/>
        </w:rPr>
        <w:t xml:space="preserve"> LA DESCRIPCIÓN DE SUS PLAZAS, EL DIRECTORIO DE SUS EMPLEADOS O EL ESTADO QUE GUARDAN SUS EXPEDIENTES Y, POR ELLO, ES VÁLIDO QUE SE INVOQUEN DE OFICIO PARA </w:t>
      </w:r>
      <w:r>
        <w:rPr>
          <w:rFonts w:ascii="Palatino Linotype" w:eastAsia="Palatino Linotype" w:hAnsi="Palatino Linotype" w:cs="Palatino Linotype"/>
          <w:b/>
          <w:i/>
        </w:rPr>
        <w:lastRenderedPageBreak/>
        <w:t>RESOLVER UN ASUNTO EN PARTICULAR</w:t>
      </w:r>
      <w:r>
        <w:rPr>
          <w:rFonts w:ascii="Palatino Linotype" w:eastAsia="Palatino Linotype" w:hAnsi="Palatino Linotype" w:cs="Palatino Linotype"/>
          <w:i/>
        </w:rPr>
        <w:t>. Los datos que aparecen en las páginas electrónicas oficiales que l</w:t>
      </w:r>
      <w:r>
        <w:rPr>
          <w:rFonts w:ascii="Palatino Linotype" w:eastAsia="Palatino Linotype" w:hAnsi="Palatino Linotype" w:cs="Palatino Linotype"/>
          <w:i/>
        </w:rPr>
        <w:t>os órganos de gobierno utilizan para poner a disposición del público, entre otros servicios, la descripción de sus plazas, el directorio de sus empleados o el estado que guardan sus expedientes, constituyen un hecho notorio que puede invocarse por los trib</w:t>
      </w:r>
      <w:r>
        <w:rPr>
          <w:rFonts w:ascii="Palatino Linotype" w:eastAsia="Palatino Linotype" w:hAnsi="Palatino Linotype" w:cs="Palatino Linotype"/>
          <w:i/>
        </w:rPr>
        <w:t>unales, en términos del artículo 88 del Código Federal de Procedimientos Civiles, de aplicación supletoria a la Ley de Amparo; porque la información generada o comunicada por esa vía forma parte del sistema mundial de diseminación y obtención de datos deno</w:t>
      </w:r>
      <w:r>
        <w:rPr>
          <w:rFonts w:ascii="Palatino Linotype" w:eastAsia="Palatino Linotype" w:hAnsi="Palatino Linotype" w:cs="Palatino Linotype"/>
          <w:i/>
        </w:rPr>
        <w:t>minada "internet", del cual puede obtenerse, por ejemplo, el nombre de un servidor público, el organigrama de una institución, así como el sentido de sus resoluciones; de ahí que sea válido que los órganos jurisdiccionales invoquen de oficio lo publicado e</w:t>
      </w:r>
      <w:r>
        <w:rPr>
          <w:rFonts w:ascii="Palatino Linotype" w:eastAsia="Palatino Linotype" w:hAnsi="Palatino Linotype" w:cs="Palatino Linotype"/>
          <w:i/>
        </w:rPr>
        <w:t>n ese medio para resolver un asunto en particular.”</w:t>
      </w:r>
      <w:r>
        <w:rPr>
          <w:rFonts w:ascii="Palatino Linotype" w:eastAsia="Palatino Linotype" w:hAnsi="Palatino Linotype" w:cs="Palatino Linotype"/>
          <w:i/>
          <w:vertAlign w:val="superscript"/>
        </w:rPr>
        <w:footnoteReference w:id="4"/>
      </w:r>
    </w:p>
    <w:p w14:paraId="671027C7" w14:textId="77777777" w:rsidR="007A7615" w:rsidRDefault="00F7721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es de suma importancia mencionar que </w:t>
      </w:r>
      <w:r>
        <w:rPr>
          <w:rFonts w:ascii="Palatino Linotype" w:eastAsia="Palatino Linotype" w:hAnsi="Palatino Linotype" w:cs="Palatino Linotype"/>
          <w:b/>
        </w:rPr>
        <w:t xml:space="preserve">los proyectos de urbanización, infraestructura y </w:t>
      </w:r>
      <w:proofErr w:type="gramStart"/>
      <w:r>
        <w:rPr>
          <w:rFonts w:ascii="Palatino Linotype" w:eastAsia="Palatino Linotype" w:hAnsi="Palatino Linotype" w:cs="Palatino Linotype"/>
          <w:b/>
        </w:rPr>
        <w:t xml:space="preserve">movilidad </w:t>
      </w:r>
      <w:r>
        <w:rPr>
          <w:rFonts w:ascii="Palatino Linotype" w:eastAsia="Palatino Linotype" w:hAnsi="Palatino Linotype" w:cs="Palatino Linotype"/>
        </w:rPr>
        <w:t xml:space="preserve"> que</w:t>
      </w:r>
      <w:proofErr w:type="gramEnd"/>
      <w:r>
        <w:rPr>
          <w:rFonts w:ascii="Palatino Linotype" w:eastAsia="Palatino Linotype" w:hAnsi="Palatino Linotype" w:cs="Palatino Linotype"/>
        </w:rPr>
        <w:t xml:space="preserve"> la Dirección General de Innovación, Planeación y Gestión Urbana está facultada a planear, s</w:t>
      </w:r>
      <w:r>
        <w:rPr>
          <w:rFonts w:ascii="Palatino Linotype" w:eastAsia="Palatino Linotype" w:hAnsi="Palatino Linotype" w:cs="Palatino Linotype"/>
        </w:rPr>
        <w:t xml:space="preserve">upervisar y validar, </w:t>
      </w:r>
      <w:r>
        <w:rPr>
          <w:rFonts w:ascii="Palatino Linotype" w:eastAsia="Palatino Linotype" w:hAnsi="Palatino Linotype" w:cs="Palatino Linotype"/>
          <w:b/>
        </w:rPr>
        <w:t>incluyen la construcción y mejora de la red vial, así como el mantenimiento de vialidades</w:t>
      </w:r>
      <w:r>
        <w:rPr>
          <w:rFonts w:ascii="Palatino Linotype" w:eastAsia="Palatino Linotype" w:hAnsi="Palatino Linotype" w:cs="Palatino Linotype"/>
        </w:rPr>
        <w:t>, entre otros proyectos.</w:t>
      </w:r>
    </w:p>
    <w:p w14:paraId="71D2DA6D" w14:textId="77777777" w:rsidR="007A7615" w:rsidRDefault="00F77212">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consiguiente, se estima dable ordenar una nueva búsqueda de la información requerida, que se hubiera generado del uno</w:t>
      </w:r>
      <w:r>
        <w:rPr>
          <w:rFonts w:ascii="Palatino Linotype" w:eastAsia="Palatino Linotype" w:hAnsi="Palatino Linotype" w:cs="Palatino Linotype"/>
        </w:rPr>
        <w:t xml:space="preserve"> de enero al diecisiete de febrero de dos mil veinticinco, bajo el principio de máxima publicidad que rige el Derecho humano de acceso.</w:t>
      </w:r>
    </w:p>
    <w:p w14:paraId="41127F55"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lo que se refiere a la Tesorería Municipal y a la Dirección General de Administración, si bien en la etapa de manifestaciones ratificaron la respuesta inicial, debe decirse que ésta no fue notificada en su momento por la Unidad de Transparencia a la pe</w:t>
      </w:r>
      <w:r>
        <w:rPr>
          <w:rFonts w:ascii="Palatino Linotype" w:eastAsia="Palatino Linotype" w:hAnsi="Palatino Linotype" w:cs="Palatino Linotype"/>
        </w:rPr>
        <w:t>rsona solicitante, por lo tanto, desconoce los términos de la misma.</w:t>
      </w:r>
    </w:p>
    <w:p w14:paraId="7DABC3E8"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es de señalar </w:t>
      </w:r>
      <w:proofErr w:type="gramStart"/>
      <w:r>
        <w:rPr>
          <w:rFonts w:ascii="Palatino Linotype" w:eastAsia="Palatino Linotype" w:hAnsi="Palatino Linotype" w:cs="Palatino Linotype"/>
        </w:rPr>
        <w:t>que</w:t>
      </w:r>
      <w:proofErr w:type="gramEnd"/>
      <w:r>
        <w:rPr>
          <w:rFonts w:ascii="Palatino Linotype" w:eastAsia="Palatino Linotype" w:hAnsi="Palatino Linotype" w:cs="Palatino Linotype"/>
        </w:rPr>
        <w:t xml:space="preserve"> de la normativa aplicable al caso concreto, no se advirtieron atribuciones que faculten a la Tesorería Municipal para conocer de la información que es mater</w:t>
      </w:r>
      <w:r>
        <w:rPr>
          <w:rFonts w:ascii="Palatino Linotype" w:eastAsia="Palatino Linotype" w:hAnsi="Palatino Linotype" w:cs="Palatino Linotype"/>
        </w:rPr>
        <w:t xml:space="preserve">ia de la solicitud, tal y como se desprende de los artículos 3.19 y 3.20 del Código </w:t>
      </w:r>
      <w:r>
        <w:rPr>
          <w:rFonts w:ascii="Palatino Linotype" w:eastAsia="Palatino Linotype" w:hAnsi="Palatino Linotype" w:cs="Palatino Linotype"/>
        </w:rPr>
        <w:lastRenderedPageBreak/>
        <w:t>Reglamentario Municipal de Toluca, así como del numeral 202010000 del Manual de Organización de la Tesorería Municipal de Toluca.</w:t>
      </w:r>
    </w:p>
    <w:p w14:paraId="418787ED"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otro lado, respecto a la Dirección Gen</w:t>
      </w:r>
      <w:r>
        <w:rPr>
          <w:rFonts w:ascii="Palatino Linotype" w:eastAsia="Palatino Linotype" w:hAnsi="Palatino Linotype" w:cs="Palatino Linotype"/>
        </w:rPr>
        <w:t>eral de Administración debe decirse que es competente para conocer de la información solicitada, como se sustenta en el artículo 3.40, del Código Reglamentario Municipal de Toluca, que en su parte conducente dispone lo siguiente:</w:t>
      </w:r>
    </w:p>
    <w:p w14:paraId="077677A0" w14:textId="77777777" w:rsidR="007A7615" w:rsidRDefault="00F77212">
      <w:pPr>
        <w:pBdr>
          <w:top w:val="nil"/>
          <w:left w:val="nil"/>
          <w:bottom w:val="nil"/>
          <w:right w:val="nil"/>
          <w:between w:val="nil"/>
        </w:pBdr>
        <w:tabs>
          <w:tab w:val="left" w:pos="284"/>
        </w:tabs>
        <w:spacing w:before="120" w:after="120" w:line="240" w:lineRule="auto"/>
        <w:ind w:left="851" w:right="902"/>
        <w:jc w:val="both"/>
        <w:rPr>
          <w:rFonts w:ascii="Palatino Linotype" w:eastAsia="Palatino Linotype" w:hAnsi="Palatino Linotype" w:cs="Palatino Linotype"/>
          <w:i/>
        </w:rPr>
      </w:pPr>
      <w:bookmarkStart w:id="5" w:name="_heading=h.ou34hk3hutqa" w:colFirst="0" w:colLast="0"/>
      <w:bookmarkEnd w:id="5"/>
      <w:r>
        <w:rPr>
          <w:rFonts w:ascii="Palatino Linotype" w:eastAsia="Palatino Linotype" w:hAnsi="Palatino Linotype" w:cs="Palatino Linotype"/>
          <w:i/>
        </w:rPr>
        <w:t>“</w:t>
      </w:r>
      <w:r>
        <w:rPr>
          <w:rFonts w:ascii="Palatino Linotype" w:eastAsia="Palatino Linotype" w:hAnsi="Palatino Linotype" w:cs="Palatino Linotype"/>
          <w:b/>
          <w:i/>
        </w:rPr>
        <w:t>Artículo 3.40.</w:t>
      </w:r>
      <w:r>
        <w:rPr>
          <w:rFonts w:ascii="Palatino Linotype" w:eastAsia="Palatino Linotype" w:hAnsi="Palatino Linotype" w:cs="Palatino Linotype"/>
          <w:i/>
        </w:rPr>
        <w:t xml:space="preserve"> La o el ti</w:t>
      </w:r>
      <w:r>
        <w:rPr>
          <w:rFonts w:ascii="Palatino Linotype" w:eastAsia="Palatino Linotype" w:hAnsi="Palatino Linotype" w:cs="Palatino Linotype"/>
          <w:i/>
        </w:rPr>
        <w:t>tular de la Dirección General de Administración, tiene las siguientes atribuciones:</w:t>
      </w:r>
    </w:p>
    <w:p w14:paraId="66D7F782" w14:textId="77777777" w:rsidR="007A7615" w:rsidRDefault="00F77212">
      <w:pPr>
        <w:pBdr>
          <w:top w:val="nil"/>
          <w:left w:val="nil"/>
          <w:bottom w:val="nil"/>
          <w:right w:val="nil"/>
          <w:between w:val="nil"/>
        </w:pBdr>
        <w:tabs>
          <w:tab w:val="left" w:pos="284"/>
        </w:tabs>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63F33E3" w14:textId="77777777" w:rsidR="007A7615" w:rsidRDefault="00F77212">
      <w:pPr>
        <w:pBdr>
          <w:top w:val="nil"/>
          <w:left w:val="nil"/>
          <w:bottom w:val="nil"/>
          <w:right w:val="nil"/>
          <w:between w:val="nil"/>
        </w:pBdr>
        <w:tabs>
          <w:tab w:val="left" w:pos="284"/>
        </w:tabs>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VII</w:t>
      </w:r>
      <w:r>
        <w:rPr>
          <w:rFonts w:ascii="Palatino Linotype" w:eastAsia="Palatino Linotype" w:hAnsi="Palatino Linotype" w:cs="Palatino Linotype"/>
          <w:i/>
        </w:rPr>
        <w:t xml:space="preserve">. </w:t>
      </w:r>
      <w:r>
        <w:rPr>
          <w:rFonts w:ascii="Palatino Linotype" w:eastAsia="Palatino Linotype" w:hAnsi="Palatino Linotype" w:cs="Palatino Linotype"/>
          <w:b/>
          <w:i/>
        </w:rPr>
        <w:t>Intervenir, vigilar y dar el seguimiento correspondiente a todos los procedimientos de adquisición, arrendamiento de inmuebles, contratación de servicios, enajenac</w:t>
      </w:r>
      <w:r>
        <w:rPr>
          <w:rFonts w:ascii="Palatino Linotype" w:eastAsia="Palatino Linotype" w:hAnsi="Palatino Linotype" w:cs="Palatino Linotype"/>
          <w:b/>
          <w:i/>
        </w:rPr>
        <w:t>ión y subasta de bienes</w:t>
      </w:r>
      <w:r>
        <w:rPr>
          <w:rFonts w:ascii="Palatino Linotype" w:eastAsia="Palatino Linotype" w:hAnsi="Palatino Linotype" w:cs="Palatino Linotype"/>
          <w:i/>
        </w:rPr>
        <w:t>, conforme a los lineamientos establecidos en la normatividad correspondiente;</w:t>
      </w:r>
    </w:p>
    <w:p w14:paraId="41B63008" w14:textId="77777777" w:rsidR="007A7615" w:rsidRDefault="00F77212">
      <w:pPr>
        <w:pBdr>
          <w:top w:val="nil"/>
          <w:left w:val="nil"/>
          <w:bottom w:val="nil"/>
          <w:right w:val="nil"/>
          <w:between w:val="nil"/>
        </w:pBdr>
        <w:tabs>
          <w:tab w:val="left" w:pos="284"/>
        </w:tabs>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55D6EF6" w14:textId="77777777" w:rsidR="007A7615" w:rsidRDefault="00F77212">
      <w:pPr>
        <w:pBdr>
          <w:top w:val="nil"/>
          <w:left w:val="nil"/>
          <w:bottom w:val="nil"/>
          <w:right w:val="nil"/>
          <w:between w:val="nil"/>
        </w:pBdr>
        <w:tabs>
          <w:tab w:val="left" w:pos="284"/>
        </w:tabs>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X.</w:t>
      </w:r>
      <w:r>
        <w:rPr>
          <w:rFonts w:ascii="Palatino Linotype" w:eastAsia="Palatino Linotype" w:hAnsi="Palatino Linotype" w:cs="Palatino Linotype"/>
          <w:i/>
        </w:rPr>
        <w:t xml:space="preserve"> </w:t>
      </w:r>
      <w:r>
        <w:rPr>
          <w:rFonts w:ascii="Palatino Linotype" w:eastAsia="Palatino Linotype" w:hAnsi="Palatino Linotype" w:cs="Palatino Linotype"/>
          <w:b/>
          <w:i/>
        </w:rPr>
        <w:t>Supervisar y vigilar que los procedimientos de licitaciones públicas, así como sus excepciones,</w:t>
      </w:r>
      <w:r>
        <w:rPr>
          <w:rFonts w:ascii="Palatino Linotype" w:eastAsia="Palatino Linotype" w:hAnsi="Palatino Linotype" w:cs="Palatino Linotype"/>
          <w:i/>
        </w:rPr>
        <w:t xml:space="preserve"> se desarrollen conforme lo establece la normativida</w:t>
      </w:r>
      <w:r>
        <w:rPr>
          <w:rFonts w:ascii="Palatino Linotype" w:eastAsia="Palatino Linotype" w:hAnsi="Palatino Linotype" w:cs="Palatino Linotype"/>
          <w:i/>
        </w:rPr>
        <w:t>d respectiva y en estricto apego a los lineamientos establecidos de eficiencia, eficacia, honradez y transparencia;</w:t>
      </w:r>
    </w:p>
    <w:p w14:paraId="6C7694DA"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Del precepto citado, se desprende que la Dirección General de Administración, cuenta con facultades para conocer de los procedimientos de adquisición en todas sus modalidades, en el ámbito de sus competencias, lo cual realiza a través de la Dirección de Re</w:t>
      </w:r>
      <w:r>
        <w:rPr>
          <w:rFonts w:ascii="Palatino Linotype" w:eastAsia="Palatino Linotype" w:hAnsi="Palatino Linotype" w:cs="Palatino Linotype"/>
        </w:rPr>
        <w:t>cursos Materiales, cuyas funciones se encuentran establecidas en el artículo 3.43 del Código Reglamentario Municipal de Toluca, entre las que destacan las siguientes para el tema que nos ocupa:</w:t>
      </w:r>
    </w:p>
    <w:p w14:paraId="1C3965F6" w14:textId="77777777" w:rsidR="007A7615" w:rsidRDefault="00F77212">
      <w:pPr>
        <w:pBdr>
          <w:top w:val="nil"/>
          <w:left w:val="nil"/>
          <w:bottom w:val="nil"/>
          <w:right w:val="nil"/>
          <w:between w:val="nil"/>
        </w:pBdr>
        <w:tabs>
          <w:tab w:val="left" w:pos="284"/>
        </w:tabs>
        <w:spacing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Llevar a cabo los procedimientos para la adquisición de los bienes y servicios y el arrendamiento, adquisición y enajenación de inmuebles en estricto apego a las disposiciones legales aplicables;</w:t>
      </w:r>
    </w:p>
    <w:p w14:paraId="61093E18" w14:textId="77777777" w:rsidR="007A7615" w:rsidRDefault="00F77212">
      <w:pPr>
        <w:pBdr>
          <w:top w:val="nil"/>
          <w:left w:val="nil"/>
          <w:bottom w:val="nil"/>
          <w:right w:val="nil"/>
          <w:between w:val="nil"/>
        </w:pBdr>
        <w:tabs>
          <w:tab w:val="left" w:pos="284"/>
        </w:tabs>
        <w:spacing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Autorizar y suscribir los pedidos-contrato que se finque</w:t>
      </w:r>
      <w:r>
        <w:rPr>
          <w:rFonts w:ascii="Palatino Linotype" w:eastAsia="Palatino Linotype" w:hAnsi="Palatino Linotype" w:cs="Palatino Linotype"/>
        </w:rPr>
        <w:t xml:space="preserve">n relativos a procedimientos de adquisiciones y compras de bienes, materiales y suministros; </w:t>
      </w:r>
    </w:p>
    <w:p w14:paraId="3AA0139C" w14:textId="77777777" w:rsidR="007A7615" w:rsidRDefault="00F77212">
      <w:pPr>
        <w:pBdr>
          <w:top w:val="nil"/>
          <w:left w:val="nil"/>
          <w:bottom w:val="nil"/>
          <w:right w:val="nil"/>
          <w:between w:val="nil"/>
        </w:pBdr>
        <w:tabs>
          <w:tab w:val="left" w:pos="284"/>
        </w:tabs>
        <w:spacing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 Elaborar los contratos de adquisición de los bienes y servicios y de arrendamiento, adquisición y enajenación de inmuebles de competencia municipal;</w:t>
      </w:r>
    </w:p>
    <w:p w14:paraId="2A1D08F0" w14:textId="77777777" w:rsidR="007A7615" w:rsidRDefault="00F7721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este ten</w:t>
      </w:r>
      <w:r>
        <w:rPr>
          <w:rFonts w:ascii="Palatino Linotype" w:eastAsia="Palatino Linotype" w:hAnsi="Palatino Linotype" w:cs="Palatino Linotype"/>
        </w:rPr>
        <w:t>or, dado que no se advierte un pronunciamiento claro por parte de la Dirección General de Administración, respecto de la existencia o inexistencia de la información materia de la solicitud, se estima dable ordenar se efectué una nueva búsqueda en los archi</w:t>
      </w:r>
      <w:r>
        <w:rPr>
          <w:rFonts w:ascii="Palatino Linotype" w:eastAsia="Palatino Linotype" w:hAnsi="Palatino Linotype" w:cs="Palatino Linotype"/>
        </w:rPr>
        <w:t>vos de las áreas a su cargo, con la finalidad de garantizar el derecho humano de acceso de la persona solicitante.</w:t>
      </w:r>
    </w:p>
    <w:p w14:paraId="36EC9AAE"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Para tales efectos, conviene hacer alusión a lo dispuesto en la Ley de Contratación Pública del Estado de México y Municipios, la cual tiene </w:t>
      </w:r>
      <w:r>
        <w:rPr>
          <w:rFonts w:ascii="Palatino Linotype" w:eastAsia="Palatino Linotype" w:hAnsi="Palatino Linotype" w:cs="Palatino Linotype"/>
        </w:rPr>
        <w:t xml:space="preserve">por objeto regular los actos relativos a la </w:t>
      </w:r>
      <w:r>
        <w:rPr>
          <w:rFonts w:ascii="Palatino Linotype" w:eastAsia="Palatino Linotype" w:hAnsi="Palatino Linotype" w:cs="Palatino Linotype"/>
          <w:b/>
          <w:u w:val="single"/>
        </w:rPr>
        <w:t>planeación, programación, presupuestación</w:t>
      </w:r>
      <w:r>
        <w:rPr>
          <w:rFonts w:ascii="Palatino Linotype" w:eastAsia="Palatino Linotype" w:hAnsi="Palatino Linotype" w:cs="Palatino Linotype"/>
        </w:rPr>
        <w:t xml:space="preserve">, ejecución y control de la </w:t>
      </w:r>
      <w:r>
        <w:rPr>
          <w:rFonts w:ascii="Palatino Linotype" w:eastAsia="Palatino Linotype" w:hAnsi="Palatino Linotype" w:cs="Palatino Linotype"/>
          <w:b/>
          <w:u w:val="single"/>
        </w:rPr>
        <w:t>adquisición</w:t>
      </w:r>
      <w:r>
        <w:rPr>
          <w:rFonts w:ascii="Palatino Linotype" w:eastAsia="Palatino Linotype" w:hAnsi="Palatino Linotype" w:cs="Palatino Linotype"/>
        </w:rPr>
        <w:t xml:space="preserve">, enajenación y arrendamiento de bienes, y la </w:t>
      </w:r>
      <w:r>
        <w:rPr>
          <w:rFonts w:ascii="Palatino Linotype" w:eastAsia="Palatino Linotype" w:hAnsi="Palatino Linotype" w:cs="Palatino Linotype"/>
          <w:b/>
          <w:u w:val="single"/>
        </w:rPr>
        <w:t xml:space="preserve">contratación de servicios de cualquier naturaleza, que realicen los Ayuntamientos del </w:t>
      </w:r>
      <w:r>
        <w:rPr>
          <w:rFonts w:ascii="Palatino Linotype" w:eastAsia="Palatino Linotype" w:hAnsi="Palatino Linotype" w:cs="Palatino Linotype"/>
          <w:b/>
          <w:u w:val="single"/>
        </w:rPr>
        <w:t>Estado</w:t>
      </w:r>
      <w:r>
        <w:rPr>
          <w:rFonts w:ascii="Palatino Linotype" w:eastAsia="Palatino Linotype" w:hAnsi="Palatino Linotype" w:cs="Palatino Linotype"/>
        </w:rPr>
        <w:t>; entre ellos el Sujeto Obligado, los cuales se adjudicarán a través de licitación pública, invitación restringida o adjudicación directa, mediante convocatoria pública, tal y como lo establecen los artículos 4, 26 y 27 de dicha Ley, los cuales son d</w:t>
      </w:r>
      <w:r>
        <w:rPr>
          <w:rFonts w:ascii="Palatino Linotype" w:eastAsia="Palatino Linotype" w:hAnsi="Palatino Linotype" w:cs="Palatino Linotype"/>
        </w:rPr>
        <w:t>el tenor siguiente:</w:t>
      </w:r>
    </w:p>
    <w:p w14:paraId="2DF6E798"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Para los efectos de esta Ley, </w:t>
      </w:r>
      <w:r>
        <w:rPr>
          <w:rFonts w:ascii="Palatino Linotype" w:eastAsia="Palatino Linotype" w:hAnsi="Palatino Linotype" w:cs="Palatino Linotype"/>
          <w:b/>
          <w:i/>
        </w:rPr>
        <w:t>en las adquisiciones, enajenaciones, arrendamientos y servicios, quedan comprendidos</w:t>
      </w:r>
      <w:r>
        <w:rPr>
          <w:rFonts w:ascii="Palatino Linotype" w:eastAsia="Palatino Linotype" w:hAnsi="Palatino Linotype" w:cs="Palatino Linotype"/>
          <w:i/>
        </w:rPr>
        <w:t>:</w:t>
      </w:r>
    </w:p>
    <w:p w14:paraId="741F78A6"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adquisición de bienes muebles.</w:t>
      </w:r>
    </w:p>
    <w:p w14:paraId="76646E9D"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La adquisición de bienes inmuebles, a través de compraventa.</w:t>
      </w:r>
    </w:p>
    <w:p w14:paraId="05F4760C"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La enajenación de bienes muebles e inmuebles.</w:t>
      </w:r>
    </w:p>
    <w:p w14:paraId="0E616B53"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El arrendamiento de bienes muebles e inmuebles. </w:t>
      </w:r>
    </w:p>
    <w:p w14:paraId="4A5F1523"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La contratación de los servicios, relacionados con bienes muebles que se encuentran incorporados o adheridos a bienes inmuebles, cuya instalación o mantenimiento no implique modificación al bien inmueble.</w:t>
      </w:r>
    </w:p>
    <w:p w14:paraId="3CBAAC38"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VI.</w:t>
      </w:r>
      <w:r>
        <w:rPr>
          <w:rFonts w:ascii="Palatino Linotype" w:eastAsia="Palatino Linotype" w:hAnsi="Palatino Linotype" w:cs="Palatino Linotype"/>
          <w:i/>
        </w:rPr>
        <w:t xml:space="preserve"> La contratación de los servicios de reconstru</w:t>
      </w:r>
      <w:r>
        <w:rPr>
          <w:rFonts w:ascii="Palatino Linotype" w:eastAsia="Palatino Linotype" w:hAnsi="Palatino Linotype" w:cs="Palatino Linotype"/>
          <w:i/>
        </w:rPr>
        <w:t xml:space="preserve">cción y mantenimiento de bienes muebles. </w:t>
      </w:r>
    </w:p>
    <w:p w14:paraId="606DA547"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VII.</w:t>
      </w:r>
      <w:r>
        <w:rPr>
          <w:rFonts w:ascii="Palatino Linotype" w:eastAsia="Palatino Linotype" w:hAnsi="Palatino Linotype" w:cs="Palatino Linotype"/>
          <w:i/>
        </w:rPr>
        <w:t xml:space="preserve"> La contratación de los servicios de maquila, seguros y transportación, así como de los de limpieza y vigilancia de bienes inmuebles. </w:t>
      </w:r>
    </w:p>
    <w:p w14:paraId="696A72D3"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xml:space="preserve"> La prestación de servicios profesionales, la contratación de consulto</w:t>
      </w:r>
      <w:r>
        <w:rPr>
          <w:rFonts w:ascii="Palatino Linotype" w:eastAsia="Palatino Linotype" w:hAnsi="Palatino Linotype" w:cs="Palatino Linotype"/>
          <w:i/>
        </w:rPr>
        <w:t xml:space="preserve">rías, asesorías y estudios e investigaciones, excepto la contratación de servicios personales de personas físicas bajo el régimen de honorarios. </w:t>
      </w:r>
    </w:p>
    <w:p w14:paraId="33C40748"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general, otros actos que impliquen la contratación de servicios de cualquier naturaleza</w:t>
      </w:r>
    </w:p>
    <w:p w14:paraId="02582DF3"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26.-</w:t>
      </w:r>
      <w:r>
        <w:rPr>
          <w:rFonts w:ascii="Palatino Linotype" w:eastAsia="Palatino Linotype" w:hAnsi="Palatino Linotype" w:cs="Palatino Linotype"/>
          <w:i/>
        </w:rPr>
        <w:t xml:space="preserve"> </w:t>
      </w:r>
      <w:r>
        <w:rPr>
          <w:rFonts w:ascii="Palatino Linotype" w:eastAsia="Palatino Linotype" w:hAnsi="Palatino Linotype" w:cs="Palatino Linotype"/>
          <w:b/>
          <w:i/>
        </w:rPr>
        <w:t>Las a</w:t>
      </w:r>
      <w:r>
        <w:rPr>
          <w:rFonts w:ascii="Palatino Linotype" w:eastAsia="Palatino Linotype" w:hAnsi="Palatino Linotype" w:cs="Palatino Linotype"/>
          <w:b/>
          <w:i/>
        </w:rPr>
        <w:t>dquisiciones, arrendamientos y servicios se adjudicarán a través de licitaciones públicas</w:t>
      </w:r>
      <w:r>
        <w:rPr>
          <w:rFonts w:ascii="Palatino Linotype" w:eastAsia="Palatino Linotype" w:hAnsi="Palatino Linotype" w:cs="Palatino Linotype"/>
          <w:i/>
        </w:rPr>
        <w:t xml:space="preserve">, mediante convocatoria pública. </w:t>
      </w:r>
    </w:p>
    <w:p w14:paraId="0BE7801F"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27.</w:t>
      </w:r>
      <w:r>
        <w:rPr>
          <w:rFonts w:ascii="Palatino Linotype" w:eastAsia="Palatino Linotype" w:hAnsi="Palatino Linotype" w:cs="Palatino Linotype"/>
          <w:i/>
        </w:rPr>
        <w:t xml:space="preserve">- La Secretaría, las entidades, los tribunales administrativos y los ayuntamientos podrán </w:t>
      </w:r>
      <w:r>
        <w:rPr>
          <w:rFonts w:ascii="Palatino Linotype" w:eastAsia="Palatino Linotype" w:hAnsi="Palatino Linotype" w:cs="Palatino Linotype"/>
          <w:b/>
          <w:i/>
        </w:rPr>
        <w:t>adjudicar adquisiciones, arrend</w:t>
      </w:r>
      <w:r>
        <w:rPr>
          <w:rFonts w:ascii="Palatino Linotype" w:eastAsia="Palatino Linotype" w:hAnsi="Palatino Linotype" w:cs="Palatino Linotype"/>
          <w:b/>
          <w:i/>
        </w:rPr>
        <w:t>amientos y servicios, mediante las excepciones al procedimiento de licitación</w:t>
      </w:r>
      <w:r>
        <w:rPr>
          <w:rFonts w:ascii="Palatino Linotype" w:eastAsia="Palatino Linotype" w:hAnsi="Palatino Linotype" w:cs="Palatino Linotype"/>
          <w:i/>
        </w:rPr>
        <w:t xml:space="preserve"> que a continuación se señalan:</w:t>
      </w:r>
    </w:p>
    <w:p w14:paraId="4B2AEB9F"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Invitación restringida.</w:t>
      </w:r>
    </w:p>
    <w:p w14:paraId="489E12BC"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 </w:t>
      </w:r>
      <w:r>
        <w:rPr>
          <w:rFonts w:ascii="Palatino Linotype" w:eastAsia="Palatino Linotype" w:hAnsi="Palatino Linotype" w:cs="Palatino Linotype"/>
          <w:i/>
        </w:rPr>
        <w:t>Adjudicación directa.”</w:t>
      </w:r>
    </w:p>
    <w:p w14:paraId="73419AFF"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efecto, con base en los preceptos citados se advierte que, por regla general, las adquisic</w:t>
      </w:r>
      <w:r>
        <w:rPr>
          <w:rFonts w:ascii="Palatino Linotype" w:eastAsia="Palatino Linotype" w:hAnsi="Palatino Linotype" w:cs="Palatino Linotype"/>
        </w:rPr>
        <w:t>iones, enajenaciones, arrendamientos y servicios, que celebren los entes públicos, deben adjudicarse mediante licitación pública, sin embargo, también se contemplan como excepciones a dicho proceso, la invitación restringida y la adjudicación directa.</w:t>
      </w:r>
    </w:p>
    <w:p w14:paraId="36E42DA3"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En e</w:t>
      </w:r>
      <w:r>
        <w:rPr>
          <w:rFonts w:ascii="Palatino Linotype" w:eastAsia="Palatino Linotype" w:hAnsi="Palatino Linotype" w:cs="Palatino Linotype"/>
        </w:rPr>
        <w:t>fecto, con base en los preceptos citados se advierte que, por regla general, las adquisiciones, enajenaciones, arrendamientos y servicios, que celebren los entes públicos, deben adjudicarse mediante licitación pública, sin embargo, también se contemplan co</w:t>
      </w:r>
      <w:r>
        <w:rPr>
          <w:rFonts w:ascii="Palatino Linotype" w:eastAsia="Palatino Linotype" w:hAnsi="Palatino Linotype" w:cs="Palatino Linotype"/>
        </w:rPr>
        <w:t>mo excepciones a dicho proceso, la invitación restringida y la adjudicación directa.</w:t>
      </w:r>
    </w:p>
    <w:p w14:paraId="6AB78993"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de acuerdo con el artículo 44 de la Ley de Contratación Pública del Estado de México y Municipios, las entidades públicas podrán adquirir y contratar servicios m</w:t>
      </w:r>
      <w:r>
        <w:rPr>
          <w:rFonts w:ascii="Palatino Linotype" w:eastAsia="Palatino Linotype" w:hAnsi="Palatino Linotype" w:cs="Palatino Linotype"/>
        </w:rPr>
        <w:t xml:space="preserve">ediante invitación restringida en los siguientes casos: </w:t>
      </w:r>
    </w:p>
    <w:p w14:paraId="1E25B18F"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44.-</w:t>
      </w:r>
      <w:r>
        <w:rPr>
          <w:rFonts w:ascii="Palatino Linotype" w:eastAsia="Palatino Linotype" w:hAnsi="Palatino Linotype" w:cs="Palatino Linotype"/>
          <w:i/>
        </w:rPr>
        <w:t xml:space="preserve"> La Secretaría, las entidades, los tribunales administrativos y los ayuntamientos podrán adquirir y contratar servicios mediante invitación restringida, cuando:</w:t>
      </w:r>
    </w:p>
    <w:p w14:paraId="271976AB"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hubiere declarado desierto un procedimiento de licitación, o</w:t>
      </w:r>
    </w:p>
    <w:p w14:paraId="16EA4F0C" w14:textId="77777777" w:rsidR="007A7615" w:rsidRDefault="00F77212">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El importe de la operaci</w:t>
      </w:r>
      <w:r>
        <w:rPr>
          <w:rFonts w:ascii="Palatino Linotype" w:eastAsia="Palatino Linotype" w:hAnsi="Palatino Linotype" w:cs="Palatino Linotype"/>
          <w:i/>
        </w:rPr>
        <w:t>ón no exceda de los montos establecidos por el Presupuesto de Egresos del Gobierno del Estado de México del ejercicio correspondiente.</w:t>
      </w:r>
    </w:p>
    <w:p w14:paraId="35E7396E"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 La Secretaría, las entidades, los tribunales administrativos y los ayuntamientos se abstendrán de fraccionar el importe </w:t>
      </w:r>
      <w:r>
        <w:rPr>
          <w:rFonts w:ascii="Palatino Linotype" w:eastAsia="Palatino Linotype" w:hAnsi="Palatino Linotype" w:cs="Palatino Linotype"/>
          <w:i/>
        </w:rPr>
        <w:t>de las operaciones, con el propósito de quedar comprendidos en este supuesto de excepción. La Secretaría de la Contraloría y los órganos de control interno, en el ámbito de su competencia, vigilarán el cumplimiento de esta disposición.</w:t>
      </w:r>
    </w:p>
    <w:p w14:paraId="0293020A"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la invitación deb</w:t>
      </w:r>
      <w:r>
        <w:rPr>
          <w:rFonts w:ascii="Palatino Linotype" w:eastAsia="Palatino Linotype" w:hAnsi="Palatino Linotype" w:cs="Palatino Linotype"/>
          <w:i/>
        </w:rPr>
        <w:t>erá especificarse si en el proceso de asignación aplicará la modalidad de subasta inversa.”</w:t>
      </w:r>
    </w:p>
    <w:p w14:paraId="5CC1DB46" w14:textId="77777777" w:rsidR="007A7615" w:rsidRDefault="00F77212">
      <w:pPr>
        <w:spacing w:before="240" w:after="240"/>
        <w:ind w:right="49"/>
        <w:jc w:val="both"/>
        <w:rPr>
          <w:rFonts w:ascii="Palatino Linotype" w:eastAsia="Palatino Linotype" w:hAnsi="Palatino Linotype" w:cs="Palatino Linotype"/>
          <w:i/>
        </w:rPr>
      </w:pPr>
      <w:r>
        <w:rPr>
          <w:rFonts w:ascii="Palatino Linotype" w:eastAsia="Palatino Linotype" w:hAnsi="Palatino Linotype" w:cs="Palatino Linotype"/>
        </w:rPr>
        <w:t>Asimismo, el artículo 46 de la Ley referida, menciona que:</w:t>
      </w:r>
    </w:p>
    <w:p w14:paraId="1405FBA1" w14:textId="77777777" w:rsidR="007A7615" w:rsidRDefault="00F77212">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rPr>
        <w:t xml:space="preserve"> “</w:t>
      </w:r>
      <w:r>
        <w:rPr>
          <w:rFonts w:ascii="Palatino Linotype" w:eastAsia="Palatino Linotype" w:hAnsi="Palatino Linotype" w:cs="Palatino Linotype"/>
          <w:b/>
          <w:i/>
        </w:rPr>
        <w:t>Artículo 46.-</w:t>
      </w:r>
      <w:r>
        <w:rPr>
          <w:rFonts w:ascii="Palatino Linotype" w:eastAsia="Palatino Linotype" w:hAnsi="Palatino Linotype" w:cs="Palatino Linotype"/>
          <w:i/>
        </w:rPr>
        <w:t xml:space="preserve"> El procedimiento de invitación restringida se desarrollará en los términos de la licitaci</w:t>
      </w:r>
      <w:r>
        <w:rPr>
          <w:rFonts w:ascii="Palatino Linotype" w:eastAsia="Palatino Linotype" w:hAnsi="Palatino Linotype" w:cs="Palatino Linotype"/>
          <w:i/>
        </w:rPr>
        <w:t>ón pública, a excepción de la publicación de la convocatoria.”</w:t>
      </w:r>
    </w:p>
    <w:p w14:paraId="449308E2" w14:textId="77777777" w:rsidR="007A7615" w:rsidRDefault="00F77212">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otra parte, el artículo 48 de la Ley en cita precisa que, respecto a los procedimientos de Adjudicación Directa, las entidades públicas podrán adquirir bienes, arrendar bienes muebles e inmuebles y contratar servicios mediante adjudicación directa cuan</w:t>
      </w:r>
      <w:r>
        <w:rPr>
          <w:rFonts w:ascii="Palatino Linotype" w:eastAsia="Palatino Linotype" w:hAnsi="Palatino Linotype" w:cs="Palatino Linotype"/>
        </w:rPr>
        <w:t xml:space="preserve">do: </w:t>
      </w:r>
    </w:p>
    <w:p w14:paraId="57C8A52F" w14:textId="77777777" w:rsidR="007A7615" w:rsidRDefault="00F77212">
      <w:pPr>
        <w:tabs>
          <w:tab w:val="left" w:pos="7938"/>
        </w:tabs>
        <w:spacing w:before="120"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48.-</w:t>
      </w:r>
      <w:r>
        <w:rPr>
          <w:rFonts w:ascii="Palatino Linotype" w:eastAsia="Palatino Linotype" w:hAnsi="Palatino Linotype" w:cs="Palatino Linotype"/>
          <w:i/>
        </w:rPr>
        <w:t xml:space="preserve"> La Secretaría, las entidades, los tribunales administrativos y los ayuntamientos podrán adquirir bienes, arrendar bienes muebles e inmuebles y contratar servicios, mediante adjudicación directa, cuando:</w:t>
      </w:r>
    </w:p>
    <w:p w14:paraId="4775E92B"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w:t>
      </w:r>
      <w:r>
        <w:rPr>
          <w:rFonts w:ascii="Palatino Linotype" w:eastAsia="Palatino Linotype" w:hAnsi="Palatino Linotype" w:cs="Palatino Linotype"/>
          <w:i/>
        </w:rPr>
        <w:t>. La adquisición o el servicio s</w:t>
      </w:r>
      <w:r>
        <w:rPr>
          <w:rFonts w:ascii="Palatino Linotype" w:eastAsia="Palatino Linotype" w:hAnsi="Palatino Linotype" w:cs="Palatino Linotype"/>
          <w:i/>
        </w:rPr>
        <w:t>ólo puedan realizarse con una determinada persona, por tratarse de obras de arte, titularidad de patentes, registros, marcas específicas, derechos de autor u otros derechos exclusivos.</w:t>
      </w:r>
    </w:p>
    <w:p w14:paraId="117F0272"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La adquisición o el arrendamiento de algún inmueble sólo puedan rea</w:t>
      </w:r>
      <w:r>
        <w:rPr>
          <w:rFonts w:ascii="Palatino Linotype" w:eastAsia="Palatino Linotype" w:hAnsi="Palatino Linotype" w:cs="Palatino Linotype"/>
          <w:i/>
        </w:rPr>
        <w:t>lizarse con determinada persona, por ser el único bien disponible en el mercado inmobiliario que reúna las características de dimensión, ubicación, servicios y otras que requieran las dependencias, las entidades, los tribunales administrativos o los ayunta</w:t>
      </w:r>
      <w:r>
        <w:rPr>
          <w:rFonts w:ascii="Palatino Linotype" w:eastAsia="Palatino Linotype" w:hAnsi="Palatino Linotype" w:cs="Palatino Linotype"/>
          <w:i/>
        </w:rPr>
        <w:t>mientos para su buen funcionamiento o para la adecuada prestación de los servicios públicos a su cargo.</w:t>
      </w:r>
    </w:p>
    <w:p w14:paraId="508D9180"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trate de servicios que requieran de experiencia, técnicas o equipos especiales, o se trate de la adquisición de bienes usados o de característic</w:t>
      </w:r>
      <w:r>
        <w:rPr>
          <w:rFonts w:ascii="Palatino Linotype" w:eastAsia="Palatino Linotype" w:hAnsi="Palatino Linotype" w:cs="Palatino Linotype"/>
          <w:i/>
        </w:rPr>
        <w:t>as especiales que solamente puedan ser prestados o suministrados por una sola persona.</w:t>
      </w:r>
    </w:p>
    <w:p w14:paraId="6213BD48"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Sea urgente la adquisición de bienes, arrendamientos o servicios por estar en riesgo el orden social, la salubridad, la seguridad pública o el ambiente, de alguna zo</w:t>
      </w:r>
      <w:r>
        <w:rPr>
          <w:rFonts w:ascii="Palatino Linotype" w:eastAsia="Palatino Linotype" w:hAnsi="Palatino Linotype" w:cs="Palatino Linotype"/>
          <w:i/>
        </w:rPr>
        <w:t>na o región del Estado; se paralicen los servicios públicos; se trate de programas o acciones de apoyo a la población para atender necesidades apremiantes, o concurra alguna causa similar de interés público.</w:t>
      </w:r>
    </w:p>
    <w:p w14:paraId="2A514E92"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Existan circunstancias que puedan provocar pé</w:t>
      </w:r>
      <w:r>
        <w:rPr>
          <w:rFonts w:ascii="Palatino Linotype" w:eastAsia="Palatino Linotype" w:hAnsi="Palatino Linotype" w:cs="Palatino Linotype"/>
          <w:i/>
        </w:rPr>
        <w:t>rdidas o costos adicionales importantes al erario.</w:t>
      </w:r>
    </w:p>
    <w:p w14:paraId="0C400199"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VI</w:t>
      </w:r>
      <w:r>
        <w:rPr>
          <w:rFonts w:ascii="Palatino Linotype" w:eastAsia="Palatino Linotype" w:hAnsi="Palatino Linotype" w:cs="Palatino Linotype"/>
          <w:i/>
        </w:rPr>
        <w:t>. Pueda comprometerse información de naturaleza confidencial para el Estado o municipios, por razones de seguridad pública.</w:t>
      </w:r>
    </w:p>
    <w:p w14:paraId="0E89F3CC"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VII</w:t>
      </w:r>
      <w:r>
        <w:rPr>
          <w:rFonts w:ascii="Palatino Linotype" w:eastAsia="Palatino Linotype" w:hAnsi="Palatino Linotype" w:cs="Palatino Linotype"/>
          <w:i/>
        </w:rPr>
        <w:t>. Existan circunstancias extraordinarias o imprevisibles derivadas de riesgo</w:t>
      </w:r>
      <w:r>
        <w:rPr>
          <w:rFonts w:ascii="Palatino Linotype" w:eastAsia="Palatino Linotype" w:hAnsi="Palatino Linotype" w:cs="Palatino Linotype"/>
          <w:i/>
        </w:rPr>
        <w:t xml:space="preserve"> o desastre. En este supuesto, la adquisición, arrendamiento y servicio deberá limitarse a lo estrictamente necesario para enfrentar tal eventualidad.</w:t>
      </w:r>
    </w:p>
    <w:p w14:paraId="5D5A88D6"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VIII</w:t>
      </w:r>
      <w:r>
        <w:rPr>
          <w:rFonts w:ascii="Palatino Linotype" w:eastAsia="Palatino Linotype" w:hAnsi="Palatino Linotype" w:cs="Palatino Linotype"/>
          <w:i/>
        </w:rPr>
        <w:t>. Se hubiere rescindido un contrato, por causas imputables al proveedor o que la persona que habiendo</w:t>
      </w:r>
      <w:r>
        <w:rPr>
          <w:rFonts w:ascii="Palatino Linotype" w:eastAsia="Palatino Linotype" w:hAnsi="Palatino Linotype" w:cs="Palatino Linotype"/>
          <w:i/>
        </w:rPr>
        <w:t xml:space="preserve"> resultado ganadora en una licitación, no concurra a la suscripción del contrato dentro del plazo establecido en esta Ley. En estos supuestos, la Secretaría, la entidad, el tribunal administrativo o el ayuntamiento podrá adjudicar el contrato al licitante </w:t>
      </w:r>
      <w:r>
        <w:rPr>
          <w:rFonts w:ascii="Palatino Linotype" w:eastAsia="Palatino Linotype" w:hAnsi="Palatino Linotype" w:cs="Palatino Linotype"/>
          <w:i/>
        </w:rPr>
        <w:t>que haya presentado la propuesta solvente más cercana a la ganadora y así, sucesivamente. En todo caso, la diferencia de precio no deberá de ser superior al diez por ciento, respecto de la propuesta ganadora.</w:t>
      </w:r>
    </w:p>
    <w:p w14:paraId="75406EA1"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IX</w:t>
      </w:r>
      <w:r>
        <w:rPr>
          <w:rFonts w:ascii="Palatino Linotype" w:eastAsia="Palatino Linotype" w:hAnsi="Palatino Linotype" w:cs="Palatino Linotype"/>
          <w:i/>
        </w:rPr>
        <w:t>. Se hubiere declarado desierto un procedimie</w:t>
      </w:r>
      <w:r>
        <w:rPr>
          <w:rFonts w:ascii="Palatino Linotype" w:eastAsia="Palatino Linotype" w:hAnsi="Palatino Linotype" w:cs="Palatino Linotype"/>
          <w:i/>
        </w:rPr>
        <w:t>nto de invitación restringida.</w:t>
      </w:r>
    </w:p>
    <w:p w14:paraId="43E0FE1D"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X</w:t>
      </w:r>
      <w:r>
        <w:rPr>
          <w:rFonts w:ascii="Palatino Linotype" w:eastAsia="Palatino Linotype" w:hAnsi="Palatino Linotype" w:cs="Palatino Linotype"/>
          <w:i/>
        </w:rPr>
        <w:t xml:space="preserve">. Cuando se aseguren condiciones financieras que permitan al Estado o a los municipios cumplir con la obligación de pago de manera diferida, sin que ello implique un costo financiero adicional o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habiéndolo, sea inferior </w:t>
      </w:r>
      <w:r>
        <w:rPr>
          <w:rFonts w:ascii="Palatino Linotype" w:eastAsia="Palatino Linotype" w:hAnsi="Palatino Linotype" w:cs="Palatino Linotype"/>
          <w:i/>
        </w:rPr>
        <w:t>al del mercado, o</w:t>
      </w:r>
    </w:p>
    <w:p w14:paraId="29818078"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XI</w:t>
      </w:r>
      <w:r>
        <w:rPr>
          <w:rFonts w:ascii="Palatino Linotype" w:eastAsia="Palatino Linotype" w:hAnsi="Palatino Linotype" w:cs="Palatino Linotype"/>
          <w:i/>
        </w:rPr>
        <w:t>. El importe de la operación no rebase los montos establecidos en el Presupuesto de Egresos del Gobierno del Estado del ejercicio correspondiente. Tratándose de arrendamientos de inmuebles se entenderá por importe de la operación el mon</w:t>
      </w:r>
      <w:r>
        <w:rPr>
          <w:rFonts w:ascii="Palatino Linotype" w:eastAsia="Palatino Linotype" w:hAnsi="Palatino Linotype" w:cs="Palatino Linotype"/>
          <w:i/>
        </w:rPr>
        <w:t>to mensual de la renta. Las dependencias, las entidades, los tribunales administrativos y los ayuntamientos se abstendrán de fraccionar el importe de las operaciones, con el propósito de quedar comprendidos en este supuesto de excepción. La Secretaría de l</w:t>
      </w:r>
      <w:r>
        <w:rPr>
          <w:rFonts w:ascii="Palatino Linotype" w:eastAsia="Palatino Linotype" w:hAnsi="Palatino Linotype" w:cs="Palatino Linotype"/>
          <w:i/>
        </w:rPr>
        <w:t>a Contraloría y los órganos de control interno, en el ámbito de su competencia, vigilarán el cumplimiento de esta disposición.</w:t>
      </w:r>
    </w:p>
    <w:p w14:paraId="682A3E94" w14:textId="77777777" w:rsidR="007A7615" w:rsidRDefault="00F77212">
      <w:pPr>
        <w:tabs>
          <w:tab w:val="left" w:pos="7938"/>
        </w:tabs>
        <w:spacing w:before="120" w:after="120"/>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XII</w:t>
      </w:r>
      <w:r>
        <w:rPr>
          <w:rFonts w:ascii="Palatino Linotype" w:eastAsia="Palatino Linotype" w:hAnsi="Palatino Linotype" w:cs="Palatino Linotype"/>
          <w:i/>
        </w:rPr>
        <w:t>. Se trate de bienes producidos por sociedades cooperativas, de producción rural, de interés colectivo, de solidaridad social,</w:t>
      </w:r>
      <w:r>
        <w:rPr>
          <w:rFonts w:ascii="Palatino Linotype" w:eastAsia="Palatino Linotype" w:hAnsi="Palatino Linotype" w:cs="Palatino Linotype"/>
          <w:i/>
        </w:rPr>
        <w:t xml:space="preserve"> sociedades y asociaciones de fin social, cuyo objeto no sea preponderantemente lucrativo, producidos en el Estado de México y adquiridos directamente a éstas.</w:t>
      </w:r>
    </w:p>
    <w:p w14:paraId="37AF9C71" w14:textId="77777777" w:rsidR="007A7615" w:rsidRDefault="00F77212">
      <w:pPr>
        <w:tabs>
          <w:tab w:val="left" w:pos="7938"/>
        </w:tabs>
        <w:spacing w:before="120" w:after="120"/>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El procedimiento de adjudicación directa se substanciará con arreglo a el reglamen</w:t>
      </w:r>
      <w:r>
        <w:rPr>
          <w:rFonts w:ascii="Palatino Linotype" w:eastAsia="Palatino Linotype" w:hAnsi="Palatino Linotype" w:cs="Palatino Linotype"/>
          <w:i/>
        </w:rPr>
        <w:t>to de esta Ley.”</w:t>
      </w:r>
    </w:p>
    <w:p w14:paraId="67116B5F" w14:textId="77777777" w:rsidR="007A7615" w:rsidRDefault="00F7721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través del cumplimiento a la obligación de transparencia señalada en la fracción XXIX del artículo 92 de la Ley de la Materia, los sujetos obligados deben poner a disposición del público de manera constante y actualizada, de </w:t>
      </w:r>
      <w:r>
        <w:rPr>
          <w:rFonts w:ascii="Palatino Linotype" w:eastAsia="Palatino Linotype" w:hAnsi="Palatino Linotype" w:cs="Palatino Linotype"/>
        </w:rPr>
        <w:t xml:space="preserve">forma sencilla, precisa y entendible, en los respectivos medios electrónicos, información relativa a los procesos y resultados sobre procedimientos de adjudicación directa, invitación restringida, y licitación de cualquier naturaleza, </w:t>
      </w:r>
      <w:r>
        <w:rPr>
          <w:rFonts w:ascii="Palatino Linotype" w:eastAsia="Palatino Linotype" w:hAnsi="Palatino Linotype" w:cs="Palatino Linotype"/>
          <w:b/>
        </w:rPr>
        <w:t>incluyendo la versión</w:t>
      </w:r>
      <w:r>
        <w:rPr>
          <w:rFonts w:ascii="Palatino Linotype" w:eastAsia="Palatino Linotype" w:hAnsi="Palatino Linotype" w:cs="Palatino Linotype"/>
          <w:b/>
        </w:rPr>
        <w:t xml:space="preserve"> pública del expediente respectivo y de los contratos celebrados</w:t>
      </w:r>
      <w:r>
        <w:rPr>
          <w:rFonts w:ascii="Palatino Linotype" w:eastAsia="Palatino Linotype" w:hAnsi="Palatino Linotype" w:cs="Palatino Linotype"/>
        </w:rPr>
        <w:t>, a saber:</w:t>
      </w:r>
    </w:p>
    <w:p w14:paraId="225110ED" w14:textId="77777777" w:rsidR="007A7615" w:rsidRDefault="00F77212">
      <w:pPr>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92</w:t>
      </w:r>
      <w:r>
        <w:rPr>
          <w:rFonts w:ascii="Palatino Linotype" w:eastAsia="Palatino Linotype" w:hAnsi="Palatino Linotype" w:cs="Palatino Linotype"/>
          <w:i/>
        </w:rPr>
        <w:t>. Los sujetos obligados deberán poner a disposición del público de manera permanente y actualizada de forma sencilla, precisa y entendible, en los respectivos medios ele</w:t>
      </w:r>
      <w:r>
        <w:rPr>
          <w:rFonts w:ascii="Palatino Linotype" w:eastAsia="Palatino Linotype" w:hAnsi="Palatino Linotype" w:cs="Palatino Linotype"/>
          <w:i/>
        </w:rPr>
        <w:t xml:space="preserve">ctrónicos, de acuerdo con sus facultades, atribuciones, </w:t>
      </w:r>
      <w:r>
        <w:rPr>
          <w:rFonts w:ascii="Palatino Linotype" w:eastAsia="Palatino Linotype" w:hAnsi="Palatino Linotype" w:cs="Palatino Linotype"/>
          <w:i/>
        </w:rPr>
        <w:lastRenderedPageBreak/>
        <w:t>funciones u objeto social, según corresponda, la información, por lo menos, de los temas, documentos y políticas que a continuación se señalan:</w:t>
      </w:r>
    </w:p>
    <w:p w14:paraId="1B031FC7" w14:textId="77777777" w:rsidR="007A7615" w:rsidRDefault="00F77212">
      <w:pPr>
        <w:tabs>
          <w:tab w:val="left" w:pos="426"/>
          <w:tab w:val="left" w:pos="2145"/>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rPr>
        <w:tab/>
      </w:r>
    </w:p>
    <w:p w14:paraId="61E6DA4D" w14:textId="77777777" w:rsidR="007A7615" w:rsidRDefault="00F77212">
      <w:pPr>
        <w:tabs>
          <w:tab w:val="left" w:pos="426"/>
        </w:tabs>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XXIX.</w:t>
      </w:r>
      <w:r>
        <w:rPr>
          <w:rFonts w:ascii="Palatino Linotype" w:eastAsia="Palatino Linotype" w:hAnsi="Palatino Linotype" w:cs="Palatino Linotype"/>
          <w:i/>
        </w:rPr>
        <w:t xml:space="preserve"> La </w:t>
      </w:r>
      <w:r>
        <w:rPr>
          <w:rFonts w:ascii="Palatino Linotype" w:eastAsia="Palatino Linotype" w:hAnsi="Palatino Linotype" w:cs="Palatino Linotype"/>
          <w:b/>
          <w:i/>
        </w:rPr>
        <w:t xml:space="preserve">información sobre los procesos y resultados </w:t>
      </w:r>
      <w:r>
        <w:rPr>
          <w:rFonts w:ascii="Palatino Linotype" w:eastAsia="Palatino Linotype" w:hAnsi="Palatino Linotype" w:cs="Palatino Linotype"/>
          <w:b/>
          <w:i/>
          <w:u w:val="single"/>
        </w:rPr>
        <w:t>sobre procedimientos de adjudicación directa, invitación restringida y licitación de cualquier naturaleza</w:t>
      </w:r>
      <w:r>
        <w:rPr>
          <w:rFonts w:ascii="Palatino Linotype" w:eastAsia="Palatino Linotype" w:hAnsi="Palatino Linotype" w:cs="Palatino Linotype"/>
          <w:i/>
          <w:u w:val="single"/>
        </w:rPr>
        <w:t xml:space="preserve">, </w:t>
      </w:r>
      <w:r>
        <w:rPr>
          <w:rFonts w:ascii="Palatino Linotype" w:eastAsia="Palatino Linotype" w:hAnsi="Palatino Linotype" w:cs="Palatino Linotype"/>
          <w:b/>
          <w:i/>
        </w:rPr>
        <w:t>incluyendo la versión pública</w:t>
      </w:r>
      <w:r>
        <w:rPr>
          <w:rFonts w:ascii="Palatino Linotype" w:eastAsia="Palatino Linotype" w:hAnsi="Palatino Linotype" w:cs="Palatino Linotype"/>
          <w:i/>
        </w:rPr>
        <w:t xml:space="preserve"> del expediente respectivo y </w:t>
      </w:r>
      <w:r>
        <w:rPr>
          <w:rFonts w:ascii="Palatino Linotype" w:eastAsia="Palatino Linotype" w:hAnsi="Palatino Linotype" w:cs="Palatino Linotype"/>
          <w:b/>
          <w:i/>
        </w:rPr>
        <w:t>de los contratos celebrados</w:t>
      </w:r>
      <w:r>
        <w:rPr>
          <w:rFonts w:ascii="Palatino Linotype" w:eastAsia="Palatino Linotype" w:hAnsi="Palatino Linotype" w:cs="Palatino Linotype"/>
          <w:i/>
        </w:rPr>
        <w:t>, que deberán conten</w:t>
      </w:r>
      <w:r>
        <w:rPr>
          <w:rFonts w:ascii="Palatino Linotype" w:eastAsia="Palatino Linotype" w:hAnsi="Palatino Linotype" w:cs="Palatino Linotype"/>
          <w:i/>
        </w:rPr>
        <w:t>er, por los menos, lo siguiente:</w:t>
      </w:r>
    </w:p>
    <w:p w14:paraId="7051A0F9" w14:textId="77777777" w:rsidR="007A7615" w:rsidRDefault="00F77212">
      <w:pPr>
        <w:tabs>
          <w:tab w:val="left" w:pos="426"/>
        </w:tabs>
        <w:spacing w:before="120" w:after="120"/>
        <w:ind w:left="1418" w:right="902"/>
        <w:jc w:val="both"/>
        <w:rPr>
          <w:rFonts w:ascii="Palatino Linotype" w:eastAsia="Palatino Linotype" w:hAnsi="Palatino Linotype" w:cs="Palatino Linotype"/>
          <w:b/>
          <w:i/>
        </w:rPr>
      </w:pPr>
      <w:r>
        <w:rPr>
          <w:rFonts w:ascii="Palatino Linotype" w:eastAsia="Palatino Linotype" w:hAnsi="Palatino Linotype" w:cs="Palatino Linotype"/>
          <w:b/>
          <w:i/>
        </w:rPr>
        <w:t>a) De licitaciones públicas o procedimientos de invitación restringida:</w:t>
      </w:r>
    </w:p>
    <w:p w14:paraId="06996AF8"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1)</w:t>
      </w:r>
      <w:r>
        <w:rPr>
          <w:rFonts w:ascii="Palatino Linotype" w:eastAsia="Palatino Linotype" w:hAnsi="Palatino Linotype" w:cs="Palatino Linotype"/>
          <w:i/>
        </w:rPr>
        <w:t xml:space="preserve"> La convocatoria o invitación emitida, así como los fundamentos legales aplicados para llevarla a cabo;</w:t>
      </w:r>
    </w:p>
    <w:p w14:paraId="46A95EF8"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2)</w:t>
      </w:r>
      <w:r>
        <w:rPr>
          <w:rFonts w:ascii="Palatino Linotype" w:eastAsia="Palatino Linotype" w:hAnsi="Palatino Linotype" w:cs="Palatino Linotype"/>
          <w:i/>
        </w:rPr>
        <w:t xml:space="preserve"> Los nombres de los participantes o invitad</w:t>
      </w:r>
      <w:r>
        <w:rPr>
          <w:rFonts w:ascii="Palatino Linotype" w:eastAsia="Palatino Linotype" w:hAnsi="Palatino Linotype" w:cs="Palatino Linotype"/>
          <w:i/>
        </w:rPr>
        <w:t>os;</w:t>
      </w:r>
    </w:p>
    <w:p w14:paraId="6AAD36BE"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3)</w:t>
      </w:r>
      <w:r>
        <w:rPr>
          <w:rFonts w:ascii="Palatino Linotype" w:eastAsia="Palatino Linotype" w:hAnsi="Palatino Linotype" w:cs="Palatino Linotype"/>
          <w:i/>
        </w:rPr>
        <w:t xml:space="preserve"> El nombre del ganador y las razones que lo justifican;</w:t>
      </w:r>
    </w:p>
    <w:p w14:paraId="121A1162"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4)</w:t>
      </w:r>
      <w:r>
        <w:rPr>
          <w:rFonts w:ascii="Palatino Linotype" w:eastAsia="Palatino Linotype" w:hAnsi="Palatino Linotype" w:cs="Palatino Linotype"/>
          <w:i/>
        </w:rPr>
        <w:t xml:space="preserve"> El área solicitante y la responsable de su ejecución;</w:t>
      </w:r>
    </w:p>
    <w:p w14:paraId="0D19A7D5"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5)</w:t>
      </w:r>
      <w:r>
        <w:rPr>
          <w:rFonts w:ascii="Palatino Linotype" w:eastAsia="Palatino Linotype" w:hAnsi="Palatino Linotype" w:cs="Palatino Linotype"/>
          <w:i/>
        </w:rPr>
        <w:t xml:space="preserve"> Las convocatorias e invitaciones emitidas; </w:t>
      </w:r>
    </w:p>
    <w:p w14:paraId="2C4857F1"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6)</w:t>
      </w:r>
      <w:r>
        <w:rPr>
          <w:rFonts w:ascii="Palatino Linotype" w:eastAsia="Palatino Linotype" w:hAnsi="Palatino Linotype" w:cs="Palatino Linotype"/>
          <w:i/>
        </w:rPr>
        <w:t xml:space="preserve"> Los dictámenes y fallo de adjudicación;</w:t>
      </w:r>
    </w:p>
    <w:p w14:paraId="6E628FEA"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7) </w:t>
      </w:r>
      <w:r>
        <w:rPr>
          <w:rFonts w:ascii="Palatino Linotype" w:eastAsia="Palatino Linotype" w:hAnsi="Palatino Linotype" w:cs="Palatino Linotype"/>
          <w:i/>
        </w:rPr>
        <w:t xml:space="preserve">El contrato y, en su caso, sus anexos; </w:t>
      </w:r>
    </w:p>
    <w:p w14:paraId="5637FC44"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8)</w:t>
      </w:r>
      <w:r>
        <w:rPr>
          <w:rFonts w:ascii="Palatino Linotype" w:eastAsia="Palatino Linotype" w:hAnsi="Palatino Linotype" w:cs="Palatino Linotype"/>
          <w:i/>
        </w:rPr>
        <w:t xml:space="preserve"> L</w:t>
      </w:r>
      <w:r>
        <w:rPr>
          <w:rFonts w:ascii="Palatino Linotype" w:eastAsia="Palatino Linotype" w:hAnsi="Palatino Linotype" w:cs="Palatino Linotype"/>
          <w:i/>
        </w:rPr>
        <w:t>os mecanismos de vigilancia y supervisión, incluyendo en su caso, los estudios de impacto urbano y ambiental, según corresponda;</w:t>
      </w:r>
    </w:p>
    <w:p w14:paraId="3CD5AB13"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9)</w:t>
      </w:r>
      <w:r>
        <w:rPr>
          <w:rFonts w:ascii="Palatino Linotype" w:eastAsia="Palatino Linotype" w:hAnsi="Palatino Linotype" w:cs="Palatino Linotype"/>
          <w:i/>
        </w:rPr>
        <w:t xml:space="preserve"> La partida presupuestal, de conformidad con el clasificador por objeto del gasto, en el caso de ser aplicable; </w:t>
      </w:r>
    </w:p>
    <w:p w14:paraId="6C10C0BB"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10)</w:t>
      </w:r>
      <w:r>
        <w:rPr>
          <w:rFonts w:ascii="Palatino Linotype" w:eastAsia="Palatino Linotype" w:hAnsi="Palatino Linotype" w:cs="Palatino Linotype"/>
          <w:i/>
        </w:rPr>
        <w:t xml:space="preserve"> Origen d</w:t>
      </w:r>
      <w:r>
        <w:rPr>
          <w:rFonts w:ascii="Palatino Linotype" w:eastAsia="Palatino Linotype" w:hAnsi="Palatino Linotype" w:cs="Palatino Linotype"/>
          <w:i/>
        </w:rPr>
        <w:t>e los recursos especificando si son federales, estatales o municipales, así como el tipo de fondo de participación o aportación respectiva;</w:t>
      </w:r>
    </w:p>
    <w:p w14:paraId="59BEB50D"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11)</w:t>
      </w:r>
      <w:r>
        <w:rPr>
          <w:rFonts w:ascii="Palatino Linotype" w:eastAsia="Palatino Linotype" w:hAnsi="Palatino Linotype" w:cs="Palatino Linotype"/>
          <w:i/>
        </w:rPr>
        <w:t xml:space="preserve"> Los convenios modificatorios que, en su caso, sean firmados, precisando el objeto y la fecha de celebración;</w:t>
      </w:r>
    </w:p>
    <w:p w14:paraId="04349BF4"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12)</w:t>
      </w:r>
      <w:r>
        <w:rPr>
          <w:rFonts w:ascii="Palatino Linotype" w:eastAsia="Palatino Linotype" w:hAnsi="Palatino Linotype" w:cs="Palatino Linotype"/>
          <w:i/>
        </w:rPr>
        <w:t xml:space="preserve"> Los informes de avance físico y financiero sobre las obras o servicios contratados; </w:t>
      </w:r>
    </w:p>
    <w:p w14:paraId="714F8627"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13)</w:t>
      </w:r>
      <w:r>
        <w:rPr>
          <w:rFonts w:ascii="Palatino Linotype" w:eastAsia="Palatino Linotype" w:hAnsi="Palatino Linotype" w:cs="Palatino Linotype"/>
          <w:i/>
        </w:rPr>
        <w:t xml:space="preserve"> El convenio de terminación; </w:t>
      </w:r>
    </w:p>
    <w:p w14:paraId="12DA6DF2"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14)</w:t>
      </w:r>
      <w:r>
        <w:rPr>
          <w:rFonts w:ascii="Palatino Linotype" w:eastAsia="Palatino Linotype" w:hAnsi="Palatino Linotype" w:cs="Palatino Linotype"/>
          <w:i/>
        </w:rPr>
        <w:t xml:space="preserve"> El finiquito.</w:t>
      </w:r>
    </w:p>
    <w:p w14:paraId="60B8A66B" w14:textId="77777777" w:rsidR="007A7615" w:rsidRDefault="00F77212">
      <w:pPr>
        <w:tabs>
          <w:tab w:val="left" w:pos="426"/>
        </w:tabs>
        <w:spacing w:before="120" w:after="120"/>
        <w:ind w:left="1418"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b) De las adjudicaciones directas: </w:t>
      </w:r>
    </w:p>
    <w:p w14:paraId="26D537FB"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1)</w:t>
      </w:r>
      <w:r>
        <w:rPr>
          <w:rFonts w:ascii="Palatino Linotype" w:eastAsia="Palatino Linotype" w:hAnsi="Palatino Linotype" w:cs="Palatino Linotype"/>
          <w:i/>
        </w:rPr>
        <w:t xml:space="preserve"> La propuesta enviada por el participante; </w:t>
      </w:r>
    </w:p>
    <w:p w14:paraId="5CD15B3E"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2)</w:t>
      </w:r>
      <w:r>
        <w:rPr>
          <w:rFonts w:ascii="Palatino Linotype" w:eastAsia="Palatino Linotype" w:hAnsi="Palatino Linotype" w:cs="Palatino Linotype"/>
          <w:i/>
        </w:rPr>
        <w:t xml:space="preserve"> Los motivos y fundamentos legales aplicados para llevarla a cabo;</w:t>
      </w:r>
    </w:p>
    <w:p w14:paraId="66A6492A"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3)</w:t>
      </w:r>
      <w:r>
        <w:rPr>
          <w:rFonts w:ascii="Palatino Linotype" w:eastAsia="Palatino Linotype" w:hAnsi="Palatino Linotype" w:cs="Palatino Linotype"/>
          <w:i/>
        </w:rPr>
        <w:t xml:space="preserve"> La autorización del ejercicio de la opción; </w:t>
      </w:r>
    </w:p>
    <w:p w14:paraId="1451C2D3" w14:textId="77777777" w:rsidR="007A7615" w:rsidRDefault="00F77212">
      <w:pPr>
        <w:tabs>
          <w:tab w:val="left" w:pos="426"/>
        </w:tabs>
        <w:spacing w:before="120" w:after="120"/>
        <w:ind w:left="1701" w:right="90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4) </w:t>
      </w:r>
      <w:r>
        <w:rPr>
          <w:rFonts w:ascii="Palatino Linotype" w:eastAsia="Palatino Linotype" w:hAnsi="Palatino Linotype" w:cs="Palatino Linotype"/>
          <w:i/>
        </w:rPr>
        <w:t>En su caso, las cotizaciones consideradas, especificando los nombres de los proveedores y sus montos;</w:t>
      </w:r>
      <w:r>
        <w:rPr>
          <w:rFonts w:ascii="Palatino Linotype" w:eastAsia="Palatino Linotype" w:hAnsi="Palatino Linotype" w:cs="Palatino Linotype"/>
          <w:b/>
          <w:i/>
        </w:rPr>
        <w:t xml:space="preserve"> </w:t>
      </w:r>
    </w:p>
    <w:p w14:paraId="1FABE814"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5)</w:t>
      </w:r>
      <w:r>
        <w:rPr>
          <w:rFonts w:ascii="Palatino Linotype" w:eastAsia="Palatino Linotype" w:hAnsi="Palatino Linotype" w:cs="Palatino Linotype"/>
          <w:i/>
        </w:rPr>
        <w:t xml:space="preserve"> El nombre de la persona física o jurídica colectiva adjudicada; </w:t>
      </w:r>
    </w:p>
    <w:p w14:paraId="20F30F6C"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6)</w:t>
      </w:r>
      <w:r>
        <w:rPr>
          <w:rFonts w:ascii="Palatino Linotype" w:eastAsia="Palatino Linotype" w:hAnsi="Palatino Linotype" w:cs="Palatino Linotype"/>
          <w:i/>
        </w:rPr>
        <w:t xml:space="preserve"> La unidad administrativa solicitante y la responsable de su ejecución; </w:t>
      </w:r>
    </w:p>
    <w:p w14:paraId="27A37901"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7) </w:t>
      </w:r>
      <w:r>
        <w:rPr>
          <w:rFonts w:ascii="Palatino Linotype" w:eastAsia="Palatino Linotype" w:hAnsi="Palatino Linotype" w:cs="Palatino Linotype"/>
          <w:i/>
        </w:rPr>
        <w:t xml:space="preserve">El número, fecha, el monto del contrato y el plazo de entrega o de ejecución de los servicios u obra; </w:t>
      </w:r>
    </w:p>
    <w:p w14:paraId="4565DBE0"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8)</w:t>
      </w:r>
      <w:r>
        <w:rPr>
          <w:rFonts w:ascii="Palatino Linotype" w:eastAsia="Palatino Linotype" w:hAnsi="Palatino Linotype" w:cs="Palatino Linotype"/>
          <w:i/>
        </w:rPr>
        <w:t xml:space="preserve"> Los me</w:t>
      </w:r>
      <w:r>
        <w:rPr>
          <w:rFonts w:ascii="Palatino Linotype" w:eastAsia="Palatino Linotype" w:hAnsi="Palatino Linotype" w:cs="Palatino Linotype"/>
          <w:i/>
        </w:rPr>
        <w:t xml:space="preserve">canismos de vigilancia y supervisión, incluyendo, en su caso, los estudios de impacto urbano y ambiental, según corresponda; </w:t>
      </w:r>
    </w:p>
    <w:p w14:paraId="6FB10946"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9)</w:t>
      </w:r>
      <w:r>
        <w:rPr>
          <w:rFonts w:ascii="Palatino Linotype" w:eastAsia="Palatino Linotype" w:hAnsi="Palatino Linotype" w:cs="Palatino Linotype"/>
          <w:i/>
        </w:rPr>
        <w:t xml:space="preserve"> Los informes de avance sobre las obras o servicios contratados; </w:t>
      </w:r>
    </w:p>
    <w:p w14:paraId="75BDA7A8"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10)</w:t>
      </w:r>
      <w:r>
        <w:rPr>
          <w:rFonts w:ascii="Palatino Linotype" w:eastAsia="Palatino Linotype" w:hAnsi="Palatino Linotype" w:cs="Palatino Linotype"/>
          <w:i/>
        </w:rPr>
        <w:t xml:space="preserve"> El convenio de terminación; y </w:t>
      </w:r>
    </w:p>
    <w:p w14:paraId="07D5C129" w14:textId="77777777" w:rsidR="007A7615" w:rsidRDefault="00F77212">
      <w:pPr>
        <w:tabs>
          <w:tab w:val="left" w:pos="426"/>
        </w:tabs>
        <w:spacing w:before="120" w:after="120"/>
        <w:ind w:left="1701" w:right="902"/>
        <w:jc w:val="both"/>
        <w:rPr>
          <w:rFonts w:ascii="Palatino Linotype" w:eastAsia="Palatino Linotype" w:hAnsi="Palatino Linotype" w:cs="Palatino Linotype"/>
          <w:i/>
        </w:rPr>
      </w:pPr>
      <w:r>
        <w:rPr>
          <w:rFonts w:ascii="Palatino Linotype" w:eastAsia="Palatino Linotype" w:hAnsi="Palatino Linotype" w:cs="Palatino Linotype"/>
          <w:b/>
          <w:i/>
        </w:rPr>
        <w:t>11)</w:t>
      </w:r>
      <w:r>
        <w:rPr>
          <w:rFonts w:ascii="Palatino Linotype" w:eastAsia="Palatino Linotype" w:hAnsi="Palatino Linotype" w:cs="Palatino Linotype"/>
          <w:i/>
        </w:rPr>
        <w:t xml:space="preserve"> El finiquito;”</w:t>
      </w:r>
    </w:p>
    <w:p w14:paraId="2E5FEF61"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esto,</w:t>
      </w:r>
      <w:r>
        <w:rPr>
          <w:rFonts w:ascii="Palatino Linotype" w:eastAsia="Palatino Linotype" w:hAnsi="Palatino Linotype" w:cs="Palatino Linotype"/>
        </w:rPr>
        <w:t xml:space="preserve"> se advierte que, los Sujetos Obligados deberán poner a disposición del público la información relativa a procesos y resultados sobre procedimientos de adjudicación directa, invitación restringida y licitación de cualquier naturaleza, donde se incluya, en </w:t>
      </w:r>
      <w:r>
        <w:rPr>
          <w:rFonts w:ascii="Palatino Linotype" w:eastAsia="Palatino Linotype" w:hAnsi="Palatino Linotype" w:cs="Palatino Linotype"/>
        </w:rPr>
        <w:t>versión pública, el expediente respectivo y los contratos celebrados que, para el caso en particular, los expedientes deberán contener:</w:t>
      </w:r>
    </w:p>
    <w:p w14:paraId="316F1988" w14:textId="77777777" w:rsidR="007A7615" w:rsidRDefault="00F77212">
      <w:pPr>
        <w:spacing w:before="240" w:after="240" w:line="360" w:lineRule="auto"/>
        <w:ind w:left="280"/>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sz w:val="16"/>
          <w:szCs w:val="16"/>
        </w:rPr>
        <w:tab/>
      </w:r>
      <w:r>
        <w:rPr>
          <w:rFonts w:ascii="Palatino Linotype" w:eastAsia="Palatino Linotype" w:hAnsi="Palatino Linotype" w:cs="Palatino Linotype"/>
          <w:b/>
        </w:rPr>
        <w:t xml:space="preserve">Licitación pública: </w:t>
      </w:r>
      <w:r>
        <w:rPr>
          <w:rFonts w:ascii="Palatino Linotype" w:eastAsia="Palatino Linotype" w:hAnsi="Palatino Linotype" w:cs="Palatino Linotype"/>
        </w:rPr>
        <w:t>convocatoria y fundamentos legales aplicables para llevarla a cabo, nombre de los participante</w:t>
      </w:r>
      <w:r>
        <w:rPr>
          <w:rFonts w:ascii="Palatino Linotype" w:eastAsia="Palatino Linotype" w:hAnsi="Palatino Linotype" w:cs="Palatino Linotype"/>
        </w:rPr>
        <w:t>s, nombre del ganador y razones, área solicitante y responsable de su ejecución, convocatorias emitidas, dictámenes y fallo de adjudicación, contrato y anexos, mecanismos de vigilancia y supervisión, de ser el caso, con los estudios de impacto urbano y amb</w:t>
      </w:r>
      <w:r>
        <w:rPr>
          <w:rFonts w:ascii="Palatino Linotype" w:eastAsia="Palatino Linotype" w:hAnsi="Palatino Linotype" w:cs="Palatino Linotype"/>
        </w:rPr>
        <w:t xml:space="preserve">iental, partida presupuestal de conformidad con el clasificador </w:t>
      </w:r>
      <w:r>
        <w:rPr>
          <w:rFonts w:ascii="Palatino Linotype" w:eastAsia="Palatino Linotype" w:hAnsi="Palatino Linotype" w:cs="Palatino Linotype"/>
        </w:rPr>
        <w:lastRenderedPageBreak/>
        <w:t>por objeto del gasto, origen de los recursos especificando si son federales, estatales o municipales, tipo de fondo de participación o aportación respectiva, convenios modificatorios, informes</w:t>
      </w:r>
      <w:r>
        <w:rPr>
          <w:rFonts w:ascii="Palatino Linotype" w:eastAsia="Palatino Linotype" w:hAnsi="Palatino Linotype" w:cs="Palatino Linotype"/>
        </w:rPr>
        <w:t xml:space="preserve"> de avances, convenio de terminación y finiquito.</w:t>
      </w:r>
    </w:p>
    <w:p w14:paraId="0E334037" w14:textId="77777777" w:rsidR="007A7615" w:rsidRDefault="00F77212">
      <w:pPr>
        <w:spacing w:before="240" w:after="240" w:line="360" w:lineRule="auto"/>
        <w:ind w:left="426"/>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rPr>
        <w:t xml:space="preserve">Invitación restringida: </w:t>
      </w:r>
      <w:r>
        <w:rPr>
          <w:rFonts w:ascii="Palatino Linotype" w:eastAsia="Palatino Linotype" w:hAnsi="Palatino Linotype" w:cs="Palatino Linotype"/>
        </w:rPr>
        <w:t>invitación emitida y fundamentos legales aplicables para llevarla a cabo, nombre de los participantes o invitados, nombre del ganador y razones, área solicitante y responsab</w:t>
      </w:r>
      <w:r>
        <w:rPr>
          <w:rFonts w:ascii="Palatino Linotype" w:eastAsia="Palatino Linotype" w:hAnsi="Palatino Linotype" w:cs="Palatino Linotype"/>
        </w:rPr>
        <w:t>le de su ejecución, invitaciones emitidas, dictámenes y fallo de adjudicación, contrato y anexos, mecanismos de vigilancia y supervisión, de ser el caso, con los estudios de impacto urbano y ambiental, partida presupuestal de conformidad con el clasificado</w:t>
      </w:r>
      <w:r>
        <w:rPr>
          <w:rFonts w:ascii="Palatino Linotype" w:eastAsia="Palatino Linotype" w:hAnsi="Palatino Linotype" w:cs="Palatino Linotype"/>
        </w:rPr>
        <w:t>r por objeto del gasto, origen de los recursos especificando si son federales, estatales o municipales, tipo de fondo de participación o aportación respectiva, convenios modificatorios, informes de avances, convenio de terminación y finiquito.</w:t>
      </w:r>
    </w:p>
    <w:p w14:paraId="5F332E3C" w14:textId="77777777" w:rsidR="007A7615" w:rsidRDefault="00F77212">
      <w:pPr>
        <w:spacing w:before="240" w:after="240" w:line="360" w:lineRule="auto"/>
        <w:ind w:left="426"/>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sz w:val="16"/>
          <w:szCs w:val="16"/>
        </w:rPr>
        <w:t xml:space="preserve">        </w:t>
      </w:r>
      <w:r>
        <w:rPr>
          <w:rFonts w:ascii="Palatino Linotype" w:eastAsia="Palatino Linotype" w:hAnsi="Palatino Linotype" w:cs="Palatino Linotype"/>
          <w:b/>
        </w:rPr>
        <w:t>Adj</w:t>
      </w:r>
      <w:r>
        <w:rPr>
          <w:rFonts w:ascii="Palatino Linotype" w:eastAsia="Palatino Linotype" w:hAnsi="Palatino Linotype" w:cs="Palatino Linotype"/>
          <w:b/>
        </w:rPr>
        <w:t xml:space="preserve">udicaciones directas: </w:t>
      </w:r>
      <w:r>
        <w:rPr>
          <w:rFonts w:ascii="Palatino Linotype" w:eastAsia="Palatino Linotype" w:hAnsi="Palatino Linotype" w:cs="Palatino Linotype"/>
        </w:rPr>
        <w:t>Propuestas enviadas por el participante, motivos y fundamentos legales, autorización del ejercicio de la opción, cotizaciones consideradas, nombre de persona física o jurídica adjudicada, número, fecha, monto del contrato, plazo de en</w:t>
      </w:r>
      <w:r>
        <w:rPr>
          <w:rFonts w:ascii="Palatino Linotype" w:eastAsia="Palatino Linotype" w:hAnsi="Palatino Linotype" w:cs="Palatino Linotype"/>
        </w:rPr>
        <w:t xml:space="preserve">trega o ejecución, mecanismos de vigilancia y supervisión, informes de avance sobre las obras o servicios, convenio de terminación y finiquito. </w:t>
      </w:r>
    </w:p>
    <w:p w14:paraId="49818CBD" w14:textId="77777777" w:rsidR="007A7615" w:rsidRDefault="00F7721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ende, de acuerdo a los Lineamientos Técnicos Generales para la publicación, homologación y estandarización </w:t>
      </w:r>
      <w:r>
        <w:rPr>
          <w:rFonts w:ascii="Palatino Linotype" w:eastAsia="Palatino Linotype" w:hAnsi="Palatino Linotype" w:cs="Palatino Linotype"/>
        </w:rPr>
        <w:t>de la información de las obligaciones establecidas en el título quinto y en la fracción IV del artículo 31 de la Ley General de Transparencia y Acceso a la Información Pública, que deben de difundir los sujetos obligados en los portales de Internet y en la</w:t>
      </w:r>
      <w:r>
        <w:rPr>
          <w:rFonts w:ascii="Palatino Linotype" w:eastAsia="Palatino Linotype" w:hAnsi="Palatino Linotype" w:cs="Palatino Linotype"/>
        </w:rPr>
        <w:t xml:space="preserve"> Plataforma Nacional de Transparencia, para el cumplimiento de la obligación de transparencia señalada en el artículo 70  fracción XXVIII de la Ley General de Transparencia y Acceso a la Información Pública, vigentes a la fecha de la solicitud, los sujetos</w:t>
      </w:r>
      <w:r>
        <w:rPr>
          <w:rFonts w:ascii="Palatino Linotype" w:eastAsia="Palatino Linotype" w:hAnsi="Palatino Linotype" w:cs="Palatino Linotype"/>
        </w:rPr>
        <w:t xml:space="preserve"> obligados deben publicar información sobre los actos, contratos y convenios celebrados, misma que </w:t>
      </w:r>
      <w:r>
        <w:rPr>
          <w:rFonts w:ascii="Palatino Linotype" w:eastAsia="Palatino Linotype" w:hAnsi="Palatino Linotype" w:cs="Palatino Linotype"/>
          <w:b/>
        </w:rPr>
        <w:t xml:space="preserve">debe presentarse en una base de datos en la que cada registro se </w:t>
      </w:r>
      <w:r>
        <w:rPr>
          <w:rFonts w:ascii="Palatino Linotype" w:eastAsia="Palatino Linotype" w:hAnsi="Palatino Linotype" w:cs="Palatino Linotype"/>
          <w:b/>
        </w:rPr>
        <w:lastRenderedPageBreak/>
        <w:t>hará por tipo de procedimiento, ya sea licitación pública, invitación restringida o adjudica</w:t>
      </w:r>
      <w:r>
        <w:rPr>
          <w:rFonts w:ascii="Palatino Linotype" w:eastAsia="Palatino Linotype" w:hAnsi="Palatino Linotype" w:cs="Palatino Linotype"/>
          <w:b/>
        </w:rPr>
        <w:t>ción directa,</w:t>
      </w:r>
      <w:r>
        <w:rPr>
          <w:rFonts w:ascii="Palatino Linotype" w:eastAsia="Palatino Linotype" w:hAnsi="Palatino Linotype" w:cs="Palatino Linotype"/>
        </w:rPr>
        <w:t xml:space="preserve"> especificando para cada tipo de procedimiento la materia, pudiendo ser obra pública, servicios relacionados con obra pública, arrendamiento, adquisiciones, o servicios, así como el carácter de cada uno, es decir, nacional o internacional, ade</w:t>
      </w:r>
      <w:r>
        <w:rPr>
          <w:rFonts w:ascii="Palatino Linotype" w:eastAsia="Palatino Linotype" w:hAnsi="Palatino Linotype" w:cs="Palatino Linotype"/>
        </w:rPr>
        <w:t>más se debe elaborar versión pública los documentos fuente que deban ser publicados en este apartado, tales como contratos, convenios, actas, dictámenes, fallos, convenios modificatorios, informes, entre otros, incluyendo sus anexos correspondientes, infor</w:t>
      </w:r>
      <w:r>
        <w:rPr>
          <w:rFonts w:ascii="Palatino Linotype" w:eastAsia="Palatino Linotype" w:hAnsi="Palatino Linotype" w:cs="Palatino Linotype"/>
        </w:rPr>
        <w:t>mación que debe ser actualizada de manera trimestral, y conservarse la generada en el ejercicio en curso y la correspondiente a dos ejercicios anteriores.</w:t>
      </w:r>
    </w:p>
    <w:p w14:paraId="0A00F971"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se colige que la información requerida por la persona solicitante versa sobre una ob</w:t>
      </w:r>
      <w:r>
        <w:rPr>
          <w:rFonts w:ascii="Palatino Linotype" w:eastAsia="Palatino Linotype" w:hAnsi="Palatino Linotype" w:cs="Palatino Linotype"/>
        </w:rPr>
        <w:t xml:space="preserve">ligación de transparencia de oficio, y que por tal motivo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encuentra constreñido a poner a disposición del público dicha información, de manera permanente y actualizada a través de los portales de internet y en la Plataforma Nacional d</w:t>
      </w:r>
      <w:r>
        <w:rPr>
          <w:rFonts w:ascii="Palatino Linotype" w:eastAsia="Palatino Linotype" w:hAnsi="Palatino Linotype" w:cs="Palatino Linotype"/>
        </w:rPr>
        <w:t xml:space="preserve">e Transparencia, no obstante, si bien ha quedado claro que la información que es hoy tema de estudio, por su naturaleza debe encontrarse pública a través del portal referido,  no es óbice para que éste sea el único medio por el cual la solicitud pueda ser </w:t>
      </w:r>
      <w:r>
        <w:rPr>
          <w:rFonts w:ascii="Palatino Linotype" w:eastAsia="Palatino Linotype" w:hAnsi="Palatino Linotype" w:cs="Palatino Linotype"/>
        </w:rPr>
        <w:t>atendida, en virtud de que los sujetos obligados se encuentran constreñidos a documentar todo acto que derive del ejercicio de sus facultades, competencias o funciones considerando su eventual publicación, en términos de los artículos 18 y 24 fracción XXII</w:t>
      </w:r>
      <w:r>
        <w:rPr>
          <w:rFonts w:ascii="Palatino Linotype" w:eastAsia="Palatino Linotype" w:hAnsi="Palatino Linotype" w:cs="Palatino Linotype"/>
        </w:rPr>
        <w:t xml:space="preserve"> de la Ley de la Materia, que a la letra señalan lo siguiente:</w:t>
      </w:r>
    </w:p>
    <w:p w14:paraId="626E222A"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18.</w:t>
      </w:r>
      <w:r>
        <w:rPr>
          <w:rFonts w:ascii="Palatino Linotype" w:eastAsia="Palatino Linotype" w:hAnsi="Palatino Linotype" w:cs="Palatino Linotype"/>
          <w:i/>
        </w:rPr>
        <w:t xml:space="preserve"> Los sujetos obligados </w:t>
      </w:r>
      <w:r>
        <w:rPr>
          <w:rFonts w:ascii="Palatino Linotype" w:eastAsia="Palatino Linotype" w:hAnsi="Palatino Linotype" w:cs="Palatino Linotype"/>
          <w:b/>
          <w:i/>
        </w:rPr>
        <w:t>deberán documentar todo acto</w:t>
      </w:r>
      <w:r>
        <w:rPr>
          <w:rFonts w:ascii="Palatino Linotype" w:eastAsia="Palatino Linotype" w:hAnsi="Palatino Linotype" w:cs="Palatino Linotype"/>
          <w:i/>
        </w:rPr>
        <w:t xml:space="preserve"> </w:t>
      </w:r>
      <w:r>
        <w:rPr>
          <w:rFonts w:ascii="Palatino Linotype" w:eastAsia="Palatino Linotype" w:hAnsi="Palatino Linotype" w:cs="Palatino Linotype"/>
          <w:b/>
          <w:i/>
        </w:rPr>
        <w:t>que derive del ejercicio de sus facultades, competencias o funciones</w:t>
      </w:r>
      <w:r>
        <w:rPr>
          <w:rFonts w:ascii="Palatino Linotype" w:eastAsia="Palatino Linotype" w:hAnsi="Palatino Linotype" w:cs="Palatino Linotype"/>
          <w:i/>
        </w:rPr>
        <w:t>, considerando desde su origen la eventual publicidad y reut</w:t>
      </w:r>
      <w:r>
        <w:rPr>
          <w:rFonts w:ascii="Palatino Linotype" w:eastAsia="Palatino Linotype" w:hAnsi="Palatino Linotype" w:cs="Palatino Linotype"/>
          <w:i/>
        </w:rPr>
        <w:t>ilización de la información que generen.</w:t>
      </w:r>
    </w:p>
    <w:p w14:paraId="3621955A"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16B6D58"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24.</w:t>
      </w:r>
      <w:r>
        <w:rPr>
          <w:rFonts w:ascii="Palatino Linotype" w:eastAsia="Palatino Linotype" w:hAnsi="Palatino Linotype" w:cs="Palatino Linotype"/>
          <w:i/>
        </w:rPr>
        <w:t xml:space="preserve"> Para el cumplimiento de los objetivos de esta Ley</w:t>
      </w:r>
      <w:r>
        <w:rPr>
          <w:rFonts w:ascii="Palatino Linotype" w:eastAsia="Palatino Linotype" w:hAnsi="Palatino Linotype" w:cs="Palatino Linotype"/>
          <w:b/>
          <w:i/>
        </w:rPr>
        <w:t>, los sujetos obligados deberán cumplir con las siguientes obligaciones</w:t>
      </w:r>
      <w:r>
        <w:rPr>
          <w:rFonts w:ascii="Palatino Linotype" w:eastAsia="Palatino Linotype" w:hAnsi="Palatino Linotype" w:cs="Palatino Linotype"/>
          <w:i/>
        </w:rPr>
        <w:t>, según corresponda, de acuerdo a su naturaleza:</w:t>
      </w:r>
    </w:p>
    <w:p w14:paraId="514EA607" w14:textId="77777777" w:rsidR="007A7615" w:rsidRDefault="00F77212">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14:paraId="51444B4F" w14:textId="77777777" w:rsidR="007A7615" w:rsidRDefault="00F77212">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XXII.</w:t>
      </w:r>
      <w:r>
        <w:rPr>
          <w:rFonts w:ascii="Palatino Linotype" w:eastAsia="Palatino Linotype" w:hAnsi="Palatino Linotype" w:cs="Palatino Linotype"/>
          <w:i/>
        </w:rPr>
        <w:t xml:space="preserve"> </w:t>
      </w:r>
      <w:r>
        <w:rPr>
          <w:rFonts w:ascii="Palatino Linotype" w:eastAsia="Palatino Linotype" w:hAnsi="Palatino Linotype" w:cs="Palatino Linotype"/>
          <w:b/>
          <w:i/>
        </w:rPr>
        <w:t>Documentar todo acto que derive del ejercicio de sus facultades, competencias o funciones</w:t>
      </w:r>
      <w:r>
        <w:rPr>
          <w:rFonts w:ascii="Palatino Linotype" w:eastAsia="Palatino Linotype" w:hAnsi="Palatino Linotype" w:cs="Palatino Linotype"/>
          <w:i/>
        </w:rPr>
        <w:t xml:space="preserve"> y abstenerse de destruirlos u ocultarlos, dentro de los que destacan los procesos deliberativos y de decisión definitiva;”</w:t>
      </w:r>
    </w:p>
    <w:p w14:paraId="4409FDB3" w14:textId="77777777" w:rsidR="007A7615" w:rsidRDefault="00F7721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Corolario a lo anterior, se estima procedente ordenar, previa búsqueda exhaustiva y razonable, la entrega de los expedientes complet</w:t>
      </w:r>
      <w:r>
        <w:rPr>
          <w:rFonts w:ascii="Palatino Linotype" w:eastAsia="Palatino Linotype" w:hAnsi="Palatino Linotype" w:cs="Palatino Linotype"/>
        </w:rPr>
        <w:t xml:space="preserve">os de los procedimientos de adquisición celebrados del uno de enero al diecisiete de febrero de dos mil veinticinco, los cuales deben contener los contratos </w:t>
      </w:r>
      <w:proofErr w:type="gramStart"/>
      <w:r>
        <w:rPr>
          <w:rFonts w:ascii="Palatino Linotype" w:eastAsia="Palatino Linotype" w:hAnsi="Palatino Linotype" w:cs="Palatino Linotype"/>
        </w:rPr>
        <w:t>respectivos,  en</w:t>
      </w:r>
      <w:proofErr w:type="gramEnd"/>
      <w:r>
        <w:rPr>
          <w:rFonts w:ascii="Palatino Linotype" w:eastAsia="Palatino Linotype" w:hAnsi="Palatino Linotype" w:cs="Palatino Linotype"/>
        </w:rPr>
        <w:t xml:space="preserve"> versión pública de conformidad con el considerando siguiente.</w:t>
      </w:r>
    </w:p>
    <w:p w14:paraId="4E569A5D"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lo hasta aquí exp</w:t>
      </w:r>
      <w:r>
        <w:rPr>
          <w:rFonts w:ascii="Palatino Linotype" w:eastAsia="Palatino Linotype" w:hAnsi="Palatino Linotype" w:cs="Palatino Linotype"/>
        </w:rPr>
        <w:t xml:space="preserve">uesto, se concluye que los motivos de inconformidad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devienen parcialmente fundados, siendo procedente </w:t>
      </w:r>
      <w:r>
        <w:rPr>
          <w:rFonts w:ascii="Palatino Linotype" w:eastAsia="Palatino Linotype" w:hAnsi="Palatino Linotype" w:cs="Palatino Linotype"/>
          <w:i/>
        </w:rPr>
        <w:t xml:space="preserve">Modificar </w:t>
      </w:r>
      <w:r>
        <w:rPr>
          <w:rFonts w:ascii="Palatino Linotype" w:eastAsia="Palatino Linotype" w:hAnsi="Palatino Linotype" w:cs="Palatino Linotype"/>
        </w:rPr>
        <w:t xml:space="preserve">la respuesta proporcionada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términos del artículo 186 fracción III de la Ley de Transparencia y </w:t>
      </w:r>
      <w:r>
        <w:rPr>
          <w:rFonts w:ascii="Palatino Linotype" w:eastAsia="Palatino Linotype" w:hAnsi="Palatino Linotype" w:cs="Palatino Linotype"/>
        </w:rPr>
        <w:t>Acceso a la Información Pública del Estado de México y Municipios.</w:t>
      </w:r>
    </w:p>
    <w:p w14:paraId="6B6CAF8F" w14:textId="77777777" w:rsidR="007A7615" w:rsidRDefault="00F7721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Cómo fue debidamente apuntado, el </w:t>
      </w:r>
      <w:r>
        <w:rPr>
          <w:rFonts w:ascii="Palatino Linotype" w:eastAsia="Palatino Linotype" w:hAnsi="Palatino Linotype" w:cs="Palatino Linotype"/>
          <w:b/>
        </w:rPr>
        <w:t>Sujeto Obligado</w:t>
      </w:r>
      <w:r>
        <w:rPr>
          <w:rFonts w:ascii="Palatino Linotype" w:eastAsia="Palatino Linotype" w:hAnsi="Palatino Linotype" w:cs="Palatino Linotype"/>
        </w:rPr>
        <w:t> debe satisfacer la solicitud de acceso a la información; sin embargo, dada la naturaleza de la información de la c</w:t>
      </w:r>
      <w:r>
        <w:rPr>
          <w:rFonts w:ascii="Palatino Linotype" w:eastAsia="Palatino Linotype" w:hAnsi="Palatino Linotype" w:cs="Palatino Linotype"/>
        </w:rPr>
        <w:t>ual se ordena su entrega, deberá hacerse en versión pública, toda vez que en los documentos que se ordenan, existe la posibilidad de que obren datos que son considerados confidenciales, cuyo acceso debe ser restringido que deben testarse al momento de la v</w:t>
      </w:r>
      <w:r>
        <w:rPr>
          <w:rFonts w:ascii="Palatino Linotype" w:eastAsia="Palatino Linotype" w:hAnsi="Palatino Linotype" w:cs="Palatino Linotype"/>
        </w:rPr>
        <w:t>ersión pública, atento a lo siguiente:</w:t>
      </w:r>
    </w:p>
    <w:p w14:paraId="4397EF9E"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w:t>
      </w:r>
      <w:r>
        <w:rPr>
          <w:rFonts w:ascii="Palatino Linotype" w:eastAsia="Palatino Linotype" w:hAnsi="Palatino Linotype" w:cs="Palatino Linotype"/>
        </w:rPr>
        <w:t>de los Sujetos Obligados sean protegidos y únicamente se den a conocer aquéllos que garanticen la rendición de cuentas y la transparencia en el ejercicio de las atribuciones que tienen conferidas.</w:t>
      </w:r>
    </w:p>
    <w:p w14:paraId="36D0652E"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De este modo, en armonía entre los principios constituciona</w:t>
      </w:r>
      <w:r>
        <w:rPr>
          <w:rFonts w:ascii="Palatino Linotype" w:eastAsia="Palatino Linotype" w:hAnsi="Palatino Linotype" w:cs="Palatino Linotype"/>
        </w:rPr>
        <w:t>les de máxima publicidad y de protección de datos personales, la ley permite la elaboración de versiones públicas en las que se suprima aquella información relacionada con la vida privada de las personas.</w:t>
      </w:r>
    </w:p>
    <w:p w14:paraId="73C654F3"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w:t>
      </w:r>
      <w:r>
        <w:rPr>
          <w:rFonts w:ascii="Palatino Linotype" w:eastAsia="Palatino Linotype" w:hAnsi="Palatino Linotype" w:cs="Palatino Linotype"/>
        </w:rPr>
        <w:t>I, XXXII, XLV; 6, 91, 132, 137, 143, fracción I, de la Ley de Transparencia y Acceso a la Información Pública del Estado de México y Municipios establecen:</w:t>
      </w:r>
    </w:p>
    <w:p w14:paraId="1AB5D3CF"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rPr>
        <w:t> </w:t>
      </w:r>
      <w:r>
        <w:rPr>
          <w:rFonts w:ascii="Palatino Linotype" w:eastAsia="Palatino Linotype" w:hAnsi="Palatino Linotype" w:cs="Palatino Linotype"/>
          <w:i/>
        </w:rPr>
        <w:t>“</w:t>
      </w:r>
      <w:r>
        <w:rPr>
          <w:rFonts w:ascii="Palatino Linotype" w:eastAsia="Palatino Linotype" w:hAnsi="Palatino Linotype" w:cs="Palatino Linotype"/>
          <w:b/>
          <w:i/>
        </w:rPr>
        <w:t>Artículo 3.</w:t>
      </w:r>
      <w:r>
        <w:rPr>
          <w:rFonts w:ascii="Palatino Linotype" w:eastAsia="Palatino Linotype" w:hAnsi="Palatino Linotype" w:cs="Palatino Linotype"/>
          <w:i/>
        </w:rPr>
        <w:t xml:space="preserve"> Para los efectos de la presente Ley se entenderá por:</w:t>
      </w:r>
    </w:p>
    <w:p w14:paraId="4C8B6478" w14:textId="77777777" w:rsidR="007A7615" w:rsidRDefault="00F77212">
      <w:pPr>
        <w:tabs>
          <w:tab w:val="left" w:pos="1276"/>
        </w:tabs>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A9A393F" w14:textId="77777777" w:rsidR="007A7615" w:rsidRDefault="00F77212">
      <w:pPr>
        <w:tabs>
          <w:tab w:val="left" w:pos="1276"/>
        </w:tabs>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La infor</w:t>
      </w:r>
      <w:r>
        <w:rPr>
          <w:rFonts w:ascii="Palatino Linotype" w:eastAsia="Palatino Linotype" w:hAnsi="Palatino Linotype" w:cs="Palatino Linotype"/>
          <w:i/>
        </w:rPr>
        <w:t>mación concerniente a una persona, identificada o identificable según lo dispuesto por la Ley de Protección de Datos Personales del Estado de México;</w:t>
      </w:r>
    </w:p>
    <w:p w14:paraId="2992DDB6" w14:textId="77777777" w:rsidR="007A7615" w:rsidRDefault="00F77212">
      <w:pPr>
        <w:tabs>
          <w:tab w:val="left" w:pos="1276"/>
        </w:tabs>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2504EF6" w14:textId="77777777" w:rsidR="007A7615" w:rsidRDefault="00F77212">
      <w:pPr>
        <w:tabs>
          <w:tab w:val="left" w:pos="1276"/>
        </w:tabs>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14:paraId="5DF1DD8D" w14:textId="77777777" w:rsidR="007A7615" w:rsidRDefault="00F77212">
      <w:pPr>
        <w:tabs>
          <w:tab w:val="left" w:pos="1276"/>
        </w:tabs>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XXI.</w:t>
      </w:r>
      <w:r>
        <w:rPr>
          <w:rFonts w:ascii="Palatino Linotype" w:eastAsia="Palatino Linotype" w:hAnsi="Palatino Linotype" w:cs="Palatino Linotype"/>
          <w:b/>
          <w:i/>
        </w:rPr>
        <w:t xml:space="preserve"> Información confidencial</w:t>
      </w:r>
      <w:r>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w:t>
      </w:r>
      <w:r>
        <w:rPr>
          <w:rFonts w:ascii="Palatino Linotype" w:eastAsia="Palatino Linotype" w:hAnsi="Palatino Linotype" w:cs="Palatino Linotype"/>
          <w:i/>
        </w:rPr>
        <w:t>uando no involucren el ejercicio de recursos públicos;</w:t>
      </w:r>
    </w:p>
    <w:p w14:paraId="22CD4E2E" w14:textId="77777777" w:rsidR="007A7615" w:rsidRDefault="00F77212">
      <w:pPr>
        <w:tabs>
          <w:tab w:val="left" w:pos="1276"/>
        </w:tabs>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93D1107" w14:textId="77777777" w:rsidR="007A7615" w:rsidRDefault="00F77212">
      <w:pPr>
        <w:tabs>
          <w:tab w:val="left" w:pos="1276"/>
        </w:tabs>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XXXII. Protección de Datos Personales</w:t>
      </w:r>
      <w:r>
        <w:rPr>
          <w:rFonts w:ascii="Palatino Linotype" w:eastAsia="Palatino Linotype" w:hAnsi="Palatino Linotype" w:cs="Palatino Linotype"/>
          <w:i/>
        </w:rPr>
        <w:t>: Derecho humano que tutela la privacidad de datos personales en poder de los sujetos obligados y sujetos particulares;</w:t>
      </w:r>
    </w:p>
    <w:p w14:paraId="76C31CF8" w14:textId="77777777" w:rsidR="007A7615" w:rsidRDefault="00F77212">
      <w:pPr>
        <w:tabs>
          <w:tab w:val="left" w:pos="1276"/>
        </w:tabs>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63B57B8" w14:textId="77777777" w:rsidR="007A7615" w:rsidRDefault="00F77212">
      <w:pPr>
        <w:tabs>
          <w:tab w:val="left" w:pos="1276"/>
        </w:tabs>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14:paraId="1DA110FA"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Artículo 6</w:t>
      </w:r>
      <w:r>
        <w:rPr>
          <w:rFonts w:ascii="Palatino Linotype" w:eastAsia="Palatino Linotype" w:hAnsi="Palatino Linotype" w:cs="Palatino Linotype"/>
          <w:i/>
        </w:rPr>
        <w:t>. Los datos personales son irrenunciables, intransferibles e indelegables, por lo que los sujetos obligados no de</w:t>
      </w:r>
      <w:r>
        <w:rPr>
          <w:rFonts w:ascii="Palatino Linotype" w:eastAsia="Palatino Linotype" w:hAnsi="Palatino Linotype" w:cs="Palatino Linotype"/>
          <w:i/>
        </w:rPr>
        <w:t>berán proporcionar o hacer pública la información que contenga, con excepción de aquellos casos en que deban hacerlo en observancia de las disposiciones aplicables. En el caso de los derechos de acceso, rectificación, cancelación u oposición; los principio</w:t>
      </w:r>
      <w:r>
        <w:rPr>
          <w:rFonts w:ascii="Palatino Linotype" w:eastAsia="Palatino Linotype" w:hAnsi="Palatino Linotype" w:cs="Palatino Linotype"/>
          <w:i/>
        </w:rPr>
        <w:t xml:space="preserve">s, procedimientos, medidas de seguridad en el tratamiento y demás disposiciones en </w:t>
      </w:r>
      <w:r>
        <w:rPr>
          <w:rFonts w:ascii="Palatino Linotype" w:eastAsia="Palatino Linotype" w:hAnsi="Palatino Linotype" w:cs="Palatino Linotype"/>
          <w:i/>
        </w:rPr>
        <w:lastRenderedPageBreak/>
        <w:t>materia de datos personales, se deberá estar a lo dispuesto en las leyes de la materia.</w:t>
      </w:r>
    </w:p>
    <w:p w14:paraId="47150636"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C9C12B9"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91.</w:t>
      </w:r>
      <w:r>
        <w:rPr>
          <w:rFonts w:ascii="Palatino Linotype" w:eastAsia="Palatino Linotype" w:hAnsi="Palatino Linotype" w:cs="Palatino Linotype"/>
          <w:i/>
        </w:rPr>
        <w:t xml:space="preserve"> El acceso a la información pública será restringido excepcionalmente,</w:t>
      </w:r>
      <w:r>
        <w:rPr>
          <w:rFonts w:ascii="Palatino Linotype" w:eastAsia="Palatino Linotype" w:hAnsi="Palatino Linotype" w:cs="Palatino Linotype"/>
          <w:i/>
        </w:rPr>
        <w:t xml:space="preserve"> cuando ésta sea clasificada como reservada o confidencial.</w:t>
      </w:r>
      <w:r>
        <w:rPr>
          <w:rFonts w:ascii="Palatino Linotype" w:eastAsia="Palatino Linotype" w:hAnsi="Palatino Linotype" w:cs="Palatino Linotype"/>
          <w:i/>
        </w:rPr>
        <w:br/>
        <w:t>…</w:t>
      </w:r>
    </w:p>
    <w:p w14:paraId="5A86F329"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132.</w:t>
      </w:r>
      <w:r>
        <w:rPr>
          <w:rFonts w:ascii="Palatino Linotype" w:eastAsia="Palatino Linotype" w:hAnsi="Palatino Linotype" w:cs="Palatino Linotype"/>
          <w:i/>
        </w:rPr>
        <w:t xml:space="preserve"> La clasificación de la información se llevará a cabo en el momento en que:</w:t>
      </w:r>
    </w:p>
    <w:p w14:paraId="062B4F54" w14:textId="77777777" w:rsidR="007A7615" w:rsidRDefault="00F77212">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Se reciba una solicitud de acceso a la información;</w:t>
      </w:r>
    </w:p>
    <w:p w14:paraId="468EFE6A" w14:textId="77777777" w:rsidR="007A7615" w:rsidRDefault="00F77212">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 autoridad </w:t>
      </w:r>
      <w:r>
        <w:rPr>
          <w:rFonts w:ascii="Palatino Linotype" w:eastAsia="Palatino Linotype" w:hAnsi="Palatino Linotype" w:cs="Palatino Linotype"/>
          <w:i/>
        </w:rPr>
        <w:t>competente; o</w:t>
      </w:r>
    </w:p>
    <w:p w14:paraId="76C30B7C" w14:textId="77777777" w:rsidR="007A7615" w:rsidRDefault="00F77212">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esta Ley.</w:t>
      </w:r>
    </w:p>
    <w:p w14:paraId="339C923A"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w:t>
      </w:r>
    </w:p>
    <w:p w14:paraId="18A2906B"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137.</w:t>
      </w:r>
      <w:r>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w:t>
      </w:r>
      <w:r>
        <w:rPr>
          <w:rFonts w:ascii="Palatino Linotype" w:eastAsia="Palatino Linotype" w:hAnsi="Palatino Linotype" w:cs="Palatino Linotype"/>
          <w:i/>
        </w:rPr>
        <w:t>ecciones clasificadas, indicando su contenido de manera genérica y fundando y motivando su clasificación.</w:t>
      </w:r>
    </w:p>
    <w:p w14:paraId="2F8B0814"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Artículo 143.</w:t>
      </w:r>
      <w:r>
        <w:rPr>
          <w:rFonts w:ascii="Palatino Linotype" w:eastAsia="Palatino Linotype" w:hAnsi="Palatino Linotype" w:cs="Palatino Linotype"/>
          <w:i/>
        </w:rPr>
        <w:t xml:space="preserve"> Para los efectos de esta Ley se considera información confidencial, la clasificada como tal, de manera permanente, por su naturaleza, c</w:t>
      </w:r>
      <w:r>
        <w:rPr>
          <w:rFonts w:ascii="Palatino Linotype" w:eastAsia="Palatino Linotype" w:hAnsi="Palatino Linotype" w:cs="Palatino Linotype"/>
          <w:i/>
        </w:rPr>
        <w:t>uando:</w:t>
      </w:r>
    </w:p>
    <w:p w14:paraId="03C1AB61" w14:textId="77777777" w:rsidR="007A7615" w:rsidRDefault="00F77212">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37D85FFC"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w:t>
      </w:r>
      <w:r>
        <w:rPr>
          <w:rFonts w:ascii="Palatino Linotype" w:eastAsia="Palatino Linotype" w:hAnsi="Palatino Linotype" w:cs="Palatino Linotype"/>
        </w:rPr>
        <w:t xml:space="preserv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w:t>
      </w:r>
      <w:r>
        <w:rPr>
          <w:rFonts w:ascii="Palatino Linotype" w:eastAsia="Palatino Linotype" w:hAnsi="Palatino Linotype" w:cs="Palatino Linotype"/>
        </w:rPr>
        <w:t xml:space="preserve">tar los datos personales que se encuentre contenidos en los documentos a entregar para satisfacer el derecho de acceso a la información pública de la parte Recurrente, esto es, los datos concernientes a una persona identificada o identificable, o aquellos </w:t>
      </w:r>
      <w:r>
        <w:rPr>
          <w:rFonts w:ascii="Palatino Linotype" w:eastAsia="Palatino Linotype" w:hAnsi="Palatino Linotype" w:cs="Palatino Linotype"/>
        </w:rPr>
        <w:t xml:space="preserve">datos que tengan el carácter de sensibles, es decir los que afectan  la esfera más íntima de su titular o cuya utilización indebida pueda dar origen a discriminación o conlleven un riesgo grave </w:t>
      </w:r>
      <w:r>
        <w:rPr>
          <w:rFonts w:ascii="Palatino Linotype" w:eastAsia="Palatino Linotype" w:hAnsi="Palatino Linotype" w:cs="Palatino Linotype"/>
        </w:rPr>
        <w:lastRenderedPageBreak/>
        <w:t>para aquel de acuerdo a los que señala la fracción XII del art</w:t>
      </w:r>
      <w:r>
        <w:rPr>
          <w:rFonts w:ascii="Palatino Linotype" w:eastAsia="Palatino Linotype" w:hAnsi="Palatino Linotype" w:cs="Palatino Linotype"/>
        </w:rPr>
        <w:t>ículo 4 de la Ley de Protección de Datos Personales en posesión de Sujeto Obligados del Estado de México.</w:t>
      </w:r>
    </w:p>
    <w:p w14:paraId="02E725C9"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Datos que deberá clasificar como confidenciales por tratarse precisamente de información privada, puesto que los datos personales son irrenunciables, </w:t>
      </w:r>
      <w:r>
        <w:rPr>
          <w:rFonts w:ascii="Palatino Linotype" w:eastAsia="Palatino Linotype" w:hAnsi="Palatino Linotype" w:cs="Palatino Linotype"/>
        </w:rPr>
        <w:t>intransferibles e indelegables y los Sujetos Obligados no deberán hacer entrega de los mismos a personas ajenas a su titular.</w:t>
      </w:r>
    </w:p>
    <w:p w14:paraId="78A13E52"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caso específico, la información solicitada puede contener datos susceptibles de clasificarse, que de hacerse públicos afecta</w:t>
      </w:r>
      <w:r>
        <w:rPr>
          <w:rFonts w:ascii="Palatino Linotype" w:eastAsia="Palatino Linotype" w:hAnsi="Palatino Linotype" w:cs="Palatino Linotype"/>
        </w:rPr>
        <w:t>rían la intimidad y vida privada de particulares; que se ha reiterado en las resoluciones de este Pleno que además de los datos especificados en la Ley de Transparencia y Acceso a la Información Pública del Estado de México y Municipios, se consideran conf</w:t>
      </w:r>
      <w:r>
        <w:rPr>
          <w:rFonts w:ascii="Palatino Linotype" w:eastAsia="Palatino Linotype" w:hAnsi="Palatino Linotype" w:cs="Palatino Linotype"/>
        </w:rPr>
        <w:t>idenciales cuyo acceso debe ser restringido, los cuales deben testarse al momento de la elaboración de versiones públicas, como pudieran ser de manera enunciativa más no limitativa, clave de elector, numero de OCR, CURP, el número de cuenta bancaria, que s</w:t>
      </w:r>
      <w:r>
        <w:rPr>
          <w:rFonts w:ascii="Palatino Linotype" w:eastAsia="Palatino Linotype" w:hAnsi="Palatino Linotype" w:cs="Palatino Linotype"/>
        </w:rPr>
        <w:t>ean exclusivamente de particulares, entre otros.</w:t>
      </w:r>
    </w:p>
    <w:p w14:paraId="5CE0D9BC"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La </w:t>
      </w:r>
      <w:r>
        <w:rPr>
          <w:rFonts w:ascii="Palatino Linotype" w:eastAsia="Palatino Linotype" w:hAnsi="Palatino Linotype" w:cs="Palatino Linotype"/>
          <w:b/>
        </w:rPr>
        <w:t>clave de elector</w:t>
      </w:r>
      <w:r>
        <w:rPr>
          <w:rFonts w:ascii="Palatino Linotype" w:eastAsia="Palatino Linotype" w:hAnsi="Palatino Linotype" w:cs="Palatino Linotype"/>
        </w:rPr>
        <w:t>, es la composición alfanumérica compuesta de 18 caracteres, mismos que hacen identificable a una persona física, que se conforma por las primeras letras de los apellidos, año, mes, día, s</w:t>
      </w:r>
      <w:r>
        <w:rPr>
          <w:rFonts w:ascii="Palatino Linotype" w:eastAsia="Palatino Linotype" w:hAnsi="Palatino Linotype" w:cs="Palatino Linotype"/>
        </w:rPr>
        <w:t xml:space="preserve">exo, clave del estado en donde nació su titular, así como una </w:t>
      </w:r>
      <w:proofErr w:type="spellStart"/>
      <w:r>
        <w:rPr>
          <w:rFonts w:ascii="Palatino Linotype" w:eastAsia="Palatino Linotype" w:hAnsi="Palatino Linotype" w:cs="Palatino Linotype"/>
        </w:rPr>
        <w:t>homoclave</w:t>
      </w:r>
      <w:proofErr w:type="spellEnd"/>
      <w:r>
        <w:rPr>
          <w:rFonts w:ascii="Palatino Linotype" w:eastAsia="Palatino Linotype" w:hAnsi="Palatino Linotype" w:cs="Palatino Linotype"/>
        </w:rPr>
        <w:t xml:space="preserve"> que distingue a su titular de cualquier otro homónimo, por lo tanto, se trata de un dato personal que debe ser protegido.</w:t>
      </w:r>
    </w:p>
    <w:p w14:paraId="390DDB23"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número de OCR,</w:t>
      </w:r>
      <w:r>
        <w:rPr>
          <w:rFonts w:ascii="Palatino Linotype" w:eastAsia="Palatino Linotype" w:hAnsi="Palatino Linotype" w:cs="Palatino Linotype"/>
        </w:rPr>
        <w:t xml:space="preserve"> denominado Reconocimiento Óptico de Caracter</w:t>
      </w:r>
      <w:r>
        <w:rPr>
          <w:rFonts w:ascii="Palatino Linotype" w:eastAsia="Palatino Linotype" w:hAnsi="Palatino Linotype" w:cs="Palatino Linotype"/>
        </w:rPr>
        <w:t xml:space="preserve">es (OCR), contiene el número de la sección electoral en donde vota el ciudadano titular de dicho documento, por lo que constituye un dato personal en razón de que revela información concerniente a una persona física identificada o identificable en función </w:t>
      </w:r>
      <w:r>
        <w:rPr>
          <w:rFonts w:ascii="Palatino Linotype" w:eastAsia="Palatino Linotype" w:hAnsi="Palatino Linotype" w:cs="Palatino Linotype"/>
        </w:rPr>
        <w:t xml:space="preserve">de la información </w:t>
      </w:r>
      <w:proofErr w:type="spellStart"/>
      <w:r>
        <w:rPr>
          <w:rFonts w:ascii="Palatino Linotype" w:eastAsia="Palatino Linotype" w:hAnsi="Palatino Linotype" w:cs="Palatino Linotype"/>
        </w:rPr>
        <w:t>geoelectoral</w:t>
      </w:r>
      <w:proofErr w:type="spellEnd"/>
      <w:r>
        <w:rPr>
          <w:rFonts w:ascii="Palatino Linotype" w:eastAsia="Palatino Linotype" w:hAnsi="Palatino Linotype" w:cs="Palatino Linotype"/>
        </w:rPr>
        <w:t xml:space="preserve"> ahí contenida, por lo que es susceptible de resguardarse.</w:t>
      </w:r>
    </w:p>
    <w:p w14:paraId="639C9F63"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La </w:t>
      </w:r>
      <w:r>
        <w:rPr>
          <w:rFonts w:ascii="Palatino Linotype" w:eastAsia="Palatino Linotype" w:hAnsi="Palatino Linotype" w:cs="Palatino Linotype"/>
          <w:b/>
        </w:rPr>
        <w:t>clave única del registro de población,</w:t>
      </w:r>
      <w:r>
        <w:rPr>
          <w:rFonts w:ascii="Palatino Linotype" w:eastAsia="Palatino Linotype" w:hAnsi="Palatino Linotype" w:cs="Palatino Linotype"/>
          <w:i/>
        </w:rPr>
        <w:t xml:space="preserve"> </w:t>
      </w:r>
      <w:r>
        <w:rPr>
          <w:rFonts w:ascii="Palatino Linotype" w:eastAsia="Palatino Linotype" w:hAnsi="Palatino Linotype" w:cs="Palatino Linotype"/>
        </w:rPr>
        <w:t>se integra por datos personales que sólo conciernen al particular titular de la misma, como lo son su nombre, apellidos, fecha de nacimiento, lugar de nacimiento y sexo. Dichos datos, constituyen información que distingue plenamente a una persona física de</w:t>
      </w:r>
      <w:r>
        <w:rPr>
          <w:rFonts w:ascii="Palatino Linotype" w:eastAsia="Palatino Linotype" w:hAnsi="Palatino Linotype" w:cs="Palatino Linotype"/>
        </w:rPr>
        <w:t>l resto de los habitantes del país, por lo está considerada como información confidencial.</w:t>
      </w:r>
    </w:p>
    <w:p w14:paraId="0A9B725C"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resulta importante destacar que el </w:t>
      </w:r>
      <w:r>
        <w:rPr>
          <w:rFonts w:ascii="Palatino Linotype" w:eastAsia="Palatino Linotype" w:hAnsi="Palatino Linotype" w:cs="Palatino Linotype"/>
          <w:i/>
        </w:rPr>
        <w:t>número de cuenta bancaria</w:t>
      </w:r>
      <w:r>
        <w:rPr>
          <w:rFonts w:ascii="Palatino Linotype" w:eastAsia="Palatino Linotype" w:hAnsi="Palatino Linotype" w:cs="Palatino Linotype"/>
        </w:rPr>
        <w:t xml:space="preserve"> de las personas físicas es información que sólo su titular o personas autorizadas poseen par</w:t>
      </w:r>
      <w:r>
        <w:rPr>
          <w:rFonts w:ascii="Palatino Linotype" w:eastAsia="Palatino Linotype" w:hAnsi="Palatino Linotype" w:cs="Palatino Linotype"/>
        </w:rPr>
        <w:t>a el acceso o consulta de información patrimonial, o para la realización de operaciones bancarias de diversa naturaleza, por lo que la difusión pública del mismo facilitaría la afectación al patrimonio del titular de la cuenta.</w:t>
      </w:r>
    </w:p>
    <w:p w14:paraId="087EDB4A"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Por lo anterior, el número d</w:t>
      </w:r>
      <w:r>
        <w:rPr>
          <w:rFonts w:ascii="Palatino Linotype" w:eastAsia="Palatino Linotype" w:hAnsi="Palatino Linotype" w:cs="Palatino Linotype"/>
        </w:rPr>
        <w:t>e cuenta bancaria debe ser clasificado como confidencial con fundamento en las fracciones I y II del artículo 143 de la Ley de la Materia de la Entidad; en razón de que, con su difusión se estaría poniendo en riesgo la seguridad de su titular.</w:t>
      </w:r>
    </w:p>
    <w:p w14:paraId="05AF4B47"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Además de qu</w:t>
      </w:r>
      <w:r>
        <w:rPr>
          <w:rFonts w:ascii="Palatino Linotype" w:eastAsia="Palatino Linotype" w:hAnsi="Palatino Linotype" w:cs="Palatino Linotype"/>
        </w:rPr>
        <w:t>e, la publicidad de los números de cuenta bancaria de los particulares en nada contribuye a la rendición de cuentas, sino por el contrario, dar a conocer los números de las cuentas bancarias hace vulnerable a las personas físicas, al abrir la posibilidad d</w:t>
      </w:r>
      <w:r>
        <w:rPr>
          <w:rFonts w:ascii="Palatino Linotype" w:eastAsia="Palatino Linotype" w:hAnsi="Palatino Linotype" w:cs="Palatino Linotype"/>
        </w:rPr>
        <w:t>e que terceros que cuenten con las posibilidades tecnológicas y/o económicas puedan realizar actos ilícitos mediante operaciones cibernéticas; en esa virtud, este Instituto determina que dicha información no puede ser del dominio público, toda vez que se p</w:t>
      </w:r>
      <w:r>
        <w:rPr>
          <w:rFonts w:ascii="Palatino Linotype" w:eastAsia="Palatino Linotype" w:hAnsi="Palatino Linotype" w:cs="Palatino Linotype"/>
        </w:rPr>
        <w:t xml:space="preserve">odría dar un uso inadecuado a la misma o cometer algún ilícito o fraude en contra del patrimonio de los particulares. </w:t>
      </w:r>
    </w:p>
    <w:p w14:paraId="30E78869"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En esa virtud, este Pleno determina que dicha información no puede ser del dominio público, toda vez que se podría dar un uso inadecuado </w:t>
      </w:r>
      <w:r>
        <w:rPr>
          <w:rFonts w:ascii="Palatino Linotype" w:eastAsia="Palatino Linotype" w:hAnsi="Palatino Linotype" w:cs="Palatino Linotype"/>
        </w:rPr>
        <w:t xml:space="preserve">a la misma o cometer algún ilícito o fraude como ya ha sido expuesto. </w:t>
      </w:r>
    </w:p>
    <w:p w14:paraId="3D68DEAA"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Es por esta razón que se debe omitir el o los números de cuentas bancarias de particulares en las versiones públicas que de las facturas se hagan, para ser entregadas.</w:t>
      </w:r>
    </w:p>
    <w:p w14:paraId="7B32F446"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no e</w:t>
      </w:r>
      <w:r>
        <w:rPr>
          <w:rFonts w:ascii="Palatino Linotype" w:eastAsia="Palatino Linotype" w:hAnsi="Palatino Linotype" w:cs="Palatino Linotype"/>
        </w:rPr>
        <w:t>s así tratándose de las cuentas bancarias o claves interbancarias de los Sujetos Obligados ya que su publicidad cede a la rendición de cuentas al transparentar la forma en que son administrados los recursos públicos.</w:t>
      </w:r>
    </w:p>
    <w:p w14:paraId="6CD21D6F"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argumentado encuentra sustento en lo</w:t>
      </w:r>
      <w:r>
        <w:rPr>
          <w:rFonts w:ascii="Palatino Linotype" w:eastAsia="Palatino Linotype" w:hAnsi="Palatino Linotype" w:cs="Palatino Linotype"/>
        </w:rPr>
        <w:t>s criterios 10/17 y 11/17 emitidos por el Instituto Nacional de Transparencia, Acceso a la Información y Protección de Datos Personales, INAI, que llevan por rubro y texto los siguientes:</w:t>
      </w:r>
    </w:p>
    <w:p w14:paraId="53C01CD7" w14:textId="77777777" w:rsidR="007A7615" w:rsidRDefault="00F77212">
      <w:pPr>
        <w:spacing w:before="240" w:after="24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“Cuentas bancarias y/o CLABE interbancaria de personas físicas y mor</w:t>
      </w:r>
      <w:r>
        <w:rPr>
          <w:rFonts w:ascii="Palatino Linotype" w:eastAsia="Palatino Linotype" w:hAnsi="Palatino Linotype" w:cs="Palatino Linotype"/>
          <w:b/>
          <w:i/>
        </w:rPr>
        <w:t>ales privadas.</w:t>
      </w:r>
      <w:r>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w:t>
      </w:r>
      <w:r>
        <w:rPr>
          <w:rFonts w:ascii="Palatino Linotype" w:eastAsia="Palatino Linotype" w:hAnsi="Palatino Linotype" w:cs="Palatino Linotype"/>
          <w:i/>
        </w:rPr>
        <w:t xml:space="preserve"> de los cuales se puede acceder a información relacionada con su patrimonio y realizar diversas transacciones; por tanto, constituye información clasificada con fundamento en los artículos 116 de la Ley General de Transparencia y Acceso a la Información Pú</w:t>
      </w:r>
      <w:r>
        <w:rPr>
          <w:rFonts w:ascii="Palatino Linotype" w:eastAsia="Palatino Linotype" w:hAnsi="Palatino Linotype" w:cs="Palatino Linotype"/>
          <w:i/>
        </w:rPr>
        <w:t>blica y 113 de la Ley Federal de Transparencia y Acceso a la Información Pública.</w:t>
      </w:r>
    </w:p>
    <w:p w14:paraId="0C1F4524" w14:textId="77777777" w:rsidR="007A7615" w:rsidRDefault="00F77212">
      <w:pPr>
        <w:spacing w:before="240" w:after="24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Cuentas bancarias y/o CLABE interbancaria de sujetos obligados que reciben y/o transfieren recursos públicos, son información pública</w:t>
      </w:r>
      <w:r>
        <w:rPr>
          <w:rFonts w:ascii="Palatino Linotype" w:eastAsia="Palatino Linotype" w:hAnsi="Palatino Linotype" w:cs="Palatino Linotype"/>
          <w:i/>
        </w:rPr>
        <w:t xml:space="preserve">. La difusión de las cuentas bancarias y </w:t>
      </w:r>
      <w:r>
        <w:rPr>
          <w:rFonts w:ascii="Palatino Linotype" w:eastAsia="Palatino Linotype" w:hAnsi="Palatino Linotype" w:cs="Palatino Linotype"/>
          <w:i/>
        </w:rPr>
        <w:t>claves interbancarias pertenecientes a un sujeto obligado favorece la rendición de cuentas al transparentar la forma en que se administran los recursos públicos, razón por la cual no pueden considerarse como información clasificada.”</w:t>
      </w:r>
    </w:p>
    <w:p w14:paraId="26AC322C"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w:t>
      </w:r>
      <w:r>
        <w:rPr>
          <w:rFonts w:ascii="Palatino Linotype" w:eastAsia="Palatino Linotype" w:hAnsi="Palatino Linotype" w:cs="Palatino Linotype"/>
          <w:b/>
        </w:rPr>
        <w:t xml:space="preserve">istro Federal de Contribuyentes (RFC) </w:t>
      </w:r>
      <w:r>
        <w:rPr>
          <w:rFonts w:ascii="Palatino Linotype" w:eastAsia="Palatino Linotype" w:hAnsi="Palatino Linotype" w:cs="Palatino Linotype"/>
        </w:rPr>
        <w:t>y</w:t>
      </w:r>
      <w:r>
        <w:rPr>
          <w:rFonts w:ascii="Palatino Linotype" w:eastAsia="Palatino Linotype" w:hAnsi="Palatino Linotype" w:cs="Palatino Linotype"/>
          <w:b/>
        </w:rPr>
        <w:t xml:space="preserve"> el domicilio fiscal </w:t>
      </w:r>
      <w:r>
        <w:rPr>
          <w:rFonts w:ascii="Palatino Linotype" w:eastAsia="Palatino Linotype" w:hAnsi="Palatino Linotype" w:cs="Palatino Linotype"/>
        </w:rPr>
        <w:t>si bien este Instituto ha sostenido que el RFC y domicilio de las personas físicas debe ser testado por los Sujetos Obligados, en las versiones públicas de los documentos que elaboren para atender</w:t>
      </w:r>
      <w:r>
        <w:rPr>
          <w:rFonts w:ascii="Palatino Linotype" w:eastAsia="Palatino Linotype" w:hAnsi="Palatino Linotype" w:cs="Palatino Linotype"/>
        </w:rPr>
        <w:t xml:space="preserve"> las solicitudes de información pública, lo cierto es que, tratándose de proveedores, prestadores de servicios o contratistas, dichos datos no deben ser suprimidos de las facturas y contratos que vayan a ser entregados.</w:t>
      </w:r>
    </w:p>
    <w:p w14:paraId="370D8F63"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Ello se debe a que, del ejercicio de</w:t>
      </w:r>
      <w:r>
        <w:rPr>
          <w:rFonts w:ascii="Palatino Linotype" w:eastAsia="Palatino Linotype" w:hAnsi="Palatino Linotype" w:cs="Palatino Linotype"/>
        </w:rPr>
        <w:t xml:space="preserve"> ponderación entre el derecho a la protección de datos personales con el derecho de acceso a la información pública, es de mayor trascendencia el que cualquier persona pueda conocer en qué se gastan los recursos públicos, puesto que se trata de erogaciones</w:t>
      </w:r>
      <w:r>
        <w:rPr>
          <w:rFonts w:ascii="Palatino Linotype" w:eastAsia="Palatino Linotype" w:hAnsi="Palatino Linotype" w:cs="Palatino Linotype"/>
        </w:rPr>
        <w:t xml:space="preserve"> que realiza un órgano del Estado con base en los recursos que encuentran su origen en mayor medida en las contribuciones aportados por los gobernados, por lo que debe transparentarse su ejercicio.</w:t>
      </w:r>
    </w:p>
    <w:p w14:paraId="1E4294CB"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Además, las personas físicas que realicen las actividades </w:t>
      </w:r>
      <w:r>
        <w:rPr>
          <w:rFonts w:ascii="Palatino Linotype" w:eastAsia="Palatino Linotype" w:hAnsi="Palatino Linotype" w:cs="Palatino Linotype"/>
        </w:rPr>
        <w:t xml:space="preserve">contratadas por las instituciones, renuncian implícitamente a una parte de su derecho a la intimidad al obtener beneficios y lucros de los recursos públicos por dicha contratación, por lo que </w:t>
      </w:r>
      <w:r>
        <w:rPr>
          <w:rFonts w:ascii="Palatino Linotype" w:eastAsia="Palatino Linotype" w:hAnsi="Palatino Linotype" w:cs="Palatino Linotype"/>
          <w:b/>
        </w:rPr>
        <w:t>no puede considerarse como información clasificada lo relativo a</w:t>
      </w:r>
      <w:r>
        <w:rPr>
          <w:rFonts w:ascii="Palatino Linotype" w:eastAsia="Palatino Linotype" w:hAnsi="Palatino Linotype" w:cs="Palatino Linotype"/>
          <w:b/>
        </w:rPr>
        <w:t xml:space="preserve"> su nombre, registro federal de contribuyentes y domicilio fiscal</w:t>
      </w:r>
      <w:r>
        <w:rPr>
          <w:rFonts w:ascii="Palatino Linotype" w:eastAsia="Palatino Linotype" w:hAnsi="Palatino Linotype" w:cs="Palatino Linotype"/>
        </w:rPr>
        <w:t>, atento a que dicha información es la que puede generar certeza en los gobernados en que se está ejerciendo debidamente el presupuesto.</w:t>
      </w:r>
    </w:p>
    <w:p w14:paraId="7B5302B0"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orientador 04/21 emi</w:t>
      </w:r>
      <w:r>
        <w:rPr>
          <w:rFonts w:ascii="Palatino Linotype" w:eastAsia="Palatino Linotype" w:hAnsi="Palatino Linotype" w:cs="Palatino Linotype"/>
        </w:rPr>
        <w:t>tido por el Instituto Nacional de Transparencia, Acceso a la Información y Protección de Datos Personales, INAI, el cual refiere:</w:t>
      </w:r>
    </w:p>
    <w:p w14:paraId="3A9B1D10"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“Registro Federal de Contribuyentes (RFC) de personas físicas proveedoras o contratistas. </w:t>
      </w:r>
      <w:r>
        <w:rPr>
          <w:rFonts w:ascii="Palatino Linotype" w:eastAsia="Palatino Linotype" w:hAnsi="Palatino Linotype" w:cs="Palatino Linotype"/>
          <w:i/>
        </w:rPr>
        <w:t>El RFC de contratistas o proveedores</w:t>
      </w:r>
      <w:r>
        <w:rPr>
          <w:rFonts w:ascii="Palatino Linotype" w:eastAsia="Palatino Linotype" w:hAnsi="Palatino Linotype" w:cs="Palatino Linotype"/>
          <w:i/>
        </w:rPr>
        <w:t xml:space="preserve"> de los sujetos obligados debe ser público, </w:t>
      </w:r>
      <w:proofErr w:type="gramStart"/>
      <w:r>
        <w:rPr>
          <w:rFonts w:ascii="Palatino Linotype" w:eastAsia="Palatino Linotype" w:hAnsi="Palatino Linotype" w:cs="Palatino Linotype"/>
          <w:i/>
        </w:rPr>
        <w:t>ya que</w:t>
      </w:r>
      <w:proofErr w:type="gramEnd"/>
      <w:r>
        <w:rPr>
          <w:rFonts w:ascii="Palatino Linotype" w:eastAsia="Palatino Linotype" w:hAnsi="Palatino Linotype" w:cs="Palatino Linotype"/>
          <w:i/>
        </w:rPr>
        <w:t xml:space="preserve"> al tratarse de personas con contrataciones públicas, su difusión favorece la transparencia con la que deben administrarse los recursos públicos, en términos del artículo 134 de la Constitución Política de </w:t>
      </w:r>
      <w:r>
        <w:rPr>
          <w:rFonts w:ascii="Palatino Linotype" w:eastAsia="Palatino Linotype" w:hAnsi="Palatino Linotype" w:cs="Palatino Linotype"/>
          <w:i/>
        </w:rPr>
        <w:t>los Estados Unidos Mexicanos.”</w:t>
      </w:r>
    </w:p>
    <w:p w14:paraId="6BB6C3DB"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Relacionado con lo anterior, el </w:t>
      </w:r>
      <w:r>
        <w:rPr>
          <w:rFonts w:ascii="Palatino Linotype" w:eastAsia="Palatino Linotype" w:hAnsi="Palatino Linotype" w:cs="Palatino Linotype"/>
          <w:b/>
        </w:rPr>
        <w:t>nombre de las personas físicas</w:t>
      </w:r>
      <w:r>
        <w:rPr>
          <w:rFonts w:ascii="Palatino Linotype" w:eastAsia="Palatino Linotype" w:hAnsi="Palatino Linotype" w:cs="Palatino Linotype"/>
        </w:rPr>
        <w:t xml:space="preserve"> o los </w:t>
      </w:r>
      <w:r>
        <w:rPr>
          <w:rFonts w:ascii="Palatino Linotype" w:eastAsia="Palatino Linotype" w:hAnsi="Palatino Linotype" w:cs="Palatino Linotype"/>
          <w:b/>
        </w:rPr>
        <w:t>representantes legales de las personas morales</w:t>
      </w:r>
      <w:r>
        <w:rPr>
          <w:rFonts w:ascii="Palatino Linotype" w:eastAsia="Palatino Linotype" w:hAnsi="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w:t>
      </w:r>
      <w:r>
        <w:rPr>
          <w:rFonts w:ascii="Palatino Linotype" w:eastAsia="Palatino Linotype" w:hAnsi="Palatino Linotype" w:cs="Palatino Linotype"/>
        </w:rPr>
        <w:t xml:space="preserve">fracción XVIII  de la Ley de Transparencia y Acceso a la Información Pública del Estado de México y Municipios, los entes públicos tienen la obligación de difundir toda </w:t>
      </w:r>
      <w:r>
        <w:rPr>
          <w:rFonts w:ascii="Palatino Linotype" w:eastAsia="Palatino Linotype" w:hAnsi="Palatino Linotype" w:cs="Palatino Linotype"/>
        </w:rPr>
        <w:lastRenderedPageBreak/>
        <w:t>aquella información relativa a los montos y las personas a quienes entreguen, por cualq</w:t>
      </w:r>
      <w:r>
        <w:rPr>
          <w:rFonts w:ascii="Palatino Linotype" w:eastAsia="Palatino Linotype" w:hAnsi="Palatino Linotype" w:cs="Palatino Linotype"/>
        </w:rPr>
        <w:t>uier motivo, recursos públicos, así como los informes que dichas personas entreguen sobre el uso y destino de dichos recursos, motivo por el cual los datos del representante legal de la persona moral que resultó favorecida con el procedimiento de licitació</w:t>
      </w:r>
      <w:r>
        <w:rPr>
          <w:rFonts w:ascii="Palatino Linotype" w:eastAsia="Palatino Linotype" w:hAnsi="Palatino Linotype" w:cs="Palatino Linotype"/>
        </w:rPr>
        <w:t>n no conservan el carácter de confidencial y por tanto no deben ser testados.</w:t>
      </w:r>
    </w:p>
    <w:p w14:paraId="5D84889D"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Argumentación que guarda sustento en lo estipulado por el artículo 23 de la Ley de Transparencia y Acceso a la Información Pública del Estado de México y Municipios en su penúlti</w:t>
      </w:r>
      <w:r>
        <w:rPr>
          <w:rFonts w:ascii="Palatino Linotype" w:eastAsia="Palatino Linotype" w:hAnsi="Palatino Linotype" w:cs="Palatino Linotype"/>
        </w:rPr>
        <w:t>mo párrafo, mismo que es del tenor literal siguiente:</w:t>
      </w:r>
    </w:p>
    <w:p w14:paraId="4079EA25"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23.</w:t>
      </w:r>
      <w:r>
        <w:rPr>
          <w:rFonts w:ascii="Palatino Linotype" w:eastAsia="Palatino Linotype" w:hAnsi="Palatino Linotype" w:cs="Palatino Linotype"/>
          <w:i/>
        </w:rPr>
        <w:t xml:space="preserve"> (…)</w:t>
      </w:r>
    </w:p>
    <w:p w14:paraId="201851A1"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deberán hacer pública toda aquella información relativa a los montos y las personas a quienes entreguen, por cualquier motivo, recursos públicos, así como los inf</w:t>
      </w:r>
      <w:r>
        <w:rPr>
          <w:rFonts w:ascii="Palatino Linotype" w:eastAsia="Palatino Linotype" w:hAnsi="Palatino Linotype" w:cs="Palatino Linotype"/>
          <w:i/>
        </w:rPr>
        <w:t>ormes que dichas personas les entreguen sobre el uso y destino de dichos recursos.”</w:t>
      </w:r>
    </w:p>
    <w:p w14:paraId="60004C34" w14:textId="77777777" w:rsidR="007A7615" w:rsidRDefault="00F77212">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resulta aplicable el contenido del criterio de interpretación 01/19 emitido por el Instituto Nacional de Transparencia, Acceso a la Información, y Protección de D</w:t>
      </w:r>
      <w:r>
        <w:rPr>
          <w:rFonts w:ascii="Palatino Linotype" w:eastAsia="Palatino Linotype" w:hAnsi="Palatino Linotype" w:cs="Palatino Linotype"/>
        </w:rPr>
        <w:t>atos Personales, INAI, que lleva por rubro y texto los siguientes;</w:t>
      </w:r>
    </w:p>
    <w:p w14:paraId="06784202"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“Datos de identificación del representante o apoderado legal.</w:t>
      </w:r>
      <w:r>
        <w:rPr>
          <w:rFonts w:ascii="Palatino Linotype" w:eastAsia="Palatino Linotype" w:hAnsi="Palatino Linotype" w:cs="Palatino Linotype"/>
          <w:i/>
        </w:rPr>
        <w:t xml:space="preserve"> </w:t>
      </w:r>
      <w:r>
        <w:rPr>
          <w:rFonts w:ascii="Palatino Linotype" w:eastAsia="Palatino Linotype" w:hAnsi="Palatino Linotype" w:cs="Palatino Linotype"/>
          <w:b/>
          <w:i/>
        </w:rPr>
        <w:t xml:space="preserve">Naturaleza jurídica. </w:t>
      </w:r>
      <w:r>
        <w:rPr>
          <w:rFonts w:ascii="Palatino Linotype" w:eastAsia="Palatino Linotype" w:hAnsi="Palatino Linotype" w:cs="Palatino Linotype"/>
          <w:i/>
        </w:rPr>
        <w:t xml:space="preserve">El nombre, la firma y la rúbrica de una persona física, que actúe como representante o apoderado legal de un tercero que haya celebrado un acto jurídico, con algún sujeto obligado, </w:t>
      </w:r>
      <w:r>
        <w:rPr>
          <w:rFonts w:ascii="Palatino Linotype" w:eastAsia="Palatino Linotype" w:hAnsi="Palatino Linotype" w:cs="Palatino Linotype"/>
          <w:b/>
          <w:i/>
        </w:rPr>
        <w:t>es información pública, en razón de que tales datos fueron proporcionados c</w:t>
      </w:r>
      <w:r>
        <w:rPr>
          <w:rFonts w:ascii="Palatino Linotype" w:eastAsia="Palatino Linotype" w:hAnsi="Palatino Linotype" w:cs="Palatino Linotype"/>
          <w:b/>
          <w:i/>
        </w:rPr>
        <w:t>on el objeto de expresar el consentimiento obligacional del tercero y otorgar validez a dicho instrumento jurídico</w:t>
      </w:r>
      <w:r>
        <w:rPr>
          <w:rFonts w:ascii="Palatino Linotype" w:eastAsia="Palatino Linotype" w:hAnsi="Palatino Linotype" w:cs="Palatino Linotype"/>
          <w:i/>
        </w:rPr>
        <w:t>.”</w:t>
      </w:r>
    </w:p>
    <w:p w14:paraId="4E88F568" w14:textId="77777777" w:rsidR="007A7615" w:rsidRDefault="00F77212">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En tal contexto, es de señalar que la clasificación de la información no opera con la simple supresión de datos que se haga en los document</w:t>
      </w:r>
      <w:r>
        <w:rPr>
          <w:rFonts w:ascii="Palatino Linotype" w:eastAsia="Palatino Linotype" w:hAnsi="Palatino Linotype" w:cs="Palatino Linotype"/>
        </w:rPr>
        <w:t xml:space="preserve">os de que se trate o con la simple decisión que tome el Servidor Público Habilitado o el </w:t>
      </w:r>
      <w:proofErr w:type="gramStart"/>
      <w:r>
        <w:rPr>
          <w:rFonts w:ascii="Palatino Linotype" w:eastAsia="Palatino Linotype" w:hAnsi="Palatino Linotype" w:cs="Palatino Linotype"/>
        </w:rPr>
        <w:t>Responsable</w:t>
      </w:r>
      <w:proofErr w:type="gramEnd"/>
      <w:r>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w:t>
      </w:r>
      <w:r>
        <w:rPr>
          <w:rFonts w:ascii="Palatino Linotype" w:eastAsia="Palatino Linotype" w:hAnsi="Palatino Linotype" w:cs="Palatino Linotype"/>
        </w:rPr>
        <w:t>ión X y 59, fracción V, de la Ley en consulta, cuyo sentido literal es el siguiente:</w:t>
      </w:r>
    </w:p>
    <w:p w14:paraId="773B76D6"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14:paraId="3F4AEAB3" w14:textId="77777777" w:rsidR="007A7615" w:rsidRDefault="00F77212">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14:paraId="381AB1B7"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w:t>
      </w:r>
      <w:r>
        <w:rPr>
          <w:rFonts w:ascii="Palatino Linotype" w:eastAsia="Palatino Linotype" w:hAnsi="Palatino Linotype" w:cs="Palatino Linotype"/>
          <w:b/>
          <w:i/>
        </w:rPr>
        <w:t>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14:paraId="73208767" w14:textId="77777777" w:rsidR="007A7615" w:rsidRDefault="00F77212">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14:paraId="41F77706"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14:paraId="4D9DFDB7" w14:textId="77777777" w:rsidR="007A7615" w:rsidRDefault="00F77212">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w:t>
      </w:r>
      <w:r>
        <w:rPr>
          <w:rFonts w:ascii="Palatino Linotype" w:eastAsia="Palatino Linotype" w:hAnsi="Palatino Linotype" w:cs="Palatino Linotype"/>
          <w:b/>
          <w:i/>
        </w:rPr>
        <w:t>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w:t>
      </w:r>
    </w:p>
    <w:p w14:paraId="411B3BD5"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w:t>
      </w:r>
      <w:r>
        <w:rPr>
          <w:rFonts w:ascii="Palatino Linotype" w:eastAsia="Palatino Linotype" w:hAnsi="Palatino Linotype" w:cs="Palatino Linotype"/>
        </w:rPr>
        <w:t xml:space="preserve"> trabajo en conjunto tanto de los Servidores Públicos Habilitados, de las Unidades de Transparencia y del Comité de Transparencia del Sujeto Obligado, teniendo el deber los primeros de ellos de presentar ante la Unidad de Transparencia la propuesta de la c</w:t>
      </w:r>
      <w:r>
        <w:rPr>
          <w:rFonts w:ascii="Palatino Linotype" w:eastAsia="Palatino Linotype" w:hAnsi="Palatino Linotype" w:cs="Palatino Linotype"/>
        </w:rPr>
        <w:t>lasificación de la información, para que luego ésta presente ante al Comité de Transparencia de así resultar procedente el proyecto de clasificación de la información y finalmente sea éste último quien apruebe, modifique o revoque la clasificación de la in</w:t>
      </w:r>
      <w:r>
        <w:rPr>
          <w:rFonts w:ascii="Palatino Linotype" w:eastAsia="Palatino Linotype" w:hAnsi="Palatino Linotype" w:cs="Palatino Linotype"/>
        </w:rPr>
        <w:t>formación solicitada.</w:t>
      </w:r>
    </w:p>
    <w:p w14:paraId="4CD338DD"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5E3951FF"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w:t>
      </w:r>
      <w:r>
        <w:rPr>
          <w:rFonts w:ascii="Palatino Linotype" w:eastAsia="Palatino Linotype" w:hAnsi="Palatino Linotype" w:cs="Palatino Linotype"/>
          <w:b/>
          <w:i/>
        </w:rPr>
        <w:t>formación como confidencial</w:t>
      </w:r>
      <w:r>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14:paraId="580B8A10" w14:textId="77777777" w:rsidR="007A7615" w:rsidRDefault="00F77212">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w:t>
      </w:r>
      <w:r>
        <w:rPr>
          <w:rFonts w:ascii="Palatino Linotype" w:eastAsia="Palatino Linotype" w:hAnsi="Palatino Linotype" w:cs="Palatino Linotype"/>
        </w:rPr>
        <w:t xml:space="preserve"> deberá elaborar acuerdo que contenga un razonamiento lógico con el que se demuestre que la información que se testa de las versiones públicas que se sirva elaborar, encuadra en alguna de las </w:t>
      </w:r>
      <w:r>
        <w:rPr>
          <w:rFonts w:ascii="Palatino Linotype" w:eastAsia="Palatino Linotype" w:hAnsi="Palatino Linotype" w:cs="Palatino Linotype"/>
        </w:rPr>
        <w:lastRenderedPageBreak/>
        <w:t>hipótesis que contempla la Ley de la Materia en su artículo 143;</w:t>
      </w:r>
      <w:r>
        <w:rPr>
          <w:rFonts w:ascii="Palatino Linotype" w:eastAsia="Palatino Linotype" w:hAnsi="Palatino Linotype" w:cs="Palatino Linotype"/>
        </w:rPr>
        <w:t xml:space="preserve"> ya que de lo contrario, se crearía la incertidumbre jurídica en relación a si lo entregado es formalmente una versión pública, o un documento ilegible, incompleto o tachado; en otras palabras si no se exponen de manera puntual las razones de la versión pú</w:t>
      </w:r>
      <w:r>
        <w:rPr>
          <w:rFonts w:ascii="Palatino Linotype" w:eastAsia="Palatino Linotype" w:hAnsi="Palatino Linotype" w:cs="Palatino Linotype"/>
        </w:rPr>
        <w:t>blica de la documentación entregada se estaría violentando el derecho de acceso a la información de la persona solicitante.</w:t>
      </w:r>
    </w:p>
    <w:p w14:paraId="4DBC6D44"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cabe señalar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emitir el acuerdo de clasificación de </w:t>
      </w:r>
      <w:r>
        <w:rPr>
          <w:rFonts w:ascii="Palatino Linotype" w:eastAsia="Palatino Linotype" w:hAnsi="Palatino Linotype" w:cs="Palatino Linotype"/>
        </w:rPr>
        <w:t>información debidamente fundado y motivado, en términos los Lineamientos Segundo, fracción XVIII, y del Cuarto al Décimo Primero de los “Lineamientos Generales en materia de Clasificación y Desclasificación de la Información, así como para la elaboración d</w:t>
      </w:r>
      <w:r>
        <w:rPr>
          <w:rFonts w:ascii="Palatino Linotype" w:eastAsia="Palatino Linotype" w:hAnsi="Palatino Linotype" w:cs="Palatino Linotype"/>
        </w:rPr>
        <w:t>e Versiones Públicas”, que literalmente expresan:</w:t>
      </w:r>
    </w:p>
    <w:p w14:paraId="50B8A14B"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proofErr w:type="gramStart"/>
      <w:r>
        <w:rPr>
          <w:rFonts w:ascii="Palatino Linotype" w:eastAsia="Palatino Linotype" w:hAnsi="Palatino Linotype" w:cs="Palatino Linotype"/>
          <w:b/>
          <w:i/>
        </w:rPr>
        <w:t>Segundo.-</w:t>
      </w:r>
      <w:proofErr w:type="gramEnd"/>
      <w:r>
        <w:rPr>
          <w:rFonts w:ascii="Palatino Linotype" w:eastAsia="Palatino Linotype" w:hAnsi="Palatino Linotype" w:cs="Palatino Linotype"/>
          <w:i/>
        </w:rPr>
        <w:t xml:space="preserve"> Para efectos de los presentes Lineamientos Generales, se entenderá por:</w:t>
      </w:r>
    </w:p>
    <w:p w14:paraId="5610A10C" w14:textId="77777777" w:rsidR="007A7615" w:rsidRDefault="00F77212">
      <w:pPr>
        <w:tabs>
          <w:tab w:val="left" w:pos="8222"/>
        </w:tabs>
        <w:spacing w:before="120" w:after="120" w:line="240" w:lineRule="auto"/>
        <w:ind w:left="1134" w:right="1134"/>
        <w:jc w:val="both"/>
        <w:rPr>
          <w:rFonts w:ascii="Palatino Linotype" w:eastAsia="Palatino Linotype" w:hAnsi="Palatino Linotype" w:cs="Palatino Linotype"/>
          <w:i/>
        </w:rPr>
      </w:pPr>
      <w:r>
        <w:rPr>
          <w:rFonts w:ascii="Palatino Linotype" w:eastAsia="Palatino Linotype" w:hAnsi="Palatino Linotype" w:cs="Palatino Linotype"/>
          <w:b/>
          <w:i/>
        </w:rPr>
        <w:t>XVIII.</w:t>
      </w:r>
      <w:r>
        <w:rPr>
          <w:rFonts w:ascii="Palatino Linotype" w:eastAsia="Palatino Linotype" w:hAnsi="Palatino Linotype" w:cs="Palatino Linotype"/>
          <w:i/>
        </w:rPr>
        <w:t xml:space="preserve"> </w:t>
      </w:r>
      <w:r>
        <w:rPr>
          <w:rFonts w:ascii="Palatino Linotype" w:eastAsia="Palatino Linotype" w:hAnsi="Palatino Linotype" w:cs="Palatino Linotype"/>
          <w:b/>
          <w:i/>
        </w:rPr>
        <w:t>Versión pública:</w:t>
      </w:r>
      <w:r>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rPr>
        <w:t>fundando y motivando la</w:t>
      </w:r>
      <w:r>
        <w:rPr>
          <w:rFonts w:ascii="Palatino Linotype" w:eastAsia="Palatino Linotype" w:hAnsi="Palatino Linotype" w:cs="Palatino Linotype"/>
          <w:i/>
        </w:rPr>
        <w:t xml:space="preserve"> </w:t>
      </w:r>
      <w:r>
        <w:rPr>
          <w:rFonts w:ascii="Palatino Linotype" w:eastAsia="Palatino Linotype" w:hAnsi="Palatino Linotype" w:cs="Palatino Linotype"/>
          <w:b/>
          <w:i/>
        </w:rPr>
        <w:t>reserva o confidencialidad</w:t>
      </w:r>
      <w:r>
        <w:rPr>
          <w:rFonts w:ascii="Palatino Linotype" w:eastAsia="Palatino Linotype" w:hAnsi="Palatino Linotype" w:cs="Palatino Linotype"/>
          <w:i/>
        </w:rPr>
        <w:t>, a través de la resolución que par</w:t>
      </w:r>
      <w:r>
        <w:rPr>
          <w:rFonts w:ascii="Palatino Linotype" w:eastAsia="Palatino Linotype" w:hAnsi="Palatino Linotype" w:cs="Palatino Linotype"/>
          <w:i/>
        </w:rPr>
        <w:t>a tal efecto emita el Comité de Transparencia.</w:t>
      </w:r>
    </w:p>
    <w:p w14:paraId="56FF2B4A"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b/>
          <w:i/>
        </w:rPr>
      </w:pPr>
      <w:r>
        <w:rPr>
          <w:rFonts w:ascii="Palatino Linotype" w:eastAsia="Palatino Linotype" w:hAnsi="Palatino Linotype" w:cs="Palatino Linotype"/>
          <w:b/>
          <w:i/>
        </w:rPr>
        <w:t>...</w:t>
      </w:r>
    </w:p>
    <w:p w14:paraId="162C9F3C"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Cuarto.</w:t>
      </w:r>
      <w:r>
        <w:rPr>
          <w:rFonts w:ascii="Palatino Linotype" w:eastAsia="Palatino Linotype" w:hAnsi="Palatino Linotype" w:cs="Palatino Linotype"/>
          <w:i/>
        </w:rPr>
        <w:t xml:space="preserve"> </w:t>
      </w:r>
      <w:r>
        <w:rPr>
          <w:rFonts w:ascii="Palatino Linotype" w:eastAsia="Palatino Linotype" w:hAnsi="Palatino Linotype" w:cs="Palatino Linotype"/>
          <w:b/>
          <w:i/>
        </w:rPr>
        <w:t>Para clasificar la información como</w:t>
      </w:r>
      <w:r>
        <w:rPr>
          <w:rFonts w:ascii="Palatino Linotype" w:eastAsia="Palatino Linotype" w:hAnsi="Palatino Linotype" w:cs="Palatino Linotype"/>
          <w:i/>
        </w:rPr>
        <w:t xml:space="preserve"> </w:t>
      </w:r>
      <w:r>
        <w:rPr>
          <w:rFonts w:ascii="Palatino Linotype" w:eastAsia="Palatino Linotype" w:hAnsi="Palatino Linotype" w:cs="Palatino Linotype"/>
          <w:b/>
          <w:i/>
        </w:rPr>
        <w:t>reservada o</w:t>
      </w:r>
      <w:r>
        <w:rPr>
          <w:rFonts w:ascii="Palatino Linotype" w:eastAsia="Palatino Linotype" w:hAnsi="Palatino Linotype" w:cs="Palatino Linotype"/>
          <w:i/>
        </w:rPr>
        <w:t xml:space="preserve"> </w:t>
      </w:r>
      <w:r>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Pr>
          <w:rFonts w:ascii="Palatino Linotype" w:eastAsia="Palatino Linotype" w:hAnsi="Palatino Linotype" w:cs="Palatino Linotype"/>
          <w:i/>
        </w:rPr>
        <w:t>, e</w:t>
      </w:r>
      <w:r>
        <w:rPr>
          <w:rFonts w:ascii="Palatino Linotype" w:eastAsia="Palatino Linotype" w:hAnsi="Palatino Linotype" w:cs="Palatino Linotype"/>
          <w:i/>
        </w:rPr>
        <w:t>n relación con las disposiciones contenidas en los presentes lineamientos, así como en aquellas disposiciones legales aplicables a la materia en el ámbito de sus respectivas competencias, en tanto estas últimas no contravengan lo dispuesto en la Ley Genera</w:t>
      </w:r>
      <w:r>
        <w:rPr>
          <w:rFonts w:ascii="Palatino Linotype" w:eastAsia="Palatino Linotype" w:hAnsi="Palatino Linotype" w:cs="Palatino Linotype"/>
          <w:i/>
        </w:rPr>
        <w:t>l.</w:t>
      </w:r>
    </w:p>
    <w:p w14:paraId="48E5831C"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14:paraId="27E3997F"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Quinto.</w:t>
      </w:r>
      <w:r>
        <w:rPr>
          <w:rFonts w:ascii="Palatino Linotype" w:eastAsia="Palatino Linotype" w:hAnsi="Palatino Linotype" w:cs="Palatino Linotype"/>
          <w:i/>
        </w:rPr>
        <w:t xml:space="preserve"> La carga de la prueba para justificar toda negativa de acceso a la informa</w:t>
      </w:r>
      <w:r>
        <w:rPr>
          <w:rFonts w:ascii="Palatino Linotype" w:eastAsia="Palatino Linotype" w:hAnsi="Palatino Linotype" w:cs="Palatino Linotype"/>
          <w:i/>
        </w:rPr>
        <w:t xml:space="preserve">ción, por actualizarse cualquiera de los supuestos de clasificación </w:t>
      </w:r>
      <w:r>
        <w:rPr>
          <w:rFonts w:ascii="Palatino Linotype" w:eastAsia="Palatino Linotype" w:hAnsi="Palatino Linotype" w:cs="Palatino Linotype"/>
          <w:i/>
        </w:rPr>
        <w:lastRenderedPageBreak/>
        <w:t>previstos en la Ley General, la Ley Federal y leyes estatales, corresponderá a los sujetos obligados, por lo que deberán fundar y motivar debidamente la clasificación de la información ant</w:t>
      </w:r>
      <w:r>
        <w:rPr>
          <w:rFonts w:ascii="Palatino Linotype" w:eastAsia="Palatino Linotype" w:hAnsi="Palatino Linotype" w:cs="Palatino Linotype"/>
          <w:i/>
        </w:rPr>
        <w:t>e una solicitud de acceso o al momento en que generen versiones públicas para dar cumplimiento a las obligaciones de transparencia, observando lo dispuesto en la Ley General y las demás disposiciones aplicables en la materia.</w:t>
      </w:r>
    </w:p>
    <w:p w14:paraId="61846C2F"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Sexto.</w:t>
      </w:r>
      <w:r>
        <w:rPr>
          <w:rFonts w:ascii="Palatino Linotype" w:eastAsia="Palatino Linotype" w:hAnsi="Palatino Linotype" w:cs="Palatino Linotype"/>
          <w:i/>
        </w:rPr>
        <w:t xml:space="preserve"> Se deroga.</w:t>
      </w:r>
    </w:p>
    <w:p w14:paraId="3037391E"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Séptimo.</w:t>
      </w:r>
      <w:r>
        <w:rPr>
          <w:rFonts w:ascii="Palatino Linotype" w:eastAsia="Palatino Linotype" w:hAnsi="Palatino Linotype" w:cs="Palatino Linotype"/>
          <w:i/>
        </w:rPr>
        <w:t xml:space="preserve"> La </w:t>
      </w:r>
      <w:r>
        <w:rPr>
          <w:rFonts w:ascii="Palatino Linotype" w:eastAsia="Palatino Linotype" w:hAnsi="Palatino Linotype" w:cs="Palatino Linotype"/>
          <w:i/>
        </w:rPr>
        <w:t>clasificación de la información se llevará a cabo en el momento en que:</w:t>
      </w:r>
    </w:p>
    <w:p w14:paraId="5196F8E8" w14:textId="77777777" w:rsidR="007A7615" w:rsidRDefault="00F77212">
      <w:pPr>
        <w:tabs>
          <w:tab w:val="left" w:pos="8222"/>
        </w:tabs>
        <w:spacing w:before="120" w:after="120" w:line="240" w:lineRule="auto"/>
        <w:ind w:left="1134" w:right="1134"/>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Se reciba una solicitud de acceso a la información;</w:t>
      </w:r>
    </w:p>
    <w:p w14:paraId="27D7C149" w14:textId="77777777" w:rsidR="007A7615" w:rsidRDefault="00F77212">
      <w:pPr>
        <w:tabs>
          <w:tab w:val="left" w:pos="8222"/>
        </w:tabs>
        <w:spacing w:before="120" w:after="120" w:line="240" w:lineRule="auto"/>
        <w:ind w:left="1134" w:right="1134"/>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 determine mediante resolución del Comité de Transparencia, el órgano garante competente, o en cumplimiento a una sentencia</w:t>
      </w:r>
      <w:r>
        <w:rPr>
          <w:rFonts w:ascii="Palatino Linotype" w:eastAsia="Palatino Linotype" w:hAnsi="Palatino Linotype" w:cs="Palatino Linotype"/>
          <w:i/>
        </w:rPr>
        <w:t xml:space="preserve"> del Poder Judicial; o</w:t>
      </w:r>
    </w:p>
    <w:p w14:paraId="1B1EE1AB" w14:textId="77777777" w:rsidR="007A7615" w:rsidRDefault="00F77212">
      <w:pPr>
        <w:tabs>
          <w:tab w:val="left" w:pos="8222"/>
        </w:tabs>
        <w:spacing w:before="120" w:after="120" w:line="240" w:lineRule="auto"/>
        <w:ind w:left="1134" w:right="1134"/>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14:paraId="0AC40FED"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 xml:space="preserve">Los titulares de las áreas deberán revisar </w:t>
      </w:r>
      <w:r>
        <w:rPr>
          <w:rFonts w:ascii="Palatino Linotype" w:eastAsia="Palatino Linotype" w:hAnsi="Palatino Linotype" w:cs="Palatino Linotype"/>
          <w:i/>
        </w:rPr>
        <w:t>la clasificación al momento de la recepción de una solicitud de acceso, para verificar</w:t>
      </w:r>
      <w:r>
        <w:rPr>
          <w:rFonts w:ascii="Palatino Linotype" w:eastAsia="Palatino Linotype" w:hAnsi="Palatino Linotype" w:cs="Palatino Linotype"/>
        </w:rPr>
        <w:t xml:space="preserve">, </w:t>
      </w:r>
      <w:r>
        <w:rPr>
          <w:rFonts w:ascii="Palatino Linotype" w:eastAsia="Palatino Linotype" w:hAnsi="Palatino Linotype" w:cs="Palatino Linotype"/>
          <w:i/>
        </w:rPr>
        <w:t>conforme a su naturaleza, si encuadra en una causal de reserva o de confidencialidad.</w:t>
      </w:r>
    </w:p>
    <w:p w14:paraId="1EA3B06C"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Octavo.</w:t>
      </w:r>
      <w:r>
        <w:rPr>
          <w:rFonts w:ascii="Palatino Linotype" w:eastAsia="Palatino Linotype" w:hAnsi="Palatino Linotype" w:cs="Palatino Linotype"/>
          <w:i/>
        </w:rPr>
        <w:t xml:space="preserve"> Para fundar la clasificación de la información se debe señalar el artículo</w:t>
      </w:r>
      <w:r>
        <w:rPr>
          <w:rFonts w:ascii="Palatino Linotype" w:eastAsia="Palatino Linotype" w:hAnsi="Palatino Linotype" w:cs="Palatino Linotype"/>
          <w:i/>
        </w:rPr>
        <w:t>, fracción, inciso, párrafo o numeral de la ley o tratado internacional suscrito por el Estado mexicano que expresamente le otorga el carácter de reservada o confidencial.</w:t>
      </w:r>
    </w:p>
    <w:p w14:paraId="08B3D0FE"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Para motivar la clasificación se deberán señalar las razones o circunstancias especi</w:t>
      </w:r>
      <w:r>
        <w:rPr>
          <w:rFonts w:ascii="Palatino Linotype" w:eastAsia="Palatino Linotype" w:hAnsi="Palatino Linotype" w:cs="Palatino Linotype"/>
          <w:i/>
        </w:rPr>
        <w:t>ales que lo llevaron a concluir que el caso particular se ajusta al supuesto previsto por la norma legal invocada como fundamento.</w:t>
      </w:r>
    </w:p>
    <w:p w14:paraId="756544C3"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En caso de referirse a información reservada, la motivación de la clasificación deberá comprender el análisis de la prueba de</w:t>
      </w:r>
      <w:r>
        <w:rPr>
          <w:rFonts w:ascii="Palatino Linotype" w:eastAsia="Palatino Linotype" w:hAnsi="Palatino Linotype" w:cs="Palatino Linotype"/>
          <w:i/>
        </w:rPr>
        <w:t xml:space="preserve"> daño a que hace referencia el artículo 104 de la Ley General, en relación con el artículo trigésimo tercero de los presentes lineamientos, así como las circunstancias que justifican el establecimiento de determinado plazo de reserva.</w:t>
      </w:r>
    </w:p>
    <w:p w14:paraId="490BD849"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Noveno.</w:t>
      </w:r>
      <w:r>
        <w:rPr>
          <w:rFonts w:ascii="Palatino Linotype" w:eastAsia="Palatino Linotype" w:hAnsi="Palatino Linotype" w:cs="Palatino Linotype"/>
          <w:i/>
        </w:rPr>
        <w:t xml:space="preserve"> En los casos </w:t>
      </w:r>
      <w:r>
        <w:rPr>
          <w:rFonts w:ascii="Palatino Linotype" w:eastAsia="Palatino Linotype" w:hAnsi="Palatino Linotype" w:cs="Palatino Linotype"/>
          <w:i/>
        </w:rPr>
        <w:t>en que se solicite un documento o expediente que contenga partes o secciones clasificadas, los titulares de las áreas deberán elaborar una versión pública fundando y motivando la clasificación de las partes o secciones que se testen, siguiendo los procedim</w:t>
      </w:r>
      <w:r>
        <w:rPr>
          <w:rFonts w:ascii="Palatino Linotype" w:eastAsia="Palatino Linotype" w:hAnsi="Palatino Linotype" w:cs="Palatino Linotype"/>
          <w:i/>
        </w:rPr>
        <w:t>ientos establecidos en el Capítulo IX de los presentes lineamientos.</w:t>
      </w:r>
    </w:p>
    <w:p w14:paraId="667554A4"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Décimo.</w:t>
      </w:r>
      <w:r>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w:t>
      </w:r>
      <w:r>
        <w:rPr>
          <w:rFonts w:ascii="Palatino Linotype" w:eastAsia="Palatino Linotype" w:hAnsi="Palatino Linotype" w:cs="Palatino Linotype"/>
          <w:i/>
        </w:rPr>
        <w:t>imismo, deberán asegurarse de que dicho personal cuente con los conocimientos técnicos y legales que le permitan manejar adecuadamente la información clasificada, en los términos de la Ley General de Archivos, Lineamientos para la Organización y Conservaci</w:t>
      </w:r>
      <w:r>
        <w:rPr>
          <w:rFonts w:ascii="Palatino Linotype" w:eastAsia="Palatino Linotype" w:hAnsi="Palatino Linotype" w:cs="Palatino Linotype"/>
          <w:i/>
        </w:rPr>
        <w:t>ón de Archivos y demás normatividad aplicable.</w:t>
      </w:r>
    </w:p>
    <w:p w14:paraId="3E3CF58A"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14:paraId="43A4806E" w14:textId="77777777" w:rsidR="007A7615" w:rsidRDefault="00F77212">
      <w:pPr>
        <w:tabs>
          <w:tab w:val="left" w:pos="8222"/>
        </w:tabs>
        <w:spacing w:before="120" w:after="120" w:line="240" w:lineRule="auto"/>
        <w:ind w:left="851" w:right="1134"/>
        <w:jc w:val="both"/>
        <w:rPr>
          <w:rFonts w:ascii="Palatino Linotype" w:eastAsia="Palatino Linotype" w:hAnsi="Palatino Linotype" w:cs="Palatino Linotype"/>
          <w:i/>
        </w:rPr>
      </w:pPr>
      <w:r>
        <w:rPr>
          <w:rFonts w:ascii="Palatino Linotype" w:eastAsia="Palatino Linotype" w:hAnsi="Palatino Linotype" w:cs="Palatino Linotype"/>
          <w:b/>
          <w:i/>
        </w:rPr>
        <w:t>Décimo primero.</w:t>
      </w:r>
      <w:r>
        <w:rPr>
          <w:rFonts w:ascii="Palatino Linotype" w:eastAsia="Palatino Linotype" w:hAnsi="Palatino Linotype" w:cs="Palatino Linotype"/>
          <w:i/>
        </w:rPr>
        <w:t xml:space="preserve"> E</w:t>
      </w:r>
      <w:r>
        <w:rPr>
          <w:rFonts w:ascii="Palatino Linotype" w:eastAsia="Palatino Linotype" w:hAnsi="Palatino Linotype" w:cs="Palatino Linotype"/>
          <w:i/>
        </w:rPr>
        <w:t>n el intercambio de información entre sujetos obligados para el ejercicio de sus atribuciones, los documentos que se encuentren clasificados deberán llevar la leyenda correspondiente de conformidad con lo dispuesto en el Capítulo VIII de los presentes line</w:t>
      </w:r>
      <w:r>
        <w:rPr>
          <w:rFonts w:ascii="Palatino Linotype" w:eastAsia="Palatino Linotype" w:hAnsi="Palatino Linotype" w:cs="Palatino Linotype"/>
          <w:i/>
        </w:rPr>
        <w:t xml:space="preserve">amientos.” </w:t>
      </w:r>
    </w:p>
    <w:p w14:paraId="18DFD8E0" w14:textId="77777777" w:rsidR="007A7615" w:rsidRDefault="00F77212">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Asimismo, respecto a las formalidades que deberá llevar el acuerdo de clasificación que deberá emitir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w:t>
      </w:r>
      <w:r>
        <w:rPr>
          <w:rFonts w:ascii="Palatino Linotype" w:eastAsia="Palatino Linotype" w:hAnsi="Palatino Linotype" w:cs="Palatino Linotype"/>
        </w:rPr>
        <w:t>guiente:</w:t>
      </w:r>
    </w:p>
    <w:p w14:paraId="5E8FC5D7"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 “Quincuagésimo. </w:t>
      </w:r>
      <w:r>
        <w:rPr>
          <w:rFonts w:ascii="Palatino Linotype" w:eastAsia="Palatino Linotype" w:hAnsi="Palatino Linotype" w:cs="Palatino Linotype"/>
          <w:i/>
        </w:rPr>
        <w:t>Los titulares de las áreas de los sujetos obligados podrán establecer sus propios modelos o formatos para la elaboración de versiones públicas de documentos o expedientes, siempre y cuando cumplan lo establecido en los presentes L</w:t>
      </w:r>
      <w:r>
        <w:rPr>
          <w:rFonts w:ascii="Palatino Linotype" w:eastAsia="Palatino Linotype" w:hAnsi="Palatino Linotype" w:cs="Palatino Linotype"/>
          <w:i/>
        </w:rPr>
        <w:t xml:space="preserve">ineamientos, así como en las correspondientes Leyes Generales. </w:t>
      </w:r>
    </w:p>
    <w:p w14:paraId="4CA5B959" w14:textId="77777777" w:rsidR="007A7615" w:rsidRDefault="00F77212">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Quincuagésimo primero. </w:t>
      </w:r>
      <w:r>
        <w:rPr>
          <w:rFonts w:ascii="Palatino Linotype" w:eastAsia="Palatino Linotype" w:hAnsi="Palatino Linotype" w:cs="Palatino Linotype"/>
          <w:i/>
        </w:rPr>
        <w:t xml:space="preserve">Toda acta del Comité de Transparencia deberá contener: </w:t>
      </w:r>
    </w:p>
    <w:p w14:paraId="0CC468EC" w14:textId="77777777" w:rsidR="007A7615" w:rsidRDefault="00F77212">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El número de sesión y fecha; </w:t>
      </w:r>
    </w:p>
    <w:p w14:paraId="65F9D430" w14:textId="77777777" w:rsidR="007A7615" w:rsidRDefault="00F77212">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nombre del área que solicitó la clasificación de información; </w:t>
      </w:r>
    </w:p>
    <w:p w14:paraId="3C4E26F4" w14:textId="77777777" w:rsidR="007A7615" w:rsidRDefault="00F77212">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La fu</w:t>
      </w:r>
      <w:r>
        <w:rPr>
          <w:rFonts w:ascii="Palatino Linotype" w:eastAsia="Palatino Linotype" w:hAnsi="Palatino Linotype" w:cs="Palatino Linotype"/>
          <w:i/>
        </w:rPr>
        <w:t xml:space="preserve">ndamentación legal y motivación correspondiente; </w:t>
      </w:r>
    </w:p>
    <w:p w14:paraId="1D393F9A" w14:textId="77777777" w:rsidR="007A7615" w:rsidRDefault="00F77212">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La resolución o resoluciones aprobadas; y </w:t>
      </w:r>
    </w:p>
    <w:p w14:paraId="3849AC12" w14:textId="77777777" w:rsidR="007A7615" w:rsidRDefault="00F77212">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V</w:t>
      </w:r>
      <w:r>
        <w:rPr>
          <w:rFonts w:ascii="Palatino Linotype" w:eastAsia="Palatino Linotype" w:hAnsi="Palatino Linotype" w:cs="Palatino Linotype"/>
          <w:i/>
        </w:rPr>
        <w:t xml:space="preserve">. La rúbrica o firma digital de cada integrante del Comité de Transparencia. </w:t>
      </w:r>
    </w:p>
    <w:p w14:paraId="7D5B000F" w14:textId="77777777" w:rsidR="007A7615" w:rsidRDefault="00F77212">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271E3144" w14:textId="77777777" w:rsidR="007A7615" w:rsidRDefault="00F77212">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w:t>
      </w:r>
      <w:r>
        <w:rPr>
          <w:rFonts w:ascii="Palatino Linotype" w:eastAsia="Palatino Linotype" w:hAnsi="Palatino Linotype" w:cs="Palatino Linotype"/>
          <w:i/>
        </w:rPr>
        <w:t xml:space="preserve"> Los motivos y razonamientos que sustenten la confirmación o modificación de la prueb</w:t>
      </w:r>
      <w:r>
        <w:rPr>
          <w:rFonts w:ascii="Palatino Linotype" w:eastAsia="Palatino Linotype" w:hAnsi="Palatino Linotype" w:cs="Palatino Linotype"/>
          <w:i/>
        </w:rPr>
        <w:t>a de daño;</w:t>
      </w:r>
    </w:p>
    <w:p w14:paraId="4C54D43F" w14:textId="77777777" w:rsidR="007A7615" w:rsidRDefault="00F77212">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II</w:t>
      </w:r>
      <w:r>
        <w:rPr>
          <w:rFonts w:ascii="Palatino Linotype" w:eastAsia="Palatino Linotype" w:hAnsi="Palatino Linotype" w:cs="Palatino Linotype"/>
          <w:i/>
        </w:rPr>
        <w:t>. Descripción de las partes o secciones reservadas, en caso de clasificación parcial</w:t>
      </w:r>
      <w:r>
        <w:rPr>
          <w:rFonts w:ascii="Palatino Linotype" w:eastAsia="Palatino Linotype" w:hAnsi="Palatino Linotype" w:cs="Palatino Linotype"/>
          <w:b/>
          <w:i/>
        </w:rPr>
        <w:t xml:space="preserve">; </w:t>
      </w:r>
    </w:p>
    <w:p w14:paraId="6D5F46DB" w14:textId="77777777" w:rsidR="007A7615" w:rsidRDefault="00F77212">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El periodo por el que mantendrá su clasificación y fecha de expiración; y </w:t>
      </w:r>
    </w:p>
    <w:p w14:paraId="7B2E34D1" w14:textId="77777777" w:rsidR="007A7615" w:rsidRDefault="00F77212">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El nombre del titular y área encargada de realizar la versión pública de</w:t>
      </w:r>
      <w:r>
        <w:rPr>
          <w:rFonts w:ascii="Palatino Linotype" w:eastAsia="Palatino Linotype" w:hAnsi="Palatino Linotype" w:cs="Palatino Linotype"/>
          <w:i/>
        </w:rPr>
        <w:t xml:space="preserve">l documento, en su caso. </w:t>
      </w:r>
    </w:p>
    <w:p w14:paraId="36AD4078" w14:textId="77777777" w:rsidR="007A7615" w:rsidRDefault="00F77212">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2F8F0FE4" w14:textId="77777777" w:rsidR="007A7615" w:rsidRDefault="00F77212">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En los casos de resoluciones del Comité de Transparencia en las que se confirme la </w:t>
      </w:r>
      <w:r>
        <w:rPr>
          <w:rFonts w:ascii="Palatino Linotype" w:eastAsia="Palatino Linotype" w:hAnsi="Palatino Linotype" w:cs="Palatino Linotype"/>
          <w:i/>
        </w:rPr>
        <w:t>clasificación de información confidencial solo se deberán de identificar los tipos de datos protegidos, de conformidad con el lineamiento trigésimo octavo.</w:t>
      </w:r>
    </w:p>
    <w:p w14:paraId="1E615E92"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la elaboración de las versiones públicas, además, se deberán observar las formalidades establec</w:t>
      </w:r>
      <w:r>
        <w:rPr>
          <w:rFonts w:ascii="Palatino Linotype" w:eastAsia="Palatino Linotype" w:hAnsi="Palatino Linotype" w:cs="Palatino Linotype"/>
        </w:rPr>
        <w:t>idas en los Lineamientos Quincuagésimo segundo, Quincuagésimo cuarto, Quincuagésimo quinto, Quincuagésimo séptimo y Quincuagésimo octavo, que establecen lo siguiente:</w:t>
      </w:r>
    </w:p>
    <w:p w14:paraId="1875B81F" w14:textId="77777777" w:rsidR="007A7615" w:rsidRDefault="00F77212">
      <w:pPr>
        <w:spacing w:before="120" w:after="120" w:line="24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Quincuagésimo segundo</w:t>
      </w:r>
      <w:r>
        <w:rPr>
          <w:rFonts w:ascii="Palatino Linotype" w:eastAsia="Palatino Linotype" w:hAnsi="Palatino Linotype" w:cs="Palatino Linotype"/>
          <w:i/>
        </w:rPr>
        <w:t>. Para la clasificación y elaboración de versiones públicas de docu</w:t>
      </w:r>
      <w:r>
        <w:rPr>
          <w:rFonts w:ascii="Palatino Linotype" w:eastAsia="Palatino Linotype" w:hAnsi="Palatino Linotype" w:cs="Palatino Linotype"/>
          <w:i/>
        </w:rPr>
        <w:t>mentos que contengan información clasificada como reservada o confidencial, las áreas de los sujetos obligados deberán tomar las medidas pertinentes tendientes a asegurar que el espacio utilizado para testar la información no podrá ser empleado para la sob</w:t>
      </w:r>
      <w:r>
        <w:rPr>
          <w:rFonts w:ascii="Palatino Linotype" w:eastAsia="Palatino Linotype" w:hAnsi="Palatino Linotype" w:cs="Palatino Linotype"/>
          <w:i/>
        </w:rPr>
        <w:t>reposición de contenido distinto al autorizado por el Comité.</w:t>
      </w:r>
    </w:p>
    <w:p w14:paraId="77252FC3" w14:textId="77777777" w:rsidR="007A7615" w:rsidRDefault="00F77212">
      <w:pPr>
        <w:spacing w:before="120" w:after="120" w:line="24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68A63603" w14:textId="77777777" w:rsidR="007A7615" w:rsidRDefault="00F77212">
      <w:pPr>
        <w:spacing w:before="120" w:after="120" w:line="24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Fijar la fecha en que se elaboró la versión pública y la fecha en la cual el</w:t>
      </w:r>
      <w:r>
        <w:rPr>
          <w:rFonts w:ascii="Palatino Linotype" w:eastAsia="Palatino Linotype" w:hAnsi="Palatino Linotype" w:cs="Palatino Linotype"/>
          <w:i/>
        </w:rPr>
        <w:t xml:space="preserve"> Comité de Transparencia confirmó dicha versión;</w:t>
      </w:r>
    </w:p>
    <w:p w14:paraId="4B72F9C4" w14:textId="77777777" w:rsidR="007A7615" w:rsidRDefault="00F77212">
      <w:pPr>
        <w:spacing w:before="120" w:after="120" w:line="24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14E4A487" w14:textId="77777777" w:rsidR="007A7615" w:rsidRDefault="00F77212">
      <w:pPr>
        <w:spacing w:before="120" w:after="120" w:line="240" w:lineRule="auto"/>
        <w:ind w:left="1134" w:right="900"/>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xml:space="preserve"> Señalar las personas o instancias auto</w:t>
      </w:r>
      <w:r>
        <w:rPr>
          <w:rFonts w:ascii="Palatino Linotype" w:eastAsia="Palatino Linotype" w:hAnsi="Palatino Linotype" w:cs="Palatino Linotype"/>
          <w:i/>
        </w:rPr>
        <w:t>rizadas a acceder a la información clasificada.</w:t>
      </w:r>
    </w:p>
    <w:p w14:paraId="22889E18" w14:textId="77777777" w:rsidR="007A7615" w:rsidRDefault="00F77212">
      <w:pPr>
        <w:spacing w:before="120" w:after="120" w:line="24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En los documentos de difusión electrónica, señalar en la primera hoja y en el nombre del archivo, que la versión pública corresponde a un documento que contiene información confidencial.”</w:t>
      </w:r>
    </w:p>
    <w:p w14:paraId="6E25CA65" w14:textId="77777777" w:rsidR="007A7615" w:rsidRDefault="00F77212">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AD27010" w14:textId="77777777" w:rsidR="007A7615" w:rsidRDefault="00F77212">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b/>
          <w:i/>
        </w:rPr>
      </w:pPr>
      <w:r>
        <w:rPr>
          <w:rFonts w:ascii="Palatino Linotype" w:eastAsia="Palatino Linotype" w:hAnsi="Palatino Linotype" w:cs="Palatino Linotype"/>
          <w:b/>
          <w:i/>
        </w:rPr>
        <w:t>Quincuagésimo cuar</w:t>
      </w:r>
      <w:r>
        <w:rPr>
          <w:rFonts w:ascii="Palatino Linotype" w:eastAsia="Palatino Linotype" w:hAnsi="Palatino Linotype" w:cs="Palatino Linotype"/>
          <w:b/>
          <w:i/>
        </w:rPr>
        <w:t xml:space="preserve">to. </w:t>
      </w:r>
      <w:r>
        <w:rPr>
          <w:rFonts w:ascii="Palatino Linotype" w:eastAsia="Palatino Linotype" w:hAnsi="Palatino Linotype" w:cs="Palatino Linotype"/>
          <w:i/>
        </w:rPr>
        <w:t xml:space="preserve">Cuando el Comité de Transparencia confirme la clasificación de documentos reservados y/o confidenciales, sea total o parcialmente; se deberá anexar al expediente la resolución que determinó la clasificación o, en su defecto, identificar en la carátula </w:t>
      </w:r>
      <w:r>
        <w:rPr>
          <w:rFonts w:ascii="Palatino Linotype" w:eastAsia="Palatino Linotype" w:hAnsi="Palatino Linotype" w:cs="Palatino Linotype"/>
          <w:i/>
        </w:rPr>
        <w:t>del expediente del cual formen parte, la fecha y sesión del Comité de Transparencia en la que se confirmó dicha clasificación.</w:t>
      </w:r>
      <w:r>
        <w:rPr>
          <w:rFonts w:ascii="Palatino Linotype" w:eastAsia="Palatino Linotype" w:hAnsi="Palatino Linotype" w:cs="Palatino Linotype"/>
          <w:b/>
          <w:i/>
        </w:rPr>
        <w:t xml:space="preserve"> </w:t>
      </w:r>
    </w:p>
    <w:p w14:paraId="3621FAE4"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Quincuagésimo quinto. </w:t>
      </w:r>
      <w:r>
        <w:rPr>
          <w:rFonts w:ascii="Palatino Linotype" w:eastAsia="Palatino Linotype" w:hAnsi="Palatino Linotype" w:cs="Palatino Linotype"/>
          <w:i/>
        </w:rPr>
        <w:t xml:space="preserve">Cada área del sujeto obligado podrá designar formalmente a una o más personas como responsables del </w:t>
      </w:r>
      <w:proofErr w:type="spellStart"/>
      <w:r>
        <w:rPr>
          <w:rFonts w:ascii="Palatino Linotype" w:eastAsia="Palatino Linotype" w:hAnsi="Palatino Linotype" w:cs="Palatino Linotype"/>
          <w:i/>
        </w:rPr>
        <w:t>testado</w:t>
      </w:r>
      <w:proofErr w:type="spellEnd"/>
      <w:r>
        <w:rPr>
          <w:rFonts w:ascii="Palatino Linotype" w:eastAsia="Palatino Linotype" w:hAnsi="Palatino Linotype" w:cs="Palatino Linotype"/>
          <w:i/>
        </w:rPr>
        <w:t>, que sean encargadas de la adecuada elaboración o supervisión de las versiones públicas de los documentos o expedientes, verificando que cumplan con</w:t>
      </w:r>
      <w:r>
        <w:rPr>
          <w:rFonts w:ascii="Palatino Linotype" w:eastAsia="Palatino Linotype" w:hAnsi="Palatino Linotype" w:cs="Palatino Linotype"/>
          <w:i/>
        </w:rPr>
        <w:t xml:space="preserve"> los requisitos señalados en las Leyes Generales, los presentes Lineamientos y demás normativa aplicable antes de su confirmación por el Comité de Transparencia.</w:t>
      </w:r>
    </w:p>
    <w:p w14:paraId="50A2D7F1" w14:textId="77777777" w:rsidR="007A7615" w:rsidRDefault="00F77212">
      <w:pPr>
        <w:spacing w:before="120" w:after="120" w:line="240"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i/>
        </w:rPr>
        <w:t>...</w:t>
      </w:r>
    </w:p>
    <w:p w14:paraId="12430D99"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séptimo</w:t>
      </w:r>
      <w:r>
        <w:rPr>
          <w:rFonts w:ascii="Palatino Linotype" w:eastAsia="Palatino Linotype" w:hAnsi="Palatino Linotype" w:cs="Palatino Linotype"/>
          <w:i/>
        </w:rPr>
        <w:t>. Se considera, en principio, como información pública y no podrá omi</w:t>
      </w:r>
      <w:r>
        <w:rPr>
          <w:rFonts w:ascii="Palatino Linotype" w:eastAsia="Palatino Linotype" w:hAnsi="Palatino Linotype" w:cs="Palatino Linotype"/>
          <w:i/>
        </w:rPr>
        <w:t xml:space="preserve">tirse de las versiones públicas la siguiente: </w:t>
      </w:r>
    </w:p>
    <w:p w14:paraId="316D6047" w14:textId="77777777" w:rsidR="007A7615" w:rsidRDefault="00F77212">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4C135863" w14:textId="77777777" w:rsidR="007A7615" w:rsidRDefault="00F77212">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w:t>
      </w:r>
      <w:r>
        <w:rPr>
          <w:rFonts w:ascii="Palatino Linotype" w:eastAsia="Palatino Linotype" w:hAnsi="Palatino Linotype" w:cs="Palatino Linotype"/>
          <w:i/>
        </w:rPr>
        <w:t xml:space="preserve"> El nombre de los integrantes de los sujetos obligados en los do</w:t>
      </w:r>
      <w:r>
        <w:rPr>
          <w:rFonts w:ascii="Palatino Linotype" w:eastAsia="Palatino Linotype" w:hAnsi="Palatino Linotype" w:cs="Palatino Linotype"/>
          <w:i/>
        </w:rPr>
        <w:t>cumentos, y sus firmas autógrafas o digitales, cuando sean utilizados en el ejercicio de las facultades conferidas para el desempeño del servicio público, y</w:t>
      </w:r>
    </w:p>
    <w:p w14:paraId="1D32AA94" w14:textId="77777777" w:rsidR="007A7615" w:rsidRDefault="00F77212">
      <w:pPr>
        <w:spacing w:before="120" w:after="120" w:line="24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b/>
          <w:i/>
        </w:rPr>
        <w:t>III</w:t>
      </w:r>
      <w:r>
        <w:rPr>
          <w:rFonts w:ascii="Palatino Linotype" w:eastAsia="Palatino Linotype" w:hAnsi="Palatino Linotype" w:cs="Palatino Linotype"/>
          <w:i/>
        </w:rPr>
        <w:t>. La información que documente decisiones y los actos de autoridad concluidos de los sujetos obl</w:t>
      </w:r>
      <w:r>
        <w:rPr>
          <w:rFonts w:ascii="Palatino Linotype" w:eastAsia="Palatino Linotype" w:hAnsi="Palatino Linotype" w:cs="Palatino Linotype"/>
          <w:i/>
        </w:rPr>
        <w:t xml:space="preserve">igados, así como el ejercicio de las facultades o actividades de los servidores públicos, de manera que se pueda valorar el desempeño de los mismos. </w:t>
      </w:r>
    </w:p>
    <w:p w14:paraId="3BC6B6B9"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515CB192" w14:textId="77777777" w:rsidR="007A7615" w:rsidRDefault="00F77212">
      <w:pPr>
        <w:spacing w:before="120" w:after="120" w:line="240"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Quincuagésimo octavo</w:t>
      </w:r>
      <w:r>
        <w:rPr>
          <w:rFonts w:ascii="Palatino Linotype" w:eastAsia="Palatino Linotype" w:hAnsi="Palatino Linotype" w:cs="Palatino Linotype"/>
          <w:i/>
        </w:rPr>
        <w:t>. Los sujetos obligados garantizarán que los sistemas o medios empl</w:t>
      </w:r>
      <w:r>
        <w:rPr>
          <w:rFonts w:ascii="Palatino Linotype" w:eastAsia="Palatino Linotype" w:hAnsi="Palatino Linotype" w:cs="Palatino Linotype"/>
          <w:i/>
        </w:rPr>
        <w:t>eados para eliminar la información en las versiones públicas sean irreversibles, de tal forma que no permitan su recuperación o la visualización de la misma.”</w:t>
      </w:r>
    </w:p>
    <w:p w14:paraId="6C150A20" w14:textId="77777777" w:rsidR="007A7615" w:rsidRDefault="00F77212">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anteriormente expuesto y con fundamento en lo prescrito en los artículos 5 párrafos trigés</w:t>
      </w:r>
      <w:r>
        <w:rPr>
          <w:rFonts w:ascii="Palatino Linotype" w:eastAsia="Palatino Linotype" w:hAnsi="Palatino Linotype" w:cs="Palatino Linotype"/>
        </w:rPr>
        <w:t>imo séptimo, trigésimo octavo y trigésimo noveno de la Constitución Política del Estado Libre y Soberano de México; 2, fracción II; 29, 36 fracciones I y II; 176, 178, 181, 185 y 186 fracción III de la Ley de Transparencia y Acceso a la Información Pública</w:t>
      </w:r>
      <w:r>
        <w:rPr>
          <w:rFonts w:ascii="Palatino Linotype" w:eastAsia="Palatino Linotype" w:hAnsi="Palatino Linotype" w:cs="Palatino Linotype"/>
        </w:rPr>
        <w:t xml:space="preserve"> del Estado de México y Municipios, este Pleno:</w:t>
      </w:r>
    </w:p>
    <w:p w14:paraId="7E325087" w14:textId="77777777" w:rsidR="007A7615" w:rsidRDefault="00F77212">
      <w:pPr>
        <w:spacing w:after="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III. R E S U E L V </w:t>
      </w:r>
      <w:proofErr w:type="gramStart"/>
      <w:r>
        <w:rPr>
          <w:rFonts w:ascii="Palatino Linotype" w:eastAsia="Palatino Linotype" w:hAnsi="Palatino Linotype" w:cs="Palatino Linotype"/>
          <w:b/>
        </w:rPr>
        <w:t>E :</w:t>
      </w:r>
      <w:proofErr w:type="gramEnd"/>
    </w:p>
    <w:p w14:paraId="6B484240" w14:textId="77777777" w:rsidR="007A7615" w:rsidRDefault="00F77212">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parcialmente fundados</w:t>
      </w:r>
      <w:r>
        <w:rPr>
          <w:rFonts w:ascii="Palatino Linotype" w:eastAsia="Palatino Linotype" w:hAnsi="Palatino Linotype" w:cs="Palatino Linotype"/>
        </w:rPr>
        <w:t xml:space="preserve"> los motivos de inconformidad hechos valer por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02799/INFOEM/IP/RR/2025</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lo que, en términos del </w:t>
      </w:r>
      <w:r>
        <w:rPr>
          <w:rFonts w:ascii="Palatino Linotype" w:eastAsia="Palatino Linotype" w:hAnsi="Palatino Linotype" w:cs="Palatino Linotype"/>
        </w:rPr>
        <w:t xml:space="preserve">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w:t>
      </w:r>
      <w:r>
        <w:rPr>
          <w:rFonts w:ascii="Palatino Linotype" w:eastAsia="Palatino Linotype" w:hAnsi="Palatino Linotype" w:cs="Palatino Linotype"/>
          <w:b/>
        </w:rPr>
        <w:t>EL Sujeto Obligado</w:t>
      </w:r>
      <w:r>
        <w:rPr>
          <w:rFonts w:ascii="Palatino Linotype" w:eastAsia="Palatino Linotype" w:hAnsi="Palatino Linotype" w:cs="Palatino Linotype"/>
        </w:rPr>
        <w:t>.</w:t>
      </w:r>
    </w:p>
    <w:p w14:paraId="4E229127" w14:textId="77777777" w:rsidR="007A7615" w:rsidRDefault="00F7721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términos de los Considerandos </w:t>
      </w:r>
      <w:r>
        <w:rPr>
          <w:rFonts w:ascii="Palatino Linotype" w:eastAsia="Palatino Linotype" w:hAnsi="Palatino Linotype" w:cs="Palatino Linotype"/>
          <w:b/>
        </w:rPr>
        <w:t xml:space="preserve">Cuarto y Quinto </w:t>
      </w:r>
      <w:r>
        <w:rPr>
          <w:rFonts w:ascii="Palatino Linotype" w:eastAsia="Palatino Linotype" w:hAnsi="Palatino Linotype" w:cs="Palatino Linotype"/>
        </w:rPr>
        <w:t>de esta resolución, haga entrega vía SAIMEX, previa búsqueda exhaustiva</w:t>
      </w:r>
      <w:r>
        <w:rPr>
          <w:rFonts w:ascii="Palatino Linotype" w:eastAsia="Palatino Linotype" w:hAnsi="Palatino Linotype" w:cs="Palatino Linotype"/>
        </w:rPr>
        <w:t xml:space="preserve"> y razonable, en versión pública, de lo siguiente:</w:t>
      </w:r>
    </w:p>
    <w:p w14:paraId="1F276168" w14:textId="77777777" w:rsidR="007A7615" w:rsidRDefault="00F77212">
      <w:pPr>
        <w:spacing w:before="240" w:after="240" w:line="360" w:lineRule="auto"/>
        <w:ind w:left="284" w:right="49"/>
        <w:jc w:val="both"/>
        <w:rPr>
          <w:rFonts w:ascii="Palatino Linotype" w:eastAsia="Palatino Linotype" w:hAnsi="Palatino Linotype" w:cs="Palatino Linotype"/>
        </w:rPr>
      </w:pPr>
      <w:r>
        <w:rPr>
          <w:rFonts w:ascii="Palatino Linotype" w:eastAsia="Palatino Linotype" w:hAnsi="Palatino Linotype" w:cs="Palatino Linotype"/>
        </w:rPr>
        <w:t>1. Expedientes completos de los procedimientos de adquisición celebrados del uno de enero al diecisiete de febrero de dos mil veinticinco.</w:t>
      </w:r>
    </w:p>
    <w:p w14:paraId="44D09D43" w14:textId="77777777" w:rsidR="007A7615" w:rsidRDefault="00F77212">
      <w:pPr>
        <w:spacing w:before="120" w:after="120" w:line="240" w:lineRule="auto"/>
        <w:ind w:left="284"/>
        <w:jc w:val="both"/>
        <w:rPr>
          <w:rFonts w:ascii="Palatino Linotype" w:eastAsia="Palatino Linotype" w:hAnsi="Palatino Linotype" w:cs="Palatino Linotype"/>
          <w:i/>
          <w:sz w:val="20"/>
          <w:szCs w:val="20"/>
        </w:rPr>
      </w:pPr>
      <w:bookmarkStart w:id="6" w:name="_heading=h.pzdfzumtitwq" w:colFirst="0" w:colLast="0"/>
      <w:bookmarkEnd w:id="6"/>
      <w:r>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w:t>
      </w:r>
      <w:r>
        <w:rPr>
          <w:rFonts w:ascii="Palatino Linotype" w:eastAsia="Palatino Linotype" w:hAnsi="Palatino Linotype" w:cs="Palatino Linotype"/>
          <w:i/>
          <w:sz w:val="20"/>
          <w:szCs w:val="20"/>
        </w:rPr>
        <w:t xml:space="preserve"> supriman o eliminen y se ponga a disposición de la parte </w:t>
      </w:r>
      <w:r>
        <w:rPr>
          <w:rFonts w:ascii="Palatino Linotype" w:eastAsia="Palatino Linotype" w:hAnsi="Palatino Linotype" w:cs="Palatino Linotype"/>
          <w:b/>
          <w:i/>
          <w:sz w:val="20"/>
          <w:szCs w:val="20"/>
        </w:rPr>
        <w:t>Recurrente</w:t>
      </w:r>
      <w:r>
        <w:rPr>
          <w:rFonts w:ascii="Palatino Linotype" w:eastAsia="Palatino Linotype" w:hAnsi="Palatino Linotype" w:cs="Palatino Linotype"/>
          <w:i/>
          <w:sz w:val="20"/>
          <w:szCs w:val="20"/>
        </w:rPr>
        <w:t>, en términos de los artículos 49, fracción VIII, de la Ley de Transparencia y Acceso a la Información Pública del Estado de México y Municipios.</w:t>
      </w:r>
    </w:p>
    <w:p w14:paraId="122DDBF3" w14:textId="77777777" w:rsidR="007A7615" w:rsidRDefault="00F77212">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Notifíquese, </w:t>
      </w:r>
      <w:r>
        <w:rPr>
          <w:rFonts w:ascii="Palatino Linotype" w:eastAsia="Palatino Linotype" w:hAnsi="Palatino Linotype" w:cs="Palatino Linotype"/>
        </w:rPr>
        <w:t>vía</w:t>
      </w:r>
      <w:r>
        <w:rPr>
          <w:rFonts w:ascii="Palatino Linotype" w:eastAsia="Palatino Linotype" w:hAnsi="Palatino Linotype" w:cs="Palatino Linotype"/>
          <w:b/>
        </w:rPr>
        <w:t xml:space="preserve"> SAIMEX, </w:t>
      </w:r>
      <w:r>
        <w:rPr>
          <w:rFonts w:ascii="Palatino Linotype" w:eastAsia="Palatino Linotype" w:hAnsi="Palatino Linotype" w:cs="Palatino Linotype"/>
        </w:rPr>
        <w:t>la pres</w:t>
      </w:r>
      <w:r>
        <w:rPr>
          <w:rFonts w:ascii="Palatino Linotype" w:eastAsia="Palatino Linotype" w:hAnsi="Palatino Linotype" w:cs="Palatino Linotype"/>
        </w:rPr>
        <w:t>ente resolución al Titular de la Unidad de Transparencia del Sujeto Obligado, para que conforme al artículo 186 último párrafo, 189 segundo párrafo y 194 de la Ley de Transparencia y Acceso a la Información Pública del Estado de México y Municipios; dé cum</w:t>
      </w:r>
      <w:r>
        <w:rPr>
          <w:rFonts w:ascii="Palatino Linotype" w:eastAsia="Palatino Linotype" w:hAnsi="Palatino Linotype" w:cs="Palatino Linotype"/>
        </w:rPr>
        <w:t xml:space="preserve">plimiento a lo ordenado dentro del plazo de diez días hábiles, e informe a este Instituto en un plazo de tres días hábiles siguientes sobre el cumplimiento dado a la presente y, se le apercibe que en caso de negarse a cumplir la </w:t>
      </w:r>
      <w:r>
        <w:rPr>
          <w:rFonts w:ascii="Palatino Linotype" w:eastAsia="Palatino Linotype" w:hAnsi="Palatino Linotype" w:cs="Palatino Linotype"/>
        </w:rPr>
        <w:lastRenderedPageBreak/>
        <w:t>presente resolución o hacer</w:t>
      </w:r>
      <w:r>
        <w:rPr>
          <w:rFonts w:ascii="Palatino Linotype" w:eastAsia="Palatino Linotype" w:hAnsi="Palatino Linotype" w:cs="Palatino Linotype"/>
        </w:rPr>
        <w:t>lo de manera parcial, se le impondrá una medida de apremio de conformidad con lo previsto en los artículos 198, 200, fracción III; 214, 215 y 216 de la Ley  de Transparencia y Acceso a la Información Pública del Estado de México y Municipios.</w:t>
      </w:r>
    </w:p>
    <w:p w14:paraId="045BAD22" w14:textId="77777777" w:rsidR="007A7615" w:rsidRDefault="00F77212">
      <w:pPr>
        <w:spacing w:before="240" w:after="240" w:line="360" w:lineRule="auto"/>
        <w:jc w:val="both"/>
        <w:rPr>
          <w:rFonts w:ascii="Palatino Linotype" w:eastAsia="Palatino Linotype" w:hAnsi="Palatino Linotype" w:cs="Palatino Linotype"/>
        </w:rPr>
      </w:pPr>
      <w:bookmarkStart w:id="7" w:name="_heading=h.gjdgxs" w:colFirst="0" w:colLast="0"/>
      <w:bookmarkEnd w:id="7"/>
      <w:r>
        <w:rPr>
          <w:rFonts w:ascii="Palatino Linotype" w:eastAsia="Palatino Linotype" w:hAnsi="Palatino Linotype" w:cs="Palatino Linotype"/>
        </w:rPr>
        <w:t>De conformida</w:t>
      </w:r>
      <w:r>
        <w:rPr>
          <w:rFonts w:ascii="Palatino Linotype" w:eastAsia="Palatino Linotype" w:hAnsi="Palatino Linotype" w:cs="Palatino Linotype"/>
        </w:rPr>
        <w:t xml:space="preserve">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w:t>
      </w:r>
      <w:r>
        <w:rPr>
          <w:rFonts w:ascii="Palatino Linotype" w:eastAsia="Palatino Linotype" w:hAnsi="Palatino Linotype" w:cs="Palatino Linotype"/>
        </w:rPr>
        <w:t>de la presente resolución.</w:t>
      </w:r>
    </w:p>
    <w:p w14:paraId="4C0D9923" w14:textId="77777777" w:rsidR="007A7615" w:rsidRDefault="00F77212">
      <w:pPr>
        <w:spacing w:before="240" w:after="240" w:line="360" w:lineRule="auto"/>
        <w:ind w:right="49"/>
        <w:jc w:val="both"/>
        <w:rPr>
          <w:rFonts w:ascii="Palatino Linotype" w:eastAsia="Palatino Linotype" w:hAnsi="Palatino Linotype" w:cs="Palatino Linotype"/>
        </w:rPr>
      </w:pPr>
      <w:bookmarkStart w:id="8" w:name="_heading=h.ot3qq6vxa08f" w:colFirst="0" w:colLast="0"/>
      <w:bookmarkEnd w:id="8"/>
      <w:r>
        <w:rPr>
          <w:rFonts w:ascii="Palatino Linotype" w:eastAsia="Palatino Linotype" w:hAnsi="Palatino Linotype" w:cs="Palatino Linotype"/>
          <w:b/>
        </w:rPr>
        <w:t xml:space="preserve">Cuarto.  Notifíquese, </w:t>
      </w:r>
      <w:r>
        <w:rPr>
          <w:rFonts w:ascii="Palatino Linotype" w:eastAsia="Palatino Linotype" w:hAnsi="Palatino Linotype" w:cs="Palatino Linotype"/>
        </w:rPr>
        <w:t xml:space="preserve">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w:t>
      </w:r>
      <w:r>
        <w:rPr>
          <w:rFonts w:ascii="Palatino Linotype" w:eastAsia="Palatino Linotype" w:hAnsi="Palatino Linotype" w:cs="Palatino Linotype"/>
        </w:rPr>
        <w:t xml:space="preserve"> Municipios, podrá impugnarla vía Juicio de Amparo en los términos de las leyes aplicables.</w:t>
      </w:r>
    </w:p>
    <w:p w14:paraId="40B8BEDD" w14:textId="77777777" w:rsidR="007A7615" w:rsidRDefault="00F77212">
      <w:pPr>
        <w:spacing w:before="240" w:after="240" w:line="360" w:lineRule="auto"/>
        <w:ind w:right="49"/>
        <w:jc w:val="both"/>
        <w:rPr>
          <w:rFonts w:ascii="Palatino Linotype" w:eastAsia="Palatino Linotype" w:hAnsi="Palatino Linotype" w:cs="Palatino Linotype"/>
        </w:rPr>
      </w:pPr>
      <w:bookmarkStart w:id="9" w:name="_heading=h.fjnb4uycl660" w:colFirst="0" w:colLast="0"/>
      <w:bookmarkEnd w:id="9"/>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w:t>
      </w:r>
      <w:r>
        <w:rPr>
          <w:rFonts w:ascii="Palatino Linotype" w:eastAsia="Palatino Linotype" w:hAnsi="Palatino Linotype" w:cs="Palatino Linotype"/>
        </w:rPr>
        <w:t>XICO Y MUNICIPIOS, CONFORMADO POR LOS COMISIONADOS JOSÉ MARTÍNEZ VILCHIS, MARÍA DEL ROSARIO MEJÍA AYALA, SHARON CRISTINA MORALES MARTÍNEZ; Y GUADALUPE RAMÍREZ PEÑA; EN LA DÉCIMA OCTAVA SESIÓN ORDINARIA CELEBRADA EL VEINTIUNO DE MAYO DE DOS MIL VEINTICINCO,</w:t>
      </w:r>
      <w:r>
        <w:rPr>
          <w:rFonts w:ascii="Palatino Linotype" w:eastAsia="Palatino Linotype" w:hAnsi="Palatino Linotype" w:cs="Palatino Linotype"/>
        </w:rPr>
        <w:t xml:space="preserve"> ANTE EL SECRETARIO TÉCNICO DEL PLENO ALEXIS TAPIA RAMÍREZ. </w:t>
      </w:r>
    </w:p>
    <w:p w14:paraId="0A7EF463" w14:textId="77777777" w:rsidR="007A7615" w:rsidRDefault="007A7615">
      <w:pPr>
        <w:spacing w:after="0" w:line="360" w:lineRule="auto"/>
        <w:ind w:right="49"/>
        <w:jc w:val="both"/>
        <w:rPr>
          <w:rFonts w:ascii="Palatino Linotype" w:eastAsia="Palatino Linotype" w:hAnsi="Palatino Linotype" w:cs="Palatino Linotype"/>
        </w:rPr>
      </w:pPr>
    </w:p>
    <w:p w14:paraId="4372341C" w14:textId="77777777" w:rsidR="007A7615" w:rsidRDefault="007A7615">
      <w:pPr>
        <w:spacing w:after="0" w:line="360" w:lineRule="auto"/>
        <w:ind w:right="49"/>
        <w:jc w:val="both"/>
        <w:rPr>
          <w:rFonts w:ascii="Palatino Linotype" w:eastAsia="Palatino Linotype" w:hAnsi="Palatino Linotype" w:cs="Palatino Linotype"/>
        </w:rPr>
      </w:pPr>
    </w:p>
    <w:p w14:paraId="0F45EE37" w14:textId="77777777" w:rsidR="007A7615" w:rsidRDefault="007A7615">
      <w:pPr>
        <w:spacing w:after="0" w:line="360" w:lineRule="auto"/>
        <w:ind w:right="49"/>
        <w:jc w:val="both"/>
        <w:rPr>
          <w:rFonts w:ascii="Palatino Linotype" w:eastAsia="Palatino Linotype" w:hAnsi="Palatino Linotype" w:cs="Palatino Linotype"/>
        </w:rPr>
      </w:pPr>
    </w:p>
    <w:p w14:paraId="08D077DF" w14:textId="77777777" w:rsidR="007A7615" w:rsidRDefault="007A7615">
      <w:pPr>
        <w:spacing w:after="0" w:line="360" w:lineRule="auto"/>
        <w:ind w:right="49"/>
        <w:jc w:val="both"/>
        <w:rPr>
          <w:rFonts w:ascii="Palatino Linotype" w:eastAsia="Palatino Linotype" w:hAnsi="Palatino Linotype" w:cs="Palatino Linotype"/>
        </w:rPr>
      </w:pPr>
    </w:p>
    <w:p w14:paraId="409348DB" w14:textId="77777777" w:rsidR="007A7615" w:rsidRDefault="007A7615">
      <w:pPr>
        <w:spacing w:after="0" w:line="360" w:lineRule="auto"/>
        <w:ind w:right="49"/>
        <w:jc w:val="both"/>
        <w:rPr>
          <w:rFonts w:ascii="Palatino Linotype" w:eastAsia="Palatino Linotype" w:hAnsi="Palatino Linotype" w:cs="Palatino Linotype"/>
        </w:rPr>
      </w:pPr>
    </w:p>
    <w:p w14:paraId="6D5EBECA" w14:textId="77777777" w:rsidR="007A7615" w:rsidRDefault="007A7615">
      <w:pPr>
        <w:spacing w:after="0" w:line="360" w:lineRule="auto"/>
        <w:ind w:right="49"/>
        <w:jc w:val="both"/>
        <w:rPr>
          <w:rFonts w:ascii="Palatino Linotype" w:eastAsia="Palatino Linotype" w:hAnsi="Palatino Linotype" w:cs="Palatino Linotype"/>
        </w:rPr>
      </w:pPr>
    </w:p>
    <w:p w14:paraId="66CA454A" w14:textId="77777777" w:rsidR="007A7615" w:rsidRDefault="007A7615">
      <w:pPr>
        <w:spacing w:after="0" w:line="360" w:lineRule="auto"/>
        <w:ind w:right="49"/>
        <w:jc w:val="both"/>
        <w:rPr>
          <w:rFonts w:ascii="Palatino Linotype" w:eastAsia="Palatino Linotype" w:hAnsi="Palatino Linotype" w:cs="Palatino Linotype"/>
        </w:rPr>
      </w:pPr>
    </w:p>
    <w:p w14:paraId="78D11619" w14:textId="77777777" w:rsidR="007A7615" w:rsidRDefault="007A7615">
      <w:pPr>
        <w:spacing w:after="0" w:line="360" w:lineRule="auto"/>
        <w:ind w:right="49"/>
        <w:jc w:val="both"/>
        <w:rPr>
          <w:rFonts w:ascii="Palatino Linotype" w:eastAsia="Palatino Linotype" w:hAnsi="Palatino Linotype" w:cs="Palatino Linotype"/>
        </w:rPr>
      </w:pPr>
    </w:p>
    <w:p w14:paraId="0849C4B5" w14:textId="77777777" w:rsidR="007A7615" w:rsidRDefault="007A7615">
      <w:pPr>
        <w:spacing w:after="0" w:line="360" w:lineRule="auto"/>
        <w:ind w:right="49"/>
        <w:jc w:val="both"/>
        <w:rPr>
          <w:rFonts w:ascii="Palatino Linotype" w:eastAsia="Palatino Linotype" w:hAnsi="Palatino Linotype" w:cs="Palatino Linotype"/>
        </w:rPr>
      </w:pPr>
    </w:p>
    <w:p w14:paraId="110BFE8B" w14:textId="77777777" w:rsidR="007A7615" w:rsidRDefault="007A7615">
      <w:pPr>
        <w:spacing w:after="0" w:line="360" w:lineRule="auto"/>
        <w:ind w:right="49"/>
        <w:jc w:val="both"/>
        <w:rPr>
          <w:rFonts w:ascii="Palatino Linotype" w:eastAsia="Palatino Linotype" w:hAnsi="Palatino Linotype" w:cs="Palatino Linotype"/>
        </w:rPr>
      </w:pPr>
    </w:p>
    <w:p w14:paraId="1430C31C" w14:textId="77777777" w:rsidR="007A7615" w:rsidRDefault="007A7615">
      <w:pPr>
        <w:spacing w:after="0" w:line="360" w:lineRule="auto"/>
        <w:ind w:right="49"/>
        <w:jc w:val="both"/>
        <w:rPr>
          <w:rFonts w:ascii="Palatino Linotype" w:eastAsia="Palatino Linotype" w:hAnsi="Palatino Linotype" w:cs="Palatino Linotype"/>
        </w:rPr>
      </w:pPr>
    </w:p>
    <w:p w14:paraId="2DB9CDE2" w14:textId="77777777" w:rsidR="007A7615" w:rsidRDefault="007A7615">
      <w:pPr>
        <w:spacing w:after="0" w:line="360" w:lineRule="auto"/>
        <w:ind w:right="49"/>
        <w:jc w:val="both"/>
        <w:rPr>
          <w:rFonts w:ascii="Palatino Linotype" w:eastAsia="Palatino Linotype" w:hAnsi="Palatino Linotype" w:cs="Palatino Linotype"/>
        </w:rPr>
      </w:pPr>
    </w:p>
    <w:p w14:paraId="4C1C203B" w14:textId="77777777" w:rsidR="007A7615" w:rsidRDefault="007A7615">
      <w:pPr>
        <w:spacing w:after="0" w:line="360" w:lineRule="auto"/>
        <w:ind w:right="49"/>
        <w:jc w:val="both"/>
        <w:rPr>
          <w:rFonts w:ascii="Palatino Linotype" w:eastAsia="Palatino Linotype" w:hAnsi="Palatino Linotype" w:cs="Palatino Linotype"/>
        </w:rPr>
      </w:pPr>
    </w:p>
    <w:p w14:paraId="6E0D5C0F" w14:textId="77777777" w:rsidR="007A7615" w:rsidRDefault="007A7615">
      <w:pPr>
        <w:spacing w:after="0" w:line="360" w:lineRule="auto"/>
        <w:ind w:right="49"/>
        <w:jc w:val="both"/>
        <w:rPr>
          <w:rFonts w:ascii="Palatino Linotype" w:eastAsia="Palatino Linotype" w:hAnsi="Palatino Linotype" w:cs="Palatino Linotype"/>
        </w:rPr>
      </w:pPr>
    </w:p>
    <w:p w14:paraId="1191A97B" w14:textId="77777777" w:rsidR="007A7615" w:rsidRDefault="007A7615">
      <w:pPr>
        <w:spacing w:after="0" w:line="360" w:lineRule="auto"/>
        <w:ind w:right="49"/>
        <w:jc w:val="both"/>
        <w:rPr>
          <w:rFonts w:ascii="Palatino Linotype" w:eastAsia="Palatino Linotype" w:hAnsi="Palatino Linotype" w:cs="Palatino Linotype"/>
        </w:rPr>
      </w:pPr>
    </w:p>
    <w:p w14:paraId="1C1F9B3E" w14:textId="77777777" w:rsidR="007A7615" w:rsidRDefault="007A7615">
      <w:pPr>
        <w:spacing w:after="0" w:line="360" w:lineRule="auto"/>
        <w:ind w:right="49"/>
        <w:jc w:val="both"/>
        <w:rPr>
          <w:rFonts w:ascii="Palatino Linotype" w:eastAsia="Palatino Linotype" w:hAnsi="Palatino Linotype" w:cs="Palatino Linotype"/>
        </w:rPr>
      </w:pPr>
    </w:p>
    <w:p w14:paraId="03935EE9" w14:textId="77777777" w:rsidR="007A7615" w:rsidRDefault="007A7615">
      <w:pPr>
        <w:spacing w:after="0" w:line="360" w:lineRule="auto"/>
        <w:ind w:right="49"/>
        <w:jc w:val="both"/>
        <w:rPr>
          <w:rFonts w:ascii="Palatino Linotype" w:eastAsia="Palatino Linotype" w:hAnsi="Palatino Linotype" w:cs="Palatino Linotype"/>
        </w:rPr>
      </w:pPr>
    </w:p>
    <w:p w14:paraId="47ACCBC3" w14:textId="77777777" w:rsidR="007A7615" w:rsidRDefault="007A7615">
      <w:pPr>
        <w:spacing w:after="0" w:line="360" w:lineRule="auto"/>
        <w:ind w:right="49"/>
        <w:jc w:val="both"/>
        <w:rPr>
          <w:rFonts w:ascii="Palatino Linotype" w:eastAsia="Palatino Linotype" w:hAnsi="Palatino Linotype" w:cs="Palatino Linotype"/>
        </w:rPr>
      </w:pPr>
    </w:p>
    <w:p w14:paraId="4B11DDBE" w14:textId="77777777" w:rsidR="007A7615" w:rsidRDefault="007A7615">
      <w:pPr>
        <w:spacing w:after="0" w:line="360" w:lineRule="auto"/>
        <w:ind w:right="49"/>
        <w:jc w:val="both"/>
        <w:rPr>
          <w:rFonts w:ascii="Palatino Linotype" w:eastAsia="Palatino Linotype" w:hAnsi="Palatino Linotype" w:cs="Palatino Linotype"/>
        </w:rPr>
      </w:pPr>
    </w:p>
    <w:p w14:paraId="07749D11" w14:textId="77777777" w:rsidR="007A7615" w:rsidRDefault="007A7615">
      <w:pPr>
        <w:spacing w:after="0" w:line="360" w:lineRule="auto"/>
        <w:ind w:right="49"/>
        <w:jc w:val="both"/>
        <w:rPr>
          <w:rFonts w:ascii="Palatino Linotype" w:eastAsia="Palatino Linotype" w:hAnsi="Palatino Linotype" w:cs="Palatino Linotype"/>
        </w:rPr>
      </w:pPr>
    </w:p>
    <w:sectPr w:rsidR="007A7615">
      <w:headerReference w:type="default" r:id="rId11"/>
      <w:footerReference w:type="default" r:id="rId12"/>
      <w:headerReference w:type="first" r:id="rId13"/>
      <w:footerReference w:type="first" r:id="rId14"/>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EB908" w14:textId="77777777" w:rsidR="00000000" w:rsidRDefault="00F77212">
      <w:pPr>
        <w:spacing w:after="0" w:line="240" w:lineRule="auto"/>
      </w:pPr>
      <w:r>
        <w:separator/>
      </w:r>
    </w:p>
  </w:endnote>
  <w:endnote w:type="continuationSeparator" w:id="0">
    <w:p w14:paraId="24E277B4" w14:textId="77777777" w:rsidR="00000000" w:rsidRDefault="00F77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91956" w14:textId="77777777" w:rsidR="007A7615" w:rsidRDefault="00F77212">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p>
  <w:p w14:paraId="68CDDA79" w14:textId="77777777" w:rsidR="007A7615" w:rsidRDefault="007A761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626E7" w14:textId="77777777" w:rsidR="007A7615" w:rsidRDefault="00F7721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2</w:t>
    </w:r>
    <w:r>
      <w:rPr>
        <w:b/>
        <w:color w:val="000000"/>
        <w:sz w:val="24"/>
        <w:szCs w:val="24"/>
      </w:rPr>
      <w:fldChar w:fldCharType="end"/>
    </w:r>
  </w:p>
  <w:p w14:paraId="2EDF2E3B" w14:textId="77777777" w:rsidR="007A7615" w:rsidRDefault="007A761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0BB1A" w14:textId="77777777" w:rsidR="00000000" w:rsidRDefault="00F77212">
      <w:pPr>
        <w:spacing w:after="0" w:line="240" w:lineRule="auto"/>
      </w:pPr>
      <w:r>
        <w:separator/>
      </w:r>
    </w:p>
  </w:footnote>
  <w:footnote w:type="continuationSeparator" w:id="0">
    <w:p w14:paraId="7714F860" w14:textId="77777777" w:rsidR="00000000" w:rsidRDefault="00F77212">
      <w:pPr>
        <w:spacing w:after="0" w:line="240" w:lineRule="auto"/>
      </w:pPr>
      <w:r>
        <w:continuationSeparator/>
      </w:r>
    </w:p>
  </w:footnote>
  <w:footnote w:id="1">
    <w:p w14:paraId="7A8DAA76" w14:textId="77777777" w:rsidR="007A7615" w:rsidRDefault="00F77212">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2a. Semanario Judicial de la Federación, Sexta Época, Volumen LII, Tercera Parte, p. 101, Reg. digital </w:t>
      </w:r>
      <w:r>
        <w:rPr>
          <w:rFonts w:ascii="Palatino Linotype" w:eastAsia="Palatino Linotype" w:hAnsi="Palatino Linotype" w:cs="Palatino Linotype"/>
          <w:color w:val="212529"/>
          <w:sz w:val="16"/>
          <w:szCs w:val="16"/>
          <w:highlight w:val="white"/>
        </w:rPr>
        <w:t>267287.</w:t>
      </w:r>
    </w:p>
  </w:footnote>
  <w:footnote w:id="2">
    <w:p w14:paraId="27D176EA" w14:textId="77777777" w:rsidR="007A7615" w:rsidRDefault="00F77212">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P./J. 74/2006, </w:t>
      </w:r>
      <w:r>
        <w:rPr>
          <w:rFonts w:ascii="Palatino Linotype" w:eastAsia="Palatino Linotype" w:hAnsi="Palatino Linotype" w:cs="Palatino Linotype"/>
          <w:i/>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Novena Época, Pleno, Tomo XXIII, Junio 2006, P. 963, Registro digital 174899.</w:t>
      </w:r>
    </w:p>
    <w:p w14:paraId="29CBC733" w14:textId="77777777" w:rsidR="007A7615" w:rsidRDefault="007A7615">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p>
  </w:footnote>
  <w:footnote w:id="3">
    <w:p w14:paraId="09A5C15A" w14:textId="77777777" w:rsidR="007A7615" w:rsidRDefault="00F77212">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[A.]: I.3o.C.35 K (10a.), </w:t>
      </w:r>
      <w:r>
        <w:rPr>
          <w:rFonts w:ascii="Palatino Linotype" w:eastAsia="Palatino Linotype" w:hAnsi="Palatino Linotype" w:cs="Palatino Linotype"/>
          <w:i/>
          <w:color w:val="000000"/>
          <w:sz w:val="16"/>
          <w:szCs w:val="16"/>
        </w:rPr>
        <w:t>Semanario Judicial de la Federación y su Gaceta</w:t>
      </w:r>
      <w:r>
        <w:rPr>
          <w:rFonts w:ascii="Palatino Linotype" w:eastAsia="Palatino Linotype" w:hAnsi="Palatino Linotype" w:cs="Palatino Linotype"/>
          <w:color w:val="000000"/>
          <w:sz w:val="16"/>
          <w:szCs w:val="16"/>
        </w:rPr>
        <w:t xml:space="preserve">, Décima Época, Tribunales Colegiados de Circuito Libro XXVI, Noviembre 2013, P. 1373, Registro </w:t>
      </w:r>
      <w:r>
        <w:rPr>
          <w:rFonts w:ascii="Palatino Linotype" w:eastAsia="Palatino Linotype" w:hAnsi="Palatino Linotype" w:cs="Palatino Linotype"/>
          <w:color w:val="000000"/>
          <w:sz w:val="16"/>
          <w:szCs w:val="16"/>
        </w:rPr>
        <w:t>digital 2004949.</w:t>
      </w:r>
    </w:p>
  </w:footnote>
  <w:footnote w:id="4">
    <w:p w14:paraId="36F75AA9" w14:textId="77777777" w:rsidR="007A7615" w:rsidRDefault="00F77212">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Tesis [J.]: XX.2o. J/24, </w:t>
      </w:r>
      <w:r>
        <w:rPr>
          <w:rFonts w:ascii="Palatino Linotype" w:eastAsia="Palatino Linotype" w:hAnsi="Palatino Linotype" w:cs="Palatino Linotype"/>
          <w:i/>
          <w:color w:val="000000"/>
          <w:sz w:val="16"/>
          <w:szCs w:val="16"/>
        </w:rPr>
        <w:t xml:space="preserve">Semanario Judicial de la Federación y su Gaceta, </w:t>
      </w:r>
      <w:r>
        <w:rPr>
          <w:rFonts w:ascii="Palatino Linotype" w:eastAsia="Palatino Linotype" w:hAnsi="Palatino Linotype" w:cs="Palatino Linotype"/>
          <w:color w:val="000000"/>
          <w:sz w:val="16"/>
          <w:szCs w:val="16"/>
        </w:rPr>
        <w:t>Novena Época, Tribunales Colegiados de Circuito, XXIX, Enero de 2009, P. 2470, Registro digital 168124.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CDB0A" w14:textId="77777777" w:rsidR="007A7615" w:rsidRDefault="00F77212">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3A54C8B9" wp14:editId="61A52637">
          <wp:simplePos x="0" y="0"/>
          <wp:positionH relativeFrom="column">
            <wp:posOffset>-717544</wp:posOffset>
          </wp:positionH>
          <wp:positionV relativeFrom="paragraph">
            <wp:posOffset>-250184</wp:posOffset>
          </wp:positionV>
          <wp:extent cx="7809876" cy="10165823"/>
          <wp:effectExtent l="0" t="0" r="0" b="0"/>
          <wp:wrapNone/>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8"/>
      <w:tblW w:w="5603" w:type="dxa"/>
      <w:tblInd w:w="3611" w:type="dxa"/>
      <w:tblLayout w:type="fixed"/>
      <w:tblLook w:val="0400" w:firstRow="0" w:lastRow="0" w:firstColumn="0" w:lastColumn="0" w:noHBand="0" w:noVBand="1"/>
    </w:tblPr>
    <w:tblGrid>
      <w:gridCol w:w="2551"/>
      <w:gridCol w:w="3052"/>
    </w:tblGrid>
    <w:tr w:rsidR="007A7615" w14:paraId="1E0AF22A" w14:textId="77777777">
      <w:tc>
        <w:tcPr>
          <w:tcW w:w="2551" w:type="dxa"/>
          <w:vAlign w:val="center"/>
        </w:tcPr>
        <w:p w14:paraId="7E0BEFD0" w14:textId="77777777" w:rsidR="007A7615" w:rsidRDefault="00F7721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AFBEEF5" w14:textId="77777777" w:rsidR="007A7615" w:rsidRDefault="00F7721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02799/INFOEM/IP/RR/2025</w:t>
          </w:r>
        </w:p>
      </w:tc>
    </w:tr>
    <w:tr w:rsidR="007A7615" w14:paraId="3F7EA5DB" w14:textId="77777777">
      <w:trPr>
        <w:trHeight w:val="217"/>
      </w:trPr>
      <w:tc>
        <w:tcPr>
          <w:tcW w:w="2551" w:type="dxa"/>
          <w:vAlign w:val="center"/>
        </w:tcPr>
        <w:p w14:paraId="24F901D6" w14:textId="77777777" w:rsidR="007A7615" w:rsidRDefault="00F7721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3052" w:type="dxa"/>
          <w:vAlign w:val="center"/>
        </w:tcPr>
        <w:p w14:paraId="7FC83AA4" w14:textId="77777777" w:rsidR="007A7615" w:rsidRDefault="00F77212">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7A7615" w14:paraId="0C4F08DD" w14:textId="77777777">
      <w:tc>
        <w:tcPr>
          <w:tcW w:w="2551" w:type="dxa"/>
          <w:vAlign w:val="center"/>
        </w:tcPr>
        <w:p w14:paraId="78AD9B32" w14:textId="77777777" w:rsidR="007A7615" w:rsidRDefault="00F7721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3727C8CC" w14:textId="77777777" w:rsidR="007A7615" w:rsidRDefault="00F7721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F13B617" w14:textId="77777777" w:rsidR="007A7615" w:rsidRDefault="007A7615">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1541D" w14:textId="77777777" w:rsidR="007A7615" w:rsidRDefault="00F77212">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17B7F0FD" wp14:editId="06A4C7B2">
          <wp:simplePos x="0" y="0"/>
          <wp:positionH relativeFrom="column">
            <wp:posOffset>-725799</wp:posOffset>
          </wp:positionH>
          <wp:positionV relativeFrom="paragraph">
            <wp:posOffset>-29836</wp:posOffset>
          </wp:positionV>
          <wp:extent cx="7809865" cy="10165715"/>
          <wp:effectExtent l="0" t="0" r="0" b="0"/>
          <wp:wrapNone/>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529" w:type="dxa"/>
      <w:tblInd w:w="3402" w:type="dxa"/>
      <w:tblLayout w:type="fixed"/>
      <w:tblLook w:val="0400" w:firstRow="0" w:lastRow="0" w:firstColumn="0" w:lastColumn="0" w:noHBand="0" w:noVBand="1"/>
    </w:tblPr>
    <w:tblGrid>
      <w:gridCol w:w="2552"/>
      <w:gridCol w:w="2977"/>
    </w:tblGrid>
    <w:tr w:rsidR="007A7615" w14:paraId="563223F7" w14:textId="77777777">
      <w:tc>
        <w:tcPr>
          <w:tcW w:w="2552" w:type="dxa"/>
          <w:vAlign w:val="center"/>
        </w:tcPr>
        <w:p w14:paraId="4304D4B8" w14:textId="77777777" w:rsidR="007A7615" w:rsidRDefault="00F7721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2977" w:type="dxa"/>
          <w:vAlign w:val="center"/>
        </w:tcPr>
        <w:p w14:paraId="2B617E2C" w14:textId="77777777" w:rsidR="007A7615" w:rsidRDefault="00F7721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02799/INFOEM/IP/RR/2025</w:t>
          </w:r>
        </w:p>
      </w:tc>
    </w:tr>
    <w:tr w:rsidR="007A7615" w14:paraId="3DAF24FD" w14:textId="77777777">
      <w:tc>
        <w:tcPr>
          <w:tcW w:w="2552" w:type="dxa"/>
          <w:vAlign w:val="center"/>
        </w:tcPr>
        <w:p w14:paraId="5C9AAD98" w14:textId="77777777" w:rsidR="007A7615" w:rsidRDefault="00F7721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2977" w:type="dxa"/>
          <w:vAlign w:val="center"/>
        </w:tcPr>
        <w:p w14:paraId="35028B84" w14:textId="77777777" w:rsidR="007A7615" w:rsidRDefault="007A7615">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7A7615" w14:paraId="203A02ED" w14:textId="77777777">
      <w:trPr>
        <w:trHeight w:val="152"/>
      </w:trPr>
      <w:tc>
        <w:tcPr>
          <w:tcW w:w="2552" w:type="dxa"/>
          <w:vAlign w:val="center"/>
        </w:tcPr>
        <w:p w14:paraId="032AD62E" w14:textId="77777777" w:rsidR="007A7615" w:rsidRDefault="00F77212">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tc>
      <w:tc>
        <w:tcPr>
          <w:tcW w:w="2977" w:type="dxa"/>
        </w:tcPr>
        <w:p w14:paraId="1D675524" w14:textId="77777777" w:rsidR="007A7615" w:rsidRDefault="00F77212">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Toluca</w:t>
          </w:r>
        </w:p>
      </w:tc>
    </w:tr>
    <w:tr w:rsidR="007A7615" w14:paraId="7504313A" w14:textId="77777777">
      <w:tc>
        <w:tcPr>
          <w:tcW w:w="2552" w:type="dxa"/>
          <w:vAlign w:val="center"/>
        </w:tcPr>
        <w:p w14:paraId="6C8EF518" w14:textId="77777777" w:rsidR="007A7615" w:rsidRDefault="00F7721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2977" w:type="dxa"/>
          <w:vAlign w:val="center"/>
        </w:tcPr>
        <w:p w14:paraId="435D7FFF" w14:textId="77777777" w:rsidR="007A7615" w:rsidRDefault="00F77212">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3CE164DF" w14:textId="77777777" w:rsidR="007A7615" w:rsidRDefault="00F77212">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C95A6F"/>
    <w:multiLevelType w:val="multilevel"/>
    <w:tmpl w:val="5242FDF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615"/>
    <w:rsid w:val="007A7615"/>
    <w:rsid w:val="00F772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881F6"/>
  <w15:docId w15:val="{636A28FA-60BE-4E88-A7D3-6A1006EE8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spacing w:after="0" w:line="240" w:lineRule="auto"/>
    </w:pPr>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top w:w="15" w:type="dxa"/>
        <w:left w:w="115" w:type="dxa"/>
        <w:bottom w:w="15" w:type="dxa"/>
        <w:right w:w="115" w:type="dxa"/>
      </w:tblCellMar>
    </w:tblPr>
  </w:style>
  <w:style w:type="table" w:customStyle="1" w:styleId="a1">
    <w:basedOn w:val="TableNormal3"/>
    <w:tblPr>
      <w:tblStyleRowBandSize w:val="1"/>
      <w:tblStyleColBandSize w:val="1"/>
      <w:tblCellMar>
        <w:top w:w="15" w:type="dxa"/>
        <w:left w:w="115" w:type="dxa"/>
        <w:bottom w:w="15" w:type="dxa"/>
        <w:right w:w="115" w:type="dxa"/>
      </w:tblCellMar>
    </w:tblPr>
  </w:style>
  <w:style w:type="paragraph" w:styleId="Encabezado">
    <w:name w:val="header"/>
    <w:basedOn w:val="Normal"/>
    <w:link w:val="EncabezadoCar"/>
    <w:uiPriority w:val="99"/>
    <w:unhideWhenUsed/>
    <w:rsid w:val="008D17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D175B"/>
  </w:style>
  <w:style w:type="paragraph" w:styleId="Piedepgina">
    <w:name w:val="footer"/>
    <w:basedOn w:val="Normal"/>
    <w:link w:val="PiedepginaCar"/>
    <w:uiPriority w:val="99"/>
    <w:unhideWhenUsed/>
    <w:rsid w:val="008D17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175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A52E0"/>
    <w:pPr>
      <w:ind w:left="720"/>
      <w:contextualSpacing/>
    </w:pPr>
  </w:style>
  <w:style w:type="character" w:styleId="Hipervnculo">
    <w:name w:val="Hyperlink"/>
    <w:basedOn w:val="Fuentedeprrafopredeter"/>
    <w:uiPriority w:val="99"/>
    <w:unhideWhenUsed/>
    <w:rsid w:val="009D3057"/>
    <w:rPr>
      <w:color w:val="0000FF" w:themeColor="hyperlink"/>
      <w:u w:val="single"/>
    </w:rPr>
  </w:style>
  <w:style w:type="character" w:customStyle="1" w:styleId="Mencinsinresolver1">
    <w:name w:val="Mención sin resolver1"/>
    <w:basedOn w:val="Fuentedeprrafopredeter"/>
    <w:uiPriority w:val="99"/>
    <w:semiHidden/>
    <w:unhideWhenUsed/>
    <w:rsid w:val="009D3057"/>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35D09"/>
  </w:style>
  <w:style w:type="table" w:customStyle="1" w:styleId="a2">
    <w:basedOn w:val="TableNormal3"/>
    <w:tblPr>
      <w:tblStyleRowBandSize w:val="1"/>
      <w:tblStyleColBandSize w:val="1"/>
      <w:tblCellMar>
        <w:top w:w="15" w:type="dxa"/>
        <w:left w:w="115" w:type="dxa"/>
        <w:bottom w:w="15" w:type="dxa"/>
        <w:right w:w="115" w:type="dxa"/>
      </w:tblCellMar>
    </w:tblPr>
  </w:style>
  <w:style w:type="table" w:customStyle="1" w:styleId="a3">
    <w:basedOn w:val="TableNormal3"/>
    <w:tblPr>
      <w:tblStyleRowBandSize w:val="1"/>
      <w:tblStyleColBandSize w:val="1"/>
      <w:tblCellMar>
        <w:top w:w="15" w:type="dxa"/>
        <w:left w:w="115" w:type="dxa"/>
        <w:bottom w:w="15" w:type="dxa"/>
        <w:right w:w="115" w:type="dxa"/>
      </w:tblCellMar>
    </w:tblPr>
  </w:style>
  <w:style w:type="table" w:customStyle="1" w:styleId="a4">
    <w:basedOn w:val="TableNormal2"/>
    <w:tblPr>
      <w:tblStyleRowBandSize w:val="1"/>
      <w:tblStyleColBandSize w:val="1"/>
      <w:tblCellMar>
        <w:top w:w="15" w:type="dxa"/>
        <w:left w:w="115" w:type="dxa"/>
        <w:bottom w:w="15" w:type="dxa"/>
        <w:right w:w="115" w:type="dxa"/>
      </w:tblCellMar>
    </w:tblPr>
  </w:style>
  <w:style w:type="table" w:customStyle="1" w:styleId="a5">
    <w:basedOn w:val="TableNormal2"/>
    <w:tblPr>
      <w:tblStyleRowBandSize w:val="1"/>
      <w:tblStyleColBandSize w:val="1"/>
      <w:tblCellMar>
        <w:top w:w="15" w:type="dxa"/>
        <w:left w:w="115" w:type="dxa"/>
        <w:bottom w:w="15" w:type="dxa"/>
        <w:right w:w="115" w:type="dxa"/>
      </w:tblCellMar>
    </w:tblPr>
  </w:style>
  <w:style w:type="character" w:customStyle="1" w:styleId="Mencinsinresolver2">
    <w:name w:val="Mención sin resolver2"/>
    <w:basedOn w:val="Fuentedeprrafopredeter"/>
    <w:uiPriority w:val="99"/>
    <w:semiHidden/>
    <w:unhideWhenUsed/>
    <w:rsid w:val="003D0BAB"/>
    <w:rPr>
      <w:color w:val="605E5C"/>
      <w:shd w:val="clear" w:color="auto" w:fill="E1DFDD"/>
    </w:rPr>
  </w:style>
  <w:style w:type="character" w:styleId="Hipervnculovisitado">
    <w:name w:val="FollowedHyperlink"/>
    <w:basedOn w:val="Fuentedeprrafopredeter"/>
    <w:uiPriority w:val="99"/>
    <w:semiHidden/>
    <w:unhideWhenUsed/>
    <w:rsid w:val="00D8488F"/>
    <w:rPr>
      <w:color w:val="800080"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semiHidden/>
    <w:unhideWhenUsed/>
    <w:qFormat/>
    <w:rsid w:val="00104B16"/>
    <w:pPr>
      <w:spacing w:after="0" w:line="240" w:lineRule="auto"/>
    </w:pPr>
    <w:rPr>
      <w:rFonts w:ascii="Arial" w:eastAsia="Times New Roman" w:hAnsi="Arial" w:cs="Arial"/>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rsid w:val="00104B16"/>
    <w:rPr>
      <w:rFonts w:ascii="Arial" w:eastAsia="Times New Roman" w:hAnsi="Arial" w:cs="Arial"/>
      <w:sz w:val="20"/>
      <w:szCs w:val="20"/>
      <w:lang w:val="es-ES"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semiHidden/>
    <w:unhideWhenUsed/>
    <w:qFormat/>
    <w:rsid w:val="00104B16"/>
    <w:rPr>
      <w:vertAlign w:val="superscript"/>
    </w:rPr>
  </w:style>
  <w:style w:type="table" w:customStyle="1" w:styleId="a6">
    <w:basedOn w:val="TableNormal1"/>
    <w:tblPr>
      <w:tblStyleRowBandSize w:val="1"/>
      <w:tblStyleColBandSize w:val="1"/>
      <w:tblCellMar>
        <w:top w:w="15" w:type="dxa"/>
        <w:left w:w="115" w:type="dxa"/>
        <w:bottom w:w="15" w:type="dxa"/>
        <w:right w:w="115" w:type="dxa"/>
      </w:tblCellMar>
    </w:tblPr>
  </w:style>
  <w:style w:type="table" w:customStyle="1" w:styleId="a7">
    <w:basedOn w:val="TableNormal1"/>
    <w:tblPr>
      <w:tblStyleRowBandSize w:val="1"/>
      <w:tblStyleColBandSize w:val="1"/>
      <w:tblCellMar>
        <w:top w:w="15" w:type="dxa"/>
        <w:left w:w="115" w:type="dxa"/>
        <w:bottom w:w="15" w:type="dxa"/>
        <w:right w:w="115" w:type="dxa"/>
      </w:tblCellMar>
    </w:tblPr>
  </w:style>
  <w:style w:type="table" w:customStyle="1" w:styleId="a8">
    <w:basedOn w:val="TableNormal0"/>
    <w:tblPr>
      <w:tblStyleRowBandSize w:val="1"/>
      <w:tblStyleColBandSize w:val="1"/>
      <w:tblCellMar>
        <w:top w:w="15" w:type="dxa"/>
        <w:left w:w="115" w:type="dxa"/>
        <w:bottom w:w="15" w:type="dxa"/>
        <w:right w:w="115" w:type="dxa"/>
      </w:tblCellMar>
    </w:tblPr>
  </w:style>
  <w:style w:type="table" w:customStyle="1" w:styleId="a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mjf+NiT2/kQQxg2HsWvzDZZQA==">CgMxLjAyCWguMzBqMHpsbDIJaC4yczhleW8xMghoLnR5amN3dDIJaC4zem55c2g3MgloLjJldDkycDAyDmgub3UzNGhrM2h1dHFhMg5oLnB6ZGZ6dW10aXR3cTIIaC5namRneHMyDmgub3QzcXE2dnhhMDhmMg5oLmZqbmI0dXljbDY2MDgAciExTHI2Z0JJNFBBbHVZN29lMDJvM1lLN1FLX0ZLQ3BoM1M=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359F400-DACE-4028-AECD-0B28114D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48</Pages>
  <Words>13981</Words>
  <Characters>76900</Characters>
  <Application>Microsoft Office Word</Application>
  <DocSecurity>0</DocSecurity>
  <Lines>640</Lines>
  <Paragraphs>181</Paragraphs>
  <ScaleCrop>false</ScaleCrop>
  <Company/>
  <LinksUpToDate>false</LinksUpToDate>
  <CharactersWithSpaces>90700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dcterms:created xsi:type="dcterms:W3CDTF">2025-06-04T22:59:00Z</dcterms:created>
  <dcterms:modified xsi:type="dcterms:W3CDTF">2025-06-04T22:59:00Z</dcterms:modified>
</cp:coreProperties>
</file>