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ECB6" w14:textId="77777777" w:rsidR="001F63B3" w:rsidRDefault="001F63B3">
      <w:pPr>
        <w:widowControl w:val="0"/>
        <w:pBdr>
          <w:top w:val="nil"/>
          <w:left w:val="nil"/>
          <w:bottom w:val="nil"/>
          <w:right w:val="nil"/>
          <w:between w:val="nil"/>
        </w:pBdr>
        <w:spacing w:after="0" w:line="276" w:lineRule="auto"/>
        <w:jc w:val="left"/>
      </w:pPr>
    </w:p>
    <w:p w14:paraId="7B99D7E8" w14:textId="77777777" w:rsidR="001F63B3" w:rsidRDefault="00FE38DE">
      <w:pPr>
        <w:keepNext/>
        <w:keepLines/>
        <w:pBdr>
          <w:top w:val="nil"/>
          <w:left w:val="nil"/>
          <w:bottom w:val="nil"/>
          <w:right w:val="nil"/>
          <w:between w:val="nil"/>
        </w:pBdr>
        <w:spacing w:after="0" w:line="360" w:lineRule="auto"/>
        <w:jc w:val="center"/>
        <w:rPr>
          <w:color w:val="000000"/>
        </w:rPr>
      </w:pPr>
      <w:r>
        <w:rPr>
          <w:color w:val="000000"/>
        </w:rPr>
        <w:t>RESOLUCIÓN DEL RECURSO DE REVISIÓN 04951/INFOEM/IP/RR/2025</w:t>
      </w:r>
    </w:p>
    <w:p w14:paraId="57FCDEA9" w14:textId="77777777" w:rsidR="001F63B3" w:rsidRDefault="001F63B3"/>
    <w:sdt>
      <w:sdtPr>
        <w:id w:val="935915799"/>
        <w:docPartObj>
          <w:docPartGallery w:val="Table of Contents"/>
          <w:docPartUnique/>
        </w:docPartObj>
      </w:sdtPr>
      <w:sdtContent>
        <w:p w14:paraId="1AF6CB25" w14:textId="77777777" w:rsidR="001F63B3" w:rsidRDefault="00FE38DE">
          <w:pPr>
            <w:pBdr>
              <w:top w:val="nil"/>
              <w:left w:val="nil"/>
              <w:bottom w:val="nil"/>
              <w:right w:val="nil"/>
              <w:between w:val="nil"/>
            </w:pBdr>
            <w:tabs>
              <w:tab w:val="right" w:pos="9072"/>
            </w:tabs>
            <w:spacing w:after="100" w:line="360" w:lineRule="auto"/>
            <w:rPr>
              <w:rFonts w:ascii="Calibri" w:eastAsia="Calibri" w:hAnsi="Calibri" w:cs="Calibri"/>
              <w:color w:val="000000"/>
              <w:sz w:val="24"/>
              <w:szCs w:val="24"/>
            </w:rPr>
          </w:pPr>
          <w:r>
            <w:fldChar w:fldCharType="begin"/>
          </w:r>
          <w:r>
            <w:instrText xml:space="preserve"> TOC \h \u \z \t "Heading 1,1,Heading 2,2,Heading 3,3,"</w:instrText>
          </w:r>
          <w:r>
            <w:fldChar w:fldCharType="separate"/>
          </w:r>
          <w:hyperlink w:anchor="_heading=h.moluqqjp9jqf">
            <w:r>
              <w:rPr>
                <w:color w:val="000000"/>
                <w:sz w:val="20"/>
                <w:szCs w:val="20"/>
              </w:rPr>
              <w:t>A N T E C E D E N T E S</w:t>
            </w:r>
          </w:hyperlink>
          <w:hyperlink w:anchor="_heading=h.moluqqjp9jqf">
            <w:r>
              <w:rPr>
                <w:rFonts w:ascii="Times New Roman" w:eastAsia="Times New Roman" w:hAnsi="Times New Roman" w:cs="Times New Roman"/>
                <w:color w:val="000000"/>
                <w:sz w:val="20"/>
                <w:szCs w:val="20"/>
              </w:rPr>
              <w:tab/>
              <w:t>2</w:t>
            </w:r>
          </w:hyperlink>
        </w:p>
        <w:p w14:paraId="08DC0471"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b6ospi2f9j6">
            <w:r>
              <w:rPr>
                <w:color w:val="000000"/>
                <w:sz w:val="20"/>
                <w:szCs w:val="20"/>
              </w:rPr>
              <w:t>I. Presentación de la solicitud de información</w:t>
            </w:r>
          </w:hyperlink>
          <w:hyperlink w:anchor="_heading=h.b6ospi2f9j6">
            <w:r>
              <w:rPr>
                <w:rFonts w:ascii="Times New Roman" w:eastAsia="Times New Roman" w:hAnsi="Times New Roman" w:cs="Times New Roman"/>
                <w:color w:val="000000"/>
                <w:sz w:val="20"/>
                <w:szCs w:val="20"/>
              </w:rPr>
              <w:tab/>
              <w:t>2</w:t>
            </w:r>
          </w:hyperlink>
        </w:p>
        <w:p w14:paraId="7BA306CA"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2qneckb3y2ml">
            <w:r>
              <w:rPr>
                <w:color w:val="000000"/>
                <w:sz w:val="20"/>
                <w:szCs w:val="20"/>
              </w:rPr>
              <w:t>II. Respuesta del Sujeto Obligado</w:t>
            </w:r>
          </w:hyperlink>
          <w:hyperlink w:anchor="_heading=h.2qneckb3y2ml">
            <w:r>
              <w:rPr>
                <w:rFonts w:ascii="Times New Roman" w:eastAsia="Times New Roman" w:hAnsi="Times New Roman" w:cs="Times New Roman"/>
                <w:color w:val="000000"/>
                <w:sz w:val="20"/>
                <w:szCs w:val="20"/>
              </w:rPr>
              <w:tab/>
              <w:t>3</w:t>
            </w:r>
          </w:hyperlink>
        </w:p>
        <w:p w14:paraId="384865E0"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ojhz9d8zabfn">
            <w:r>
              <w:rPr>
                <w:color w:val="000000"/>
                <w:sz w:val="20"/>
                <w:szCs w:val="20"/>
              </w:rPr>
              <w:t>III. Interposición del Recurso de Revisión</w:t>
            </w:r>
          </w:hyperlink>
          <w:hyperlink w:anchor="_heading=h.ojhz9d8zabfn">
            <w:r>
              <w:rPr>
                <w:rFonts w:ascii="Times New Roman" w:eastAsia="Times New Roman" w:hAnsi="Times New Roman" w:cs="Times New Roman"/>
                <w:color w:val="000000"/>
                <w:sz w:val="20"/>
                <w:szCs w:val="20"/>
              </w:rPr>
              <w:tab/>
              <w:t>4</w:t>
            </w:r>
          </w:hyperlink>
        </w:p>
        <w:p w14:paraId="4C790AD5" w14:textId="77777777" w:rsidR="001F63B3" w:rsidRDefault="00FE38DE" w:rsidP="00F13B25">
          <w:pPr>
            <w:pBdr>
              <w:top w:val="nil"/>
              <w:left w:val="nil"/>
              <w:bottom w:val="nil"/>
              <w:right w:val="nil"/>
              <w:between w:val="nil"/>
            </w:pBdr>
            <w:tabs>
              <w:tab w:val="right" w:pos="8921"/>
            </w:tabs>
            <w:spacing w:after="100" w:line="240" w:lineRule="auto"/>
            <w:ind w:left="200"/>
            <w:jc w:val="left"/>
            <w:rPr>
              <w:rFonts w:ascii="Calibri" w:eastAsia="Calibri" w:hAnsi="Calibri" w:cs="Calibri"/>
              <w:color w:val="000000"/>
              <w:sz w:val="24"/>
              <w:szCs w:val="24"/>
            </w:rPr>
          </w:pPr>
          <w:hyperlink w:anchor="_heading=h.yay43cf0yvyb">
            <w:r>
              <w:rPr>
                <w:color w:val="000000"/>
                <w:sz w:val="20"/>
                <w:szCs w:val="20"/>
              </w:rPr>
              <w:t>IV. Trámite del Recurso de Revisión ante este Instituto</w:t>
            </w:r>
          </w:hyperlink>
          <w:hyperlink w:anchor="_heading=h.yay43cf0yvyb">
            <w:r>
              <w:rPr>
                <w:rFonts w:ascii="Times New Roman" w:eastAsia="Times New Roman" w:hAnsi="Times New Roman" w:cs="Times New Roman"/>
                <w:color w:val="000000"/>
                <w:sz w:val="20"/>
                <w:szCs w:val="20"/>
              </w:rPr>
              <w:tab/>
              <w:t>5</w:t>
            </w:r>
          </w:hyperlink>
        </w:p>
        <w:p w14:paraId="5AA159A8"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to37jes9zceb">
            <w:r>
              <w:rPr>
                <w:color w:val="000000"/>
                <w:sz w:val="20"/>
                <w:szCs w:val="20"/>
              </w:rPr>
              <w:t>a) Turno del Medio de Impugnación.</w:t>
            </w:r>
          </w:hyperlink>
          <w:hyperlink w:anchor="_heading=h.to37jes9zceb">
            <w:r>
              <w:rPr>
                <w:rFonts w:ascii="Times New Roman" w:eastAsia="Times New Roman" w:hAnsi="Times New Roman" w:cs="Times New Roman"/>
                <w:color w:val="000000"/>
                <w:sz w:val="20"/>
                <w:szCs w:val="20"/>
              </w:rPr>
              <w:tab/>
              <w:t>5</w:t>
            </w:r>
          </w:hyperlink>
        </w:p>
        <w:p w14:paraId="7AF9586C"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cdtvi5qcn054">
            <w:r>
              <w:rPr>
                <w:color w:val="000000"/>
                <w:sz w:val="20"/>
                <w:szCs w:val="20"/>
              </w:rPr>
              <w:t>b) Admisión del Recurso de Revisión.</w:t>
            </w:r>
          </w:hyperlink>
          <w:hyperlink w:anchor="_heading=h.cdtvi5qcn054">
            <w:r>
              <w:rPr>
                <w:rFonts w:ascii="Times New Roman" w:eastAsia="Times New Roman" w:hAnsi="Times New Roman" w:cs="Times New Roman"/>
                <w:color w:val="000000"/>
                <w:sz w:val="20"/>
                <w:szCs w:val="20"/>
              </w:rPr>
              <w:tab/>
              <w:t>5</w:t>
            </w:r>
          </w:hyperlink>
        </w:p>
        <w:p w14:paraId="4AC211A2"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p3l7qv4q3wqs">
            <w:r>
              <w:rPr>
                <w:color w:val="000000"/>
                <w:sz w:val="20"/>
                <w:szCs w:val="20"/>
              </w:rPr>
              <w:t>c) Informe Justificado.</w:t>
            </w:r>
          </w:hyperlink>
          <w:hyperlink w:anchor="_heading=h.p3l7qv4q3wqs">
            <w:r>
              <w:rPr>
                <w:rFonts w:ascii="Times New Roman" w:eastAsia="Times New Roman" w:hAnsi="Times New Roman" w:cs="Times New Roman"/>
                <w:color w:val="000000"/>
                <w:sz w:val="20"/>
                <w:szCs w:val="20"/>
              </w:rPr>
              <w:tab/>
              <w:t>5</w:t>
            </w:r>
          </w:hyperlink>
        </w:p>
        <w:p w14:paraId="122B4AFF"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jddj0y9xb52b">
            <w:r>
              <w:rPr>
                <w:color w:val="000000"/>
                <w:sz w:val="20"/>
                <w:szCs w:val="20"/>
              </w:rPr>
              <w:t>e) Cierre de instrucción.</w:t>
            </w:r>
          </w:hyperlink>
          <w:hyperlink w:anchor="_heading=h.jddj0y9xb52b">
            <w:r>
              <w:rPr>
                <w:rFonts w:ascii="Times New Roman" w:eastAsia="Times New Roman" w:hAnsi="Times New Roman" w:cs="Times New Roman"/>
                <w:color w:val="000000"/>
                <w:sz w:val="20"/>
                <w:szCs w:val="20"/>
              </w:rPr>
              <w:tab/>
              <w:t>7</w:t>
            </w:r>
          </w:hyperlink>
        </w:p>
        <w:p w14:paraId="21E8D5A1" w14:textId="77777777" w:rsidR="001F63B3" w:rsidRDefault="00FE38DE">
          <w:pPr>
            <w:pBdr>
              <w:top w:val="nil"/>
              <w:left w:val="nil"/>
              <w:bottom w:val="nil"/>
              <w:right w:val="nil"/>
              <w:between w:val="nil"/>
            </w:pBdr>
            <w:tabs>
              <w:tab w:val="right" w:pos="9072"/>
            </w:tabs>
            <w:spacing w:after="100" w:line="360" w:lineRule="auto"/>
            <w:rPr>
              <w:rFonts w:ascii="Calibri" w:eastAsia="Calibri" w:hAnsi="Calibri" w:cs="Calibri"/>
              <w:color w:val="000000"/>
              <w:sz w:val="24"/>
              <w:szCs w:val="24"/>
            </w:rPr>
          </w:pPr>
          <w:hyperlink w:anchor="_heading=h.j0vk7g6ipmu2">
            <w:r>
              <w:rPr>
                <w:color w:val="000000"/>
                <w:sz w:val="20"/>
                <w:szCs w:val="20"/>
              </w:rPr>
              <w:t>C O N S I D E R A N D O S</w:t>
            </w:r>
          </w:hyperlink>
          <w:hyperlink w:anchor="_heading=h.j0vk7g6ipmu2">
            <w:r>
              <w:rPr>
                <w:rFonts w:ascii="Times New Roman" w:eastAsia="Times New Roman" w:hAnsi="Times New Roman" w:cs="Times New Roman"/>
                <w:color w:val="000000"/>
                <w:sz w:val="20"/>
                <w:szCs w:val="20"/>
              </w:rPr>
              <w:tab/>
              <w:t>8</w:t>
            </w:r>
          </w:hyperlink>
        </w:p>
        <w:p w14:paraId="7C5855C7"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u1aiz7y2078h">
            <w:r>
              <w:rPr>
                <w:color w:val="000000"/>
                <w:sz w:val="20"/>
                <w:szCs w:val="20"/>
              </w:rPr>
              <w:t>PRIMERO. Competencia</w:t>
            </w:r>
          </w:hyperlink>
          <w:hyperlink w:anchor="_heading=h.u1aiz7y2078h">
            <w:r>
              <w:rPr>
                <w:rFonts w:ascii="Times New Roman" w:eastAsia="Times New Roman" w:hAnsi="Times New Roman" w:cs="Times New Roman"/>
                <w:color w:val="000000"/>
                <w:sz w:val="20"/>
                <w:szCs w:val="20"/>
              </w:rPr>
              <w:tab/>
              <w:t>8</w:t>
            </w:r>
          </w:hyperlink>
        </w:p>
        <w:p w14:paraId="63DFC0C1"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9z66i5nnpepq">
            <w:r>
              <w:rPr>
                <w:color w:val="000000"/>
                <w:sz w:val="20"/>
                <w:szCs w:val="20"/>
              </w:rPr>
              <w:t>SEGUNDO. Causales de improcedencia</w:t>
            </w:r>
          </w:hyperlink>
          <w:hyperlink w:anchor="_heading=h.9z66i5nnpepq">
            <w:r>
              <w:rPr>
                <w:rFonts w:ascii="Times New Roman" w:eastAsia="Times New Roman" w:hAnsi="Times New Roman" w:cs="Times New Roman"/>
                <w:color w:val="000000"/>
                <w:sz w:val="20"/>
                <w:szCs w:val="20"/>
              </w:rPr>
              <w:tab/>
              <w:t>8</w:t>
            </w:r>
          </w:hyperlink>
        </w:p>
        <w:p w14:paraId="19F2A9EC"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v6ttqp9ai79z">
            <w:r>
              <w:rPr>
                <w:color w:val="000000"/>
                <w:sz w:val="20"/>
                <w:szCs w:val="20"/>
              </w:rPr>
              <w:t>TERCERO. Causales de sobreseimiento</w:t>
            </w:r>
          </w:hyperlink>
          <w:hyperlink w:anchor="_heading=h.v6ttqp9ai79z">
            <w:r>
              <w:rPr>
                <w:rFonts w:ascii="Times New Roman" w:eastAsia="Times New Roman" w:hAnsi="Times New Roman" w:cs="Times New Roman"/>
                <w:color w:val="000000"/>
                <w:sz w:val="20"/>
                <w:szCs w:val="20"/>
              </w:rPr>
              <w:tab/>
              <w:t>9</w:t>
            </w:r>
          </w:hyperlink>
        </w:p>
        <w:p w14:paraId="0D6D753D" w14:textId="77777777" w:rsidR="001F63B3" w:rsidRDefault="00FE38DE">
          <w:pPr>
            <w:pBdr>
              <w:top w:val="nil"/>
              <w:left w:val="nil"/>
              <w:bottom w:val="nil"/>
              <w:right w:val="nil"/>
              <w:between w:val="nil"/>
            </w:pBdr>
            <w:tabs>
              <w:tab w:val="right" w:pos="8921"/>
            </w:tabs>
            <w:spacing w:after="100" w:line="360" w:lineRule="auto"/>
            <w:ind w:left="200"/>
            <w:jc w:val="left"/>
            <w:rPr>
              <w:rFonts w:ascii="Calibri" w:eastAsia="Calibri" w:hAnsi="Calibri" w:cs="Calibri"/>
              <w:color w:val="000000"/>
              <w:sz w:val="24"/>
              <w:szCs w:val="24"/>
            </w:rPr>
          </w:pPr>
          <w:hyperlink w:anchor="_heading=h.lif09txgh9ok">
            <w:r>
              <w:rPr>
                <w:color w:val="000000"/>
                <w:sz w:val="20"/>
                <w:szCs w:val="20"/>
              </w:rPr>
              <w:t>CUARTO. Decisión.</w:t>
            </w:r>
          </w:hyperlink>
          <w:hyperlink w:anchor="_heading=h.lif09txgh9ok">
            <w:r>
              <w:rPr>
                <w:rFonts w:ascii="Times New Roman" w:eastAsia="Times New Roman" w:hAnsi="Times New Roman" w:cs="Times New Roman"/>
                <w:color w:val="000000"/>
                <w:sz w:val="20"/>
                <w:szCs w:val="20"/>
              </w:rPr>
              <w:tab/>
              <w:t>19</w:t>
            </w:r>
          </w:hyperlink>
        </w:p>
        <w:p w14:paraId="3B3768F9" w14:textId="77777777" w:rsidR="001F63B3" w:rsidRDefault="00FE38DE">
          <w:pPr>
            <w:pBdr>
              <w:top w:val="nil"/>
              <w:left w:val="nil"/>
              <w:bottom w:val="nil"/>
              <w:right w:val="nil"/>
              <w:between w:val="nil"/>
            </w:pBdr>
            <w:tabs>
              <w:tab w:val="right" w:pos="9072"/>
            </w:tabs>
            <w:spacing w:after="100" w:line="360" w:lineRule="auto"/>
            <w:rPr>
              <w:rFonts w:ascii="Calibri" w:eastAsia="Calibri" w:hAnsi="Calibri" w:cs="Calibri"/>
              <w:color w:val="000000"/>
              <w:sz w:val="24"/>
              <w:szCs w:val="24"/>
            </w:rPr>
          </w:pPr>
          <w:hyperlink w:anchor="_heading=h.1o18dklnxa6m">
            <w:r>
              <w:rPr>
                <w:color w:val="000000"/>
                <w:sz w:val="20"/>
                <w:szCs w:val="20"/>
              </w:rPr>
              <w:t>R E S U E L V E:</w:t>
            </w:r>
          </w:hyperlink>
          <w:hyperlink w:anchor="_heading=h.1o18dklnxa6m">
            <w:r>
              <w:rPr>
                <w:rFonts w:ascii="Times New Roman" w:eastAsia="Times New Roman" w:hAnsi="Times New Roman" w:cs="Times New Roman"/>
                <w:color w:val="000000"/>
                <w:sz w:val="20"/>
                <w:szCs w:val="20"/>
              </w:rPr>
              <w:tab/>
              <w:t>20</w:t>
            </w:r>
          </w:hyperlink>
        </w:p>
        <w:p w14:paraId="57C2DAB1" w14:textId="77777777" w:rsidR="001F63B3" w:rsidRDefault="00FE38DE">
          <w:pPr>
            <w:spacing w:after="0" w:line="360" w:lineRule="auto"/>
          </w:pPr>
          <w:r>
            <w:fldChar w:fldCharType="end"/>
          </w:r>
        </w:p>
      </w:sdtContent>
    </w:sdt>
    <w:p w14:paraId="694CA804" w14:textId="77777777" w:rsidR="001F63B3" w:rsidRDefault="001F63B3">
      <w:pPr>
        <w:tabs>
          <w:tab w:val="left" w:pos="8931"/>
        </w:tabs>
        <w:spacing w:after="0" w:line="360" w:lineRule="auto"/>
        <w:rPr>
          <w:color w:val="000000"/>
        </w:rPr>
      </w:pPr>
    </w:p>
    <w:p w14:paraId="3CD69AFD" w14:textId="77777777" w:rsidR="00F13B25" w:rsidRDefault="00F13B25">
      <w:pPr>
        <w:tabs>
          <w:tab w:val="left" w:pos="8931"/>
        </w:tabs>
        <w:spacing w:after="0" w:line="360" w:lineRule="auto"/>
        <w:rPr>
          <w:color w:val="000000"/>
        </w:rPr>
      </w:pPr>
    </w:p>
    <w:p w14:paraId="1004A737" w14:textId="77777777" w:rsidR="00F13B25" w:rsidRDefault="00F13B25">
      <w:pPr>
        <w:tabs>
          <w:tab w:val="left" w:pos="8931"/>
        </w:tabs>
        <w:spacing w:after="0" w:line="360" w:lineRule="auto"/>
        <w:rPr>
          <w:color w:val="000000"/>
        </w:rPr>
      </w:pPr>
    </w:p>
    <w:p w14:paraId="1D8FB183" w14:textId="77777777" w:rsidR="00F13B25" w:rsidRDefault="00F13B25">
      <w:pPr>
        <w:tabs>
          <w:tab w:val="left" w:pos="8931"/>
        </w:tabs>
        <w:spacing w:after="0" w:line="360" w:lineRule="auto"/>
        <w:rPr>
          <w:color w:val="000000"/>
        </w:rPr>
      </w:pPr>
    </w:p>
    <w:p w14:paraId="2C99C1D6" w14:textId="77777777" w:rsidR="001F63B3" w:rsidRDefault="00FE38DE">
      <w:pPr>
        <w:tabs>
          <w:tab w:val="left" w:pos="8931"/>
        </w:tabs>
        <w:spacing w:after="0" w:line="360" w:lineRule="auto"/>
        <w:rPr>
          <w:color w:val="000000"/>
        </w:rPr>
      </w:pPr>
      <w:r>
        <w:rPr>
          <w:color w:val="000000"/>
        </w:rPr>
        <w:t xml:space="preserve">Resolución del Pleno del Instituto de Transparencia, Acceso a la Información Pública y Protección de Datos Personales del Estado de México y Municipios, con domicilio en Metepec, Estado de México, de fecha veintidós de octubre de dos mil veinticinco. </w:t>
      </w:r>
    </w:p>
    <w:p w14:paraId="21AE0104" w14:textId="77777777" w:rsidR="001F63B3" w:rsidRDefault="00FE38DE">
      <w:pPr>
        <w:tabs>
          <w:tab w:val="left" w:pos="2340"/>
        </w:tabs>
        <w:spacing w:after="0" w:line="360" w:lineRule="auto"/>
        <w:rPr>
          <w:b/>
          <w:color w:val="FF0000"/>
        </w:rPr>
      </w:pPr>
      <w:r>
        <w:rPr>
          <w:b/>
          <w:color w:val="FF0000"/>
        </w:rPr>
        <w:tab/>
      </w:r>
    </w:p>
    <w:p w14:paraId="2B69BADD" w14:textId="77777777" w:rsidR="001F63B3" w:rsidRDefault="00FE38DE">
      <w:pPr>
        <w:tabs>
          <w:tab w:val="right" w:pos="8838"/>
        </w:tabs>
        <w:spacing w:line="360" w:lineRule="auto"/>
        <w:ind w:left="-113" w:right="-32"/>
      </w:pPr>
      <w:r>
        <w:rPr>
          <w:b/>
          <w:color w:val="000000"/>
        </w:rPr>
        <w:t xml:space="preserve">VISTO </w:t>
      </w:r>
      <w:r>
        <w:rPr>
          <w:color w:val="000000"/>
        </w:rPr>
        <w:t xml:space="preserve">el expediente electrónico conformado con motivo del Recurso de Revisión </w:t>
      </w:r>
      <w:r w:rsidRPr="002772CB">
        <w:rPr>
          <w:b/>
          <w:color w:val="000000"/>
        </w:rPr>
        <w:t>04951/INFOEM/IP/RR/20</w:t>
      </w:r>
      <w:r>
        <w:rPr>
          <w:color w:val="000000"/>
        </w:rPr>
        <w:t xml:space="preserve">25, en contra de la respuesta del Sujeto Obligado, </w:t>
      </w:r>
      <w:r w:rsidRPr="002772CB">
        <w:rPr>
          <w:b/>
          <w:color w:val="000000"/>
        </w:rPr>
        <w:t>Organismo Público Descentralizado para la Prestación de los Servicios de Agua Potable Alcantarillado y Saneamiento de Atizapán de Zaragoza,</w:t>
      </w:r>
      <w:r>
        <w:rPr>
          <w:color w:val="000000"/>
        </w:rPr>
        <w:t xml:space="preserve"> a la solicitud de acceso a la información pública </w:t>
      </w:r>
      <w:r>
        <w:t>00049/</w:t>
      </w:r>
      <w:r>
        <w:rPr>
          <w:color w:val="000000"/>
        </w:rPr>
        <w:t>OASATIZARA</w:t>
      </w:r>
      <w:r>
        <w:t xml:space="preserve">/IP/2025 </w:t>
      </w:r>
      <w:r>
        <w:rPr>
          <w:color w:val="000000"/>
        </w:rPr>
        <w:t>se emite la presente Resolución, con base en los Antecedentes y Considerandos que se exponen a continuación:</w:t>
      </w:r>
    </w:p>
    <w:p w14:paraId="123283E9" w14:textId="77777777" w:rsidR="001F63B3" w:rsidRDefault="00FE38DE">
      <w:pPr>
        <w:tabs>
          <w:tab w:val="left" w:pos="1965"/>
        </w:tabs>
        <w:spacing w:after="0" w:line="360" w:lineRule="auto"/>
        <w:rPr>
          <w:b/>
          <w:color w:val="FF0000"/>
        </w:rPr>
      </w:pPr>
      <w:r>
        <w:rPr>
          <w:b/>
          <w:color w:val="FF0000"/>
        </w:rPr>
        <w:tab/>
      </w:r>
    </w:p>
    <w:p w14:paraId="36FB2A08" w14:textId="77777777" w:rsidR="001F63B3" w:rsidRDefault="00FE38DE">
      <w:pPr>
        <w:pStyle w:val="Ttulo1"/>
        <w:spacing w:before="0" w:line="360" w:lineRule="auto"/>
        <w:jc w:val="center"/>
        <w:rPr>
          <w:rFonts w:ascii="Palatino Linotype" w:eastAsia="Palatino Linotype" w:hAnsi="Palatino Linotype" w:cs="Palatino Linotype"/>
          <w:b/>
          <w:color w:val="000000"/>
          <w:sz w:val="22"/>
          <w:szCs w:val="22"/>
        </w:rPr>
      </w:pPr>
      <w:bookmarkStart w:id="0" w:name="_heading=h.moluqqjp9jqf" w:colFirst="0" w:colLast="0"/>
      <w:bookmarkEnd w:id="0"/>
      <w:r>
        <w:rPr>
          <w:rFonts w:ascii="Palatino Linotype" w:eastAsia="Palatino Linotype" w:hAnsi="Palatino Linotype" w:cs="Palatino Linotype"/>
          <w:b/>
          <w:color w:val="000000"/>
          <w:sz w:val="22"/>
          <w:szCs w:val="22"/>
        </w:rPr>
        <w:t>A N T E C E D E N T E S</w:t>
      </w:r>
    </w:p>
    <w:p w14:paraId="5C884B13" w14:textId="77777777" w:rsidR="001F63B3" w:rsidRDefault="001F63B3">
      <w:pPr>
        <w:spacing w:after="0" w:line="360" w:lineRule="auto"/>
        <w:jc w:val="center"/>
        <w:rPr>
          <w:b/>
          <w:color w:val="000000"/>
        </w:rPr>
      </w:pPr>
    </w:p>
    <w:p w14:paraId="73B4ED65"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1" w:name="_heading=h.b6ospi2f9j6" w:colFirst="0" w:colLast="0"/>
      <w:bookmarkEnd w:id="1"/>
      <w:r>
        <w:rPr>
          <w:rFonts w:ascii="Palatino Linotype" w:eastAsia="Palatino Linotype" w:hAnsi="Palatino Linotype" w:cs="Palatino Linotype"/>
          <w:b/>
          <w:color w:val="000000"/>
          <w:sz w:val="22"/>
          <w:szCs w:val="22"/>
        </w:rPr>
        <w:t>I. Presentación de la solicitud de información</w:t>
      </w:r>
    </w:p>
    <w:p w14:paraId="7F041F31" w14:textId="77777777" w:rsidR="001F63B3" w:rsidRDefault="001F63B3">
      <w:pPr>
        <w:spacing w:after="0" w:line="360" w:lineRule="auto"/>
        <w:rPr>
          <w:b/>
          <w:color w:val="000000"/>
        </w:rPr>
      </w:pPr>
    </w:p>
    <w:p w14:paraId="5C2DA365" w14:textId="77777777" w:rsidR="001F63B3" w:rsidRDefault="00FE38DE">
      <w:pPr>
        <w:spacing w:after="0" w:line="360" w:lineRule="auto"/>
        <w:rPr>
          <w:color w:val="000000"/>
        </w:rPr>
      </w:pPr>
      <w:r>
        <w:rPr>
          <w:color w:val="000000"/>
        </w:rPr>
        <w:t xml:space="preserve">Con fecha trece de marzo de dos mil veinticinco, la persona Solicitante presentó un requerimiento de acceso a la información, a través del Sistema de Acceso a la Información Mexiquense (SAIMEX), ante la Organismo Público Descentralizado para la Prestación de los Servicios de Agua Potable Alcantarillado y Saneamiento de Atizapán de </w:t>
      </w:r>
      <w:proofErr w:type="gramStart"/>
      <w:r>
        <w:rPr>
          <w:color w:val="000000"/>
        </w:rPr>
        <w:t>Zaragoza ,</w:t>
      </w:r>
      <w:proofErr w:type="gramEnd"/>
      <w:r>
        <w:rPr>
          <w:b/>
          <w:color w:val="000000"/>
        </w:rPr>
        <w:t xml:space="preserve"> </w:t>
      </w:r>
      <w:r>
        <w:rPr>
          <w:color w:val="000000"/>
        </w:rPr>
        <w:t>en los siguientes términos:</w:t>
      </w:r>
    </w:p>
    <w:p w14:paraId="5DE238A0" w14:textId="77777777" w:rsidR="001F63B3" w:rsidRDefault="001F63B3">
      <w:pPr>
        <w:tabs>
          <w:tab w:val="left" w:pos="4667"/>
        </w:tabs>
        <w:spacing w:after="0" w:line="360" w:lineRule="auto"/>
        <w:ind w:right="567"/>
        <w:rPr>
          <w:b/>
          <w:i/>
          <w:color w:val="FF0000"/>
        </w:rPr>
      </w:pPr>
    </w:p>
    <w:p w14:paraId="4AA33149" w14:textId="77777777" w:rsidR="001F63B3" w:rsidRDefault="00FE38DE">
      <w:pPr>
        <w:spacing w:after="0" w:line="360" w:lineRule="auto"/>
        <w:ind w:left="567" w:right="567"/>
        <w:rPr>
          <w:b/>
          <w:i/>
          <w:color w:val="000000"/>
          <w:sz w:val="20"/>
          <w:szCs w:val="20"/>
        </w:rPr>
      </w:pPr>
      <w:r>
        <w:rPr>
          <w:b/>
          <w:i/>
          <w:color w:val="000000"/>
          <w:sz w:val="20"/>
          <w:szCs w:val="20"/>
        </w:rPr>
        <w:t>“DESCRIPCIÓN CLARA Y PRECISA DE LA INFORMACIÓN SOLICITADA.</w:t>
      </w:r>
    </w:p>
    <w:p w14:paraId="71A68B38" w14:textId="77777777" w:rsidR="001F63B3" w:rsidRDefault="00FE38DE">
      <w:pPr>
        <w:spacing w:after="0" w:line="360" w:lineRule="auto"/>
        <w:ind w:left="567" w:right="567"/>
        <w:rPr>
          <w:i/>
          <w:color w:val="000000"/>
          <w:sz w:val="20"/>
          <w:szCs w:val="20"/>
        </w:rPr>
      </w:pPr>
      <w:r>
        <w:rPr>
          <w:i/>
          <w:color w:val="000000"/>
          <w:sz w:val="20"/>
          <w:szCs w:val="20"/>
        </w:rPr>
        <w:lastRenderedPageBreak/>
        <w:t xml:space="preserve">Por medio de la presente tengo a bien solicitar el estado </w:t>
      </w:r>
      <w:proofErr w:type="spellStart"/>
      <w:r>
        <w:rPr>
          <w:i/>
          <w:color w:val="000000"/>
          <w:sz w:val="20"/>
          <w:szCs w:val="20"/>
        </w:rPr>
        <w:t>analitico</w:t>
      </w:r>
      <w:proofErr w:type="spellEnd"/>
      <w:r>
        <w:rPr>
          <w:i/>
          <w:color w:val="000000"/>
          <w:sz w:val="20"/>
          <w:szCs w:val="20"/>
        </w:rPr>
        <w:t xml:space="preserve"> de deuda y otros pasivos de los ejercicios fiscales 2018, 2019, 2020, 2021, 2022, 2023 y 2024, </w:t>
      </w:r>
      <w:proofErr w:type="spellStart"/>
      <w:r>
        <w:rPr>
          <w:i/>
          <w:color w:val="000000"/>
          <w:sz w:val="20"/>
          <w:szCs w:val="20"/>
        </w:rPr>
        <w:t>asi</w:t>
      </w:r>
      <w:proofErr w:type="spellEnd"/>
      <w:r>
        <w:rPr>
          <w:i/>
          <w:color w:val="000000"/>
          <w:sz w:val="20"/>
          <w:szCs w:val="20"/>
        </w:rPr>
        <w:t xml:space="preserve"> como la </w:t>
      </w:r>
      <w:proofErr w:type="spellStart"/>
      <w:r>
        <w:rPr>
          <w:i/>
          <w:color w:val="000000"/>
          <w:sz w:val="20"/>
          <w:szCs w:val="20"/>
        </w:rPr>
        <w:t>version</w:t>
      </w:r>
      <w:proofErr w:type="spellEnd"/>
      <w:r>
        <w:rPr>
          <w:i/>
          <w:color w:val="000000"/>
          <w:sz w:val="20"/>
          <w:szCs w:val="20"/>
        </w:rPr>
        <w:t xml:space="preserve"> publica de las </w:t>
      </w:r>
      <w:proofErr w:type="spellStart"/>
      <w:r>
        <w:rPr>
          <w:i/>
          <w:color w:val="000000"/>
          <w:sz w:val="20"/>
          <w:szCs w:val="20"/>
        </w:rPr>
        <w:t>adefas</w:t>
      </w:r>
      <w:proofErr w:type="spellEnd"/>
      <w:r>
        <w:rPr>
          <w:i/>
          <w:color w:val="000000"/>
          <w:sz w:val="20"/>
          <w:szCs w:val="20"/>
        </w:rPr>
        <w:t xml:space="preserve"> que cuente ese organismo.” (Sic) </w:t>
      </w:r>
    </w:p>
    <w:p w14:paraId="1D37CB0C" w14:textId="77777777" w:rsidR="001F63B3" w:rsidRDefault="00FE38DE">
      <w:pPr>
        <w:spacing w:after="0" w:line="360" w:lineRule="auto"/>
        <w:ind w:right="567"/>
        <w:rPr>
          <w:i/>
          <w:color w:val="000000"/>
          <w:sz w:val="20"/>
          <w:szCs w:val="20"/>
        </w:rPr>
      </w:pPr>
      <w:r>
        <w:rPr>
          <w:i/>
          <w:color w:val="000000"/>
          <w:sz w:val="20"/>
          <w:szCs w:val="20"/>
        </w:rPr>
        <w:t xml:space="preserve">  </w:t>
      </w:r>
    </w:p>
    <w:p w14:paraId="00754DD3" w14:textId="77777777" w:rsidR="001F63B3" w:rsidRDefault="00FE38DE">
      <w:pPr>
        <w:spacing w:after="0" w:line="360" w:lineRule="auto"/>
        <w:ind w:left="567" w:right="567"/>
        <w:rPr>
          <w:b/>
          <w:i/>
          <w:color w:val="000000"/>
          <w:sz w:val="20"/>
          <w:szCs w:val="20"/>
        </w:rPr>
      </w:pPr>
      <w:r>
        <w:rPr>
          <w:b/>
          <w:i/>
          <w:color w:val="000000"/>
          <w:sz w:val="20"/>
          <w:szCs w:val="20"/>
        </w:rPr>
        <w:t>“MODALIDAD DE ENTREGA</w:t>
      </w:r>
    </w:p>
    <w:p w14:paraId="2F374F8D" w14:textId="77777777" w:rsidR="001F63B3" w:rsidRDefault="00FE38DE">
      <w:pPr>
        <w:spacing w:after="0" w:line="360" w:lineRule="auto"/>
        <w:ind w:left="567" w:right="567"/>
        <w:rPr>
          <w:i/>
          <w:color w:val="000000"/>
          <w:sz w:val="20"/>
          <w:szCs w:val="20"/>
        </w:rPr>
      </w:pPr>
      <w:r>
        <w:rPr>
          <w:i/>
          <w:color w:val="000000"/>
          <w:sz w:val="20"/>
          <w:szCs w:val="20"/>
        </w:rPr>
        <w:t>A través del SAIMEX”</w:t>
      </w:r>
    </w:p>
    <w:p w14:paraId="77F39B07" w14:textId="77777777" w:rsidR="001F63B3" w:rsidRDefault="001F63B3">
      <w:pPr>
        <w:spacing w:after="0" w:line="360" w:lineRule="auto"/>
        <w:rPr>
          <w:b/>
          <w:color w:val="000000"/>
        </w:rPr>
      </w:pPr>
    </w:p>
    <w:p w14:paraId="578F59D5"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2" w:name="_heading=h.2qneckb3y2ml" w:colFirst="0" w:colLast="0"/>
      <w:bookmarkEnd w:id="2"/>
      <w:r>
        <w:rPr>
          <w:rFonts w:ascii="Palatino Linotype" w:eastAsia="Palatino Linotype" w:hAnsi="Palatino Linotype" w:cs="Palatino Linotype"/>
          <w:b/>
          <w:color w:val="000000"/>
          <w:sz w:val="22"/>
          <w:szCs w:val="22"/>
        </w:rPr>
        <w:t>II. Respuesta del Sujeto Obligado</w:t>
      </w:r>
    </w:p>
    <w:p w14:paraId="31763365" w14:textId="77777777" w:rsidR="001F63B3" w:rsidRDefault="00FE38DE">
      <w:pPr>
        <w:spacing w:after="0" w:line="360" w:lineRule="auto"/>
        <w:rPr>
          <w:b/>
          <w:color w:val="FF0000"/>
        </w:rPr>
      </w:pPr>
      <w:r>
        <w:rPr>
          <w:b/>
          <w:color w:val="FF0000"/>
        </w:rPr>
        <w:t xml:space="preserve">  </w:t>
      </w:r>
    </w:p>
    <w:p w14:paraId="1E9E7C91" w14:textId="77777777" w:rsidR="001F63B3" w:rsidRDefault="00FE38DE">
      <w:pPr>
        <w:spacing w:after="0" w:line="360" w:lineRule="auto"/>
        <w:rPr>
          <w:color w:val="000000"/>
        </w:rPr>
      </w:pPr>
      <w:bookmarkStart w:id="3" w:name="_heading=h.umo44jes49lv" w:colFirst="0" w:colLast="0"/>
      <w:bookmarkEnd w:id="3"/>
      <w:r>
        <w:rPr>
          <w:color w:val="000000"/>
        </w:rPr>
        <w:t>Con fecha cuatro de abril de dos mil veinticinco, la Organismo Público Descentralizado para la Prestación de los Servicios de Agua Potable Alcantarillado y Saneamiento de Atizapán de Zaragoza, notificó la respuesta a la solicitud, a través del Sistema de Acceso a la Información Mexiquense (SAIMEX), mediante la digitalización de los siguientes documentos:</w:t>
      </w:r>
    </w:p>
    <w:p w14:paraId="411D761B" w14:textId="77777777" w:rsidR="001F63B3" w:rsidRDefault="001F63B3">
      <w:pPr>
        <w:spacing w:after="0" w:line="360" w:lineRule="auto"/>
        <w:rPr>
          <w:color w:val="FF0000"/>
        </w:rPr>
      </w:pPr>
    </w:p>
    <w:p w14:paraId="2248C2D3" w14:textId="77777777" w:rsidR="001F63B3" w:rsidRDefault="00FE38DE">
      <w:pPr>
        <w:spacing w:after="0" w:line="360" w:lineRule="auto"/>
        <w:rPr>
          <w:color w:val="000000"/>
        </w:rPr>
      </w:pPr>
      <w:r>
        <w:rPr>
          <w:color w:val="000000"/>
        </w:rPr>
        <w:t xml:space="preserve">i) Oficio número SAPASA/SAF/117/2025, del veintiuno de marzo de dos mil veinticinco, suscrito por la Subdirectora de Administración y Finanzas y dirigido a la Titular de la Unidad de Transparencia y Acceso a la Información Pública del Organismo SAPASA, por medio del cual refirió remitir el diverso SAPASA/SAF/CF/060/2025. </w:t>
      </w:r>
    </w:p>
    <w:p w14:paraId="5C66EA66" w14:textId="77777777" w:rsidR="001F63B3" w:rsidRDefault="001F63B3">
      <w:pPr>
        <w:spacing w:after="0" w:line="360" w:lineRule="auto"/>
        <w:rPr>
          <w:color w:val="000000"/>
        </w:rPr>
      </w:pPr>
    </w:p>
    <w:p w14:paraId="733B2B69" w14:textId="77777777" w:rsidR="001F63B3" w:rsidRDefault="00FE38DE">
      <w:pPr>
        <w:spacing w:after="0" w:line="360" w:lineRule="auto"/>
        <w:rPr>
          <w:color w:val="000000"/>
        </w:rPr>
      </w:pPr>
      <w:r>
        <w:rPr>
          <w:color w:val="000000"/>
        </w:rPr>
        <w:t xml:space="preserve">ii) Oficio con número SAPASA/SAF/CF/060/2025, del veinte de marzo de dos mil veinticinco, suscrito por el Coordinador de Finanzas y dirigido a la Subdirectora de Administración y Finanzas, en los términos siguientes: </w:t>
      </w:r>
    </w:p>
    <w:p w14:paraId="3FFD4B9D" w14:textId="77777777" w:rsidR="001F63B3" w:rsidRDefault="00FE38DE">
      <w:pPr>
        <w:spacing w:after="0" w:line="360" w:lineRule="auto"/>
        <w:rPr>
          <w:color w:val="000000"/>
        </w:rPr>
      </w:pPr>
      <w:r>
        <w:rPr>
          <w:color w:val="000000"/>
        </w:rPr>
        <w:t xml:space="preserve"> </w:t>
      </w:r>
    </w:p>
    <w:p w14:paraId="734A923C" w14:textId="77777777" w:rsidR="001F63B3" w:rsidRDefault="00FE38DE">
      <w:pPr>
        <w:pBdr>
          <w:top w:val="nil"/>
          <w:left w:val="nil"/>
          <w:bottom w:val="nil"/>
          <w:right w:val="nil"/>
          <w:between w:val="nil"/>
        </w:pBdr>
        <w:spacing w:after="0" w:line="360" w:lineRule="auto"/>
        <w:ind w:left="567" w:right="567"/>
        <w:rPr>
          <w:i/>
          <w:color w:val="000000"/>
          <w:sz w:val="20"/>
          <w:szCs w:val="20"/>
        </w:rPr>
      </w:pPr>
      <w:r>
        <w:rPr>
          <w:i/>
          <w:color w:val="000000"/>
          <w:sz w:val="20"/>
          <w:szCs w:val="20"/>
        </w:rPr>
        <w:t xml:space="preserve">“…remito a usted en medio magnético la siguiente información: </w:t>
      </w:r>
      <w:r>
        <w:rPr>
          <w:b/>
          <w:i/>
          <w:color w:val="000000"/>
          <w:sz w:val="20"/>
          <w:szCs w:val="20"/>
        </w:rPr>
        <w:t>“Estados Analíticos de Deuda y otros Pasivos de los Ejercicios Fiscales 2018, 2019, 2020, 2021, 2022, 2023, Y 2024</w:t>
      </w:r>
      <w:r>
        <w:rPr>
          <w:i/>
          <w:color w:val="000000"/>
          <w:sz w:val="20"/>
          <w:szCs w:val="20"/>
        </w:rPr>
        <w:t>”.</w:t>
      </w:r>
    </w:p>
    <w:p w14:paraId="0ED8FD96" w14:textId="77777777" w:rsidR="001F63B3" w:rsidRDefault="001F63B3">
      <w:pPr>
        <w:pBdr>
          <w:top w:val="nil"/>
          <w:left w:val="nil"/>
          <w:bottom w:val="nil"/>
          <w:right w:val="nil"/>
          <w:between w:val="nil"/>
        </w:pBdr>
        <w:spacing w:after="0" w:line="360" w:lineRule="auto"/>
        <w:ind w:left="567" w:right="567"/>
        <w:rPr>
          <w:i/>
          <w:color w:val="000000"/>
          <w:sz w:val="20"/>
          <w:szCs w:val="20"/>
        </w:rPr>
      </w:pPr>
    </w:p>
    <w:p w14:paraId="35852BA6" w14:textId="77777777" w:rsidR="001F63B3" w:rsidRDefault="00FE38DE">
      <w:pPr>
        <w:pBdr>
          <w:top w:val="nil"/>
          <w:left w:val="nil"/>
          <w:bottom w:val="nil"/>
          <w:right w:val="nil"/>
          <w:between w:val="nil"/>
        </w:pBdr>
        <w:spacing w:after="0" w:line="360" w:lineRule="auto"/>
        <w:ind w:left="567" w:right="567"/>
        <w:rPr>
          <w:i/>
          <w:color w:val="000000"/>
          <w:sz w:val="20"/>
          <w:szCs w:val="20"/>
        </w:rPr>
      </w:pPr>
      <w:r>
        <w:rPr>
          <w:b/>
          <w:i/>
          <w:color w:val="000000"/>
          <w:sz w:val="20"/>
          <w:szCs w:val="20"/>
        </w:rPr>
        <w:t>Por cuanto hace a la solicitud referente “</w:t>
      </w:r>
      <w:r>
        <w:rPr>
          <w:b/>
          <w:i/>
          <w:color w:val="000000"/>
          <w:sz w:val="20"/>
          <w:szCs w:val="20"/>
          <w:u w:val="single"/>
        </w:rPr>
        <w:t>la versión pública de las ADEFAS</w:t>
      </w:r>
      <w:r>
        <w:rPr>
          <w:i/>
          <w:color w:val="000000"/>
          <w:sz w:val="20"/>
          <w:szCs w:val="20"/>
        </w:rPr>
        <w:t xml:space="preserve">”. se informa a usted, que no se aprecia el Ejercicio Fiscal, del cual requiere la información. Sin embargo, y con el propósito de dar cumplimiento a la solicitud de información relativa al Folio </w:t>
      </w:r>
      <w:r>
        <w:rPr>
          <w:b/>
          <w:i/>
          <w:color w:val="000000"/>
          <w:sz w:val="20"/>
          <w:szCs w:val="20"/>
        </w:rPr>
        <w:t>00049/OSATIZAPA/IP/2025</w:t>
      </w:r>
      <w:r>
        <w:rPr>
          <w:i/>
          <w:color w:val="000000"/>
          <w:sz w:val="20"/>
          <w:szCs w:val="20"/>
        </w:rPr>
        <w:t>, se hace entrega de forma digital de la Versión Pública de las ADEFAS del Ejercicio Fiscal 2024</w:t>
      </w:r>
      <w:r>
        <w:rPr>
          <w:b/>
          <w:i/>
          <w:color w:val="000000"/>
          <w:sz w:val="20"/>
          <w:szCs w:val="20"/>
        </w:rPr>
        <w:t>…”</w:t>
      </w:r>
    </w:p>
    <w:p w14:paraId="50E85612" w14:textId="77777777" w:rsidR="001F63B3" w:rsidRDefault="001F63B3">
      <w:pPr>
        <w:spacing w:after="0" w:line="360" w:lineRule="auto"/>
        <w:ind w:right="567"/>
        <w:rPr>
          <w:color w:val="000000"/>
          <w:sz w:val="20"/>
          <w:szCs w:val="20"/>
        </w:rPr>
      </w:pPr>
    </w:p>
    <w:p w14:paraId="7C3AD76A" w14:textId="77777777" w:rsidR="001F63B3" w:rsidRDefault="00FE38DE">
      <w:pPr>
        <w:spacing w:after="0" w:line="360" w:lineRule="auto"/>
        <w:ind w:right="567"/>
        <w:rPr>
          <w:color w:val="000000"/>
        </w:rPr>
      </w:pPr>
      <w:r>
        <w:rPr>
          <w:color w:val="000000"/>
        </w:rPr>
        <w:t>iii) Estado de Avance Presupuestal de Egresos Detallado, del primero de enero al treinta y uno de diciembre de dos mil veinticuatro.</w:t>
      </w:r>
    </w:p>
    <w:p w14:paraId="7866E668" w14:textId="77777777" w:rsidR="001F63B3" w:rsidRDefault="001F63B3">
      <w:pPr>
        <w:spacing w:after="0" w:line="360" w:lineRule="auto"/>
        <w:rPr>
          <w:color w:val="000000"/>
        </w:rPr>
      </w:pPr>
    </w:p>
    <w:p w14:paraId="1EA20903" w14:textId="77777777" w:rsidR="001F63B3" w:rsidRDefault="00FE38DE">
      <w:pPr>
        <w:spacing w:after="0" w:line="360" w:lineRule="auto"/>
        <w:rPr>
          <w:color w:val="000000"/>
          <w:sz w:val="20"/>
          <w:szCs w:val="20"/>
        </w:rPr>
      </w:pPr>
      <w:r>
        <w:rPr>
          <w:color w:val="000000"/>
        </w:rPr>
        <w:t xml:space="preserve">iii) Adjuntó la digitalización de los Estados Analíticos de la Deuda y Otros Pasivos de los ejercicios fiscales dos mil dieciocho, dos mil diecinueve, dos mil veinte, dos mil veintiuno, dos mil veintidós, dos mil veintitrés y dos mil veinticuatro.    </w:t>
      </w:r>
    </w:p>
    <w:p w14:paraId="49407ADA" w14:textId="77777777" w:rsidR="001F63B3" w:rsidRDefault="001F63B3">
      <w:pPr>
        <w:spacing w:after="0" w:line="360" w:lineRule="auto"/>
        <w:ind w:right="567"/>
        <w:rPr>
          <w:color w:val="FF0000"/>
        </w:rPr>
      </w:pPr>
    </w:p>
    <w:p w14:paraId="49B5D0F7"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4" w:name="_heading=h.ojhz9d8zabfn" w:colFirst="0" w:colLast="0"/>
      <w:bookmarkEnd w:id="4"/>
      <w:r>
        <w:rPr>
          <w:rFonts w:ascii="Palatino Linotype" w:eastAsia="Palatino Linotype" w:hAnsi="Palatino Linotype" w:cs="Palatino Linotype"/>
          <w:b/>
          <w:color w:val="000000"/>
          <w:sz w:val="22"/>
          <w:szCs w:val="22"/>
        </w:rPr>
        <w:t>III. Interposición del Recurso de Revisión</w:t>
      </w:r>
    </w:p>
    <w:p w14:paraId="5F1E706A" w14:textId="77777777" w:rsidR="001F63B3" w:rsidRDefault="001F63B3">
      <w:pPr>
        <w:spacing w:after="0" w:line="360" w:lineRule="auto"/>
        <w:rPr>
          <w:color w:val="FF0000"/>
        </w:rPr>
      </w:pPr>
    </w:p>
    <w:p w14:paraId="2DCB86CC" w14:textId="77777777" w:rsidR="001F63B3" w:rsidRDefault="00FE38DE">
      <w:pPr>
        <w:widowControl w:val="0"/>
        <w:spacing w:after="0" w:line="360" w:lineRule="auto"/>
        <w:rPr>
          <w:color w:val="000000"/>
        </w:rPr>
      </w:pPr>
      <w:r>
        <w:rPr>
          <w:color w:val="000000"/>
        </w:rPr>
        <w:t>Con fecha treinta de abril de dos mil veinticinco, se recibió en este Instituto, a través del Sistema de Acceso a la Información Mexiquense (SAIMEX), el Recurso de Revisión interpuesto por la parte Recurrente, en contra de la respuesta del Sujeto Obligado, en los siguientes términos:</w:t>
      </w:r>
    </w:p>
    <w:p w14:paraId="73FF1659" w14:textId="77777777" w:rsidR="001F63B3" w:rsidRDefault="001F63B3">
      <w:pPr>
        <w:tabs>
          <w:tab w:val="left" w:pos="4667"/>
        </w:tabs>
        <w:spacing w:after="0" w:line="360" w:lineRule="auto"/>
        <w:ind w:left="567" w:right="567"/>
        <w:rPr>
          <w:b/>
          <w:i/>
          <w:color w:val="FF0000"/>
          <w:sz w:val="20"/>
          <w:szCs w:val="20"/>
        </w:rPr>
      </w:pPr>
    </w:p>
    <w:p w14:paraId="1C095729" w14:textId="77777777" w:rsidR="001F63B3" w:rsidRDefault="00FE38DE">
      <w:pPr>
        <w:tabs>
          <w:tab w:val="left" w:pos="4667"/>
        </w:tabs>
        <w:spacing w:after="0" w:line="360" w:lineRule="auto"/>
        <w:ind w:left="567" w:right="567"/>
        <w:rPr>
          <w:b/>
          <w:i/>
          <w:color w:val="000000"/>
          <w:sz w:val="20"/>
          <w:szCs w:val="20"/>
        </w:rPr>
      </w:pPr>
      <w:r>
        <w:rPr>
          <w:b/>
          <w:i/>
          <w:color w:val="000000"/>
          <w:sz w:val="20"/>
          <w:szCs w:val="20"/>
        </w:rPr>
        <w:t>“ACTO IMPUGNADO</w:t>
      </w:r>
    </w:p>
    <w:p w14:paraId="2D617911" w14:textId="77777777" w:rsidR="001F63B3" w:rsidRDefault="00FE38DE">
      <w:pPr>
        <w:tabs>
          <w:tab w:val="left" w:pos="4667"/>
        </w:tabs>
        <w:spacing w:after="0" w:line="360" w:lineRule="auto"/>
        <w:ind w:left="567" w:right="567"/>
        <w:rPr>
          <w:i/>
          <w:color w:val="000000"/>
          <w:sz w:val="20"/>
          <w:szCs w:val="20"/>
        </w:rPr>
      </w:pPr>
      <w:r>
        <w:rPr>
          <w:i/>
          <w:color w:val="000000"/>
          <w:sz w:val="20"/>
          <w:szCs w:val="20"/>
        </w:rPr>
        <w:t>NO SE PROPORCIONA LO SOLICITADO” (Sic.)</w:t>
      </w:r>
    </w:p>
    <w:p w14:paraId="0F6E4B5C" w14:textId="77777777" w:rsidR="001F63B3" w:rsidRDefault="001F63B3">
      <w:pPr>
        <w:tabs>
          <w:tab w:val="left" w:pos="4667"/>
        </w:tabs>
        <w:spacing w:after="0" w:line="360" w:lineRule="auto"/>
        <w:ind w:left="567" w:right="567"/>
        <w:rPr>
          <w:i/>
          <w:color w:val="FF0000"/>
          <w:sz w:val="20"/>
          <w:szCs w:val="20"/>
        </w:rPr>
      </w:pPr>
    </w:p>
    <w:p w14:paraId="154DB528" w14:textId="77777777" w:rsidR="001F63B3" w:rsidRDefault="00FE38DE">
      <w:pPr>
        <w:tabs>
          <w:tab w:val="left" w:pos="4667"/>
        </w:tabs>
        <w:spacing w:after="0" w:line="360" w:lineRule="auto"/>
        <w:ind w:left="567" w:right="567"/>
        <w:rPr>
          <w:b/>
          <w:i/>
          <w:color w:val="000000"/>
          <w:sz w:val="20"/>
          <w:szCs w:val="20"/>
        </w:rPr>
      </w:pPr>
      <w:r>
        <w:rPr>
          <w:b/>
          <w:i/>
          <w:color w:val="000000"/>
          <w:sz w:val="20"/>
          <w:szCs w:val="20"/>
        </w:rPr>
        <w:t>“RAZONES O MOTIVOS DE LA INCONFORMIDAD</w:t>
      </w:r>
    </w:p>
    <w:p w14:paraId="612B83DD" w14:textId="77777777" w:rsidR="001F63B3" w:rsidRDefault="00FE38DE">
      <w:pPr>
        <w:tabs>
          <w:tab w:val="left" w:pos="4667"/>
        </w:tabs>
        <w:spacing w:after="0" w:line="360" w:lineRule="auto"/>
        <w:ind w:left="567" w:right="567"/>
        <w:jc w:val="left"/>
        <w:rPr>
          <w:i/>
          <w:color w:val="000000"/>
          <w:sz w:val="20"/>
          <w:szCs w:val="20"/>
        </w:rPr>
      </w:pPr>
      <w:r>
        <w:rPr>
          <w:i/>
          <w:color w:val="000000"/>
          <w:sz w:val="20"/>
          <w:szCs w:val="20"/>
        </w:rPr>
        <w:lastRenderedPageBreak/>
        <w:t>NO SE PROPORCIONO LA INFORMEACION” (Sic.)</w:t>
      </w:r>
    </w:p>
    <w:p w14:paraId="5D6EA84C" w14:textId="77777777" w:rsidR="001F63B3" w:rsidRDefault="001F63B3">
      <w:pPr>
        <w:tabs>
          <w:tab w:val="left" w:pos="4667"/>
        </w:tabs>
        <w:spacing w:after="0" w:line="360" w:lineRule="auto"/>
        <w:ind w:right="567"/>
        <w:rPr>
          <w:i/>
          <w:color w:val="000000"/>
          <w:sz w:val="20"/>
          <w:szCs w:val="20"/>
        </w:rPr>
      </w:pPr>
    </w:p>
    <w:p w14:paraId="793B64D7"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5" w:name="_heading=h.yay43cf0yvyb" w:colFirst="0" w:colLast="0"/>
      <w:bookmarkEnd w:id="5"/>
      <w:r>
        <w:rPr>
          <w:rFonts w:ascii="Palatino Linotype" w:eastAsia="Palatino Linotype" w:hAnsi="Palatino Linotype" w:cs="Palatino Linotype"/>
          <w:b/>
          <w:color w:val="000000"/>
          <w:sz w:val="22"/>
          <w:szCs w:val="22"/>
        </w:rPr>
        <w:t>IV. Trámite del Recurso de Revisión ante este Instituto</w:t>
      </w:r>
    </w:p>
    <w:p w14:paraId="76988842" w14:textId="77777777" w:rsidR="001F63B3" w:rsidRDefault="001F63B3">
      <w:pPr>
        <w:spacing w:after="0" w:line="360" w:lineRule="auto"/>
        <w:rPr>
          <w:b/>
          <w:color w:val="FF0000"/>
        </w:rPr>
      </w:pPr>
    </w:p>
    <w:p w14:paraId="54B04B6E" w14:textId="77777777" w:rsidR="001F63B3" w:rsidRDefault="00FE38DE">
      <w:pPr>
        <w:spacing w:after="0" w:line="360" w:lineRule="auto"/>
        <w:rPr>
          <w:b/>
          <w:color w:val="000000"/>
        </w:rPr>
      </w:pPr>
      <w:bookmarkStart w:id="6" w:name="_heading=h.to37jes9zceb" w:colFirst="0" w:colLast="0"/>
      <w:bookmarkEnd w:id="6"/>
      <w:r>
        <w:rPr>
          <w:b/>
          <w:color w:val="000000"/>
        </w:rPr>
        <w:t>a) Turno del Medio de Impugnación.</w:t>
      </w:r>
      <w:r>
        <w:rPr>
          <w:b/>
        </w:rPr>
        <w:t xml:space="preserve"> </w:t>
      </w:r>
      <w:r>
        <w:rPr>
          <w:color w:val="000000"/>
        </w:rPr>
        <w:t xml:space="preserve">El treinta de abril de dos mil veinticinco, el Sistema de Acceso a la Información Mexiquense (SAIMEX), asignó el número de expediente </w:t>
      </w:r>
      <w:r>
        <w:rPr>
          <w:b/>
          <w:color w:val="000000"/>
        </w:rPr>
        <w:t>04951/INFOEM/IP/RR/2025</w:t>
      </w:r>
      <w:r>
        <w:rPr>
          <w:color w:val="000000"/>
        </w:rPr>
        <w:t xml:space="preserve">, al Medio de Impugnación que nos ocupa, con base en el sistema aprobado por el Pleno de este Órgano Garante y lo turnó al </w:t>
      </w:r>
      <w:r>
        <w:rPr>
          <w:b/>
          <w:color w:val="000000"/>
        </w:rPr>
        <w:t>Comisionado Ponente Luis Gustavo Parra Noriega</w:t>
      </w:r>
      <w:r>
        <w:rPr>
          <w:color w:val="000000"/>
        </w:rPr>
        <w:t>, para los efectos del artículo 185, fracción I de la Ley de Transparencia y Acceso a la Información Pública del Estado de México y Municipios.</w:t>
      </w:r>
    </w:p>
    <w:p w14:paraId="0A4A93C1" w14:textId="77777777" w:rsidR="001F63B3" w:rsidRDefault="001F63B3">
      <w:pPr>
        <w:spacing w:after="0" w:line="360" w:lineRule="auto"/>
        <w:rPr>
          <w:color w:val="FF0000"/>
        </w:rPr>
      </w:pPr>
    </w:p>
    <w:p w14:paraId="6A130FF4" w14:textId="77777777" w:rsidR="001F63B3" w:rsidRDefault="00FE38DE">
      <w:pPr>
        <w:spacing w:after="0" w:line="360" w:lineRule="auto"/>
        <w:rPr>
          <w:color w:val="000000"/>
        </w:rPr>
      </w:pPr>
      <w:bookmarkStart w:id="7" w:name="_heading=h.cdtvi5qcn054" w:colFirst="0" w:colLast="0"/>
      <w:bookmarkEnd w:id="7"/>
      <w:r>
        <w:rPr>
          <w:b/>
          <w:color w:val="000000"/>
        </w:rPr>
        <w:t>b) Admisión del Recurso de Revisión.</w:t>
      </w:r>
      <w:r>
        <w:rPr>
          <w:b/>
        </w:rPr>
        <w:t xml:space="preserve"> </w:t>
      </w:r>
      <w:r>
        <w:rPr>
          <w:color w:val="000000"/>
        </w:rPr>
        <w:t xml:space="preserve">El siete de mayo de dos mil veinticinco, se acordó la admisión del Recurso de Revisión interpuesto por el Recurrente en contra del Sujeto Obligado, en términos del artículo 185, fracciones I y II de la Ley de Transparencia y Acceso a la Información Pública del Estado de México y Municipios, el cual fue debidamente notificado a las partes, el día ocho del mismo mes y año, a través del Sistema de Acceso a la Información Mexiquense (SAIMEX), en el que se les otorgó un plazo de siete días hábiles posteriores a la misma, para que manifestaran lo que a su derecho conviniera y formularan alegatos. </w:t>
      </w:r>
    </w:p>
    <w:p w14:paraId="7857F05C" w14:textId="77777777" w:rsidR="001F63B3" w:rsidRDefault="001F63B3">
      <w:pPr>
        <w:spacing w:after="0" w:line="360" w:lineRule="auto"/>
        <w:rPr>
          <w:b/>
          <w:color w:val="000000"/>
        </w:rPr>
      </w:pPr>
    </w:p>
    <w:p w14:paraId="60ACE8C3" w14:textId="77777777" w:rsidR="001F63B3" w:rsidRDefault="00FE38DE">
      <w:pPr>
        <w:tabs>
          <w:tab w:val="left" w:pos="3261"/>
        </w:tabs>
        <w:spacing w:after="0" w:line="360" w:lineRule="auto"/>
        <w:rPr>
          <w:color w:val="000000"/>
        </w:rPr>
      </w:pPr>
      <w:bookmarkStart w:id="8" w:name="_heading=h.p3l7qv4q3wqs" w:colFirst="0" w:colLast="0"/>
      <w:bookmarkEnd w:id="8"/>
      <w:r>
        <w:rPr>
          <w:b/>
          <w:color w:val="000000"/>
        </w:rPr>
        <w:t>c) Informe Justificado.</w:t>
      </w:r>
      <w:r>
        <w:t xml:space="preserve"> </w:t>
      </w:r>
      <w:r>
        <w:rPr>
          <w:color w:val="000000"/>
        </w:rPr>
        <w:t xml:space="preserve">El dieciséis de mayo de dos mil veinticinco, a través del Sistema de Acceso a la Información Mexiquense (SAIMEX), se recibió en este Instituto el informe justificado por parte del Sujeto Obligado, a través de los documentos siguientes: </w:t>
      </w:r>
    </w:p>
    <w:p w14:paraId="646A7E0B" w14:textId="77777777" w:rsidR="001F63B3" w:rsidRDefault="001F63B3">
      <w:pPr>
        <w:tabs>
          <w:tab w:val="left" w:pos="3261"/>
        </w:tabs>
        <w:spacing w:after="0" w:line="360" w:lineRule="auto"/>
        <w:rPr>
          <w:color w:val="000000"/>
        </w:rPr>
      </w:pPr>
    </w:p>
    <w:p w14:paraId="647259D7" w14:textId="77777777" w:rsidR="001F63B3" w:rsidRDefault="00FE38DE">
      <w:pPr>
        <w:tabs>
          <w:tab w:val="left" w:pos="3261"/>
        </w:tabs>
        <w:spacing w:after="0" w:line="360" w:lineRule="auto"/>
        <w:rPr>
          <w:color w:val="000000"/>
        </w:rPr>
      </w:pPr>
      <w:r>
        <w:rPr>
          <w:color w:val="000000"/>
        </w:rPr>
        <w:lastRenderedPageBreak/>
        <w:t>i) Oficio número SAPASA/SAF/0286/2025 del dieciséis de mayo de dos mil veinticinco, suscrito por la Subdirectora de Administración y Finanzas y dirigido a la Titular de la Unidad de Transparencia, por medio del cual precisó remitir el diverso SAPASA/SAF/CF/102/2025.</w:t>
      </w:r>
    </w:p>
    <w:p w14:paraId="11ED71E3" w14:textId="77777777" w:rsidR="001F63B3" w:rsidRDefault="001F63B3">
      <w:pPr>
        <w:tabs>
          <w:tab w:val="left" w:pos="3261"/>
        </w:tabs>
        <w:spacing w:after="0" w:line="360" w:lineRule="auto"/>
        <w:rPr>
          <w:color w:val="000000"/>
        </w:rPr>
      </w:pPr>
    </w:p>
    <w:p w14:paraId="5D36D0B4" w14:textId="77777777" w:rsidR="001F63B3" w:rsidRDefault="00FE38DE">
      <w:pPr>
        <w:tabs>
          <w:tab w:val="left" w:pos="3261"/>
        </w:tabs>
        <w:spacing w:after="0" w:line="360" w:lineRule="auto"/>
        <w:rPr>
          <w:color w:val="000000"/>
        </w:rPr>
      </w:pPr>
      <w:r>
        <w:rPr>
          <w:color w:val="000000"/>
        </w:rPr>
        <w:t xml:space="preserve">ii) Oficio número SAPASA/SAF/CF/102/2025 del quince de mayo de dos mil veinticinco, suscrito por el Coordinador de Finanzas y dirigido a la Subdirectora de Administración y Finanzas, por medio del cual precisó lo siguiente: </w:t>
      </w:r>
    </w:p>
    <w:p w14:paraId="1AF16EEC" w14:textId="77777777" w:rsidR="001F63B3" w:rsidRDefault="001F63B3">
      <w:pPr>
        <w:tabs>
          <w:tab w:val="left" w:pos="3261"/>
        </w:tabs>
        <w:spacing w:after="0" w:line="360" w:lineRule="auto"/>
        <w:rPr>
          <w:color w:val="000000"/>
        </w:rPr>
      </w:pPr>
    </w:p>
    <w:p w14:paraId="3B390BEE" w14:textId="77777777" w:rsidR="001F63B3" w:rsidRDefault="001F63B3">
      <w:pPr>
        <w:tabs>
          <w:tab w:val="left" w:pos="3261"/>
        </w:tabs>
        <w:spacing w:after="0" w:line="360" w:lineRule="auto"/>
        <w:rPr>
          <w:color w:val="000000"/>
        </w:rPr>
      </w:pPr>
    </w:p>
    <w:p w14:paraId="168B8C25" w14:textId="77777777" w:rsidR="001F63B3" w:rsidRDefault="00FE38DE">
      <w:pPr>
        <w:tabs>
          <w:tab w:val="left" w:pos="3261"/>
        </w:tabs>
        <w:spacing w:after="0" w:line="360" w:lineRule="auto"/>
        <w:ind w:left="567" w:right="567"/>
        <w:rPr>
          <w:color w:val="000000"/>
          <w:sz w:val="20"/>
          <w:szCs w:val="20"/>
        </w:rPr>
      </w:pPr>
      <w:r>
        <w:rPr>
          <w:color w:val="000000"/>
          <w:sz w:val="20"/>
          <w:szCs w:val="20"/>
        </w:rPr>
        <w:t>“…</w:t>
      </w:r>
    </w:p>
    <w:p w14:paraId="028C2363" w14:textId="77777777" w:rsidR="001F63B3" w:rsidRDefault="00FE38DE">
      <w:pPr>
        <w:tabs>
          <w:tab w:val="left" w:pos="3261"/>
        </w:tabs>
        <w:spacing w:after="0" w:line="360" w:lineRule="auto"/>
        <w:ind w:left="567" w:right="567"/>
        <w:rPr>
          <w:i/>
          <w:color w:val="000000"/>
          <w:sz w:val="20"/>
          <w:szCs w:val="20"/>
        </w:rPr>
      </w:pPr>
      <w:r>
        <w:rPr>
          <w:i/>
          <w:color w:val="000000"/>
          <w:sz w:val="20"/>
          <w:szCs w:val="20"/>
        </w:rPr>
        <w:t>Al respecto y conforme a la respuesta emitida el 20 de marzo del presente, mediante el oficio con el folio SAPASA/SAF/CF/060/2025, me permito informar lo siguiente:</w:t>
      </w:r>
    </w:p>
    <w:p w14:paraId="55364C6E" w14:textId="77777777" w:rsidR="001F63B3" w:rsidRDefault="001F63B3">
      <w:pPr>
        <w:tabs>
          <w:tab w:val="left" w:pos="3261"/>
        </w:tabs>
        <w:spacing w:after="0" w:line="360" w:lineRule="auto"/>
        <w:ind w:left="567" w:right="567"/>
        <w:rPr>
          <w:i/>
          <w:color w:val="000000"/>
          <w:sz w:val="20"/>
          <w:szCs w:val="20"/>
        </w:rPr>
      </w:pPr>
    </w:p>
    <w:p w14:paraId="1F1EEC09" w14:textId="77777777" w:rsidR="001F63B3" w:rsidRDefault="00FE38DE">
      <w:pPr>
        <w:tabs>
          <w:tab w:val="left" w:pos="3261"/>
        </w:tabs>
        <w:spacing w:after="0" w:line="360" w:lineRule="auto"/>
        <w:ind w:left="567" w:right="567"/>
        <w:rPr>
          <w:i/>
          <w:color w:val="000000"/>
          <w:sz w:val="20"/>
          <w:szCs w:val="20"/>
        </w:rPr>
      </w:pPr>
      <w:bookmarkStart w:id="9" w:name="_heading=h.iek6p1fulja0" w:colFirst="0" w:colLast="0"/>
      <w:bookmarkEnd w:id="9"/>
      <w:r>
        <w:rPr>
          <w:i/>
          <w:color w:val="000000"/>
          <w:sz w:val="20"/>
          <w:szCs w:val="20"/>
        </w:rPr>
        <w:t>Por lo que hace a la información correspondiente a los "Estados Analíticos de la Deuda y Otros Pasivos de los ejercicios fiscales 2018, 2019, 2020, 2021, 2022, 2023 y 2024" ... (sic), se ratifica y se sostiene la respuesta de información entregada en el Oficio referido como la respuesta inicial.</w:t>
      </w:r>
    </w:p>
    <w:p w14:paraId="0051D81C" w14:textId="77777777" w:rsidR="001F63B3" w:rsidRDefault="001F63B3">
      <w:pPr>
        <w:tabs>
          <w:tab w:val="left" w:pos="3261"/>
        </w:tabs>
        <w:spacing w:after="0" w:line="360" w:lineRule="auto"/>
        <w:ind w:left="567" w:right="567"/>
        <w:rPr>
          <w:i/>
          <w:color w:val="000000"/>
          <w:sz w:val="20"/>
          <w:szCs w:val="20"/>
        </w:rPr>
      </w:pPr>
    </w:p>
    <w:p w14:paraId="5EDC5E8C" w14:textId="77777777" w:rsidR="001F63B3" w:rsidRDefault="00FE38DE">
      <w:pPr>
        <w:tabs>
          <w:tab w:val="left" w:pos="3261"/>
        </w:tabs>
        <w:spacing w:after="0" w:line="360" w:lineRule="auto"/>
        <w:ind w:left="567" w:right="567"/>
        <w:rPr>
          <w:i/>
          <w:color w:val="000000"/>
          <w:sz w:val="20"/>
          <w:szCs w:val="20"/>
        </w:rPr>
      </w:pPr>
      <w:r>
        <w:rPr>
          <w:i/>
          <w:color w:val="000000"/>
          <w:sz w:val="20"/>
          <w:szCs w:val="20"/>
        </w:rPr>
        <w:t>Sin embargo, por lo que hace a la información solicitada a que se refiere: " ... la versión publica de las ADEFAS que cuente ese organismo ... " (sic); se informa que, la respuesta inicial se modifica, quedando de la siguiente manera: Que para mayor proveer respecto de las ADEFAS, se anexan a la presente, los documentos que obran en los archivos del Departamento de Contabilidad, denominados "Estado Analítico del Ejercicio del Presupuesto de Egresos Clasificación por Objeto del Gasto (Capítulo y Concepto)", de los ejercicios 2018, 2019, 2020, 2021, 2022, 2023 Y 2024; en los cuales se visualizan en la parte final de dichos documentos, el concepto "ADEUDOS DE EJERCICIOS FISCALES ANTERIORES (ADEFAS)", con sus respectivas cifras registradas por este Organismo.</w:t>
      </w:r>
    </w:p>
    <w:p w14:paraId="4723F96D" w14:textId="77777777" w:rsidR="001F63B3" w:rsidRDefault="00FE38DE">
      <w:pPr>
        <w:tabs>
          <w:tab w:val="left" w:pos="3261"/>
        </w:tabs>
        <w:spacing w:after="0" w:line="360" w:lineRule="auto"/>
        <w:ind w:left="567" w:right="567"/>
        <w:rPr>
          <w:i/>
          <w:color w:val="000000"/>
          <w:sz w:val="20"/>
          <w:szCs w:val="20"/>
        </w:rPr>
      </w:pPr>
      <w:r>
        <w:rPr>
          <w:i/>
          <w:color w:val="000000"/>
          <w:sz w:val="20"/>
          <w:szCs w:val="20"/>
        </w:rPr>
        <w:lastRenderedPageBreak/>
        <w:t>…”</w:t>
      </w:r>
    </w:p>
    <w:p w14:paraId="4A24A749" w14:textId="77777777" w:rsidR="001F63B3" w:rsidRDefault="001F63B3">
      <w:pPr>
        <w:tabs>
          <w:tab w:val="left" w:pos="3261"/>
        </w:tabs>
        <w:spacing w:after="0" w:line="360" w:lineRule="auto"/>
        <w:ind w:left="567" w:right="567"/>
        <w:rPr>
          <w:i/>
          <w:color w:val="000000"/>
          <w:sz w:val="20"/>
          <w:szCs w:val="20"/>
        </w:rPr>
      </w:pPr>
    </w:p>
    <w:p w14:paraId="7B326971" w14:textId="77777777" w:rsidR="001F63B3" w:rsidRDefault="00FE38DE">
      <w:pPr>
        <w:tabs>
          <w:tab w:val="left" w:pos="3261"/>
        </w:tabs>
        <w:spacing w:after="0" w:line="360" w:lineRule="auto"/>
        <w:rPr>
          <w:color w:val="000000"/>
        </w:rPr>
      </w:pPr>
      <w:r>
        <w:rPr>
          <w:color w:val="000000"/>
        </w:rPr>
        <w:t xml:space="preserve">iii) Adjuntó la digitalización de los Estados Analíticos del Ejercicio del Presupuesto de Egresos Clasificación por Objeto del Gasto (Capítulo y Concepto), correspondientes a los ejercicios fiscales dos mil dieciocho, dos mil diecinueve, dos mil veinte, dos mil veintiuno, dos mil veintidós, dos mil veintitrés y dos mil veinticuatro. </w:t>
      </w:r>
    </w:p>
    <w:p w14:paraId="580410A8" w14:textId="77777777" w:rsidR="001F63B3" w:rsidRDefault="001F63B3">
      <w:pPr>
        <w:tabs>
          <w:tab w:val="left" w:pos="3261"/>
        </w:tabs>
        <w:spacing w:after="0" w:line="360" w:lineRule="auto"/>
        <w:rPr>
          <w:color w:val="000000"/>
          <w:sz w:val="20"/>
          <w:szCs w:val="20"/>
        </w:rPr>
      </w:pPr>
    </w:p>
    <w:p w14:paraId="2EFFD992" w14:textId="77777777" w:rsidR="001F63B3" w:rsidRDefault="00FE38DE">
      <w:pPr>
        <w:spacing w:after="0" w:line="360" w:lineRule="auto"/>
        <w:rPr>
          <w:b/>
          <w:color w:val="000000"/>
        </w:rPr>
      </w:pPr>
      <w:r>
        <w:rPr>
          <w:b/>
          <w:color w:val="000000"/>
        </w:rPr>
        <w:t xml:space="preserve">d) Vista del Informe Justificado. </w:t>
      </w:r>
      <w:r>
        <w:rPr>
          <w:color w:val="000000"/>
        </w:rPr>
        <w:t xml:space="preserve">El quince de octubre de dos mil veinticinco, se dictó acuerdo por medio del cual se puso a la vista de la persona Recurrente el Informe Justificado entregado por el Sujeto Obligado, el cual fue notificado a las partes, el mismo día, a través del Sistema de Acceso a la Información Mexiquense (SAIMEX). </w:t>
      </w:r>
      <w:r>
        <w:rPr>
          <w:b/>
          <w:color w:val="000000"/>
        </w:rPr>
        <w:t>Cabe señalar que el Particular fue omiso en realizar manifestación alguna.</w:t>
      </w:r>
    </w:p>
    <w:p w14:paraId="284A7608" w14:textId="77777777" w:rsidR="001F63B3" w:rsidRDefault="001F63B3">
      <w:pPr>
        <w:tabs>
          <w:tab w:val="left" w:pos="3261"/>
        </w:tabs>
        <w:spacing w:after="0" w:line="360" w:lineRule="auto"/>
      </w:pPr>
    </w:p>
    <w:p w14:paraId="4B9EC907" w14:textId="77777777" w:rsidR="001F63B3" w:rsidRDefault="00FE38DE">
      <w:pPr>
        <w:spacing w:after="0" w:line="360" w:lineRule="auto"/>
        <w:ind w:right="-28"/>
        <w:rPr>
          <w:color w:val="000000"/>
        </w:rPr>
      </w:pPr>
      <w:bookmarkStart w:id="10" w:name="_heading=h.jddj0y9xb52b" w:colFirst="0" w:colLast="0"/>
      <w:bookmarkEnd w:id="10"/>
      <w:r>
        <w:rPr>
          <w:b/>
          <w:color w:val="000000"/>
        </w:rPr>
        <w:t>e) Cierre de instrucción.</w:t>
      </w:r>
      <w:r>
        <w:rPr>
          <w:color w:val="000000"/>
        </w:rPr>
        <w:t xml:space="preserve"> El veinti</w:t>
      </w:r>
      <w:r>
        <w:t>trés</w:t>
      </w:r>
      <w:r>
        <w:rPr>
          <w:color w:val="000000"/>
        </w:rPr>
        <w:t xml:space="preserve"> de octubre de dos mil veinticinco, al no existir diligencias pendientes por desahogar, se emitió el acuerdo por medio del cual se declaró cerrada la instrucción y se determinó pasar los expedientes a resolución, en términos de lo dispuesto e 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2592ED42" w14:textId="77777777" w:rsidR="001F63B3" w:rsidRDefault="001F63B3">
      <w:pPr>
        <w:spacing w:after="0" w:line="360" w:lineRule="auto"/>
        <w:ind w:right="-28"/>
        <w:rPr>
          <w:color w:val="000000"/>
          <w:highlight w:val="red"/>
        </w:rPr>
      </w:pPr>
    </w:p>
    <w:p w14:paraId="10A4BD0B" w14:textId="77777777" w:rsidR="001F63B3" w:rsidRDefault="00FE38DE">
      <w:pPr>
        <w:spacing w:after="0" w:line="360" w:lineRule="auto"/>
        <w:rPr>
          <w:color w:val="000000"/>
        </w:rPr>
      </w:pPr>
      <w:r>
        <w:rPr>
          <w:color w:val="000000"/>
        </w:rPr>
        <w:t>En razón de que fue debidamente sustanciado e integrado el expediente electrónico y no existe diligencia pendiente de desahogo, se emite la resolución que conforme a Derecho proceda, de acuerdo a los siguientes:</w:t>
      </w:r>
    </w:p>
    <w:p w14:paraId="1AF50E17" w14:textId="77777777" w:rsidR="001F63B3" w:rsidRDefault="001F63B3">
      <w:pPr>
        <w:spacing w:after="0" w:line="360" w:lineRule="auto"/>
        <w:rPr>
          <w:color w:val="000000"/>
        </w:rPr>
      </w:pPr>
    </w:p>
    <w:p w14:paraId="462A3995" w14:textId="77777777" w:rsidR="001F63B3" w:rsidRDefault="00FE38DE">
      <w:pPr>
        <w:pStyle w:val="Ttulo1"/>
        <w:spacing w:before="0" w:line="360" w:lineRule="auto"/>
        <w:jc w:val="center"/>
        <w:rPr>
          <w:rFonts w:ascii="Palatino Linotype" w:eastAsia="Palatino Linotype" w:hAnsi="Palatino Linotype" w:cs="Palatino Linotype"/>
          <w:b/>
          <w:color w:val="000000"/>
          <w:sz w:val="22"/>
          <w:szCs w:val="22"/>
        </w:rPr>
      </w:pPr>
      <w:bookmarkStart w:id="11" w:name="_heading=h.j0vk7g6ipmu2" w:colFirst="0" w:colLast="0"/>
      <w:bookmarkEnd w:id="11"/>
      <w:r>
        <w:rPr>
          <w:rFonts w:ascii="Palatino Linotype" w:eastAsia="Palatino Linotype" w:hAnsi="Palatino Linotype" w:cs="Palatino Linotype"/>
          <w:b/>
          <w:color w:val="000000"/>
          <w:sz w:val="22"/>
          <w:szCs w:val="22"/>
        </w:rPr>
        <w:lastRenderedPageBreak/>
        <w:t>C O N S I D E R A N D O S</w:t>
      </w:r>
    </w:p>
    <w:p w14:paraId="5CEFEFEE" w14:textId="77777777" w:rsidR="001F63B3" w:rsidRDefault="001F63B3">
      <w:pPr>
        <w:spacing w:after="0" w:line="360" w:lineRule="auto"/>
        <w:jc w:val="center"/>
        <w:rPr>
          <w:b/>
          <w:color w:val="000000"/>
        </w:rPr>
      </w:pPr>
    </w:p>
    <w:p w14:paraId="7BD45F64"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12" w:name="_heading=h.u1aiz7y2078h" w:colFirst="0" w:colLast="0"/>
      <w:bookmarkEnd w:id="12"/>
      <w:r>
        <w:rPr>
          <w:rFonts w:ascii="Palatino Linotype" w:eastAsia="Palatino Linotype" w:hAnsi="Palatino Linotype" w:cs="Palatino Linotype"/>
          <w:b/>
          <w:color w:val="000000"/>
          <w:sz w:val="22"/>
          <w:szCs w:val="22"/>
        </w:rPr>
        <w:t>PRIMERO. Competencia</w:t>
      </w:r>
    </w:p>
    <w:p w14:paraId="1D5C68AE" w14:textId="77777777" w:rsidR="001F63B3" w:rsidRDefault="001F63B3">
      <w:pPr>
        <w:spacing w:after="0" w:line="360" w:lineRule="auto"/>
        <w:rPr>
          <w:b/>
          <w:color w:val="FF0000"/>
        </w:rPr>
      </w:pPr>
    </w:p>
    <w:p w14:paraId="7D289DAB" w14:textId="77777777" w:rsidR="001F63B3" w:rsidRDefault="00FE38DE">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 cuadragésimo y cuadragésimo primero,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1A35ADBF" w14:textId="77777777" w:rsidR="001F63B3" w:rsidRDefault="001F63B3">
      <w:pPr>
        <w:spacing w:after="0" w:line="360" w:lineRule="auto"/>
        <w:rPr>
          <w:b/>
          <w:color w:val="000000"/>
        </w:rPr>
      </w:pPr>
    </w:p>
    <w:p w14:paraId="18573F59"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13" w:name="_heading=h.9z66i5nnpepq" w:colFirst="0" w:colLast="0"/>
      <w:bookmarkEnd w:id="13"/>
      <w:r>
        <w:rPr>
          <w:rFonts w:ascii="Palatino Linotype" w:eastAsia="Palatino Linotype" w:hAnsi="Palatino Linotype" w:cs="Palatino Linotype"/>
          <w:b/>
          <w:color w:val="000000"/>
          <w:sz w:val="22"/>
          <w:szCs w:val="22"/>
        </w:rPr>
        <w:t xml:space="preserve">SEGUNDO. Causales de improcedencia </w:t>
      </w:r>
    </w:p>
    <w:p w14:paraId="6625ED55" w14:textId="77777777" w:rsidR="001F63B3" w:rsidRDefault="001F63B3">
      <w:pPr>
        <w:spacing w:after="0" w:line="360" w:lineRule="auto"/>
        <w:rPr>
          <w:color w:val="000000"/>
        </w:rPr>
      </w:pPr>
    </w:p>
    <w:p w14:paraId="580EB1F7" w14:textId="77777777" w:rsidR="001F63B3" w:rsidRDefault="00FE38DE">
      <w:pPr>
        <w:spacing w:after="0" w:line="360" w:lineRule="auto"/>
        <w:rPr>
          <w:color w:val="000000"/>
        </w:rPr>
      </w:pPr>
      <w:r>
        <w:rPr>
          <w:color w:val="000000"/>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w:t>
      </w:r>
      <w:r>
        <w:rPr>
          <w:color w:val="000000"/>
        </w:rPr>
        <w:lastRenderedPageBreak/>
        <w:t>actualice alguno de los supuestos establecidos en el artículo 191 de la Ley de Transparencia y Acceso a la Información Pública del Estado de México y Municipios, por ser improcedente.</w:t>
      </w:r>
    </w:p>
    <w:p w14:paraId="46CE33A3" w14:textId="77777777" w:rsidR="001F63B3" w:rsidRDefault="00FE38DE">
      <w:pPr>
        <w:spacing w:after="0" w:line="360" w:lineRule="auto"/>
        <w:rPr>
          <w:color w:val="000000"/>
        </w:rPr>
      </w:pPr>
      <w:r>
        <w:rPr>
          <w:color w:val="000000"/>
        </w:rPr>
        <w:t>En el presente caso, </w:t>
      </w:r>
      <w:r>
        <w:rPr>
          <w:b/>
          <w:color w:val="000000"/>
        </w:rPr>
        <w:t>no se actualiza ninguna de las causales de improcedencia</w:t>
      </w:r>
      <w:r>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6F9FC50F" w14:textId="77777777" w:rsidR="001F63B3" w:rsidRDefault="001F63B3">
      <w:pPr>
        <w:spacing w:after="0" w:line="360" w:lineRule="auto"/>
        <w:rPr>
          <w:color w:val="000000"/>
        </w:rPr>
      </w:pPr>
    </w:p>
    <w:p w14:paraId="5F57D046" w14:textId="77777777" w:rsidR="001F63B3" w:rsidRDefault="00FE38DE">
      <w:pPr>
        <w:spacing w:after="0" w:line="360" w:lineRule="auto"/>
        <w:rPr>
          <w:color w:val="000000"/>
        </w:rPr>
      </w:pPr>
      <w:r>
        <w:rPr>
          <w:color w:val="000000"/>
        </w:rPr>
        <w:t xml:space="preserve">Conforme a lo anterior, se actualiza la causal de procedencia señalada en el artículo 179, fracción VI, de la Ley de la materia, toda vez que el Solicitante se inconformó con la entrega de información que no corresponde con lo solicitado.  </w:t>
      </w:r>
    </w:p>
    <w:p w14:paraId="46DE0923" w14:textId="77777777" w:rsidR="001F63B3" w:rsidRDefault="001F63B3">
      <w:pPr>
        <w:spacing w:after="0" w:line="360" w:lineRule="auto"/>
        <w:rPr>
          <w:color w:val="000000"/>
        </w:rPr>
      </w:pPr>
    </w:p>
    <w:p w14:paraId="4F115948"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14" w:name="_heading=h.v6ttqp9ai79z" w:colFirst="0" w:colLast="0"/>
      <w:bookmarkEnd w:id="14"/>
      <w:r>
        <w:rPr>
          <w:rFonts w:ascii="Palatino Linotype" w:eastAsia="Palatino Linotype" w:hAnsi="Palatino Linotype" w:cs="Palatino Linotype"/>
          <w:b/>
          <w:color w:val="000000"/>
          <w:sz w:val="22"/>
          <w:szCs w:val="22"/>
        </w:rPr>
        <w:t xml:space="preserve">TERCERO. Causales de sobreseimiento </w:t>
      </w:r>
    </w:p>
    <w:p w14:paraId="679B09A1" w14:textId="77777777" w:rsidR="001F63B3" w:rsidRDefault="001F63B3">
      <w:pPr>
        <w:spacing w:after="0" w:line="360" w:lineRule="auto"/>
        <w:rPr>
          <w:color w:val="FF0000"/>
        </w:rPr>
      </w:pPr>
    </w:p>
    <w:p w14:paraId="41CD4399" w14:textId="77777777" w:rsidR="001F63B3" w:rsidRDefault="00FE38DE">
      <w:pPr>
        <w:spacing w:after="0" w:line="360" w:lineRule="auto"/>
      </w:pPr>
      <w:r>
        <w:t>Por ser de previo y especial pronunciamiento, este Instituto analiza si se actualiza alguna causal de sobreseimiento.</w:t>
      </w:r>
    </w:p>
    <w:p w14:paraId="7AA723D0" w14:textId="77777777" w:rsidR="001F63B3" w:rsidRDefault="001F63B3">
      <w:pPr>
        <w:spacing w:after="0" w:line="360" w:lineRule="auto"/>
      </w:pPr>
    </w:p>
    <w:p w14:paraId="7915DD97" w14:textId="77777777" w:rsidR="001F63B3" w:rsidRDefault="00FE38DE">
      <w:pPr>
        <w:spacing w:after="0" w:line="360" w:lineRule="auto"/>
      </w:pPr>
      <w: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Pr>
          <w:b/>
        </w:rPr>
        <w:t>que no se actualizan los supuestos de sobreseimiento previstos en las fracciones I, II, IV y V</w:t>
      </w:r>
      <w:r>
        <w:t xml:space="preserve">, del artículo en comento, lo anterior, en virtud de que no hay constancias en el expediente en que </w:t>
      </w:r>
      <w:r>
        <w:lastRenderedPageBreak/>
        <w:t xml:space="preserve">se actúa, de que la persona Recurrente se haya desistido del recurso, haya fallecido, o bien, se haya actualizado alguna causal de improcedencia. </w:t>
      </w:r>
    </w:p>
    <w:p w14:paraId="56E2F3F2" w14:textId="77777777" w:rsidR="001F63B3" w:rsidRDefault="001F63B3">
      <w:pPr>
        <w:spacing w:after="0" w:line="360" w:lineRule="auto"/>
      </w:pPr>
    </w:p>
    <w:p w14:paraId="5BB58220" w14:textId="77777777" w:rsidR="001F63B3" w:rsidRDefault="00FE38DE">
      <w:pPr>
        <w:spacing w:after="0" w:line="360" w:lineRule="auto"/>
        <w:rPr>
          <w:color w:val="000000"/>
        </w:rPr>
      </w:pPr>
      <w:r>
        <w:t xml:space="preserve">No obstante, por lo que hace a la fracción III, del artículo 192, de la Ley de la materia, es de señalar que el Sujeto Obligado modificó su respuesta, durante la sustanciación del Medio de Impugnación; por lo que, se estima procedente entrar al estudio de dicha causal de sobreseimiento, para lo cual, es necesario precisar que el Particular </w:t>
      </w:r>
      <w:r>
        <w:rPr>
          <w:color w:val="000000"/>
        </w:rPr>
        <w:t xml:space="preserve">requirió de los ejercicios fiscales dos mil dieciocho a dos mil veinticuatro, lo siguiente: </w:t>
      </w:r>
    </w:p>
    <w:p w14:paraId="5D4DDF17" w14:textId="77777777" w:rsidR="001F63B3" w:rsidRDefault="001F63B3">
      <w:pPr>
        <w:spacing w:after="0" w:line="360" w:lineRule="auto"/>
        <w:rPr>
          <w:color w:val="000000"/>
        </w:rPr>
      </w:pPr>
    </w:p>
    <w:p w14:paraId="0F744A8D" w14:textId="77777777" w:rsidR="001F63B3" w:rsidRDefault="00FE38DE">
      <w:pPr>
        <w:numPr>
          <w:ilvl w:val="0"/>
          <w:numId w:val="1"/>
        </w:numPr>
        <w:pBdr>
          <w:top w:val="nil"/>
          <w:left w:val="nil"/>
          <w:bottom w:val="nil"/>
          <w:right w:val="nil"/>
          <w:between w:val="nil"/>
        </w:pBdr>
        <w:spacing w:after="0" w:line="360" w:lineRule="auto"/>
        <w:rPr>
          <w:color w:val="000000"/>
        </w:rPr>
      </w:pPr>
      <w:r>
        <w:rPr>
          <w:color w:val="000000"/>
        </w:rPr>
        <w:t>Estado Analítico de Deuda y Otros Pasivos; y</w:t>
      </w:r>
    </w:p>
    <w:p w14:paraId="7B5CCADA" w14:textId="77777777" w:rsidR="001F63B3" w:rsidRDefault="00FE38DE">
      <w:pPr>
        <w:numPr>
          <w:ilvl w:val="0"/>
          <w:numId w:val="1"/>
        </w:numPr>
        <w:pBdr>
          <w:top w:val="nil"/>
          <w:left w:val="nil"/>
          <w:bottom w:val="nil"/>
          <w:right w:val="nil"/>
          <w:between w:val="nil"/>
        </w:pBdr>
        <w:spacing w:after="0" w:line="360" w:lineRule="auto"/>
        <w:rPr>
          <w:color w:val="000000"/>
        </w:rPr>
      </w:pPr>
      <w:r>
        <w:rPr>
          <w:color w:val="000000"/>
        </w:rPr>
        <w:t xml:space="preserve">Documento donde consten los Adeudos de Ejercicios Fiscales Anteriores (ADEFAS) </w:t>
      </w:r>
    </w:p>
    <w:p w14:paraId="31DEFFE9" w14:textId="77777777" w:rsidR="001F63B3" w:rsidRDefault="001F63B3">
      <w:pPr>
        <w:spacing w:after="0" w:line="360" w:lineRule="auto"/>
        <w:rPr>
          <w:color w:val="000000"/>
        </w:rPr>
      </w:pPr>
    </w:p>
    <w:p w14:paraId="530C6B14" w14:textId="77777777" w:rsidR="001F63B3" w:rsidRDefault="00FE38DE">
      <w:pPr>
        <w:spacing w:after="0" w:line="360" w:lineRule="auto"/>
        <w:rPr>
          <w:color w:val="0D0D0D"/>
        </w:rPr>
      </w:pPr>
      <w:r>
        <w:rPr>
          <w:color w:val="000000"/>
        </w:rPr>
        <w:t xml:space="preserve">En respuesta, el Sujeto Obligado, a través de la Coordinación de Finanzas proporcionó los Estados Analíticos de Deuda y Otros Pasivos de los ejercicios fiscales 2018, 2019, 2020, 2021, 2022, 2023 y 2024, además precisó que toda vez que no se aprecia de qué ejercicio fiscal requería el documento que diera cuenta de las ADEFAS, proporcionaba el Estado de Avance Presupuestal de Egresos Detallado del ejercicio fiscal dos mil veinticuatro en el que se logra vislumbrar la cuenta 9910 “ADEFAS” ; </w:t>
      </w:r>
      <w:r>
        <w:t>ante dicha circunstancia, el Particular se inconformó por la entrega de información que no corresponde con lo solicitado, al mencionar que no se le proporcionaba la información; lo cual actualiza la causal de procedencia prevista en la fracción VI, del artículo 179 de la Ley de Transparencia y Acceso a la Información Pública del Estado de México y Municipios</w:t>
      </w:r>
      <w:r>
        <w:rPr>
          <w:color w:val="0D0D0D"/>
        </w:rPr>
        <w:t>.</w:t>
      </w:r>
    </w:p>
    <w:p w14:paraId="1E74CB83" w14:textId="77777777" w:rsidR="001F63B3" w:rsidRDefault="001F63B3">
      <w:pPr>
        <w:spacing w:after="0" w:line="360" w:lineRule="auto"/>
        <w:rPr>
          <w:color w:val="000000"/>
        </w:rPr>
      </w:pPr>
    </w:p>
    <w:p w14:paraId="01B033FD" w14:textId="77777777" w:rsidR="001F63B3" w:rsidRDefault="00FE38DE">
      <w:pPr>
        <w:spacing w:after="0" w:line="360" w:lineRule="auto"/>
      </w:pPr>
      <w:r>
        <w:rPr>
          <w:color w:val="000000"/>
        </w:rPr>
        <w:lastRenderedPageBreak/>
        <w:t xml:space="preserve">Dicho lo anterior, resulta dable contextualizar la información solicitada, </w:t>
      </w:r>
      <w:r>
        <w:t xml:space="preserve">al respecto, el artículo 4 fracciones XII y XVIII de la Ley General de Contabilidad Gubernamental, establece que es obligación de los Ayuntamientos y las </w:t>
      </w:r>
      <w:r>
        <w:rPr>
          <w:b/>
        </w:rPr>
        <w:t>entidades de la Administración Pública Municipal</w:t>
      </w:r>
      <w:r>
        <w:t xml:space="preserve">, presentar mediante reportes, informes, estados y notas la información financiera referente a la </w:t>
      </w:r>
      <w:r>
        <w:rPr>
          <w:b/>
        </w:rPr>
        <w:t>información presupuestaria</w:t>
      </w:r>
      <w:r>
        <w:t xml:space="preserve"> y contable expresada en unidades monetarias, sobre las transacciones que realiza y los eventos económicos identificables y cuantificables que lo afectan, expresando su situación financiera, los resultados de su operación y los cambios en su patrimonio.</w:t>
      </w:r>
    </w:p>
    <w:p w14:paraId="5FC72AC1" w14:textId="77777777" w:rsidR="001F63B3" w:rsidRDefault="001F63B3">
      <w:pPr>
        <w:spacing w:after="0" w:line="360" w:lineRule="auto"/>
        <w:rPr>
          <w:highlight w:val="green"/>
        </w:rPr>
      </w:pPr>
    </w:p>
    <w:p w14:paraId="76C010A5" w14:textId="77777777" w:rsidR="001F63B3" w:rsidRDefault="00FE38DE">
      <w:pPr>
        <w:spacing w:after="0" w:line="360" w:lineRule="auto"/>
      </w:pPr>
      <w:r>
        <w:t>Sobre dicha información, el artículo 46 de la Ley anteriormente mencionada, establece que los Sujetos Obligados generarán periódicamente los estados y la información financiera que a continuación se señala:</w:t>
      </w:r>
    </w:p>
    <w:p w14:paraId="414B7550" w14:textId="77777777" w:rsidR="001F63B3" w:rsidRDefault="001F63B3">
      <w:pPr>
        <w:spacing w:after="0" w:line="360" w:lineRule="auto"/>
      </w:pPr>
    </w:p>
    <w:p w14:paraId="06E06325" w14:textId="77777777" w:rsidR="001F63B3" w:rsidRDefault="00FE38DE">
      <w:pPr>
        <w:numPr>
          <w:ilvl w:val="0"/>
          <w:numId w:val="2"/>
        </w:numPr>
        <w:pBdr>
          <w:top w:val="nil"/>
          <w:left w:val="nil"/>
          <w:bottom w:val="nil"/>
          <w:right w:val="nil"/>
          <w:between w:val="nil"/>
        </w:pBdr>
        <w:spacing w:after="0" w:line="360" w:lineRule="auto"/>
      </w:pPr>
      <w:r>
        <w:rPr>
          <w:color w:val="000000"/>
        </w:rPr>
        <w:t xml:space="preserve">Información contable, con la desagregación siguiente: </w:t>
      </w:r>
    </w:p>
    <w:p w14:paraId="69483730"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Estado de actividades; </w:t>
      </w:r>
    </w:p>
    <w:p w14:paraId="127A27D9"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Estado de situación financiera; </w:t>
      </w:r>
    </w:p>
    <w:p w14:paraId="73576986"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Estado de variación en la hacienda pública; </w:t>
      </w:r>
    </w:p>
    <w:p w14:paraId="7B7834A2"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Estado de cambios en la situación financiera; </w:t>
      </w:r>
    </w:p>
    <w:p w14:paraId="4D882DE7"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Estado de flujos de efectivo; </w:t>
      </w:r>
    </w:p>
    <w:p w14:paraId="7C55C4EA"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Informes sobre pasivos contingentes; </w:t>
      </w:r>
    </w:p>
    <w:p w14:paraId="01704896"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Notas a los estados financieros; </w:t>
      </w:r>
    </w:p>
    <w:p w14:paraId="4B9D5478" w14:textId="77777777" w:rsidR="001F63B3" w:rsidRDefault="00FE38DE">
      <w:pPr>
        <w:numPr>
          <w:ilvl w:val="0"/>
          <w:numId w:val="3"/>
        </w:numPr>
        <w:pBdr>
          <w:top w:val="nil"/>
          <w:left w:val="nil"/>
          <w:bottom w:val="nil"/>
          <w:right w:val="nil"/>
          <w:between w:val="nil"/>
        </w:pBdr>
        <w:spacing w:after="0" w:line="360" w:lineRule="auto"/>
      </w:pPr>
      <w:r>
        <w:rPr>
          <w:color w:val="000000"/>
        </w:rPr>
        <w:t xml:space="preserve">Estado analítico del activo, e </w:t>
      </w:r>
    </w:p>
    <w:p w14:paraId="6DBE5F5A" w14:textId="77777777" w:rsidR="001F63B3" w:rsidRDefault="00FE38DE">
      <w:pPr>
        <w:numPr>
          <w:ilvl w:val="0"/>
          <w:numId w:val="3"/>
        </w:numPr>
        <w:pBdr>
          <w:top w:val="nil"/>
          <w:left w:val="nil"/>
          <w:bottom w:val="nil"/>
          <w:right w:val="nil"/>
          <w:between w:val="nil"/>
        </w:pBdr>
        <w:spacing w:after="0" w:line="360" w:lineRule="auto"/>
        <w:rPr>
          <w:b/>
          <w:color w:val="000000"/>
        </w:rPr>
      </w:pPr>
      <w:r>
        <w:rPr>
          <w:b/>
          <w:color w:val="000000"/>
        </w:rPr>
        <w:t>Estado analítico de la deuda y otros pasivos.</w:t>
      </w:r>
    </w:p>
    <w:p w14:paraId="3B5CEA3E" w14:textId="77777777" w:rsidR="001F63B3" w:rsidRDefault="001F63B3">
      <w:pPr>
        <w:pBdr>
          <w:top w:val="nil"/>
          <w:left w:val="nil"/>
          <w:bottom w:val="nil"/>
          <w:right w:val="nil"/>
          <w:between w:val="nil"/>
        </w:pBdr>
        <w:spacing w:after="0" w:line="360" w:lineRule="auto"/>
        <w:ind w:left="1440"/>
        <w:rPr>
          <w:color w:val="000000"/>
        </w:rPr>
      </w:pPr>
    </w:p>
    <w:p w14:paraId="769331C0" w14:textId="77777777" w:rsidR="001F63B3" w:rsidRDefault="00FE38DE">
      <w:pPr>
        <w:numPr>
          <w:ilvl w:val="0"/>
          <w:numId w:val="2"/>
        </w:numPr>
        <w:pBdr>
          <w:top w:val="nil"/>
          <w:left w:val="nil"/>
          <w:bottom w:val="nil"/>
          <w:right w:val="nil"/>
          <w:between w:val="nil"/>
        </w:pBdr>
        <w:spacing w:after="0" w:line="360" w:lineRule="auto"/>
      </w:pPr>
      <w:r>
        <w:rPr>
          <w:color w:val="000000"/>
        </w:rPr>
        <w:lastRenderedPageBreak/>
        <w:t xml:space="preserve">Información presupuestaria, con la desagregación siguiente: </w:t>
      </w:r>
    </w:p>
    <w:p w14:paraId="07E87BCE" w14:textId="77777777" w:rsidR="001F63B3" w:rsidRDefault="00FE38DE">
      <w:pPr>
        <w:numPr>
          <w:ilvl w:val="0"/>
          <w:numId w:val="4"/>
        </w:numPr>
        <w:pBdr>
          <w:top w:val="nil"/>
          <w:left w:val="nil"/>
          <w:bottom w:val="nil"/>
          <w:right w:val="nil"/>
          <w:between w:val="nil"/>
        </w:pBdr>
        <w:spacing w:after="0" w:line="360" w:lineRule="auto"/>
      </w:pPr>
      <w:r>
        <w:rPr>
          <w:color w:val="000000"/>
        </w:rPr>
        <w:t>Estado analítico de ingresos</w:t>
      </w:r>
    </w:p>
    <w:p w14:paraId="7CE2346C" w14:textId="77777777" w:rsidR="001F63B3" w:rsidRDefault="00FE38DE">
      <w:pPr>
        <w:numPr>
          <w:ilvl w:val="0"/>
          <w:numId w:val="4"/>
        </w:numPr>
        <w:pBdr>
          <w:top w:val="nil"/>
          <w:left w:val="nil"/>
          <w:bottom w:val="nil"/>
          <w:right w:val="nil"/>
          <w:between w:val="nil"/>
        </w:pBdr>
        <w:spacing w:after="0" w:line="360" w:lineRule="auto"/>
        <w:rPr>
          <w:b/>
          <w:color w:val="000000"/>
        </w:rPr>
      </w:pPr>
      <w:r>
        <w:rPr>
          <w:b/>
          <w:color w:val="000000"/>
        </w:rPr>
        <w:t xml:space="preserve">Estado analítico del ejercicio del presupuesto de egresos </w:t>
      </w:r>
    </w:p>
    <w:p w14:paraId="0D0201FB" w14:textId="77777777" w:rsidR="001F63B3" w:rsidRDefault="00FE38DE">
      <w:pPr>
        <w:numPr>
          <w:ilvl w:val="0"/>
          <w:numId w:val="4"/>
        </w:numPr>
        <w:pBdr>
          <w:top w:val="nil"/>
          <w:left w:val="nil"/>
          <w:bottom w:val="nil"/>
          <w:right w:val="nil"/>
          <w:between w:val="nil"/>
        </w:pBdr>
        <w:spacing w:after="0" w:line="360" w:lineRule="auto"/>
      </w:pPr>
      <w:r>
        <w:rPr>
          <w:color w:val="000000"/>
        </w:rPr>
        <w:t>Endeudamiento neto, financiamiento menos amortización</w:t>
      </w:r>
    </w:p>
    <w:p w14:paraId="2112BFA5" w14:textId="77777777" w:rsidR="001F63B3" w:rsidRDefault="00FE38DE">
      <w:pPr>
        <w:numPr>
          <w:ilvl w:val="0"/>
          <w:numId w:val="4"/>
        </w:numPr>
        <w:pBdr>
          <w:top w:val="nil"/>
          <w:left w:val="nil"/>
          <w:bottom w:val="nil"/>
          <w:right w:val="nil"/>
          <w:between w:val="nil"/>
        </w:pBdr>
        <w:spacing w:after="0" w:line="360" w:lineRule="auto"/>
      </w:pPr>
      <w:r>
        <w:rPr>
          <w:color w:val="000000"/>
        </w:rPr>
        <w:t xml:space="preserve">Intereses de la deuda, y </w:t>
      </w:r>
    </w:p>
    <w:p w14:paraId="674EDF07" w14:textId="77777777" w:rsidR="001F63B3" w:rsidRDefault="00FE38DE">
      <w:pPr>
        <w:numPr>
          <w:ilvl w:val="0"/>
          <w:numId w:val="4"/>
        </w:numPr>
        <w:pBdr>
          <w:top w:val="nil"/>
          <w:left w:val="nil"/>
          <w:bottom w:val="nil"/>
          <w:right w:val="nil"/>
          <w:between w:val="nil"/>
        </w:pBdr>
        <w:spacing w:after="0" w:line="360" w:lineRule="auto"/>
      </w:pPr>
      <w:r>
        <w:rPr>
          <w:color w:val="000000"/>
        </w:rPr>
        <w:t>Un flujo de fondos que resuma todas las operaciones.</w:t>
      </w:r>
    </w:p>
    <w:p w14:paraId="57CEF153" w14:textId="77777777" w:rsidR="001F63B3" w:rsidRDefault="001F63B3">
      <w:pPr>
        <w:pBdr>
          <w:top w:val="nil"/>
          <w:left w:val="nil"/>
          <w:bottom w:val="nil"/>
          <w:right w:val="nil"/>
          <w:between w:val="nil"/>
        </w:pBdr>
        <w:spacing w:after="0" w:line="360" w:lineRule="auto"/>
        <w:ind w:left="1440"/>
        <w:rPr>
          <w:color w:val="000000"/>
        </w:rPr>
      </w:pPr>
    </w:p>
    <w:p w14:paraId="390CD891" w14:textId="77777777" w:rsidR="001F63B3" w:rsidRDefault="00FE38DE">
      <w:pPr>
        <w:numPr>
          <w:ilvl w:val="0"/>
          <w:numId w:val="2"/>
        </w:numPr>
        <w:pBdr>
          <w:top w:val="nil"/>
          <w:left w:val="nil"/>
          <w:bottom w:val="nil"/>
          <w:right w:val="nil"/>
          <w:between w:val="nil"/>
        </w:pBdr>
        <w:spacing w:after="0" w:line="360" w:lineRule="auto"/>
      </w:pPr>
      <w:r>
        <w:rPr>
          <w:color w:val="000000"/>
        </w:rPr>
        <w:t xml:space="preserve">Información programática, con la desagregación siguiente: </w:t>
      </w:r>
    </w:p>
    <w:p w14:paraId="3CDCFD3B" w14:textId="77777777" w:rsidR="001F63B3" w:rsidRDefault="00FE38DE">
      <w:pPr>
        <w:numPr>
          <w:ilvl w:val="0"/>
          <w:numId w:val="5"/>
        </w:numPr>
        <w:pBdr>
          <w:top w:val="nil"/>
          <w:left w:val="nil"/>
          <w:bottom w:val="nil"/>
          <w:right w:val="nil"/>
          <w:between w:val="nil"/>
        </w:pBdr>
        <w:spacing w:after="0" w:line="360" w:lineRule="auto"/>
      </w:pPr>
      <w:r>
        <w:rPr>
          <w:color w:val="000000"/>
        </w:rPr>
        <w:t xml:space="preserve">Gasto por categoría programática; </w:t>
      </w:r>
    </w:p>
    <w:p w14:paraId="04EB9003" w14:textId="77777777" w:rsidR="001F63B3" w:rsidRDefault="00FE38DE">
      <w:pPr>
        <w:numPr>
          <w:ilvl w:val="0"/>
          <w:numId w:val="5"/>
        </w:numPr>
        <w:pBdr>
          <w:top w:val="nil"/>
          <w:left w:val="nil"/>
          <w:bottom w:val="nil"/>
          <w:right w:val="nil"/>
          <w:between w:val="nil"/>
        </w:pBdr>
        <w:spacing w:after="0" w:line="360" w:lineRule="auto"/>
      </w:pPr>
      <w:r>
        <w:rPr>
          <w:color w:val="000000"/>
        </w:rPr>
        <w:t xml:space="preserve">Programas y proyectos de inversión, y </w:t>
      </w:r>
    </w:p>
    <w:p w14:paraId="5C0072D1" w14:textId="77777777" w:rsidR="001F63B3" w:rsidRDefault="00FE38DE">
      <w:pPr>
        <w:numPr>
          <w:ilvl w:val="0"/>
          <w:numId w:val="5"/>
        </w:numPr>
        <w:pBdr>
          <w:top w:val="nil"/>
          <w:left w:val="nil"/>
          <w:bottom w:val="nil"/>
          <w:right w:val="nil"/>
          <w:between w:val="nil"/>
        </w:pBdr>
        <w:spacing w:after="0" w:line="360" w:lineRule="auto"/>
      </w:pPr>
      <w:r>
        <w:rPr>
          <w:color w:val="000000"/>
        </w:rPr>
        <w:t>Indicadores de resultados.</w:t>
      </w:r>
    </w:p>
    <w:p w14:paraId="1841B0D1" w14:textId="77777777" w:rsidR="001F63B3" w:rsidRDefault="001F63B3">
      <w:pPr>
        <w:pBdr>
          <w:top w:val="nil"/>
          <w:left w:val="nil"/>
          <w:bottom w:val="nil"/>
          <w:right w:val="nil"/>
          <w:between w:val="nil"/>
        </w:pBdr>
        <w:spacing w:after="0" w:line="360" w:lineRule="auto"/>
        <w:ind w:left="1440"/>
        <w:rPr>
          <w:color w:val="000000"/>
        </w:rPr>
      </w:pPr>
    </w:p>
    <w:p w14:paraId="2B290331" w14:textId="77777777" w:rsidR="001F63B3" w:rsidRDefault="00FE38DE">
      <w:pPr>
        <w:numPr>
          <w:ilvl w:val="0"/>
          <w:numId w:val="2"/>
        </w:numPr>
        <w:pBdr>
          <w:top w:val="nil"/>
          <w:left w:val="nil"/>
          <w:bottom w:val="nil"/>
          <w:right w:val="nil"/>
          <w:between w:val="nil"/>
        </w:pBdr>
        <w:spacing w:after="0" w:line="360" w:lineRule="auto"/>
      </w:pPr>
      <w:r>
        <w:rPr>
          <w:color w:val="000000"/>
        </w:rPr>
        <w:t>La información complementaria para generar las cuentas nacionales y atender otros requerimientos provenientes de organismos internacionales de los que México es miembro.</w:t>
      </w:r>
    </w:p>
    <w:p w14:paraId="5F6C2A4B" w14:textId="77777777" w:rsidR="001F63B3" w:rsidRDefault="001F63B3">
      <w:pPr>
        <w:spacing w:after="0" w:line="360" w:lineRule="auto"/>
        <w:ind w:left="360"/>
      </w:pPr>
    </w:p>
    <w:p w14:paraId="539F61A0" w14:textId="77777777" w:rsidR="001F63B3" w:rsidRDefault="00FE38DE">
      <w:pPr>
        <w:spacing w:after="0" w:line="360" w:lineRule="auto"/>
      </w:pPr>
      <w:r>
        <w:t>En ese contexto, el Manual de Contabilidad Gubernamental, en su Capítulo VII “De los Estado e Informes Contables, Presupuestarios, Programáticos y de los Indicadores de Postura, establece que los entes públicos deberán generar y presentar periódicamente y en la cuenta pública los estados e información contable siguientes:</w:t>
      </w:r>
    </w:p>
    <w:p w14:paraId="247123EC" w14:textId="77777777" w:rsidR="001F63B3" w:rsidRDefault="001F63B3">
      <w:pPr>
        <w:spacing w:after="0" w:line="360" w:lineRule="auto"/>
      </w:pPr>
    </w:p>
    <w:p w14:paraId="237BE4AF" w14:textId="77777777" w:rsidR="001F63B3" w:rsidRDefault="00FE38DE">
      <w:pPr>
        <w:numPr>
          <w:ilvl w:val="0"/>
          <w:numId w:val="2"/>
        </w:numPr>
        <w:pBdr>
          <w:top w:val="nil"/>
          <w:left w:val="nil"/>
          <w:bottom w:val="nil"/>
          <w:right w:val="nil"/>
          <w:between w:val="nil"/>
        </w:pBdr>
        <w:spacing w:after="0" w:line="360" w:lineRule="auto"/>
      </w:pPr>
      <w:r>
        <w:rPr>
          <w:b/>
          <w:color w:val="000000"/>
        </w:rPr>
        <w:t>Estado Analítico de la Deuda y Otros Pasivos</w:t>
      </w:r>
      <w:r>
        <w:rPr>
          <w:color w:val="000000"/>
        </w:rPr>
        <w:t xml:space="preserve">, que tendrá como finalidad mostrar las obligaciones insolutas de los entes públicos, al inicio y fin de cada periodo, derivadas del endeudamiento interno y externo, realizado en el marco de la </w:t>
      </w:r>
      <w:r>
        <w:rPr>
          <w:color w:val="000000"/>
        </w:rPr>
        <w:lastRenderedPageBreak/>
        <w:t>legislación vigente, así como suministrar a los usuarios información analítica relevante sobre la variación de la deuda del ente público entre el inicio y el fin del periodo, ya sea que tenga su origen en operaciones de crédito público (deuda pública) o en cualquier otro tipo de financiamiento</w:t>
      </w:r>
    </w:p>
    <w:p w14:paraId="6300E025" w14:textId="77777777" w:rsidR="001F63B3" w:rsidRDefault="001F63B3">
      <w:pPr>
        <w:pBdr>
          <w:top w:val="nil"/>
          <w:left w:val="nil"/>
          <w:bottom w:val="nil"/>
          <w:right w:val="nil"/>
          <w:between w:val="nil"/>
        </w:pBdr>
        <w:spacing w:after="0" w:line="360" w:lineRule="auto"/>
        <w:ind w:left="720"/>
        <w:rPr>
          <w:color w:val="000000"/>
        </w:rPr>
      </w:pPr>
    </w:p>
    <w:p w14:paraId="33A3CBBA" w14:textId="77777777" w:rsidR="001F63B3" w:rsidRDefault="00FE38DE">
      <w:pPr>
        <w:numPr>
          <w:ilvl w:val="0"/>
          <w:numId w:val="2"/>
        </w:numPr>
        <w:pBdr>
          <w:top w:val="nil"/>
          <w:left w:val="nil"/>
          <w:bottom w:val="nil"/>
          <w:right w:val="nil"/>
          <w:between w:val="nil"/>
        </w:pBdr>
        <w:spacing w:after="0" w:line="360" w:lineRule="auto"/>
        <w:rPr>
          <w:b/>
          <w:color w:val="000000"/>
        </w:rPr>
      </w:pPr>
      <w:r>
        <w:rPr>
          <w:b/>
          <w:color w:val="000000"/>
        </w:rPr>
        <w:t xml:space="preserve">Estado analítico del ejercicio del presupuesto de egresos, </w:t>
      </w:r>
      <w:r>
        <w:rPr>
          <w:color w:val="000000"/>
        </w:rPr>
        <w:t xml:space="preserve">informa de manera periódica y confiable sobre el seguimiento del ejercicio de los egresos presupuestarios, es decir, muestra a una fecha determinada del ejercicio los movimientos y la situación de cada concepto que integran las distintas clasificaciones con la desagregación de las mismas. </w:t>
      </w:r>
    </w:p>
    <w:p w14:paraId="2DCB61B5" w14:textId="77777777" w:rsidR="001F63B3" w:rsidRDefault="001F63B3">
      <w:pPr>
        <w:spacing w:after="0" w:line="360" w:lineRule="auto"/>
      </w:pPr>
    </w:p>
    <w:p w14:paraId="6E702D00" w14:textId="77777777" w:rsidR="001F63B3" w:rsidRDefault="00FE38DE">
      <w:pPr>
        <w:spacing w:after="0" w:line="360" w:lineRule="auto"/>
        <w:ind w:right="-93"/>
        <w:rPr>
          <w:b/>
          <w:color w:val="000000"/>
        </w:rPr>
      </w:pPr>
      <w:r>
        <w:t>Ahora bien, los</w:t>
      </w:r>
      <w:r>
        <w:rPr>
          <w:color w:val="000000"/>
        </w:rPr>
        <w:t xml:space="preserve"> artículos 341 y 352 del Código Financiero del Estado de México y Municipios, que precisa que la cuenta pública es el informe que rinde anualmente el Presidente Municipal a la Legislatura, respecto de los resultados y la situación financiera del ejercicio fiscal inmediato anterior, que se conformará por la información económica, patrimonial, presupuestal, programática, cualitativa y cuantitativa; además que los documentos que lo conforman, contarán con la máxima publicidad y será información pública de oficio que </w:t>
      </w:r>
      <w:r>
        <w:rPr>
          <w:b/>
          <w:color w:val="000000"/>
          <w:u w:val="single"/>
        </w:rPr>
        <w:t>deberá difundirse en la página electrónica oficial de los Municipios, una vez entregados a la Legislatura.</w:t>
      </w:r>
    </w:p>
    <w:p w14:paraId="607B4771" w14:textId="77777777" w:rsidR="001F63B3" w:rsidRDefault="00FE38DE">
      <w:pPr>
        <w:spacing w:after="0" w:line="360" w:lineRule="auto"/>
        <w:ind w:right="-93"/>
        <w:rPr>
          <w:b/>
          <w:color w:val="000000"/>
          <w:u w:val="single"/>
        </w:rPr>
      </w:pPr>
      <w:r>
        <w:rPr>
          <w:color w:val="000000"/>
        </w:rPr>
        <w:t>En ese contexto, el artículo 32 de la Ley de Fiscalización Superior del Estado de México, precisa que los presidentes municipales presentarán a la Legislatura las cuentas públicas anuales de sus respectivos municipios, del ejercicio inmediato anterior, dentro de los quince primeros días de marzo de cada año.</w:t>
      </w:r>
    </w:p>
    <w:p w14:paraId="7470B05C" w14:textId="77777777" w:rsidR="001F63B3" w:rsidRDefault="001F63B3">
      <w:pPr>
        <w:spacing w:after="0" w:line="360" w:lineRule="auto"/>
        <w:ind w:right="-93"/>
        <w:rPr>
          <w:color w:val="000000"/>
        </w:rPr>
      </w:pPr>
    </w:p>
    <w:p w14:paraId="222AB25C" w14:textId="77777777" w:rsidR="001F63B3" w:rsidRDefault="00FE38DE">
      <w:pPr>
        <w:spacing w:after="0" w:line="360" w:lineRule="auto"/>
        <w:ind w:right="-93"/>
        <w:rPr>
          <w:color w:val="000000"/>
        </w:rPr>
      </w:pPr>
      <w:r>
        <w:rPr>
          <w:color w:val="000000"/>
        </w:rPr>
        <w:lastRenderedPageBreak/>
        <w:t>Ahora bien, de conformidad con los Lineamientos para la Integración, Presentación y Envío de los Informes Trimestrales Municipales del Ejercicio Fiscal dos mil veinticinco, en su Módulo 1 “Información Contable y Financiera” y Módulo 2 “Información Presupuestaria”, se integrarán por distintos documentos, que dentro de los cuales se encuentran el Estado Analítico de Deuda y Otros Pasivos y el Estado Analítico del Ejercicio del Presupuesto de egresos Clasificación por Objeto del Gasto (Capítulo y Concepto), que deberán ser entregados al Órgano Superior de Fiscalización, tal como se muestra a continuación:</w:t>
      </w:r>
    </w:p>
    <w:p w14:paraId="5B092D7D" w14:textId="77777777" w:rsidR="001F63B3" w:rsidRDefault="001F63B3">
      <w:pPr>
        <w:spacing w:after="0" w:line="360" w:lineRule="auto"/>
        <w:ind w:right="-93"/>
        <w:rPr>
          <w:color w:val="000000"/>
        </w:rPr>
      </w:pPr>
    </w:p>
    <w:p w14:paraId="0A230BD9" w14:textId="77777777" w:rsidR="001F63B3" w:rsidRDefault="00FE38DE">
      <w:pPr>
        <w:spacing w:after="0" w:line="360" w:lineRule="auto"/>
        <w:ind w:right="-93"/>
        <w:jc w:val="center"/>
        <w:rPr>
          <w:color w:val="000000"/>
        </w:rPr>
      </w:pPr>
      <w:r>
        <w:rPr>
          <w:noProof/>
          <w:color w:val="000000"/>
        </w:rPr>
        <w:drawing>
          <wp:inline distT="0" distB="0" distL="0" distR="0" wp14:anchorId="7C219C26" wp14:editId="30704A61">
            <wp:extent cx="5257800" cy="1709035"/>
            <wp:effectExtent l="0" t="0" r="0" b="0"/>
            <wp:docPr id="1745743804"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8"/>
                    <a:srcRect/>
                    <a:stretch>
                      <a:fillRect/>
                    </a:stretch>
                  </pic:blipFill>
                  <pic:spPr>
                    <a:xfrm>
                      <a:off x="0" y="0"/>
                      <a:ext cx="5257800" cy="1709035"/>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14:anchorId="5EE2265B" wp14:editId="24E656F7">
                <wp:simplePos x="0" y="0"/>
                <wp:positionH relativeFrom="column">
                  <wp:posOffset>978218</wp:posOffset>
                </wp:positionH>
                <wp:positionV relativeFrom="paragraph">
                  <wp:posOffset>1259523</wp:posOffset>
                </wp:positionV>
                <wp:extent cx="1834515" cy="150495"/>
                <wp:effectExtent l="0" t="0" r="0" b="0"/>
                <wp:wrapNone/>
                <wp:docPr id="1745743802" name="Rectángulo 1745743802"/>
                <wp:cNvGraphicFramePr/>
                <a:graphic xmlns:a="http://schemas.openxmlformats.org/drawingml/2006/main">
                  <a:graphicData uri="http://schemas.microsoft.com/office/word/2010/wordprocessingShape">
                    <wps:wsp>
                      <wps:cNvSpPr/>
                      <wps:spPr>
                        <a:xfrm>
                          <a:off x="4443030" y="3719040"/>
                          <a:ext cx="1805940" cy="121920"/>
                        </a:xfrm>
                        <a:prstGeom prst="rect">
                          <a:avLst/>
                        </a:prstGeom>
                        <a:noFill/>
                        <a:ln w="28575" cap="flat" cmpd="sng">
                          <a:solidFill>
                            <a:srgbClr val="1C3052"/>
                          </a:solidFill>
                          <a:prstDash val="solid"/>
                          <a:miter lim="800000"/>
                          <a:headEnd type="none" w="sm" len="sm"/>
                          <a:tailEnd type="none" w="sm" len="sm"/>
                        </a:ln>
                      </wps:spPr>
                      <wps:txbx>
                        <w:txbxContent>
                          <w:p w14:paraId="12AB7371" w14:textId="77777777" w:rsidR="001F63B3" w:rsidRDefault="001F63B3">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5EE2265B" id="Rectángulo 1745743802" o:spid="_x0000_s1026" style="position:absolute;left:0;text-align:left;margin-left:77.05pt;margin-top:99.2pt;width:144.45pt;height:11.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" filled="f" strokecolor="#1c3052" strokeweight="2.25pt">
                <v:stroke startarrowwidth="narrow" startarrowlength="short" endarrowwidth="narrow" endarrowlength="short"/>
                <v:textbox inset="2.53958mm,2.53958mm,2.53958mm,2.53958mm">
                  <w:txbxContent>
                    <w:p w14:paraId="12AB7371" w14:textId="77777777" w:rsidR="001F63B3" w:rsidRDefault="001F63B3">
                      <w:pPr>
                        <w:spacing w:after="0" w:line="240" w:lineRule="auto"/>
                        <w:jc w:val="left"/>
                        <w:textDirection w:val="btLr"/>
                      </w:pPr>
                    </w:p>
                  </w:txbxContent>
                </v:textbox>
              </v:rect>
            </w:pict>
          </mc:Fallback>
        </mc:AlternateContent>
      </w:r>
    </w:p>
    <w:p w14:paraId="7D8A4BD6" w14:textId="77777777" w:rsidR="001F63B3" w:rsidRDefault="00FE38DE">
      <w:pPr>
        <w:spacing w:after="0" w:line="360" w:lineRule="auto"/>
        <w:ind w:right="-93"/>
        <w:jc w:val="center"/>
        <w:rPr>
          <w:color w:val="000000"/>
        </w:rPr>
      </w:pPr>
      <w:r>
        <w:rPr>
          <w:noProof/>
          <w:color w:val="000000"/>
        </w:rPr>
        <w:drawing>
          <wp:inline distT="0" distB="0" distL="0" distR="0" wp14:anchorId="33A2F668" wp14:editId="0DD3C1DC">
            <wp:extent cx="5283408" cy="1574945"/>
            <wp:effectExtent l="0" t="0" r="0" b="0"/>
            <wp:docPr id="1745743806" name="image3.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3.png" descr="Tabla&#10;&#10;El contenido generado por IA puede ser incorrecto."/>
                    <pic:cNvPicPr preferRelativeResize="0"/>
                  </pic:nvPicPr>
                  <pic:blipFill>
                    <a:blip r:embed="rId9"/>
                    <a:srcRect/>
                    <a:stretch>
                      <a:fillRect/>
                    </a:stretch>
                  </pic:blipFill>
                  <pic:spPr>
                    <a:xfrm>
                      <a:off x="0" y="0"/>
                      <a:ext cx="5283408" cy="1574945"/>
                    </a:xfrm>
                    <a:prstGeom prst="rect">
                      <a:avLst/>
                    </a:prstGeom>
                    <a:ln/>
                  </pic:spPr>
                </pic:pic>
              </a:graphicData>
            </a:graphic>
          </wp:inline>
        </w:drawing>
      </w:r>
      <w:r>
        <w:rPr>
          <w:noProof/>
        </w:rPr>
        <mc:AlternateContent>
          <mc:Choice Requires="wps">
            <w:drawing>
              <wp:anchor distT="0" distB="0" distL="114300" distR="114300" simplePos="0" relativeHeight="251659264" behindDoc="0" locked="0" layoutInCell="1" hidden="0" allowOverlap="1" wp14:anchorId="0FC0D2BE" wp14:editId="736170E0">
                <wp:simplePos x="0" y="0"/>
                <wp:positionH relativeFrom="column">
                  <wp:posOffset>1020128</wp:posOffset>
                </wp:positionH>
                <wp:positionV relativeFrom="paragraph">
                  <wp:posOffset>1023938</wp:posOffset>
                </wp:positionV>
                <wp:extent cx="2051685" cy="276225"/>
                <wp:effectExtent l="0" t="0" r="0" b="0"/>
                <wp:wrapNone/>
                <wp:docPr id="1745743803" name="Rectángulo 1745743803"/>
                <wp:cNvGraphicFramePr/>
                <a:graphic xmlns:a="http://schemas.openxmlformats.org/drawingml/2006/main">
                  <a:graphicData uri="http://schemas.microsoft.com/office/word/2010/wordprocessingShape">
                    <wps:wsp>
                      <wps:cNvSpPr/>
                      <wps:spPr>
                        <a:xfrm>
                          <a:off x="4334445" y="3656175"/>
                          <a:ext cx="2023110" cy="247650"/>
                        </a:xfrm>
                        <a:prstGeom prst="rect">
                          <a:avLst/>
                        </a:prstGeom>
                        <a:noFill/>
                        <a:ln w="28575" cap="flat" cmpd="sng">
                          <a:solidFill>
                            <a:srgbClr val="1C3052"/>
                          </a:solidFill>
                          <a:prstDash val="solid"/>
                          <a:miter lim="800000"/>
                          <a:headEnd type="none" w="sm" len="sm"/>
                          <a:tailEnd type="none" w="sm" len="sm"/>
                        </a:ln>
                      </wps:spPr>
                      <wps:txbx>
                        <w:txbxContent>
                          <w:p w14:paraId="6632BDAB" w14:textId="77777777" w:rsidR="001F63B3" w:rsidRDefault="001F63B3">
                            <w:pPr>
                              <w:spacing w:after="0" w:line="240" w:lineRule="auto"/>
                              <w:jc w:val="left"/>
                              <w:textDirection w:val="btLr"/>
                            </w:pPr>
                          </w:p>
                        </w:txbxContent>
                      </wps:txbx>
                      <wps:bodyPr spcFirstLastPara="1" wrap="square" lIns="91425" tIns="91425" rIns="91425" bIns="91425" anchor="ctr" anchorCtr="0">
                        <a:noAutofit/>
                      </wps:bodyPr>
                    </wps:wsp>
                  </a:graphicData>
                </a:graphic>
              </wp:anchor>
            </w:drawing>
          </mc:Choice>
          <mc:Fallback>
            <w:pict>
              <v:rect w14:anchorId="0FC0D2BE" id="Rectángulo 1745743803" o:spid="_x0000_s1027" style="position:absolute;left:0;text-align:left;margin-left:80.35pt;margin-top:80.65pt;width:161.5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" filled="f" strokecolor="#1c3052" strokeweight="2.25pt">
                <v:stroke startarrowwidth="narrow" startarrowlength="short" endarrowwidth="narrow" endarrowlength="short"/>
                <v:textbox inset="2.53958mm,2.53958mm,2.53958mm,2.53958mm">
                  <w:txbxContent>
                    <w:p w14:paraId="6632BDAB" w14:textId="77777777" w:rsidR="001F63B3" w:rsidRDefault="001F63B3">
                      <w:pPr>
                        <w:spacing w:after="0" w:line="240" w:lineRule="auto"/>
                        <w:jc w:val="left"/>
                        <w:textDirection w:val="btLr"/>
                      </w:pPr>
                    </w:p>
                  </w:txbxContent>
                </v:textbox>
              </v:rect>
            </w:pict>
          </mc:Fallback>
        </mc:AlternateContent>
      </w:r>
    </w:p>
    <w:p w14:paraId="3D8C3FF0" w14:textId="77777777" w:rsidR="001F63B3" w:rsidRDefault="00FE38DE">
      <w:pPr>
        <w:spacing w:after="0" w:line="360" w:lineRule="auto"/>
        <w:rPr>
          <w:color w:val="000000"/>
        </w:rPr>
      </w:pPr>
      <w:r>
        <w:rPr>
          <w:color w:val="000000"/>
        </w:rPr>
        <w:t xml:space="preserve">Ahora bien, conforme al artículo 94, fracciones I, II, VIII y X, en relación con el Manual de Procedimientos del Organismo Público Descentralizado para la Prestación de los Servicios de agua Potable Alcantarillado y Saneamiento del Municipio de Atizapán de Zaragoza, precisan que para el ejercicio de sus atribuciones el Organismos se auxiliará de la  </w:t>
      </w:r>
      <w:r>
        <w:rPr>
          <w:color w:val="000000"/>
        </w:rPr>
        <w:lastRenderedPageBreak/>
        <w:t xml:space="preserve">Coordinación de Finanzas, encargada de administrar la hacienda pública del Organismo, llevar los registros contables, financieros y administrativos de los ingresos, egresos e inventarios, presentar al Director General los informes que le sean requeridos para su remisión al OSFEM y presentar el Presupuesto de Ingresos y Egresos definitivo para su aprobación y remisión al OSFEM en términos de la normatividad aplicable. </w:t>
      </w:r>
    </w:p>
    <w:p w14:paraId="487DA2F1" w14:textId="77777777" w:rsidR="001F63B3" w:rsidRDefault="001F63B3">
      <w:pPr>
        <w:spacing w:after="0" w:line="360" w:lineRule="auto"/>
        <w:rPr>
          <w:color w:val="000000"/>
        </w:rPr>
      </w:pPr>
    </w:p>
    <w:p w14:paraId="16E0DFB4" w14:textId="77777777" w:rsidR="001F63B3" w:rsidRDefault="00FE38DE">
      <w:pPr>
        <w:spacing w:after="0" w:line="360" w:lineRule="auto"/>
      </w:pPr>
      <w:bookmarkStart w:id="15" w:name="_heading=h.w02jdnky1z9j" w:colFirst="0" w:colLast="0"/>
      <w:bookmarkEnd w:id="15"/>
      <w:r>
        <w:rPr>
          <w:color w:val="000000"/>
        </w:rPr>
        <w:t>De lo anterior, se colige que, el Sujeto Obligado cuenta con facultades, competencia y funciones para conocer, generar y administrar la información solicitada por el Particular; por otro lado, de las constancias que obran en el expediente electrónico, se advierte que el Sujeto Obligado</w:t>
      </w:r>
      <w:r>
        <w:rPr>
          <w:color w:val="0D0D0D"/>
        </w:rPr>
        <w:t xml:space="preserve"> turnó la solicitud a la Coordinación de Finanzas</w:t>
      </w:r>
      <w:r>
        <w:rPr>
          <w:color w:val="000000"/>
        </w:rPr>
        <w:t xml:space="preserve">; </w:t>
      </w:r>
      <w:r>
        <w:t xml:space="preserve">por lo que, es oportuno hacer referencia al </w:t>
      </w:r>
      <w:r>
        <w:rPr>
          <w:b/>
        </w:rPr>
        <w:t>procedimiento de búsqueda que deben de seguir los Sujetos Obligados para localizar la información</w:t>
      </w:r>
      <w:r>
        <w:t xml:space="preserve">,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 </w:t>
      </w:r>
    </w:p>
    <w:p w14:paraId="4BF2C24C" w14:textId="77777777" w:rsidR="001F63B3" w:rsidRDefault="001F63B3">
      <w:pPr>
        <w:spacing w:after="0" w:line="360" w:lineRule="auto"/>
      </w:pPr>
    </w:p>
    <w:p w14:paraId="3B14C982" w14:textId="77777777" w:rsidR="001F63B3" w:rsidRDefault="00FE38DE">
      <w:pPr>
        <w:widowControl w:val="0"/>
        <w:spacing w:after="0" w:line="360" w:lineRule="auto"/>
        <w:rPr>
          <w:color w:val="000000"/>
        </w:rPr>
      </w:pPr>
      <w:r>
        <w:rPr>
          <w:color w:val="000000"/>
        </w:rPr>
        <w:t xml:space="preserve">Conforme a lo anterior, se logra colegir que el Sujeto Obligado cumplió con el procedimiento de búsqueda previamente referido, toda vez que turnó la solicitud al área de la cual se solicitó la información, a saber, la Coordinación de Finanzas. </w:t>
      </w:r>
    </w:p>
    <w:p w14:paraId="27834949" w14:textId="77777777" w:rsidR="001F63B3" w:rsidRDefault="001F63B3">
      <w:pPr>
        <w:tabs>
          <w:tab w:val="center" w:pos="4522"/>
        </w:tabs>
        <w:spacing w:after="0" w:line="360" w:lineRule="auto"/>
        <w:rPr>
          <w:color w:val="000000"/>
        </w:rPr>
      </w:pPr>
    </w:p>
    <w:p w14:paraId="729F2CD0" w14:textId="77777777" w:rsidR="001F63B3" w:rsidRDefault="00FE38DE">
      <w:pPr>
        <w:tabs>
          <w:tab w:val="center" w:pos="4522"/>
        </w:tabs>
        <w:spacing w:after="0" w:line="360" w:lineRule="auto"/>
        <w:rPr>
          <w:color w:val="000000"/>
        </w:rPr>
      </w:pPr>
      <w:r>
        <w:rPr>
          <w:color w:val="000000"/>
        </w:rPr>
        <w:t xml:space="preserve">Dicho esto, en lo que respecta a los agravios hechos valer por el Particular, relativos a la entrega de información que no corresponde con lo solicitado, es de destacar que, el Sujeto </w:t>
      </w:r>
      <w:r>
        <w:rPr>
          <w:color w:val="000000"/>
        </w:rPr>
        <w:lastRenderedPageBreak/>
        <w:t xml:space="preserve">Obligado en respuesta refirió que toda vez que no se precisó el ejercicio fiscal del cual requería el documento donde constara los Adeudos de Ejercicios Fiscales Anteriores (ADEFAS), remitió el </w:t>
      </w:r>
      <w:r>
        <w:rPr>
          <w:color w:val="000000"/>
          <w:sz w:val="20"/>
          <w:szCs w:val="20"/>
        </w:rPr>
        <w:t>Estado de Avance Presupuestal de Egresos Detallado que contiene la cuenta 9910 “ADEFAS” del ejercicio fiscal dos mil veinticuatro</w:t>
      </w:r>
      <w:r>
        <w:rPr>
          <w:color w:val="000000"/>
        </w:rPr>
        <w:t>.</w:t>
      </w:r>
    </w:p>
    <w:p w14:paraId="5F8729B6" w14:textId="77777777" w:rsidR="001F63B3" w:rsidRDefault="001F63B3">
      <w:pPr>
        <w:tabs>
          <w:tab w:val="center" w:pos="4522"/>
        </w:tabs>
        <w:spacing w:after="0" w:line="360" w:lineRule="auto"/>
        <w:rPr>
          <w:color w:val="000000"/>
        </w:rPr>
      </w:pPr>
    </w:p>
    <w:p w14:paraId="5F581896" w14:textId="77777777" w:rsidR="001F63B3" w:rsidRDefault="00FE38DE">
      <w:pPr>
        <w:tabs>
          <w:tab w:val="center" w:pos="4522"/>
        </w:tabs>
        <w:spacing w:after="0" w:line="360" w:lineRule="auto"/>
        <w:rPr>
          <w:b/>
          <w:color w:val="000000"/>
        </w:rPr>
      </w:pPr>
      <w:r>
        <w:rPr>
          <w:color w:val="000000"/>
        </w:rPr>
        <w:t xml:space="preserve">No obstante, tal como se señaló en el medio de impugnación, este no da cuenta de los solicitado, pues a la fecha de la solicitud, es decir al trece de marzo de dos mil veinticinco el Sujeto Obligado ya contaba con los estados y la información financiera referidos en párrafos anteriores, de los ejercicios fiscales 2018, 2019, 2020, 2021, 2022, 2023 y 2024. </w:t>
      </w:r>
    </w:p>
    <w:p w14:paraId="51B41ACB" w14:textId="77777777" w:rsidR="001F63B3" w:rsidRDefault="001F63B3">
      <w:pPr>
        <w:tabs>
          <w:tab w:val="center" w:pos="4522"/>
        </w:tabs>
        <w:spacing w:after="0" w:line="360" w:lineRule="auto"/>
        <w:rPr>
          <w:b/>
          <w:color w:val="000000"/>
        </w:rPr>
      </w:pPr>
    </w:p>
    <w:p w14:paraId="0574B198" w14:textId="77777777" w:rsidR="001F63B3" w:rsidRDefault="00FE38DE">
      <w:pPr>
        <w:tabs>
          <w:tab w:val="center" w:pos="4522"/>
        </w:tabs>
        <w:spacing w:after="0" w:line="360" w:lineRule="auto"/>
        <w:rPr>
          <w:color w:val="000000"/>
          <w:sz w:val="20"/>
          <w:szCs w:val="20"/>
        </w:rPr>
      </w:pPr>
      <w:r>
        <w:rPr>
          <w:color w:val="000000"/>
        </w:rPr>
        <w:t xml:space="preserve">En ese orden de ideas, mediante informe justificado, la Coordinación de Fianzas ratificó lo enviado en respuesta concerniente a los Estados Analíticos de la Deuda y Otros Pasivos de los ejercicios fiscales 2018, 2019, 2020, 2021, 2022, 2023 y 2024, mientras que respecto a los documentos donde consten los Adeudos de Ejercicios Fiscales Anteriores (ADEFAS), de los ejercicios fiscales previamente señalados, proporcionó los Estados Analíticos del Ejercicio del Presupuesto de Egresos Clasificación por Objeto del Gasto (Capítulo y Concepto) de 2018 a 2024, tal como se muestra en las siguientes imágenes ilustrativas: </w:t>
      </w:r>
    </w:p>
    <w:p w14:paraId="68CDD182" w14:textId="77777777" w:rsidR="001F63B3" w:rsidRDefault="001F63B3">
      <w:pPr>
        <w:tabs>
          <w:tab w:val="center" w:pos="4522"/>
        </w:tabs>
        <w:spacing w:after="0" w:line="360" w:lineRule="auto"/>
        <w:rPr>
          <w:color w:val="000000"/>
        </w:rPr>
      </w:pPr>
    </w:p>
    <w:p w14:paraId="3AEB5865" w14:textId="77777777" w:rsidR="001F63B3" w:rsidRDefault="00FE38DE">
      <w:pPr>
        <w:tabs>
          <w:tab w:val="center" w:pos="4522"/>
        </w:tabs>
        <w:spacing w:after="0" w:line="360" w:lineRule="auto"/>
        <w:jc w:val="center"/>
        <w:rPr>
          <w:color w:val="000000"/>
        </w:rPr>
      </w:pPr>
      <w:r>
        <w:rPr>
          <w:noProof/>
          <w:color w:val="000000"/>
        </w:rPr>
        <w:drawing>
          <wp:inline distT="0" distB="0" distL="0" distR="0" wp14:anchorId="7C3447DE" wp14:editId="7CB611A5">
            <wp:extent cx="5229898" cy="1000497"/>
            <wp:effectExtent l="0" t="0" r="0" b="0"/>
            <wp:docPr id="1745743805" name="image1.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1.png" descr="Tabla&#10;&#10;El contenido generado por IA puede ser incorrecto."/>
                    <pic:cNvPicPr preferRelativeResize="0"/>
                  </pic:nvPicPr>
                  <pic:blipFill>
                    <a:blip r:embed="rId10"/>
                    <a:srcRect/>
                    <a:stretch>
                      <a:fillRect/>
                    </a:stretch>
                  </pic:blipFill>
                  <pic:spPr>
                    <a:xfrm>
                      <a:off x="0" y="0"/>
                      <a:ext cx="5229898" cy="1000497"/>
                    </a:xfrm>
                    <a:prstGeom prst="rect">
                      <a:avLst/>
                    </a:prstGeom>
                    <a:ln/>
                  </pic:spPr>
                </pic:pic>
              </a:graphicData>
            </a:graphic>
          </wp:inline>
        </w:drawing>
      </w:r>
    </w:p>
    <w:p w14:paraId="71AAF14E" w14:textId="77777777" w:rsidR="001F63B3" w:rsidRDefault="00FE38DE">
      <w:pPr>
        <w:tabs>
          <w:tab w:val="center" w:pos="4522"/>
        </w:tabs>
        <w:spacing w:after="0" w:line="360" w:lineRule="auto"/>
        <w:jc w:val="center"/>
        <w:rPr>
          <w:color w:val="000000"/>
        </w:rPr>
      </w:pPr>
      <w:r>
        <w:rPr>
          <w:noProof/>
          <w:color w:val="000000"/>
        </w:rPr>
        <w:drawing>
          <wp:inline distT="0" distB="0" distL="0" distR="0" wp14:anchorId="6FCFECD6" wp14:editId="16BDBE5D">
            <wp:extent cx="5229898" cy="396020"/>
            <wp:effectExtent l="0" t="0" r="0" b="0"/>
            <wp:docPr id="1745743808" name="image4.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Tabla&#10;&#10;El contenido generado por IA puede ser incorrecto."/>
                    <pic:cNvPicPr preferRelativeResize="0"/>
                  </pic:nvPicPr>
                  <pic:blipFill>
                    <a:blip r:embed="rId11"/>
                    <a:srcRect/>
                    <a:stretch>
                      <a:fillRect/>
                    </a:stretch>
                  </pic:blipFill>
                  <pic:spPr>
                    <a:xfrm>
                      <a:off x="0" y="0"/>
                      <a:ext cx="5229898" cy="396020"/>
                    </a:xfrm>
                    <a:prstGeom prst="rect">
                      <a:avLst/>
                    </a:prstGeom>
                    <a:ln/>
                  </pic:spPr>
                </pic:pic>
              </a:graphicData>
            </a:graphic>
          </wp:inline>
        </w:drawing>
      </w:r>
    </w:p>
    <w:p w14:paraId="45F83CA4" w14:textId="77777777" w:rsidR="001F63B3" w:rsidRDefault="00FE38DE">
      <w:pPr>
        <w:tabs>
          <w:tab w:val="center" w:pos="4522"/>
        </w:tabs>
        <w:spacing w:after="0" w:line="360" w:lineRule="auto"/>
        <w:jc w:val="center"/>
        <w:rPr>
          <w:color w:val="000000"/>
        </w:rPr>
      </w:pPr>
      <w:r>
        <w:rPr>
          <w:noProof/>
          <w:color w:val="000000"/>
        </w:rPr>
        <w:lastRenderedPageBreak/>
        <w:drawing>
          <wp:inline distT="0" distB="0" distL="0" distR="0" wp14:anchorId="083CA990" wp14:editId="1A41C07F">
            <wp:extent cx="5123910" cy="2836582"/>
            <wp:effectExtent l="0" t="0" r="0" b="0"/>
            <wp:docPr id="1745743807" name="image5.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Tabla&#10;&#10;El contenido generado por IA puede ser incorrecto."/>
                    <pic:cNvPicPr preferRelativeResize="0"/>
                  </pic:nvPicPr>
                  <pic:blipFill>
                    <a:blip r:embed="rId12"/>
                    <a:srcRect/>
                    <a:stretch>
                      <a:fillRect/>
                    </a:stretch>
                  </pic:blipFill>
                  <pic:spPr>
                    <a:xfrm>
                      <a:off x="0" y="0"/>
                      <a:ext cx="5123910" cy="2836582"/>
                    </a:xfrm>
                    <a:prstGeom prst="rect">
                      <a:avLst/>
                    </a:prstGeom>
                    <a:ln/>
                  </pic:spPr>
                </pic:pic>
              </a:graphicData>
            </a:graphic>
          </wp:inline>
        </w:drawing>
      </w:r>
    </w:p>
    <w:p w14:paraId="5F3B2A6E" w14:textId="77777777" w:rsidR="001F63B3" w:rsidRDefault="001F63B3">
      <w:pPr>
        <w:tabs>
          <w:tab w:val="center" w:pos="4522"/>
        </w:tabs>
        <w:spacing w:after="0" w:line="360" w:lineRule="auto"/>
        <w:rPr>
          <w:color w:val="000000"/>
        </w:rPr>
      </w:pPr>
    </w:p>
    <w:p w14:paraId="7BD7A968" w14:textId="77777777" w:rsidR="001F63B3" w:rsidRDefault="00FE38DE">
      <w:pPr>
        <w:tabs>
          <w:tab w:val="center" w:pos="4522"/>
        </w:tabs>
        <w:spacing w:after="0" w:line="360" w:lineRule="auto"/>
        <w:rPr>
          <w:color w:val="000000"/>
        </w:rPr>
      </w:pPr>
      <w:r>
        <w:rPr>
          <w:color w:val="000000"/>
        </w:rPr>
        <w:t xml:space="preserve">En ese sentido, este Organismo Garante considera que, debido a que, durante la sustanciación del Medio de Impugnación, el Sujeto Obligado proporcionó los documentos donde constan los Adeudos de Ejercicios Fiscales Anteriores (ADEFAS) correspondientes a los ejercicios fiscales 2018, 2019, 2020, 2021, 2022, 2023 y 2024, </w:t>
      </w:r>
      <w:r>
        <w:rPr>
          <w:b/>
        </w:rPr>
        <w:t>se considera que la impugnación que se dirime ha quedado sin materia.</w:t>
      </w:r>
    </w:p>
    <w:p w14:paraId="1B8AE6C1" w14:textId="77777777" w:rsidR="001F63B3" w:rsidRDefault="001F63B3">
      <w:pPr>
        <w:tabs>
          <w:tab w:val="center" w:pos="4522"/>
        </w:tabs>
        <w:spacing w:after="0" w:line="360" w:lineRule="auto"/>
        <w:rPr>
          <w:b/>
        </w:rPr>
      </w:pPr>
    </w:p>
    <w:p w14:paraId="3AC34A36" w14:textId="77777777" w:rsidR="001F63B3" w:rsidRDefault="00FE38DE">
      <w:pPr>
        <w:tabs>
          <w:tab w:val="left" w:pos="4962"/>
        </w:tabs>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rPr>
        <w:t>ad hoc</w:t>
      </w:r>
      <w: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7102DA1F" w14:textId="77777777" w:rsidR="001F63B3" w:rsidRDefault="001F63B3">
      <w:pPr>
        <w:tabs>
          <w:tab w:val="left" w:pos="4962"/>
        </w:tabs>
        <w:spacing w:after="0" w:line="360" w:lineRule="auto"/>
      </w:pPr>
    </w:p>
    <w:p w14:paraId="1576D5AB" w14:textId="77777777" w:rsidR="001F63B3" w:rsidRDefault="00FE38DE">
      <w:pPr>
        <w:spacing w:after="0" w:line="360" w:lineRule="auto"/>
        <w:rPr>
          <w:color w:val="000000"/>
        </w:rPr>
      </w:pPr>
      <w:r>
        <w:rPr>
          <w:color w:val="000000"/>
        </w:rPr>
        <w:lastRenderedPageBreak/>
        <w:t>De tales circunstancias, se concluye que los sujetos obligados únicamente se encuentran constreñidos a proporcionar los documentos que den cuenta de la información solicitada, como obren en sus archivos, sin tener que elaborarlos a las necesidades del Recurrente; lo cual aconteció, pues proporcionó los documentos que obraban en sus archivos y daban cuenta de lo solicitado, por lo cual,</w:t>
      </w:r>
      <w:r>
        <w:rPr>
          <w:b/>
          <w:color w:val="000000"/>
        </w:rPr>
        <w:t xml:space="preserve"> </w:t>
      </w:r>
      <w:r>
        <w:rPr>
          <w:color w:val="000000"/>
        </w:rPr>
        <w:t>se considera que el Sujeto Obligado modificó su respuesta, lo cual da como resultado que la impugnación que se dirime haya quedado sin materia.</w:t>
      </w:r>
    </w:p>
    <w:p w14:paraId="0AEFC516" w14:textId="77777777" w:rsidR="001F63B3" w:rsidRDefault="001F63B3">
      <w:pPr>
        <w:tabs>
          <w:tab w:val="left" w:pos="4962"/>
        </w:tabs>
        <w:spacing w:after="0" w:line="360" w:lineRule="auto"/>
      </w:pPr>
    </w:p>
    <w:p w14:paraId="2B6886CE" w14:textId="77777777" w:rsidR="001F63B3" w:rsidRDefault="00FE38DE">
      <w:pPr>
        <w:pStyle w:val="Ttulo2"/>
        <w:spacing w:before="0" w:line="360" w:lineRule="auto"/>
        <w:rPr>
          <w:rFonts w:ascii="Palatino Linotype" w:eastAsia="Palatino Linotype" w:hAnsi="Palatino Linotype" w:cs="Palatino Linotype"/>
          <w:b/>
          <w:color w:val="000000"/>
          <w:sz w:val="22"/>
          <w:szCs w:val="22"/>
        </w:rPr>
      </w:pPr>
      <w:bookmarkStart w:id="16" w:name="_heading=h.lif09txgh9ok" w:colFirst="0" w:colLast="0"/>
      <w:bookmarkEnd w:id="16"/>
      <w:r>
        <w:rPr>
          <w:rFonts w:ascii="Palatino Linotype" w:eastAsia="Palatino Linotype" w:hAnsi="Palatino Linotype" w:cs="Palatino Linotype"/>
          <w:b/>
          <w:color w:val="000000"/>
          <w:sz w:val="22"/>
          <w:szCs w:val="22"/>
        </w:rPr>
        <w:t xml:space="preserve">CUARTO. Decisión. </w:t>
      </w:r>
    </w:p>
    <w:p w14:paraId="64084DF2" w14:textId="77777777" w:rsidR="001F63B3" w:rsidRDefault="001F63B3">
      <w:pPr>
        <w:spacing w:after="0" w:line="360" w:lineRule="auto"/>
        <w:rPr>
          <w:b/>
          <w:color w:val="000000"/>
        </w:rPr>
      </w:pPr>
    </w:p>
    <w:p w14:paraId="2DA33733" w14:textId="77777777" w:rsidR="001F63B3" w:rsidRDefault="00FE38DE">
      <w:pPr>
        <w:spacing w:after="0" w:line="360" w:lineRule="auto"/>
      </w:pPr>
      <w:r>
        <w:t xml:space="preserve">Con fundamento en lo dispuesto en el artículo 186, fracción I de la Ley de Transparencia y Acceso a la Información Pública del Estado de México y Municipios, se considera procedente </w:t>
      </w:r>
      <w:r>
        <w:rPr>
          <w:b/>
        </w:rPr>
        <w:t xml:space="preserve">SOBRESEER </w:t>
      </w:r>
      <w:r>
        <w:t xml:space="preserve">el Recurso de Revisión </w:t>
      </w:r>
      <w:r>
        <w:rPr>
          <w:b/>
        </w:rPr>
        <w:t>04951/INFOEM/IP/RR/2025</w:t>
      </w:r>
      <w:r>
        <w:t xml:space="preserve">, al modificar la respuesta a la solicitud de acceso a la información con número de folio </w:t>
      </w:r>
      <w:r>
        <w:rPr>
          <w:b/>
        </w:rPr>
        <w:t>00049/OASATIZARA/IP/2025.</w:t>
      </w:r>
    </w:p>
    <w:p w14:paraId="698963C9" w14:textId="77777777" w:rsidR="001F63B3" w:rsidRDefault="001F63B3">
      <w:pPr>
        <w:spacing w:after="0" w:line="360" w:lineRule="auto"/>
        <w:rPr>
          <w:color w:val="000000"/>
        </w:rPr>
      </w:pPr>
    </w:p>
    <w:p w14:paraId="56C60211" w14:textId="77777777" w:rsidR="001F63B3" w:rsidRDefault="00FE38DE">
      <w:pPr>
        <w:spacing w:after="0" w:line="360" w:lineRule="auto"/>
        <w:rPr>
          <w:b/>
          <w:color w:val="000000"/>
        </w:rPr>
      </w:pPr>
      <w:r>
        <w:rPr>
          <w:b/>
          <w:color w:val="000000"/>
        </w:rPr>
        <w:t>Términos de la Resolución para conocimiento del Particular.</w:t>
      </w:r>
    </w:p>
    <w:p w14:paraId="054A1D2C" w14:textId="77777777" w:rsidR="001F63B3" w:rsidRDefault="001F63B3">
      <w:pPr>
        <w:spacing w:after="0" w:line="360" w:lineRule="auto"/>
        <w:rPr>
          <w:b/>
          <w:color w:val="000000"/>
        </w:rPr>
      </w:pPr>
    </w:p>
    <w:p w14:paraId="074DD00B" w14:textId="77777777" w:rsidR="001F63B3" w:rsidRDefault="00FE38DE">
      <w:pPr>
        <w:spacing w:after="0" w:line="360" w:lineRule="auto"/>
      </w:pPr>
      <w:r>
        <w:t>Se le hace del conocimiento del Particular, que, si bien en un principio se le daba la razón, pues el Sujeto Obligado proporcionó información que no correspondía con lo solicitado, también lo es que, durante la sustanciación del Medio de Impugnación, remitió los documentos donde constan los Adeudos de Ejercicios Fiscales Anteriores (ADEFAS) de los ejercicios fiscales solicitados</w:t>
      </w:r>
      <w:r>
        <w:rPr>
          <w:color w:val="000000"/>
        </w:rPr>
        <w:t xml:space="preserve">, por lo que </w:t>
      </w:r>
      <w:r>
        <w:t xml:space="preserve">se considera que, la controversia a resolver </w:t>
      </w:r>
      <w:r>
        <w:rPr>
          <w:b/>
        </w:rPr>
        <w:t>quedó sin materia.</w:t>
      </w:r>
      <w:r>
        <w:t xml:space="preserve">  </w:t>
      </w:r>
      <w:r>
        <w:rPr>
          <w:color w:val="0D0D0D"/>
        </w:rPr>
        <w:t xml:space="preserve">La </w:t>
      </w:r>
      <w:r>
        <w:t>labor de este Instituto, es apoyar a la población a acceder a la información pública y garantizar la protección de los datos personales.</w:t>
      </w:r>
    </w:p>
    <w:p w14:paraId="4F32EC2B" w14:textId="77777777" w:rsidR="001F63B3" w:rsidRDefault="001F63B3">
      <w:pPr>
        <w:spacing w:after="0" w:line="360" w:lineRule="auto"/>
        <w:rPr>
          <w:color w:val="000000"/>
        </w:rPr>
      </w:pPr>
    </w:p>
    <w:p w14:paraId="6F9B13F8" w14:textId="77777777" w:rsidR="001F63B3" w:rsidRDefault="00FE38DE">
      <w:pPr>
        <w:spacing w:after="0" w:line="360" w:lineRule="auto"/>
        <w:rPr>
          <w:color w:val="000000"/>
        </w:rPr>
      </w:pPr>
      <w:r>
        <w:rPr>
          <w:color w:val="000000"/>
        </w:rPr>
        <w:lastRenderedPageBreak/>
        <w:t>Por lo expuesto y fundado, este Pleno:</w:t>
      </w:r>
    </w:p>
    <w:p w14:paraId="2B5A15F1" w14:textId="77777777" w:rsidR="001F63B3" w:rsidRDefault="001F63B3">
      <w:pPr>
        <w:spacing w:after="0" w:line="360" w:lineRule="auto"/>
        <w:rPr>
          <w:color w:val="000000"/>
        </w:rPr>
      </w:pPr>
    </w:p>
    <w:p w14:paraId="3A089A57" w14:textId="77777777" w:rsidR="001F63B3" w:rsidRDefault="00FE38DE">
      <w:pPr>
        <w:pStyle w:val="Ttulo1"/>
        <w:spacing w:before="0" w:line="360" w:lineRule="auto"/>
        <w:jc w:val="center"/>
        <w:rPr>
          <w:rFonts w:ascii="Palatino Linotype" w:eastAsia="Palatino Linotype" w:hAnsi="Palatino Linotype" w:cs="Palatino Linotype"/>
          <w:b/>
          <w:color w:val="000000"/>
          <w:sz w:val="22"/>
          <w:szCs w:val="22"/>
        </w:rPr>
      </w:pPr>
      <w:bookmarkStart w:id="17" w:name="_heading=h.1o18dklnxa6m" w:colFirst="0" w:colLast="0"/>
      <w:bookmarkEnd w:id="17"/>
      <w:r>
        <w:rPr>
          <w:rFonts w:ascii="Palatino Linotype" w:eastAsia="Palatino Linotype" w:hAnsi="Palatino Linotype" w:cs="Palatino Linotype"/>
          <w:b/>
          <w:color w:val="000000"/>
          <w:sz w:val="22"/>
          <w:szCs w:val="22"/>
        </w:rPr>
        <w:t>R E S U E L V E:</w:t>
      </w:r>
    </w:p>
    <w:p w14:paraId="7715C2A2" w14:textId="77777777" w:rsidR="001F63B3" w:rsidRDefault="001F63B3">
      <w:pPr>
        <w:spacing w:after="0" w:line="360" w:lineRule="auto"/>
        <w:ind w:right="-91"/>
        <w:jc w:val="center"/>
        <w:rPr>
          <w:b/>
          <w:color w:val="000000"/>
        </w:rPr>
      </w:pPr>
    </w:p>
    <w:p w14:paraId="18D8C88D" w14:textId="77777777" w:rsidR="001F63B3" w:rsidRDefault="00FE38DE">
      <w:pPr>
        <w:spacing w:after="0" w:line="360" w:lineRule="auto"/>
        <w:rPr>
          <w:b/>
        </w:rPr>
      </w:pPr>
      <w:r>
        <w:rPr>
          <w:b/>
        </w:rPr>
        <w:t xml:space="preserve">PRIMERO. </w:t>
      </w:r>
      <w:r>
        <w:t xml:space="preserve">Se </w:t>
      </w:r>
      <w:r>
        <w:rPr>
          <w:b/>
        </w:rPr>
        <w:t xml:space="preserve">SOBRESEE </w:t>
      </w:r>
      <w:r>
        <w:t>el Recurso de Revisión con número</w:t>
      </w:r>
      <w:r>
        <w:rPr>
          <w:b/>
        </w:rPr>
        <w:t xml:space="preserve"> 04951/INFOEM/IP/RR/2025</w:t>
      </w:r>
      <w:r>
        <w:t>, en términos del artículo 192, fracción III, de la Ley de Transparencia y Acceso a la Información Pública del Estado de México y Municipios,</w:t>
      </w:r>
      <w:r>
        <w:rPr>
          <w:b/>
        </w:rPr>
        <w:t xml:space="preserve"> </w:t>
      </w:r>
      <w:r>
        <w:t>porque el Sujeto Obligado, al modificar la respuesta a la solicitud,</w:t>
      </w:r>
      <w:r>
        <w:rPr>
          <w:b/>
        </w:rPr>
        <w:t xml:space="preserve"> </w:t>
      </w:r>
      <w:r>
        <w:t>el Medio de Impugnación, quedó sin materia, en términos de los Considerandos</w:t>
      </w:r>
      <w:r>
        <w:rPr>
          <w:b/>
        </w:rPr>
        <w:t xml:space="preserve"> TERCERO </w:t>
      </w:r>
      <w:r>
        <w:t>y</w:t>
      </w:r>
      <w:r>
        <w:rPr>
          <w:b/>
        </w:rPr>
        <w:t xml:space="preserve"> CUARTO </w:t>
      </w:r>
      <w:r>
        <w:t>de la presente Resolución.</w:t>
      </w:r>
    </w:p>
    <w:p w14:paraId="4F927AE6" w14:textId="77777777" w:rsidR="001F63B3" w:rsidRDefault="001F63B3">
      <w:pPr>
        <w:spacing w:after="0" w:line="360" w:lineRule="auto"/>
        <w:rPr>
          <w:b/>
          <w:i/>
        </w:rPr>
      </w:pPr>
    </w:p>
    <w:p w14:paraId="4181B3CE" w14:textId="77777777" w:rsidR="001F63B3" w:rsidRDefault="00FE38DE">
      <w:pPr>
        <w:spacing w:after="0" w:line="360" w:lineRule="auto"/>
        <w:rPr>
          <w:b/>
        </w:rPr>
      </w:pPr>
      <w:r>
        <w:rPr>
          <w:b/>
        </w:rPr>
        <w:t xml:space="preserve">SEGUNDO. NOTIFÍQUESE POR SAIMEX </w:t>
      </w:r>
      <w:r>
        <w:t>la presente Resolución al Titular de la Unidad de Transparencia del Sujeto Obligado.</w:t>
      </w:r>
    </w:p>
    <w:p w14:paraId="27DBAF0B" w14:textId="77777777" w:rsidR="001F63B3" w:rsidRDefault="001F63B3">
      <w:pPr>
        <w:spacing w:after="0" w:line="360" w:lineRule="auto"/>
        <w:rPr>
          <w:b/>
          <w:i/>
        </w:rPr>
      </w:pPr>
    </w:p>
    <w:p w14:paraId="31D6FE3B" w14:textId="77777777" w:rsidR="001F63B3" w:rsidRDefault="00FE38DE">
      <w:pPr>
        <w:spacing w:after="0" w:line="360" w:lineRule="auto"/>
        <w:rPr>
          <w:b/>
        </w:rPr>
      </w:pPr>
      <w:r>
        <w:rPr>
          <w:b/>
        </w:rPr>
        <w:t xml:space="preserve">TERCERO. NOTIFÍQUESE POR SAIMEX </w:t>
      </w:r>
      <w:r>
        <w:t>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FE3F0FB" w14:textId="77777777" w:rsidR="001F63B3" w:rsidRDefault="001F63B3">
      <w:pPr>
        <w:spacing w:after="0" w:line="360" w:lineRule="auto"/>
      </w:pPr>
    </w:p>
    <w:p w14:paraId="06A094F8" w14:textId="77777777" w:rsidR="001F63B3" w:rsidRDefault="00FE38DE">
      <w:pPr>
        <w:spacing w:after="0" w:line="360" w:lineRule="auto"/>
      </w:pPr>
      <w:r>
        <w:t xml:space="preserve">ASÍ LO RESUELVE, POR </w:t>
      </w:r>
      <w:r>
        <w:rPr>
          <w:b/>
        </w:rPr>
        <w:t>UNANIMIDAD</w:t>
      </w:r>
      <w: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w:t>
      </w:r>
      <w:r>
        <w:lastRenderedPageBreak/>
        <w:t>ORDINARIA, CELEBRADA EL VEINTIDÓS DE OCTUBRE DE DOS MIL VEINTICINCO, ANTE EL SECRETARIO TÉCNICO DEL PLENO, ALEXIS TAPIA RAMÍREZ.</w:t>
      </w:r>
    </w:p>
    <w:p w14:paraId="597FA205" w14:textId="77777777" w:rsidR="001F63B3" w:rsidRDefault="001F63B3">
      <w:pPr>
        <w:spacing w:after="0" w:line="360" w:lineRule="auto"/>
        <w:rPr>
          <w:color w:val="FF0000"/>
        </w:rPr>
      </w:pPr>
    </w:p>
    <w:p w14:paraId="10776EF0" w14:textId="77777777" w:rsidR="001F63B3" w:rsidRDefault="001F63B3">
      <w:pPr>
        <w:spacing w:after="0" w:line="360" w:lineRule="auto"/>
        <w:rPr>
          <w:color w:val="FF0000"/>
        </w:rPr>
      </w:pPr>
    </w:p>
    <w:p w14:paraId="50E7ADDA" w14:textId="77777777" w:rsidR="001F63B3" w:rsidRDefault="001F63B3">
      <w:pPr>
        <w:spacing w:after="0" w:line="360" w:lineRule="auto"/>
        <w:rPr>
          <w:color w:val="FF0000"/>
        </w:rPr>
      </w:pPr>
    </w:p>
    <w:p w14:paraId="630554AB" w14:textId="77777777" w:rsidR="00F13B25" w:rsidRDefault="00F13B25">
      <w:pPr>
        <w:spacing w:after="0" w:line="360" w:lineRule="auto"/>
        <w:rPr>
          <w:color w:val="FF0000"/>
        </w:rPr>
      </w:pPr>
    </w:p>
    <w:p w14:paraId="5E8E011B" w14:textId="77777777" w:rsidR="00F13B25" w:rsidRDefault="00F13B25">
      <w:pPr>
        <w:spacing w:after="0" w:line="360" w:lineRule="auto"/>
        <w:rPr>
          <w:color w:val="FF0000"/>
        </w:rPr>
      </w:pPr>
    </w:p>
    <w:p w14:paraId="08CD529C" w14:textId="77777777" w:rsidR="00F13B25" w:rsidRDefault="00F13B25">
      <w:pPr>
        <w:spacing w:after="0" w:line="360" w:lineRule="auto"/>
        <w:rPr>
          <w:color w:val="FF0000"/>
        </w:rPr>
      </w:pPr>
    </w:p>
    <w:p w14:paraId="47E6F06E" w14:textId="77777777" w:rsidR="00F13B25" w:rsidRDefault="00F13B25">
      <w:pPr>
        <w:spacing w:after="0" w:line="360" w:lineRule="auto"/>
        <w:rPr>
          <w:color w:val="FF0000"/>
        </w:rPr>
      </w:pPr>
    </w:p>
    <w:p w14:paraId="01A289ED" w14:textId="77777777" w:rsidR="00F13B25" w:rsidRDefault="00F13B25">
      <w:pPr>
        <w:spacing w:after="0" w:line="360" w:lineRule="auto"/>
        <w:rPr>
          <w:color w:val="FF0000"/>
        </w:rPr>
      </w:pPr>
    </w:p>
    <w:p w14:paraId="5391F408" w14:textId="77777777" w:rsidR="00F13B25" w:rsidRDefault="00F13B25">
      <w:pPr>
        <w:spacing w:after="0" w:line="360" w:lineRule="auto"/>
        <w:rPr>
          <w:color w:val="FF0000"/>
        </w:rPr>
      </w:pPr>
    </w:p>
    <w:p w14:paraId="214BB3D2" w14:textId="77777777" w:rsidR="00F13B25" w:rsidRDefault="00F13B25">
      <w:pPr>
        <w:spacing w:after="0" w:line="360" w:lineRule="auto"/>
        <w:rPr>
          <w:color w:val="FF0000"/>
        </w:rPr>
      </w:pPr>
    </w:p>
    <w:p w14:paraId="703E4738" w14:textId="77777777" w:rsidR="00F13B25" w:rsidRDefault="00F13B25">
      <w:pPr>
        <w:spacing w:after="0" w:line="360" w:lineRule="auto"/>
        <w:rPr>
          <w:color w:val="FF0000"/>
        </w:rPr>
      </w:pPr>
    </w:p>
    <w:p w14:paraId="203F1792" w14:textId="77777777" w:rsidR="00F13B25" w:rsidRDefault="00F13B25">
      <w:pPr>
        <w:spacing w:after="0" w:line="360" w:lineRule="auto"/>
        <w:rPr>
          <w:color w:val="FF0000"/>
        </w:rPr>
      </w:pPr>
    </w:p>
    <w:p w14:paraId="2F7808FE" w14:textId="77777777" w:rsidR="00F13B25" w:rsidRDefault="00F13B25">
      <w:pPr>
        <w:spacing w:after="0" w:line="360" w:lineRule="auto"/>
        <w:rPr>
          <w:color w:val="FF0000"/>
        </w:rPr>
      </w:pPr>
    </w:p>
    <w:p w14:paraId="2AFDC0A8" w14:textId="77777777" w:rsidR="00F13B25" w:rsidRDefault="00F13B25">
      <w:pPr>
        <w:spacing w:after="0" w:line="360" w:lineRule="auto"/>
        <w:rPr>
          <w:color w:val="FF0000"/>
        </w:rPr>
      </w:pPr>
    </w:p>
    <w:p w14:paraId="63D4B257" w14:textId="77777777" w:rsidR="00F13B25" w:rsidRDefault="00F13B25">
      <w:pPr>
        <w:spacing w:after="0" w:line="360" w:lineRule="auto"/>
        <w:rPr>
          <w:color w:val="FF0000"/>
        </w:rPr>
      </w:pPr>
    </w:p>
    <w:p w14:paraId="71CA8E1E" w14:textId="77777777" w:rsidR="00F13B25" w:rsidRDefault="00F13B25">
      <w:pPr>
        <w:spacing w:after="0" w:line="360" w:lineRule="auto"/>
        <w:rPr>
          <w:color w:val="FF0000"/>
        </w:rPr>
      </w:pPr>
    </w:p>
    <w:p w14:paraId="02BAFEED" w14:textId="77777777" w:rsidR="00F13B25" w:rsidRDefault="00F13B25">
      <w:pPr>
        <w:spacing w:after="0" w:line="360" w:lineRule="auto"/>
        <w:rPr>
          <w:color w:val="FF0000"/>
        </w:rPr>
      </w:pPr>
    </w:p>
    <w:p w14:paraId="5AD27E79" w14:textId="77777777" w:rsidR="00F13B25" w:rsidRDefault="00F13B25">
      <w:pPr>
        <w:spacing w:after="0" w:line="360" w:lineRule="auto"/>
        <w:rPr>
          <w:color w:val="FF0000"/>
        </w:rPr>
      </w:pPr>
    </w:p>
    <w:p w14:paraId="584AC086" w14:textId="77777777" w:rsidR="00F13B25" w:rsidRDefault="00F13B25">
      <w:pPr>
        <w:spacing w:after="0" w:line="360" w:lineRule="auto"/>
        <w:rPr>
          <w:color w:val="FF0000"/>
        </w:rPr>
      </w:pPr>
    </w:p>
    <w:p w14:paraId="46C8B9FC" w14:textId="77777777" w:rsidR="00F13B25" w:rsidRDefault="00F13B25">
      <w:pPr>
        <w:spacing w:after="0" w:line="360" w:lineRule="auto"/>
        <w:rPr>
          <w:color w:val="FF0000"/>
        </w:rPr>
      </w:pPr>
    </w:p>
    <w:p w14:paraId="1D93C234" w14:textId="77777777" w:rsidR="00F13B25" w:rsidRDefault="00F13B25">
      <w:pPr>
        <w:spacing w:after="0" w:line="360" w:lineRule="auto"/>
        <w:rPr>
          <w:color w:val="FF0000"/>
        </w:rPr>
      </w:pPr>
    </w:p>
    <w:p w14:paraId="488E0D92" w14:textId="77777777" w:rsidR="001F63B3" w:rsidRDefault="001F63B3">
      <w:pPr>
        <w:spacing w:after="0" w:line="360" w:lineRule="auto"/>
        <w:rPr>
          <w:color w:val="FF0000"/>
        </w:rPr>
      </w:pPr>
    </w:p>
    <w:p w14:paraId="0CAB7B39" w14:textId="77777777" w:rsidR="001F63B3" w:rsidRDefault="001F63B3">
      <w:pPr>
        <w:spacing w:after="0" w:line="360" w:lineRule="auto"/>
        <w:rPr>
          <w:color w:val="FF0000"/>
        </w:rPr>
      </w:pPr>
    </w:p>
    <w:p w14:paraId="29A303BD" w14:textId="77777777" w:rsidR="001F63B3" w:rsidRDefault="001F63B3">
      <w:pPr>
        <w:spacing w:after="0" w:line="360" w:lineRule="auto"/>
        <w:rPr>
          <w:color w:val="FF0000"/>
        </w:rPr>
      </w:pPr>
    </w:p>
    <w:p w14:paraId="6DD32ED1" w14:textId="77777777" w:rsidR="001F63B3" w:rsidRDefault="001F63B3">
      <w:pPr>
        <w:spacing w:after="0" w:line="360" w:lineRule="auto"/>
        <w:rPr>
          <w:color w:val="FF0000"/>
        </w:rPr>
      </w:pPr>
    </w:p>
    <w:p w14:paraId="59B7FADD" w14:textId="77777777" w:rsidR="001F63B3" w:rsidRDefault="001F63B3">
      <w:pPr>
        <w:spacing w:after="0" w:line="360" w:lineRule="auto"/>
        <w:rPr>
          <w:color w:val="FF0000"/>
        </w:rPr>
      </w:pPr>
    </w:p>
    <w:p w14:paraId="021FE2B4" w14:textId="77777777" w:rsidR="001F63B3" w:rsidRDefault="001F63B3">
      <w:pPr>
        <w:spacing w:after="0" w:line="360" w:lineRule="auto"/>
        <w:rPr>
          <w:color w:val="FF0000"/>
        </w:rPr>
      </w:pPr>
    </w:p>
    <w:p w14:paraId="1C48D4E1" w14:textId="77777777" w:rsidR="001F63B3" w:rsidRDefault="001F63B3">
      <w:pPr>
        <w:spacing w:after="0" w:line="360" w:lineRule="auto"/>
        <w:rPr>
          <w:color w:val="FF0000"/>
        </w:rPr>
      </w:pPr>
    </w:p>
    <w:p w14:paraId="311B8C24" w14:textId="77777777" w:rsidR="001F63B3" w:rsidRDefault="001F63B3">
      <w:pPr>
        <w:spacing w:after="0" w:line="360" w:lineRule="auto"/>
        <w:rPr>
          <w:color w:val="FF0000"/>
        </w:rPr>
      </w:pPr>
    </w:p>
    <w:p w14:paraId="08DC07BD" w14:textId="77777777" w:rsidR="001F63B3" w:rsidRDefault="001F63B3">
      <w:pPr>
        <w:spacing w:after="0" w:line="360" w:lineRule="auto"/>
        <w:rPr>
          <w:color w:val="FF0000"/>
        </w:rPr>
      </w:pPr>
    </w:p>
    <w:sectPr w:rsidR="001F63B3">
      <w:headerReference w:type="even" r:id="rId13"/>
      <w:headerReference w:type="default" r:id="rId14"/>
      <w:footerReference w:type="even" r:id="rId15"/>
      <w:footerReference w:type="default" r:id="rId16"/>
      <w:headerReference w:type="first" r:id="rId17"/>
      <w:footerReference w:type="first" r:id="rId18"/>
      <w:pgSz w:w="12240" w:h="15840"/>
      <w:pgMar w:top="2410" w:right="1608" w:bottom="1560" w:left="1701" w:header="993"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CEB3" w14:textId="77777777" w:rsidR="0049567C" w:rsidRDefault="0049567C">
      <w:pPr>
        <w:spacing w:after="0" w:line="240" w:lineRule="auto"/>
      </w:pPr>
      <w:r>
        <w:separator/>
      </w:r>
    </w:p>
  </w:endnote>
  <w:endnote w:type="continuationSeparator" w:id="0">
    <w:p w14:paraId="680CE587" w14:textId="77777777" w:rsidR="0049567C" w:rsidRDefault="00495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6DEF" w14:textId="77777777" w:rsidR="001F63B3" w:rsidRDefault="00FE38D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2573">
      <w:rPr>
        <w:b/>
        <w:noProof/>
        <w:color w:val="000000"/>
        <w:sz w:val="24"/>
        <w:szCs w:val="24"/>
      </w:rPr>
      <w:t>21</w:t>
    </w:r>
    <w:r>
      <w:rPr>
        <w:b/>
        <w:color w:val="000000"/>
        <w:sz w:val="24"/>
        <w:szCs w:val="24"/>
      </w:rPr>
      <w:fldChar w:fldCharType="end"/>
    </w:r>
  </w:p>
  <w:p w14:paraId="46344623" w14:textId="77777777" w:rsidR="001F63B3" w:rsidRDefault="001F63B3">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D5BF" w14:textId="77777777" w:rsidR="001F63B3" w:rsidRDefault="00FE38D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2573">
      <w:rPr>
        <w:b/>
        <w:noProof/>
        <w:color w:val="000000"/>
        <w:sz w:val="24"/>
        <w:szCs w:val="24"/>
      </w:rPr>
      <w:t>20</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2573">
      <w:rPr>
        <w:b/>
        <w:noProof/>
        <w:color w:val="000000"/>
        <w:sz w:val="24"/>
        <w:szCs w:val="24"/>
      </w:rPr>
      <w:t>21</w:t>
    </w:r>
    <w:r>
      <w:rPr>
        <w:b/>
        <w:color w:val="000000"/>
        <w:sz w:val="24"/>
        <w:szCs w:val="24"/>
      </w:rPr>
      <w:fldChar w:fldCharType="end"/>
    </w:r>
  </w:p>
  <w:p w14:paraId="3403B49D" w14:textId="77777777" w:rsidR="001F63B3" w:rsidRDefault="001F63B3">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3498" w14:textId="77777777" w:rsidR="001F63B3" w:rsidRDefault="00FE38DE">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122573">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122573">
      <w:rPr>
        <w:b/>
        <w:noProof/>
        <w:color w:val="000000"/>
        <w:sz w:val="24"/>
        <w:szCs w:val="24"/>
      </w:rPr>
      <w:t>21</w:t>
    </w:r>
    <w:r>
      <w:rPr>
        <w:b/>
        <w:color w:val="000000"/>
        <w:sz w:val="24"/>
        <w:szCs w:val="24"/>
      </w:rPr>
      <w:fldChar w:fldCharType="end"/>
    </w:r>
  </w:p>
  <w:p w14:paraId="03CD73C1" w14:textId="77777777" w:rsidR="001F63B3" w:rsidRDefault="001F63B3">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0955F" w14:textId="77777777" w:rsidR="0049567C" w:rsidRDefault="0049567C">
      <w:pPr>
        <w:spacing w:after="0" w:line="240" w:lineRule="auto"/>
      </w:pPr>
      <w:r>
        <w:separator/>
      </w:r>
    </w:p>
  </w:footnote>
  <w:footnote w:type="continuationSeparator" w:id="0">
    <w:p w14:paraId="0704A794" w14:textId="77777777" w:rsidR="0049567C" w:rsidRDefault="004956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3DE31" w14:textId="77777777" w:rsidR="001F63B3" w:rsidRDefault="001F63B3">
    <w:pPr>
      <w:widowControl w:val="0"/>
      <w:pBdr>
        <w:top w:val="nil"/>
        <w:left w:val="nil"/>
        <w:bottom w:val="nil"/>
        <w:right w:val="nil"/>
        <w:between w:val="nil"/>
      </w:pBdr>
      <w:spacing w:after="0" w:line="276" w:lineRule="auto"/>
      <w:jc w:val="left"/>
      <w:rPr>
        <w:color w:val="FF0000"/>
      </w:rPr>
    </w:pPr>
  </w:p>
  <w:tbl>
    <w:tblPr>
      <w:tblStyle w:val="a"/>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1F63B3" w14:paraId="08714A40" w14:textId="77777777">
      <w:trPr>
        <w:trHeight w:val="132"/>
      </w:trPr>
      <w:tc>
        <w:tcPr>
          <w:tcW w:w="2691" w:type="dxa"/>
        </w:tcPr>
        <w:p w14:paraId="0E3FD52C" w14:textId="77777777" w:rsidR="001F63B3" w:rsidRDefault="00FE38DE">
          <w:pPr>
            <w:tabs>
              <w:tab w:val="right" w:pos="8838"/>
            </w:tabs>
            <w:ind w:right="-105"/>
            <w:rPr>
              <w:b/>
            </w:rPr>
          </w:pPr>
          <w:r>
            <w:rPr>
              <w:b/>
            </w:rPr>
            <w:t>Recurso de Revisión:</w:t>
          </w:r>
        </w:p>
      </w:tc>
      <w:tc>
        <w:tcPr>
          <w:tcW w:w="3405" w:type="dxa"/>
        </w:tcPr>
        <w:p w14:paraId="41E1A485" w14:textId="77777777" w:rsidR="001F63B3" w:rsidRDefault="00FE38DE">
          <w:pPr>
            <w:tabs>
              <w:tab w:val="right" w:pos="8838"/>
            </w:tabs>
            <w:ind w:left="-28" w:right="-32"/>
          </w:pPr>
          <w:r>
            <w:t>03846/INFOEM/IP/RR/2020</w:t>
          </w:r>
        </w:p>
      </w:tc>
    </w:tr>
    <w:tr w:rsidR="001F63B3" w14:paraId="511C6812" w14:textId="77777777">
      <w:trPr>
        <w:trHeight w:val="261"/>
      </w:trPr>
      <w:tc>
        <w:tcPr>
          <w:tcW w:w="2691" w:type="dxa"/>
        </w:tcPr>
        <w:p w14:paraId="7D3A3B1C" w14:textId="77777777" w:rsidR="001F63B3" w:rsidRDefault="00FE38DE">
          <w:pPr>
            <w:tabs>
              <w:tab w:val="right" w:pos="8838"/>
            </w:tabs>
            <w:ind w:right="-105"/>
            <w:rPr>
              <w:b/>
            </w:rPr>
          </w:pPr>
          <w:r>
            <w:rPr>
              <w:b/>
            </w:rPr>
            <w:t>Sujeto Obligado:</w:t>
          </w:r>
        </w:p>
      </w:tc>
      <w:tc>
        <w:tcPr>
          <w:tcW w:w="3405" w:type="dxa"/>
        </w:tcPr>
        <w:p w14:paraId="3DFA9469" w14:textId="77777777" w:rsidR="001F63B3" w:rsidRDefault="00FE38DE">
          <w:pPr>
            <w:tabs>
              <w:tab w:val="right" w:pos="8838"/>
            </w:tabs>
            <w:ind w:right="-32"/>
          </w:pPr>
          <w:r>
            <w:t>Ayuntamiento de Temascalcingo</w:t>
          </w:r>
        </w:p>
      </w:tc>
    </w:tr>
    <w:tr w:rsidR="001F63B3" w14:paraId="78C6C3A4" w14:textId="77777777">
      <w:trPr>
        <w:trHeight w:val="261"/>
      </w:trPr>
      <w:tc>
        <w:tcPr>
          <w:tcW w:w="2691" w:type="dxa"/>
        </w:tcPr>
        <w:p w14:paraId="49D151E8" w14:textId="77777777" w:rsidR="001F63B3" w:rsidRDefault="00FE38DE">
          <w:pPr>
            <w:tabs>
              <w:tab w:val="right" w:pos="8838"/>
            </w:tabs>
            <w:ind w:right="-105"/>
            <w:rPr>
              <w:b/>
            </w:rPr>
          </w:pPr>
          <w:r>
            <w:rPr>
              <w:b/>
            </w:rPr>
            <w:t>Comisionado Ponente:</w:t>
          </w:r>
        </w:p>
      </w:tc>
      <w:tc>
        <w:tcPr>
          <w:tcW w:w="3405" w:type="dxa"/>
        </w:tcPr>
        <w:p w14:paraId="7E40032D" w14:textId="77777777" w:rsidR="001F63B3" w:rsidRDefault="00FE38DE">
          <w:pPr>
            <w:tabs>
              <w:tab w:val="right" w:pos="8838"/>
            </w:tabs>
            <w:ind w:right="-32"/>
            <w:rPr>
              <w:b/>
            </w:rPr>
          </w:pPr>
          <w:r>
            <w:t>Luis Gustavo Parra Noriega</w:t>
          </w:r>
        </w:p>
      </w:tc>
    </w:tr>
  </w:tbl>
  <w:p w14:paraId="7C4C52CD" w14:textId="77777777" w:rsidR="001F63B3" w:rsidRDefault="00000000">
    <w:pPr>
      <w:pBdr>
        <w:top w:val="nil"/>
        <w:left w:val="nil"/>
        <w:bottom w:val="nil"/>
        <w:right w:val="nil"/>
        <w:between w:val="nil"/>
      </w:pBdr>
      <w:tabs>
        <w:tab w:val="center" w:pos="4419"/>
        <w:tab w:val="right" w:pos="8838"/>
      </w:tabs>
      <w:spacing w:after="0" w:line="240" w:lineRule="auto"/>
      <w:rPr>
        <w:color w:val="000000"/>
      </w:rPr>
    </w:pPr>
    <w:r>
      <w:rPr>
        <w:color w:val="000000"/>
      </w:rPr>
      <w:pict w14:anchorId="5EA52E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MARCA DE AGUA - HOJA RESOLUCIÓN" style="position:absolute;left:0;text-align:left;margin-left:0;margin-top:0;width:663.5pt;height:12in;z-index:-251657728;mso-position-horizontal:center;mso-position-horizontal-relative:margin;mso-position-vertical:center;mso-position-vertical-relative:margin">
          <v:imagedata r:id="rId1" o:title="image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08ED7" w14:textId="77777777" w:rsidR="001F63B3" w:rsidRDefault="00000000">
    <w:pPr>
      <w:widowControl w:val="0"/>
      <w:pBdr>
        <w:top w:val="nil"/>
        <w:left w:val="nil"/>
        <w:bottom w:val="nil"/>
        <w:right w:val="nil"/>
        <w:between w:val="nil"/>
      </w:pBdr>
      <w:spacing w:after="0" w:line="276" w:lineRule="auto"/>
      <w:jc w:val="left"/>
      <w:rPr>
        <w:color w:val="000000"/>
      </w:rPr>
    </w:pPr>
    <w:r>
      <w:rPr>
        <w:color w:val="000000"/>
      </w:rPr>
      <w:pict w14:anchorId="01EA6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MARCA DE AGUA - HOJA RESOLUCIÓN" style="position:absolute;margin-left:-96.3pt;margin-top:-165.3pt;width:663.5pt;height:12in;z-index:-251659776;mso-position-horizontal-relative:margin;mso-position-vertical-relative:margin">
          <v:imagedata r:id="rId1" o:title="image6"/>
          <w10:wrap anchorx="margin" anchory="margin"/>
        </v:shape>
      </w:pict>
    </w:r>
  </w:p>
  <w:tbl>
    <w:tblPr>
      <w:tblStyle w:val="a0"/>
      <w:tblW w:w="6803" w:type="dxa"/>
      <w:tblInd w:w="2410"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2"/>
    </w:tblGrid>
    <w:tr w:rsidR="001F63B3" w14:paraId="748F35AB" w14:textId="77777777">
      <w:trPr>
        <w:trHeight w:val="138"/>
      </w:trPr>
      <w:tc>
        <w:tcPr>
          <w:tcW w:w="2551" w:type="dxa"/>
          <w:vAlign w:val="center"/>
        </w:tcPr>
        <w:p w14:paraId="28D49A62" w14:textId="77777777" w:rsidR="001F63B3" w:rsidRDefault="00FE38DE">
          <w:pPr>
            <w:tabs>
              <w:tab w:val="right" w:pos="8838"/>
            </w:tabs>
            <w:ind w:right="-105"/>
            <w:jc w:val="left"/>
            <w:rPr>
              <w:b/>
            </w:rPr>
          </w:pPr>
          <w:r>
            <w:rPr>
              <w:b/>
            </w:rPr>
            <w:t>Recurso de Revisión:</w:t>
          </w:r>
        </w:p>
      </w:tc>
      <w:tc>
        <w:tcPr>
          <w:tcW w:w="4252" w:type="dxa"/>
        </w:tcPr>
        <w:p w14:paraId="7F3377FE" w14:textId="77777777" w:rsidR="001F63B3" w:rsidRDefault="00FE38DE">
          <w:pPr>
            <w:tabs>
              <w:tab w:val="right" w:pos="8838"/>
            </w:tabs>
            <w:ind w:left="-113" w:right="57"/>
          </w:pPr>
          <w:r>
            <w:rPr>
              <w:color w:val="000000"/>
            </w:rPr>
            <w:t>04951/INFOEM/IP/RR/2025</w:t>
          </w:r>
        </w:p>
      </w:tc>
    </w:tr>
    <w:tr w:rsidR="001F63B3" w14:paraId="3DC2B9D9" w14:textId="77777777">
      <w:trPr>
        <w:trHeight w:val="273"/>
      </w:trPr>
      <w:tc>
        <w:tcPr>
          <w:tcW w:w="2551" w:type="dxa"/>
        </w:tcPr>
        <w:p w14:paraId="350ADEA1" w14:textId="77777777" w:rsidR="001F63B3" w:rsidRDefault="00FE38DE">
          <w:pPr>
            <w:tabs>
              <w:tab w:val="right" w:pos="8838"/>
            </w:tabs>
            <w:ind w:right="-105"/>
            <w:rPr>
              <w:b/>
            </w:rPr>
          </w:pPr>
          <w:r>
            <w:rPr>
              <w:b/>
            </w:rPr>
            <w:t>Sujeto Obligado:</w:t>
          </w:r>
        </w:p>
      </w:tc>
      <w:tc>
        <w:tcPr>
          <w:tcW w:w="4252" w:type="dxa"/>
        </w:tcPr>
        <w:p w14:paraId="7D0B838D" w14:textId="77777777" w:rsidR="001F63B3" w:rsidRDefault="00FE38DE">
          <w:pPr>
            <w:tabs>
              <w:tab w:val="left" w:pos="2303"/>
              <w:tab w:val="right" w:pos="8838"/>
            </w:tabs>
            <w:ind w:left="-113" w:right="173"/>
          </w:pPr>
          <w:r>
            <w:rPr>
              <w:color w:val="000000"/>
            </w:rPr>
            <w:t xml:space="preserve">Organismo Público Descentralizado para la Prestación de los Servicios de Agua Potable Alcantarillado y Saneamiento de Atizapán de Zaragoza </w:t>
          </w:r>
        </w:p>
      </w:tc>
    </w:tr>
    <w:tr w:rsidR="001F63B3" w14:paraId="641DC583" w14:textId="77777777">
      <w:trPr>
        <w:trHeight w:val="273"/>
      </w:trPr>
      <w:tc>
        <w:tcPr>
          <w:tcW w:w="2551" w:type="dxa"/>
        </w:tcPr>
        <w:p w14:paraId="72609CF6" w14:textId="77777777" w:rsidR="001F63B3" w:rsidRDefault="00FE38DE">
          <w:pPr>
            <w:tabs>
              <w:tab w:val="right" w:pos="8838"/>
            </w:tabs>
            <w:ind w:right="-105"/>
            <w:rPr>
              <w:b/>
            </w:rPr>
          </w:pPr>
          <w:r>
            <w:rPr>
              <w:b/>
            </w:rPr>
            <w:t>Comisionado Ponente:</w:t>
          </w:r>
        </w:p>
      </w:tc>
      <w:tc>
        <w:tcPr>
          <w:tcW w:w="4252" w:type="dxa"/>
        </w:tcPr>
        <w:p w14:paraId="7F726F1E" w14:textId="77777777" w:rsidR="001F63B3" w:rsidRDefault="00FE38DE">
          <w:pPr>
            <w:tabs>
              <w:tab w:val="right" w:pos="8838"/>
            </w:tabs>
            <w:ind w:left="-113" w:right="-170"/>
            <w:rPr>
              <w:b/>
            </w:rPr>
          </w:pPr>
          <w:r>
            <w:t>Luis Gustavo Parra Noriega</w:t>
          </w:r>
        </w:p>
      </w:tc>
    </w:tr>
  </w:tbl>
  <w:p w14:paraId="652F16EB" w14:textId="77777777" w:rsidR="001F63B3" w:rsidRDefault="001F63B3">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A114D" w14:textId="77777777" w:rsidR="001F63B3" w:rsidRDefault="00000000">
    <w:pPr>
      <w:widowControl w:val="0"/>
      <w:pBdr>
        <w:top w:val="nil"/>
        <w:left w:val="nil"/>
        <w:bottom w:val="nil"/>
        <w:right w:val="nil"/>
        <w:between w:val="nil"/>
      </w:pBdr>
      <w:spacing w:after="0" w:line="276" w:lineRule="auto"/>
      <w:jc w:val="left"/>
      <w:rPr>
        <w:color w:val="000000"/>
      </w:rPr>
    </w:pPr>
    <w:r>
      <w:rPr>
        <w:color w:val="000000"/>
      </w:rPr>
      <w:pict w14:anchorId="17CF9C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6" type="#_x0000_t75" alt="MARCA DE AGUA - HOJA RESOLUCIÓN" style="position:absolute;margin-left:-97.05pt;margin-top:-183.5pt;width:663.5pt;height:12in;z-index:-251658752;mso-position-horizontal-relative:margin;mso-position-vertical-relative:margin">
          <v:imagedata r:id="rId1" o:title="image6"/>
          <w10:wrap anchorx="margin" anchory="margin"/>
        </v:shape>
      </w:pict>
    </w:r>
  </w:p>
  <w:tbl>
    <w:tblPr>
      <w:tblStyle w:val="a1"/>
      <w:tblW w:w="6804" w:type="dxa"/>
      <w:tblInd w:w="2127"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1F63B3" w14:paraId="6E1461BD" w14:textId="77777777">
      <w:trPr>
        <w:trHeight w:val="132"/>
      </w:trPr>
      <w:tc>
        <w:tcPr>
          <w:tcW w:w="2551" w:type="dxa"/>
        </w:tcPr>
        <w:p w14:paraId="7AE688F1" w14:textId="77777777" w:rsidR="001F63B3" w:rsidRDefault="00FE38DE">
          <w:pPr>
            <w:tabs>
              <w:tab w:val="right" w:pos="8838"/>
            </w:tabs>
            <w:ind w:right="-105"/>
            <w:rPr>
              <w:b/>
            </w:rPr>
          </w:pPr>
          <w:r>
            <w:rPr>
              <w:b/>
            </w:rPr>
            <w:t>Recurso de Revisión:</w:t>
          </w:r>
        </w:p>
      </w:tc>
      <w:tc>
        <w:tcPr>
          <w:tcW w:w="4253" w:type="dxa"/>
        </w:tcPr>
        <w:p w14:paraId="79207ACF" w14:textId="77777777" w:rsidR="001F63B3" w:rsidRDefault="00FE38DE">
          <w:pPr>
            <w:tabs>
              <w:tab w:val="right" w:pos="8838"/>
            </w:tabs>
            <w:ind w:left="-113" w:right="-32"/>
          </w:pPr>
          <w:r>
            <w:rPr>
              <w:color w:val="000000"/>
            </w:rPr>
            <w:t>04951/INFOEM/IP/RR/2025</w:t>
          </w:r>
        </w:p>
      </w:tc>
    </w:tr>
    <w:tr w:rsidR="001F63B3" w14:paraId="742CEE5A" w14:textId="77777777">
      <w:trPr>
        <w:trHeight w:val="132"/>
      </w:trPr>
      <w:tc>
        <w:tcPr>
          <w:tcW w:w="2551" w:type="dxa"/>
        </w:tcPr>
        <w:p w14:paraId="1EF68A52" w14:textId="77777777" w:rsidR="001F63B3" w:rsidRDefault="00FE38DE">
          <w:pPr>
            <w:tabs>
              <w:tab w:val="left" w:pos="1875"/>
            </w:tabs>
            <w:ind w:right="-105"/>
            <w:rPr>
              <w:b/>
            </w:rPr>
          </w:pPr>
          <w:r>
            <w:rPr>
              <w:b/>
            </w:rPr>
            <w:t>Recurrente:</w:t>
          </w:r>
          <w:r>
            <w:rPr>
              <w:b/>
            </w:rPr>
            <w:tab/>
          </w:r>
        </w:p>
      </w:tc>
      <w:tc>
        <w:tcPr>
          <w:tcW w:w="4253" w:type="dxa"/>
        </w:tcPr>
        <w:p w14:paraId="73252C99" w14:textId="1AB91DE9" w:rsidR="001F63B3" w:rsidRDefault="00E06C9E">
          <w:pPr>
            <w:tabs>
              <w:tab w:val="right" w:pos="8838"/>
            </w:tabs>
            <w:ind w:hanging="114"/>
          </w:pPr>
          <w:r w:rsidRPr="00E06C9E">
            <w:rPr>
              <w:highlight w:val="black"/>
            </w:rPr>
            <w:t>XXXXXXX</w:t>
          </w:r>
        </w:p>
      </w:tc>
    </w:tr>
    <w:tr w:rsidR="001F63B3" w14:paraId="178FD0D8" w14:textId="77777777">
      <w:trPr>
        <w:trHeight w:val="537"/>
      </w:trPr>
      <w:tc>
        <w:tcPr>
          <w:tcW w:w="2551" w:type="dxa"/>
        </w:tcPr>
        <w:p w14:paraId="7AC0EDCD" w14:textId="77777777" w:rsidR="001F63B3" w:rsidRDefault="00FE38DE">
          <w:pPr>
            <w:tabs>
              <w:tab w:val="right" w:pos="8838"/>
            </w:tabs>
            <w:ind w:right="-105"/>
            <w:rPr>
              <w:b/>
            </w:rPr>
          </w:pPr>
          <w:r>
            <w:rPr>
              <w:b/>
            </w:rPr>
            <w:t>Sujeto Obligado:</w:t>
          </w:r>
        </w:p>
      </w:tc>
      <w:tc>
        <w:tcPr>
          <w:tcW w:w="4253" w:type="dxa"/>
        </w:tcPr>
        <w:p w14:paraId="566FBC18" w14:textId="77777777" w:rsidR="001F63B3" w:rsidRDefault="00FE38DE">
          <w:pPr>
            <w:tabs>
              <w:tab w:val="right" w:pos="8838"/>
            </w:tabs>
            <w:ind w:left="-113" w:right="-32"/>
          </w:pPr>
          <w:r>
            <w:rPr>
              <w:color w:val="000000"/>
            </w:rPr>
            <w:t xml:space="preserve">Organismo Público Descentralizado para la Prestación de los Servicios de Agua Potable Alcantarillado y Saneamiento de Atizapán de Zaragoza </w:t>
          </w:r>
        </w:p>
      </w:tc>
    </w:tr>
    <w:tr w:rsidR="001F63B3" w14:paraId="01751DE0" w14:textId="77777777">
      <w:trPr>
        <w:trHeight w:val="261"/>
      </w:trPr>
      <w:tc>
        <w:tcPr>
          <w:tcW w:w="2551" w:type="dxa"/>
        </w:tcPr>
        <w:p w14:paraId="034BA612" w14:textId="77777777" w:rsidR="001F63B3" w:rsidRDefault="00FE38DE">
          <w:pPr>
            <w:tabs>
              <w:tab w:val="right" w:pos="8838"/>
            </w:tabs>
            <w:ind w:right="-105"/>
            <w:rPr>
              <w:b/>
            </w:rPr>
          </w:pPr>
          <w:r>
            <w:rPr>
              <w:b/>
            </w:rPr>
            <w:t>Comisionado Ponente:</w:t>
          </w:r>
        </w:p>
      </w:tc>
      <w:tc>
        <w:tcPr>
          <w:tcW w:w="4253" w:type="dxa"/>
        </w:tcPr>
        <w:p w14:paraId="082EAB7A" w14:textId="77777777" w:rsidR="001F63B3" w:rsidRDefault="00FE38DE">
          <w:pPr>
            <w:tabs>
              <w:tab w:val="right" w:pos="8838"/>
            </w:tabs>
            <w:ind w:left="-113" w:right="-32"/>
            <w:rPr>
              <w:b/>
            </w:rPr>
          </w:pPr>
          <w:r>
            <w:t>Luis Gustavo Parra Noriega</w:t>
          </w:r>
        </w:p>
      </w:tc>
    </w:tr>
  </w:tbl>
  <w:p w14:paraId="0507C77A" w14:textId="77777777" w:rsidR="001F63B3" w:rsidRDefault="001F63B3">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4F03"/>
    <w:multiLevelType w:val="multilevel"/>
    <w:tmpl w:val="C166E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35774A3"/>
    <w:multiLevelType w:val="multilevel"/>
    <w:tmpl w:val="BCB631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2C9F1766"/>
    <w:multiLevelType w:val="multilevel"/>
    <w:tmpl w:val="CE7E47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60048A"/>
    <w:multiLevelType w:val="multilevel"/>
    <w:tmpl w:val="A17200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7AB55134"/>
    <w:multiLevelType w:val="multilevel"/>
    <w:tmpl w:val="15D25C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270045324">
    <w:abstractNumId w:val="2"/>
  </w:num>
  <w:num w:numId="2" w16cid:durableId="1288242149">
    <w:abstractNumId w:val="0"/>
  </w:num>
  <w:num w:numId="3" w16cid:durableId="43606201">
    <w:abstractNumId w:val="1"/>
  </w:num>
  <w:num w:numId="4" w16cid:durableId="1313755662">
    <w:abstractNumId w:val="4"/>
  </w:num>
  <w:num w:numId="5" w16cid:durableId="12033244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3B3"/>
    <w:rsid w:val="00122573"/>
    <w:rsid w:val="001F63B3"/>
    <w:rsid w:val="002772CB"/>
    <w:rsid w:val="0049567C"/>
    <w:rsid w:val="005C2E30"/>
    <w:rsid w:val="00E06C9E"/>
    <w:rsid w:val="00F13B25"/>
    <w:rsid w:val="00FE38DE"/>
    <w:rsid w:val="00FE71D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14D7C"/>
  <w15:docId w15:val="{33D19D28-B3B0-411D-8A1A-62FCDF3B7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Palatino Linotype" w:hAnsi="Palatino Linotype" w:cs="Palatino Linotype"/>
        <w:sz w:val="22"/>
        <w:szCs w:val="22"/>
        <w:lang w:val="es-MX" w:eastAsia="es-MX"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after="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B3D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3DC5"/>
    <w:rPr>
      <w:rFonts w:ascii="Palatino Linotype" w:hAnsi="Palatino Linotype"/>
      <w:color w:val="000000" w:themeColor="text1"/>
      <w:kern w:val="0"/>
    </w:rPr>
  </w:style>
  <w:style w:type="paragraph" w:styleId="Piedepgina">
    <w:name w:val="footer"/>
    <w:basedOn w:val="Normal"/>
    <w:link w:val="PiedepginaCar"/>
    <w:uiPriority w:val="99"/>
    <w:unhideWhenUsed/>
    <w:rsid w:val="00DB3D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3DC5"/>
    <w:rPr>
      <w:rFonts w:ascii="Palatino Linotype" w:hAnsi="Palatino Linotype"/>
      <w:color w:val="000000" w:themeColor="text1"/>
      <w:kern w:val="0"/>
    </w:rPr>
  </w:style>
  <w:style w:type="table" w:styleId="Tablaconcuadrcula">
    <w:name w:val="Table Grid"/>
    <w:basedOn w:val="Tablanormal"/>
    <w:uiPriority w:val="59"/>
    <w:qFormat/>
    <w:rsid w:val="00DB3DC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B3DC5"/>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B3DC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DB3DC5"/>
    <w:rPr>
      <w:rFonts w:ascii="Palatino Linotype" w:hAnsi="Palatino Linotype"/>
      <w:color w:val="000000" w:themeColor="text1"/>
      <w:kern w:val="0"/>
    </w:rPr>
  </w:style>
  <w:style w:type="character" w:styleId="Hipervnculo">
    <w:name w:val="Hyperlink"/>
    <w:aliases w:val="Hipervínculo1,Hipervínculo11,Hipervínculo12,Hipervínculo13,Hipervínculo14,Hipervínculo15"/>
    <w:basedOn w:val="Fuentedeprrafopredeter"/>
    <w:uiPriority w:val="99"/>
    <w:unhideWhenUsed/>
    <w:qFormat/>
    <w:rsid w:val="004500E2"/>
    <w:rPr>
      <w:color w:val="0563C1" w:themeColor="hyperlink"/>
      <w:u w:val="single"/>
    </w:rPr>
  </w:style>
  <w:style w:type="character" w:customStyle="1" w:styleId="Mencinsinresolver1">
    <w:name w:val="Mención sin resolver1"/>
    <w:basedOn w:val="Fuentedeprrafopredeter"/>
    <w:uiPriority w:val="99"/>
    <w:semiHidden/>
    <w:unhideWhenUsed/>
    <w:rsid w:val="004500E2"/>
    <w:rPr>
      <w:color w:val="605E5C"/>
      <w:shd w:val="clear" w:color="auto" w:fill="E1DFDD"/>
    </w:rPr>
  </w:style>
  <w:style w:type="character" w:styleId="Hipervnculovisitado">
    <w:name w:val="FollowedHyperlink"/>
    <w:basedOn w:val="Fuentedeprrafopredeter"/>
    <w:uiPriority w:val="99"/>
    <w:semiHidden/>
    <w:unhideWhenUsed/>
    <w:rsid w:val="00254F36"/>
    <w:rPr>
      <w:color w:val="954F72" w:themeColor="followedHyperlink"/>
      <w:u w:val="single"/>
    </w:rPr>
  </w:style>
  <w:style w:type="table" w:customStyle="1" w:styleId="Tablaconcuadrcula3">
    <w:name w:val="Tabla con cuadrícula3"/>
    <w:basedOn w:val="Tablanormal"/>
    <w:next w:val="Tablaconcuadrcula"/>
    <w:uiPriority w:val="59"/>
    <w:rsid w:val="00837B92"/>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uiPriority w:val="9"/>
    <w:rsid w:val="00076681"/>
    <w:rPr>
      <w:rFonts w:asciiTheme="majorHAnsi" w:eastAsiaTheme="majorEastAsia" w:hAnsiTheme="majorHAnsi" w:cstheme="majorBidi"/>
      <w:color w:val="2F5496" w:themeColor="accent1" w:themeShade="BF"/>
      <w:kern w:val="0"/>
      <w:sz w:val="32"/>
      <w:szCs w:val="32"/>
    </w:rPr>
  </w:style>
  <w:style w:type="paragraph" w:styleId="TtuloTDC">
    <w:name w:val="TOC Heading"/>
    <w:next w:val="Normal"/>
    <w:uiPriority w:val="39"/>
    <w:unhideWhenUsed/>
    <w:qFormat/>
    <w:rsid w:val="00076681"/>
    <w:pPr>
      <w:jc w:val="left"/>
    </w:pPr>
  </w:style>
  <w:style w:type="paragraph" w:styleId="TDC1">
    <w:name w:val="toc 1"/>
    <w:basedOn w:val="Normal"/>
    <w:next w:val="Normal"/>
    <w:autoRedefine/>
    <w:uiPriority w:val="39"/>
    <w:unhideWhenUsed/>
    <w:rsid w:val="00076681"/>
    <w:pPr>
      <w:tabs>
        <w:tab w:val="right" w:leader="dot" w:pos="9072"/>
      </w:tabs>
      <w:spacing w:after="100" w:line="360" w:lineRule="auto"/>
    </w:pPr>
    <w:rPr>
      <w:rFonts w:ascii="Times New Roman" w:eastAsia="Times New Roman" w:hAnsi="Times New Roman" w:cs="Times New Roman"/>
      <w:sz w:val="20"/>
      <w:szCs w:val="20"/>
      <w:lang w:eastAsia="es-ES"/>
    </w:rPr>
  </w:style>
  <w:style w:type="paragraph" w:styleId="TDC2">
    <w:name w:val="toc 2"/>
    <w:basedOn w:val="Normal"/>
    <w:next w:val="Normal"/>
    <w:autoRedefine/>
    <w:uiPriority w:val="39"/>
    <w:unhideWhenUsed/>
    <w:rsid w:val="00076681"/>
    <w:pPr>
      <w:spacing w:after="100" w:line="240" w:lineRule="auto"/>
      <w:ind w:left="200"/>
      <w:jc w:val="left"/>
    </w:pPr>
    <w:rPr>
      <w:rFonts w:ascii="Times New Roman" w:eastAsia="Times New Roman" w:hAnsi="Times New Roman" w:cs="Times New Roman"/>
      <w:sz w:val="20"/>
      <w:szCs w:val="20"/>
      <w:lang w:eastAsia="es-ES"/>
    </w:rPr>
  </w:style>
  <w:style w:type="character" w:customStyle="1" w:styleId="Ttulo2Car">
    <w:name w:val="Título 2 Car"/>
    <w:basedOn w:val="Fuentedeprrafopredeter"/>
    <w:uiPriority w:val="9"/>
    <w:rsid w:val="00076681"/>
    <w:rPr>
      <w:rFonts w:asciiTheme="majorHAnsi" w:eastAsiaTheme="majorEastAsia" w:hAnsiTheme="majorHAnsi" w:cstheme="majorBidi"/>
      <w:color w:val="2F5496" w:themeColor="accent1" w:themeShade="BF"/>
      <w:kern w:val="0"/>
      <w:sz w:val="26"/>
      <w:szCs w:val="26"/>
    </w:rPr>
  </w:style>
  <w:style w:type="character" w:customStyle="1" w:styleId="Mencinsinresolver2">
    <w:name w:val="Mención sin resolver2"/>
    <w:basedOn w:val="Fuentedeprrafopredeter"/>
    <w:uiPriority w:val="99"/>
    <w:semiHidden/>
    <w:unhideWhenUsed/>
    <w:rsid w:val="00B417C3"/>
    <w:rPr>
      <w:color w:val="605E5C"/>
      <w:shd w:val="clear" w:color="auto" w:fill="E1DFDD"/>
    </w:rPr>
  </w:style>
  <w:style w:type="character" w:customStyle="1" w:styleId="Mencinsinresolver3">
    <w:name w:val="Mención sin resolver3"/>
    <w:basedOn w:val="Fuentedeprrafopredeter"/>
    <w:uiPriority w:val="99"/>
    <w:semiHidden/>
    <w:unhideWhenUsed/>
    <w:rsid w:val="009A627C"/>
    <w:rPr>
      <w:color w:val="605E5C"/>
      <w:shd w:val="clear" w:color="auto" w:fill="E1DFDD"/>
    </w:rPr>
  </w:style>
  <w:style w:type="character" w:customStyle="1" w:styleId="Mencinsinresolver4">
    <w:name w:val="Mención sin resolver4"/>
    <w:basedOn w:val="Fuentedeprrafopredeter"/>
    <w:uiPriority w:val="99"/>
    <w:semiHidden/>
    <w:unhideWhenUsed/>
    <w:rsid w:val="00655864"/>
    <w:rPr>
      <w:color w:val="605E5C"/>
      <w:shd w:val="clear" w:color="auto" w:fill="E1DFDD"/>
    </w:rPr>
  </w:style>
  <w:style w:type="character" w:customStyle="1" w:styleId="Mencinsinresolver5">
    <w:name w:val="Mención sin resolver5"/>
    <w:basedOn w:val="Fuentedeprrafopredeter"/>
    <w:uiPriority w:val="99"/>
    <w:semiHidden/>
    <w:unhideWhenUsed/>
    <w:rsid w:val="00417921"/>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1O71Q7VnuFxVhTrcXFF7QpXEcQ==">CgMxLjAyDmgubW9sdXFxanA5anFmMg1oLmI2b3NwaTJmOWo2Mg5oLjJxbmVja2IzeTJtbDIOaC51bW80NGplczQ5bHYyDmgub2poejlkOHphYmZuMg5oLnlheTQzY2YweXZ5YjIOaC50bzM3amVzOXpjZWIyDmguY2R0dmk1cWNuMDU0Mg5oLnAzbDdxdjRxM3dxczIOaC5pZWs2cDFmdWxqYTAyDmguamRkajB5OXhiNTJiMg5oLmowdms3ZzZpcG11MjIOaC51MWFpejd5MjA3OGgyDmguOXo2Nmk1bm5wZXBxMg5oLnY2dHRxcDlhaTc5ejIOaC53MDJqZG5reTF6OWoyDmgubGlmMDl0eGdoOW9rMg5oLjFvMThka2xueGE2bTgAciExUG9oblo3dGE0NU1SZ2RVd0o4TVRxRGhWTXdabGpkdk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4181</Words>
  <Characters>22998</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PEÑA VARA</dc:creator>
  <cp:lastModifiedBy>Roxana Lechuga</cp:lastModifiedBy>
  <cp:revision>4</cp:revision>
  <cp:lastPrinted>2025-10-24T01:18:00Z</cp:lastPrinted>
  <dcterms:created xsi:type="dcterms:W3CDTF">2025-10-24T01:18:00Z</dcterms:created>
  <dcterms:modified xsi:type="dcterms:W3CDTF">2025-12-14T20:15:00Z</dcterms:modified>
</cp:coreProperties>
</file>