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C3EB"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690C04">
        <w:rPr>
          <w:rFonts w:ascii="Palatino Linotype" w:eastAsia="Palatino Linotype" w:hAnsi="Palatino Linotype" w:cs="Palatino Linotype"/>
          <w:b/>
          <w:sz w:val="22"/>
          <w:szCs w:val="22"/>
        </w:rPr>
        <w:t>tres de septiembre de dos mil veinticinco</w:t>
      </w:r>
      <w:r w:rsidRPr="00690C04">
        <w:rPr>
          <w:rFonts w:ascii="Palatino Linotype" w:eastAsia="Palatino Linotype" w:hAnsi="Palatino Linotype" w:cs="Palatino Linotype"/>
          <w:sz w:val="22"/>
          <w:szCs w:val="22"/>
        </w:rPr>
        <w:t xml:space="preserve">. </w:t>
      </w:r>
    </w:p>
    <w:p w14:paraId="0B17DBA0"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2D514704" w14:textId="77777777" w:rsidR="00A25BD2" w:rsidRPr="00690C04" w:rsidRDefault="006A61B1">
      <w:pPr>
        <w:tabs>
          <w:tab w:val="left" w:pos="5812"/>
        </w:tabs>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Visto</w:t>
      </w:r>
      <w:r w:rsidRPr="00690C04">
        <w:rPr>
          <w:rFonts w:ascii="Palatino Linotype" w:eastAsia="Palatino Linotype" w:hAnsi="Palatino Linotype" w:cs="Palatino Linotype"/>
          <w:sz w:val="22"/>
          <w:szCs w:val="22"/>
        </w:rPr>
        <w:t xml:space="preserve"> el expediente formado con motivo del recurso de revisión </w:t>
      </w:r>
      <w:r w:rsidRPr="00690C04">
        <w:rPr>
          <w:rFonts w:ascii="Palatino Linotype" w:eastAsia="Palatino Linotype" w:hAnsi="Palatino Linotype" w:cs="Palatino Linotype"/>
          <w:b/>
          <w:sz w:val="22"/>
          <w:szCs w:val="22"/>
        </w:rPr>
        <w:t>06284/INFOEM/IP/RR/2025</w:t>
      </w:r>
      <w:r w:rsidRPr="00690C04">
        <w:rPr>
          <w:rFonts w:ascii="Palatino Linotype" w:eastAsia="Palatino Linotype" w:hAnsi="Palatino Linotype" w:cs="Palatino Linotype"/>
          <w:sz w:val="22"/>
          <w:szCs w:val="22"/>
        </w:rPr>
        <w:t>, interpuesto por</w:t>
      </w:r>
      <w:r w:rsidRPr="00690C04">
        <w:rPr>
          <w:rFonts w:ascii="Palatino Linotype" w:eastAsia="Palatino Linotype" w:hAnsi="Palatino Linotype" w:cs="Palatino Linotype"/>
          <w:b/>
          <w:sz w:val="22"/>
          <w:szCs w:val="22"/>
        </w:rPr>
        <w:t xml:space="preserve"> un particular de manera anónima </w:t>
      </w:r>
      <w:r w:rsidRPr="00690C04">
        <w:rPr>
          <w:rFonts w:ascii="Palatino Linotype" w:eastAsia="Palatino Linotype" w:hAnsi="Palatino Linotype" w:cs="Palatino Linotype"/>
          <w:sz w:val="22"/>
          <w:szCs w:val="22"/>
        </w:rPr>
        <w:t>en lo sucesivo,</w:t>
      </w:r>
      <w:r w:rsidRPr="00690C04">
        <w:rPr>
          <w:rFonts w:ascii="Palatino Linotype" w:eastAsia="Palatino Linotype" w:hAnsi="Palatino Linotype" w:cs="Palatino Linotype"/>
          <w:b/>
          <w:sz w:val="22"/>
          <w:szCs w:val="22"/>
        </w:rPr>
        <w:t xml:space="preserve"> la parte</w:t>
      </w:r>
      <w:r w:rsidRPr="00690C04">
        <w:rPr>
          <w:rFonts w:ascii="Palatino Linotype" w:eastAsia="Palatino Linotype" w:hAnsi="Palatino Linotype" w:cs="Palatino Linotype"/>
          <w:sz w:val="22"/>
          <w:szCs w:val="22"/>
        </w:rPr>
        <w:t xml:space="preserve"> </w:t>
      </w:r>
      <w:r w:rsidRPr="00690C04">
        <w:rPr>
          <w:rFonts w:ascii="Palatino Linotype" w:eastAsia="Palatino Linotype" w:hAnsi="Palatino Linotype" w:cs="Palatino Linotype"/>
          <w:b/>
          <w:sz w:val="22"/>
          <w:szCs w:val="22"/>
        </w:rPr>
        <w:t>Recurrente,</w:t>
      </w:r>
      <w:r w:rsidRPr="00690C04">
        <w:rPr>
          <w:rFonts w:ascii="Palatino Linotype" w:eastAsia="Palatino Linotype" w:hAnsi="Palatino Linotype" w:cs="Palatino Linotype"/>
          <w:sz w:val="22"/>
          <w:szCs w:val="22"/>
        </w:rPr>
        <w:t xml:space="preserve"> en contra de la respuesta a la solicitud de información con número de folio</w:t>
      </w:r>
      <w:r w:rsidRPr="00690C04">
        <w:rPr>
          <w:rFonts w:ascii="Palatino Linotype" w:eastAsia="Palatino Linotype" w:hAnsi="Palatino Linotype" w:cs="Palatino Linotype"/>
          <w:b/>
          <w:sz w:val="22"/>
          <w:szCs w:val="22"/>
        </w:rPr>
        <w:t xml:space="preserve"> 00056/AMECAMEC/IP/2025, </w:t>
      </w:r>
      <w:r w:rsidRPr="00690C04">
        <w:rPr>
          <w:rFonts w:ascii="Palatino Linotype" w:eastAsia="Palatino Linotype" w:hAnsi="Palatino Linotype" w:cs="Palatino Linotype"/>
          <w:sz w:val="22"/>
          <w:szCs w:val="22"/>
        </w:rPr>
        <w:t xml:space="preserve">por parte del </w:t>
      </w:r>
      <w:r w:rsidRPr="00690C04">
        <w:rPr>
          <w:rFonts w:ascii="Palatino Linotype" w:eastAsia="Palatino Linotype" w:hAnsi="Palatino Linotype" w:cs="Palatino Linotype"/>
          <w:b/>
          <w:sz w:val="22"/>
          <w:szCs w:val="22"/>
        </w:rPr>
        <w:t xml:space="preserve">Ayuntamiento de Amecameca, </w:t>
      </w:r>
      <w:r w:rsidRPr="00690C04">
        <w:rPr>
          <w:rFonts w:ascii="Palatino Linotype" w:eastAsia="Palatino Linotype" w:hAnsi="Palatino Linotype" w:cs="Palatino Linotype"/>
          <w:sz w:val="22"/>
          <w:szCs w:val="22"/>
        </w:rPr>
        <w:t xml:space="preserve">en lo sucesivo el </w:t>
      </w:r>
      <w:r w:rsidRPr="00690C04">
        <w:rPr>
          <w:rFonts w:ascii="Palatino Linotype" w:eastAsia="Palatino Linotype" w:hAnsi="Palatino Linotype" w:cs="Palatino Linotype"/>
          <w:b/>
          <w:sz w:val="22"/>
          <w:szCs w:val="22"/>
        </w:rPr>
        <w:t xml:space="preserve">Sujeto Obligado, </w:t>
      </w:r>
      <w:r w:rsidRPr="00690C04">
        <w:rPr>
          <w:rFonts w:ascii="Palatino Linotype" w:eastAsia="Palatino Linotype" w:hAnsi="Palatino Linotype" w:cs="Palatino Linotype"/>
          <w:sz w:val="22"/>
          <w:szCs w:val="22"/>
        </w:rPr>
        <w:t xml:space="preserve">se procede a dictar la presente resolución con base en los siguientes: </w:t>
      </w:r>
    </w:p>
    <w:p w14:paraId="221E3FA5" w14:textId="77777777" w:rsidR="00A25BD2" w:rsidRPr="00690C04" w:rsidRDefault="006A61B1">
      <w:pPr>
        <w:spacing w:line="360" w:lineRule="auto"/>
        <w:jc w:val="center"/>
        <w:rPr>
          <w:rFonts w:ascii="Palatino Linotype" w:eastAsia="Palatino Linotype" w:hAnsi="Palatino Linotype" w:cs="Palatino Linotype"/>
          <w:b/>
          <w:sz w:val="22"/>
          <w:szCs w:val="22"/>
        </w:rPr>
      </w:pPr>
      <w:r w:rsidRPr="00690C04">
        <w:rPr>
          <w:rFonts w:ascii="Palatino Linotype" w:eastAsia="Palatino Linotype" w:hAnsi="Palatino Linotype" w:cs="Palatino Linotype"/>
          <w:b/>
          <w:sz w:val="22"/>
          <w:szCs w:val="22"/>
        </w:rPr>
        <w:t>I. A N T E C E D E N T E S</w:t>
      </w:r>
    </w:p>
    <w:p w14:paraId="7D7C5296" w14:textId="77777777" w:rsidR="00A25BD2" w:rsidRPr="00690C04" w:rsidRDefault="00A25BD2">
      <w:pPr>
        <w:spacing w:line="360" w:lineRule="auto"/>
        <w:jc w:val="center"/>
        <w:rPr>
          <w:rFonts w:ascii="Palatino Linotype" w:eastAsia="Palatino Linotype" w:hAnsi="Palatino Linotype" w:cs="Palatino Linotype"/>
          <w:b/>
          <w:sz w:val="22"/>
          <w:szCs w:val="22"/>
        </w:rPr>
      </w:pPr>
    </w:p>
    <w:p w14:paraId="257946CB" w14:textId="77777777" w:rsidR="00A25BD2" w:rsidRPr="00690C04" w:rsidRDefault="006A61B1">
      <w:pPr>
        <w:spacing w:line="360" w:lineRule="auto"/>
        <w:jc w:val="both"/>
        <w:rPr>
          <w:rFonts w:ascii="Palatino Linotype" w:eastAsia="Palatino Linotype" w:hAnsi="Palatino Linotype" w:cs="Palatino Linotype"/>
          <w:sz w:val="22"/>
          <w:szCs w:val="22"/>
        </w:rPr>
      </w:pPr>
      <w:bookmarkStart w:id="0" w:name="_heading=h.4d34og8" w:colFirst="0" w:colLast="0"/>
      <w:bookmarkEnd w:id="0"/>
      <w:r w:rsidRPr="00690C04">
        <w:rPr>
          <w:rFonts w:ascii="Palatino Linotype" w:eastAsia="Palatino Linotype" w:hAnsi="Palatino Linotype" w:cs="Palatino Linotype"/>
          <w:b/>
          <w:sz w:val="22"/>
          <w:szCs w:val="22"/>
        </w:rPr>
        <w:t>1. Solicitud de acceso a la información.</w:t>
      </w:r>
      <w:r w:rsidRPr="00690C04">
        <w:rPr>
          <w:rFonts w:ascii="Palatino Linotype" w:eastAsia="Palatino Linotype" w:hAnsi="Palatino Linotype" w:cs="Palatino Linotype"/>
          <w:sz w:val="22"/>
          <w:szCs w:val="22"/>
        </w:rPr>
        <w:t xml:space="preserve"> El </w:t>
      </w:r>
      <w:r w:rsidRPr="00690C04">
        <w:rPr>
          <w:rFonts w:ascii="Palatino Linotype" w:eastAsia="Palatino Linotype" w:hAnsi="Palatino Linotype" w:cs="Palatino Linotype"/>
          <w:b/>
          <w:sz w:val="22"/>
          <w:szCs w:val="22"/>
        </w:rPr>
        <w:t>siete de mayo de dos mil veinticinco,</w:t>
      </w:r>
      <w:r w:rsidRPr="00690C04">
        <w:rPr>
          <w:rFonts w:ascii="Palatino Linotype" w:eastAsia="Palatino Linotype" w:hAnsi="Palatino Linotype" w:cs="Palatino Linotype"/>
          <w:sz w:val="22"/>
          <w:szCs w:val="22"/>
        </w:rPr>
        <w:t xml:space="preserve"> la parte </w:t>
      </w:r>
      <w:r w:rsidRPr="00690C04">
        <w:rPr>
          <w:rFonts w:ascii="Palatino Linotype" w:eastAsia="Palatino Linotype" w:hAnsi="Palatino Linotype" w:cs="Palatino Linotype"/>
          <w:b/>
          <w:sz w:val="22"/>
          <w:szCs w:val="22"/>
        </w:rPr>
        <w:t xml:space="preserve">Recurrente </w:t>
      </w:r>
      <w:r w:rsidRPr="00690C04">
        <w:rPr>
          <w:rFonts w:ascii="Palatino Linotype" w:eastAsia="Palatino Linotype" w:hAnsi="Palatino Linotype" w:cs="Palatino Linotype"/>
          <w:sz w:val="22"/>
          <w:szCs w:val="22"/>
        </w:rPr>
        <w:t xml:space="preserve">presentó, a través del Sistema de Acceso a la Información Mexiquense, en lo subsecuente el </w:t>
      </w:r>
      <w:r w:rsidRPr="00690C04">
        <w:rPr>
          <w:rFonts w:ascii="Palatino Linotype" w:eastAsia="Palatino Linotype" w:hAnsi="Palatino Linotype" w:cs="Palatino Linotype"/>
          <w:b/>
          <w:sz w:val="22"/>
          <w:szCs w:val="22"/>
        </w:rPr>
        <w:t>SAIMEX,</w:t>
      </w:r>
      <w:r w:rsidRPr="00690C04">
        <w:rPr>
          <w:rFonts w:ascii="Palatino Linotype" w:eastAsia="Palatino Linotype" w:hAnsi="Palatino Linotype" w:cs="Palatino Linotype"/>
          <w:sz w:val="22"/>
          <w:szCs w:val="22"/>
        </w:rPr>
        <w:t xml:space="preserve"> ante el </w:t>
      </w:r>
      <w:r w:rsidRPr="00690C04">
        <w:rPr>
          <w:rFonts w:ascii="Palatino Linotype" w:eastAsia="Palatino Linotype" w:hAnsi="Palatino Linotype" w:cs="Palatino Linotype"/>
          <w:b/>
          <w:sz w:val="22"/>
          <w:szCs w:val="22"/>
        </w:rPr>
        <w:t>Sujeto Obligado</w:t>
      </w:r>
      <w:r w:rsidRPr="00690C04">
        <w:rPr>
          <w:rFonts w:ascii="Palatino Linotype" w:eastAsia="Palatino Linotype" w:hAnsi="Palatino Linotype" w:cs="Palatino Linotype"/>
          <w:sz w:val="22"/>
          <w:szCs w:val="22"/>
        </w:rPr>
        <w:t>, la solicitud de acceso a la información pública,</w:t>
      </w:r>
      <w:r w:rsidRPr="00690C04">
        <w:rPr>
          <w:rFonts w:ascii="Palatino Linotype" w:eastAsia="Palatino Linotype" w:hAnsi="Palatino Linotype" w:cs="Palatino Linotype"/>
          <w:b/>
          <w:sz w:val="22"/>
          <w:szCs w:val="22"/>
        </w:rPr>
        <w:t xml:space="preserve"> </w:t>
      </w:r>
      <w:r w:rsidRPr="00690C04">
        <w:rPr>
          <w:rFonts w:ascii="Palatino Linotype" w:eastAsia="Palatino Linotype" w:hAnsi="Palatino Linotype" w:cs="Palatino Linotype"/>
          <w:sz w:val="22"/>
          <w:szCs w:val="22"/>
        </w:rPr>
        <w:t xml:space="preserve">mediante la cual requirió la información siguiente: </w:t>
      </w:r>
    </w:p>
    <w:p w14:paraId="389DAECA"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14475B72" w14:textId="77777777" w:rsidR="00A25BD2" w:rsidRPr="00690C04" w:rsidRDefault="006A61B1">
      <w:pPr>
        <w:ind w:left="567" w:right="902"/>
        <w:jc w:val="both"/>
        <w:rPr>
          <w:rFonts w:ascii="Palatino Linotype" w:eastAsia="Palatino Linotype" w:hAnsi="Palatino Linotype" w:cs="Palatino Linotype"/>
          <w:i/>
          <w:sz w:val="22"/>
          <w:szCs w:val="22"/>
        </w:rPr>
      </w:pPr>
      <w:bookmarkStart w:id="1" w:name="_heading=h.gjdgxs" w:colFirst="0" w:colLast="0"/>
      <w:bookmarkEnd w:id="1"/>
      <w:r w:rsidRPr="00690C04">
        <w:rPr>
          <w:rFonts w:ascii="Palatino Linotype" w:eastAsia="Palatino Linotype" w:hAnsi="Palatino Linotype" w:cs="Palatino Linotype"/>
          <w:i/>
          <w:sz w:val="22"/>
          <w:szCs w:val="22"/>
        </w:rPr>
        <w:t xml:space="preserve"> “solicito copia simple digitalizada a través del sistema electrónico </w:t>
      </w:r>
      <w:proofErr w:type="spellStart"/>
      <w:r w:rsidRPr="00690C04">
        <w:rPr>
          <w:rFonts w:ascii="Palatino Linotype" w:eastAsia="Palatino Linotype" w:hAnsi="Palatino Linotype" w:cs="Palatino Linotype"/>
          <w:i/>
          <w:sz w:val="22"/>
          <w:szCs w:val="22"/>
        </w:rPr>
        <w:t>saimex</w:t>
      </w:r>
      <w:proofErr w:type="spellEnd"/>
      <w:r w:rsidRPr="00690C04">
        <w:rPr>
          <w:rFonts w:ascii="Palatino Linotype" w:eastAsia="Palatino Linotype" w:hAnsi="Palatino Linotype" w:cs="Palatino Linotype"/>
          <w:i/>
          <w:sz w:val="22"/>
          <w:szCs w:val="22"/>
        </w:rPr>
        <w:t xml:space="preserve"> de los comprobantes de todos los pagos realizados mediante cheque y transferencia electrónica por la tesorería municipal a particulares durante el mes de marzo de 2025.” </w:t>
      </w:r>
    </w:p>
    <w:p w14:paraId="108BD2A6" w14:textId="77777777" w:rsidR="00A25BD2" w:rsidRPr="00690C04" w:rsidRDefault="00A25BD2">
      <w:pPr>
        <w:ind w:left="567" w:right="902"/>
        <w:jc w:val="both"/>
        <w:rPr>
          <w:rFonts w:ascii="Palatino Linotype" w:eastAsia="Palatino Linotype" w:hAnsi="Palatino Linotype" w:cs="Palatino Linotype"/>
          <w:b/>
          <w:i/>
          <w:sz w:val="22"/>
          <w:szCs w:val="22"/>
        </w:rPr>
      </w:pPr>
    </w:p>
    <w:p w14:paraId="5F1CE08D" w14:textId="77777777" w:rsidR="00A25BD2" w:rsidRPr="00690C04" w:rsidRDefault="006A61B1">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90C04">
        <w:rPr>
          <w:rFonts w:ascii="Palatino Linotype" w:eastAsia="Palatino Linotype" w:hAnsi="Palatino Linotype" w:cs="Palatino Linotype"/>
          <w:b/>
          <w:sz w:val="22"/>
          <w:szCs w:val="22"/>
        </w:rPr>
        <w:t xml:space="preserve">Modalidad de Entrega: </w:t>
      </w:r>
      <w:r w:rsidRPr="00690C04">
        <w:rPr>
          <w:rFonts w:ascii="Palatino Linotype" w:eastAsia="Palatino Linotype" w:hAnsi="Palatino Linotype" w:cs="Palatino Linotype"/>
          <w:sz w:val="22"/>
          <w:szCs w:val="22"/>
        </w:rPr>
        <w:t xml:space="preserve">A través del </w:t>
      </w:r>
      <w:r w:rsidRPr="00690C04">
        <w:rPr>
          <w:rFonts w:ascii="Palatino Linotype" w:eastAsia="Palatino Linotype" w:hAnsi="Palatino Linotype" w:cs="Palatino Linotype"/>
          <w:b/>
          <w:sz w:val="22"/>
          <w:szCs w:val="22"/>
        </w:rPr>
        <w:t>SAIMEX</w:t>
      </w:r>
      <w:r w:rsidRPr="00690C04">
        <w:rPr>
          <w:rFonts w:ascii="Palatino Linotype" w:eastAsia="Palatino Linotype" w:hAnsi="Palatino Linotype" w:cs="Palatino Linotype"/>
          <w:sz w:val="22"/>
          <w:szCs w:val="22"/>
        </w:rPr>
        <w:t>.</w:t>
      </w:r>
    </w:p>
    <w:p w14:paraId="71DF6E8A"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23A0A4DD" w14:textId="77777777" w:rsidR="00A25BD2" w:rsidRPr="00690C04" w:rsidRDefault="006A61B1">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 xml:space="preserve">2. Respuesta. </w:t>
      </w:r>
      <w:r w:rsidRPr="00690C04">
        <w:rPr>
          <w:rFonts w:ascii="Palatino Linotype" w:eastAsia="Palatino Linotype" w:hAnsi="Palatino Linotype" w:cs="Palatino Linotype"/>
          <w:sz w:val="22"/>
          <w:szCs w:val="22"/>
        </w:rPr>
        <w:t xml:space="preserve">El </w:t>
      </w:r>
      <w:r w:rsidRPr="00690C04">
        <w:rPr>
          <w:rFonts w:ascii="Palatino Linotype" w:eastAsia="Palatino Linotype" w:hAnsi="Palatino Linotype" w:cs="Palatino Linotype"/>
          <w:b/>
          <w:sz w:val="22"/>
          <w:szCs w:val="22"/>
        </w:rPr>
        <w:t>veintiocho de mayo de dos mil veinticinco</w:t>
      </w:r>
      <w:r w:rsidRPr="00690C04">
        <w:rPr>
          <w:rFonts w:ascii="Palatino Linotype" w:eastAsia="Palatino Linotype" w:hAnsi="Palatino Linotype" w:cs="Palatino Linotype"/>
          <w:sz w:val="22"/>
          <w:szCs w:val="22"/>
        </w:rPr>
        <w:t>, el</w:t>
      </w:r>
      <w:r w:rsidRPr="00690C04">
        <w:rPr>
          <w:rFonts w:ascii="Palatino Linotype" w:eastAsia="Palatino Linotype" w:hAnsi="Palatino Linotype" w:cs="Palatino Linotype"/>
          <w:b/>
          <w:sz w:val="22"/>
          <w:szCs w:val="22"/>
        </w:rPr>
        <w:t xml:space="preserve"> Sujeto Obligado </w:t>
      </w:r>
      <w:r w:rsidRPr="00690C04">
        <w:rPr>
          <w:rFonts w:ascii="Palatino Linotype" w:eastAsia="Palatino Linotype" w:hAnsi="Palatino Linotype" w:cs="Palatino Linotype"/>
          <w:sz w:val="22"/>
          <w:szCs w:val="22"/>
        </w:rPr>
        <w:t xml:space="preserve">notificó a la persona solicitante, la respuesta a su solicitud de información, la cual fue previamente del conocimiento de las partes. </w:t>
      </w:r>
    </w:p>
    <w:p w14:paraId="64E16828" w14:textId="77777777" w:rsidR="00A25BD2" w:rsidRPr="00690C04" w:rsidRDefault="00A25BD2">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sz w:val="22"/>
          <w:szCs w:val="22"/>
        </w:rPr>
      </w:pPr>
    </w:p>
    <w:p w14:paraId="3665B760"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lastRenderedPageBreak/>
        <w:t xml:space="preserve">3. Interposición del recurso de revisión. </w:t>
      </w:r>
      <w:r w:rsidRPr="00690C04">
        <w:rPr>
          <w:rFonts w:ascii="Palatino Linotype" w:eastAsia="Palatino Linotype" w:hAnsi="Palatino Linotype" w:cs="Palatino Linotype"/>
          <w:sz w:val="22"/>
          <w:szCs w:val="22"/>
        </w:rPr>
        <w:t xml:space="preserve">Inconforme con los términos de la respuesta emitida por parte del </w:t>
      </w:r>
      <w:r w:rsidRPr="00690C04">
        <w:rPr>
          <w:rFonts w:ascii="Palatino Linotype" w:eastAsia="Palatino Linotype" w:hAnsi="Palatino Linotype" w:cs="Palatino Linotype"/>
          <w:b/>
          <w:sz w:val="22"/>
          <w:szCs w:val="22"/>
        </w:rPr>
        <w:t>Sujeto Obligado</w:t>
      </w:r>
      <w:r w:rsidRPr="00690C04">
        <w:rPr>
          <w:rFonts w:ascii="Palatino Linotype" w:eastAsia="Palatino Linotype" w:hAnsi="Palatino Linotype" w:cs="Palatino Linotype"/>
          <w:sz w:val="22"/>
          <w:szCs w:val="22"/>
        </w:rPr>
        <w:t xml:space="preserve">, el </w:t>
      </w:r>
      <w:r w:rsidRPr="00690C04">
        <w:rPr>
          <w:rFonts w:ascii="Palatino Linotype" w:eastAsia="Palatino Linotype" w:hAnsi="Palatino Linotype" w:cs="Palatino Linotype"/>
          <w:b/>
          <w:sz w:val="22"/>
          <w:szCs w:val="22"/>
        </w:rPr>
        <w:t>veintinueve de mayo dos mil veinticinco, la parte Recurrente</w:t>
      </w:r>
      <w:r w:rsidRPr="00690C04">
        <w:rPr>
          <w:rFonts w:ascii="Palatino Linotype" w:eastAsia="Palatino Linotype" w:hAnsi="Palatino Linotype" w:cs="Palatino Linotype"/>
          <w:sz w:val="22"/>
          <w:szCs w:val="22"/>
        </w:rPr>
        <w:t xml:space="preserve"> interpuso el recurso de revisión a través de </w:t>
      </w:r>
      <w:r w:rsidRPr="00690C04">
        <w:rPr>
          <w:rFonts w:ascii="Palatino Linotype" w:eastAsia="Palatino Linotype" w:hAnsi="Palatino Linotype" w:cs="Palatino Linotype"/>
          <w:b/>
          <w:sz w:val="22"/>
          <w:szCs w:val="22"/>
        </w:rPr>
        <w:t xml:space="preserve">SAIMEX, </w:t>
      </w:r>
      <w:r w:rsidRPr="00690C04">
        <w:rPr>
          <w:rFonts w:ascii="Palatino Linotype" w:eastAsia="Palatino Linotype" w:hAnsi="Palatino Linotype" w:cs="Palatino Linotype"/>
          <w:sz w:val="22"/>
          <w:szCs w:val="22"/>
        </w:rPr>
        <w:t>en donde se manifestó de la siguiente manera:</w:t>
      </w:r>
    </w:p>
    <w:p w14:paraId="7738A67A"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535796E5" w14:textId="77777777" w:rsidR="00A25BD2" w:rsidRPr="00690C04" w:rsidRDefault="006A61B1">
      <w:pPr>
        <w:tabs>
          <w:tab w:val="left" w:pos="2745"/>
        </w:tabs>
        <w:spacing w:line="276" w:lineRule="auto"/>
        <w:ind w:left="567" w:right="900"/>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sz w:val="22"/>
          <w:szCs w:val="22"/>
        </w:rPr>
        <w:t xml:space="preserve">a) Acto impugnado: </w:t>
      </w:r>
      <w:r w:rsidRPr="00690C04">
        <w:rPr>
          <w:rFonts w:ascii="Palatino Linotype" w:eastAsia="Palatino Linotype" w:hAnsi="Palatino Linotype" w:cs="Palatino Linotype"/>
          <w:i/>
          <w:sz w:val="22"/>
          <w:szCs w:val="22"/>
        </w:rPr>
        <w:t xml:space="preserve">“RESPUESTA A LA SOLICITUD 00056/AMECAMEC/IP/2025.” </w:t>
      </w:r>
    </w:p>
    <w:p w14:paraId="6244C3B4" w14:textId="77777777" w:rsidR="00A25BD2" w:rsidRPr="00690C04" w:rsidRDefault="00A25BD2">
      <w:pPr>
        <w:tabs>
          <w:tab w:val="left" w:pos="2745"/>
        </w:tabs>
        <w:spacing w:line="276" w:lineRule="auto"/>
        <w:ind w:left="567" w:right="900"/>
        <w:jc w:val="both"/>
        <w:rPr>
          <w:rFonts w:ascii="Palatino Linotype" w:eastAsia="Palatino Linotype" w:hAnsi="Palatino Linotype" w:cs="Palatino Linotype"/>
          <w:b/>
          <w:sz w:val="22"/>
          <w:szCs w:val="22"/>
        </w:rPr>
      </w:pPr>
    </w:p>
    <w:p w14:paraId="0314BB8B" w14:textId="77777777" w:rsidR="00A25BD2" w:rsidRPr="00690C04" w:rsidRDefault="006A61B1">
      <w:pPr>
        <w:spacing w:line="276" w:lineRule="auto"/>
        <w:ind w:left="567" w:right="900"/>
        <w:jc w:val="both"/>
        <w:rPr>
          <w:rFonts w:ascii="Palatino Linotype" w:eastAsia="Palatino Linotype" w:hAnsi="Palatino Linotype" w:cs="Palatino Linotype"/>
          <w:sz w:val="22"/>
          <w:szCs w:val="22"/>
        </w:rPr>
      </w:pPr>
      <w:bookmarkStart w:id="3" w:name="_heading=h.30j0zll" w:colFirst="0" w:colLast="0"/>
      <w:bookmarkEnd w:id="3"/>
      <w:r w:rsidRPr="00690C04">
        <w:rPr>
          <w:rFonts w:ascii="Palatino Linotype" w:eastAsia="Palatino Linotype" w:hAnsi="Palatino Linotype" w:cs="Palatino Linotype"/>
          <w:b/>
          <w:sz w:val="22"/>
          <w:szCs w:val="22"/>
        </w:rPr>
        <w:t>b) Razones o motivos de inconformidad</w:t>
      </w:r>
      <w:r w:rsidRPr="00690C04">
        <w:rPr>
          <w:rFonts w:ascii="Palatino Linotype" w:eastAsia="Palatino Linotype" w:hAnsi="Palatino Linotype" w:cs="Palatino Linotype"/>
          <w:sz w:val="22"/>
          <w:szCs w:val="22"/>
        </w:rPr>
        <w:t xml:space="preserve">: </w:t>
      </w:r>
      <w:r w:rsidRPr="00690C04">
        <w:rPr>
          <w:rFonts w:ascii="Palatino Linotype" w:eastAsia="Palatino Linotype" w:hAnsi="Palatino Linotype" w:cs="Palatino Linotype"/>
          <w:i/>
          <w:sz w:val="22"/>
          <w:szCs w:val="22"/>
        </w:rPr>
        <w:t xml:space="preserve">“LA PRESENTE SOLICITUD DE INFORMACIÓN ES MUY CLARA AL INDICAR QUE SE SOLICITAN LOS COMPROBANTES Y/O PÓLIZAS DE </w:t>
      </w:r>
      <w:r w:rsidRPr="00690C04">
        <w:rPr>
          <w:rFonts w:ascii="Palatino Linotype" w:eastAsia="Palatino Linotype" w:hAnsi="Palatino Linotype" w:cs="Palatino Linotype"/>
          <w:b/>
          <w:i/>
          <w:sz w:val="22"/>
          <w:szCs w:val="22"/>
          <w:u w:val="single"/>
        </w:rPr>
        <w:t>PAGOS A PARTICULARES</w:t>
      </w:r>
      <w:r w:rsidRPr="00690C04">
        <w:rPr>
          <w:rFonts w:ascii="Palatino Linotype" w:eastAsia="Palatino Linotype" w:hAnsi="Palatino Linotype" w:cs="Palatino Linotype"/>
          <w:i/>
          <w:sz w:val="22"/>
          <w:szCs w:val="22"/>
        </w:rPr>
        <w:t xml:space="preserve"> Y EN SU RESPUESTA EL SUJETO OBLIGADO REMITE ÚNICAMENTE 4 PAGOS REALIZADOS A INSTITUCIONES PÚBLICAS, OPCULTANDO DE MANERA DOLOSA LAS EROGACIONES REALIZADAS EN FAVOR DE ENTES PARTICULARES. POR LO ANTERIOR SOLICITO SE REVOQUE LA RESPUESTA DEL SUJETO OBLIGADO Y SE ORDENE LA ENTREGA DE LA INFORMACIÓN SOLICITADA EN LOS TÉRMINOS EN QUE FUE </w:t>
      </w:r>
      <w:proofErr w:type="gramStart"/>
      <w:r w:rsidRPr="00690C04">
        <w:rPr>
          <w:rFonts w:ascii="Palatino Linotype" w:eastAsia="Palatino Linotype" w:hAnsi="Palatino Linotype" w:cs="Palatino Linotype"/>
          <w:i/>
          <w:sz w:val="22"/>
          <w:szCs w:val="22"/>
        </w:rPr>
        <w:t>REQUERIDA..</w:t>
      </w:r>
      <w:proofErr w:type="gramEnd"/>
      <w:r w:rsidRPr="00690C04">
        <w:rPr>
          <w:rFonts w:ascii="Palatino Linotype" w:eastAsia="Palatino Linotype" w:hAnsi="Palatino Linotype" w:cs="Palatino Linotype"/>
          <w:i/>
          <w:sz w:val="22"/>
          <w:szCs w:val="22"/>
        </w:rPr>
        <w:t>”</w:t>
      </w:r>
    </w:p>
    <w:p w14:paraId="4D6B6D3B" w14:textId="77777777" w:rsidR="00A25BD2" w:rsidRPr="00690C04" w:rsidRDefault="00A25BD2">
      <w:pPr>
        <w:spacing w:line="360" w:lineRule="auto"/>
        <w:jc w:val="both"/>
        <w:rPr>
          <w:rFonts w:ascii="Palatino Linotype" w:eastAsia="Palatino Linotype" w:hAnsi="Palatino Linotype" w:cs="Palatino Linotype"/>
          <w:b/>
          <w:sz w:val="22"/>
          <w:szCs w:val="22"/>
        </w:rPr>
      </w:pPr>
    </w:p>
    <w:p w14:paraId="2D4A50F2"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 xml:space="preserve">4. Turno. </w:t>
      </w:r>
      <w:r w:rsidRPr="00690C0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90C04">
        <w:rPr>
          <w:rFonts w:ascii="Palatino Linotype" w:eastAsia="Palatino Linotype" w:hAnsi="Palatino Linotype" w:cs="Palatino Linotype"/>
          <w:b/>
          <w:sz w:val="22"/>
          <w:szCs w:val="22"/>
        </w:rPr>
        <w:t xml:space="preserve">Guadalupe Ramírez Peña, </w:t>
      </w:r>
      <w:r w:rsidRPr="00690C04">
        <w:rPr>
          <w:rFonts w:ascii="Palatino Linotype" w:eastAsia="Palatino Linotype" w:hAnsi="Palatino Linotype" w:cs="Palatino Linotype"/>
          <w:sz w:val="22"/>
          <w:szCs w:val="22"/>
        </w:rPr>
        <w:t xml:space="preserve">a efecto de que analizara sobre su admisión o su </w:t>
      </w:r>
      <w:proofErr w:type="spellStart"/>
      <w:r w:rsidRPr="00690C04">
        <w:rPr>
          <w:rFonts w:ascii="Palatino Linotype" w:eastAsia="Palatino Linotype" w:hAnsi="Palatino Linotype" w:cs="Palatino Linotype"/>
          <w:sz w:val="22"/>
          <w:szCs w:val="22"/>
        </w:rPr>
        <w:t>desechamiento</w:t>
      </w:r>
      <w:proofErr w:type="spellEnd"/>
      <w:r w:rsidRPr="00690C04">
        <w:rPr>
          <w:rFonts w:ascii="Palatino Linotype" w:eastAsia="Palatino Linotype" w:hAnsi="Palatino Linotype" w:cs="Palatino Linotype"/>
          <w:sz w:val="22"/>
          <w:szCs w:val="22"/>
        </w:rPr>
        <w:t>.</w:t>
      </w:r>
    </w:p>
    <w:p w14:paraId="17101C99"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6025D466" w14:textId="77777777" w:rsidR="00A25BD2" w:rsidRPr="00690C04" w:rsidRDefault="006A61B1">
      <w:pPr>
        <w:spacing w:line="360" w:lineRule="auto"/>
        <w:jc w:val="both"/>
        <w:rPr>
          <w:rFonts w:ascii="Palatino Linotype" w:eastAsia="Palatino Linotype" w:hAnsi="Palatino Linotype" w:cs="Palatino Linotype"/>
          <w:sz w:val="22"/>
          <w:szCs w:val="22"/>
        </w:rPr>
      </w:pPr>
      <w:bookmarkStart w:id="4" w:name="_heading=h.2s8eyo1" w:colFirst="0" w:colLast="0"/>
      <w:bookmarkEnd w:id="4"/>
      <w:r w:rsidRPr="00690C04">
        <w:rPr>
          <w:rFonts w:ascii="Palatino Linotype" w:eastAsia="Palatino Linotype" w:hAnsi="Palatino Linotype" w:cs="Palatino Linotype"/>
          <w:b/>
          <w:sz w:val="22"/>
          <w:szCs w:val="22"/>
        </w:rPr>
        <w:t>5. Admisión del Recurso de revisión.</w:t>
      </w:r>
      <w:r w:rsidRPr="00690C04">
        <w:rPr>
          <w:rFonts w:ascii="Palatino Linotype" w:eastAsia="Palatino Linotype" w:hAnsi="Palatino Linotype" w:cs="Palatino Linotype"/>
          <w:sz w:val="22"/>
          <w:szCs w:val="22"/>
        </w:rPr>
        <w:t xml:space="preserve"> El</w:t>
      </w:r>
      <w:r w:rsidRPr="00690C04">
        <w:rPr>
          <w:rFonts w:ascii="Palatino Linotype" w:eastAsia="Palatino Linotype" w:hAnsi="Palatino Linotype" w:cs="Palatino Linotype"/>
          <w:b/>
          <w:sz w:val="22"/>
          <w:szCs w:val="22"/>
        </w:rPr>
        <w:t xml:space="preserve"> tres de junio de dos mil veinticinco, </w:t>
      </w:r>
      <w:r w:rsidRPr="00690C0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w:t>
      </w:r>
      <w:r w:rsidRPr="00690C04">
        <w:rPr>
          <w:rFonts w:ascii="Palatino Linotype" w:eastAsia="Palatino Linotype" w:hAnsi="Palatino Linotype" w:cs="Palatino Linotype"/>
          <w:sz w:val="22"/>
          <w:szCs w:val="22"/>
        </w:rPr>
        <w:lastRenderedPageBreak/>
        <w:t xml:space="preserve">que a su derecho resultara conveniente, ofrecieran pruebas, formularan alegatos y el </w:t>
      </w:r>
      <w:r w:rsidRPr="00690C04">
        <w:rPr>
          <w:rFonts w:ascii="Palatino Linotype" w:eastAsia="Palatino Linotype" w:hAnsi="Palatino Linotype" w:cs="Palatino Linotype"/>
          <w:b/>
          <w:sz w:val="22"/>
          <w:szCs w:val="22"/>
        </w:rPr>
        <w:t xml:space="preserve">Sujeto Obligado </w:t>
      </w:r>
      <w:r w:rsidRPr="00690C04">
        <w:rPr>
          <w:rFonts w:ascii="Palatino Linotype" w:eastAsia="Palatino Linotype" w:hAnsi="Palatino Linotype" w:cs="Palatino Linotype"/>
          <w:sz w:val="22"/>
          <w:szCs w:val="22"/>
        </w:rPr>
        <w:t>presentara su informe justificado.</w:t>
      </w:r>
    </w:p>
    <w:p w14:paraId="26523D73"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3C0C29F0" w14:textId="77777777" w:rsidR="00A25BD2" w:rsidRPr="00690C04" w:rsidRDefault="006A61B1">
      <w:pPr>
        <w:widowControl w:val="0"/>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 xml:space="preserve">6. Manifestaciones. </w:t>
      </w:r>
      <w:r w:rsidRPr="00690C04">
        <w:rPr>
          <w:rFonts w:ascii="Palatino Linotype" w:eastAsia="Palatino Linotype" w:hAnsi="Palatino Linotype" w:cs="Palatino Linotype"/>
          <w:sz w:val="22"/>
          <w:szCs w:val="22"/>
        </w:rPr>
        <w:t xml:space="preserve">Las partes fueron omisas en rendir manifestaciones. </w:t>
      </w:r>
    </w:p>
    <w:p w14:paraId="39B1A8C4"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6FA4331A" w14:textId="77777777" w:rsidR="00A25BD2" w:rsidRPr="00690C04" w:rsidRDefault="006A61B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 xml:space="preserve">7. Ampliación de plazo. </w:t>
      </w:r>
      <w:r w:rsidRPr="00690C04">
        <w:rPr>
          <w:rFonts w:ascii="Palatino Linotype" w:eastAsia="Palatino Linotype" w:hAnsi="Palatino Linotype" w:cs="Palatino Linotype"/>
          <w:sz w:val="22"/>
          <w:szCs w:val="22"/>
        </w:rPr>
        <w:t xml:space="preserve">El </w:t>
      </w:r>
      <w:r w:rsidRPr="00690C04">
        <w:rPr>
          <w:rFonts w:ascii="Palatino Linotype" w:eastAsia="Palatino Linotype" w:hAnsi="Palatino Linotype" w:cs="Palatino Linotype"/>
          <w:b/>
          <w:sz w:val="22"/>
          <w:szCs w:val="22"/>
        </w:rPr>
        <w:t>veintisiete de agosto de dos mil veinticinco</w:t>
      </w:r>
      <w:r w:rsidRPr="00690C04">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9496CBA"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60DCCDD8"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1D1D31B"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 </w:t>
      </w:r>
    </w:p>
    <w:p w14:paraId="399C5B0C"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E5DA397"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2959B598"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98449C"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798CFDF1"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F70EB2"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10FB9E28"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FEF0FB1"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3139C4C1" w14:textId="77777777" w:rsidR="00A25BD2" w:rsidRPr="00690C04" w:rsidRDefault="006A61B1">
      <w:pPr>
        <w:tabs>
          <w:tab w:val="left" w:pos="709"/>
        </w:tabs>
        <w:spacing w:line="360" w:lineRule="auto"/>
        <w:ind w:left="567" w:right="56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a)    Complejidad del asunto:</w:t>
      </w:r>
      <w:r w:rsidRPr="00690C0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03DF695" w14:textId="77777777" w:rsidR="00A25BD2" w:rsidRPr="00690C04" w:rsidRDefault="006A61B1">
      <w:pPr>
        <w:tabs>
          <w:tab w:val="left" w:pos="709"/>
        </w:tabs>
        <w:spacing w:line="360" w:lineRule="auto"/>
        <w:ind w:left="567" w:right="56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b)   Actividad Procesal del interesado</w:t>
      </w:r>
      <w:r w:rsidRPr="00690C04">
        <w:rPr>
          <w:rFonts w:ascii="Palatino Linotype" w:eastAsia="Palatino Linotype" w:hAnsi="Palatino Linotype" w:cs="Palatino Linotype"/>
          <w:sz w:val="22"/>
          <w:szCs w:val="22"/>
        </w:rPr>
        <w:t>: Acciones u omisiones del interesado.</w:t>
      </w:r>
    </w:p>
    <w:p w14:paraId="34297D22" w14:textId="77777777" w:rsidR="00A25BD2" w:rsidRPr="00690C04" w:rsidRDefault="006A61B1">
      <w:pPr>
        <w:tabs>
          <w:tab w:val="left" w:pos="851"/>
        </w:tabs>
        <w:spacing w:line="360" w:lineRule="auto"/>
        <w:ind w:left="567" w:right="56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c)  Conducta de la Autoridad:</w:t>
      </w:r>
      <w:r w:rsidRPr="00690C04">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6B2545F" w14:textId="77777777" w:rsidR="00A25BD2" w:rsidRPr="00690C04" w:rsidRDefault="006A61B1">
      <w:pPr>
        <w:tabs>
          <w:tab w:val="left" w:pos="851"/>
        </w:tabs>
        <w:spacing w:line="360" w:lineRule="auto"/>
        <w:ind w:left="567" w:right="56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d) La afectación generada en la situación jurídica de la persona involucrada en el proceso:</w:t>
      </w:r>
      <w:r w:rsidRPr="00690C04">
        <w:rPr>
          <w:rFonts w:ascii="Palatino Linotype" w:eastAsia="Palatino Linotype" w:hAnsi="Palatino Linotype" w:cs="Palatino Linotype"/>
          <w:sz w:val="22"/>
          <w:szCs w:val="22"/>
        </w:rPr>
        <w:t xml:space="preserve"> Violación a sus derechos humanos.</w:t>
      </w:r>
    </w:p>
    <w:p w14:paraId="725BA43D"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40B8AF4C"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29C942"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461AA9DD"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690C04">
        <w:rPr>
          <w:rFonts w:ascii="Palatino Linotype" w:eastAsia="Palatino Linotype" w:hAnsi="Palatino Linotype" w:cs="Palatino Linotype"/>
          <w:b/>
          <w:sz w:val="22"/>
          <w:szCs w:val="22"/>
        </w:rPr>
        <w:t xml:space="preserve">TÉRMINOS PROCESALES. PARA DETERMINAR SI UN FUNCIONARIO JUDICIAL ACTUÓ INDEBIDAMENTE POR </w:t>
      </w:r>
      <w:r w:rsidRPr="00690C04">
        <w:rPr>
          <w:rFonts w:ascii="Palatino Linotype" w:eastAsia="Palatino Linotype" w:hAnsi="Palatino Linotype" w:cs="Palatino Linotype"/>
          <w:b/>
          <w:sz w:val="22"/>
          <w:szCs w:val="22"/>
        </w:rPr>
        <w:lastRenderedPageBreak/>
        <w:t>NO RESPETARLOS SE DEBE ATENDER AL PRESUPUESTO QUE CONSIDERÓ EL LEGISLADOR AL FIJARLOS Y LAS CARACTERÍSTICAS DEL CASO.”</w:t>
      </w:r>
      <w:r w:rsidRPr="00690C04">
        <w:rPr>
          <w:rFonts w:ascii="Palatino Linotype" w:eastAsia="Palatino Linotype" w:hAnsi="Palatino Linotype" w:cs="Palatino Linotype"/>
          <w:sz w:val="22"/>
          <w:szCs w:val="22"/>
        </w:rPr>
        <w:t>, visible en la Gaceta del Seminario Judicial de la Federación con el registro digital 205635.</w:t>
      </w:r>
    </w:p>
    <w:p w14:paraId="07F368AB"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 </w:t>
      </w:r>
    </w:p>
    <w:p w14:paraId="20031262"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E4FE2A"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5BF74C73"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93CC4A6"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6B50EB38" w14:textId="77777777" w:rsidR="00A25BD2" w:rsidRPr="00690C04" w:rsidRDefault="006A61B1">
      <w:pPr>
        <w:spacing w:line="360" w:lineRule="auto"/>
        <w:ind w:left="567" w:right="56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690C04">
        <w:rPr>
          <w:rFonts w:ascii="Palatino Linotype" w:eastAsia="Palatino Linotype" w:hAnsi="Palatino Linotype" w:cs="Palatino Linotype"/>
          <w:sz w:val="22"/>
          <w:szCs w:val="22"/>
        </w:rPr>
        <w:t xml:space="preserve"> consultable en el Seminario Judicial de la Federación y su gaceta, con el registro digital 2002351.</w:t>
      </w:r>
    </w:p>
    <w:p w14:paraId="1A5CB829" w14:textId="77777777" w:rsidR="00A25BD2" w:rsidRPr="00690C04" w:rsidRDefault="006A61B1">
      <w:pPr>
        <w:spacing w:line="360" w:lineRule="auto"/>
        <w:ind w:left="567" w:right="56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690C04">
        <w:rPr>
          <w:rFonts w:ascii="Palatino Linotype" w:eastAsia="Palatino Linotype" w:hAnsi="Palatino Linotype" w:cs="Palatino Linotype"/>
          <w:sz w:val="22"/>
          <w:szCs w:val="22"/>
        </w:rPr>
        <w:t xml:space="preserve"> visible en el Seminario Judicial de la Federación y su gaceta, con el registro digital 2002350.</w:t>
      </w:r>
    </w:p>
    <w:p w14:paraId="7211B743" w14:textId="77777777" w:rsidR="00A25BD2" w:rsidRPr="00690C04" w:rsidRDefault="00A25BD2">
      <w:pPr>
        <w:spacing w:line="360" w:lineRule="auto"/>
        <w:ind w:left="567" w:right="560"/>
        <w:jc w:val="both"/>
        <w:rPr>
          <w:rFonts w:ascii="Palatino Linotype" w:eastAsia="Palatino Linotype" w:hAnsi="Palatino Linotype" w:cs="Palatino Linotype"/>
          <w:sz w:val="22"/>
          <w:szCs w:val="22"/>
        </w:rPr>
      </w:pPr>
    </w:p>
    <w:p w14:paraId="2CB07249" w14:textId="77777777" w:rsidR="00A25BD2" w:rsidRPr="00690C04" w:rsidRDefault="006A61B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lastRenderedPageBreak/>
        <w:t xml:space="preserve">Por ello, este organismo garante comprometido con la tutela de los derechos humanos confiados señala que este exceso del plazo legal para resolver el presente asunto resulta de carácter excepcional. </w:t>
      </w:r>
    </w:p>
    <w:p w14:paraId="081D388F" w14:textId="77777777" w:rsidR="00A25BD2" w:rsidRPr="00690C04" w:rsidRDefault="00A25BD2">
      <w:pPr>
        <w:widowControl w:val="0"/>
        <w:spacing w:line="360" w:lineRule="auto"/>
        <w:ind w:right="49"/>
        <w:jc w:val="both"/>
        <w:rPr>
          <w:rFonts w:ascii="Palatino Linotype" w:eastAsia="Palatino Linotype" w:hAnsi="Palatino Linotype" w:cs="Palatino Linotype"/>
          <w:sz w:val="22"/>
          <w:szCs w:val="22"/>
        </w:rPr>
      </w:pPr>
    </w:p>
    <w:p w14:paraId="640F77D9"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 xml:space="preserve">8. Cierre de instrucción. </w:t>
      </w:r>
      <w:r w:rsidRPr="00690C0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690C04">
        <w:rPr>
          <w:rFonts w:ascii="Palatino Linotype" w:eastAsia="Palatino Linotype" w:hAnsi="Palatino Linotype" w:cs="Palatino Linotype"/>
          <w:b/>
          <w:sz w:val="22"/>
          <w:szCs w:val="22"/>
        </w:rPr>
        <w:t>veintisiete de agosto de dos mil veinticinco,</w:t>
      </w:r>
      <w:r w:rsidRPr="00690C0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075BEFC"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002CACC2"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CEC2E78"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1BBFA0F1" w14:textId="77777777" w:rsidR="00A25BD2" w:rsidRPr="00690C04" w:rsidRDefault="006A61B1">
      <w:pPr>
        <w:widowControl w:val="0"/>
        <w:spacing w:line="360" w:lineRule="auto"/>
        <w:jc w:val="center"/>
        <w:rPr>
          <w:rFonts w:ascii="Palatino Linotype" w:eastAsia="Palatino Linotype" w:hAnsi="Palatino Linotype" w:cs="Palatino Linotype"/>
          <w:b/>
          <w:sz w:val="22"/>
          <w:szCs w:val="22"/>
        </w:rPr>
      </w:pPr>
      <w:r w:rsidRPr="00690C04">
        <w:rPr>
          <w:rFonts w:ascii="Palatino Linotype" w:eastAsia="Palatino Linotype" w:hAnsi="Palatino Linotype" w:cs="Palatino Linotype"/>
          <w:b/>
          <w:sz w:val="22"/>
          <w:szCs w:val="22"/>
        </w:rPr>
        <w:t>II. C O N S I D E R A N D O S</w:t>
      </w:r>
    </w:p>
    <w:p w14:paraId="218DFC45" w14:textId="77777777" w:rsidR="00A25BD2" w:rsidRPr="00690C04" w:rsidRDefault="00A25BD2">
      <w:pPr>
        <w:widowControl w:val="0"/>
        <w:spacing w:line="360" w:lineRule="auto"/>
        <w:jc w:val="center"/>
        <w:rPr>
          <w:rFonts w:ascii="Palatino Linotype" w:eastAsia="Palatino Linotype" w:hAnsi="Palatino Linotype" w:cs="Palatino Linotype"/>
          <w:b/>
          <w:sz w:val="22"/>
          <w:szCs w:val="22"/>
        </w:rPr>
      </w:pPr>
    </w:p>
    <w:p w14:paraId="5F1397D0"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 xml:space="preserve">Primero. Competencia. </w:t>
      </w:r>
      <w:r w:rsidRPr="00690C04">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DB401F9"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4DBC6727" w14:textId="77777777" w:rsidR="00A25BD2" w:rsidRPr="00690C04" w:rsidRDefault="006A61B1">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690C04">
        <w:rPr>
          <w:rFonts w:ascii="Palatino Linotype" w:eastAsia="Palatino Linotype" w:hAnsi="Palatino Linotype" w:cs="Palatino Linotype"/>
          <w:b/>
          <w:sz w:val="22"/>
          <w:szCs w:val="22"/>
        </w:rPr>
        <w:t>Segundo. Oportunidad y Procedibilidad del Recurso de Revisión</w:t>
      </w:r>
      <w:r w:rsidRPr="00690C0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FCE17C3"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30727074"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90C04">
        <w:rPr>
          <w:rFonts w:ascii="Palatino Linotype" w:eastAsia="Palatino Linotype" w:hAnsi="Palatino Linotype" w:cs="Palatino Linotype"/>
          <w:b/>
          <w:sz w:val="22"/>
          <w:szCs w:val="22"/>
        </w:rPr>
        <w:t xml:space="preserve">Sujeto Obligado </w:t>
      </w:r>
      <w:r w:rsidRPr="00690C04">
        <w:rPr>
          <w:rFonts w:ascii="Palatino Linotype" w:eastAsia="Palatino Linotype" w:hAnsi="Palatino Linotype" w:cs="Palatino Linotype"/>
          <w:sz w:val="22"/>
          <w:szCs w:val="22"/>
        </w:rPr>
        <w:t xml:space="preserve">remitió la respuesta a la solicitud de información el </w:t>
      </w:r>
      <w:r w:rsidRPr="00690C04">
        <w:rPr>
          <w:rFonts w:ascii="Palatino Linotype" w:eastAsia="Palatino Linotype" w:hAnsi="Palatino Linotype" w:cs="Palatino Linotype"/>
          <w:b/>
          <w:sz w:val="22"/>
          <w:szCs w:val="22"/>
        </w:rPr>
        <w:t xml:space="preserve">veintiocho de mayo dos mil veinticinco, </w:t>
      </w:r>
      <w:r w:rsidRPr="00690C04">
        <w:rPr>
          <w:rFonts w:ascii="Palatino Linotype" w:eastAsia="Palatino Linotype" w:hAnsi="Palatino Linotype" w:cs="Palatino Linotype"/>
          <w:sz w:val="22"/>
          <w:szCs w:val="22"/>
        </w:rPr>
        <w:t xml:space="preserve">mientras que el recurso de revisión interpuesto por </w:t>
      </w:r>
      <w:r w:rsidRPr="00690C04">
        <w:rPr>
          <w:rFonts w:ascii="Palatino Linotype" w:eastAsia="Palatino Linotype" w:hAnsi="Palatino Linotype" w:cs="Palatino Linotype"/>
          <w:b/>
          <w:sz w:val="22"/>
          <w:szCs w:val="22"/>
        </w:rPr>
        <w:t>la parte</w:t>
      </w:r>
      <w:r w:rsidRPr="00690C04">
        <w:rPr>
          <w:rFonts w:ascii="Palatino Linotype" w:eastAsia="Palatino Linotype" w:hAnsi="Palatino Linotype" w:cs="Palatino Linotype"/>
          <w:sz w:val="22"/>
          <w:szCs w:val="22"/>
        </w:rPr>
        <w:t xml:space="preserve"> </w:t>
      </w:r>
      <w:r w:rsidRPr="00690C04">
        <w:rPr>
          <w:rFonts w:ascii="Palatino Linotype" w:eastAsia="Palatino Linotype" w:hAnsi="Palatino Linotype" w:cs="Palatino Linotype"/>
          <w:b/>
          <w:sz w:val="22"/>
          <w:szCs w:val="22"/>
        </w:rPr>
        <w:t>Recurrente</w:t>
      </w:r>
      <w:r w:rsidRPr="00690C04">
        <w:rPr>
          <w:rFonts w:ascii="Palatino Linotype" w:eastAsia="Palatino Linotype" w:hAnsi="Palatino Linotype" w:cs="Palatino Linotype"/>
          <w:sz w:val="22"/>
          <w:szCs w:val="22"/>
        </w:rPr>
        <w:t xml:space="preserve">, se tuvo por presentado el día </w:t>
      </w:r>
      <w:r w:rsidRPr="00690C04">
        <w:rPr>
          <w:rFonts w:ascii="Palatino Linotype" w:eastAsia="Palatino Linotype" w:hAnsi="Palatino Linotype" w:cs="Palatino Linotype"/>
          <w:b/>
          <w:sz w:val="22"/>
          <w:szCs w:val="22"/>
        </w:rPr>
        <w:t xml:space="preserve">veintinueve de mayo de dos mil veinticinco, </w:t>
      </w:r>
      <w:r w:rsidRPr="00690C04">
        <w:rPr>
          <w:rFonts w:ascii="Palatino Linotype" w:eastAsia="Palatino Linotype" w:hAnsi="Palatino Linotype" w:cs="Palatino Linotype"/>
          <w:sz w:val="22"/>
          <w:szCs w:val="22"/>
        </w:rPr>
        <w:t xml:space="preserve">esto es, al </w:t>
      </w:r>
      <w:r w:rsidRPr="00690C04">
        <w:rPr>
          <w:rFonts w:ascii="Palatino Linotype" w:eastAsia="Palatino Linotype" w:hAnsi="Palatino Linotype" w:cs="Palatino Linotype"/>
          <w:b/>
          <w:sz w:val="22"/>
          <w:szCs w:val="22"/>
        </w:rPr>
        <w:t>siguiente día hábil en el que tuvo conocimiento de la respuesta impugnada.</w:t>
      </w:r>
      <w:r w:rsidRPr="00690C04">
        <w:rPr>
          <w:rFonts w:ascii="Palatino Linotype" w:eastAsia="Palatino Linotype" w:hAnsi="Palatino Linotype" w:cs="Palatino Linotype"/>
          <w:sz w:val="22"/>
          <w:szCs w:val="22"/>
        </w:rPr>
        <w:t xml:space="preserve"> </w:t>
      </w:r>
    </w:p>
    <w:p w14:paraId="3150D919"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05A56E73" w14:textId="77777777" w:rsidR="00A25BD2" w:rsidRPr="00690C04" w:rsidRDefault="006A61B1">
      <w:pPr>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690C04">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68AE780"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09DFFC69" w14:textId="77777777" w:rsidR="00A25BD2" w:rsidRPr="00690C04" w:rsidRDefault="006A61B1">
      <w:pPr>
        <w:spacing w:line="360" w:lineRule="auto"/>
        <w:ind w:right="142"/>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690C04">
        <w:rPr>
          <w:rFonts w:ascii="Palatino Linotype" w:eastAsia="Palatino Linotype" w:hAnsi="Palatino Linotype" w:cs="Palatino Linotype"/>
          <w:b/>
          <w:sz w:val="22"/>
          <w:szCs w:val="22"/>
        </w:rPr>
        <w:t>la parte</w:t>
      </w:r>
      <w:r w:rsidRPr="00690C04">
        <w:rPr>
          <w:rFonts w:ascii="Palatino Linotype" w:eastAsia="Palatino Linotype" w:hAnsi="Palatino Linotype" w:cs="Palatino Linotype"/>
          <w:sz w:val="22"/>
          <w:szCs w:val="22"/>
        </w:rPr>
        <w:t xml:space="preserve"> </w:t>
      </w:r>
      <w:r w:rsidRPr="00690C04">
        <w:rPr>
          <w:rFonts w:ascii="Palatino Linotype" w:eastAsia="Palatino Linotype" w:hAnsi="Palatino Linotype" w:cs="Palatino Linotype"/>
          <w:b/>
          <w:sz w:val="22"/>
          <w:szCs w:val="22"/>
        </w:rPr>
        <w:t>Recurrente</w:t>
      </w:r>
      <w:r w:rsidRPr="00690C04">
        <w:rPr>
          <w:rFonts w:ascii="Palatino Linotype" w:eastAsia="Palatino Linotype" w:hAnsi="Palatino Linotype" w:cs="Palatino Linotype"/>
          <w:sz w:val="22"/>
          <w:szCs w:val="22"/>
        </w:rPr>
        <w:t xml:space="preserve"> </w:t>
      </w:r>
      <w:r w:rsidRPr="00690C04">
        <w:rPr>
          <w:rFonts w:ascii="Palatino Linotype" w:eastAsia="Palatino Linotype" w:hAnsi="Palatino Linotype" w:cs="Palatino Linotype"/>
          <w:b/>
          <w:sz w:val="22"/>
          <w:szCs w:val="22"/>
          <w:u w:val="single"/>
        </w:rPr>
        <w:t>fue omisa en proporcionar nombre o  seudónimo</w:t>
      </w:r>
      <w:r w:rsidRPr="00690C04">
        <w:rPr>
          <w:rFonts w:ascii="Palatino Linotype" w:eastAsia="Palatino Linotype" w:hAnsi="Palatino Linotype" w:cs="Palatino Linotype"/>
          <w:sz w:val="22"/>
          <w:szCs w:val="22"/>
        </w:rPr>
        <w:t xml:space="preserve"> con el que desea que se le identifique</w:t>
      </w:r>
      <w:r w:rsidRPr="00690C04">
        <w:rPr>
          <w:rFonts w:ascii="Palatino Linotype" w:eastAsia="Palatino Linotype" w:hAnsi="Palatino Linotype" w:cs="Palatino Linotype"/>
          <w:b/>
          <w:sz w:val="22"/>
          <w:szCs w:val="22"/>
        </w:rPr>
        <w:t>,</w:t>
      </w:r>
      <w:r w:rsidRPr="00690C04">
        <w:rPr>
          <w:rFonts w:ascii="Palatino Linotype" w:eastAsia="Palatino Linotype" w:hAnsi="Palatino Linotype" w:cs="Palatino Linotype"/>
          <w:sz w:val="22"/>
          <w:szCs w:val="22"/>
        </w:rPr>
        <w:t xml:space="preserve"> como se advierte en el detalle de seguimiento del SAIMEX, no obstante, el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0E2F2A0" w14:textId="77777777" w:rsidR="00A25BD2" w:rsidRPr="00690C04" w:rsidRDefault="00A25BD2">
      <w:pPr>
        <w:spacing w:line="360" w:lineRule="auto"/>
        <w:ind w:right="142"/>
        <w:jc w:val="both"/>
        <w:rPr>
          <w:rFonts w:ascii="Palatino Linotype" w:eastAsia="Palatino Linotype" w:hAnsi="Palatino Linotype" w:cs="Palatino Linotype"/>
          <w:sz w:val="22"/>
          <w:szCs w:val="22"/>
        </w:rPr>
      </w:pPr>
    </w:p>
    <w:p w14:paraId="4D82E3F4" w14:textId="77777777" w:rsidR="00A25BD2" w:rsidRPr="00690C04" w:rsidRDefault="006A61B1">
      <w:pPr>
        <w:spacing w:line="276" w:lineRule="auto"/>
        <w:ind w:left="851" w:right="902"/>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r w:rsidRPr="00690C04">
        <w:rPr>
          <w:rFonts w:ascii="Palatino Linotype" w:eastAsia="Palatino Linotype" w:hAnsi="Palatino Linotype" w:cs="Palatino Linotype"/>
          <w:b/>
          <w:i/>
          <w:sz w:val="22"/>
          <w:szCs w:val="22"/>
        </w:rPr>
        <w:t xml:space="preserve">Las solicitudes </w:t>
      </w:r>
      <w:r w:rsidRPr="00690C04">
        <w:rPr>
          <w:rFonts w:ascii="Palatino Linotype" w:eastAsia="Palatino Linotype" w:hAnsi="Palatino Linotype" w:cs="Palatino Linotype"/>
          <w:i/>
          <w:sz w:val="22"/>
          <w:szCs w:val="22"/>
        </w:rPr>
        <w:t xml:space="preserve">anónimas, con </w:t>
      </w:r>
      <w:r w:rsidRPr="00690C04">
        <w:rPr>
          <w:rFonts w:ascii="Palatino Linotype" w:eastAsia="Palatino Linotype" w:hAnsi="Palatino Linotype" w:cs="Palatino Linotype"/>
          <w:b/>
          <w:i/>
          <w:sz w:val="22"/>
          <w:szCs w:val="22"/>
        </w:rPr>
        <w:t>nombre incompleto o seudónimo</w:t>
      </w:r>
      <w:r w:rsidRPr="00690C04">
        <w:rPr>
          <w:rFonts w:ascii="Palatino Linotype" w:eastAsia="Palatino Linotype" w:hAnsi="Palatino Linotype" w:cs="Palatino Linotype"/>
          <w:i/>
          <w:sz w:val="22"/>
          <w:szCs w:val="22"/>
        </w:rPr>
        <w:t xml:space="preserve"> </w:t>
      </w:r>
      <w:r w:rsidRPr="00690C04">
        <w:rPr>
          <w:rFonts w:ascii="Palatino Linotype" w:eastAsia="Palatino Linotype" w:hAnsi="Palatino Linotype" w:cs="Palatino Linotype"/>
          <w:b/>
          <w:i/>
          <w:sz w:val="22"/>
          <w:szCs w:val="22"/>
        </w:rPr>
        <w:t xml:space="preserve">serán procedentes para su trámite por parte del sujeto obligado ante quien se </w:t>
      </w:r>
      <w:r w:rsidRPr="00690C04">
        <w:rPr>
          <w:rFonts w:ascii="Palatino Linotype" w:eastAsia="Palatino Linotype" w:hAnsi="Palatino Linotype" w:cs="Palatino Linotype"/>
          <w:b/>
          <w:i/>
          <w:sz w:val="22"/>
          <w:szCs w:val="22"/>
        </w:rPr>
        <w:lastRenderedPageBreak/>
        <w:t>presente</w:t>
      </w:r>
      <w:r w:rsidRPr="00690C04">
        <w:rPr>
          <w:rFonts w:ascii="Palatino Linotype" w:eastAsia="Palatino Linotype" w:hAnsi="Palatino Linotype" w:cs="Palatino Linotype"/>
          <w:i/>
          <w:sz w:val="22"/>
          <w:szCs w:val="22"/>
        </w:rPr>
        <w:t>. No podrá requerirse información adicional con motivo del nombre proporcionado por el solicitante."</w:t>
      </w:r>
    </w:p>
    <w:p w14:paraId="316FDCFC" w14:textId="77777777" w:rsidR="00A25BD2" w:rsidRPr="00690C04" w:rsidRDefault="00A25BD2">
      <w:pPr>
        <w:spacing w:line="276" w:lineRule="auto"/>
        <w:ind w:left="851" w:right="902"/>
        <w:jc w:val="both"/>
        <w:rPr>
          <w:rFonts w:ascii="Palatino Linotype" w:eastAsia="Palatino Linotype" w:hAnsi="Palatino Linotype" w:cs="Palatino Linotype"/>
          <w:i/>
          <w:sz w:val="22"/>
          <w:szCs w:val="22"/>
        </w:rPr>
      </w:pPr>
    </w:p>
    <w:p w14:paraId="2B7D851E" w14:textId="77777777" w:rsidR="00A25BD2" w:rsidRPr="00690C04" w:rsidRDefault="006A61B1">
      <w:pPr>
        <w:tabs>
          <w:tab w:val="left" w:pos="7938"/>
        </w:tabs>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9689403" w14:textId="77777777" w:rsidR="00A25BD2" w:rsidRPr="00690C04" w:rsidRDefault="00A25BD2">
      <w:pPr>
        <w:tabs>
          <w:tab w:val="left" w:pos="7938"/>
        </w:tabs>
        <w:spacing w:line="360" w:lineRule="auto"/>
        <w:jc w:val="both"/>
        <w:rPr>
          <w:rFonts w:ascii="Palatino Linotype" w:eastAsia="Palatino Linotype" w:hAnsi="Palatino Linotype" w:cs="Palatino Linotype"/>
          <w:sz w:val="22"/>
          <w:szCs w:val="22"/>
        </w:rPr>
      </w:pPr>
    </w:p>
    <w:p w14:paraId="0C02EED7"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Finalmente, se advierte que resulta procedente la interposición del recurso, según lo manifestado por </w:t>
      </w:r>
      <w:r w:rsidRPr="00690C04">
        <w:rPr>
          <w:rFonts w:ascii="Palatino Linotype" w:eastAsia="Palatino Linotype" w:hAnsi="Palatino Linotype" w:cs="Palatino Linotype"/>
          <w:b/>
          <w:sz w:val="22"/>
          <w:szCs w:val="22"/>
        </w:rPr>
        <w:t>la parte</w:t>
      </w:r>
      <w:r w:rsidRPr="00690C04">
        <w:rPr>
          <w:rFonts w:ascii="Palatino Linotype" w:eastAsia="Palatino Linotype" w:hAnsi="Palatino Linotype" w:cs="Palatino Linotype"/>
          <w:sz w:val="22"/>
          <w:szCs w:val="22"/>
        </w:rPr>
        <w:t xml:space="preserve"> </w:t>
      </w:r>
      <w:r w:rsidRPr="00690C04">
        <w:rPr>
          <w:rFonts w:ascii="Palatino Linotype" w:eastAsia="Palatino Linotype" w:hAnsi="Palatino Linotype" w:cs="Palatino Linotype"/>
          <w:b/>
          <w:sz w:val="22"/>
          <w:szCs w:val="22"/>
        </w:rPr>
        <w:t>Recurrente</w:t>
      </w:r>
      <w:r w:rsidRPr="00690C04">
        <w:rPr>
          <w:rFonts w:ascii="Palatino Linotype" w:eastAsia="Palatino Linotype" w:hAnsi="Palatino Linotype" w:cs="Palatino Linotype"/>
          <w:sz w:val="22"/>
          <w:szCs w:val="22"/>
        </w:rPr>
        <w:t xml:space="preserve"> en sus motivos de inconformidad, de acuerdo al artículo 179, fracción VI del ordenamiento legal citado, que a la letra dice: </w:t>
      </w:r>
    </w:p>
    <w:p w14:paraId="679166F9"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5028597D" w14:textId="77777777" w:rsidR="00A25BD2" w:rsidRPr="00690C04" w:rsidRDefault="006A61B1">
      <w:pPr>
        <w:ind w:left="567" w:right="902"/>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r w:rsidRPr="00690C04">
        <w:rPr>
          <w:rFonts w:ascii="Palatino Linotype" w:eastAsia="Palatino Linotype" w:hAnsi="Palatino Linotype" w:cs="Palatino Linotype"/>
          <w:b/>
          <w:i/>
          <w:sz w:val="22"/>
          <w:szCs w:val="22"/>
        </w:rPr>
        <w:t>Artículo 179.</w:t>
      </w:r>
      <w:r w:rsidRPr="00690C0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6FDF3FE" w14:textId="77777777" w:rsidR="00A25BD2" w:rsidRPr="00690C04" w:rsidRDefault="006A61B1">
      <w:pPr>
        <w:ind w:left="567" w:right="902"/>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p>
    <w:p w14:paraId="47861A1C" w14:textId="77777777" w:rsidR="00A25BD2" w:rsidRPr="00690C04" w:rsidRDefault="006A61B1">
      <w:pPr>
        <w:spacing w:line="360" w:lineRule="auto"/>
        <w:ind w:left="567" w:right="902"/>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VI. La entrega de información que no corresponda con lo solicitado;</w:t>
      </w:r>
    </w:p>
    <w:p w14:paraId="7EA47EE8" w14:textId="77777777" w:rsidR="00A25BD2" w:rsidRPr="00690C04" w:rsidRDefault="006A61B1">
      <w:pPr>
        <w:spacing w:line="360" w:lineRule="auto"/>
        <w:ind w:left="567" w:right="902"/>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p>
    <w:p w14:paraId="07A58937" w14:textId="77777777" w:rsidR="00A25BD2" w:rsidRPr="00690C04" w:rsidRDefault="00A25BD2">
      <w:pPr>
        <w:spacing w:line="360" w:lineRule="auto"/>
        <w:ind w:left="567" w:right="902"/>
        <w:jc w:val="both"/>
        <w:rPr>
          <w:rFonts w:ascii="Palatino Linotype" w:eastAsia="Palatino Linotype" w:hAnsi="Palatino Linotype" w:cs="Palatino Linotype"/>
          <w:i/>
          <w:sz w:val="22"/>
          <w:szCs w:val="22"/>
        </w:rPr>
      </w:pPr>
    </w:p>
    <w:p w14:paraId="748DAB10"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Tercero. Materia de Revisión</w:t>
      </w:r>
      <w:r w:rsidRPr="00690C04">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VI del artículo 179 de la Ley de Transparencia y Acceso a la Información Pública del Estado de México y Municipios.  </w:t>
      </w:r>
    </w:p>
    <w:p w14:paraId="79E88BD5"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69495081"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 xml:space="preserve">Cuarto. Estudio de fondo del asunto. </w:t>
      </w:r>
      <w:r w:rsidRPr="00690C04">
        <w:rPr>
          <w:rFonts w:ascii="Palatino Linotype" w:eastAsia="Palatino Linotype" w:hAnsi="Palatino Linotype" w:cs="Palatino Linotype"/>
          <w:sz w:val="22"/>
          <w:szCs w:val="22"/>
        </w:rPr>
        <w:t>Es conveniente analizar si la respuesta del Sujeto Obligado</w:t>
      </w:r>
      <w:r w:rsidRPr="00690C04">
        <w:rPr>
          <w:rFonts w:ascii="Palatino Linotype" w:eastAsia="Palatino Linotype" w:hAnsi="Palatino Linotype" w:cs="Palatino Linotype"/>
          <w:b/>
          <w:sz w:val="22"/>
          <w:szCs w:val="22"/>
        </w:rPr>
        <w:t xml:space="preserve"> </w:t>
      </w:r>
      <w:r w:rsidRPr="00690C04">
        <w:rPr>
          <w:rFonts w:ascii="Palatino Linotype" w:eastAsia="Palatino Linotype" w:hAnsi="Palatino Linotype" w:cs="Palatino Linotype"/>
          <w:sz w:val="22"/>
          <w:szCs w:val="22"/>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w:t>
      </w:r>
      <w:r w:rsidRPr="00690C04">
        <w:rPr>
          <w:rFonts w:ascii="Palatino Linotype" w:eastAsia="Palatino Linotype" w:hAnsi="Palatino Linotype" w:cs="Palatino Linotype"/>
          <w:sz w:val="22"/>
          <w:szCs w:val="22"/>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CA254E2"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3A9F2AC8" w14:textId="77777777" w:rsidR="00A25BD2" w:rsidRPr="00690C04" w:rsidRDefault="006A61B1">
      <w:pPr>
        <w:tabs>
          <w:tab w:val="left" w:pos="851"/>
        </w:tabs>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r w:rsidRPr="00690C04">
        <w:rPr>
          <w:rFonts w:ascii="Palatino Linotype" w:eastAsia="Palatino Linotype" w:hAnsi="Palatino Linotype" w:cs="Palatino Linotype"/>
          <w:b/>
          <w:i/>
          <w:sz w:val="22"/>
          <w:szCs w:val="22"/>
        </w:rPr>
        <w:t>Artículo 4</w:t>
      </w:r>
      <w:r w:rsidRPr="00690C0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7391BD8" w14:textId="77777777" w:rsidR="00A25BD2" w:rsidRPr="00690C04" w:rsidRDefault="006A61B1">
      <w:pPr>
        <w:tabs>
          <w:tab w:val="left" w:pos="851"/>
        </w:tabs>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90C0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4EDD123" w14:textId="77777777" w:rsidR="00A25BD2" w:rsidRPr="00690C04" w:rsidRDefault="006A61B1">
      <w:pPr>
        <w:tabs>
          <w:tab w:val="left" w:pos="851"/>
        </w:tabs>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90C04">
        <w:rPr>
          <w:rFonts w:ascii="Palatino Linotype" w:eastAsia="Palatino Linotype" w:hAnsi="Palatino Linotype" w:cs="Palatino Linotype"/>
          <w:i/>
          <w:sz w:val="22"/>
          <w:szCs w:val="22"/>
        </w:rPr>
        <w:t>.”</w:t>
      </w:r>
    </w:p>
    <w:p w14:paraId="227CF0E0"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2E318DF4"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E1F958B" w14:textId="77777777" w:rsidR="00A25BD2" w:rsidRPr="00690C04" w:rsidRDefault="00A25BD2">
      <w:pPr>
        <w:spacing w:line="276" w:lineRule="auto"/>
        <w:ind w:left="567" w:right="616"/>
        <w:jc w:val="both"/>
        <w:rPr>
          <w:rFonts w:ascii="Palatino Linotype" w:eastAsia="Palatino Linotype" w:hAnsi="Palatino Linotype" w:cs="Palatino Linotype"/>
          <w:sz w:val="22"/>
          <w:szCs w:val="22"/>
        </w:rPr>
      </w:pPr>
    </w:p>
    <w:p w14:paraId="5CB8CF69" w14:textId="77777777" w:rsidR="00A25BD2" w:rsidRPr="00690C04" w:rsidRDefault="006A61B1">
      <w:pPr>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lastRenderedPageBreak/>
        <w:t>“</w:t>
      </w:r>
      <w:r w:rsidRPr="00690C04">
        <w:rPr>
          <w:rFonts w:ascii="Palatino Linotype" w:eastAsia="Palatino Linotype" w:hAnsi="Palatino Linotype" w:cs="Palatino Linotype"/>
          <w:b/>
          <w:i/>
          <w:sz w:val="22"/>
          <w:szCs w:val="22"/>
        </w:rPr>
        <w:t>Artículo 12.-</w:t>
      </w:r>
      <w:r w:rsidRPr="00690C0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F9C7C9" w14:textId="77777777" w:rsidR="00A25BD2" w:rsidRPr="00690C04" w:rsidRDefault="00A25BD2">
      <w:pPr>
        <w:spacing w:line="276" w:lineRule="auto"/>
        <w:ind w:left="567" w:right="616"/>
        <w:jc w:val="both"/>
        <w:rPr>
          <w:rFonts w:ascii="Palatino Linotype" w:eastAsia="Palatino Linotype" w:hAnsi="Palatino Linotype" w:cs="Palatino Linotype"/>
          <w:i/>
          <w:sz w:val="22"/>
          <w:szCs w:val="22"/>
        </w:rPr>
      </w:pPr>
    </w:p>
    <w:p w14:paraId="61723F49" w14:textId="77777777" w:rsidR="00A25BD2" w:rsidRPr="00690C04" w:rsidRDefault="006A61B1">
      <w:pPr>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90C04">
        <w:rPr>
          <w:rFonts w:ascii="Palatino Linotype" w:eastAsia="Palatino Linotype" w:hAnsi="Palatino Linotype" w:cs="Palatino Linotype"/>
          <w:i/>
          <w:sz w:val="22"/>
          <w:szCs w:val="22"/>
        </w:rPr>
        <w:t xml:space="preserve">. </w:t>
      </w:r>
      <w:r w:rsidRPr="00690C0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690C04">
        <w:rPr>
          <w:rFonts w:ascii="Palatino Linotype" w:eastAsia="Palatino Linotype" w:hAnsi="Palatino Linotype" w:cs="Palatino Linotype"/>
          <w:i/>
          <w:sz w:val="22"/>
          <w:szCs w:val="22"/>
        </w:rPr>
        <w:t xml:space="preserve">.” </w:t>
      </w:r>
    </w:p>
    <w:p w14:paraId="76F2C87B" w14:textId="77777777" w:rsidR="00A25BD2" w:rsidRPr="00690C04" w:rsidRDefault="00A25BD2">
      <w:pPr>
        <w:spacing w:line="276" w:lineRule="auto"/>
        <w:ind w:left="567" w:right="616"/>
        <w:jc w:val="both"/>
        <w:rPr>
          <w:rFonts w:ascii="Palatino Linotype" w:eastAsia="Palatino Linotype" w:hAnsi="Palatino Linotype" w:cs="Palatino Linotype"/>
          <w:i/>
          <w:sz w:val="22"/>
          <w:szCs w:val="22"/>
        </w:rPr>
      </w:pPr>
    </w:p>
    <w:p w14:paraId="5B020547" w14:textId="77777777" w:rsidR="00A25BD2" w:rsidRPr="00690C04" w:rsidRDefault="006A61B1">
      <w:pPr>
        <w:spacing w:line="360" w:lineRule="auto"/>
        <w:ind w:right="-93"/>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7915286" w14:textId="77777777" w:rsidR="00A25BD2" w:rsidRPr="00690C04" w:rsidRDefault="00A25BD2">
      <w:pPr>
        <w:spacing w:line="360" w:lineRule="auto"/>
        <w:ind w:right="-93"/>
        <w:jc w:val="both"/>
        <w:rPr>
          <w:rFonts w:ascii="Palatino Linotype" w:eastAsia="Palatino Linotype" w:hAnsi="Palatino Linotype" w:cs="Palatino Linotype"/>
          <w:sz w:val="22"/>
          <w:szCs w:val="22"/>
        </w:rPr>
      </w:pPr>
    </w:p>
    <w:p w14:paraId="1D17E7CD" w14:textId="77777777" w:rsidR="00A25BD2" w:rsidRPr="00690C04" w:rsidRDefault="006A61B1">
      <w:pPr>
        <w:spacing w:line="360" w:lineRule="auto"/>
        <w:jc w:val="both"/>
        <w:rPr>
          <w:rFonts w:ascii="Palatino Linotype" w:eastAsia="Palatino Linotype" w:hAnsi="Palatino Linotype" w:cs="Palatino Linotype"/>
          <w:b/>
          <w:sz w:val="22"/>
          <w:szCs w:val="22"/>
        </w:rPr>
      </w:pPr>
      <w:r w:rsidRPr="00690C04">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90C04">
        <w:rPr>
          <w:rFonts w:ascii="Palatino Linotype" w:eastAsia="Palatino Linotype" w:hAnsi="Palatino Linotype" w:cs="Palatino Linotype"/>
          <w:b/>
          <w:sz w:val="22"/>
          <w:szCs w:val="22"/>
        </w:rPr>
        <w:t xml:space="preserve"> </w:t>
      </w:r>
    </w:p>
    <w:p w14:paraId="39246689" w14:textId="77777777" w:rsidR="00A25BD2" w:rsidRPr="00690C04" w:rsidRDefault="00A25BD2">
      <w:pPr>
        <w:spacing w:line="276" w:lineRule="auto"/>
        <w:ind w:left="851" w:right="850"/>
        <w:jc w:val="both"/>
        <w:rPr>
          <w:rFonts w:ascii="Palatino Linotype" w:eastAsia="Palatino Linotype" w:hAnsi="Palatino Linotype" w:cs="Palatino Linotype"/>
          <w:sz w:val="22"/>
          <w:szCs w:val="22"/>
        </w:rPr>
      </w:pPr>
    </w:p>
    <w:p w14:paraId="447E5F0D" w14:textId="77777777" w:rsidR="00A25BD2" w:rsidRPr="00690C04" w:rsidRDefault="006A61B1">
      <w:pPr>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r w:rsidRPr="00690C04">
        <w:rPr>
          <w:rFonts w:ascii="Palatino Linotype" w:eastAsia="Palatino Linotype" w:hAnsi="Palatino Linotype" w:cs="Palatino Linotype"/>
          <w:b/>
          <w:i/>
          <w:sz w:val="22"/>
          <w:szCs w:val="22"/>
        </w:rPr>
        <w:t>No existe obligación de elaborar documentos ad hoc para atender las solicitudes de acceso a la información.</w:t>
      </w:r>
      <w:r w:rsidRPr="00690C0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690C04">
        <w:rPr>
          <w:rFonts w:ascii="Palatino Linotype" w:eastAsia="Palatino Linotype" w:hAnsi="Palatino Linotype" w:cs="Palatino Linotype"/>
          <w:i/>
          <w:sz w:val="22"/>
          <w:szCs w:val="22"/>
        </w:rPr>
        <w:lastRenderedPageBreak/>
        <w:t xml:space="preserve">información del particular, proporcionando la información con la que cuentan en el formato en que la misma obre en sus archivos; sin necesidad de elaborar documentos ad hoc para atender las solicitudes de información”. </w:t>
      </w:r>
    </w:p>
    <w:p w14:paraId="3F1141ED" w14:textId="77777777" w:rsidR="00A25BD2" w:rsidRPr="00690C04" w:rsidRDefault="00A25BD2">
      <w:pPr>
        <w:spacing w:line="276" w:lineRule="auto"/>
        <w:ind w:left="567" w:right="616"/>
        <w:jc w:val="both"/>
        <w:rPr>
          <w:rFonts w:ascii="Palatino Linotype" w:eastAsia="Palatino Linotype" w:hAnsi="Palatino Linotype" w:cs="Palatino Linotype"/>
          <w:i/>
          <w:sz w:val="22"/>
          <w:szCs w:val="22"/>
        </w:rPr>
      </w:pPr>
    </w:p>
    <w:p w14:paraId="141AF086"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8A0CD5"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131B4483"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820161B"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21FCCC59"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A383132"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58C43436" w14:textId="77777777" w:rsidR="00A25BD2" w:rsidRPr="00690C04" w:rsidRDefault="006A61B1">
      <w:pPr>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r w:rsidRPr="00690C04">
        <w:rPr>
          <w:rFonts w:ascii="Palatino Linotype" w:eastAsia="Palatino Linotype" w:hAnsi="Palatino Linotype" w:cs="Palatino Linotype"/>
          <w:b/>
          <w:i/>
          <w:sz w:val="22"/>
          <w:szCs w:val="22"/>
        </w:rPr>
        <w:t xml:space="preserve">Artículo 3. </w:t>
      </w:r>
      <w:r w:rsidRPr="00690C04">
        <w:rPr>
          <w:rFonts w:ascii="Palatino Linotype" w:eastAsia="Palatino Linotype" w:hAnsi="Palatino Linotype" w:cs="Palatino Linotype"/>
          <w:i/>
          <w:sz w:val="22"/>
          <w:szCs w:val="22"/>
        </w:rPr>
        <w:t>Para los efectos de la presente Ley se entenderá por:</w:t>
      </w:r>
    </w:p>
    <w:p w14:paraId="7A13EEEE" w14:textId="77777777" w:rsidR="00A25BD2" w:rsidRPr="00690C04" w:rsidRDefault="006A61B1">
      <w:pPr>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p>
    <w:p w14:paraId="69C20F34" w14:textId="77777777" w:rsidR="00A25BD2" w:rsidRPr="00690C04" w:rsidRDefault="006A61B1">
      <w:pPr>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lastRenderedPageBreak/>
        <w:t>XI. Documento:</w:t>
      </w:r>
      <w:r w:rsidRPr="00690C04">
        <w:rPr>
          <w:rFonts w:ascii="Palatino Linotype" w:eastAsia="Palatino Linotype" w:hAnsi="Palatino Linotype" w:cs="Palatino Linotype"/>
          <w:i/>
          <w:sz w:val="22"/>
          <w:szCs w:val="22"/>
        </w:rPr>
        <w:t xml:space="preserve"> Los expedientes, reportes, estudios, actas</w:t>
      </w:r>
      <w:r w:rsidRPr="00690C04">
        <w:rPr>
          <w:rFonts w:ascii="Palatino Linotype" w:eastAsia="Palatino Linotype" w:hAnsi="Palatino Linotype" w:cs="Palatino Linotype"/>
          <w:b/>
          <w:i/>
          <w:sz w:val="22"/>
          <w:szCs w:val="22"/>
        </w:rPr>
        <w:t>,</w:t>
      </w:r>
      <w:r w:rsidRPr="00690C0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4CE29B6" w14:textId="77777777" w:rsidR="00A25BD2" w:rsidRPr="00690C04" w:rsidRDefault="00A25BD2">
      <w:pPr>
        <w:spacing w:line="360" w:lineRule="auto"/>
        <w:ind w:left="851" w:right="899"/>
        <w:jc w:val="both"/>
        <w:rPr>
          <w:rFonts w:ascii="Palatino Linotype" w:eastAsia="Palatino Linotype" w:hAnsi="Palatino Linotype" w:cs="Palatino Linotype"/>
          <w:sz w:val="22"/>
          <w:szCs w:val="22"/>
        </w:rPr>
      </w:pPr>
    </w:p>
    <w:p w14:paraId="04231392"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B28375"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6B69FAEA" w14:textId="77777777" w:rsidR="00A25BD2" w:rsidRPr="00690C04" w:rsidRDefault="006A61B1">
      <w:pPr>
        <w:tabs>
          <w:tab w:val="left" w:pos="7797"/>
        </w:tabs>
        <w:spacing w:line="276" w:lineRule="auto"/>
        <w:ind w:left="709" w:right="616"/>
        <w:jc w:val="both"/>
        <w:rPr>
          <w:rFonts w:ascii="Palatino Linotype" w:eastAsia="Palatino Linotype" w:hAnsi="Palatino Linotype" w:cs="Palatino Linotype"/>
          <w:b/>
          <w:i/>
          <w:sz w:val="22"/>
          <w:szCs w:val="22"/>
        </w:rPr>
      </w:pPr>
      <w:r w:rsidRPr="00690C04">
        <w:rPr>
          <w:rFonts w:ascii="Palatino Linotype" w:eastAsia="Palatino Linotype" w:hAnsi="Palatino Linotype" w:cs="Palatino Linotype"/>
          <w:b/>
          <w:sz w:val="22"/>
          <w:szCs w:val="22"/>
        </w:rPr>
        <w:t>“</w:t>
      </w:r>
      <w:r w:rsidRPr="00690C0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90C0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CBD3EC" w14:textId="77777777" w:rsidR="00A25BD2" w:rsidRPr="00690C04" w:rsidRDefault="006A61B1">
      <w:pPr>
        <w:tabs>
          <w:tab w:val="left" w:pos="7797"/>
        </w:tabs>
        <w:spacing w:line="276" w:lineRule="auto"/>
        <w:ind w:left="709"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8DFABF" w14:textId="77777777" w:rsidR="00A25BD2" w:rsidRPr="00690C04" w:rsidRDefault="006A61B1">
      <w:pPr>
        <w:tabs>
          <w:tab w:val="left" w:pos="7797"/>
        </w:tabs>
        <w:spacing w:line="276" w:lineRule="auto"/>
        <w:ind w:left="709"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2D94E73" w14:textId="77777777" w:rsidR="00A25BD2" w:rsidRPr="00690C04" w:rsidRDefault="006A61B1">
      <w:pPr>
        <w:tabs>
          <w:tab w:val="left" w:pos="7797"/>
        </w:tabs>
        <w:spacing w:line="276" w:lineRule="auto"/>
        <w:ind w:left="709" w:right="616"/>
        <w:jc w:val="both"/>
        <w:rPr>
          <w:rFonts w:ascii="Palatino Linotype" w:eastAsia="Palatino Linotype" w:hAnsi="Palatino Linotype" w:cs="Palatino Linotype"/>
          <w:b/>
          <w:i/>
          <w:sz w:val="22"/>
          <w:szCs w:val="22"/>
        </w:rPr>
      </w:pPr>
      <w:r w:rsidRPr="00690C0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5A35C2F" w14:textId="77777777" w:rsidR="00A25BD2" w:rsidRPr="00690C04" w:rsidRDefault="006A61B1">
      <w:pPr>
        <w:tabs>
          <w:tab w:val="left" w:pos="7797"/>
        </w:tabs>
        <w:spacing w:line="276" w:lineRule="auto"/>
        <w:ind w:left="709" w:right="616"/>
        <w:jc w:val="both"/>
        <w:rPr>
          <w:rFonts w:ascii="Palatino Linotype" w:eastAsia="Palatino Linotype" w:hAnsi="Palatino Linotype" w:cs="Palatino Linotype"/>
          <w:b/>
          <w:i/>
          <w:sz w:val="22"/>
          <w:szCs w:val="22"/>
        </w:rPr>
      </w:pPr>
      <w:r w:rsidRPr="00690C0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71438B6"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0DD07C75"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lastRenderedPageBreak/>
        <w:t xml:space="preserve">Dicho lo anterior, es de recordar que la parte Solicitante requirió los comprobantes de todos los pagos realizados mediante cheque y transferencia electrónica por la Tesorería Municipal a particulares, durante el mes de marzo de dos mil veinticinco.  </w:t>
      </w:r>
    </w:p>
    <w:p w14:paraId="12433BEB"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385E6EAD"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En respuesta, el Sujeto Obligado, a través de la Coordinación de Egresos, proporcionó diversos comprobantes de pago. </w:t>
      </w:r>
    </w:p>
    <w:p w14:paraId="19C8C78E"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469C4ADB"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Derivado de ello, la parte Recurrente se inconformó arguyendo que se habían solicitado los comprobantes y/o pólizas de pago a particulares, sin embargo, el Sujeto Obligado, había remitido únicamente cuatro pagos a instituciones públicas. </w:t>
      </w:r>
    </w:p>
    <w:p w14:paraId="74F09D34"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4DCBD870"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Las partes fueron omisas en rendir manifestaciones. </w:t>
      </w:r>
    </w:p>
    <w:p w14:paraId="203B26F8"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1852A940"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bookmarkStart w:id="7" w:name="_heading=h.oxz92w2agzdg" w:colFirst="0" w:colLast="0"/>
      <w:bookmarkEnd w:id="7"/>
      <w:r w:rsidRPr="00690C04">
        <w:rPr>
          <w:rFonts w:ascii="Palatino Linotype" w:eastAsia="Palatino Linotype" w:hAnsi="Palatino Linotype" w:cs="Palatino Linotype"/>
          <w:sz w:val="22"/>
          <w:szCs w:val="22"/>
        </w:rPr>
        <w:t xml:space="preserve">Dicho lo anterior, se procede a contextualizar la información solicitada, para ello, es de mencionar lo que establece el Glosario de Términos Hacendarios que emite el Instituto Hacendario del Estado de México, el cual define como </w:t>
      </w:r>
      <w:r w:rsidRPr="00690C04">
        <w:rPr>
          <w:rFonts w:ascii="Palatino Linotype" w:eastAsia="Palatino Linotype" w:hAnsi="Palatino Linotype" w:cs="Palatino Linotype"/>
          <w:i/>
          <w:sz w:val="22"/>
          <w:szCs w:val="22"/>
        </w:rPr>
        <w:t>“factura” al</w:t>
      </w:r>
      <w:r w:rsidRPr="00690C04">
        <w:rPr>
          <w:rFonts w:ascii="Palatino Linotype" w:eastAsia="Palatino Linotype" w:hAnsi="Palatino Linotype" w:cs="Palatino Linotype"/>
          <w:b/>
          <w:i/>
          <w:sz w:val="22"/>
          <w:szCs w:val="22"/>
        </w:rPr>
        <w:t xml:space="preserve"> documento fiscal que emite la persona física o moral para comprobar la venta o adquisición de un bien y/o servicio.</w:t>
      </w:r>
    </w:p>
    <w:p w14:paraId="3633B5B9" w14:textId="77777777" w:rsidR="00A25BD2" w:rsidRPr="00690C04" w:rsidRDefault="00A25BD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8CF39E5" w14:textId="77777777" w:rsidR="00A25BD2" w:rsidRPr="00690C04" w:rsidRDefault="006A61B1">
      <w:pPr>
        <w:spacing w:line="360" w:lineRule="auto"/>
        <w:ind w:right="-7"/>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En ese sentido, es de señalar que cuando las facturas amparan las erogaciones que se realizan con erario público tienen naturaleza pública, pues constituyen un medio idóneo de evidencia del gasto realizado con recursos públicos. </w:t>
      </w:r>
    </w:p>
    <w:p w14:paraId="40ECEF2B" w14:textId="77777777" w:rsidR="00A25BD2" w:rsidRPr="00690C04" w:rsidRDefault="00A25BD2">
      <w:pPr>
        <w:spacing w:line="360" w:lineRule="auto"/>
        <w:ind w:right="-7"/>
        <w:jc w:val="both"/>
        <w:rPr>
          <w:rFonts w:ascii="Palatino Linotype" w:eastAsia="Palatino Linotype" w:hAnsi="Palatino Linotype" w:cs="Palatino Linotype"/>
          <w:sz w:val="22"/>
          <w:szCs w:val="22"/>
        </w:rPr>
      </w:pPr>
    </w:p>
    <w:p w14:paraId="5CA00A87"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Asimismo, el Código Financiero del Estado de México, establece en su artículo 344 lo siguiente: </w:t>
      </w:r>
    </w:p>
    <w:p w14:paraId="02C0C8F2"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38E98E9B" w14:textId="77777777" w:rsidR="00A25BD2" w:rsidRPr="00690C04" w:rsidRDefault="006A61B1">
      <w:pPr>
        <w:ind w:left="567" w:right="843"/>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lastRenderedPageBreak/>
        <w:t>Artículo 344.-</w:t>
      </w:r>
      <w:r w:rsidRPr="00690C04">
        <w:rPr>
          <w:rFonts w:ascii="Palatino Linotype" w:eastAsia="Palatino Linotype" w:hAnsi="Palatino Linotype" w:cs="Palatino Linotype"/>
          <w:i/>
          <w:sz w:val="22"/>
          <w:szCs w:val="22"/>
        </w:rPr>
        <w:t xml:space="preserve"> </w:t>
      </w:r>
      <w:r w:rsidRPr="00690C04">
        <w:rPr>
          <w:rFonts w:ascii="Palatino Linotype" w:eastAsia="Palatino Linotype" w:hAnsi="Palatino Linotype" w:cs="Palatino Linotype"/>
          <w:b/>
          <w:i/>
          <w:sz w:val="22"/>
          <w:szCs w:val="22"/>
          <w:u w:val="single"/>
        </w:rPr>
        <w:t>Los Entes Públicos, a través de cualquiera de sus unidades administrativas</w:t>
      </w:r>
      <w:r w:rsidRPr="00690C04">
        <w:rPr>
          <w:rFonts w:ascii="Palatino Linotype" w:eastAsia="Palatino Linotype" w:hAnsi="Palatino Linotype" w:cs="Palatino Linotype"/>
          <w:i/>
          <w:sz w:val="22"/>
          <w:szCs w:val="22"/>
        </w:rPr>
        <w:t xml:space="preserve">, de acuerdo con su naturaleza jurídica y según corresponda, </w:t>
      </w:r>
      <w:r w:rsidRPr="00690C04">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w:t>
      </w:r>
      <w:r w:rsidRPr="00690C04">
        <w:rPr>
          <w:rFonts w:ascii="Palatino Linotype" w:eastAsia="Palatino Linotype" w:hAnsi="Palatino Linotype" w:cs="Palatino Linotype"/>
          <w:i/>
          <w:sz w:val="22"/>
          <w:szCs w:val="22"/>
        </w:rPr>
        <w:t>, en el caso de los Municipios</w:t>
      </w:r>
      <w:r w:rsidRPr="00690C04">
        <w:rPr>
          <w:rFonts w:ascii="Palatino Linotype" w:eastAsia="Palatino Linotype" w:hAnsi="Palatino Linotype" w:cs="Palatino Linotype"/>
          <w:b/>
          <w:i/>
          <w:sz w:val="22"/>
          <w:szCs w:val="22"/>
          <w:u w:val="single"/>
        </w:rPr>
        <w:t>, se hará por la Tesorería.</w:t>
      </w:r>
      <w:r w:rsidRPr="00690C04">
        <w:rPr>
          <w:rFonts w:ascii="Palatino Linotype" w:eastAsia="Palatino Linotype" w:hAnsi="Palatino Linotype" w:cs="Palatino Linotype"/>
          <w:i/>
          <w:sz w:val="22"/>
          <w:szCs w:val="22"/>
        </w:rPr>
        <w:t xml:space="preserve"> </w:t>
      </w:r>
    </w:p>
    <w:p w14:paraId="7310ADF8" w14:textId="77777777" w:rsidR="00A25BD2" w:rsidRPr="00690C04" w:rsidRDefault="00A25BD2">
      <w:pPr>
        <w:ind w:left="567" w:right="843"/>
        <w:jc w:val="both"/>
        <w:rPr>
          <w:rFonts w:ascii="Palatino Linotype" w:eastAsia="Palatino Linotype" w:hAnsi="Palatino Linotype" w:cs="Palatino Linotype"/>
          <w:i/>
          <w:sz w:val="22"/>
          <w:szCs w:val="22"/>
        </w:rPr>
      </w:pPr>
    </w:p>
    <w:p w14:paraId="61EEF5E2" w14:textId="77777777" w:rsidR="00A25BD2" w:rsidRPr="00690C04" w:rsidRDefault="006A61B1">
      <w:pPr>
        <w:ind w:left="567" w:right="843"/>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u w:val="single"/>
        </w:rPr>
        <w:t>Todo registro contable y presupuestal deberá estar soportado con los documentos comprobatorios originales o en medios electrónicos, los que deberán permanecer en custodia y conservación</w:t>
      </w:r>
      <w:r w:rsidRPr="00690C04">
        <w:rPr>
          <w:rFonts w:ascii="Palatino Linotype" w:eastAsia="Palatino Linotype" w:hAnsi="Palatino Linotype" w:cs="Palatino Linotype"/>
          <w:i/>
          <w:sz w:val="22"/>
          <w:szCs w:val="22"/>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275BC36F" w14:textId="77777777" w:rsidR="00A25BD2" w:rsidRPr="00690C04" w:rsidRDefault="00A25BD2">
      <w:pPr>
        <w:ind w:left="567" w:right="843"/>
        <w:jc w:val="both"/>
        <w:rPr>
          <w:rFonts w:ascii="Palatino Linotype" w:eastAsia="Palatino Linotype" w:hAnsi="Palatino Linotype" w:cs="Palatino Linotype"/>
          <w:i/>
          <w:sz w:val="22"/>
          <w:szCs w:val="22"/>
        </w:rPr>
      </w:pPr>
    </w:p>
    <w:p w14:paraId="0665351F" w14:textId="77777777" w:rsidR="00A25BD2" w:rsidRPr="00690C04" w:rsidRDefault="006A61B1">
      <w:pPr>
        <w:ind w:left="567" w:right="843"/>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Tratándose de documentos de carácter histórico, se estará a lo dispuesto por la legislación de la materia.</w:t>
      </w:r>
    </w:p>
    <w:p w14:paraId="73B397C9" w14:textId="77777777" w:rsidR="00A25BD2" w:rsidRPr="00690C04" w:rsidRDefault="00A25BD2">
      <w:pPr>
        <w:spacing w:line="360" w:lineRule="auto"/>
        <w:ind w:right="49"/>
        <w:jc w:val="both"/>
        <w:rPr>
          <w:sz w:val="22"/>
          <w:szCs w:val="22"/>
        </w:rPr>
      </w:pPr>
    </w:p>
    <w:p w14:paraId="4BD2FCB2"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690C04">
        <w:rPr>
          <w:rFonts w:ascii="Palatino Linotype" w:eastAsia="Palatino Linotype" w:hAnsi="Palatino Linotype" w:cs="Palatino Linotype"/>
          <w:i/>
          <w:sz w:val="22"/>
          <w:szCs w:val="22"/>
        </w:rPr>
        <w:t>Glosario de Términos Administrativos</w:t>
      </w:r>
      <w:r w:rsidRPr="00690C04">
        <w:rPr>
          <w:rFonts w:ascii="Palatino Linotype" w:eastAsia="Palatino Linotype" w:hAnsi="Palatino Linotype" w:cs="Palatino Linotype"/>
          <w:sz w:val="22"/>
          <w:szCs w:val="22"/>
        </w:rPr>
        <w:t xml:space="preserve"> y el </w:t>
      </w:r>
      <w:r w:rsidRPr="00690C04">
        <w:rPr>
          <w:rFonts w:ascii="Palatino Linotype" w:eastAsia="Palatino Linotype" w:hAnsi="Palatino Linotype" w:cs="Palatino Linotype"/>
          <w:i/>
          <w:sz w:val="22"/>
          <w:szCs w:val="22"/>
        </w:rPr>
        <w:t>Glosario de Términos para el Proceso de Planeación, Programación, Presupuestación y Evaluación en la Administración Pública</w:t>
      </w:r>
      <w:r w:rsidRPr="00690C04">
        <w:rPr>
          <w:rFonts w:ascii="Palatino Linotype" w:eastAsia="Palatino Linotype" w:hAnsi="Palatino Linotype" w:cs="Palatino Linotype"/>
          <w:sz w:val="22"/>
          <w:szCs w:val="22"/>
        </w:rPr>
        <w:t xml:space="preserve">, definen los registros como: </w:t>
      </w:r>
    </w:p>
    <w:p w14:paraId="78350A1C" w14:textId="77777777" w:rsidR="00A25BD2" w:rsidRPr="00690C04" w:rsidRDefault="00A25BD2">
      <w:pPr>
        <w:spacing w:line="360" w:lineRule="auto"/>
        <w:ind w:left="567" w:right="560"/>
        <w:jc w:val="both"/>
        <w:rPr>
          <w:rFonts w:ascii="Palatino Linotype" w:eastAsia="Palatino Linotype" w:hAnsi="Palatino Linotype" w:cs="Palatino Linotype"/>
          <w:i/>
          <w:sz w:val="22"/>
          <w:szCs w:val="22"/>
        </w:rPr>
      </w:pPr>
    </w:p>
    <w:p w14:paraId="25D1BF06" w14:textId="77777777" w:rsidR="00A25BD2" w:rsidRPr="00690C04" w:rsidRDefault="006A61B1">
      <w:pPr>
        <w:ind w:left="567" w:right="560"/>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 xml:space="preserve">Registro contable. </w:t>
      </w:r>
      <w:r w:rsidRPr="00690C04">
        <w:rPr>
          <w:rFonts w:ascii="Palatino Linotype" w:eastAsia="Palatino Linotype" w:hAnsi="Palatino Linotype" w:cs="Palatino Linotype"/>
          <w:i/>
          <w:sz w:val="22"/>
          <w:szCs w:val="22"/>
        </w:rPr>
        <w:t xml:space="preserve">Asiento que se realiza en los libros de contabilidad de las actividades relacionadas con el ingreso y egreso de un ente económico. </w:t>
      </w:r>
    </w:p>
    <w:p w14:paraId="7A99FD8D" w14:textId="77777777" w:rsidR="00A25BD2" w:rsidRPr="00690C04" w:rsidRDefault="00A25BD2">
      <w:pPr>
        <w:ind w:left="567" w:right="560"/>
        <w:jc w:val="both"/>
        <w:rPr>
          <w:rFonts w:ascii="Palatino Linotype" w:eastAsia="Palatino Linotype" w:hAnsi="Palatino Linotype" w:cs="Palatino Linotype"/>
          <w:i/>
          <w:sz w:val="22"/>
          <w:szCs w:val="22"/>
        </w:rPr>
      </w:pPr>
    </w:p>
    <w:p w14:paraId="00A10928" w14:textId="77777777" w:rsidR="00A25BD2" w:rsidRPr="00690C04" w:rsidRDefault="006A61B1">
      <w:pPr>
        <w:ind w:left="567" w:right="560"/>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 xml:space="preserve">Registro Presupuestario. </w:t>
      </w:r>
      <w:r w:rsidRPr="00690C04">
        <w:rPr>
          <w:rFonts w:ascii="Palatino Linotype" w:eastAsia="Palatino Linotype" w:hAnsi="Palatino Linotype" w:cs="Palatino Linotype"/>
          <w:i/>
          <w:sz w:val="22"/>
          <w:szCs w:val="22"/>
        </w:rPr>
        <w:t xml:space="preserve">Asiento contable de las erogaciones realizadas por las dependencias y entidades con relación a la asignación, modificación y ejercicio de los recursos presupuestarios que se les hayan autorizado. </w:t>
      </w:r>
    </w:p>
    <w:p w14:paraId="3CE8EB9E"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4EA3ED0E"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lastRenderedPageBreak/>
        <w:t>De los preceptos citados, se colige que los entes fiscalizables</w:t>
      </w:r>
      <w:r w:rsidRPr="00690C04">
        <w:rPr>
          <w:rFonts w:ascii="Palatino Linotype" w:eastAsia="Palatino Linotype" w:hAnsi="Palatino Linotype" w:cs="Palatino Linotype"/>
          <w:b/>
          <w:sz w:val="22"/>
          <w:szCs w:val="22"/>
          <w:u w:val="single"/>
        </w:rPr>
        <w:t xml:space="preserve"> deben contar con una unidad administrativa que registra contablemente el efecto patrimonial y presupuestal de las operaciones financieras</w:t>
      </w:r>
      <w:r w:rsidRPr="00690C04">
        <w:rPr>
          <w:rFonts w:ascii="Palatino Linotype" w:eastAsia="Palatino Linotype" w:hAnsi="Palatino Linotype" w:cs="Palatino Linotype"/>
          <w:sz w:val="22"/>
          <w:szCs w:val="22"/>
        </w:rPr>
        <w:t xml:space="preserve"> que realizan y por lo general, se encuentran en las denominadas </w:t>
      </w:r>
      <w:r w:rsidRPr="00690C04">
        <w:rPr>
          <w:rFonts w:ascii="Palatino Linotype" w:eastAsia="Palatino Linotype" w:hAnsi="Palatino Linotype" w:cs="Palatino Linotype"/>
          <w:i/>
          <w:sz w:val="22"/>
          <w:szCs w:val="22"/>
        </w:rPr>
        <w:t xml:space="preserve">pólizas contables </w:t>
      </w:r>
      <w:r w:rsidRPr="00690C04">
        <w:rPr>
          <w:rFonts w:ascii="Palatino Linotype" w:eastAsia="Palatino Linotype" w:hAnsi="Palatino Linotype" w:cs="Palatino Linotype"/>
          <w:sz w:val="22"/>
          <w:szCs w:val="22"/>
        </w:rPr>
        <w:t xml:space="preserve">las cuales son aquellos documentos en los que se asientan en forma individual todas y cada una de las operaciones desarrolladas por una institución, así como la información necesaria para la identificación de estas. </w:t>
      </w:r>
    </w:p>
    <w:p w14:paraId="01CA2388"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42C1CC08" w14:textId="77777777" w:rsidR="00A25BD2" w:rsidRPr="00690C04" w:rsidRDefault="006A61B1">
      <w:pPr>
        <w:spacing w:line="360" w:lineRule="auto"/>
        <w:ind w:right="-93"/>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En lo que corresponde al procedimiento de búsqueda de la información solicitada, es necesario precisar que de las constancias que obran en el expediente se logra vislumbrar que el Sujeto Obligad, turnó la solicitud de información a la unidad administrativa competente, a saber la Coordinación de Egresos, dependiente de la Tesorería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1FBD2E85" w14:textId="77777777" w:rsidR="00A25BD2" w:rsidRPr="00690C04" w:rsidRDefault="00A25BD2">
      <w:pPr>
        <w:spacing w:line="360" w:lineRule="auto"/>
        <w:ind w:right="-93"/>
        <w:jc w:val="both"/>
        <w:rPr>
          <w:rFonts w:ascii="Palatino Linotype" w:eastAsia="Palatino Linotype" w:hAnsi="Palatino Linotype" w:cs="Palatino Linotype"/>
          <w:sz w:val="22"/>
          <w:szCs w:val="22"/>
        </w:rPr>
      </w:pPr>
    </w:p>
    <w:p w14:paraId="37AE661B" w14:textId="77777777" w:rsidR="00A25BD2" w:rsidRPr="00690C04" w:rsidRDefault="006A61B1">
      <w:pPr>
        <w:numPr>
          <w:ilvl w:val="3"/>
          <w:numId w:val="2"/>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88FDFB8" w14:textId="77777777" w:rsidR="00A25BD2" w:rsidRPr="00690C04" w:rsidRDefault="006A61B1">
      <w:pPr>
        <w:numPr>
          <w:ilvl w:val="3"/>
          <w:numId w:val="2"/>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02865B62"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776C614A"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lastRenderedPageBreak/>
        <w:t xml:space="preserve">Así,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en razón de lo que establece el Reglamento Interno del Ayuntamiento de Amecameca, el cual refiere lo siguiente: </w:t>
      </w:r>
    </w:p>
    <w:p w14:paraId="13DD57E9"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2D825226" w14:textId="77777777" w:rsidR="00A25BD2" w:rsidRPr="00690C04" w:rsidRDefault="006A61B1">
      <w:pPr>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Artículo 30-.</w:t>
      </w:r>
      <w:r w:rsidRPr="00690C04">
        <w:rPr>
          <w:rFonts w:ascii="Palatino Linotype" w:eastAsia="Palatino Linotype" w:hAnsi="Palatino Linotype" w:cs="Palatino Linotype"/>
          <w:i/>
          <w:sz w:val="22"/>
          <w:szCs w:val="22"/>
        </w:rPr>
        <w:t xml:space="preserve"> La Tesorería Municipal tiene a su cargo el despacho de los asuntos que le faculta la Ley Orgánica Municipal del Estado de México, el Código Financiero del Estado de México y Municipios que permitan ejecutar las políticas de la administración financiera y tributaria para optimizar la recaudación en el municipio conduciendo una disciplina presupuestal para lograr los objetivos contemplados en el Plan de Desarrollo Municipal. Las ausencias de la persona titular de la Tesorería Municipal por casos fortuitos o fuerza </w:t>
      </w:r>
      <w:proofErr w:type="spellStart"/>
      <w:proofErr w:type="gramStart"/>
      <w:r w:rsidRPr="00690C04">
        <w:rPr>
          <w:rFonts w:ascii="Palatino Linotype" w:eastAsia="Palatino Linotype" w:hAnsi="Palatino Linotype" w:cs="Palatino Linotype"/>
          <w:i/>
          <w:sz w:val="22"/>
          <w:szCs w:val="22"/>
        </w:rPr>
        <w:t>mayor,serán</w:t>
      </w:r>
      <w:proofErr w:type="spellEnd"/>
      <w:proofErr w:type="gramEnd"/>
      <w:r w:rsidRPr="00690C04">
        <w:rPr>
          <w:rFonts w:ascii="Palatino Linotype" w:eastAsia="Palatino Linotype" w:hAnsi="Palatino Linotype" w:cs="Palatino Linotype"/>
          <w:i/>
          <w:sz w:val="22"/>
          <w:szCs w:val="22"/>
        </w:rPr>
        <w:t xml:space="preserve"> suplidas por la persona que ostente el cargo de Subtesorero, quien fungirá como encargado de despacho, hasta por sesenta días.</w:t>
      </w:r>
    </w:p>
    <w:p w14:paraId="7B9640BC" w14:textId="77777777" w:rsidR="00A25BD2" w:rsidRPr="00690C04" w:rsidRDefault="00A25BD2">
      <w:pPr>
        <w:spacing w:line="276" w:lineRule="auto"/>
        <w:ind w:left="567" w:right="616"/>
        <w:jc w:val="both"/>
        <w:rPr>
          <w:rFonts w:ascii="Palatino Linotype" w:eastAsia="Palatino Linotype" w:hAnsi="Palatino Linotype" w:cs="Palatino Linotype"/>
          <w:i/>
          <w:sz w:val="22"/>
          <w:szCs w:val="22"/>
        </w:rPr>
      </w:pPr>
    </w:p>
    <w:p w14:paraId="4E3E70B2" w14:textId="77777777" w:rsidR="00A25BD2" w:rsidRPr="00690C04" w:rsidRDefault="006A61B1">
      <w:pPr>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Artículo 31-.</w:t>
      </w:r>
      <w:r w:rsidRPr="00690C04">
        <w:rPr>
          <w:rFonts w:ascii="Palatino Linotype" w:eastAsia="Palatino Linotype" w:hAnsi="Palatino Linotype" w:cs="Palatino Linotype"/>
          <w:i/>
          <w:sz w:val="22"/>
          <w:szCs w:val="22"/>
        </w:rPr>
        <w:t xml:space="preserve"> La Tesorería Municipal se integra por las áreas administrativas siguientes: </w:t>
      </w:r>
    </w:p>
    <w:p w14:paraId="4C763501" w14:textId="77777777" w:rsidR="00A25BD2" w:rsidRPr="00690C04" w:rsidRDefault="006A61B1">
      <w:pPr>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A. Sub-tesorería, la cual cuenta con las siguientes áreas:</w:t>
      </w:r>
    </w:p>
    <w:p w14:paraId="6DDC471F" w14:textId="77777777" w:rsidR="00A25BD2" w:rsidRPr="00690C04" w:rsidRDefault="006A61B1">
      <w:pPr>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I. Departamento de Ingresos. </w:t>
      </w:r>
    </w:p>
    <w:p w14:paraId="36A14F59" w14:textId="77777777" w:rsidR="00A25BD2" w:rsidRPr="00690C04" w:rsidRDefault="006A61B1">
      <w:pPr>
        <w:spacing w:line="276" w:lineRule="auto"/>
        <w:ind w:left="567" w:right="616"/>
        <w:jc w:val="both"/>
        <w:rPr>
          <w:rFonts w:ascii="Palatino Linotype" w:eastAsia="Palatino Linotype" w:hAnsi="Palatino Linotype" w:cs="Palatino Linotype"/>
          <w:b/>
          <w:i/>
          <w:sz w:val="22"/>
          <w:szCs w:val="22"/>
          <w:u w:val="single"/>
        </w:rPr>
      </w:pPr>
      <w:r w:rsidRPr="00690C04">
        <w:rPr>
          <w:rFonts w:ascii="Palatino Linotype" w:eastAsia="Palatino Linotype" w:hAnsi="Palatino Linotype" w:cs="Palatino Linotype"/>
          <w:b/>
          <w:i/>
          <w:sz w:val="22"/>
          <w:szCs w:val="22"/>
          <w:u w:val="single"/>
        </w:rPr>
        <w:t xml:space="preserve">II. Departamento de Egresos. </w:t>
      </w:r>
    </w:p>
    <w:p w14:paraId="656DD023" w14:textId="77777777" w:rsidR="00A25BD2" w:rsidRPr="00690C04" w:rsidRDefault="006A61B1">
      <w:pPr>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III. Departamento de Catastro. </w:t>
      </w:r>
    </w:p>
    <w:p w14:paraId="40D6C181" w14:textId="77777777" w:rsidR="00A25BD2" w:rsidRPr="00690C04" w:rsidRDefault="006A61B1">
      <w:pPr>
        <w:spacing w:line="276" w:lineRule="auto"/>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IV. Departamento de Contabilidad.</w:t>
      </w:r>
    </w:p>
    <w:p w14:paraId="09CA5632" w14:textId="77777777" w:rsidR="00A25BD2" w:rsidRPr="00690C04" w:rsidRDefault="006A61B1">
      <w:pPr>
        <w:pBdr>
          <w:top w:val="nil"/>
          <w:left w:val="nil"/>
          <w:bottom w:val="nil"/>
          <w:right w:val="nil"/>
          <w:between w:val="nil"/>
        </w:pBdr>
        <w:tabs>
          <w:tab w:val="left" w:pos="7860"/>
        </w:tabs>
        <w:spacing w:line="360" w:lineRule="auto"/>
        <w:ind w:left="1080" w:right="49"/>
        <w:jc w:val="both"/>
        <w:rPr>
          <w:rFonts w:ascii="Palatino Linotype" w:eastAsia="Palatino Linotype" w:hAnsi="Palatino Linotype" w:cs="Palatino Linotype"/>
          <w:b/>
          <w:sz w:val="22"/>
          <w:szCs w:val="22"/>
        </w:rPr>
      </w:pPr>
      <w:r w:rsidRPr="00690C04">
        <w:rPr>
          <w:rFonts w:ascii="Palatino Linotype" w:eastAsia="Palatino Linotype" w:hAnsi="Palatino Linotype" w:cs="Palatino Linotype"/>
          <w:b/>
          <w:sz w:val="22"/>
          <w:szCs w:val="22"/>
        </w:rPr>
        <w:tab/>
      </w:r>
    </w:p>
    <w:p w14:paraId="325977F5"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Señalado lo anterior, en lo que respecta a los agravios hechos valer por el ahora Recurrente, es de mencionar que del análisis a los documentos proporcionados en respuesta por el Sujeto Obligado, se advirtió que </w:t>
      </w:r>
      <w:r w:rsidRPr="00690C04">
        <w:rPr>
          <w:rFonts w:ascii="Palatino Linotype" w:eastAsia="Palatino Linotype" w:hAnsi="Palatino Linotype" w:cs="Palatino Linotype"/>
          <w:b/>
          <w:sz w:val="22"/>
          <w:szCs w:val="22"/>
        </w:rPr>
        <w:t>los comprobantes proporcionados son respecto a pagos realizados a entidades públicas, no así, a particulares</w:t>
      </w:r>
      <w:r w:rsidRPr="00690C04">
        <w:rPr>
          <w:rFonts w:ascii="Palatino Linotype" w:eastAsia="Palatino Linotype" w:hAnsi="Palatino Linotype" w:cs="Palatino Linotype"/>
          <w:sz w:val="22"/>
          <w:szCs w:val="22"/>
        </w:rPr>
        <w:t xml:space="preserve">, ya que, algunos se tratan de pagos a la Comisión Federal de Electricidad o sobre pagos de ISR realizados a Hacienda, tal como se logra observar a continuación: </w:t>
      </w:r>
    </w:p>
    <w:p w14:paraId="2D5BC9E5" w14:textId="77777777" w:rsidR="00A25BD2" w:rsidRPr="00690C04" w:rsidRDefault="00A25BD2">
      <w:pPr>
        <w:spacing w:line="360" w:lineRule="auto"/>
        <w:jc w:val="both"/>
        <w:rPr>
          <w:rFonts w:ascii="Palatino Linotype" w:eastAsia="Palatino Linotype" w:hAnsi="Palatino Linotype" w:cs="Palatino Linotype"/>
          <w:b/>
          <w:sz w:val="22"/>
          <w:szCs w:val="22"/>
        </w:rPr>
      </w:pPr>
    </w:p>
    <w:p w14:paraId="355D3281" w14:textId="77777777" w:rsidR="00A25BD2" w:rsidRPr="00690C04" w:rsidRDefault="006A61B1">
      <w:pPr>
        <w:spacing w:line="360" w:lineRule="auto"/>
        <w:jc w:val="center"/>
        <w:rPr>
          <w:rFonts w:ascii="Palatino Linotype" w:eastAsia="Palatino Linotype" w:hAnsi="Palatino Linotype" w:cs="Palatino Linotype"/>
          <w:b/>
          <w:sz w:val="22"/>
          <w:szCs w:val="22"/>
        </w:rPr>
      </w:pPr>
      <w:r w:rsidRPr="00690C04">
        <w:rPr>
          <w:rFonts w:ascii="Palatino Linotype" w:eastAsia="Palatino Linotype" w:hAnsi="Palatino Linotype" w:cs="Palatino Linotype"/>
          <w:b/>
          <w:noProof/>
          <w:sz w:val="22"/>
          <w:szCs w:val="22"/>
        </w:rPr>
        <w:drawing>
          <wp:inline distT="0" distB="0" distL="0" distR="0" wp14:anchorId="7A84E642" wp14:editId="57825FBF">
            <wp:extent cx="5401429" cy="828791"/>
            <wp:effectExtent l="0" t="0" r="0" b="0"/>
            <wp:docPr id="20832964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401429" cy="828791"/>
                    </a:xfrm>
                    <a:prstGeom prst="rect">
                      <a:avLst/>
                    </a:prstGeom>
                    <a:ln/>
                  </pic:spPr>
                </pic:pic>
              </a:graphicData>
            </a:graphic>
          </wp:inline>
        </w:drawing>
      </w:r>
    </w:p>
    <w:p w14:paraId="5367504F" w14:textId="77777777" w:rsidR="00A25BD2" w:rsidRPr="00690C04" w:rsidRDefault="006A61B1">
      <w:pPr>
        <w:spacing w:line="360" w:lineRule="auto"/>
        <w:jc w:val="center"/>
        <w:rPr>
          <w:rFonts w:ascii="Palatino Linotype" w:eastAsia="Palatino Linotype" w:hAnsi="Palatino Linotype" w:cs="Palatino Linotype"/>
          <w:b/>
          <w:sz w:val="22"/>
          <w:szCs w:val="22"/>
        </w:rPr>
      </w:pPr>
      <w:r w:rsidRPr="00690C04">
        <w:rPr>
          <w:rFonts w:ascii="Palatino Linotype" w:eastAsia="Palatino Linotype" w:hAnsi="Palatino Linotype" w:cs="Palatino Linotype"/>
          <w:b/>
          <w:noProof/>
          <w:sz w:val="22"/>
          <w:szCs w:val="22"/>
        </w:rPr>
        <w:drawing>
          <wp:inline distT="0" distB="0" distL="0" distR="0" wp14:anchorId="3FA00046" wp14:editId="783747C1">
            <wp:extent cx="3743847" cy="571580"/>
            <wp:effectExtent l="0" t="0" r="0" b="0"/>
            <wp:docPr id="20832964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743847" cy="571580"/>
                    </a:xfrm>
                    <a:prstGeom prst="rect">
                      <a:avLst/>
                    </a:prstGeom>
                    <a:ln/>
                  </pic:spPr>
                </pic:pic>
              </a:graphicData>
            </a:graphic>
          </wp:inline>
        </w:drawing>
      </w:r>
    </w:p>
    <w:p w14:paraId="3D80D18C"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11F3C273"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Por lo que, se considera que, la información proporcionada en respuesta, no corresponde con lo solicitado por la parte Recurrente. </w:t>
      </w:r>
    </w:p>
    <w:p w14:paraId="4F778068"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3685EC53" w14:textId="77777777" w:rsidR="00A25BD2" w:rsidRPr="00690C04" w:rsidRDefault="006A61B1">
      <w:pPr>
        <w:spacing w:line="360" w:lineRule="auto"/>
        <w:jc w:val="both"/>
        <w:rPr>
          <w:rFonts w:ascii="Palatino Linotype" w:eastAsia="Palatino Linotype" w:hAnsi="Palatino Linotype" w:cs="Palatino Linotype"/>
          <w:b/>
          <w:sz w:val="22"/>
          <w:szCs w:val="22"/>
        </w:rPr>
      </w:pPr>
      <w:r w:rsidRPr="00690C04">
        <w:rPr>
          <w:rFonts w:ascii="Palatino Linotype" w:eastAsia="Palatino Linotype" w:hAnsi="Palatino Linotype" w:cs="Palatino Linotype"/>
          <w:sz w:val="22"/>
          <w:szCs w:val="22"/>
        </w:rPr>
        <w:t xml:space="preserve">Es así que, los agravios hechos valer por el Particular, devienen </w:t>
      </w:r>
      <w:r w:rsidRPr="00690C04">
        <w:rPr>
          <w:rFonts w:ascii="Palatino Linotype" w:eastAsia="Palatino Linotype" w:hAnsi="Palatino Linotype" w:cs="Palatino Linotype"/>
          <w:b/>
          <w:sz w:val="22"/>
          <w:szCs w:val="22"/>
        </w:rPr>
        <w:t xml:space="preserve">FUNDADOS </w:t>
      </w:r>
      <w:r w:rsidRPr="00690C04">
        <w:rPr>
          <w:rFonts w:ascii="Palatino Linotype" w:eastAsia="Palatino Linotype" w:hAnsi="Palatino Linotype" w:cs="Palatino Linotype"/>
          <w:sz w:val="22"/>
          <w:szCs w:val="22"/>
        </w:rPr>
        <w:t xml:space="preserve">y por consiguiente, se determina ordenar la entrega de </w:t>
      </w:r>
      <w:r w:rsidRPr="00690C04">
        <w:rPr>
          <w:rFonts w:ascii="Palatino Linotype" w:eastAsia="Palatino Linotype" w:hAnsi="Palatino Linotype" w:cs="Palatino Linotype"/>
          <w:b/>
          <w:sz w:val="22"/>
          <w:szCs w:val="22"/>
        </w:rPr>
        <w:t xml:space="preserve">los comprobantes de pagos realizados mediante cheque y transferencia electrónica por la Tesorería Municipal a particulares del uno al treinta y uno de marzo de dos mil veinticinco. </w:t>
      </w:r>
    </w:p>
    <w:p w14:paraId="4AC7FE20"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756CE086"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Quinto. Versión Pública.</w:t>
      </w:r>
      <w:r w:rsidRPr="00690C04">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690C04">
        <w:rPr>
          <w:rFonts w:ascii="Palatino Linotype" w:eastAsia="Palatino Linotype" w:hAnsi="Palatino Linotype" w:cs="Palatino Linotype"/>
          <w:b/>
          <w:sz w:val="22"/>
          <w:szCs w:val="22"/>
        </w:rPr>
        <w:t>Sujeto Obligado</w:t>
      </w:r>
      <w:r w:rsidRPr="00690C04">
        <w:rPr>
          <w:rFonts w:ascii="Palatino Linotype" w:eastAsia="Palatino Linotype" w:hAnsi="Palatino Linotype" w:cs="Palatino Linotype"/>
          <w:sz w:val="22"/>
          <w:szCs w:val="22"/>
        </w:rPr>
        <w:t xml:space="preserve"> deberá hacer la elaboración de la versión pública de los mismos a fin de satisfacer el derecho de acceso a la información pública de la parte </w:t>
      </w:r>
      <w:r w:rsidRPr="00690C04">
        <w:rPr>
          <w:rFonts w:ascii="Palatino Linotype" w:eastAsia="Palatino Linotype" w:hAnsi="Palatino Linotype" w:cs="Palatino Linotype"/>
          <w:b/>
          <w:sz w:val="22"/>
          <w:szCs w:val="22"/>
        </w:rPr>
        <w:t>Recurrente</w:t>
      </w:r>
      <w:r w:rsidRPr="00690C04">
        <w:rPr>
          <w:rFonts w:ascii="Palatino Linotype" w:eastAsia="Palatino Linotype" w:hAnsi="Palatino Linotype" w:cs="Palatino Linotype"/>
          <w:sz w:val="22"/>
          <w:szCs w:val="22"/>
        </w:rPr>
        <w:t xml:space="preserve"> sin menoscabo al derecho a la protección de los datos personales de terceros.</w:t>
      </w:r>
    </w:p>
    <w:p w14:paraId="6CEE58C8"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0ED0E446"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w:t>
      </w:r>
      <w:r w:rsidRPr="00690C04">
        <w:rPr>
          <w:rFonts w:ascii="Palatino Linotype" w:eastAsia="Palatino Linotype" w:hAnsi="Palatino Linotype" w:cs="Palatino Linotype"/>
          <w:sz w:val="22"/>
          <w:szCs w:val="22"/>
        </w:rPr>
        <w:lastRenderedPageBreak/>
        <w:t>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7ED20F64" w14:textId="77777777" w:rsidR="00A25BD2" w:rsidRPr="00690C04" w:rsidRDefault="00A25BD2">
      <w:pPr>
        <w:spacing w:line="360" w:lineRule="auto"/>
        <w:jc w:val="both"/>
        <w:rPr>
          <w:sz w:val="22"/>
          <w:szCs w:val="22"/>
        </w:rPr>
      </w:pPr>
    </w:p>
    <w:p w14:paraId="5BA577D9"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La </w:t>
      </w:r>
      <w:r w:rsidRPr="00690C04">
        <w:rPr>
          <w:rFonts w:ascii="Palatino Linotype" w:eastAsia="Palatino Linotype" w:hAnsi="Palatino Linotype" w:cs="Palatino Linotype"/>
          <w:b/>
          <w:sz w:val="22"/>
          <w:szCs w:val="22"/>
        </w:rPr>
        <w:t>clave de elector</w:t>
      </w:r>
      <w:r w:rsidRPr="00690C04">
        <w:rPr>
          <w:rFonts w:ascii="Palatino Linotype" w:eastAsia="Palatino Linotype" w:hAnsi="Palatino Linotype" w:cs="Palatino Linotype"/>
          <w:sz w:val="22"/>
          <w:szCs w:val="22"/>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690C04">
        <w:rPr>
          <w:rFonts w:ascii="Palatino Linotype" w:eastAsia="Palatino Linotype" w:hAnsi="Palatino Linotype" w:cs="Palatino Linotype"/>
          <w:sz w:val="22"/>
          <w:szCs w:val="22"/>
        </w:rPr>
        <w:t>homoclave</w:t>
      </w:r>
      <w:proofErr w:type="spellEnd"/>
      <w:r w:rsidRPr="00690C04">
        <w:rPr>
          <w:rFonts w:ascii="Palatino Linotype" w:eastAsia="Palatino Linotype" w:hAnsi="Palatino Linotype" w:cs="Palatino Linotype"/>
          <w:sz w:val="22"/>
          <w:szCs w:val="22"/>
        </w:rPr>
        <w:t xml:space="preserve"> que distingue a su titular de cualquier otro homónimo, por lo tanto, se trata de un dato personal que debe ser protegido.</w:t>
      </w:r>
    </w:p>
    <w:p w14:paraId="75F397DF" w14:textId="77777777" w:rsidR="00A25BD2" w:rsidRPr="00690C04" w:rsidRDefault="00A25BD2">
      <w:pPr>
        <w:spacing w:line="360" w:lineRule="auto"/>
        <w:jc w:val="both"/>
        <w:rPr>
          <w:sz w:val="22"/>
          <w:szCs w:val="22"/>
        </w:rPr>
      </w:pPr>
    </w:p>
    <w:p w14:paraId="1D163043"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El </w:t>
      </w:r>
      <w:r w:rsidRPr="00690C04">
        <w:rPr>
          <w:rFonts w:ascii="Palatino Linotype" w:eastAsia="Palatino Linotype" w:hAnsi="Palatino Linotype" w:cs="Palatino Linotype"/>
          <w:b/>
          <w:sz w:val="22"/>
          <w:szCs w:val="22"/>
        </w:rPr>
        <w:t>número de OCR,</w:t>
      </w:r>
      <w:r w:rsidRPr="00690C04">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690C04">
        <w:rPr>
          <w:rFonts w:ascii="Palatino Linotype" w:eastAsia="Palatino Linotype" w:hAnsi="Palatino Linotype" w:cs="Palatino Linotype"/>
          <w:sz w:val="22"/>
          <w:szCs w:val="22"/>
        </w:rPr>
        <w:t>geoelectoral</w:t>
      </w:r>
      <w:proofErr w:type="spellEnd"/>
      <w:r w:rsidRPr="00690C04">
        <w:rPr>
          <w:rFonts w:ascii="Palatino Linotype" w:eastAsia="Palatino Linotype" w:hAnsi="Palatino Linotype" w:cs="Palatino Linotype"/>
          <w:sz w:val="22"/>
          <w:szCs w:val="22"/>
        </w:rPr>
        <w:t xml:space="preserve"> ahí contenida, por lo que es susceptible de resguardarse.</w:t>
      </w:r>
    </w:p>
    <w:p w14:paraId="774643B1" w14:textId="77777777" w:rsidR="00A25BD2" w:rsidRPr="00690C04" w:rsidRDefault="00A25BD2">
      <w:pPr>
        <w:spacing w:line="360" w:lineRule="auto"/>
        <w:jc w:val="both"/>
        <w:rPr>
          <w:sz w:val="22"/>
          <w:szCs w:val="22"/>
        </w:rPr>
      </w:pPr>
    </w:p>
    <w:p w14:paraId="5D9FD6D5"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La </w:t>
      </w:r>
      <w:r w:rsidRPr="00690C04">
        <w:rPr>
          <w:rFonts w:ascii="Palatino Linotype" w:eastAsia="Palatino Linotype" w:hAnsi="Palatino Linotype" w:cs="Palatino Linotype"/>
          <w:b/>
          <w:sz w:val="22"/>
          <w:szCs w:val="22"/>
        </w:rPr>
        <w:t>clave única del registro de población,</w:t>
      </w:r>
      <w:r w:rsidRPr="00690C04">
        <w:rPr>
          <w:rFonts w:ascii="Palatino Linotype" w:eastAsia="Palatino Linotype" w:hAnsi="Palatino Linotype" w:cs="Palatino Linotype"/>
          <w:i/>
          <w:sz w:val="22"/>
          <w:szCs w:val="22"/>
        </w:rPr>
        <w:t xml:space="preserve"> </w:t>
      </w:r>
      <w:r w:rsidRPr="00690C04">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58019B32" w14:textId="77777777" w:rsidR="00A25BD2" w:rsidRPr="00690C04" w:rsidRDefault="00A25BD2">
      <w:pPr>
        <w:spacing w:line="360" w:lineRule="auto"/>
        <w:jc w:val="both"/>
        <w:rPr>
          <w:sz w:val="22"/>
          <w:szCs w:val="22"/>
        </w:rPr>
      </w:pPr>
    </w:p>
    <w:p w14:paraId="50ABA3A1" w14:textId="77777777" w:rsidR="00A25BD2" w:rsidRPr="00690C04" w:rsidRDefault="006A61B1">
      <w:pPr>
        <w:spacing w:line="360" w:lineRule="auto"/>
        <w:ind w:right="5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Igualmente, resulta importante destacar que el </w:t>
      </w:r>
      <w:r w:rsidRPr="00690C04">
        <w:rPr>
          <w:rFonts w:ascii="Palatino Linotype" w:eastAsia="Palatino Linotype" w:hAnsi="Palatino Linotype" w:cs="Palatino Linotype"/>
          <w:i/>
          <w:sz w:val="22"/>
          <w:szCs w:val="22"/>
        </w:rPr>
        <w:t>número de cuenta bancaria</w:t>
      </w:r>
      <w:r w:rsidRPr="00690C04">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w:t>
      </w:r>
      <w:r w:rsidRPr="00690C04">
        <w:rPr>
          <w:rFonts w:ascii="Palatino Linotype" w:eastAsia="Palatino Linotype" w:hAnsi="Palatino Linotype" w:cs="Palatino Linotype"/>
          <w:sz w:val="22"/>
          <w:szCs w:val="22"/>
        </w:rPr>
        <w:lastRenderedPageBreak/>
        <w:t>diversa naturaleza, por lo que la difusión pública del mismo facilitaría la afectación al patrimonio del titular de la cuenta.</w:t>
      </w:r>
    </w:p>
    <w:p w14:paraId="63B148DA" w14:textId="77777777" w:rsidR="00A25BD2" w:rsidRPr="00690C04" w:rsidRDefault="00A25BD2">
      <w:pPr>
        <w:spacing w:line="360" w:lineRule="auto"/>
        <w:ind w:right="50"/>
        <w:jc w:val="both"/>
        <w:rPr>
          <w:sz w:val="22"/>
          <w:szCs w:val="22"/>
        </w:rPr>
      </w:pPr>
    </w:p>
    <w:p w14:paraId="2344CC95" w14:textId="77777777" w:rsidR="00A25BD2" w:rsidRPr="00690C04" w:rsidRDefault="006A61B1">
      <w:pPr>
        <w:spacing w:line="360" w:lineRule="auto"/>
        <w:ind w:right="5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21692D7F" w14:textId="77777777" w:rsidR="00A25BD2" w:rsidRPr="00690C04" w:rsidRDefault="00A25BD2">
      <w:pPr>
        <w:spacing w:line="360" w:lineRule="auto"/>
        <w:ind w:right="50"/>
        <w:jc w:val="both"/>
        <w:rPr>
          <w:sz w:val="22"/>
          <w:szCs w:val="22"/>
        </w:rPr>
      </w:pPr>
    </w:p>
    <w:p w14:paraId="5B0331E8" w14:textId="77777777" w:rsidR="00A25BD2" w:rsidRPr="00690C04" w:rsidRDefault="006A61B1">
      <w:pPr>
        <w:spacing w:line="360" w:lineRule="auto"/>
        <w:ind w:right="5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49E8A25" w14:textId="77777777" w:rsidR="00A25BD2" w:rsidRPr="00690C04" w:rsidRDefault="00A25BD2">
      <w:pPr>
        <w:spacing w:line="360" w:lineRule="auto"/>
        <w:ind w:right="50"/>
        <w:jc w:val="both"/>
        <w:rPr>
          <w:sz w:val="22"/>
          <w:szCs w:val="22"/>
        </w:rPr>
      </w:pPr>
    </w:p>
    <w:p w14:paraId="71266064" w14:textId="77777777" w:rsidR="00A25BD2" w:rsidRPr="00690C04" w:rsidRDefault="006A61B1">
      <w:pPr>
        <w:spacing w:line="360" w:lineRule="auto"/>
        <w:ind w:right="5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684CC9F2" w14:textId="77777777" w:rsidR="00A25BD2" w:rsidRPr="00690C04" w:rsidRDefault="00A25BD2">
      <w:pPr>
        <w:spacing w:line="360" w:lineRule="auto"/>
        <w:ind w:right="50"/>
        <w:jc w:val="both"/>
        <w:rPr>
          <w:sz w:val="22"/>
          <w:szCs w:val="22"/>
        </w:rPr>
      </w:pPr>
    </w:p>
    <w:p w14:paraId="64EC3F39" w14:textId="77777777" w:rsidR="00A25BD2" w:rsidRPr="00690C04" w:rsidRDefault="006A61B1">
      <w:pPr>
        <w:spacing w:line="360" w:lineRule="auto"/>
        <w:ind w:right="50"/>
        <w:jc w:val="both"/>
        <w:rPr>
          <w:sz w:val="22"/>
          <w:szCs w:val="22"/>
        </w:rPr>
      </w:pPr>
      <w:r w:rsidRPr="00690C04">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564266A4" w14:textId="77777777" w:rsidR="00A25BD2" w:rsidRPr="00690C04" w:rsidRDefault="006A61B1">
      <w:pPr>
        <w:spacing w:line="360" w:lineRule="auto"/>
        <w:ind w:right="5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4C6881DC" w14:textId="77777777" w:rsidR="00A25BD2" w:rsidRPr="00690C04" w:rsidRDefault="00A25BD2">
      <w:pPr>
        <w:spacing w:line="360" w:lineRule="auto"/>
        <w:ind w:right="50"/>
        <w:jc w:val="both"/>
        <w:rPr>
          <w:sz w:val="22"/>
          <w:szCs w:val="22"/>
        </w:rPr>
      </w:pPr>
    </w:p>
    <w:p w14:paraId="604ABE6B" w14:textId="77777777" w:rsidR="00A25BD2" w:rsidRPr="00690C04" w:rsidRDefault="006A61B1">
      <w:pPr>
        <w:spacing w:line="360" w:lineRule="auto"/>
        <w:ind w:right="5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lastRenderedPageBreak/>
        <w:t>Lo argumentado encuentra sustento en los criterios orientadores 10/17 y 11/17 emitidos por el entonces Instituto Nacional de Transparencia, Acceso a la Información y Protección de Datos Personales, INAI, que llevan por rubro y texto los siguientes:</w:t>
      </w:r>
    </w:p>
    <w:p w14:paraId="2E78057C" w14:textId="77777777" w:rsidR="00A25BD2" w:rsidRPr="00690C04" w:rsidRDefault="00A25BD2">
      <w:pPr>
        <w:spacing w:line="276" w:lineRule="auto"/>
        <w:ind w:right="50"/>
        <w:jc w:val="both"/>
        <w:rPr>
          <w:sz w:val="22"/>
          <w:szCs w:val="22"/>
        </w:rPr>
      </w:pPr>
    </w:p>
    <w:p w14:paraId="4D772E21" w14:textId="77777777" w:rsidR="00A25BD2" w:rsidRPr="00690C04" w:rsidRDefault="006A61B1">
      <w:pPr>
        <w:spacing w:line="276" w:lineRule="auto"/>
        <w:ind w:left="851" w:right="900"/>
        <w:jc w:val="both"/>
        <w:rPr>
          <w:sz w:val="22"/>
          <w:szCs w:val="22"/>
        </w:rPr>
      </w:pPr>
      <w:r w:rsidRPr="00690C04">
        <w:rPr>
          <w:rFonts w:ascii="Palatino Linotype" w:eastAsia="Palatino Linotype" w:hAnsi="Palatino Linotype" w:cs="Palatino Linotype"/>
          <w:b/>
          <w:i/>
          <w:sz w:val="22"/>
          <w:szCs w:val="22"/>
        </w:rPr>
        <w:t>“Cuentas bancarias y/o CLABE interbancaria de personas físicas y morales privadas.</w:t>
      </w:r>
      <w:r w:rsidRPr="00690C04">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03177C9" w14:textId="77777777" w:rsidR="00A25BD2" w:rsidRPr="00690C04" w:rsidRDefault="006A61B1">
      <w:pPr>
        <w:spacing w:line="276" w:lineRule="auto"/>
        <w:ind w:left="851" w:right="900"/>
        <w:jc w:val="both"/>
        <w:rPr>
          <w:sz w:val="22"/>
          <w:szCs w:val="22"/>
        </w:rPr>
      </w:pPr>
      <w:r w:rsidRPr="00690C04">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690C04">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4CD4505" w14:textId="77777777" w:rsidR="00A25BD2" w:rsidRPr="00690C04" w:rsidRDefault="00A25BD2">
      <w:pPr>
        <w:spacing w:line="360" w:lineRule="auto"/>
        <w:ind w:right="50"/>
        <w:jc w:val="both"/>
        <w:rPr>
          <w:rFonts w:ascii="Palatino Linotype" w:eastAsia="Palatino Linotype" w:hAnsi="Palatino Linotype" w:cs="Palatino Linotype"/>
          <w:sz w:val="22"/>
          <w:szCs w:val="22"/>
        </w:rPr>
      </w:pPr>
    </w:p>
    <w:p w14:paraId="41DD92FA" w14:textId="77777777" w:rsidR="00A25BD2" w:rsidRPr="00690C04" w:rsidRDefault="006A61B1">
      <w:pPr>
        <w:spacing w:line="360" w:lineRule="auto"/>
        <w:ind w:right="5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Por cuanto hace al </w:t>
      </w:r>
      <w:r w:rsidRPr="00690C04">
        <w:rPr>
          <w:rFonts w:ascii="Palatino Linotype" w:eastAsia="Palatino Linotype" w:hAnsi="Palatino Linotype" w:cs="Palatino Linotype"/>
          <w:b/>
          <w:sz w:val="22"/>
          <w:szCs w:val="22"/>
        </w:rPr>
        <w:t xml:space="preserve">Registro Federal de Contribuyentes (RFC) </w:t>
      </w:r>
      <w:r w:rsidRPr="00690C04">
        <w:rPr>
          <w:rFonts w:ascii="Palatino Linotype" w:eastAsia="Palatino Linotype" w:hAnsi="Palatino Linotype" w:cs="Palatino Linotype"/>
          <w:sz w:val="22"/>
          <w:szCs w:val="22"/>
        </w:rPr>
        <w:t>y</w:t>
      </w:r>
      <w:r w:rsidRPr="00690C04">
        <w:rPr>
          <w:rFonts w:ascii="Palatino Linotype" w:eastAsia="Palatino Linotype" w:hAnsi="Palatino Linotype" w:cs="Palatino Linotype"/>
          <w:b/>
          <w:sz w:val="22"/>
          <w:szCs w:val="22"/>
        </w:rPr>
        <w:t xml:space="preserve"> el domicilio fiscal </w:t>
      </w:r>
      <w:r w:rsidRPr="00690C04">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C5C6991" w14:textId="77777777" w:rsidR="00A25BD2" w:rsidRPr="00690C04" w:rsidRDefault="00A25BD2">
      <w:pPr>
        <w:spacing w:line="360" w:lineRule="auto"/>
        <w:ind w:right="50"/>
        <w:jc w:val="both"/>
        <w:rPr>
          <w:sz w:val="22"/>
          <w:szCs w:val="22"/>
        </w:rPr>
      </w:pPr>
    </w:p>
    <w:p w14:paraId="304ADD55" w14:textId="77777777" w:rsidR="00A25BD2" w:rsidRPr="00690C04" w:rsidRDefault="006A61B1">
      <w:pPr>
        <w:spacing w:line="360" w:lineRule="auto"/>
        <w:ind w:right="5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w:t>
      </w:r>
      <w:r w:rsidRPr="00690C04">
        <w:rPr>
          <w:rFonts w:ascii="Palatino Linotype" w:eastAsia="Palatino Linotype" w:hAnsi="Palatino Linotype" w:cs="Palatino Linotype"/>
          <w:sz w:val="22"/>
          <w:szCs w:val="22"/>
        </w:rPr>
        <w:lastRenderedPageBreak/>
        <w:t>encuentran su origen en mayor medida en las contribuciones aportados por los gobernados, por lo que debe transparentarse su ejercicio.</w:t>
      </w:r>
    </w:p>
    <w:p w14:paraId="4319D0E2" w14:textId="77777777" w:rsidR="00A25BD2" w:rsidRPr="00690C04" w:rsidRDefault="00A25BD2">
      <w:pPr>
        <w:spacing w:line="360" w:lineRule="auto"/>
        <w:ind w:right="50"/>
        <w:jc w:val="both"/>
        <w:rPr>
          <w:sz w:val="22"/>
          <w:szCs w:val="22"/>
        </w:rPr>
      </w:pPr>
    </w:p>
    <w:p w14:paraId="506F411F" w14:textId="77777777" w:rsidR="00A25BD2" w:rsidRPr="00690C04" w:rsidRDefault="006A61B1">
      <w:pPr>
        <w:spacing w:line="360" w:lineRule="auto"/>
        <w:ind w:right="5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690C04">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690C04">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572225FD" w14:textId="77777777" w:rsidR="00A25BD2" w:rsidRPr="00690C04" w:rsidRDefault="00A25BD2">
      <w:pPr>
        <w:spacing w:line="360" w:lineRule="auto"/>
        <w:ind w:right="50"/>
        <w:jc w:val="both"/>
        <w:rPr>
          <w:sz w:val="22"/>
          <w:szCs w:val="22"/>
        </w:rPr>
      </w:pPr>
    </w:p>
    <w:p w14:paraId="5418520C"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441068DB" w14:textId="77777777" w:rsidR="00A25BD2" w:rsidRPr="00690C04" w:rsidRDefault="00A25BD2">
      <w:pPr>
        <w:spacing w:line="360" w:lineRule="auto"/>
        <w:jc w:val="both"/>
        <w:rPr>
          <w:sz w:val="22"/>
          <w:szCs w:val="22"/>
        </w:rPr>
      </w:pPr>
    </w:p>
    <w:p w14:paraId="449372E0" w14:textId="77777777" w:rsidR="00A25BD2" w:rsidRPr="00690C04" w:rsidRDefault="006A61B1">
      <w:pPr>
        <w:spacing w:line="276" w:lineRule="auto"/>
        <w:ind w:left="851" w:right="902"/>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 xml:space="preserve">“Registro Federal de Contribuyentes (RFC) de personas físicas proveedoras o contratistas. </w:t>
      </w:r>
      <w:r w:rsidRPr="00690C04">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67AAC2A1" w14:textId="77777777" w:rsidR="00A25BD2" w:rsidRPr="00690C04" w:rsidRDefault="00A25BD2">
      <w:pPr>
        <w:spacing w:line="360" w:lineRule="auto"/>
        <w:ind w:left="851" w:right="902"/>
        <w:jc w:val="both"/>
        <w:rPr>
          <w:sz w:val="22"/>
          <w:szCs w:val="22"/>
        </w:rPr>
      </w:pPr>
    </w:p>
    <w:p w14:paraId="1CF990BA" w14:textId="77777777" w:rsidR="00A25BD2" w:rsidRPr="00690C04" w:rsidRDefault="006A61B1">
      <w:pPr>
        <w:spacing w:line="360" w:lineRule="auto"/>
        <w:ind w:right="5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Relacionado con lo anterior, el </w:t>
      </w:r>
      <w:r w:rsidRPr="00690C04">
        <w:rPr>
          <w:rFonts w:ascii="Palatino Linotype" w:eastAsia="Palatino Linotype" w:hAnsi="Palatino Linotype" w:cs="Palatino Linotype"/>
          <w:b/>
          <w:sz w:val="22"/>
          <w:szCs w:val="22"/>
        </w:rPr>
        <w:t>nombre de las personas físicas</w:t>
      </w:r>
      <w:r w:rsidRPr="00690C04">
        <w:rPr>
          <w:rFonts w:ascii="Palatino Linotype" w:eastAsia="Palatino Linotype" w:hAnsi="Palatino Linotype" w:cs="Palatino Linotype"/>
          <w:sz w:val="22"/>
          <w:szCs w:val="22"/>
        </w:rPr>
        <w:t xml:space="preserve"> o los </w:t>
      </w:r>
      <w:r w:rsidRPr="00690C04">
        <w:rPr>
          <w:rFonts w:ascii="Palatino Linotype" w:eastAsia="Palatino Linotype" w:hAnsi="Palatino Linotype" w:cs="Palatino Linotype"/>
          <w:b/>
          <w:sz w:val="22"/>
          <w:szCs w:val="22"/>
        </w:rPr>
        <w:t>representantes legales de las personas morales</w:t>
      </w:r>
      <w:r w:rsidRPr="00690C04">
        <w:rPr>
          <w:rFonts w:ascii="Palatino Linotype" w:eastAsia="Palatino Linotype" w:hAnsi="Palatino Linotype" w:cs="Palatino Linotype"/>
          <w:sz w:val="22"/>
          <w:szCs w:val="22"/>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w:t>
      </w:r>
      <w:r w:rsidRPr="00690C04">
        <w:rPr>
          <w:rFonts w:ascii="Palatino Linotype" w:eastAsia="Palatino Linotype" w:hAnsi="Palatino Linotype" w:cs="Palatino Linotype"/>
          <w:sz w:val="22"/>
          <w:szCs w:val="22"/>
        </w:rPr>
        <w:lastRenderedPageBreak/>
        <w:t>uso y destino de dichos recursos, motivo por el cual los datos del representante legal de la persona moral que resultó favorecida con el procedimiento de licitación no conservan el carácter de confidencial y por tanto no deben ser testados.</w:t>
      </w:r>
    </w:p>
    <w:p w14:paraId="2D31FB2D" w14:textId="77777777" w:rsidR="00A25BD2" w:rsidRPr="00690C04" w:rsidRDefault="00A25BD2">
      <w:pPr>
        <w:spacing w:line="360" w:lineRule="auto"/>
        <w:ind w:right="50"/>
        <w:jc w:val="both"/>
        <w:rPr>
          <w:sz w:val="22"/>
          <w:szCs w:val="22"/>
        </w:rPr>
      </w:pPr>
    </w:p>
    <w:p w14:paraId="717DAB63" w14:textId="77777777" w:rsidR="00A25BD2" w:rsidRPr="00690C04" w:rsidRDefault="006A61B1">
      <w:pPr>
        <w:spacing w:line="360" w:lineRule="auto"/>
        <w:ind w:right="5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7D24DE16" w14:textId="77777777" w:rsidR="00A25BD2" w:rsidRPr="00690C04" w:rsidRDefault="00A25BD2">
      <w:pPr>
        <w:spacing w:line="360" w:lineRule="auto"/>
        <w:ind w:right="50"/>
        <w:jc w:val="both"/>
        <w:rPr>
          <w:sz w:val="22"/>
          <w:szCs w:val="22"/>
        </w:rPr>
      </w:pPr>
    </w:p>
    <w:p w14:paraId="0A68EC34" w14:textId="77777777" w:rsidR="00A25BD2" w:rsidRPr="00690C04" w:rsidRDefault="006A61B1">
      <w:pPr>
        <w:spacing w:line="276" w:lineRule="auto"/>
        <w:ind w:left="851" w:right="902"/>
        <w:jc w:val="both"/>
        <w:rPr>
          <w:sz w:val="22"/>
          <w:szCs w:val="22"/>
        </w:rPr>
      </w:pPr>
      <w:r w:rsidRPr="00690C04">
        <w:rPr>
          <w:rFonts w:ascii="Palatino Linotype" w:eastAsia="Palatino Linotype" w:hAnsi="Palatino Linotype" w:cs="Palatino Linotype"/>
          <w:i/>
          <w:sz w:val="22"/>
          <w:szCs w:val="22"/>
        </w:rPr>
        <w:t>“</w:t>
      </w:r>
      <w:r w:rsidRPr="00690C04">
        <w:rPr>
          <w:rFonts w:ascii="Palatino Linotype" w:eastAsia="Palatino Linotype" w:hAnsi="Palatino Linotype" w:cs="Palatino Linotype"/>
          <w:b/>
          <w:i/>
          <w:sz w:val="22"/>
          <w:szCs w:val="22"/>
        </w:rPr>
        <w:t>Artículo 23.</w:t>
      </w:r>
      <w:r w:rsidRPr="00690C04">
        <w:rPr>
          <w:rFonts w:ascii="Palatino Linotype" w:eastAsia="Palatino Linotype" w:hAnsi="Palatino Linotype" w:cs="Palatino Linotype"/>
          <w:i/>
          <w:sz w:val="22"/>
          <w:szCs w:val="22"/>
        </w:rPr>
        <w:t xml:space="preserve"> (…)</w:t>
      </w:r>
    </w:p>
    <w:p w14:paraId="763A4441" w14:textId="77777777" w:rsidR="00A25BD2" w:rsidRPr="00690C04" w:rsidRDefault="006A61B1">
      <w:pPr>
        <w:spacing w:line="276" w:lineRule="auto"/>
        <w:ind w:left="851" w:right="902"/>
        <w:jc w:val="both"/>
        <w:rPr>
          <w:sz w:val="22"/>
          <w:szCs w:val="22"/>
        </w:rPr>
      </w:pPr>
      <w:r w:rsidRPr="00690C0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45968C0"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65146065"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59C2E9F1" w14:textId="77777777" w:rsidR="00A25BD2" w:rsidRPr="00690C04" w:rsidRDefault="00A25BD2">
      <w:pPr>
        <w:spacing w:line="360" w:lineRule="auto"/>
        <w:jc w:val="both"/>
        <w:rPr>
          <w:sz w:val="22"/>
          <w:szCs w:val="22"/>
        </w:rPr>
      </w:pPr>
    </w:p>
    <w:p w14:paraId="2595A7EE" w14:textId="77777777" w:rsidR="00A25BD2" w:rsidRPr="00690C04" w:rsidRDefault="006A61B1">
      <w:pPr>
        <w:spacing w:line="276" w:lineRule="auto"/>
        <w:ind w:left="851" w:right="900"/>
        <w:jc w:val="both"/>
        <w:rPr>
          <w:sz w:val="22"/>
          <w:szCs w:val="22"/>
        </w:rPr>
      </w:pPr>
      <w:r w:rsidRPr="00690C04">
        <w:rPr>
          <w:rFonts w:ascii="Palatino Linotype" w:eastAsia="Palatino Linotype" w:hAnsi="Palatino Linotype" w:cs="Palatino Linotype"/>
          <w:b/>
          <w:i/>
          <w:sz w:val="22"/>
          <w:szCs w:val="22"/>
        </w:rPr>
        <w:t>“Datos de identificación del representante o apoderado legal.</w:t>
      </w:r>
      <w:r w:rsidRPr="00690C04">
        <w:rPr>
          <w:rFonts w:ascii="Palatino Linotype" w:eastAsia="Palatino Linotype" w:hAnsi="Palatino Linotype" w:cs="Palatino Linotype"/>
          <w:i/>
          <w:sz w:val="22"/>
          <w:szCs w:val="22"/>
        </w:rPr>
        <w:t xml:space="preserve"> </w:t>
      </w:r>
      <w:r w:rsidRPr="00690C04">
        <w:rPr>
          <w:rFonts w:ascii="Palatino Linotype" w:eastAsia="Palatino Linotype" w:hAnsi="Palatino Linotype" w:cs="Palatino Linotype"/>
          <w:b/>
          <w:i/>
          <w:sz w:val="22"/>
          <w:szCs w:val="22"/>
        </w:rPr>
        <w:t xml:space="preserve">Naturaleza jurídica. </w:t>
      </w:r>
      <w:r w:rsidRPr="00690C04">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690C04">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690C04">
        <w:rPr>
          <w:rFonts w:ascii="Palatino Linotype" w:eastAsia="Palatino Linotype" w:hAnsi="Palatino Linotype" w:cs="Palatino Linotype"/>
          <w:i/>
          <w:sz w:val="22"/>
          <w:szCs w:val="22"/>
        </w:rPr>
        <w:t>.”</w:t>
      </w:r>
    </w:p>
    <w:p w14:paraId="79582615"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45B9DE8D"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Mientras que en el caso del </w:t>
      </w:r>
      <w:r w:rsidRPr="00690C04">
        <w:rPr>
          <w:rFonts w:ascii="Palatino Linotype" w:eastAsia="Palatino Linotype" w:hAnsi="Palatino Linotype" w:cs="Palatino Linotype"/>
          <w:b/>
          <w:sz w:val="22"/>
          <w:szCs w:val="22"/>
        </w:rPr>
        <w:t>folio fiscal</w:t>
      </w:r>
      <w:r w:rsidRPr="00690C04">
        <w:rPr>
          <w:rFonts w:ascii="Palatino Linotype" w:eastAsia="Palatino Linotype" w:hAnsi="Palatino Linotype" w:cs="Palatino Linotype"/>
          <w:sz w:val="22"/>
          <w:szCs w:val="22"/>
        </w:rPr>
        <w:t xml:space="preserve">, la </w:t>
      </w:r>
      <w:r w:rsidRPr="00690C04">
        <w:rPr>
          <w:rFonts w:ascii="Palatino Linotype" w:eastAsia="Palatino Linotype" w:hAnsi="Palatino Linotype" w:cs="Palatino Linotype"/>
          <w:b/>
          <w:sz w:val="22"/>
          <w:szCs w:val="22"/>
        </w:rPr>
        <w:t xml:space="preserve">cadena original, </w:t>
      </w:r>
      <w:r w:rsidRPr="00690C04">
        <w:rPr>
          <w:rFonts w:ascii="Palatino Linotype" w:eastAsia="Palatino Linotype" w:hAnsi="Palatino Linotype" w:cs="Palatino Linotype"/>
          <w:sz w:val="22"/>
          <w:szCs w:val="22"/>
        </w:rPr>
        <w:t>los</w:t>
      </w:r>
      <w:r w:rsidRPr="00690C04">
        <w:rPr>
          <w:rFonts w:ascii="Palatino Linotype" w:eastAsia="Palatino Linotype" w:hAnsi="Palatino Linotype" w:cs="Palatino Linotype"/>
          <w:b/>
          <w:sz w:val="22"/>
          <w:szCs w:val="22"/>
        </w:rPr>
        <w:t xml:space="preserve"> códigos bidimensionales o códigos QR,</w:t>
      </w:r>
      <w:r w:rsidRPr="00690C04">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w:t>
      </w:r>
      <w:r w:rsidRPr="00690C04">
        <w:rPr>
          <w:rFonts w:ascii="Palatino Linotype" w:eastAsia="Palatino Linotype" w:hAnsi="Palatino Linotype" w:cs="Palatino Linotype"/>
          <w:sz w:val="22"/>
          <w:szCs w:val="22"/>
        </w:rPr>
        <w:lastRenderedPageBreak/>
        <w:t>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069BA8DC" w14:textId="77777777" w:rsidR="00A25BD2" w:rsidRPr="00690C04" w:rsidRDefault="00A25BD2">
      <w:pPr>
        <w:spacing w:line="360" w:lineRule="auto"/>
        <w:jc w:val="both"/>
        <w:rPr>
          <w:sz w:val="22"/>
          <w:szCs w:val="22"/>
        </w:rPr>
      </w:pPr>
    </w:p>
    <w:p w14:paraId="1CA9A709"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3379D711"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643C7600" w14:textId="77777777" w:rsidR="00A25BD2" w:rsidRPr="00690C04" w:rsidRDefault="006A61B1">
      <w:pPr>
        <w:spacing w:line="360" w:lineRule="auto"/>
        <w:jc w:val="both"/>
        <w:rPr>
          <w:sz w:val="22"/>
          <w:szCs w:val="22"/>
        </w:rPr>
      </w:pPr>
      <w:r w:rsidRPr="00690C04">
        <w:rPr>
          <w:rFonts w:ascii="Palatino Linotype" w:eastAsia="Palatino Linotype" w:hAnsi="Palatino Linotype" w:cs="Palatino Linotype"/>
          <w:sz w:val="22"/>
          <w:szCs w:val="22"/>
        </w:rPr>
        <w:t xml:space="preserve">Asimismo, se destaca que la versión pública que elabore el </w:t>
      </w:r>
      <w:r w:rsidRPr="00690C04">
        <w:rPr>
          <w:rFonts w:ascii="Palatino Linotype" w:eastAsia="Palatino Linotype" w:hAnsi="Palatino Linotype" w:cs="Palatino Linotype"/>
          <w:b/>
          <w:sz w:val="22"/>
          <w:szCs w:val="22"/>
        </w:rPr>
        <w:t>Sujeto Obligado</w:t>
      </w:r>
      <w:r w:rsidRPr="00690C04">
        <w:rPr>
          <w:rFonts w:ascii="Palatino Linotype" w:eastAsia="Palatino Linotype" w:hAnsi="Palatino Linotype" w:cs="Palatino Linotype"/>
          <w:sz w:val="22"/>
          <w:szCs w:val="22"/>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690C04">
        <w:rPr>
          <w:rFonts w:ascii="Palatino Linotype" w:eastAsia="Palatino Linotype" w:hAnsi="Palatino Linotype" w:cs="Palatino Linotype"/>
          <w:b/>
          <w:sz w:val="22"/>
          <w:szCs w:val="22"/>
        </w:rPr>
        <w:t>Recurrente</w:t>
      </w:r>
      <w:r w:rsidRPr="00690C04">
        <w:rPr>
          <w:rFonts w:ascii="Palatino Linotype" w:eastAsia="Palatino Linotype" w:hAnsi="Palatino Linotype" w:cs="Palatino Linotype"/>
          <w:sz w:val="22"/>
          <w:szCs w:val="22"/>
        </w:rPr>
        <w:t>.</w:t>
      </w:r>
    </w:p>
    <w:p w14:paraId="7E87BB22" w14:textId="77777777" w:rsidR="00A25BD2" w:rsidRPr="00690C04" w:rsidRDefault="00A25BD2">
      <w:pPr>
        <w:rPr>
          <w:sz w:val="22"/>
          <w:szCs w:val="22"/>
        </w:rPr>
      </w:pPr>
    </w:p>
    <w:p w14:paraId="3822FF16" w14:textId="77777777" w:rsidR="00A25BD2" w:rsidRPr="00690C04" w:rsidRDefault="006A61B1">
      <w:pPr>
        <w:spacing w:line="360" w:lineRule="auto"/>
        <w:ind w:right="50"/>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31A0D306" w14:textId="77777777" w:rsidR="00A25BD2" w:rsidRPr="00690C04" w:rsidRDefault="00A25BD2">
      <w:pPr>
        <w:spacing w:line="360" w:lineRule="auto"/>
        <w:ind w:right="50"/>
        <w:jc w:val="both"/>
        <w:rPr>
          <w:rFonts w:ascii="Palatino Linotype" w:eastAsia="Palatino Linotype" w:hAnsi="Palatino Linotype" w:cs="Palatino Linotype"/>
          <w:sz w:val="22"/>
          <w:szCs w:val="22"/>
        </w:rPr>
      </w:pPr>
    </w:p>
    <w:p w14:paraId="01CC5377"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r w:rsidRPr="00690C04">
        <w:rPr>
          <w:rFonts w:ascii="Palatino Linotype" w:eastAsia="Palatino Linotype" w:hAnsi="Palatino Linotype" w:cs="Palatino Linotype"/>
          <w:b/>
          <w:i/>
          <w:sz w:val="22"/>
          <w:szCs w:val="22"/>
        </w:rPr>
        <w:t>Artículo 3.</w:t>
      </w:r>
      <w:r w:rsidRPr="00690C04">
        <w:rPr>
          <w:rFonts w:ascii="Palatino Linotype" w:eastAsia="Palatino Linotype" w:hAnsi="Palatino Linotype" w:cs="Palatino Linotype"/>
          <w:i/>
          <w:sz w:val="22"/>
          <w:szCs w:val="22"/>
        </w:rPr>
        <w:t xml:space="preserve"> Para los efectos de la presente Ley se entenderá por:</w:t>
      </w:r>
    </w:p>
    <w:p w14:paraId="16AABE3F"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p>
    <w:p w14:paraId="2F512B57"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7F878C7"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XX. Información clasificada: Aquella considerada por la presente Ley como reservada o confidencial;</w:t>
      </w:r>
    </w:p>
    <w:p w14:paraId="723E51C4"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D3C67C"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66726DAB"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p>
    <w:p w14:paraId="4EE6252B"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Artículo 91.</w:t>
      </w:r>
      <w:r w:rsidRPr="00690C0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E2CB99C"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Artículo 132.</w:t>
      </w:r>
      <w:r w:rsidRPr="00690C04">
        <w:rPr>
          <w:rFonts w:ascii="Palatino Linotype" w:eastAsia="Palatino Linotype" w:hAnsi="Palatino Linotype" w:cs="Palatino Linotype"/>
          <w:i/>
          <w:sz w:val="22"/>
          <w:szCs w:val="22"/>
        </w:rPr>
        <w:t xml:space="preserve"> La clasificación de la información se llevará a cabo en el momento en que:</w:t>
      </w:r>
    </w:p>
    <w:p w14:paraId="44D99174" w14:textId="77777777" w:rsidR="00A25BD2" w:rsidRPr="00690C04" w:rsidRDefault="006A61B1">
      <w:pPr>
        <w:tabs>
          <w:tab w:val="left" w:pos="1134"/>
        </w:tabs>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I. Se reciba una solicitud de acceso a la información;</w:t>
      </w:r>
    </w:p>
    <w:p w14:paraId="69ADEBAD" w14:textId="77777777" w:rsidR="00A25BD2" w:rsidRPr="00690C04" w:rsidRDefault="006A61B1">
      <w:pPr>
        <w:tabs>
          <w:tab w:val="left" w:pos="1134"/>
        </w:tabs>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II. Se determine mediante resolución de autoridad competente; o</w:t>
      </w:r>
    </w:p>
    <w:p w14:paraId="50373233" w14:textId="77777777" w:rsidR="00A25BD2" w:rsidRPr="00690C04" w:rsidRDefault="006A61B1">
      <w:pPr>
        <w:tabs>
          <w:tab w:val="left" w:pos="1134"/>
        </w:tabs>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08DAD02"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p>
    <w:p w14:paraId="063327CE"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Artículo 143</w:t>
      </w:r>
      <w:r w:rsidRPr="00690C0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38AC9E6"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2E706202"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86CBE78"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6ED3CFF7"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EDE36C8"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DE880D5" w14:textId="77777777" w:rsidR="00A25BD2" w:rsidRPr="00690C04" w:rsidRDefault="00A25BD2">
      <w:pPr>
        <w:ind w:left="567" w:right="616"/>
        <w:jc w:val="both"/>
        <w:rPr>
          <w:rFonts w:ascii="Palatino Linotype" w:eastAsia="Palatino Linotype" w:hAnsi="Palatino Linotype" w:cs="Palatino Linotype"/>
          <w:i/>
          <w:sz w:val="22"/>
          <w:szCs w:val="22"/>
        </w:rPr>
      </w:pPr>
    </w:p>
    <w:p w14:paraId="1BA32D9E"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E19CFC0"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1F43F249"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0CB2A5D3"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 “</w:t>
      </w:r>
      <w:r w:rsidRPr="00690C04">
        <w:rPr>
          <w:rFonts w:ascii="Palatino Linotype" w:eastAsia="Palatino Linotype" w:hAnsi="Palatino Linotype" w:cs="Palatino Linotype"/>
          <w:b/>
          <w:i/>
          <w:sz w:val="22"/>
          <w:szCs w:val="22"/>
        </w:rPr>
        <w:t>Quincuagésimo</w:t>
      </w:r>
      <w:r w:rsidRPr="00690C04">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C90582F"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Quincuagésimo primero.</w:t>
      </w:r>
      <w:r w:rsidRPr="00690C04">
        <w:rPr>
          <w:rFonts w:ascii="Palatino Linotype" w:eastAsia="Palatino Linotype" w:hAnsi="Palatino Linotype" w:cs="Palatino Linotype"/>
          <w:i/>
          <w:sz w:val="22"/>
          <w:szCs w:val="22"/>
        </w:rPr>
        <w:t xml:space="preserve"> Toda acta del Comité de Transparencia deberá contener: </w:t>
      </w:r>
    </w:p>
    <w:p w14:paraId="0893D653"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I. El número de sesión y fecha; </w:t>
      </w:r>
    </w:p>
    <w:p w14:paraId="2A91DA10"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II. El nombre del área que solicitó la clasificación de información; </w:t>
      </w:r>
    </w:p>
    <w:p w14:paraId="38675C39"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III. La fundamentación legal y motivación correspondiente; </w:t>
      </w:r>
    </w:p>
    <w:p w14:paraId="7049CA53"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IV. La resolución o resoluciones aprobadas; y </w:t>
      </w:r>
    </w:p>
    <w:p w14:paraId="59E3C744"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V. La rúbrica o firma digital de cada integrante del Comité de Transparencia. </w:t>
      </w:r>
    </w:p>
    <w:p w14:paraId="126051F3"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4348D61"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I. Los motivos y razonamientos que sustenten la confirmación o modificación de la prueba de daño;</w:t>
      </w:r>
    </w:p>
    <w:p w14:paraId="3F207B42"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II. Descripción de las partes o secciones reservadas, en caso de clasificación parcial; </w:t>
      </w:r>
    </w:p>
    <w:p w14:paraId="5C257595"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III. El periodo por el que mantendrá su clasificación y fecha de expiración; y </w:t>
      </w:r>
    </w:p>
    <w:p w14:paraId="241CB078"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BAAAF2D"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lastRenderedPageBreak/>
        <w:t xml:space="preserve">En los casos en que se clasifique la información como reservada siempre se entregará o anexará la prueba de daño con la respuesta al solicitante. </w:t>
      </w:r>
    </w:p>
    <w:p w14:paraId="5E0F4B68"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BCCAA94"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Quincuagésimo segundo.</w:t>
      </w:r>
      <w:r w:rsidRPr="00690C04">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5B8A26B"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73BB49E"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88CF1C2"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2236995"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III. Señalar las personas o instancias autorizadas a acceder a la información clasificada.</w:t>
      </w:r>
    </w:p>
    <w:p w14:paraId="63964541"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6EBBD6F" w14:textId="77777777" w:rsidR="00A25BD2" w:rsidRPr="00690C04" w:rsidRDefault="00A25BD2">
      <w:pPr>
        <w:ind w:left="567" w:right="616"/>
        <w:jc w:val="both"/>
        <w:rPr>
          <w:rFonts w:ascii="Palatino Linotype" w:eastAsia="Palatino Linotype" w:hAnsi="Palatino Linotype" w:cs="Palatino Linotype"/>
          <w:i/>
          <w:sz w:val="22"/>
          <w:szCs w:val="22"/>
        </w:rPr>
      </w:pPr>
    </w:p>
    <w:p w14:paraId="6CCF1799"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5FC94556"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4775DEB7" w14:textId="77777777" w:rsidR="00A25BD2" w:rsidRPr="00690C04" w:rsidRDefault="006A61B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r w:rsidRPr="00690C04">
        <w:rPr>
          <w:rFonts w:ascii="Palatino Linotype" w:eastAsia="Palatino Linotype" w:hAnsi="Palatino Linotype" w:cs="Palatino Linotype"/>
          <w:b/>
          <w:i/>
          <w:sz w:val="22"/>
          <w:szCs w:val="22"/>
        </w:rPr>
        <w:t>Quincuagésimo cuarto.</w:t>
      </w:r>
      <w:r w:rsidRPr="00690C04">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FEDF098"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t>Quincuagésimo quinto.</w:t>
      </w:r>
      <w:r w:rsidRPr="00690C04">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690C04">
        <w:rPr>
          <w:rFonts w:ascii="Palatino Linotype" w:eastAsia="Palatino Linotype" w:hAnsi="Palatino Linotype" w:cs="Palatino Linotype"/>
          <w:i/>
          <w:sz w:val="22"/>
          <w:szCs w:val="22"/>
        </w:rPr>
        <w:t>testado</w:t>
      </w:r>
      <w:proofErr w:type="spellEnd"/>
      <w:r w:rsidRPr="00690C0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633B017"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w:t>
      </w:r>
    </w:p>
    <w:p w14:paraId="77F73705"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b/>
          <w:i/>
          <w:sz w:val="22"/>
          <w:szCs w:val="22"/>
        </w:rPr>
        <w:lastRenderedPageBreak/>
        <w:t>Quincuagésimo séptimo.</w:t>
      </w:r>
      <w:r w:rsidRPr="00690C0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206C4C2"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8B72FC0"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66AFBA74"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E90EEF2"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92BAEF4" w14:textId="77777777" w:rsidR="00A25BD2" w:rsidRPr="00690C04" w:rsidRDefault="006A61B1">
      <w:pPr>
        <w:ind w:left="567" w:right="616"/>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3BE395FE" w14:textId="77777777" w:rsidR="00A25BD2" w:rsidRPr="00690C04" w:rsidRDefault="00A25BD2">
      <w:pPr>
        <w:spacing w:line="360" w:lineRule="auto"/>
        <w:ind w:left="567" w:right="616"/>
        <w:jc w:val="both"/>
        <w:rPr>
          <w:rFonts w:ascii="Palatino Linotype" w:eastAsia="Palatino Linotype" w:hAnsi="Palatino Linotype" w:cs="Palatino Linotype"/>
          <w:i/>
          <w:sz w:val="22"/>
          <w:szCs w:val="22"/>
        </w:rPr>
      </w:pPr>
    </w:p>
    <w:p w14:paraId="24FDF277"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D4B73C1"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12A4999E" w14:textId="77777777" w:rsidR="00A25BD2" w:rsidRPr="00690C04" w:rsidRDefault="006A61B1">
      <w:pPr>
        <w:spacing w:line="360" w:lineRule="auto"/>
        <w:ind w:right="49"/>
        <w:jc w:val="both"/>
        <w:rPr>
          <w:rFonts w:ascii="Palatino Linotype" w:eastAsia="Palatino Linotype" w:hAnsi="Palatino Linotype" w:cs="Palatino Linotype"/>
          <w:b/>
          <w:sz w:val="22"/>
          <w:szCs w:val="22"/>
        </w:rPr>
      </w:pPr>
      <w:r w:rsidRPr="00690C04">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690C04">
        <w:rPr>
          <w:rFonts w:ascii="Palatino Linotype" w:eastAsia="Palatino Linotype" w:hAnsi="Palatino Linotype" w:cs="Palatino Linotype"/>
          <w:b/>
          <w:sz w:val="22"/>
          <w:szCs w:val="22"/>
        </w:rPr>
        <w:t>RECURRENTE</w:t>
      </w:r>
      <w:r w:rsidRPr="00690C04">
        <w:rPr>
          <w:rFonts w:ascii="Palatino Linotype" w:eastAsia="Palatino Linotype" w:hAnsi="Palatino Linotype" w:cs="Palatino Linotype"/>
          <w:sz w:val="22"/>
          <w:szCs w:val="22"/>
        </w:rPr>
        <w:t xml:space="preserve"> dentro del recurso de revisión </w:t>
      </w:r>
      <w:r w:rsidRPr="00690C04">
        <w:rPr>
          <w:rFonts w:ascii="Palatino Linotype" w:eastAsia="Palatino Linotype" w:hAnsi="Palatino Linotype" w:cs="Palatino Linotype"/>
          <w:b/>
          <w:sz w:val="22"/>
          <w:szCs w:val="22"/>
        </w:rPr>
        <w:t>06284/INFOEM/IP/RR/2025</w:t>
      </w:r>
      <w:r w:rsidRPr="00690C04">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se </w:t>
      </w:r>
      <w:r w:rsidRPr="00690C04">
        <w:rPr>
          <w:rFonts w:ascii="Palatino Linotype" w:eastAsia="Palatino Linotype" w:hAnsi="Palatino Linotype" w:cs="Palatino Linotype"/>
          <w:b/>
          <w:sz w:val="22"/>
          <w:szCs w:val="22"/>
        </w:rPr>
        <w:t xml:space="preserve">REVOCA </w:t>
      </w:r>
      <w:r w:rsidRPr="00690C04">
        <w:rPr>
          <w:rFonts w:ascii="Palatino Linotype" w:eastAsia="Palatino Linotype" w:hAnsi="Palatino Linotype" w:cs="Palatino Linotype"/>
          <w:sz w:val="22"/>
          <w:szCs w:val="22"/>
        </w:rPr>
        <w:t xml:space="preserve">la respuesta del </w:t>
      </w:r>
      <w:r w:rsidRPr="00690C04">
        <w:rPr>
          <w:rFonts w:ascii="Palatino Linotype" w:eastAsia="Palatino Linotype" w:hAnsi="Palatino Linotype" w:cs="Palatino Linotype"/>
          <w:b/>
          <w:sz w:val="22"/>
          <w:szCs w:val="22"/>
        </w:rPr>
        <w:t xml:space="preserve">SUJETO OBLIGADO </w:t>
      </w:r>
      <w:r w:rsidRPr="00690C04">
        <w:rPr>
          <w:rFonts w:ascii="Palatino Linotype" w:eastAsia="Palatino Linotype" w:hAnsi="Palatino Linotype" w:cs="Palatino Linotype"/>
          <w:sz w:val="22"/>
          <w:szCs w:val="22"/>
        </w:rPr>
        <w:t xml:space="preserve">a las solicitudes de información </w:t>
      </w:r>
      <w:r w:rsidRPr="00690C04">
        <w:rPr>
          <w:rFonts w:ascii="Palatino Linotype" w:eastAsia="Palatino Linotype" w:hAnsi="Palatino Linotype" w:cs="Palatino Linotype"/>
          <w:b/>
          <w:sz w:val="22"/>
          <w:szCs w:val="22"/>
        </w:rPr>
        <w:t>00056/AMECAMEC/IP/2025.</w:t>
      </w:r>
    </w:p>
    <w:p w14:paraId="4FA60875"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lastRenderedPageBreak/>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F9F43FA"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0BFF8EA3" w14:textId="77777777" w:rsidR="00A25BD2" w:rsidRPr="00690C04" w:rsidRDefault="006A61B1">
      <w:pPr>
        <w:spacing w:line="360" w:lineRule="auto"/>
        <w:ind w:right="49"/>
        <w:jc w:val="center"/>
        <w:rPr>
          <w:rFonts w:ascii="Palatino Linotype" w:eastAsia="Palatino Linotype" w:hAnsi="Palatino Linotype" w:cs="Palatino Linotype"/>
          <w:b/>
          <w:sz w:val="22"/>
          <w:szCs w:val="22"/>
        </w:rPr>
      </w:pPr>
      <w:r w:rsidRPr="00690C04">
        <w:rPr>
          <w:rFonts w:ascii="Palatino Linotype" w:eastAsia="Palatino Linotype" w:hAnsi="Palatino Linotype" w:cs="Palatino Linotype"/>
          <w:b/>
          <w:sz w:val="22"/>
          <w:szCs w:val="22"/>
        </w:rPr>
        <w:t>III.</w:t>
      </w:r>
      <w:r w:rsidRPr="00690C04">
        <w:rPr>
          <w:rFonts w:ascii="Palatino Linotype" w:eastAsia="Palatino Linotype" w:hAnsi="Palatino Linotype" w:cs="Palatino Linotype"/>
          <w:b/>
          <w:sz w:val="22"/>
          <w:szCs w:val="22"/>
        </w:rPr>
        <w:tab/>
        <w:t>R E S U E L V E:</w:t>
      </w:r>
    </w:p>
    <w:p w14:paraId="660FBB42"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048FCE16" w14:textId="77777777" w:rsidR="00A25BD2" w:rsidRPr="00690C04" w:rsidRDefault="006A61B1">
      <w:pPr>
        <w:spacing w:line="360" w:lineRule="auto"/>
        <w:ind w:right="49"/>
        <w:jc w:val="both"/>
        <w:rPr>
          <w:rFonts w:ascii="Palatino Linotype" w:eastAsia="Palatino Linotype" w:hAnsi="Palatino Linotype" w:cs="Palatino Linotype"/>
          <w:b/>
          <w:sz w:val="22"/>
          <w:szCs w:val="22"/>
        </w:rPr>
      </w:pPr>
      <w:r w:rsidRPr="00690C04">
        <w:rPr>
          <w:rFonts w:ascii="Palatino Linotype" w:eastAsia="Palatino Linotype" w:hAnsi="Palatino Linotype" w:cs="Palatino Linotype"/>
          <w:b/>
          <w:sz w:val="22"/>
          <w:szCs w:val="22"/>
        </w:rPr>
        <w:t>Primero.</w:t>
      </w:r>
      <w:r w:rsidRPr="00690C04">
        <w:rPr>
          <w:rFonts w:ascii="Palatino Linotype" w:eastAsia="Palatino Linotype" w:hAnsi="Palatino Linotype" w:cs="Palatino Linotype"/>
          <w:sz w:val="22"/>
          <w:szCs w:val="22"/>
        </w:rPr>
        <w:t xml:space="preserve"> Resultan</w:t>
      </w:r>
      <w:r w:rsidRPr="00690C04">
        <w:rPr>
          <w:rFonts w:ascii="Palatino Linotype" w:eastAsia="Palatino Linotype" w:hAnsi="Palatino Linotype" w:cs="Palatino Linotype"/>
          <w:b/>
          <w:sz w:val="22"/>
          <w:szCs w:val="22"/>
        </w:rPr>
        <w:t xml:space="preserve"> FUNDADOS</w:t>
      </w:r>
      <w:r w:rsidRPr="00690C04">
        <w:rPr>
          <w:rFonts w:ascii="Palatino Linotype" w:eastAsia="Palatino Linotype" w:hAnsi="Palatino Linotype" w:cs="Palatino Linotype"/>
          <w:sz w:val="22"/>
          <w:szCs w:val="22"/>
        </w:rPr>
        <w:t xml:space="preserve"> los motivos de inconformidad hechos valer por la parte </w:t>
      </w:r>
      <w:r w:rsidRPr="00690C04">
        <w:rPr>
          <w:rFonts w:ascii="Palatino Linotype" w:eastAsia="Palatino Linotype" w:hAnsi="Palatino Linotype" w:cs="Palatino Linotype"/>
          <w:b/>
          <w:sz w:val="22"/>
          <w:szCs w:val="22"/>
        </w:rPr>
        <w:t>RECURRENTE</w:t>
      </w:r>
      <w:r w:rsidRPr="00690C04">
        <w:rPr>
          <w:rFonts w:ascii="Palatino Linotype" w:eastAsia="Palatino Linotype" w:hAnsi="Palatino Linotype" w:cs="Palatino Linotype"/>
          <w:sz w:val="22"/>
          <w:szCs w:val="22"/>
        </w:rPr>
        <w:t xml:space="preserve"> en el Recurso de Revisión </w:t>
      </w:r>
      <w:r w:rsidRPr="00690C04">
        <w:rPr>
          <w:rFonts w:ascii="Palatino Linotype" w:eastAsia="Palatino Linotype" w:hAnsi="Palatino Linotype" w:cs="Palatino Linotype"/>
          <w:b/>
          <w:sz w:val="22"/>
          <w:szCs w:val="22"/>
        </w:rPr>
        <w:t>06284/INFOEM/IP/RR/2025</w:t>
      </w:r>
      <w:r w:rsidRPr="00690C04">
        <w:rPr>
          <w:rFonts w:ascii="Palatino Linotype" w:eastAsia="Palatino Linotype" w:hAnsi="Palatino Linotype" w:cs="Palatino Linotype"/>
          <w:sz w:val="22"/>
          <w:szCs w:val="22"/>
        </w:rPr>
        <w:t>,</w:t>
      </w:r>
      <w:r w:rsidRPr="00690C04">
        <w:rPr>
          <w:rFonts w:ascii="Palatino Linotype" w:eastAsia="Palatino Linotype" w:hAnsi="Palatino Linotype" w:cs="Palatino Linotype"/>
          <w:b/>
          <w:sz w:val="22"/>
          <w:szCs w:val="22"/>
        </w:rPr>
        <w:t xml:space="preserve"> </w:t>
      </w:r>
      <w:r w:rsidRPr="00690C04">
        <w:rPr>
          <w:rFonts w:ascii="Palatino Linotype" w:eastAsia="Palatino Linotype" w:hAnsi="Palatino Linotype" w:cs="Palatino Linotype"/>
          <w:sz w:val="22"/>
          <w:szCs w:val="22"/>
        </w:rPr>
        <w:t xml:space="preserve">por lo que, en términos del </w:t>
      </w:r>
      <w:r w:rsidRPr="00690C04">
        <w:rPr>
          <w:rFonts w:ascii="Palatino Linotype" w:eastAsia="Palatino Linotype" w:hAnsi="Palatino Linotype" w:cs="Palatino Linotype"/>
          <w:b/>
          <w:sz w:val="22"/>
          <w:szCs w:val="22"/>
        </w:rPr>
        <w:t>Considerando Cuarto</w:t>
      </w:r>
      <w:r w:rsidRPr="00690C04">
        <w:rPr>
          <w:rFonts w:ascii="Palatino Linotype" w:eastAsia="Palatino Linotype" w:hAnsi="Palatino Linotype" w:cs="Palatino Linotype"/>
          <w:sz w:val="22"/>
          <w:szCs w:val="22"/>
        </w:rPr>
        <w:t xml:space="preserve"> de esta resolución, se </w:t>
      </w:r>
      <w:r w:rsidRPr="00690C04">
        <w:rPr>
          <w:rFonts w:ascii="Palatino Linotype" w:eastAsia="Palatino Linotype" w:hAnsi="Palatino Linotype" w:cs="Palatino Linotype"/>
          <w:b/>
          <w:sz w:val="22"/>
          <w:szCs w:val="22"/>
        </w:rPr>
        <w:t xml:space="preserve">REVOCA </w:t>
      </w:r>
      <w:r w:rsidRPr="00690C04">
        <w:rPr>
          <w:rFonts w:ascii="Palatino Linotype" w:eastAsia="Palatino Linotype" w:hAnsi="Palatino Linotype" w:cs="Palatino Linotype"/>
          <w:sz w:val="22"/>
          <w:szCs w:val="22"/>
        </w:rPr>
        <w:t xml:space="preserve">la respuesta emitida por el </w:t>
      </w:r>
      <w:r w:rsidRPr="00690C04">
        <w:rPr>
          <w:rFonts w:ascii="Palatino Linotype" w:eastAsia="Palatino Linotype" w:hAnsi="Palatino Linotype" w:cs="Palatino Linotype"/>
          <w:b/>
          <w:sz w:val="22"/>
          <w:szCs w:val="22"/>
        </w:rPr>
        <w:t>SUJETO OBLIGADO</w:t>
      </w:r>
      <w:r w:rsidRPr="00690C04">
        <w:rPr>
          <w:rFonts w:ascii="Palatino Linotype" w:eastAsia="Palatino Linotype" w:hAnsi="Palatino Linotype" w:cs="Palatino Linotype"/>
          <w:sz w:val="22"/>
          <w:szCs w:val="22"/>
        </w:rPr>
        <w:t>.</w:t>
      </w:r>
    </w:p>
    <w:p w14:paraId="1BE1E62E"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4448316D"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Segundo</w:t>
      </w:r>
      <w:r w:rsidRPr="00690C04">
        <w:rPr>
          <w:rFonts w:ascii="Palatino Linotype" w:eastAsia="Palatino Linotype" w:hAnsi="Palatino Linotype" w:cs="Palatino Linotype"/>
          <w:sz w:val="22"/>
          <w:szCs w:val="22"/>
        </w:rPr>
        <w:t xml:space="preserve">. Se </w:t>
      </w:r>
      <w:r w:rsidRPr="00690C04">
        <w:rPr>
          <w:rFonts w:ascii="Palatino Linotype" w:eastAsia="Palatino Linotype" w:hAnsi="Palatino Linotype" w:cs="Palatino Linotype"/>
          <w:b/>
          <w:sz w:val="22"/>
          <w:szCs w:val="22"/>
        </w:rPr>
        <w:t>ORDENA</w:t>
      </w:r>
      <w:r w:rsidRPr="00690C04">
        <w:rPr>
          <w:rFonts w:ascii="Palatino Linotype" w:eastAsia="Palatino Linotype" w:hAnsi="Palatino Linotype" w:cs="Palatino Linotype"/>
          <w:sz w:val="22"/>
          <w:szCs w:val="22"/>
        </w:rPr>
        <w:t xml:space="preserve"> al </w:t>
      </w:r>
      <w:r w:rsidRPr="00690C04">
        <w:rPr>
          <w:rFonts w:ascii="Palatino Linotype" w:eastAsia="Palatino Linotype" w:hAnsi="Palatino Linotype" w:cs="Palatino Linotype"/>
          <w:b/>
          <w:sz w:val="22"/>
          <w:szCs w:val="22"/>
        </w:rPr>
        <w:t>SUJETO OBLIGADO</w:t>
      </w:r>
      <w:r w:rsidRPr="00690C04">
        <w:rPr>
          <w:rFonts w:ascii="Palatino Linotype" w:eastAsia="Palatino Linotype" w:hAnsi="Palatino Linotype" w:cs="Palatino Linotype"/>
          <w:sz w:val="22"/>
          <w:szCs w:val="22"/>
        </w:rPr>
        <w:t xml:space="preserve"> a que, en términos del Considerando Cuarto y Quinto, haga entrega, vía Sistema de Acceso a la Información Mexiquense, de ser el caso, en versión pública, de lo siguiente: </w:t>
      </w:r>
    </w:p>
    <w:p w14:paraId="209CFDB6"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41BE0429" w14:textId="77777777" w:rsidR="00A25BD2" w:rsidRPr="00690C04" w:rsidRDefault="006A61B1">
      <w:pPr>
        <w:numPr>
          <w:ilvl w:val="0"/>
          <w:numId w:val="1"/>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sz w:val="22"/>
          <w:szCs w:val="22"/>
        </w:rPr>
        <w:t xml:space="preserve">Comprobantes de todos los pagos realizados a particulares a través de cheque o transferencia electrónica del uno al treinta y uno de marzo de dos mil veinticinco. </w:t>
      </w:r>
    </w:p>
    <w:p w14:paraId="31B278F4" w14:textId="77777777" w:rsidR="00A25BD2" w:rsidRPr="00690C04" w:rsidRDefault="00A25BD2">
      <w:pPr>
        <w:pBdr>
          <w:top w:val="nil"/>
          <w:left w:val="nil"/>
          <w:bottom w:val="nil"/>
          <w:right w:val="nil"/>
          <w:between w:val="nil"/>
        </w:pBdr>
        <w:spacing w:line="276" w:lineRule="auto"/>
        <w:ind w:left="567" w:right="560" w:hanging="720"/>
        <w:jc w:val="both"/>
        <w:rPr>
          <w:rFonts w:ascii="Palatino Linotype" w:eastAsia="Palatino Linotype" w:hAnsi="Palatino Linotype" w:cs="Palatino Linotype"/>
          <w:i/>
          <w:sz w:val="22"/>
          <w:szCs w:val="22"/>
        </w:rPr>
      </w:pPr>
    </w:p>
    <w:p w14:paraId="26D6FD3D" w14:textId="77777777" w:rsidR="00A25BD2" w:rsidRPr="00690C04" w:rsidRDefault="006A61B1">
      <w:pPr>
        <w:pBdr>
          <w:top w:val="nil"/>
          <w:left w:val="nil"/>
          <w:bottom w:val="nil"/>
          <w:right w:val="nil"/>
          <w:between w:val="nil"/>
        </w:pBdr>
        <w:spacing w:line="276" w:lineRule="auto"/>
        <w:ind w:left="567" w:right="560" w:hanging="720"/>
        <w:jc w:val="both"/>
        <w:rPr>
          <w:rFonts w:ascii="Palatino Linotype" w:eastAsia="Palatino Linotype" w:hAnsi="Palatino Linotype" w:cs="Palatino Linotype"/>
          <w:i/>
          <w:sz w:val="22"/>
          <w:szCs w:val="22"/>
        </w:rPr>
      </w:pPr>
      <w:r w:rsidRPr="00690C04">
        <w:rPr>
          <w:rFonts w:ascii="Palatino Linotype" w:eastAsia="Palatino Linotype" w:hAnsi="Palatino Linotype" w:cs="Palatino Linotype"/>
          <w:i/>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20BDC369" w14:textId="77777777" w:rsidR="00A25BD2" w:rsidRPr="00690C04" w:rsidRDefault="00A25BD2">
      <w:pPr>
        <w:spacing w:line="276" w:lineRule="auto"/>
        <w:ind w:left="567" w:right="560"/>
        <w:jc w:val="both"/>
        <w:rPr>
          <w:rFonts w:ascii="Palatino Linotype" w:eastAsia="Palatino Linotype" w:hAnsi="Palatino Linotype" w:cs="Palatino Linotype"/>
          <w:i/>
          <w:sz w:val="22"/>
          <w:szCs w:val="22"/>
        </w:rPr>
      </w:pPr>
    </w:p>
    <w:p w14:paraId="2AFE5A1A" w14:textId="77777777" w:rsidR="00A25BD2" w:rsidRPr="00690C04" w:rsidRDefault="00A25BD2">
      <w:pPr>
        <w:spacing w:line="276" w:lineRule="auto"/>
        <w:ind w:right="560"/>
        <w:jc w:val="both"/>
        <w:rPr>
          <w:rFonts w:ascii="Palatino Linotype" w:eastAsia="Palatino Linotype" w:hAnsi="Palatino Linotype" w:cs="Palatino Linotype"/>
          <w:i/>
          <w:sz w:val="22"/>
          <w:szCs w:val="22"/>
        </w:rPr>
      </w:pPr>
    </w:p>
    <w:p w14:paraId="7AD371CE"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lastRenderedPageBreak/>
        <w:t>Tercero.</w:t>
      </w:r>
      <w:r w:rsidRPr="00690C04">
        <w:rPr>
          <w:rFonts w:ascii="Palatino Linotype" w:eastAsia="Palatino Linotype" w:hAnsi="Palatino Linotype" w:cs="Palatino Linotype"/>
          <w:sz w:val="22"/>
          <w:szCs w:val="22"/>
        </w:rPr>
        <w:t xml:space="preserve"> </w:t>
      </w:r>
      <w:r w:rsidRPr="00690C04">
        <w:rPr>
          <w:rFonts w:ascii="Palatino Linotype" w:eastAsia="Palatino Linotype" w:hAnsi="Palatino Linotype" w:cs="Palatino Linotype"/>
          <w:b/>
          <w:sz w:val="22"/>
          <w:szCs w:val="22"/>
        </w:rPr>
        <w:t xml:space="preserve">Notifíquese vía SAIMEX </w:t>
      </w:r>
      <w:r w:rsidRPr="00690C04">
        <w:rPr>
          <w:rFonts w:ascii="Palatino Linotype" w:eastAsia="Palatino Linotype" w:hAnsi="Palatino Linotype" w:cs="Palatino Linotype"/>
          <w:sz w:val="22"/>
          <w:szCs w:val="22"/>
        </w:rPr>
        <w:t>la presente resolución al T</w:t>
      </w:r>
      <w:r w:rsidRPr="00690C04">
        <w:rPr>
          <w:rFonts w:ascii="Palatino Linotype" w:eastAsia="Palatino Linotype" w:hAnsi="Palatino Linotype" w:cs="Palatino Linotype"/>
          <w:b/>
          <w:sz w:val="22"/>
          <w:szCs w:val="22"/>
        </w:rPr>
        <w:t xml:space="preserve">itular de la Unidad de Transparencia </w:t>
      </w:r>
      <w:r w:rsidRPr="00690C04">
        <w:rPr>
          <w:rFonts w:ascii="Palatino Linotype" w:eastAsia="Palatino Linotype" w:hAnsi="Palatino Linotype" w:cs="Palatino Linotype"/>
          <w:sz w:val="22"/>
          <w:szCs w:val="22"/>
        </w:rPr>
        <w:t xml:space="preserve">del </w:t>
      </w:r>
      <w:r w:rsidRPr="00690C04">
        <w:rPr>
          <w:rFonts w:ascii="Palatino Linotype" w:eastAsia="Palatino Linotype" w:hAnsi="Palatino Linotype" w:cs="Palatino Linotype"/>
          <w:b/>
          <w:sz w:val="22"/>
          <w:szCs w:val="22"/>
        </w:rPr>
        <w:t>SUJETO OBLIGADO</w:t>
      </w:r>
      <w:r w:rsidRPr="00690C0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C1EE4A"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56DF4980" w14:textId="77777777" w:rsidR="00A25BD2" w:rsidRPr="00690C04"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 xml:space="preserve">Cuarto. Notifíquese vía SAIMEX </w:t>
      </w:r>
      <w:r w:rsidRPr="00690C04">
        <w:rPr>
          <w:rFonts w:ascii="Palatino Linotype" w:eastAsia="Palatino Linotype" w:hAnsi="Palatino Linotype" w:cs="Palatino Linotype"/>
          <w:sz w:val="22"/>
          <w:szCs w:val="22"/>
        </w:rPr>
        <w:t xml:space="preserve">a la parte </w:t>
      </w:r>
      <w:r w:rsidRPr="00690C04">
        <w:rPr>
          <w:rFonts w:ascii="Palatino Linotype" w:eastAsia="Palatino Linotype" w:hAnsi="Palatino Linotype" w:cs="Palatino Linotype"/>
          <w:b/>
          <w:sz w:val="22"/>
          <w:szCs w:val="22"/>
        </w:rPr>
        <w:t xml:space="preserve">Recurrente </w:t>
      </w:r>
      <w:r w:rsidRPr="00690C0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F138B51" w14:textId="77777777" w:rsidR="00A25BD2" w:rsidRPr="00690C04" w:rsidRDefault="00A25BD2">
      <w:pPr>
        <w:spacing w:line="360" w:lineRule="auto"/>
        <w:jc w:val="both"/>
        <w:rPr>
          <w:rFonts w:ascii="Palatino Linotype" w:eastAsia="Palatino Linotype" w:hAnsi="Palatino Linotype" w:cs="Palatino Linotype"/>
          <w:sz w:val="22"/>
          <w:szCs w:val="22"/>
        </w:rPr>
      </w:pPr>
    </w:p>
    <w:p w14:paraId="3BD477C5" w14:textId="77777777" w:rsidR="00A25BD2" w:rsidRPr="00690C04" w:rsidRDefault="006A61B1">
      <w:pPr>
        <w:spacing w:line="360" w:lineRule="auto"/>
        <w:ind w:right="49"/>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b/>
          <w:sz w:val="22"/>
          <w:szCs w:val="22"/>
        </w:rPr>
        <w:t>Quinto.</w:t>
      </w:r>
      <w:r w:rsidRPr="00690C04">
        <w:rPr>
          <w:rFonts w:ascii="Palatino Linotype" w:eastAsia="Palatino Linotype" w:hAnsi="Palatino Linotype" w:cs="Palatino Linotype"/>
          <w:sz w:val="22"/>
          <w:szCs w:val="22"/>
        </w:rPr>
        <w:t xml:space="preserve"> </w:t>
      </w:r>
      <w:r w:rsidRPr="00690C04">
        <w:rPr>
          <w:rFonts w:ascii="Palatino Linotype" w:eastAsia="Palatino Linotype" w:hAnsi="Palatino Linotype" w:cs="Palatino Linotype"/>
          <w:b/>
          <w:sz w:val="22"/>
          <w:szCs w:val="22"/>
        </w:rPr>
        <w:t xml:space="preserve">Notifíquese vía SAIMEX </w:t>
      </w:r>
      <w:r w:rsidRPr="00690C04">
        <w:rPr>
          <w:rFonts w:ascii="Palatino Linotype" w:eastAsia="Palatino Linotype" w:hAnsi="Palatino Linotype" w:cs="Palatino Linotype"/>
          <w:sz w:val="22"/>
          <w:szCs w:val="22"/>
        </w:rPr>
        <w:t>la presente resolución al T</w:t>
      </w:r>
      <w:r w:rsidRPr="00690C04">
        <w:rPr>
          <w:rFonts w:ascii="Palatino Linotype" w:eastAsia="Palatino Linotype" w:hAnsi="Palatino Linotype" w:cs="Palatino Linotype"/>
          <w:b/>
          <w:sz w:val="22"/>
          <w:szCs w:val="22"/>
        </w:rPr>
        <w:t xml:space="preserve">itular de la Unidad de Transparencia </w:t>
      </w:r>
      <w:r w:rsidRPr="00690C04">
        <w:rPr>
          <w:rFonts w:ascii="Palatino Linotype" w:eastAsia="Palatino Linotype" w:hAnsi="Palatino Linotype" w:cs="Palatino Linotype"/>
          <w:sz w:val="22"/>
          <w:szCs w:val="22"/>
        </w:rPr>
        <w:t xml:space="preserve">del </w:t>
      </w:r>
      <w:r w:rsidRPr="00690C04">
        <w:rPr>
          <w:rFonts w:ascii="Palatino Linotype" w:eastAsia="Palatino Linotype" w:hAnsi="Palatino Linotype" w:cs="Palatino Linotype"/>
          <w:b/>
          <w:sz w:val="22"/>
          <w:szCs w:val="22"/>
        </w:rPr>
        <w:t>SUJETO OBLIGADO</w:t>
      </w:r>
      <w:r w:rsidRPr="00690C04">
        <w:rPr>
          <w:rFonts w:ascii="Palatino Linotype" w:eastAsia="Palatino Linotype" w:hAnsi="Palatino Linotype" w:cs="Palatino Linotype"/>
          <w:sz w:val="22"/>
          <w:szCs w:val="22"/>
        </w:rPr>
        <w:t xml:space="preserve"> para que de conformidad con el artículo 198 de la Ley de Transparencia y Acceso a la Información Pública del Estado de México y Municipios, de considerarlo procedente, de manera fundada y motivada, solicite una ampliación de plazo para el cumplimiento de la presente resolución.</w:t>
      </w:r>
    </w:p>
    <w:p w14:paraId="61039622" w14:textId="77777777" w:rsidR="00A25BD2" w:rsidRPr="00690C04" w:rsidRDefault="00A25BD2">
      <w:pPr>
        <w:spacing w:line="360" w:lineRule="auto"/>
        <w:ind w:right="49"/>
        <w:jc w:val="both"/>
        <w:rPr>
          <w:rFonts w:ascii="Palatino Linotype" w:eastAsia="Palatino Linotype" w:hAnsi="Palatino Linotype" w:cs="Palatino Linotype"/>
          <w:sz w:val="22"/>
          <w:szCs w:val="22"/>
        </w:rPr>
      </w:pPr>
    </w:p>
    <w:p w14:paraId="61A380D3" w14:textId="77777777" w:rsidR="00A25BD2" w:rsidRPr="00C563BC" w:rsidRDefault="006A61B1">
      <w:pPr>
        <w:spacing w:line="360" w:lineRule="auto"/>
        <w:jc w:val="both"/>
        <w:rPr>
          <w:rFonts w:ascii="Palatino Linotype" w:eastAsia="Palatino Linotype" w:hAnsi="Palatino Linotype" w:cs="Palatino Linotype"/>
          <w:sz w:val="22"/>
          <w:szCs w:val="22"/>
        </w:rPr>
      </w:pPr>
      <w:r w:rsidRPr="00690C04">
        <w:rPr>
          <w:rFonts w:ascii="Palatino Linotype" w:eastAsia="Palatino Linotype" w:hAnsi="Palatino Linotype" w:cs="Palatino Linotype"/>
          <w:sz w:val="22"/>
          <w:szCs w:val="22"/>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Y </w:t>
      </w:r>
      <w:r w:rsidRPr="00690C04">
        <w:rPr>
          <w:rFonts w:ascii="Palatino Linotype" w:eastAsia="Palatino Linotype" w:hAnsi="Palatino Linotype" w:cs="Palatino Linotype"/>
          <w:sz w:val="22"/>
          <w:szCs w:val="22"/>
        </w:rPr>
        <w:lastRenderedPageBreak/>
        <w:t>GUADALUPE RAMÍREZ PEÑA; EN LA TRIGÉSIMA PRIMERA SESIÓN ORDINARIA CELEBRADA EL TRES DE SEPTIEMBRE DE DOS MIL VEINTICINCO, ANTE EL SECRETARIO TÉCNICO DEL PLENO ALEXIS TAPIA RAMÍREZ.</w:t>
      </w:r>
    </w:p>
    <w:p w14:paraId="5891FCC3" w14:textId="77777777" w:rsidR="00A25BD2" w:rsidRPr="00C563BC" w:rsidRDefault="00A25BD2">
      <w:pPr>
        <w:spacing w:line="360" w:lineRule="auto"/>
        <w:ind w:right="141"/>
        <w:jc w:val="both"/>
        <w:rPr>
          <w:rFonts w:ascii="Palatino Linotype" w:eastAsia="Palatino Linotype" w:hAnsi="Palatino Linotype" w:cs="Palatino Linotype"/>
          <w:sz w:val="22"/>
          <w:szCs w:val="22"/>
        </w:rPr>
      </w:pPr>
    </w:p>
    <w:p w14:paraId="739AA412" w14:textId="77777777" w:rsidR="00A25BD2" w:rsidRPr="00C563BC" w:rsidRDefault="00A25BD2">
      <w:pPr>
        <w:spacing w:line="360" w:lineRule="auto"/>
        <w:ind w:right="141"/>
        <w:jc w:val="both"/>
        <w:rPr>
          <w:rFonts w:ascii="Palatino Linotype" w:eastAsia="Palatino Linotype" w:hAnsi="Palatino Linotype" w:cs="Palatino Linotype"/>
          <w:sz w:val="22"/>
          <w:szCs w:val="22"/>
        </w:rPr>
      </w:pPr>
    </w:p>
    <w:p w14:paraId="0E954193" w14:textId="77777777" w:rsidR="00A25BD2" w:rsidRPr="00C563BC" w:rsidRDefault="00A25BD2">
      <w:pPr>
        <w:spacing w:line="360" w:lineRule="auto"/>
        <w:ind w:right="141"/>
        <w:jc w:val="both"/>
        <w:rPr>
          <w:rFonts w:ascii="Palatino Linotype" w:eastAsia="Palatino Linotype" w:hAnsi="Palatino Linotype" w:cs="Palatino Linotype"/>
          <w:sz w:val="22"/>
          <w:szCs w:val="22"/>
        </w:rPr>
      </w:pPr>
    </w:p>
    <w:p w14:paraId="0F0161C6" w14:textId="77777777" w:rsidR="00A25BD2" w:rsidRPr="00C563BC" w:rsidRDefault="00A25BD2">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43109357" w14:textId="77777777" w:rsidR="00A25BD2" w:rsidRPr="00C563BC" w:rsidRDefault="00A25BD2">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6DF14319"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5BA815C2" w14:textId="77777777" w:rsidR="00A25BD2" w:rsidRPr="00C563BC" w:rsidRDefault="00A25BD2">
      <w:pPr>
        <w:spacing w:line="360" w:lineRule="auto"/>
        <w:jc w:val="both"/>
        <w:rPr>
          <w:rFonts w:ascii="Palatino Linotype" w:eastAsia="Palatino Linotype" w:hAnsi="Palatino Linotype" w:cs="Palatino Linotype"/>
          <w:b/>
          <w:sz w:val="22"/>
          <w:szCs w:val="22"/>
        </w:rPr>
      </w:pPr>
    </w:p>
    <w:p w14:paraId="5A57A118" w14:textId="77777777" w:rsidR="00A25BD2" w:rsidRPr="00C563BC" w:rsidRDefault="00A25BD2">
      <w:pPr>
        <w:spacing w:line="360" w:lineRule="auto"/>
        <w:jc w:val="both"/>
        <w:rPr>
          <w:rFonts w:ascii="Palatino Linotype" w:eastAsia="Palatino Linotype" w:hAnsi="Palatino Linotype" w:cs="Palatino Linotype"/>
          <w:b/>
          <w:sz w:val="22"/>
          <w:szCs w:val="22"/>
        </w:rPr>
      </w:pPr>
    </w:p>
    <w:p w14:paraId="6ECC0BF4" w14:textId="77777777" w:rsidR="00A25BD2" w:rsidRPr="00C563BC" w:rsidRDefault="00A25BD2">
      <w:pPr>
        <w:spacing w:line="360" w:lineRule="auto"/>
        <w:jc w:val="both"/>
        <w:rPr>
          <w:rFonts w:ascii="Palatino Linotype" w:eastAsia="Palatino Linotype" w:hAnsi="Palatino Linotype" w:cs="Palatino Linotype"/>
          <w:b/>
          <w:sz w:val="22"/>
          <w:szCs w:val="22"/>
        </w:rPr>
      </w:pPr>
    </w:p>
    <w:p w14:paraId="24F3819C"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2CBFFBCA"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5C2B3E1C"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01FAAE30"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08F91E24"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5805EF1F"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76B350E4"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5833272C"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3D72B600"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74BCF0DE"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0F7170CF"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0E0167EE"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66FCC7D0" w14:textId="77777777" w:rsidR="00A25BD2" w:rsidRPr="00C563BC" w:rsidRDefault="00A25BD2">
      <w:pPr>
        <w:spacing w:line="360" w:lineRule="auto"/>
        <w:jc w:val="both"/>
        <w:rPr>
          <w:rFonts w:ascii="Palatino Linotype" w:eastAsia="Palatino Linotype" w:hAnsi="Palatino Linotype" w:cs="Palatino Linotype"/>
          <w:sz w:val="22"/>
          <w:szCs w:val="22"/>
        </w:rPr>
      </w:pPr>
    </w:p>
    <w:p w14:paraId="0A8A52CE" w14:textId="77777777" w:rsidR="00C563BC" w:rsidRPr="00C563BC" w:rsidRDefault="00C563BC">
      <w:pPr>
        <w:spacing w:line="360" w:lineRule="auto"/>
        <w:jc w:val="both"/>
        <w:rPr>
          <w:rFonts w:ascii="Palatino Linotype" w:eastAsia="Palatino Linotype" w:hAnsi="Palatino Linotype" w:cs="Palatino Linotype"/>
          <w:sz w:val="22"/>
          <w:szCs w:val="22"/>
        </w:rPr>
      </w:pPr>
    </w:p>
    <w:p w14:paraId="77974CF3" w14:textId="77777777" w:rsidR="00C563BC" w:rsidRPr="00C563BC" w:rsidRDefault="00C563BC">
      <w:pPr>
        <w:spacing w:line="360" w:lineRule="auto"/>
        <w:jc w:val="both"/>
        <w:rPr>
          <w:rFonts w:ascii="Palatino Linotype" w:eastAsia="Palatino Linotype" w:hAnsi="Palatino Linotype" w:cs="Palatino Linotype"/>
          <w:sz w:val="22"/>
          <w:szCs w:val="22"/>
        </w:rPr>
      </w:pPr>
    </w:p>
    <w:p w14:paraId="026FF540" w14:textId="77777777" w:rsidR="00C563BC" w:rsidRPr="00C563BC" w:rsidRDefault="00C563BC">
      <w:pPr>
        <w:spacing w:line="360" w:lineRule="auto"/>
        <w:jc w:val="both"/>
        <w:rPr>
          <w:rFonts w:ascii="Palatino Linotype" w:eastAsia="Palatino Linotype" w:hAnsi="Palatino Linotype" w:cs="Palatino Linotype"/>
          <w:sz w:val="22"/>
          <w:szCs w:val="22"/>
        </w:rPr>
      </w:pPr>
    </w:p>
    <w:p w14:paraId="1C204C2E" w14:textId="77777777" w:rsidR="00C563BC" w:rsidRPr="00C563BC" w:rsidRDefault="00C563BC">
      <w:pPr>
        <w:spacing w:line="360" w:lineRule="auto"/>
        <w:jc w:val="both"/>
        <w:rPr>
          <w:rFonts w:ascii="Palatino Linotype" w:eastAsia="Palatino Linotype" w:hAnsi="Palatino Linotype" w:cs="Palatino Linotype"/>
          <w:sz w:val="22"/>
          <w:szCs w:val="22"/>
        </w:rPr>
      </w:pPr>
    </w:p>
    <w:p w14:paraId="1E172F79" w14:textId="77777777" w:rsidR="00A25BD2" w:rsidRPr="00C563BC" w:rsidRDefault="00A25BD2">
      <w:pPr>
        <w:spacing w:line="360" w:lineRule="auto"/>
        <w:jc w:val="both"/>
        <w:rPr>
          <w:rFonts w:ascii="Palatino Linotype" w:eastAsia="Palatino Linotype" w:hAnsi="Palatino Linotype" w:cs="Palatino Linotype"/>
          <w:sz w:val="22"/>
          <w:szCs w:val="22"/>
        </w:rPr>
      </w:pPr>
    </w:p>
    <w:sectPr w:rsidR="00A25BD2" w:rsidRPr="00C563B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6595" w14:textId="77777777" w:rsidR="00AD4AF9" w:rsidRDefault="00AD4AF9">
      <w:r>
        <w:separator/>
      </w:r>
    </w:p>
  </w:endnote>
  <w:endnote w:type="continuationSeparator" w:id="0">
    <w:p w14:paraId="7CD511BA" w14:textId="77777777" w:rsidR="00AD4AF9" w:rsidRDefault="00AD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4323" w14:textId="77777777" w:rsidR="00A25BD2" w:rsidRDefault="006A61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0C04">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0C04">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46B0849C" w14:textId="77777777" w:rsidR="00A25BD2" w:rsidRDefault="00A25BD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FE31" w14:textId="77777777" w:rsidR="00A25BD2" w:rsidRDefault="006A61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0C0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0C04">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1E46A460" w14:textId="77777777" w:rsidR="00A25BD2" w:rsidRDefault="00A25BD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163C1" w14:textId="77777777" w:rsidR="00AD4AF9" w:rsidRDefault="00AD4AF9">
      <w:r>
        <w:separator/>
      </w:r>
    </w:p>
  </w:footnote>
  <w:footnote w:type="continuationSeparator" w:id="0">
    <w:p w14:paraId="1EFA7569" w14:textId="77777777" w:rsidR="00AD4AF9" w:rsidRDefault="00AD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2FAA" w14:textId="77777777" w:rsidR="00A25BD2" w:rsidRDefault="006A61B1">
    <w:pPr>
      <w:rPr>
        <w:rFonts w:ascii="Cambria" w:eastAsia="Cambria" w:hAnsi="Cambria" w:cs="Cambria"/>
        <w:color w:val="000000"/>
      </w:rPr>
    </w:pPr>
    <w:r>
      <w:rPr>
        <w:noProof/>
      </w:rPr>
      <w:drawing>
        <wp:anchor distT="0" distB="0" distL="0" distR="0" simplePos="0" relativeHeight="251658240" behindDoc="1" locked="0" layoutInCell="1" hidden="0" allowOverlap="1" wp14:anchorId="7828BADA" wp14:editId="4D9536E1">
          <wp:simplePos x="0" y="0"/>
          <wp:positionH relativeFrom="column">
            <wp:posOffset>-1080130</wp:posOffset>
          </wp:positionH>
          <wp:positionV relativeFrom="paragraph">
            <wp:posOffset>-488272</wp:posOffset>
          </wp:positionV>
          <wp:extent cx="7809865" cy="10165715"/>
          <wp:effectExtent l="0" t="0" r="0" b="0"/>
          <wp:wrapNone/>
          <wp:docPr id="20832964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5811" w:type="dxa"/>
      <w:tblInd w:w="3261" w:type="dxa"/>
      <w:tblLayout w:type="fixed"/>
      <w:tblLook w:val="0400" w:firstRow="0" w:lastRow="0" w:firstColumn="0" w:lastColumn="0" w:noHBand="0" w:noVBand="1"/>
    </w:tblPr>
    <w:tblGrid>
      <w:gridCol w:w="2489"/>
      <w:gridCol w:w="3322"/>
    </w:tblGrid>
    <w:tr w:rsidR="00A25BD2" w14:paraId="5EB5B1D1" w14:textId="77777777">
      <w:tc>
        <w:tcPr>
          <w:tcW w:w="2489" w:type="dxa"/>
        </w:tcPr>
        <w:p w14:paraId="568D50CB" w14:textId="77777777" w:rsidR="00A25BD2" w:rsidRDefault="006A61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vAlign w:val="center"/>
        </w:tcPr>
        <w:p w14:paraId="066152E4" w14:textId="77777777" w:rsidR="00A25BD2" w:rsidRDefault="006A61B1">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06284/INFOEM/IP/RR/2025</w:t>
          </w:r>
        </w:p>
      </w:tc>
    </w:tr>
    <w:tr w:rsidR="00A25BD2" w14:paraId="1E5C3EE1" w14:textId="77777777">
      <w:trPr>
        <w:trHeight w:val="228"/>
      </w:trPr>
      <w:tc>
        <w:tcPr>
          <w:tcW w:w="2489" w:type="dxa"/>
          <w:vAlign w:val="center"/>
        </w:tcPr>
        <w:p w14:paraId="7B739995" w14:textId="77777777" w:rsidR="00A25BD2" w:rsidRDefault="006A61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22" w:type="dxa"/>
          <w:vAlign w:val="center"/>
        </w:tcPr>
        <w:p w14:paraId="1CD7D03C" w14:textId="77777777" w:rsidR="00A25BD2" w:rsidRDefault="006A61B1">
          <w:pPr>
            <w:ind w:left="-45" w:right="-54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Amecameca</w:t>
          </w:r>
        </w:p>
      </w:tc>
    </w:tr>
    <w:tr w:rsidR="00A25BD2" w14:paraId="2C212B7B" w14:textId="77777777">
      <w:tc>
        <w:tcPr>
          <w:tcW w:w="2489" w:type="dxa"/>
          <w:vAlign w:val="center"/>
        </w:tcPr>
        <w:p w14:paraId="53E4F03D" w14:textId="77777777" w:rsidR="00A25BD2" w:rsidRDefault="006A61B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vAlign w:val="center"/>
        </w:tcPr>
        <w:p w14:paraId="10E13E56" w14:textId="77777777" w:rsidR="00A25BD2" w:rsidRDefault="006A61B1">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F8DD70B" w14:textId="77777777" w:rsidR="00A25BD2" w:rsidRDefault="006A61B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34A5" w14:textId="77777777" w:rsidR="00A25BD2" w:rsidRDefault="006A61B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0672EFA" wp14:editId="41821379">
          <wp:simplePos x="0" y="0"/>
          <wp:positionH relativeFrom="column">
            <wp:posOffset>-1080125</wp:posOffset>
          </wp:positionH>
          <wp:positionV relativeFrom="paragraph">
            <wp:posOffset>-369900</wp:posOffset>
          </wp:positionV>
          <wp:extent cx="7809865" cy="10165715"/>
          <wp:effectExtent l="0" t="0" r="0" b="0"/>
          <wp:wrapNone/>
          <wp:docPr id="20832964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d"/>
      <w:tblW w:w="6095" w:type="dxa"/>
      <w:tblInd w:w="3261" w:type="dxa"/>
      <w:tblLayout w:type="fixed"/>
      <w:tblLook w:val="0400" w:firstRow="0" w:lastRow="0" w:firstColumn="0" w:lastColumn="0" w:noHBand="0" w:noVBand="1"/>
    </w:tblPr>
    <w:tblGrid>
      <w:gridCol w:w="2489"/>
      <w:gridCol w:w="3606"/>
    </w:tblGrid>
    <w:tr w:rsidR="00A25BD2" w14:paraId="15EFC7F6" w14:textId="77777777">
      <w:tc>
        <w:tcPr>
          <w:tcW w:w="2489" w:type="dxa"/>
        </w:tcPr>
        <w:p w14:paraId="47946280" w14:textId="77777777" w:rsidR="00A25BD2" w:rsidRDefault="006A61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vAlign w:val="center"/>
        </w:tcPr>
        <w:p w14:paraId="2293AA0F" w14:textId="77777777" w:rsidR="00A25BD2" w:rsidRDefault="006A61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06284/INFOEM/IP/RR/2025</w:t>
          </w:r>
        </w:p>
      </w:tc>
    </w:tr>
    <w:tr w:rsidR="00A25BD2" w14:paraId="0A437FBC" w14:textId="77777777">
      <w:tc>
        <w:tcPr>
          <w:tcW w:w="2489" w:type="dxa"/>
        </w:tcPr>
        <w:p w14:paraId="2AD6D8EC" w14:textId="77777777" w:rsidR="00A25BD2" w:rsidRDefault="006A61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vAlign w:val="center"/>
        </w:tcPr>
        <w:p w14:paraId="0F4CA430" w14:textId="77777777" w:rsidR="00A25BD2" w:rsidRDefault="00A25BD2">
          <w:pPr>
            <w:ind w:right="175"/>
            <w:jc w:val="both"/>
            <w:rPr>
              <w:rFonts w:ascii="Palatino Linotype" w:eastAsia="Palatino Linotype" w:hAnsi="Palatino Linotype" w:cs="Palatino Linotype"/>
              <w:b/>
              <w:sz w:val="22"/>
              <w:szCs w:val="22"/>
            </w:rPr>
          </w:pPr>
        </w:p>
      </w:tc>
    </w:tr>
    <w:tr w:rsidR="00A25BD2" w14:paraId="0CF3EAA0" w14:textId="77777777">
      <w:trPr>
        <w:trHeight w:val="228"/>
      </w:trPr>
      <w:tc>
        <w:tcPr>
          <w:tcW w:w="2489" w:type="dxa"/>
          <w:vAlign w:val="center"/>
        </w:tcPr>
        <w:p w14:paraId="5A880EE9" w14:textId="77777777" w:rsidR="00A25BD2" w:rsidRDefault="006A61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vAlign w:val="center"/>
        </w:tcPr>
        <w:p w14:paraId="30B0E2A7" w14:textId="77777777" w:rsidR="00A25BD2" w:rsidRDefault="006A61B1">
          <w:pPr>
            <w:ind w:right="-3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Amecameca</w:t>
          </w:r>
        </w:p>
      </w:tc>
    </w:tr>
    <w:tr w:rsidR="00A25BD2" w14:paraId="089A4528" w14:textId="77777777">
      <w:tc>
        <w:tcPr>
          <w:tcW w:w="2489" w:type="dxa"/>
          <w:vAlign w:val="center"/>
        </w:tcPr>
        <w:p w14:paraId="047CBA52" w14:textId="77777777" w:rsidR="00A25BD2" w:rsidRDefault="006A61B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vAlign w:val="center"/>
        </w:tcPr>
        <w:p w14:paraId="40048620" w14:textId="77777777" w:rsidR="00A25BD2" w:rsidRDefault="006A61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15BC69B" w14:textId="77777777" w:rsidR="00A25BD2" w:rsidRDefault="00A25B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141F"/>
    <w:multiLevelType w:val="multilevel"/>
    <w:tmpl w:val="36F82B90"/>
    <w:lvl w:ilvl="0">
      <w:numFmt w:val="bullet"/>
      <w:pStyle w:val="Listaconvietas3"/>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385305"/>
    <w:multiLevelType w:val="multilevel"/>
    <w:tmpl w:val="3AECDB62"/>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8F559B"/>
    <w:multiLevelType w:val="multilevel"/>
    <w:tmpl w:val="AC3AA5AA"/>
    <w:lvl w:ilvl="0">
      <w:start w:val="3"/>
      <w:numFmt w:val="bullet"/>
      <w:lvlText w:val="-"/>
      <w:lvlJc w:val="left"/>
      <w:pPr>
        <w:ind w:left="720" w:hanging="360"/>
      </w:pPr>
      <w:rPr>
        <w:rFonts w:ascii="Palatino Linotype" w:eastAsia="Palatino Linotype" w:hAnsi="Palatino Linotype" w:cs="Palatino Linotype"/>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459689">
    <w:abstractNumId w:val="2"/>
  </w:num>
  <w:num w:numId="2" w16cid:durableId="379283396">
    <w:abstractNumId w:val="0"/>
  </w:num>
  <w:num w:numId="3" w16cid:durableId="129933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D2"/>
    <w:rsid w:val="00475D61"/>
    <w:rsid w:val="00690C04"/>
    <w:rsid w:val="006A61B1"/>
    <w:rsid w:val="00A25BD2"/>
    <w:rsid w:val="00A554BF"/>
    <w:rsid w:val="00AD4AF9"/>
    <w:rsid w:val="00C563BC"/>
    <w:rsid w:val="00F200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079C"/>
  <w15:docId w15:val="{9B826C8F-A98B-4F12-8E3A-843D5C91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a">
    <w:basedOn w:val="TableNormala"/>
    <w:tblPr>
      <w:tblStyleRowBandSize w:val="1"/>
      <w:tblStyleColBandSize w:val="1"/>
      <w:tblCellMar>
        <w:left w:w="115" w:type="dxa"/>
        <w:right w:w="115" w:type="dxa"/>
      </w:tblCellMar>
    </w:tblPr>
  </w:style>
  <w:style w:type="table" w:customStyle="1" w:styleId="a0">
    <w:basedOn w:val="TableNormala"/>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8"/>
    <w:tblPr>
      <w:tblStyleRowBandSize w:val="1"/>
      <w:tblStyleColBandSize w:val="1"/>
      <w:tblCellMar>
        <w:left w:w="108" w:type="dxa"/>
        <w:right w:w="108" w:type="dxa"/>
      </w:tblCellMar>
    </w:tblPr>
  </w:style>
  <w:style w:type="table" w:customStyle="1" w:styleId="a6">
    <w:basedOn w:val="TableNormal8"/>
    <w:tblPr>
      <w:tblStyleRowBandSize w:val="1"/>
      <w:tblStyleColBandSize w:val="1"/>
      <w:tblCellMar>
        <w:left w:w="108" w:type="dxa"/>
        <w:right w:w="108" w:type="dxa"/>
      </w:tblCellMar>
    </w:tblPr>
  </w:style>
  <w:style w:type="table" w:customStyle="1" w:styleId="a7">
    <w:basedOn w:val="TableNormal8"/>
    <w:tblPr>
      <w:tblStyleRowBandSize w:val="1"/>
      <w:tblStyleColBandSize w:val="1"/>
      <w:tblCellMar>
        <w:left w:w="108" w:type="dxa"/>
        <w:right w:w="108" w:type="dxa"/>
      </w:tblCellMar>
    </w:tblPr>
  </w:style>
  <w:style w:type="table" w:customStyle="1" w:styleId="a8">
    <w:basedOn w:val="TableNormal8"/>
    <w:tblPr>
      <w:tblStyleRowBandSize w:val="1"/>
      <w:tblStyleColBandSize w:val="1"/>
      <w:tblCellMar>
        <w:left w:w="108" w:type="dxa"/>
        <w:right w:w="108" w:type="dxa"/>
      </w:tblCellMar>
    </w:tblPr>
  </w:style>
  <w:style w:type="table" w:customStyle="1" w:styleId="a9">
    <w:basedOn w:val="TableNormal8"/>
    <w:tblPr>
      <w:tblStyleRowBandSize w:val="1"/>
      <w:tblStyleColBandSize w:val="1"/>
      <w:tblCellMar>
        <w:left w:w="108" w:type="dxa"/>
        <w:right w:w="108"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8"/>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08" w:type="dxa"/>
        <w:right w:w="108" w:type="dxa"/>
      </w:tblCellMar>
    </w:tblPr>
  </w:style>
  <w:style w:type="table" w:customStyle="1" w:styleId="ad">
    <w:basedOn w:val="TableNormal7"/>
    <w:tblPr>
      <w:tblStyleRowBandSize w:val="1"/>
      <w:tblStyleColBandSize w:val="1"/>
      <w:tblCellMar>
        <w:left w:w="115" w:type="dxa"/>
        <w:right w:w="115" w:type="dxa"/>
      </w:tblCellMar>
    </w:tblPr>
  </w:style>
  <w:style w:type="table" w:customStyle="1" w:styleId="ae">
    <w:basedOn w:val="TableNormal7"/>
    <w:tblPr>
      <w:tblStyleRowBandSize w:val="1"/>
      <w:tblStyleColBandSize w:val="1"/>
      <w:tblCellMar>
        <w:left w:w="115" w:type="dxa"/>
        <w:right w:w="115" w:type="dxa"/>
      </w:tblCellMar>
    </w:tblPr>
  </w:style>
  <w:style w:type="table" w:customStyle="1" w:styleId="af">
    <w:basedOn w:val="TableNormal6"/>
    <w:tblPr>
      <w:tblStyleRowBandSize w:val="1"/>
      <w:tblStyleColBandSize w:val="1"/>
      <w:tblCellMar>
        <w:left w:w="115" w:type="dxa"/>
        <w:right w:w="115" w:type="dxa"/>
      </w:tblCellMar>
    </w:tblPr>
  </w:style>
  <w:style w:type="table" w:customStyle="1" w:styleId="af0">
    <w:basedOn w:val="TableNormal6"/>
    <w:tblPr>
      <w:tblStyleRowBandSize w:val="1"/>
      <w:tblStyleColBandSize w:val="1"/>
      <w:tblCellMar>
        <w:left w:w="115" w:type="dxa"/>
        <w:right w:w="115" w:type="dxa"/>
      </w:tblCellMar>
    </w:tblPr>
  </w:style>
  <w:style w:type="table" w:customStyle="1" w:styleId="af1">
    <w:basedOn w:val="TableNormal6"/>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table" w:customStyle="1" w:styleId="af3">
    <w:basedOn w:val="TableNormal5"/>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3"/>
      </w:numPr>
      <w:contextualSpacing/>
    </w:pPr>
    <w:rPr>
      <w:lang w:eastAsia="es-ES"/>
    </w:r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Tz+2p2bQJxwdUpcJtpm0qpyvQ==">CgMxLjAyCWguNGQzNG9nODIIaC5namRneHMyCWguM2R5NnZrbTIJaC4zMGowemxsMgloLjJzOGV5bzEyCGgudHlqY3d0MgloLjN6bnlzaDcyDmgub3h6OTJ3MmFnemRnOAByITF3bWdTSGR1M0p4NjBrQkNmMHR6anVTLXVUblVXd05tOQ==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8510</Words>
  <Characters>46053</Characters>
  <Application>Microsoft Office Word</Application>
  <DocSecurity>0</DocSecurity>
  <Lines>877</Lines>
  <Paragraphs>188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2025-09-05T19:26:00Z</cp:lastPrinted>
  <dcterms:created xsi:type="dcterms:W3CDTF">2025-10-03T17:19:00Z</dcterms:created>
  <dcterms:modified xsi:type="dcterms:W3CDTF">2025-10-03T17:19:00Z</dcterms:modified>
</cp:coreProperties>
</file>