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FD2" w:rsidRDefault="00F80FD2"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111B4E">
        <w:rPr>
          <w:rFonts w:ascii="Palatino Linotype" w:eastAsia="Times New Roman" w:hAnsi="Palatino Linotype" w:cs="Palatino Linotype"/>
          <w:b/>
          <w:color w:val="000000"/>
          <w:sz w:val="24"/>
          <w:szCs w:val="24"/>
          <w:lang w:val="es-ES_tradnl" w:eastAsia="es-MX"/>
        </w:rPr>
        <w:t xml:space="preserve">a </w:t>
      </w:r>
      <w:r w:rsidR="007D3C06" w:rsidRPr="00111B4E">
        <w:rPr>
          <w:rFonts w:ascii="Palatino Linotype" w:eastAsia="Times New Roman" w:hAnsi="Palatino Linotype" w:cs="Palatino Linotype"/>
          <w:b/>
          <w:color w:val="000000"/>
          <w:sz w:val="24"/>
          <w:szCs w:val="24"/>
          <w:lang w:val="es-ES_tradnl" w:eastAsia="es-MX"/>
        </w:rPr>
        <w:t>veinte de n</w:t>
      </w:r>
      <w:r w:rsidR="009E434F" w:rsidRPr="00111B4E">
        <w:rPr>
          <w:rFonts w:ascii="Palatino Linotype" w:eastAsia="Times New Roman" w:hAnsi="Palatino Linotype" w:cs="Palatino Linotype"/>
          <w:b/>
          <w:color w:val="000000"/>
          <w:sz w:val="24"/>
          <w:szCs w:val="24"/>
          <w:lang w:val="es-ES_tradnl" w:eastAsia="es-MX"/>
        </w:rPr>
        <w:t>oviembre de dos mil veinticinco.</w:t>
      </w:r>
    </w:p>
    <w:p w:rsidR="009E434F" w:rsidRPr="00111B4E" w:rsidRDefault="009E434F"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spacing w:after="0" w:line="360" w:lineRule="auto"/>
        <w:contextualSpacing/>
        <w:jc w:val="both"/>
        <w:rPr>
          <w:rFonts w:ascii="Palatino Linotype" w:hAnsi="Palatino Linotype"/>
          <w:b/>
          <w:bCs/>
          <w:color w:val="000000"/>
          <w:sz w:val="24"/>
          <w:szCs w:val="24"/>
        </w:rPr>
      </w:pPr>
      <w:r w:rsidRPr="00111B4E">
        <w:rPr>
          <w:rFonts w:ascii="Palatino Linotype" w:eastAsia="Times New Roman" w:hAnsi="Palatino Linotype" w:cs="Palatino Linotype"/>
          <w:b/>
          <w:color w:val="000000"/>
          <w:sz w:val="24"/>
          <w:szCs w:val="24"/>
          <w:lang w:val="es-ES_tradnl" w:eastAsia="es-MX"/>
        </w:rPr>
        <w:t>VISTO</w:t>
      </w:r>
      <w:r w:rsidRPr="00111B4E">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007D3C06" w:rsidRPr="00111B4E">
        <w:rPr>
          <w:rFonts w:ascii="Palatino Linotype" w:eastAsia="Times New Roman" w:hAnsi="Palatino Linotype" w:cs="Palatino Linotype"/>
          <w:b/>
          <w:color w:val="000000"/>
          <w:sz w:val="24"/>
          <w:szCs w:val="24"/>
          <w:lang w:val="es-ES_tradnl" w:eastAsia="es-MX"/>
        </w:rPr>
        <w:t>08640</w:t>
      </w:r>
      <w:r w:rsidRPr="00111B4E">
        <w:rPr>
          <w:rFonts w:ascii="Palatino Linotype" w:eastAsia="Times New Roman" w:hAnsi="Palatino Linotype" w:cs="Palatino Linotype"/>
          <w:b/>
          <w:color w:val="000000"/>
          <w:sz w:val="24"/>
          <w:szCs w:val="24"/>
          <w:lang w:val="es-ES_tradnl" w:eastAsia="es-MX"/>
        </w:rPr>
        <w:t>/INFOEM/IP/RR/2025</w:t>
      </w:r>
      <w:bookmarkEnd w:id="0"/>
      <w:r w:rsidRPr="00111B4E">
        <w:rPr>
          <w:rFonts w:ascii="Palatino Linotype" w:eastAsia="Times New Roman" w:hAnsi="Palatino Linotype" w:cs="Palatino Linotype"/>
          <w:color w:val="000000"/>
          <w:sz w:val="24"/>
          <w:szCs w:val="24"/>
          <w:lang w:val="es-ES_tradnl" w:eastAsia="es-MX"/>
        </w:rPr>
        <w:t>, interpuesto por un particular que no proporciono nombre ni seudónimo para ser identificado</w:t>
      </w:r>
      <w:r w:rsidRPr="00111B4E">
        <w:rPr>
          <w:rFonts w:ascii="Palatino Linotype" w:eastAsia="Times New Roman" w:hAnsi="Palatino Linotype" w:cs="Arial"/>
          <w:sz w:val="24"/>
          <w:szCs w:val="24"/>
          <w:lang w:val="es-ES_tradnl" w:eastAsia="es-MX"/>
        </w:rPr>
        <w:t xml:space="preserve">, </w:t>
      </w:r>
      <w:r w:rsidRPr="00111B4E">
        <w:rPr>
          <w:rFonts w:ascii="Palatino Linotype" w:eastAsia="Times New Roman" w:hAnsi="Palatino Linotype" w:cs="Palatino Linotype"/>
          <w:color w:val="000000"/>
          <w:sz w:val="24"/>
          <w:szCs w:val="24"/>
          <w:lang w:val="es-ES_tradnl" w:eastAsia="es-MX"/>
        </w:rPr>
        <w:t xml:space="preserve">en lo sucesivo el </w:t>
      </w:r>
      <w:r w:rsidRPr="00111B4E">
        <w:rPr>
          <w:rFonts w:ascii="Palatino Linotype" w:eastAsia="Times New Roman" w:hAnsi="Palatino Linotype" w:cs="Palatino Linotype"/>
          <w:b/>
          <w:color w:val="000000"/>
          <w:sz w:val="24"/>
          <w:szCs w:val="24"/>
          <w:lang w:val="es-ES_tradnl" w:eastAsia="es-MX"/>
        </w:rPr>
        <w:t>Recurrente</w:t>
      </w:r>
      <w:r w:rsidRPr="00111B4E">
        <w:rPr>
          <w:rFonts w:ascii="Palatino Linotype" w:eastAsia="Times New Roman" w:hAnsi="Palatino Linotype" w:cs="Palatino Linotype"/>
          <w:color w:val="000000"/>
          <w:sz w:val="24"/>
          <w:szCs w:val="24"/>
          <w:lang w:val="es-ES_tradnl" w:eastAsia="es-MX"/>
        </w:rPr>
        <w:t xml:space="preserve">, en contra de la respuesta del </w:t>
      </w:r>
      <w:r w:rsidRPr="00111B4E">
        <w:rPr>
          <w:rFonts w:ascii="Palatino Linotype" w:hAnsi="Palatino Linotype"/>
          <w:b/>
          <w:bCs/>
          <w:color w:val="000000"/>
          <w:sz w:val="24"/>
          <w:szCs w:val="24"/>
        </w:rPr>
        <w:t xml:space="preserve">Ayuntamiento de </w:t>
      </w:r>
      <w:r w:rsidR="00F3133D" w:rsidRPr="00111B4E">
        <w:rPr>
          <w:rFonts w:ascii="Palatino Linotype" w:hAnsi="Palatino Linotype"/>
          <w:b/>
          <w:bCs/>
          <w:sz w:val="24"/>
          <w:szCs w:val="24"/>
        </w:rPr>
        <w:t>Chapultepec</w:t>
      </w:r>
      <w:r w:rsidRPr="00111B4E">
        <w:rPr>
          <w:rFonts w:ascii="Palatino Linotype" w:eastAsia="Times New Roman" w:hAnsi="Palatino Linotype" w:cs="Palatino Linotype"/>
          <w:color w:val="000000"/>
          <w:sz w:val="24"/>
          <w:szCs w:val="24"/>
          <w:lang w:val="es-ES_tradnl" w:eastAsia="es-MX"/>
        </w:rPr>
        <w:t>, en lo subsecuente</w:t>
      </w:r>
      <w:r w:rsidRPr="00111B4E">
        <w:rPr>
          <w:rFonts w:ascii="Palatino Linotype" w:eastAsia="Times New Roman" w:hAnsi="Palatino Linotype" w:cs="Palatino Linotype"/>
          <w:b/>
          <w:color w:val="000000"/>
          <w:sz w:val="24"/>
          <w:szCs w:val="24"/>
          <w:lang w:val="es-ES_tradnl" w:eastAsia="es-MX"/>
        </w:rPr>
        <w:t xml:space="preserve"> </w:t>
      </w:r>
      <w:r w:rsidRPr="00111B4E">
        <w:rPr>
          <w:rFonts w:ascii="Palatino Linotype" w:eastAsia="Times New Roman" w:hAnsi="Palatino Linotype" w:cs="Palatino Linotype"/>
          <w:color w:val="000000"/>
          <w:sz w:val="24"/>
          <w:szCs w:val="24"/>
          <w:lang w:val="es-ES_tradnl" w:eastAsia="es-MX"/>
        </w:rPr>
        <w:t>el</w:t>
      </w:r>
      <w:r w:rsidRPr="00111B4E">
        <w:rPr>
          <w:rFonts w:ascii="Palatino Linotype" w:eastAsia="Times New Roman" w:hAnsi="Palatino Linotype" w:cs="Palatino Linotype"/>
          <w:b/>
          <w:color w:val="000000"/>
          <w:sz w:val="24"/>
          <w:szCs w:val="24"/>
          <w:lang w:val="es-ES_tradnl" w:eastAsia="es-MX"/>
        </w:rPr>
        <w:t xml:space="preserve"> Sujeto Obligado, </w:t>
      </w:r>
      <w:r w:rsidRPr="00111B4E">
        <w:rPr>
          <w:rFonts w:ascii="Palatino Linotype" w:eastAsia="Times New Roman" w:hAnsi="Palatino Linotype" w:cs="Palatino Linotype"/>
          <w:color w:val="000000"/>
          <w:sz w:val="24"/>
          <w:szCs w:val="24"/>
          <w:lang w:val="es-ES_tradnl" w:eastAsia="es-MX"/>
        </w:rPr>
        <w:t>se procede a dictar la presente resolución.</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111B4E">
        <w:rPr>
          <w:rFonts w:ascii="Palatino Linotype" w:eastAsia="Times New Roman" w:hAnsi="Palatino Linotype" w:cs="Times New Roman"/>
          <w:b/>
          <w:color w:val="000000" w:themeColor="text1"/>
          <w:sz w:val="32"/>
          <w:szCs w:val="32"/>
          <w:lang w:val="es-ES_tradnl" w:eastAsia="es-ES"/>
        </w:rPr>
        <w:t>ANTECEDENTES</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t>PRIMERO. De la Solicitud de Información.</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Con fecha </w:t>
      </w:r>
      <w:r w:rsidR="00F3133D" w:rsidRPr="00111B4E">
        <w:rPr>
          <w:rFonts w:ascii="Palatino Linotype" w:eastAsia="Times New Roman" w:hAnsi="Palatino Linotype" w:cs="Palatino Linotype"/>
          <w:color w:val="000000"/>
          <w:sz w:val="24"/>
          <w:szCs w:val="24"/>
          <w:lang w:val="es-ES_tradnl" w:eastAsia="es-MX"/>
        </w:rPr>
        <w:t>veintitrés de junio</w:t>
      </w:r>
      <w:r w:rsidRPr="00111B4E">
        <w:rPr>
          <w:rFonts w:ascii="Palatino Linotype" w:eastAsia="Times New Roman" w:hAnsi="Palatino Linotype" w:cs="Palatino Linotype"/>
          <w:color w:val="000000"/>
          <w:sz w:val="24"/>
          <w:szCs w:val="24"/>
          <w:lang w:val="es-ES_tradnl" w:eastAsia="es-MX"/>
        </w:rPr>
        <w:t xml:space="preserve"> de dos mil veinticinco, el Recurrente presentó mediante el Sistema de Acceso a la Información Mexiquense (SAIMEX), solicitud de información </w:t>
      </w:r>
      <w:proofErr w:type="gramStart"/>
      <w:r w:rsidRPr="00111B4E">
        <w:rPr>
          <w:rFonts w:ascii="Palatino Linotype" w:eastAsia="Times New Roman" w:hAnsi="Palatino Linotype" w:cs="Palatino Linotype"/>
          <w:color w:val="000000"/>
          <w:sz w:val="24"/>
          <w:szCs w:val="24"/>
          <w:lang w:val="es-ES_tradnl" w:eastAsia="es-MX"/>
        </w:rPr>
        <w:t>registrada</w:t>
      </w:r>
      <w:proofErr w:type="gramEnd"/>
      <w:r w:rsidRPr="00111B4E">
        <w:rPr>
          <w:rFonts w:ascii="Palatino Linotype" w:eastAsia="Times New Roman" w:hAnsi="Palatino Linotype" w:cs="Palatino Linotype"/>
          <w:color w:val="000000"/>
          <w:sz w:val="24"/>
          <w:szCs w:val="24"/>
          <w:lang w:val="es-ES_tradnl" w:eastAsia="es-MX"/>
        </w:rPr>
        <w:t xml:space="preserve"> con el número de </w:t>
      </w:r>
      <w:r w:rsidRPr="00111B4E">
        <w:rPr>
          <w:rFonts w:ascii="Palatino Linotype" w:eastAsia="Times New Roman" w:hAnsi="Palatino Linotype" w:cs="Palatino Linotype"/>
          <w:sz w:val="24"/>
          <w:szCs w:val="24"/>
          <w:lang w:val="es-ES_tradnl" w:eastAsia="es-MX"/>
        </w:rPr>
        <w:t>expediente</w:t>
      </w:r>
      <w:r w:rsidRPr="00111B4E">
        <w:rPr>
          <w:rFonts w:ascii="Verdana" w:eastAsia="Times New Roman" w:hAnsi="Verdana" w:cs="Calibri"/>
          <w:b/>
          <w:bCs/>
          <w:color w:val="FF0000"/>
          <w:sz w:val="24"/>
          <w:lang w:val="es-ES_tradnl" w:eastAsia="es-MX"/>
        </w:rPr>
        <w:t> </w:t>
      </w:r>
      <w:r w:rsidRPr="00111B4E">
        <w:rPr>
          <w:color w:val="000000"/>
          <w:sz w:val="27"/>
          <w:szCs w:val="27"/>
        </w:rPr>
        <w:t> </w:t>
      </w:r>
      <w:r w:rsidRPr="00111B4E">
        <w:rPr>
          <w:rFonts w:ascii="Verdana" w:hAnsi="Verdana"/>
          <w:b/>
          <w:bCs/>
          <w:color w:val="FF0000"/>
          <w:sz w:val="20"/>
          <w:szCs w:val="20"/>
        </w:rPr>
        <w:t> </w:t>
      </w:r>
      <w:r w:rsidR="00F3133D" w:rsidRPr="00111B4E">
        <w:rPr>
          <w:rFonts w:ascii="Palatino Linotype" w:hAnsi="Palatino Linotype"/>
          <w:b/>
          <w:bCs/>
          <w:sz w:val="24"/>
          <w:szCs w:val="24"/>
        </w:rPr>
        <w:t>00064/CHAPULTE/IP/2025</w:t>
      </w:r>
      <w:r w:rsidRPr="00111B4E">
        <w:rPr>
          <w:rFonts w:ascii="Palatino Linotype" w:eastAsia="Times New Roman" w:hAnsi="Palatino Linotype" w:cs="Palatino Linotype"/>
          <w:sz w:val="24"/>
          <w:szCs w:val="24"/>
          <w:lang w:val="es-ES_tradnl" w:eastAsia="es-MX"/>
        </w:rPr>
        <w:t>,</w:t>
      </w:r>
      <w:r w:rsidRPr="00111B4E">
        <w:rPr>
          <w:rFonts w:ascii="Palatino Linotype" w:eastAsia="Times New Roman" w:hAnsi="Palatino Linotype" w:cs="Palatino Linotype"/>
          <w:b/>
          <w:sz w:val="24"/>
          <w:szCs w:val="24"/>
          <w:lang w:val="es-ES_tradnl" w:eastAsia="es-MX"/>
        </w:rPr>
        <w:t xml:space="preserve"> </w:t>
      </w:r>
      <w:r w:rsidRPr="00111B4E">
        <w:rPr>
          <w:rFonts w:ascii="Palatino Linotype" w:eastAsia="Times New Roman" w:hAnsi="Palatino Linotype" w:cs="Palatino Linotype"/>
          <w:color w:val="000000"/>
          <w:sz w:val="24"/>
          <w:szCs w:val="24"/>
          <w:lang w:val="es-ES_tradnl" w:eastAsia="es-MX"/>
        </w:rPr>
        <w:t>mediante la cual solicitó inf</w:t>
      </w:r>
      <w:r w:rsidR="00F3133D" w:rsidRPr="00111B4E">
        <w:rPr>
          <w:rFonts w:ascii="Palatino Linotype" w:eastAsia="Times New Roman" w:hAnsi="Palatino Linotype" w:cs="Palatino Linotype"/>
          <w:color w:val="000000"/>
          <w:sz w:val="24"/>
          <w:szCs w:val="24"/>
          <w:lang w:val="es-ES_tradnl" w:eastAsia="es-MX"/>
        </w:rPr>
        <w:t>ormación en el tenor siguiente:</w:t>
      </w:r>
    </w:p>
    <w:p w:rsidR="00F3133D" w:rsidRPr="00111B4E" w:rsidRDefault="00F3133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111B4E">
        <w:rPr>
          <w:rFonts w:ascii="Palatino Linotype" w:eastAsia="Times New Roman" w:hAnsi="Palatino Linotype" w:cs="Palatino Linotype"/>
          <w:i/>
          <w:iCs/>
          <w:color w:val="000000"/>
          <w:lang w:val="es-ES_tradnl" w:eastAsia="es-MX"/>
        </w:rPr>
        <w:t>“</w:t>
      </w:r>
      <w:r w:rsidR="00F3133D" w:rsidRPr="00111B4E">
        <w:rPr>
          <w:rFonts w:ascii="Palatino Linotype" w:hAnsi="Palatino Linotype"/>
          <w:i/>
          <w:color w:val="000000"/>
        </w:rPr>
        <w:t xml:space="preserve">I. Información general sobre operación y cobertura: Frecuencia y horario de patrullajes por delegación o colonia en el municipio durante los últimos 6 meses. Número total de elementos operativos por turno y por tipo de función (sin datos personales, únicamente estadísticos). Número de unidades patrullas operativas y descompuestas, especificando modelo, año, </w:t>
      </w:r>
      <w:r w:rsidR="00F3133D" w:rsidRPr="00111B4E">
        <w:rPr>
          <w:rFonts w:ascii="Palatino Linotype" w:hAnsi="Palatino Linotype"/>
          <w:i/>
          <w:color w:val="000000"/>
        </w:rPr>
        <w:lastRenderedPageBreak/>
        <w:t xml:space="preserve">kilometraje estimado y estado mecánico actual. Esta información se solicita con base en criterios estadísticos y administrativos, sin requerir nombres ni ubicaciones específicas que comprometan operaciones tácticas.” </w:t>
      </w:r>
      <w:r w:rsidR="00F3133D" w:rsidRPr="00111B4E">
        <w:rPr>
          <w:rFonts w:ascii="Palatino Linotype" w:eastAsia="Times New Roman" w:hAnsi="Palatino Linotype" w:cs="Palatino Linotype"/>
          <w:i/>
          <w:color w:val="000000"/>
          <w:lang w:val="es-ES_tradnl" w:eastAsia="es-MX"/>
        </w:rPr>
        <w:t xml:space="preserve"> </w:t>
      </w:r>
      <w:r w:rsidRPr="00111B4E">
        <w:rPr>
          <w:rFonts w:ascii="Palatino Linotype" w:eastAsia="Times New Roman" w:hAnsi="Palatino Linotype" w:cs="Palatino Linotype"/>
          <w:i/>
          <w:color w:val="000000"/>
          <w:szCs w:val="24"/>
          <w:lang w:val="es-ES_tradnl" w:eastAsia="es-MX"/>
        </w:rPr>
        <w:t>(Sic)</w:t>
      </w:r>
    </w:p>
    <w:p w:rsidR="00F3133D" w:rsidRPr="00111B4E" w:rsidRDefault="00F3133D" w:rsidP="00462F1D">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Modalidad de entrega: </w:t>
      </w:r>
      <w:r w:rsidRPr="00111B4E">
        <w:rPr>
          <w:rFonts w:ascii="Palatino Linotype" w:eastAsia="Times New Roman" w:hAnsi="Palatino Linotype" w:cs="Palatino Linotype"/>
          <w:b/>
          <w:color w:val="000000"/>
          <w:sz w:val="24"/>
          <w:szCs w:val="24"/>
          <w:lang w:val="es-ES_tradnl" w:eastAsia="es-MX"/>
        </w:rPr>
        <w:t>A través del SAIMEX</w:t>
      </w:r>
      <w:r w:rsidRPr="00111B4E">
        <w:rPr>
          <w:rFonts w:ascii="Palatino Linotype" w:eastAsia="Times New Roman" w:hAnsi="Palatino Linotype" w:cs="Palatino Linotype"/>
          <w:color w:val="000000"/>
          <w:sz w:val="24"/>
          <w:szCs w:val="24"/>
          <w:lang w:val="es-ES_tradnl" w:eastAsia="es-MX"/>
        </w:rPr>
        <w:t>.</w:t>
      </w:r>
    </w:p>
    <w:p w:rsidR="00462F1D" w:rsidRPr="00111B4E" w:rsidRDefault="00462F1D" w:rsidP="00462F1D">
      <w:pPr>
        <w:spacing w:after="0" w:line="360" w:lineRule="auto"/>
        <w:contextualSpacing/>
        <w:jc w:val="both"/>
        <w:rPr>
          <w:rFonts w:ascii="Palatino Linotype" w:eastAsia="Times New Roman" w:hAnsi="Palatino Linotype" w:cs="Palatino Linotype"/>
          <w:b/>
          <w:color w:val="000000"/>
          <w:sz w:val="24"/>
          <w:szCs w:val="24"/>
          <w:lang w:val="es-ES_tradnl" w:eastAsia="es-MX"/>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t>SEGUNDO. De la respuesta del Sujeto Obligado.</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F3133D" w:rsidRPr="00111B4E">
        <w:rPr>
          <w:rFonts w:ascii="Palatino Linotype" w:eastAsia="Times New Roman" w:hAnsi="Palatino Linotype" w:cs="Palatino Linotype"/>
          <w:color w:val="000000"/>
          <w:sz w:val="24"/>
          <w:szCs w:val="24"/>
          <w:lang w:val="es-ES_tradnl" w:eastAsia="es-MX"/>
        </w:rPr>
        <w:t>catorce de julio</w:t>
      </w:r>
      <w:r w:rsidRPr="00111B4E">
        <w:rPr>
          <w:rFonts w:ascii="Palatino Linotype" w:eastAsia="Times New Roman" w:hAnsi="Palatino Linotype" w:cs="Palatino Linotype"/>
          <w:color w:val="000000"/>
          <w:sz w:val="24"/>
          <w:szCs w:val="24"/>
          <w:lang w:val="es-ES_tradnl" w:eastAsia="es-MX"/>
        </w:rPr>
        <w:t xml:space="preserve"> de dos mil veinticinco, el Sujeto Obligado dio respuesta a la solicitud de información manifestando lo siguiente:</w:t>
      </w:r>
    </w:p>
    <w:tbl>
      <w:tblPr>
        <w:tblW w:w="6110" w:type="dxa"/>
        <w:jc w:val="center"/>
        <w:tblCellSpacing w:w="0" w:type="dxa"/>
        <w:tblCellMar>
          <w:left w:w="0" w:type="dxa"/>
          <w:right w:w="0" w:type="dxa"/>
        </w:tblCellMar>
        <w:tblLook w:val="04A0" w:firstRow="1" w:lastRow="0" w:firstColumn="1" w:lastColumn="0" w:noHBand="0" w:noVBand="1"/>
      </w:tblPr>
      <w:tblGrid>
        <w:gridCol w:w="6110"/>
      </w:tblGrid>
      <w:tr w:rsidR="00F3133D" w:rsidRPr="00111B4E" w:rsidTr="00F3133D">
        <w:trPr>
          <w:trHeight w:val="274"/>
          <w:tblCellSpacing w:w="0" w:type="dxa"/>
          <w:jc w:val="center"/>
        </w:trPr>
        <w:tc>
          <w:tcPr>
            <w:tcW w:w="0" w:type="auto"/>
            <w:vAlign w:val="center"/>
            <w:hideMark/>
          </w:tcPr>
          <w:p w:rsidR="00F3133D" w:rsidRPr="00111B4E" w:rsidRDefault="00F3133D" w:rsidP="00F3133D">
            <w:pPr>
              <w:spacing w:after="0" w:line="240" w:lineRule="auto"/>
              <w:jc w:val="right"/>
              <w:rPr>
                <w:rFonts w:ascii="Palatino Linotype" w:eastAsia="Times New Roman" w:hAnsi="Palatino Linotype" w:cs="Times New Roman"/>
                <w:i/>
                <w:lang w:eastAsia="es-MX"/>
              </w:rPr>
            </w:pPr>
            <w:r w:rsidRPr="00111B4E">
              <w:rPr>
                <w:rFonts w:ascii="Palatino Linotype" w:eastAsia="Times New Roman" w:hAnsi="Palatino Linotype" w:cs="Times New Roman"/>
                <w:i/>
                <w:lang w:eastAsia="es-MX"/>
              </w:rPr>
              <w:t>Nombre del solicitante: C. Solicitante</w:t>
            </w:r>
          </w:p>
        </w:tc>
      </w:tr>
      <w:tr w:rsidR="00F3133D" w:rsidRPr="00111B4E" w:rsidTr="00F3133D">
        <w:trPr>
          <w:trHeight w:val="274"/>
          <w:tblCellSpacing w:w="0" w:type="dxa"/>
          <w:jc w:val="center"/>
        </w:trPr>
        <w:tc>
          <w:tcPr>
            <w:tcW w:w="0" w:type="auto"/>
            <w:vAlign w:val="center"/>
            <w:hideMark/>
          </w:tcPr>
          <w:p w:rsidR="00F3133D" w:rsidRPr="00111B4E" w:rsidRDefault="00F3133D" w:rsidP="00F3133D">
            <w:pPr>
              <w:spacing w:after="0" w:line="240" w:lineRule="auto"/>
              <w:jc w:val="right"/>
              <w:rPr>
                <w:rFonts w:ascii="Palatino Linotype" w:eastAsia="Times New Roman" w:hAnsi="Palatino Linotype" w:cs="Times New Roman"/>
                <w:i/>
                <w:lang w:eastAsia="es-MX"/>
              </w:rPr>
            </w:pPr>
            <w:r w:rsidRPr="00111B4E">
              <w:rPr>
                <w:rFonts w:ascii="Palatino Linotype" w:eastAsia="Times New Roman" w:hAnsi="Palatino Linotype" w:cs="Times New Roman"/>
                <w:i/>
                <w:lang w:eastAsia="es-MX"/>
              </w:rPr>
              <w:t>Folio de la solicitud: 00064/CHAPULTE/IP/2025</w:t>
            </w:r>
          </w:p>
        </w:tc>
      </w:tr>
      <w:tr w:rsidR="00F3133D" w:rsidRPr="00111B4E" w:rsidTr="00F3133D">
        <w:trPr>
          <w:trHeight w:val="342"/>
          <w:tblCellSpacing w:w="0" w:type="dxa"/>
          <w:jc w:val="center"/>
        </w:trPr>
        <w:tc>
          <w:tcPr>
            <w:tcW w:w="0" w:type="auto"/>
            <w:vAlign w:val="center"/>
            <w:hideMark/>
          </w:tcPr>
          <w:p w:rsidR="00F3133D" w:rsidRPr="00111B4E" w:rsidRDefault="00F3133D" w:rsidP="00F3133D">
            <w:pPr>
              <w:spacing w:after="0" w:line="240" w:lineRule="auto"/>
              <w:rPr>
                <w:rFonts w:ascii="Palatino Linotype" w:eastAsia="Times New Roman" w:hAnsi="Palatino Linotype" w:cs="Times New Roman"/>
                <w:i/>
                <w:lang w:eastAsia="es-MX"/>
              </w:rPr>
            </w:pPr>
          </w:p>
        </w:tc>
      </w:tr>
      <w:tr w:rsidR="00F3133D" w:rsidRPr="00111B4E" w:rsidTr="00F3133D">
        <w:trPr>
          <w:trHeight w:val="137"/>
          <w:tblCellSpacing w:w="0" w:type="dxa"/>
          <w:jc w:val="center"/>
        </w:trPr>
        <w:tc>
          <w:tcPr>
            <w:tcW w:w="0" w:type="auto"/>
            <w:vAlign w:val="center"/>
            <w:hideMark/>
          </w:tcPr>
          <w:p w:rsidR="00F3133D" w:rsidRPr="00111B4E" w:rsidRDefault="00F3133D" w:rsidP="00F3133D">
            <w:pPr>
              <w:spacing w:after="0" w:line="240" w:lineRule="auto"/>
              <w:rPr>
                <w:rFonts w:ascii="Palatino Linotype" w:eastAsia="Times New Roman" w:hAnsi="Palatino Linotype" w:cs="Times New Roman"/>
                <w:i/>
                <w:lang w:eastAsia="es-MX"/>
              </w:rPr>
            </w:pPr>
            <w:r w:rsidRPr="00111B4E">
              <w:rPr>
                <w:rFonts w:ascii="Palatino Linotype" w:eastAsia="Times New Roman" w:hAnsi="Palatino Linotype" w:cs="Times New Roman"/>
                <w:i/>
                <w:lang w:eastAsia="es-MX"/>
              </w:rPr>
              <w:t>Adjunto archivos de respuesta</w:t>
            </w:r>
          </w:p>
        </w:tc>
      </w:tr>
    </w:tbl>
    <w:p w:rsidR="00462F1D" w:rsidRPr="00111B4E" w:rsidRDefault="00462F1D" w:rsidP="00462F1D">
      <w:pPr>
        <w:spacing w:after="0" w:line="360" w:lineRule="auto"/>
        <w:contextualSpacing/>
        <w:jc w:val="both"/>
        <w:rPr>
          <w:rFonts w:ascii="Palatino Linotype" w:eastAsia="Times New Roman" w:hAnsi="Palatino Linotype" w:cs="Palatino Linotype"/>
          <w:i/>
          <w:color w:val="000000"/>
          <w:lang w:val="es-ES_tradnl" w:eastAsia="es-MX"/>
        </w:rPr>
      </w:pPr>
    </w:p>
    <w:p w:rsidR="00462F1D" w:rsidRPr="00111B4E" w:rsidRDefault="00462F1D" w:rsidP="00462F1D">
      <w:pPr>
        <w:spacing w:after="0" w:line="360" w:lineRule="auto"/>
        <w:contextualSpacing/>
        <w:jc w:val="both"/>
        <w:rPr>
          <w:rFonts w:ascii="Palatino Linotype" w:eastAsia="Times New Roman" w:hAnsi="Palatino Linotype" w:cs="Palatino Linotype"/>
          <w:i/>
          <w:color w:val="000000"/>
          <w:lang w:val="es-ES_tradnl" w:eastAsia="es-MX"/>
        </w:rPr>
      </w:pPr>
    </w:p>
    <w:p w:rsidR="00462F1D" w:rsidRPr="00111B4E" w:rsidRDefault="00462F1D" w:rsidP="00462F1D">
      <w:pPr>
        <w:spacing w:after="0" w:line="360" w:lineRule="auto"/>
        <w:contextualSpacing/>
        <w:jc w:val="both"/>
        <w:rPr>
          <w:rFonts w:ascii="Palatino Linotype" w:hAnsi="Palatino Linotype" w:cs="Arial"/>
          <w:b/>
          <w:bCs/>
          <w:i/>
          <w:sz w:val="24"/>
          <w:szCs w:val="24"/>
        </w:rPr>
      </w:pPr>
      <w:r w:rsidRPr="00111B4E">
        <w:rPr>
          <w:rFonts w:ascii="Palatino Linotype" w:eastAsia="Times New Roman" w:hAnsi="Palatino Linotype" w:cs="Palatino Linotype"/>
          <w:color w:val="000000"/>
          <w:sz w:val="24"/>
          <w:szCs w:val="24"/>
          <w:lang w:val="es-ES_tradnl" w:eastAsia="es-MX"/>
        </w:rPr>
        <w:t xml:space="preserve">El Sujeto Obligado adjuntó a su respuesta los documentos denominados </w:t>
      </w:r>
      <w:r w:rsidRPr="00111B4E">
        <w:rPr>
          <w:rFonts w:ascii="Palatino Linotype" w:eastAsia="Times New Roman" w:hAnsi="Palatino Linotype" w:cs="Palatino Linotype"/>
          <w:i/>
          <w:sz w:val="24"/>
          <w:szCs w:val="24"/>
          <w:lang w:val="es-ES_tradnl" w:eastAsia="es-MX"/>
        </w:rPr>
        <w:t>“</w:t>
      </w:r>
      <w:r w:rsidR="00F3133D" w:rsidRPr="00111B4E">
        <w:rPr>
          <w:rFonts w:ascii="Palatino Linotype" w:hAnsi="Palatino Linotype" w:cs="Arial"/>
          <w:b/>
          <w:bCs/>
          <w:i/>
          <w:sz w:val="24"/>
          <w:szCs w:val="24"/>
        </w:rPr>
        <w:t>prueba de daño 64 SPM.pdf</w:t>
      </w:r>
      <w:r w:rsidR="00490E8C" w:rsidRPr="00111B4E">
        <w:rPr>
          <w:rFonts w:ascii="Palatino Linotype" w:hAnsi="Palatino Linotype" w:cs="Arial"/>
          <w:b/>
          <w:bCs/>
          <w:i/>
          <w:sz w:val="24"/>
          <w:szCs w:val="24"/>
        </w:rPr>
        <w:t>”, “</w:t>
      </w:r>
      <w:r w:rsidR="00F3133D" w:rsidRPr="00111B4E">
        <w:rPr>
          <w:rFonts w:ascii="Palatino Linotype" w:hAnsi="Palatino Linotype" w:cs="Arial"/>
          <w:b/>
          <w:bCs/>
          <w:i/>
          <w:sz w:val="24"/>
          <w:szCs w:val="24"/>
        </w:rPr>
        <w:t xml:space="preserve">quinta </w:t>
      </w:r>
      <w:proofErr w:type="spellStart"/>
      <w:r w:rsidR="00F3133D" w:rsidRPr="00111B4E">
        <w:rPr>
          <w:rFonts w:ascii="Palatino Linotype" w:hAnsi="Palatino Linotype" w:cs="Arial"/>
          <w:b/>
          <w:bCs/>
          <w:i/>
          <w:sz w:val="24"/>
          <w:szCs w:val="24"/>
        </w:rPr>
        <w:t>sesion</w:t>
      </w:r>
      <w:proofErr w:type="spellEnd"/>
      <w:r w:rsidR="00F3133D" w:rsidRPr="00111B4E">
        <w:rPr>
          <w:rFonts w:ascii="Palatino Linotype" w:hAnsi="Palatino Linotype" w:cs="Arial"/>
          <w:b/>
          <w:bCs/>
          <w:i/>
          <w:sz w:val="24"/>
          <w:szCs w:val="24"/>
        </w:rPr>
        <w:t xml:space="preserve"> extraordinaria CT.pdf</w:t>
      </w:r>
      <w:r w:rsidR="00490E8C" w:rsidRPr="00111B4E">
        <w:rPr>
          <w:rFonts w:ascii="Palatino Linotype" w:hAnsi="Palatino Linotype" w:cs="Arial"/>
          <w:b/>
          <w:bCs/>
          <w:i/>
          <w:sz w:val="24"/>
          <w:szCs w:val="24"/>
        </w:rPr>
        <w:t>”, “</w:t>
      </w:r>
      <w:r w:rsidR="00F3133D" w:rsidRPr="00111B4E">
        <w:rPr>
          <w:rFonts w:ascii="Palatino Linotype" w:hAnsi="Palatino Linotype" w:cs="Arial"/>
          <w:b/>
          <w:bCs/>
          <w:i/>
          <w:sz w:val="24"/>
          <w:szCs w:val="24"/>
        </w:rPr>
        <w:t>0064_CHAPULTE_IP_2025 respuesta.pdf</w:t>
      </w:r>
      <w:r w:rsidR="00490E8C" w:rsidRPr="00111B4E">
        <w:rPr>
          <w:rFonts w:ascii="Palatino Linotype" w:hAnsi="Palatino Linotype" w:cs="Arial"/>
          <w:b/>
          <w:bCs/>
          <w:i/>
          <w:sz w:val="24"/>
          <w:szCs w:val="24"/>
        </w:rPr>
        <w:t>” y “</w:t>
      </w:r>
      <w:r w:rsidR="00F3133D" w:rsidRPr="00111B4E">
        <w:rPr>
          <w:rFonts w:ascii="Palatino Linotype" w:hAnsi="Palatino Linotype" w:cs="Arial"/>
          <w:b/>
          <w:bCs/>
          <w:i/>
          <w:sz w:val="24"/>
          <w:szCs w:val="24"/>
        </w:rPr>
        <w:t xml:space="preserve">cuadro de </w:t>
      </w:r>
      <w:proofErr w:type="spellStart"/>
      <w:r w:rsidR="00F3133D" w:rsidRPr="00111B4E">
        <w:rPr>
          <w:rFonts w:ascii="Palatino Linotype" w:hAnsi="Palatino Linotype" w:cs="Arial"/>
          <w:b/>
          <w:bCs/>
          <w:i/>
          <w:sz w:val="24"/>
          <w:szCs w:val="24"/>
        </w:rPr>
        <w:t>clasificacion</w:t>
      </w:r>
      <w:proofErr w:type="spellEnd"/>
      <w:r w:rsidR="00F3133D" w:rsidRPr="00111B4E">
        <w:rPr>
          <w:rFonts w:ascii="Palatino Linotype" w:hAnsi="Palatino Linotype" w:cs="Arial"/>
          <w:b/>
          <w:bCs/>
          <w:i/>
          <w:sz w:val="24"/>
          <w:szCs w:val="24"/>
        </w:rPr>
        <w:t xml:space="preserve"> 64 SPM.pdf</w:t>
      </w:r>
      <w:r w:rsidRPr="00111B4E">
        <w:rPr>
          <w:rFonts w:ascii="Palatino Linotype" w:hAnsi="Palatino Linotype" w:cs="Arial"/>
          <w:b/>
          <w:bCs/>
          <w:i/>
          <w:iCs/>
          <w:sz w:val="24"/>
          <w:szCs w:val="24"/>
        </w:rPr>
        <w:t>”</w:t>
      </w:r>
      <w:r w:rsidRPr="00111B4E">
        <w:rPr>
          <w:rFonts w:ascii="Palatino Linotype" w:hAnsi="Palatino Linotype" w:cs="Arial"/>
          <w:b/>
          <w:bCs/>
          <w:i/>
          <w:sz w:val="24"/>
          <w:szCs w:val="24"/>
        </w:rPr>
        <w:t>,</w:t>
      </w:r>
      <w:r w:rsidRPr="00111B4E">
        <w:rPr>
          <w:rFonts w:ascii="Palatino Linotype" w:hAnsi="Palatino Linotype" w:cs="Arial"/>
          <w:b/>
          <w:bCs/>
          <w:sz w:val="24"/>
          <w:szCs w:val="24"/>
        </w:rPr>
        <w:t xml:space="preserve"> </w:t>
      </w:r>
      <w:r w:rsidRPr="00111B4E">
        <w:rPr>
          <w:rFonts w:ascii="Palatino Linotype" w:hAnsi="Palatino Linotype" w:cs="Arial"/>
          <w:bCs/>
          <w:sz w:val="24"/>
          <w:szCs w:val="24"/>
        </w:rPr>
        <w:t xml:space="preserve">los cuales </w:t>
      </w:r>
      <w:r w:rsidRPr="00111B4E">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rsidR="00462F1D" w:rsidRPr="00111B4E" w:rsidRDefault="00462F1D" w:rsidP="00462F1D">
      <w:pPr>
        <w:spacing w:after="0" w:line="360" w:lineRule="auto"/>
        <w:contextualSpacing/>
        <w:jc w:val="both"/>
        <w:rPr>
          <w:rFonts w:ascii="Palatino Linotype" w:hAnsi="Palatino Linotype"/>
          <w:sz w:val="24"/>
          <w:szCs w:val="24"/>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lastRenderedPageBreak/>
        <w:t>TERCERO. Del recurso de revisión.</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490E8C" w:rsidRPr="00111B4E">
        <w:rPr>
          <w:rFonts w:ascii="Palatino Linotype" w:eastAsia="Times New Roman" w:hAnsi="Palatino Linotype" w:cs="Palatino Linotype"/>
          <w:color w:val="000000"/>
          <w:sz w:val="24"/>
          <w:szCs w:val="24"/>
          <w:lang w:val="es-ES_tradnl" w:eastAsia="es-MX"/>
        </w:rPr>
        <w:t>dieciséis de julio</w:t>
      </w:r>
      <w:r w:rsidRPr="00111B4E">
        <w:rPr>
          <w:rFonts w:ascii="Palatino Linotype" w:eastAsia="Times New Roman" w:hAnsi="Palatino Linotype" w:cs="Palatino Linotype"/>
          <w:color w:val="000000"/>
          <w:sz w:val="24"/>
          <w:szCs w:val="24"/>
          <w:lang w:val="es-ES_tradnl" w:eastAsia="es-MX"/>
        </w:rPr>
        <w:t xml:space="preserve"> de dos mil veinticinco, el cual se registró con el expediente número </w:t>
      </w:r>
      <w:r w:rsidR="00490E8C" w:rsidRPr="00111B4E">
        <w:rPr>
          <w:rFonts w:ascii="Palatino Linotype" w:eastAsia="Times New Roman" w:hAnsi="Palatino Linotype" w:cs="Palatino Linotype"/>
          <w:b/>
          <w:color w:val="000000"/>
          <w:sz w:val="24"/>
          <w:szCs w:val="24"/>
          <w:lang w:val="es-ES_tradnl" w:eastAsia="es-MX"/>
        </w:rPr>
        <w:t>08640</w:t>
      </w:r>
      <w:r w:rsidRPr="00111B4E">
        <w:rPr>
          <w:rFonts w:ascii="Palatino Linotype" w:eastAsia="Times New Roman" w:hAnsi="Palatino Linotype" w:cs="Palatino Linotype"/>
          <w:b/>
          <w:color w:val="000000"/>
          <w:sz w:val="24"/>
          <w:szCs w:val="24"/>
          <w:lang w:val="es-ES_tradnl" w:eastAsia="es-MX"/>
        </w:rPr>
        <w:t>/INFOEM/IP/RR/2025</w:t>
      </w:r>
      <w:r w:rsidRPr="00111B4E">
        <w:rPr>
          <w:rFonts w:ascii="Palatino Linotype" w:eastAsia="Times New Roman" w:hAnsi="Palatino Linotype" w:cs="Palatino Linotype"/>
          <w:color w:val="000000"/>
          <w:sz w:val="24"/>
          <w:szCs w:val="24"/>
          <w:lang w:val="es-ES_tradnl" w:eastAsia="es-MX"/>
        </w:rPr>
        <w:t>, manifestando lo siguiente:</w:t>
      </w:r>
    </w:p>
    <w:p w:rsidR="00462F1D" w:rsidRPr="00111B4E" w:rsidRDefault="00462F1D" w:rsidP="00462F1D">
      <w:pPr>
        <w:pStyle w:val="Prrafodelista"/>
        <w:numPr>
          <w:ilvl w:val="0"/>
          <w:numId w:val="2"/>
        </w:numPr>
        <w:spacing w:after="0" w:line="360" w:lineRule="auto"/>
        <w:ind w:right="567"/>
        <w:jc w:val="both"/>
        <w:rPr>
          <w:rFonts w:ascii="Palatino Linotype" w:hAnsi="Palatino Linotype"/>
          <w:i/>
          <w:color w:val="000000"/>
          <w:sz w:val="24"/>
          <w:szCs w:val="24"/>
        </w:rPr>
      </w:pPr>
      <w:r w:rsidRPr="00111B4E">
        <w:rPr>
          <w:rFonts w:ascii="Palatino Linotype" w:hAnsi="Palatino Linotype" w:cs="Palatino Linotype"/>
          <w:b/>
          <w:i/>
          <w:sz w:val="24"/>
          <w:szCs w:val="24"/>
          <w:lang w:val="es-ES_tradnl" w:eastAsia="es-MX"/>
        </w:rPr>
        <w:t xml:space="preserve">Acto Impugnado y </w:t>
      </w:r>
    </w:p>
    <w:p w:rsidR="00462F1D" w:rsidRPr="00111B4E" w:rsidRDefault="00462F1D" w:rsidP="00462F1D">
      <w:pPr>
        <w:pStyle w:val="Prrafodelista"/>
        <w:spacing w:after="0" w:line="360" w:lineRule="auto"/>
        <w:ind w:left="785" w:right="567"/>
        <w:jc w:val="both"/>
        <w:rPr>
          <w:rFonts w:ascii="Palatino Linotype" w:hAnsi="Palatino Linotype"/>
          <w:i/>
          <w:color w:val="000000"/>
          <w:sz w:val="24"/>
          <w:szCs w:val="24"/>
        </w:rPr>
      </w:pPr>
      <w:r w:rsidRPr="00111B4E">
        <w:rPr>
          <w:rFonts w:ascii="Palatino Linotype" w:hAnsi="Palatino Linotype"/>
          <w:i/>
          <w:iCs/>
          <w:color w:val="000000"/>
          <w:sz w:val="24"/>
          <w:szCs w:val="24"/>
        </w:rPr>
        <w:t>“</w:t>
      </w:r>
      <w:r w:rsidR="00490E8C" w:rsidRPr="00111B4E">
        <w:rPr>
          <w:rFonts w:ascii="Palatino Linotype" w:hAnsi="Palatino Linotype"/>
          <w:i/>
          <w:color w:val="000000"/>
          <w:sz w:val="24"/>
          <w:szCs w:val="24"/>
        </w:rPr>
        <w:t>solicitud 064</w:t>
      </w:r>
      <w:r w:rsidRPr="00111B4E">
        <w:rPr>
          <w:rFonts w:ascii="Palatino Linotype" w:hAnsi="Palatino Linotype"/>
          <w:i/>
          <w:color w:val="000000"/>
          <w:sz w:val="24"/>
          <w:szCs w:val="24"/>
        </w:rPr>
        <w:t>” (Sic)</w:t>
      </w:r>
    </w:p>
    <w:p w:rsidR="00462F1D" w:rsidRPr="00111B4E" w:rsidRDefault="00462F1D" w:rsidP="00462F1D">
      <w:pPr>
        <w:pStyle w:val="Prrafodelista"/>
        <w:spacing w:after="0" w:line="360" w:lineRule="auto"/>
        <w:ind w:left="785" w:right="567"/>
        <w:jc w:val="both"/>
        <w:rPr>
          <w:rFonts w:ascii="Palatino Linotype" w:hAnsi="Palatino Linotype"/>
          <w:i/>
          <w:color w:val="000000"/>
          <w:sz w:val="24"/>
          <w:szCs w:val="24"/>
        </w:rPr>
      </w:pPr>
    </w:p>
    <w:p w:rsidR="00462F1D" w:rsidRPr="00111B4E" w:rsidRDefault="00462F1D" w:rsidP="00462F1D">
      <w:pPr>
        <w:pStyle w:val="Prrafodelista"/>
        <w:numPr>
          <w:ilvl w:val="0"/>
          <w:numId w:val="2"/>
        </w:numPr>
        <w:spacing w:after="0" w:line="360" w:lineRule="auto"/>
        <w:ind w:right="567"/>
        <w:jc w:val="both"/>
        <w:rPr>
          <w:rFonts w:ascii="Palatino Linotype" w:hAnsi="Palatino Linotype"/>
          <w:i/>
          <w:color w:val="000000"/>
          <w:sz w:val="24"/>
          <w:szCs w:val="24"/>
        </w:rPr>
      </w:pPr>
      <w:r w:rsidRPr="00111B4E">
        <w:rPr>
          <w:rFonts w:ascii="Palatino Linotype" w:eastAsia="Times New Roman" w:hAnsi="Palatino Linotype" w:cs="Palatino Linotype"/>
          <w:b/>
          <w:i/>
          <w:sz w:val="24"/>
          <w:szCs w:val="24"/>
          <w:lang w:val="es-ES_tradnl" w:eastAsia="es-MX"/>
        </w:rPr>
        <w:t xml:space="preserve"> Motivos de Inconformidad</w:t>
      </w:r>
      <w:r w:rsidRPr="00111B4E">
        <w:rPr>
          <w:rFonts w:ascii="Palatino Linotype" w:eastAsia="Times New Roman" w:hAnsi="Palatino Linotype" w:cs="Palatino Linotype"/>
          <w:i/>
          <w:color w:val="000000"/>
          <w:sz w:val="24"/>
          <w:szCs w:val="24"/>
          <w:lang w:val="es-ES_tradnl" w:eastAsia="es-MX"/>
        </w:rPr>
        <w:t>:</w:t>
      </w:r>
      <w:r w:rsidRPr="00111B4E">
        <w:rPr>
          <w:rFonts w:ascii="Palatino Linotype" w:hAnsi="Palatino Linotype" w:cs="Palatino Linotype"/>
          <w:b/>
          <w:i/>
          <w:sz w:val="24"/>
          <w:szCs w:val="24"/>
          <w:lang w:val="es-ES_tradnl" w:eastAsia="es-MX"/>
        </w:rPr>
        <w:t xml:space="preserve">: </w:t>
      </w:r>
      <w:r w:rsidRPr="00111B4E">
        <w:rPr>
          <w:rFonts w:ascii="Palatino Linotype" w:hAnsi="Palatino Linotype"/>
          <w:i/>
          <w:iCs/>
          <w:color w:val="000000"/>
          <w:sz w:val="24"/>
          <w:szCs w:val="24"/>
        </w:rPr>
        <w:t>“</w:t>
      </w:r>
    </w:p>
    <w:p w:rsidR="00462F1D" w:rsidRPr="00111B4E" w:rsidRDefault="00462F1D" w:rsidP="00462F1D">
      <w:pPr>
        <w:spacing w:after="0" w:line="360" w:lineRule="auto"/>
        <w:ind w:left="425" w:right="567"/>
        <w:contextualSpacing/>
        <w:jc w:val="both"/>
        <w:rPr>
          <w:rFonts w:ascii="Palatino Linotype" w:eastAsia="Times New Roman" w:hAnsi="Palatino Linotype" w:cs="Palatino Linotype"/>
          <w:bCs/>
          <w:i/>
          <w:color w:val="000000"/>
          <w:lang w:eastAsia="es-MX"/>
        </w:rPr>
      </w:pPr>
      <w:r w:rsidRPr="00111B4E">
        <w:rPr>
          <w:rFonts w:ascii="Palatino Linotype" w:eastAsia="Times New Roman" w:hAnsi="Palatino Linotype" w:cs="Palatino Linotype"/>
          <w:bCs/>
          <w:i/>
          <w:color w:val="000000"/>
          <w:lang w:eastAsia="es-MX"/>
        </w:rPr>
        <w:t>“</w:t>
      </w:r>
      <w:r w:rsidR="00490E8C" w:rsidRPr="00111B4E">
        <w:rPr>
          <w:rFonts w:ascii="Palatino Linotype" w:hAnsi="Palatino Linotype"/>
          <w:i/>
          <w:color w:val="000000"/>
          <w:sz w:val="24"/>
          <w:szCs w:val="24"/>
        </w:rPr>
        <w:t xml:space="preserve">Negativa a proporcionar la información solicitada, sin que proceda su clasificación como reservada. </w:t>
      </w:r>
      <w:r w:rsidR="00490E8C" w:rsidRPr="00111B4E">
        <w:rPr>
          <w:rFonts w:ascii="Palatino Linotype" w:hAnsi="Palatino Linotype"/>
          <w:b/>
          <w:i/>
          <w:color w:val="000000"/>
          <w:sz w:val="24"/>
          <w:szCs w:val="24"/>
        </w:rPr>
        <w:t>La solicitud se centró en información de naturaleza estadística y operativa</w:t>
      </w:r>
      <w:r w:rsidR="00490E8C" w:rsidRPr="00111B4E">
        <w:rPr>
          <w:rFonts w:ascii="Palatino Linotype" w:hAnsi="Palatino Linotype"/>
          <w:i/>
          <w:color w:val="000000"/>
          <w:sz w:val="24"/>
          <w:szCs w:val="24"/>
        </w:rPr>
        <w:t xml:space="preserve">, sin pedir datos personales, nombres, ubicaciones tácticas o información confidencial. Se solicitó: Horarios y frecuencia de patrullaje por colonia. Número de elementos operativos por turno y función. Datos técnicos de las patrullas (modelo, año, estado mecánico, kilometraje). El sujeto obligado entregó una respuesta genérica que no contiene ninguno de los datos solicitados. En su lugar, anexa una prueba de daño, un cuadro de clasificación y un acta del Comité de Transparencia, argumentando que toda la información solicitada es reservada. La prueba de daño no establece cómo ni por qué se afectaría la seguridad pública con la difusión de datos generales de operación y cobertura. Se trata de un documento sin análisis técnico, sin escenario de riesgo, sin vinculación real con los contenidos solicitados. El cuadro de clasificación se limita a señalar categorías generales sin identificar ni desglosar los documentos clasificados, sin </w:t>
      </w:r>
      <w:r w:rsidR="00490E8C" w:rsidRPr="00111B4E">
        <w:rPr>
          <w:rFonts w:ascii="Palatino Linotype" w:hAnsi="Palatino Linotype"/>
          <w:i/>
          <w:color w:val="000000"/>
          <w:sz w:val="24"/>
          <w:szCs w:val="24"/>
        </w:rPr>
        <w:lastRenderedPageBreak/>
        <w:t xml:space="preserve">describir los plazos aplicables, ni acreditar que lo solicitado encuadra en las causales de reserva previstas en la ley. El acta del Comité de Transparencia no justifica de manera individual y concreta la reserva de cada uno de los puntos solicitados. </w:t>
      </w:r>
      <w:r w:rsidR="00490E8C" w:rsidRPr="00111B4E">
        <w:rPr>
          <w:rFonts w:ascii="Palatino Linotype" w:hAnsi="Palatino Linotype"/>
          <w:b/>
          <w:i/>
          <w:color w:val="000000"/>
          <w:sz w:val="24"/>
          <w:szCs w:val="24"/>
        </w:rPr>
        <w:t>No hay motivación suficiente, ni se demuestra un análisis caso por caso</w:t>
      </w:r>
      <w:r w:rsidR="00490E8C" w:rsidRPr="00111B4E">
        <w:rPr>
          <w:rFonts w:ascii="Palatino Linotype" w:hAnsi="Palatino Linotype"/>
          <w:i/>
          <w:color w:val="000000"/>
          <w:sz w:val="24"/>
          <w:szCs w:val="24"/>
        </w:rPr>
        <w:t xml:space="preserve">. La respuesta no toma en cuenta que lo solicitado se relaciona con el ejercicio de recursos públicos, número de unidades, desempeño institucional y condiciones materiales de operación, lo cual forma parte del control ciudadano legítimo. </w:t>
      </w:r>
      <w:r w:rsidR="00490E8C" w:rsidRPr="00111B4E">
        <w:rPr>
          <w:rFonts w:ascii="Palatino Linotype" w:hAnsi="Palatino Linotype"/>
          <w:b/>
          <w:i/>
          <w:color w:val="000000"/>
          <w:sz w:val="24"/>
          <w:szCs w:val="24"/>
          <w:u w:val="single"/>
        </w:rPr>
        <w:t>Solicitud adicional</w:t>
      </w:r>
      <w:r w:rsidR="00490E8C" w:rsidRPr="00111B4E">
        <w:rPr>
          <w:rFonts w:ascii="Palatino Linotype" w:hAnsi="Palatino Linotype"/>
          <w:i/>
          <w:color w:val="000000"/>
          <w:sz w:val="24"/>
          <w:szCs w:val="24"/>
          <w:u w:val="single"/>
        </w:rPr>
        <w:t>: Se solicita expresamente al Instituto que aplique el principio de suplencia de la deficiencia de la queja y de la prueba, en virtud de que el ciudadano no cuenta con acceso a los documentos oficiales ni con medios técnicos para aportar pruebas más allá de las evidencias contenidas en la propia respuesta impugnada.</w:t>
      </w:r>
      <w:r w:rsidR="00490E8C" w:rsidRPr="00111B4E">
        <w:rPr>
          <w:rFonts w:ascii="Palatino Linotype" w:hAnsi="Palatino Linotype"/>
          <w:i/>
          <w:color w:val="000000"/>
          <w:sz w:val="24"/>
          <w:szCs w:val="24"/>
        </w:rPr>
        <w:t xml:space="preserve"> El comportamiento del sujeto obligado no es aislado, sino parte de una práctica reiterada que ha consistido en: Responder solicitudes de acceso con evasivas, Clasificar información pública como reservada sin justificación suficiente, Usar de manera genérica la prueba de daño, Simular actos de cumplimiento formal sin entregar información útil ni verificable. Este patrón vulnera de forma constante el principio de máxima publicidad, y atenta contra el derecho constitucional de acceso a la información pública. Por lo anterior, solicito expresamente al Instituto que valore si la actuación del sujeto obligado amerita la imposición de sanciones, conforme </w:t>
      </w:r>
      <w:proofErr w:type="spellStart"/>
      <w:r w:rsidR="00490E8C" w:rsidRPr="00111B4E">
        <w:rPr>
          <w:rFonts w:ascii="Palatino Linotype" w:hAnsi="Palatino Linotype"/>
          <w:i/>
          <w:color w:val="000000"/>
          <w:sz w:val="24"/>
          <w:szCs w:val="24"/>
        </w:rPr>
        <w:t>al</w:t>
      </w:r>
      <w:proofErr w:type="spellEnd"/>
      <w:r w:rsidR="00490E8C" w:rsidRPr="00111B4E">
        <w:rPr>
          <w:rFonts w:ascii="Palatino Linotype" w:hAnsi="Palatino Linotype"/>
          <w:i/>
          <w:color w:val="000000"/>
          <w:sz w:val="24"/>
          <w:szCs w:val="24"/>
        </w:rPr>
        <w:t xml:space="preserve"> la Ley de Transparencia del Estado de México y Municipios, y a lo dispuesto en la Ley de Responsabilidades Administrativas del Estado de México y Municipios, dado que: Se advierte un uso indebido de la figura de clasificación de información; Se incumple de forma sistemática con la obligación de </w:t>
      </w:r>
      <w:r w:rsidR="00490E8C" w:rsidRPr="00111B4E">
        <w:rPr>
          <w:rFonts w:ascii="Palatino Linotype" w:hAnsi="Palatino Linotype"/>
          <w:i/>
          <w:color w:val="000000"/>
          <w:sz w:val="24"/>
          <w:szCs w:val="24"/>
        </w:rPr>
        <w:lastRenderedPageBreak/>
        <w:t>proporcionar información pública; Se vulnera el principio de legalidad y se obstaculiza el control ciudadano</w:t>
      </w:r>
      <w:r w:rsidRPr="00111B4E">
        <w:rPr>
          <w:rFonts w:ascii="Palatino Linotype" w:hAnsi="Palatino Linotype"/>
          <w:i/>
          <w:color w:val="000000"/>
          <w:sz w:val="24"/>
          <w:szCs w:val="24"/>
        </w:rPr>
        <w:t>” (Sic)</w:t>
      </w:r>
    </w:p>
    <w:p w:rsidR="00462F1D" w:rsidRPr="00111B4E" w:rsidRDefault="00462F1D" w:rsidP="00462F1D">
      <w:pPr>
        <w:spacing w:after="0" w:line="360" w:lineRule="auto"/>
        <w:ind w:right="567"/>
        <w:contextualSpacing/>
        <w:jc w:val="both"/>
        <w:rPr>
          <w:rFonts w:ascii="Palatino Linotype" w:eastAsia="Times New Roman" w:hAnsi="Palatino Linotype" w:cs="Palatino Linotype"/>
          <w:b/>
          <w:i/>
          <w:color w:val="000000"/>
          <w:lang w:eastAsia="es-MX"/>
        </w:rPr>
      </w:pPr>
    </w:p>
    <w:p w:rsidR="00462F1D" w:rsidRPr="00111B4E" w:rsidRDefault="00462F1D" w:rsidP="00462F1D">
      <w:pPr>
        <w:spacing w:after="0" w:line="360" w:lineRule="auto"/>
        <w:ind w:right="567"/>
        <w:contextualSpacing/>
        <w:jc w:val="both"/>
        <w:rPr>
          <w:rFonts w:ascii="Palatino Linotype" w:eastAsia="Times New Roman" w:hAnsi="Palatino Linotype" w:cs="Palatino Linotype"/>
          <w:b/>
          <w:i/>
          <w:color w:val="000000"/>
          <w:lang w:val="es-ES_tradnl" w:eastAsia="es-MX"/>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t>CUARTO. Del turno y admisión del recurso de revisión.</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Medio de impugnación que le fue turnado al </w:t>
      </w:r>
      <w:r w:rsidRPr="00111B4E">
        <w:rPr>
          <w:rFonts w:ascii="Palatino Linotype" w:eastAsia="Times New Roman" w:hAnsi="Palatino Linotype" w:cs="Palatino Linotype"/>
          <w:b/>
          <w:color w:val="000000"/>
          <w:sz w:val="24"/>
          <w:szCs w:val="24"/>
          <w:lang w:val="es-ES_tradnl" w:eastAsia="es-MX"/>
        </w:rPr>
        <w:t>Comisionado Presidente José Martínez Vilchis</w:t>
      </w:r>
      <w:r w:rsidRPr="00111B4E">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111B4E">
        <w:rPr>
          <w:rFonts w:ascii="Palatino Linotype" w:eastAsia="Times New Roman" w:hAnsi="Palatino Linotype" w:cs="Palatino Linotype"/>
          <w:b/>
          <w:color w:val="000000"/>
          <w:sz w:val="24"/>
          <w:szCs w:val="24"/>
          <w:lang w:val="es-ES_tradnl" w:eastAsia="es-MX"/>
        </w:rPr>
        <w:t xml:space="preserve"> </w:t>
      </w:r>
      <w:r w:rsidR="00C71466" w:rsidRPr="00111B4E">
        <w:rPr>
          <w:rFonts w:ascii="Palatino Linotype" w:eastAsia="Times New Roman" w:hAnsi="Palatino Linotype" w:cs="Palatino Linotype"/>
          <w:b/>
          <w:color w:val="000000"/>
          <w:sz w:val="24"/>
          <w:szCs w:val="24"/>
          <w:lang w:val="es-ES_tradnl" w:eastAsia="es-MX"/>
        </w:rPr>
        <w:t>cuatro de agosto</w:t>
      </w:r>
      <w:r w:rsidRPr="00111B4E">
        <w:rPr>
          <w:rFonts w:ascii="Palatino Linotype" w:eastAsia="Times New Roman" w:hAnsi="Palatino Linotype" w:cs="Palatino Linotype"/>
          <w:b/>
          <w:color w:val="000000"/>
          <w:sz w:val="24"/>
          <w:szCs w:val="24"/>
          <w:lang w:val="es-ES_tradnl" w:eastAsia="es-MX"/>
        </w:rPr>
        <w:t xml:space="preserve"> de dos mil veinticinco</w:t>
      </w:r>
      <w:r w:rsidRPr="00111B4E">
        <w:rPr>
          <w:rFonts w:ascii="Palatino Linotype" w:eastAsia="Times New Roman" w:hAnsi="Palatino Linotype" w:cs="Palatino Linotype"/>
          <w:color w:val="000000"/>
          <w:sz w:val="24"/>
          <w:szCs w:val="24"/>
          <w:lang w:val="es-ES_tradnl" w:eastAsia="es-MX"/>
        </w:rPr>
        <w:t xml:space="preserve">, </w:t>
      </w:r>
      <w:r w:rsidRPr="00111B4E">
        <w:rPr>
          <w:rFonts w:ascii="Palatino Linotype" w:eastAsia="Times New Roman" w:hAnsi="Palatino Linotype" w:cs="Palatino Linotype"/>
          <w:sz w:val="24"/>
          <w:szCs w:val="24"/>
          <w:lang w:val="es-ES_tradnl" w:eastAsia="es-MX"/>
        </w:rPr>
        <w:t>otorgándose</w:t>
      </w:r>
      <w:r w:rsidRPr="00111B4E">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t>QUINTO. De la etapa de instrucción.</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C71466" w:rsidRPr="00111B4E">
        <w:rPr>
          <w:rFonts w:ascii="Palatino Linotype" w:eastAsia="Times New Roman" w:hAnsi="Palatino Linotype" w:cs="Palatino Linotype"/>
          <w:color w:val="000000"/>
          <w:sz w:val="24"/>
          <w:szCs w:val="24"/>
          <w:lang w:val="es-ES_tradnl" w:eastAsia="es-MX"/>
        </w:rPr>
        <w:t>fue omiso en proporcionar su informe justificado</w:t>
      </w:r>
      <w:r w:rsidRPr="00111B4E">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rsidR="00C71466" w:rsidRPr="00111B4E" w:rsidRDefault="00C71466"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11B4E">
        <w:rPr>
          <w:rFonts w:ascii="Palatino Linotype" w:eastAsia="Times New Roman" w:hAnsi="Palatino Linotype" w:cs="Times New Roman"/>
          <w:b/>
          <w:color w:val="000000" w:themeColor="text1"/>
          <w:sz w:val="28"/>
          <w:szCs w:val="28"/>
          <w:lang w:val="es-ES_tradnl" w:eastAsia="es-MX"/>
        </w:rPr>
        <w:t>SEXTO. Del cierre de instrucción.</w:t>
      </w:r>
    </w:p>
    <w:p w:rsidR="00462F1D" w:rsidRPr="00111B4E" w:rsidRDefault="00462F1D" w:rsidP="00C71466">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111B4E">
        <w:rPr>
          <w:rFonts w:ascii="Palatino Linotype" w:eastAsia="Times New Roman" w:hAnsi="Palatino Linotype" w:cs="Palatino Linotype"/>
          <w:b/>
          <w:color w:val="000000"/>
          <w:sz w:val="24"/>
          <w:szCs w:val="24"/>
          <w:lang w:val="es-ES_tradnl" w:eastAsia="es-MX"/>
        </w:rPr>
        <w:t xml:space="preserve"> </w:t>
      </w:r>
      <w:r w:rsidR="00C71466" w:rsidRPr="00111B4E">
        <w:rPr>
          <w:rFonts w:ascii="Palatino Linotype" w:eastAsia="Times New Roman" w:hAnsi="Palatino Linotype" w:cs="Palatino Linotype"/>
          <w:b/>
          <w:color w:val="000000"/>
          <w:sz w:val="24"/>
          <w:szCs w:val="24"/>
          <w:lang w:val="es-ES_tradnl" w:eastAsia="es-MX"/>
        </w:rPr>
        <w:t>dieciocho de agosto</w:t>
      </w:r>
      <w:r w:rsidRPr="00111B4E">
        <w:rPr>
          <w:rFonts w:ascii="Palatino Linotype" w:eastAsia="Times New Roman" w:hAnsi="Palatino Linotype" w:cs="Palatino Linotype"/>
          <w:b/>
          <w:color w:val="000000"/>
          <w:sz w:val="24"/>
          <w:szCs w:val="24"/>
          <w:lang w:val="es-ES_tradnl" w:eastAsia="es-MX"/>
        </w:rPr>
        <w:t xml:space="preserve"> de dos mil veinticinco</w:t>
      </w:r>
      <w:r w:rsidRPr="00111B4E">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rsidR="00462F1D" w:rsidRPr="00111B4E" w:rsidRDefault="00462F1D" w:rsidP="00462F1D">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11B4E">
        <w:rPr>
          <w:rFonts w:ascii="Palatino Linotype" w:hAnsi="Palatino Linotype" w:cs="Arial"/>
          <w:b/>
          <w:sz w:val="28"/>
          <w:szCs w:val="28"/>
        </w:rPr>
        <w:lastRenderedPageBreak/>
        <w:t>SÉPTIMO. De la ampliación de plazo para resolver.</w:t>
      </w: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111B4E">
        <w:rPr>
          <w:rFonts w:ascii="Palatino Linotype" w:hAnsi="Palatino Linotype" w:cs="Arial"/>
          <w:b/>
          <w:sz w:val="24"/>
          <w:szCs w:val="24"/>
        </w:rPr>
        <w:t xml:space="preserve"> </w:t>
      </w:r>
      <w:r w:rsidR="00916973" w:rsidRPr="00111B4E">
        <w:rPr>
          <w:rFonts w:ascii="Palatino Linotype" w:hAnsi="Palatino Linotype" w:cs="Arial"/>
          <w:b/>
          <w:sz w:val="24"/>
          <w:szCs w:val="24"/>
        </w:rPr>
        <w:t>veinte de noviembre</w:t>
      </w:r>
      <w:r w:rsidRPr="00111B4E">
        <w:rPr>
          <w:rFonts w:ascii="Palatino Linotype" w:hAnsi="Palatino Linotype" w:cs="Arial"/>
          <w:b/>
          <w:sz w:val="24"/>
          <w:szCs w:val="24"/>
        </w:rPr>
        <w:t xml:space="preserve"> de dos mil veinticinco</w:t>
      </w:r>
      <w:r w:rsidRPr="00111B4E">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462F1D" w:rsidRPr="00111B4E" w:rsidRDefault="00462F1D" w:rsidP="00462F1D">
      <w:pPr>
        <w:spacing w:line="360" w:lineRule="auto"/>
        <w:jc w:val="both"/>
        <w:rPr>
          <w:rFonts w:ascii="Palatino Linotype" w:hAnsi="Palatino Linotype" w:cs="Arial"/>
          <w:sz w:val="24"/>
          <w:szCs w:val="24"/>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462F1D" w:rsidRPr="00111B4E" w:rsidRDefault="00462F1D" w:rsidP="00462F1D">
      <w:pPr>
        <w:spacing w:line="360" w:lineRule="auto"/>
        <w:ind w:left="993" w:right="49" w:hanging="426"/>
        <w:jc w:val="both"/>
        <w:rPr>
          <w:rFonts w:ascii="Palatino Linotype" w:hAnsi="Palatino Linotype" w:cs="Arial"/>
          <w:lang w:val="es-ES" w:eastAsia="es-ES"/>
        </w:rPr>
      </w:pPr>
      <w:r w:rsidRPr="00111B4E">
        <w:rPr>
          <w:rFonts w:ascii="Palatino Linotype" w:hAnsi="Palatino Linotype" w:cs="Arial"/>
          <w:b/>
          <w:lang w:val="es-ES" w:eastAsia="es-ES"/>
        </w:rPr>
        <w:t xml:space="preserve">a) </w:t>
      </w:r>
      <w:r w:rsidRPr="00111B4E">
        <w:rPr>
          <w:rFonts w:ascii="Palatino Linotype" w:hAnsi="Palatino Linotype" w:cs="Arial"/>
          <w:b/>
          <w:lang w:val="es-ES" w:eastAsia="es-ES"/>
        </w:rPr>
        <w:tab/>
        <w:t>Complejidad del asunto:</w:t>
      </w:r>
      <w:r w:rsidRPr="00111B4E">
        <w:rPr>
          <w:rFonts w:ascii="Palatino Linotype" w:hAnsi="Palatino Linotype" w:cs="Arial"/>
          <w:lang w:val="es-ES" w:eastAsia="es-ES"/>
        </w:rPr>
        <w:t xml:space="preserve"> La complejidad de la prueba, la pluralidad de sujetos procesales, el tiempo transcurrido, las características y contexto del recurso.</w:t>
      </w:r>
    </w:p>
    <w:p w:rsidR="00462F1D" w:rsidRPr="00111B4E" w:rsidRDefault="00462F1D" w:rsidP="00462F1D">
      <w:pPr>
        <w:spacing w:line="360" w:lineRule="auto"/>
        <w:ind w:left="993" w:right="49" w:hanging="426"/>
        <w:jc w:val="both"/>
        <w:rPr>
          <w:rFonts w:ascii="Palatino Linotype" w:hAnsi="Palatino Linotype" w:cs="Arial"/>
          <w:lang w:val="es-ES" w:eastAsia="es-ES"/>
        </w:rPr>
      </w:pPr>
      <w:r w:rsidRPr="00111B4E">
        <w:rPr>
          <w:rFonts w:ascii="Palatino Linotype" w:hAnsi="Palatino Linotype" w:cs="Arial"/>
          <w:b/>
          <w:lang w:val="es-ES" w:eastAsia="es-ES"/>
        </w:rPr>
        <w:t xml:space="preserve">b) </w:t>
      </w:r>
      <w:r w:rsidRPr="00111B4E">
        <w:rPr>
          <w:rFonts w:ascii="Palatino Linotype" w:hAnsi="Palatino Linotype" w:cs="Arial"/>
          <w:b/>
          <w:lang w:val="es-ES" w:eastAsia="es-ES"/>
        </w:rPr>
        <w:tab/>
        <w:t>Actividad Procesal del interesado:</w:t>
      </w:r>
      <w:r w:rsidRPr="00111B4E">
        <w:rPr>
          <w:rFonts w:ascii="Palatino Linotype" w:hAnsi="Palatino Linotype" w:cs="Arial"/>
          <w:lang w:val="es-ES" w:eastAsia="es-ES"/>
        </w:rPr>
        <w:t xml:space="preserve"> Acciones u omisiones del interesado.</w:t>
      </w:r>
    </w:p>
    <w:p w:rsidR="00462F1D" w:rsidRPr="00111B4E" w:rsidRDefault="00462F1D" w:rsidP="00462F1D">
      <w:pPr>
        <w:spacing w:line="360" w:lineRule="auto"/>
        <w:ind w:left="993" w:right="49" w:hanging="426"/>
        <w:jc w:val="both"/>
        <w:rPr>
          <w:rFonts w:ascii="Palatino Linotype" w:hAnsi="Palatino Linotype" w:cs="Arial"/>
          <w:lang w:val="es-ES" w:eastAsia="es-ES"/>
        </w:rPr>
      </w:pPr>
      <w:r w:rsidRPr="00111B4E">
        <w:rPr>
          <w:rFonts w:ascii="Palatino Linotype" w:hAnsi="Palatino Linotype" w:cs="Arial"/>
          <w:b/>
          <w:lang w:val="es-ES" w:eastAsia="es-ES"/>
        </w:rPr>
        <w:t xml:space="preserve">c) </w:t>
      </w:r>
      <w:r w:rsidRPr="00111B4E">
        <w:rPr>
          <w:rFonts w:ascii="Palatino Linotype" w:hAnsi="Palatino Linotype" w:cs="Arial"/>
          <w:b/>
          <w:lang w:val="es-ES" w:eastAsia="es-ES"/>
        </w:rPr>
        <w:tab/>
        <w:t>Conducta de la Autoridad:</w:t>
      </w:r>
      <w:r w:rsidRPr="00111B4E">
        <w:rPr>
          <w:rFonts w:ascii="Palatino Linotype" w:hAnsi="Palatino Linotype" w:cs="Arial"/>
          <w:lang w:val="es-ES" w:eastAsia="es-ES"/>
        </w:rPr>
        <w:t xml:space="preserve"> Las Acciones u omisiones realizadas en el procedimiento. Así como si la autoridad actuó con la debida diligencia.</w:t>
      </w:r>
    </w:p>
    <w:p w:rsidR="00462F1D" w:rsidRPr="00111B4E" w:rsidRDefault="00462F1D" w:rsidP="00462F1D">
      <w:pPr>
        <w:spacing w:line="360" w:lineRule="auto"/>
        <w:ind w:left="993" w:right="49" w:hanging="426"/>
        <w:jc w:val="both"/>
        <w:rPr>
          <w:rFonts w:ascii="Palatino Linotype" w:hAnsi="Palatino Linotype" w:cs="Arial"/>
          <w:lang w:val="es-ES" w:eastAsia="es-ES"/>
        </w:rPr>
      </w:pPr>
      <w:r w:rsidRPr="00111B4E">
        <w:rPr>
          <w:rFonts w:ascii="Palatino Linotype" w:hAnsi="Palatino Linotype" w:cs="Arial"/>
          <w:b/>
          <w:lang w:val="es-ES" w:eastAsia="es-ES"/>
        </w:rPr>
        <w:lastRenderedPageBreak/>
        <w:t xml:space="preserve">d) </w:t>
      </w:r>
      <w:r w:rsidRPr="00111B4E">
        <w:rPr>
          <w:rFonts w:ascii="Palatino Linotype" w:hAnsi="Palatino Linotype" w:cs="Arial"/>
          <w:b/>
          <w:lang w:val="es-ES" w:eastAsia="es-ES"/>
        </w:rPr>
        <w:tab/>
        <w:t>La afectación generada en la situación jurídica de la persona involucrada en el proceso:</w:t>
      </w:r>
      <w:r w:rsidRPr="00111B4E">
        <w:rPr>
          <w:rFonts w:ascii="Palatino Linotype" w:hAnsi="Palatino Linotype" w:cs="Arial"/>
          <w:lang w:val="es-ES" w:eastAsia="es-ES"/>
        </w:rPr>
        <w:t xml:space="preserve"> Violación a sus derechos humanos.</w:t>
      </w:r>
    </w:p>
    <w:p w:rsidR="00462F1D" w:rsidRPr="00111B4E" w:rsidRDefault="00462F1D" w:rsidP="00462F1D">
      <w:pPr>
        <w:spacing w:line="360" w:lineRule="auto"/>
        <w:ind w:left="993" w:right="49" w:hanging="426"/>
        <w:jc w:val="both"/>
        <w:rPr>
          <w:rFonts w:ascii="Palatino Linotype" w:hAnsi="Palatino Linotype" w:cs="Arial"/>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Argumento que encuentra sustento en la jurisprudencia P</w:t>
      </w:r>
      <w:proofErr w:type="gramStart"/>
      <w:r w:rsidRPr="00111B4E">
        <w:rPr>
          <w:rFonts w:ascii="Palatino Linotype" w:hAnsi="Palatino Linotype" w:cs="Arial"/>
          <w:sz w:val="24"/>
          <w:szCs w:val="24"/>
          <w:lang w:val="es-ES" w:eastAsia="es-ES"/>
        </w:rPr>
        <w:t>./</w:t>
      </w:r>
      <w:proofErr w:type="gramEnd"/>
      <w:r w:rsidRPr="00111B4E">
        <w:rPr>
          <w:rFonts w:ascii="Palatino Linotype"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w:t>
      </w:r>
      <w:r w:rsidRPr="00111B4E">
        <w:rPr>
          <w:rFonts w:ascii="Palatino Linotype" w:hAnsi="Palatino Linotype" w:cs="Arial"/>
          <w:sz w:val="24"/>
          <w:szCs w:val="24"/>
          <w:lang w:val="es-ES" w:eastAsia="es-ES"/>
        </w:rPr>
        <w:lastRenderedPageBreak/>
        <w:t>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462F1D" w:rsidRPr="00111B4E" w:rsidRDefault="00462F1D" w:rsidP="00462F1D">
      <w:pPr>
        <w:spacing w:line="360" w:lineRule="auto"/>
        <w:ind w:left="708" w:right="49"/>
        <w:jc w:val="both"/>
        <w:rPr>
          <w:rFonts w:ascii="Palatino Linotype" w:hAnsi="Palatino Linotype" w:cs="Arial"/>
          <w:i/>
          <w:iCs/>
          <w:lang w:val="es-ES" w:eastAsia="es-ES"/>
        </w:rPr>
      </w:pPr>
      <w:r w:rsidRPr="00111B4E">
        <w:rPr>
          <w:rFonts w:ascii="Palatino Linotype" w:hAnsi="Palatino Linotype" w:cs="Arial"/>
          <w:i/>
          <w:iCs/>
          <w:lang w:val="es-ES" w:eastAsia="es-ES"/>
        </w:rPr>
        <w:t>“</w:t>
      </w:r>
      <w:r w:rsidRPr="00111B4E">
        <w:rPr>
          <w:rFonts w:ascii="Palatino Linotype" w:hAnsi="Palatino Linotype" w:cs="Arial"/>
          <w:b/>
          <w:i/>
          <w:iCs/>
          <w:lang w:val="es-ES" w:eastAsia="es-ES"/>
        </w:rPr>
        <w:t>PLAZO RAZONABLE PARA RESOLVER. DIMENSIÓN Y EFECTOS DE ESTE CONCEPTO CUANDO SE ADUCE EXCESIVA CARGA DE TRABAJO</w:t>
      </w:r>
      <w:r w:rsidRPr="00111B4E">
        <w:rPr>
          <w:rFonts w:ascii="Palatino Linotype" w:hAnsi="Palatino Linotype" w:cs="Arial"/>
          <w:i/>
          <w:iCs/>
          <w:lang w:val="es-ES" w:eastAsia="es-ES"/>
        </w:rPr>
        <w:t>.” consultable en el Seminario Judicial de la Federación y su gaceta, con el registro digital 2002351.</w:t>
      </w:r>
    </w:p>
    <w:p w:rsidR="00462F1D" w:rsidRPr="00111B4E" w:rsidRDefault="00462F1D" w:rsidP="00462F1D">
      <w:pPr>
        <w:spacing w:line="360" w:lineRule="auto"/>
        <w:ind w:right="49"/>
        <w:jc w:val="both"/>
        <w:rPr>
          <w:rFonts w:ascii="Palatino Linotype" w:hAnsi="Palatino Linotype" w:cs="Arial"/>
          <w:i/>
          <w:iCs/>
          <w:lang w:val="es-ES" w:eastAsia="es-ES"/>
        </w:rPr>
      </w:pPr>
    </w:p>
    <w:p w:rsidR="00462F1D" w:rsidRPr="00111B4E" w:rsidRDefault="00462F1D" w:rsidP="00462F1D">
      <w:pPr>
        <w:spacing w:line="360" w:lineRule="auto"/>
        <w:ind w:left="708" w:right="49"/>
        <w:jc w:val="both"/>
        <w:rPr>
          <w:rFonts w:ascii="Palatino Linotype" w:hAnsi="Palatino Linotype" w:cs="Arial"/>
          <w:i/>
          <w:iCs/>
          <w:lang w:val="es-ES" w:eastAsia="es-ES"/>
        </w:rPr>
      </w:pPr>
      <w:r w:rsidRPr="00111B4E">
        <w:rPr>
          <w:rFonts w:ascii="Palatino Linotype" w:hAnsi="Palatino Linotype" w:cs="Arial"/>
          <w:i/>
          <w:iCs/>
          <w:lang w:val="es-ES" w:eastAsia="es-ES"/>
        </w:rPr>
        <w:t>“</w:t>
      </w:r>
      <w:r w:rsidRPr="00111B4E">
        <w:rPr>
          <w:rFonts w:ascii="Palatino Linotype" w:hAnsi="Palatino Linotype" w:cs="Arial"/>
          <w:b/>
          <w:i/>
          <w:iCs/>
          <w:lang w:val="es-ES" w:eastAsia="es-ES"/>
        </w:rPr>
        <w:t>PLAZO RAZONABLE PARA RESOLVER. CONCEPTO Y ELEMENTOS QUE LO INTEGRAN A LA LUZ DEL DERECHO INTERNACIONAL DE LOS DERECHOS HUMANOS.</w:t>
      </w:r>
      <w:r w:rsidRPr="00111B4E">
        <w:rPr>
          <w:rFonts w:ascii="Palatino Linotype" w:hAnsi="Palatino Linotype" w:cs="Arial"/>
          <w:i/>
          <w:iCs/>
          <w:lang w:val="es-ES" w:eastAsia="es-ES"/>
        </w:rPr>
        <w:t>”, visible en el Seminario Judicial de la Federación y su gaceta, con el registro digital 2002350.</w:t>
      </w:r>
    </w:p>
    <w:p w:rsidR="00462F1D" w:rsidRPr="00111B4E" w:rsidRDefault="00462F1D"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spacing w:line="360" w:lineRule="auto"/>
        <w:ind w:right="49"/>
        <w:jc w:val="both"/>
        <w:rPr>
          <w:rFonts w:ascii="Palatino Linotype" w:hAnsi="Palatino Linotype" w:cs="Arial"/>
          <w:sz w:val="24"/>
          <w:szCs w:val="24"/>
          <w:lang w:val="es-ES" w:eastAsia="es-ES"/>
        </w:rPr>
      </w:pPr>
      <w:r w:rsidRPr="00111B4E">
        <w:rPr>
          <w:rFonts w:ascii="Palatino Linotype" w:hAnsi="Palatino Linotype" w:cs="Arial"/>
          <w:sz w:val="24"/>
          <w:szCs w:val="24"/>
          <w:lang w:val="es-ES" w:eastAsia="es-ES"/>
        </w:rPr>
        <w:lastRenderedPageBreak/>
        <w:t>Por ello, este organismo garante comprometido con la tutela de los derechos humanos confiados, señala que este exceso del plazo legal para resolver el presente asunto, resulta de carácter excepcional.</w:t>
      </w:r>
    </w:p>
    <w:p w:rsidR="00C71466" w:rsidRPr="00111B4E" w:rsidRDefault="00C71466" w:rsidP="00462F1D">
      <w:pPr>
        <w:spacing w:line="360" w:lineRule="auto"/>
        <w:ind w:right="49"/>
        <w:jc w:val="both"/>
        <w:rPr>
          <w:rFonts w:ascii="Palatino Linotype" w:hAnsi="Palatino Linotype" w:cs="Arial"/>
          <w:sz w:val="24"/>
          <w:szCs w:val="24"/>
          <w:lang w:val="es-ES" w:eastAsia="es-ES"/>
        </w:rPr>
      </w:pPr>
    </w:p>
    <w:p w:rsidR="00C71466" w:rsidRPr="00111B4E" w:rsidRDefault="00C71466" w:rsidP="00462F1D">
      <w:pPr>
        <w:spacing w:line="360" w:lineRule="auto"/>
        <w:ind w:right="49"/>
        <w:jc w:val="both"/>
        <w:rPr>
          <w:rFonts w:ascii="Palatino Linotype" w:hAnsi="Palatino Linotype" w:cs="Arial"/>
          <w:sz w:val="24"/>
          <w:szCs w:val="24"/>
          <w:lang w:val="es-ES" w:eastAsia="es-ES"/>
        </w:rPr>
      </w:pPr>
    </w:p>
    <w:p w:rsidR="00462F1D" w:rsidRPr="00111B4E" w:rsidRDefault="00462F1D" w:rsidP="00462F1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roofErr w:type="gramStart"/>
      <w:r w:rsidRPr="00111B4E">
        <w:rPr>
          <w:rFonts w:ascii="Palatino Linotype" w:eastAsia="Times New Roman" w:hAnsi="Palatino Linotype" w:cs="Times New Roman"/>
          <w:b/>
          <w:color w:val="000000" w:themeColor="text1"/>
          <w:sz w:val="28"/>
          <w:szCs w:val="32"/>
          <w:lang w:val="es-ES_tradnl" w:eastAsia="es-ES"/>
        </w:rPr>
        <w:t>C  O</w:t>
      </w:r>
      <w:proofErr w:type="gramEnd"/>
      <w:r w:rsidRPr="00111B4E">
        <w:rPr>
          <w:rFonts w:ascii="Palatino Linotype" w:eastAsia="Times New Roman" w:hAnsi="Palatino Linotype" w:cs="Times New Roman"/>
          <w:b/>
          <w:color w:val="000000" w:themeColor="text1"/>
          <w:sz w:val="28"/>
          <w:szCs w:val="32"/>
          <w:lang w:val="es-ES_tradnl" w:eastAsia="es-ES"/>
        </w:rPr>
        <w:t xml:space="preserve">   N   S   I   D  E   R  A   N   D   O</w:t>
      </w:r>
    </w:p>
    <w:p w:rsidR="00462F1D" w:rsidRPr="00111B4E" w:rsidRDefault="00462F1D" w:rsidP="00462F1D">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rsidR="00462F1D" w:rsidRPr="00111B4E" w:rsidRDefault="00462F1D" w:rsidP="00462F1D">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rsidR="00462F1D" w:rsidRPr="00111B4E" w:rsidRDefault="00462F1D" w:rsidP="00462F1D">
      <w:pPr>
        <w:spacing w:line="360" w:lineRule="auto"/>
        <w:jc w:val="both"/>
        <w:rPr>
          <w:rFonts w:ascii="Palatino Linotype" w:hAnsi="Palatino Linotype" w:cs="Arial"/>
          <w:sz w:val="28"/>
          <w:szCs w:val="28"/>
        </w:rPr>
      </w:pPr>
      <w:r w:rsidRPr="00111B4E">
        <w:rPr>
          <w:rFonts w:ascii="Palatino Linotype" w:hAnsi="Palatino Linotype" w:cs="Arial"/>
          <w:b/>
          <w:sz w:val="28"/>
          <w:szCs w:val="28"/>
        </w:rPr>
        <w:t xml:space="preserve">PRIMERO. </w:t>
      </w:r>
      <w:r w:rsidRPr="00111B4E">
        <w:rPr>
          <w:rFonts w:ascii="Palatino Linotype" w:hAnsi="Palatino Linotype" w:cs="Arial"/>
          <w:b/>
          <w:sz w:val="26"/>
          <w:szCs w:val="26"/>
        </w:rPr>
        <w:t>De la competencia</w:t>
      </w:r>
      <w:r w:rsidRPr="00111B4E">
        <w:rPr>
          <w:rFonts w:ascii="Palatino Linotype" w:hAnsi="Palatino Linotype" w:cs="Arial"/>
          <w:sz w:val="26"/>
          <w:szCs w:val="26"/>
        </w:rPr>
        <w:t>.</w:t>
      </w: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462F1D" w:rsidRPr="00111B4E" w:rsidRDefault="00462F1D" w:rsidP="00462F1D">
      <w:pPr>
        <w:autoSpaceDE w:val="0"/>
        <w:autoSpaceDN w:val="0"/>
        <w:adjustRightInd w:val="0"/>
        <w:spacing w:line="360" w:lineRule="auto"/>
        <w:jc w:val="both"/>
        <w:rPr>
          <w:rFonts w:ascii="Palatino Linotype" w:hAnsi="Palatino Linotype" w:cs="Arial"/>
          <w:b/>
          <w:sz w:val="28"/>
          <w:szCs w:val="28"/>
        </w:rPr>
      </w:pPr>
    </w:p>
    <w:p w:rsidR="00462F1D" w:rsidRPr="00111B4E" w:rsidRDefault="00462F1D" w:rsidP="00462F1D">
      <w:pPr>
        <w:autoSpaceDE w:val="0"/>
        <w:autoSpaceDN w:val="0"/>
        <w:adjustRightInd w:val="0"/>
        <w:spacing w:line="360" w:lineRule="auto"/>
        <w:jc w:val="both"/>
        <w:rPr>
          <w:rFonts w:ascii="Palatino Linotype" w:hAnsi="Palatino Linotype" w:cs="Arial"/>
          <w:b/>
          <w:sz w:val="28"/>
          <w:szCs w:val="28"/>
        </w:rPr>
      </w:pPr>
      <w:r w:rsidRPr="00111B4E">
        <w:rPr>
          <w:rFonts w:ascii="Palatino Linotype" w:hAnsi="Palatino Linotype" w:cs="Arial"/>
          <w:b/>
          <w:sz w:val="28"/>
          <w:szCs w:val="28"/>
        </w:rPr>
        <w:lastRenderedPageBreak/>
        <w:t xml:space="preserve">SEGUNDO. </w:t>
      </w:r>
      <w:r w:rsidRPr="00111B4E">
        <w:rPr>
          <w:rFonts w:ascii="Palatino Linotype" w:hAnsi="Palatino Linotype" w:cs="Arial"/>
          <w:b/>
          <w:sz w:val="26"/>
          <w:szCs w:val="26"/>
        </w:rPr>
        <w:t>Alcances del recurso de revisión.</w:t>
      </w:r>
      <w:r w:rsidRPr="00111B4E">
        <w:rPr>
          <w:rFonts w:ascii="Palatino Linotype" w:hAnsi="Palatino Linotype" w:cs="Arial"/>
          <w:b/>
          <w:sz w:val="28"/>
          <w:szCs w:val="28"/>
        </w:rPr>
        <w:t xml:space="preserve"> </w:t>
      </w:r>
    </w:p>
    <w:p w:rsidR="00462F1D" w:rsidRPr="00111B4E" w:rsidRDefault="00462F1D" w:rsidP="00462F1D">
      <w:pPr>
        <w:autoSpaceDE w:val="0"/>
        <w:autoSpaceDN w:val="0"/>
        <w:adjustRightInd w:val="0"/>
        <w:spacing w:line="360" w:lineRule="auto"/>
        <w:jc w:val="both"/>
        <w:rPr>
          <w:rFonts w:ascii="Palatino Linotype" w:hAnsi="Palatino Linotype" w:cs="Arial"/>
          <w:lang w:val="es-ES" w:eastAsia="es-ES"/>
        </w:rPr>
      </w:pPr>
      <w:r w:rsidRPr="00111B4E">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462F1D" w:rsidRPr="00111B4E" w:rsidRDefault="00462F1D" w:rsidP="00462F1D">
      <w:pPr>
        <w:autoSpaceDE w:val="0"/>
        <w:autoSpaceDN w:val="0"/>
        <w:adjustRightInd w:val="0"/>
        <w:spacing w:line="360" w:lineRule="auto"/>
        <w:jc w:val="both"/>
        <w:rPr>
          <w:rFonts w:ascii="Palatino Linotype" w:hAnsi="Palatino Linotype" w:cs="Arial"/>
          <w:lang w:val="es-ES" w:eastAsia="es-ES"/>
        </w:rPr>
      </w:pPr>
    </w:p>
    <w:p w:rsidR="00462F1D" w:rsidRPr="00111B4E" w:rsidRDefault="00462F1D" w:rsidP="00462F1D">
      <w:pPr>
        <w:autoSpaceDE w:val="0"/>
        <w:autoSpaceDN w:val="0"/>
        <w:adjustRightInd w:val="0"/>
        <w:spacing w:before="240"/>
        <w:rPr>
          <w:rFonts w:ascii="Palatino Linotype" w:hAnsi="Palatino Linotype" w:cs="Arial"/>
          <w:b/>
        </w:rPr>
      </w:pPr>
      <w:r w:rsidRPr="00111B4E">
        <w:rPr>
          <w:rFonts w:ascii="Palatino Linotype" w:hAnsi="Palatino Linotype"/>
          <w:b/>
          <w:color w:val="000000" w:themeColor="text1"/>
          <w:sz w:val="26"/>
          <w:szCs w:val="26"/>
          <w:lang w:val="es-ES_tradnl"/>
        </w:rPr>
        <w:t>TERCERO.</w:t>
      </w:r>
      <w:r w:rsidRPr="00111B4E">
        <w:rPr>
          <w:rFonts w:ascii="Palatino Linotype" w:hAnsi="Palatino Linotype" w:cs="Arial"/>
          <w:b/>
          <w:sz w:val="28"/>
          <w:szCs w:val="28"/>
        </w:rPr>
        <w:t xml:space="preserve"> Cuestiones de previo y especial pronunciamiento</w:t>
      </w:r>
    </w:p>
    <w:p w:rsidR="00462F1D" w:rsidRPr="00111B4E" w:rsidRDefault="00462F1D" w:rsidP="00462F1D">
      <w:pPr>
        <w:autoSpaceDE w:val="0"/>
        <w:autoSpaceDN w:val="0"/>
        <w:adjustRightInd w:val="0"/>
        <w:spacing w:before="240" w:line="360" w:lineRule="auto"/>
        <w:jc w:val="both"/>
        <w:rPr>
          <w:rFonts w:ascii="Palatino Linotype" w:hAnsi="Palatino Linotype"/>
          <w:sz w:val="24"/>
          <w:szCs w:val="24"/>
        </w:rPr>
      </w:pPr>
      <w:r w:rsidRPr="00111B4E">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462F1D" w:rsidRPr="00111B4E" w:rsidRDefault="00462F1D" w:rsidP="00462F1D">
      <w:pPr>
        <w:autoSpaceDE w:val="0"/>
        <w:autoSpaceDN w:val="0"/>
        <w:adjustRightInd w:val="0"/>
        <w:spacing w:before="240" w:line="360" w:lineRule="auto"/>
        <w:ind w:left="360" w:firstLine="348"/>
        <w:jc w:val="both"/>
        <w:rPr>
          <w:rFonts w:ascii="Palatino Linotype" w:hAnsi="Palatino Linotype"/>
          <w:i/>
        </w:rPr>
      </w:pPr>
      <w:r w:rsidRPr="00111B4E">
        <w:rPr>
          <w:rFonts w:ascii="Palatino Linotype" w:hAnsi="Palatino Linotype"/>
          <w:i/>
        </w:rPr>
        <w:t>“Artículo 180. El recurso de revisión contendrá:</w:t>
      </w:r>
    </w:p>
    <w:p w:rsidR="00462F1D" w:rsidRPr="00111B4E" w:rsidRDefault="00462F1D" w:rsidP="00462F1D">
      <w:pPr>
        <w:numPr>
          <w:ilvl w:val="0"/>
          <w:numId w:val="1"/>
        </w:numPr>
        <w:autoSpaceDE w:val="0"/>
        <w:autoSpaceDN w:val="0"/>
        <w:adjustRightInd w:val="0"/>
        <w:spacing w:before="240" w:after="0" w:line="360" w:lineRule="auto"/>
        <w:jc w:val="both"/>
        <w:rPr>
          <w:rFonts w:ascii="Palatino Linotype" w:hAnsi="Palatino Linotype"/>
          <w:i/>
        </w:rPr>
      </w:pPr>
      <w:r w:rsidRPr="00111B4E">
        <w:rPr>
          <w:rFonts w:ascii="Palatino Linotype" w:hAnsi="Palatino Linotype"/>
          <w:i/>
        </w:rPr>
        <w:t>EL sujeto obligado ante la cual se presentó la solicitud;</w:t>
      </w:r>
    </w:p>
    <w:p w:rsidR="00462F1D" w:rsidRPr="00111B4E" w:rsidRDefault="00462F1D" w:rsidP="00462F1D">
      <w:pPr>
        <w:numPr>
          <w:ilvl w:val="0"/>
          <w:numId w:val="1"/>
        </w:numPr>
        <w:autoSpaceDE w:val="0"/>
        <w:autoSpaceDN w:val="0"/>
        <w:adjustRightInd w:val="0"/>
        <w:spacing w:before="240" w:after="0" w:line="360" w:lineRule="auto"/>
        <w:jc w:val="both"/>
        <w:rPr>
          <w:rFonts w:ascii="Palatino Linotype" w:hAnsi="Palatino Linotype"/>
          <w:i/>
        </w:rPr>
      </w:pPr>
      <w:r w:rsidRPr="00111B4E">
        <w:rPr>
          <w:rFonts w:ascii="Palatino Linotype" w:hAnsi="Palatino Linotype"/>
          <w:i/>
        </w:rPr>
        <w:t>El nombre del solicitante que recurre o de su representante y, en su caso, del tercero interesado, así como la dirección o medio que señale para recibir notificaciones;</w:t>
      </w:r>
    </w:p>
    <w:p w:rsidR="00462F1D" w:rsidRPr="00111B4E" w:rsidRDefault="00462F1D" w:rsidP="00462F1D">
      <w:pPr>
        <w:numPr>
          <w:ilvl w:val="0"/>
          <w:numId w:val="1"/>
        </w:numPr>
        <w:autoSpaceDE w:val="0"/>
        <w:autoSpaceDN w:val="0"/>
        <w:adjustRightInd w:val="0"/>
        <w:spacing w:before="240" w:after="0" w:line="360" w:lineRule="auto"/>
        <w:jc w:val="both"/>
        <w:rPr>
          <w:rFonts w:ascii="Palatino Linotype" w:hAnsi="Palatino Linotype"/>
          <w:i/>
        </w:rPr>
      </w:pPr>
      <w:r w:rsidRPr="00111B4E">
        <w:rPr>
          <w:rFonts w:ascii="Palatino Linotype" w:hAnsi="Palatino Linotype"/>
          <w:i/>
        </w:rPr>
        <w:t>El número de folio de respuesta de la solicitud de acceso;</w:t>
      </w:r>
    </w:p>
    <w:p w:rsidR="00462F1D" w:rsidRPr="00111B4E" w:rsidRDefault="00462F1D" w:rsidP="00462F1D">
      <w:pPr>
        <w:autoSpaceDE w:val="0"/>
        <w:autoSpaceDN w:val="0"/>
        <w:adjustRightInd w:val="0"/>
        <w:spacing w:before="240" w:line="360" w:lineRule="auto"/>
        <w:ind w:left="1080"/>
        <w:jc w:val="both"/>
        <w:rPr>
          <w:rFonts w:ascii="Palatino Linotype" w:hAnsi="Palatino Linotype"/>
          <w:i/>
        </w:rPr>
      </w:pPr>
      <w:r w:rsidRPr="00111B4E">
        <w:rPr>
          <w:rFonts w:ascii="Palatino Linotype" w:hAnsi="Palatino Linotype"/>
          <w:i/>
        </w:rPr>
        <w:t>IV. La fecha en que fue notificada la respuesta al solicitante o tuvo conocimiento del acto reclamado, o de presentación de la solicitud, en caso de falta de respuesta;</w:t>
      </w:r>
    </w:p>
    <w:p w:rsidR="00462F1D" w:rsidRPr="00111B4E" w:rsidRDefault="00462F1D" w:rsidP="00462F1D">
      <w:pPr>
        <w:autoSpaceDE w:val="0"/>
        <w:autoSpaceDN w:val="0"/>
        <w:adjustRightInd w:val="0"/>
        <w:spacing w:before="240" w:line="360" w:lineRule="auto"/>
        <w:ind w:left="732" w:firstLine="348"/>
        <w:jc w:val="both"/>
        <w:rPr>
          <w:rFonts w:ascii="Palatino Linotype" w:hAnsi="Palatino Linotype"/>
          <w:i/>
        </w:rPr>
      </w:pPr>
      <w:r w:rsidRPr="00111B4E">
        <w:rPr>
          <w:rFonts w:ascii="Palatino Linotype" w:hAnsi="Palatino Linotype"/>
          <w:i/>
        </w:rPr>
        <w:lastRenderedPageBreak/>
        <w:t>V. El acto que se recurre;</w:t>
      </w:r>
    </w:p>
    <w:p w:rsidR="00462F1D" w:rsidRPr="00111B4E" w:rsidRDefault="00462F1D" w:rsidP="00462F1D">
      <w:pPr>
        <w:autoSpaceDE w:val="0"/>
        <w:autoSpaceDN w:val="0"/>
        <w:adjustRightInd w:val="0"/>
        <w:spacing w:before="240" w:line="360" w:lineRule="auto"/>
        <w:ind w:left="732" w:firstLine="348"/>
        <w:jc w:val="both"/>
        <w:rPr>
          <w:rFonts w:ascii="Palatino Linotype" w:hAnsi="Palatino Linotype"/>
          <w:i/>
        </w:rPr>
      </w:pPr>
      <w:r w:rsidRPr="00111B4E">
        <w:rPr>
          <w:rFonts w:ascii="Palatino Linotype" w:hAnsi="Palatino Linotype"/>
          <w:i/>
        </w:rPr>
        <w:t>VI. Las razones o motivos de inconformidad;</w:t>
      </w:r>
    </w:p>
    <w:p w:rsidR="00462F1D" w:rsidRPr="00111B4E" w:rsidRDefault="00462F1D" w:rsidP="00462F1D">
      <w:pPr>
        <w:autoSpaceDE w:val="0"/>
        <w:autoSpaceDN w:val="0"/>
        <w:adjustRightInd w:val="0"/>
        <w:spacing w:before="240" w:line="360" w:lineRule="auto"/>
        <w:ind w:left="1080"/>
        <w:jc w:val="both"/>
        <w:rPr>
          <w:rFonts w:ascii="Palatino Linotype" w:hAnsi="Palatino Linotype"/>
          <w:i/>
        </w:rPr>
      </w:pPr>
      <w:r w:rsidRPr="00111B4E">
        <w:rPr>
          <w:rFonts w:ascii="Palatino Linotype" w:hAnsi="Palatino Linotype"/>
          <w:i/>
        </w:rPr>
        <w:t>VII. La copia de la respuesta que se impugna y, en su caso, de la notificación correspondiente, en el caso de respuesta de la solicitud; y</w:t>
      </w:r>
    </w:p>
    <w:p w:rsidR="00462F1D" w:rsidRPr="00111B4E" w:rsidRDefault="00462F1D" w:rsidP="00462F1D">
      <w:pPr>
        <w:autoSpaceDE w:val="0"/>
        <w:autoSpaceDN w:val="0"/>
        <w:adjustRightInd w:val="0"/>
        <w:spacing w:before="240" w:line="360" w:lineRule="auto"/>
        <w:ind w:left="732" w:firstLine="348"/>
        <w:jc w:val="both"/>
        <w:rPr>
          <w:rFonts w:ascii="Palatino Linotype" w:hAnsi="Palatino Linotype"/>
          <w:i/>
        </w:rPr>
      </w:pPr>
      <w:r w:rsidRPr="00111B4E">
        <w:rPr>
          <w:rFonts w:ascii="Palatino Linotype" w:hAnsi="Palatino Linotype"/>
          <w:i/>
        </w:rPr>
        <w:t>VIII. Firma del recurrente, en su caso, cuando se presente por escrito, requisito sin el cual se dará trámite al recurso.</w:t>
      </w:r>
    </w:p>
    <w:p w:rsidR="00462F1D" w:rsidRPr="00111B4E" w:rsidRDefault="00462F1D" w:rsidP="00462F1D">
      <w:pPr>
        <w:autoSpaceDE w:val="0"/>
        <w:autoSpaceDN w:val="0"/>
        <w:adjustRightInd w:val="0"/>
        <w:spacing w:before="240" w:line="360" w:lineRule="auto"/>
        <w:ind w:left="1080"/>
        <w:jc w:val="both"/>
        <w:rPr>
          <w:rFonts w:ascii="Palatino Linotype" w:hAnsi="Palatino Linotype"/>
          <w:i/>
        </w:rPr>
      </w:pPr>
      <w:r w:rsidRPr="00111B4E">
        <w:rPr>
          <w:rFonts w:ascii="Palatino Linotype" w:hAnsi="Palatino Linotype"/>
          <w:i/>
        </w:rPr>
        <w:t>Adicionalmente, se podrán anexar las pruebas y demás elementos que considere procedentes someter a juicio del Instituto.</w:t>
      </w:r>
    </w:p>
    <w:p w:rsidR="00462F1D" w:rsidRPr="00111B4E" w:rsidRDefault="00462F1D" w:rsidP="00462F1D">
      <w:pPr>
        <w:autoSpaceDE w:val="0"/>
        <w:autoSpaceDN w:val="0"/>
        <w:adjustRightInd w:val="0"/>
        <w:spacing w:before="240" w:line="360" w:lineRule="auto"/>
        <w:ind w:left="732" w:firstLine="348"/>
        <w:jc w:val="both"/>
        <w:rPr>
          <w:rFonts w:ascii="Palatino Linotype" w:hAnsi="Palatino Linotype"/>
          <w:i/>
        </w:rPr>
      </w:pPr>
      <w:r w:rsidRPr="00111B4E">
        <w:rPr>
          <w:rFonts w:ascii="Palatino Linotype" w:hAnsi="Palatino Linotype"/>
          <w:i/>
        </w:rPr>
        <w:t>En ningún caso será necesario que el particular ratifique el recurso de revisión interpuesto.</w:t>
      </w:r>
    </w:p>
    <w:p w:rsidR="00462F1D" w:rsidRPr="00111B4E" w:rsidRDefault="00462F1D" w:rsidP="00462F1D">
      <w:pPr>
        <w:autoSpaceDE w:val="0"/>
        <w:autoSpaceDN w:val="0"/>
        <w:adjustRightInd w:val="0"/>
        <w:spacing w:before="240" w:line="360" w:lineRule="auto"/>
        <w:ind w:left="1080"/>
        <w:jc w:val="both"/>
        <w:rPr>
          <w:rFonts w:ascii="Palatino Linotype" w:hAnsi="Palatino Linotype"/>
          <w:b/>
          <w:i/>
          <w:u w:val="single"/>
        </w:rPr>
      </w:pPr>
      <w:r w:rsidRPr="00111B4E">
        <w:rPr>
          <w:rFonts w:ascii="Palatino Linotype" w:hAnsi="Palatino Linotype"/>
          <w:b/>
          <w:i/>
          <w:u w:val="single"/>
        </w:rPr>
        <w:t>En caso de que el recurso se interponga de manera electrónica no será indispensable que contengan los requisitos establecidos en las fracciones II, IV, VII y VIII.” [Sic]</w:t>
      </w:r>
    </w:p>
    <w:p w:rsidR="00462F1D" w:rsidRPr="00111B4E" w:rsidRDefault="00462F1D" w:rsidP="00462F1D">
      <w:pPr>
        <w:autoSpaceDE w:val="0"/>
        <w:autoSpaceDN w:val="0"/>
        <w:adjustRightInd w:val="0"/>
        <w:spacing w:before="240" w:line="360" w:lineRule="auto"/>
        <w:ind w:left="1080"/>
        <w:jc w:val="both"/>
        <w:rPr>
          <w:rFonts w:ascii="Palatino Linotype" w:hAnsi="Palatino Linotype"/>
          <w:b/>
          <w:i/>
          <w:u w:val="single"/>
        </w:rPr>
      </w:pP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Segoe UI"/>
          <w:sz w:val="24"/>
          <w:szCs w:val="24"/>
        </w:rPr>
        <w:t xml:space="preserve">Cabe señalar que </w:t>
      </w:r>
      <w:r w:rsidRPr="00111B4E">
        <w:rPr>
          <w:rFonts w:ascii="Palatino Linotype" w:hAnsi="Palatino Linotype" w:cs="Segoe UI"/>
          <w:b/>
          <w:sz w:val="24"/>
          <w:szCs w:val="24"/>
        </w:rPr>
        <w:t>El Recurrente</w:t>
      </w:r>
      <w:r w:rsidRPr="00111B4E">
        <w:rPr>
          <w:rFonts w:ascii="Palatino Linotype" w:hAnsi="Palatino Linotype" w:cs="Segoe UI"/>
          <w:sz w:val="24"/>
          <w:szCs w:val="24"/>
        </w:rPr>
        <w:t xml:space="preserve"> </w:t>
      </w:r>
      <w:r w:rsidRPr="00111B4E">
        <w:rPr>
          <w:rFonts w:ascii="Palatino Linotype" w:hAnsi="Palatino Linotype" w:cs="Segoe UI"/>
          <w:sz w:val="24"/>
          <w:szCs w:val="24"/>
          <w:u w:val="single"/>
        </w:rPr>
        <w:t xml:space="preserve">ejerció su derecho de manera anónima,  por lo que </w:t>
      </w:r>
      <w:r w:rsidRPr="00111B4E">
        <w:rPr>
          <w:rFonts w:ascii="Palatino Linotype" w:hAnsi="Palatino Linotype"/>
          <w:sz w:val="24"/>
          <w:szCs w:val="24"/>
        </w:rPr>
        <w:t xml:space="preserve">no sería motivo para desechar las </w:t>
      </w:r>
      <w:r w:rsidRPr="00111B4E">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rsidR="00462F1D" w:rsidRPr="00111B4E" w:rsidRDefault="00462F1D" w:rsidP="00C71466">
      <w:pPr>
        <w:spacing w:before="240" w:line="360" w:lineRule="auto"/>
        <w:ind w:left="851" w:right="851"/>
        <w:jc w:val="both"/>
        <w:rPr>
          <w:rFonts w:ascii="Palatino Linotype" w:hAnsi="Palatino Linotype" w:cs="Arial"/>
          <w:b/>
          <w:i/>
        </w:rPr>
      </w:pPr>
      <w:r w:rsidRPr="00111B4E">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111B4E">
        <w:rPr>
          <w:rFonts w:ascii="Palatino Linotype" w:hAnsi="Palatino Linotype" w:cs="Arial"/>
          <w:b/>
          <w:i/>
        </w:rPr>
        <w:t>[Sic]</w:t>
      </w: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sz w:val="24"/>
          <w:szCs w:val="24"/>
        </w:rPr>
        <w:lastRenderedPageBreak/>
        <w:t xml:space="preserve">Robustece lo anterior se encuentra lo dispuesto en el artículo 5 párrafos </w:t>
      </w:r>
      <w:r w:rsidRPr="00111B4E">
        <w:rPr>
          <w:rFonts w:ascii="Palatino Linotype" w:hAnsi="Palatino Linotype" w:cs="Arial"/>
          <w:sz w:val="24"/>
          <w:szCs w:val="24"/>
        </w:rPr>
        <w:t>vigésimo, vigésimo primero y vigésimo segundo</w:t>
      </w:r>
      <w:r w:rsidRPr="00111B4E">
        <w:rPr>
          <w:rFonts w:ascii="Palatino Linotype" w:hAnsi="Palatino Linotype"/>
          <w:sz w:val="24"/>
          <w:szCs w:val="24"/>
        </w:rPr>
        <w:t>, de la Constitución Política del Estado Libre y Soberano de México, se establece lo siguiente:</w:t>
      </w:r>
    </w:p>
    <w:p w:rsidR="00462F1D" w:rsidRPr="00111B4E" w:rsidRDefault="00462F1D" w:rsidP="00462F1D">
      <w:pPr>
        <w:spacing w:before="240" w:line="360" w:lineRule="auto"/>
        <w:ind w:left="851" w:right="851"/>
        <w:jc w:val="both"/>
        <w:rPr>
          <w:rFonts w:ascii="Palatino Linotype" w:hAnsi="Palatino Linotype"/>
          <w:b/>
          <w:i/>
          <w:u w:val="single"/>
        </w:rPr>
      </w:pPr>
      <w:r w:rsidRPr="00111B4E">
        <w:rPr>
          <w:rFonts w:ascii="Palatino Linotype" w:hAnsi="Palatino Linotype"/>
          <w:b/>
          <w:i/>
          <w:u w:val="single"/>
        </w:rPr>
        <w:t>Constitución Política del Estado Libre y Soberano de México</w:t>
      </w:r>
    </w:p>
    <w:p w:rsidR="00462F1D" w:rsidRPr="00111B4E" w:rsidRDefault="00462F1D" w:rsidP="00462F1D">
      <w:pPr>
        <w:spacing w:before="240" w:line="360" w:lineRule="auto"/>
        <w:ind w:left="851" w:right="851"/>
        <w:jc w:val="both"/>
        <w:rPr>
          <w:rFonts w:ascii="Palatino Linotype" w:hAnsi="Palatino Linotype"/>
          <w:i/>
        </w:rPr>
      </w:pPr>
      <w:r w:rsidRPr="00111B4E">
        <w:rPr>
          <w:rFonts w:ascii="Palatino Linotype" w:hAnsi="Palatino Linotype"/>
          <w:i/>
        </w:rPr>
        <w:t>“</w:t>
      </w:r>
      <w:r w:rsidRPr="00111B4E">
        <w:rPr>
          <w:rFonts w:ascii="Palatino Linotype" w:hAnsi="Palatino Linotype"/>
          <w:b/>
          <w:i/>
        </w:rPr>
        <w:t>Artículo 5</w:t>
      </w:r>
      <w:r w:rsidRPr="00111B4E">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462F1D" w:rsidRPr="00111B4E" w:rsidRDefault="00462F1D" w:rsidP="00462F1D">
      <w:pPr>
        <w:spacing w:before="240" w:line="360" w:lineRule="auto"/>
        <w:ind w:left="851" w:right="851"/>
        <w:jc w:val="both"/>
        <w:rPr>
          <w:rFonts w:ascii="Palatino Linotype" w:hAnsi="Palatino Linotype"/>
          <w:i/>
        </w:rPr>
      </w:pPr>
      <w:r w:rsidRPr="00111B4E">
        <w:rPr>
          <w:rFonts w:ascii="Palatino Linotype" w:hAnsi="Palatino Linotype"/>
          <w:i/>
        </w:rPr>
        <w:t>(…)</w:t>
      </w:r>
    </w:p>
    <w:p w:rsidR="00462F1D" w:rsidRPr="00111B4E" w:rsidRDefault="00462F1D" w:rsidP="00462F1D">
      <w:pPr>
        <w:spacing w:before="240" w:line="360" w:lineRule="auto"/>
        <w:ind w:left="851" w:right="851"/>
        <w:jc w:val="both"/>
        <w:rPr>
          <w:rFonts w:ascii="Palatino Linotype" w:hAnsi="Palatino Linotype"/>
          <w:b/>
          <w:i/>
        </w:rPr>
      </w:pPr>
      <w:proofErr w:type="gramStart"/>
      <w:r w:rsidRPr="00111B4E">
        <w:rPr>
          <w:rFonts w:ascii="Palatino Linotype" w:hAnsi="Palatino Linotype"/>
          <w:i/>
        </w:rPr>
        <w:t>transparencia</w:t>
      </w:r>
      <w:proofErr w:type="gramEnd"/>
      <w:r w:rsidRPr="00111B4E">
        <w:rPr>
          <w:rFonts w:ascii="Palatino Linotype" w:hAnsi="Palatino Linotype"/>
          <w:i/>
        </w:rPr>
        <w:t xml:space="preserve">, acceso a la información pública y a la protección de datos personales en posesión de los sujetos obligados en los términos que establezca la ley. (…)” </w:t>
      </w:r>
      <w:r w:rsidRPr="00111B4E">
        <w:rPr>
          <w:rFonts w:ascii="Palatino Linotype" w:hAnsi="Palatino Linotype"/>
          <w:b/>
          <w:i/>
        </w:rPr>
        <w:t>[Sic]</w:t>
      </w:r>
    </w:p>
    <w:p w:rsidR="00462F1D" w:rsidRPr="00111B4E" w:rsidRDefault="00462F1D" w:rsidP="00462F1D">
      <w:pPr>
        <w:autoSpaceDE w:val="0"/>
        <w:autoSpaceDN w:val="0"/>
        <w:adjustRightInd w:val="0"/>
        <w:spacing w:before="240" w:line="360" w:lineRule="auto"/>
        <w:jc w:val="both"/>
        <w:rPr>
          <w:rFonts w:ascii="Palatino Linotype" w:hAnsi="Palatino Linotype"/>
          <w:sz w:val="24"/>
          <w:szCs w:val="24"/>
        </w:rPr>
      </w:pPr>
    </w:p>
    <w:p w:rsidR="00462F1D" w:rsidRPr="00111B4E" w:rsidRDefault="00462F1D" w:rsidP="00462F1D">
      <w:pPr>
        <w:autoSpaceDE w:val="0"/>
        <w:autoSpaceDN w:val="0"/>
        <w:adjustRightInd w:val="0"/>
        <w:spacing w:before="240" w:line="360" w:lineRule="auto"/>
        <w:jc w:val="both"/>
        <w:rPr>
          <w:rFonts w:ascii="Palatino Linotype" w:hAnsi="Palatino Linotype" w:cs="Arial"/>
          <w:sz w:val="24"/>
          <w:szCs w:val="24"/>
        </w:rPr>
      </w:pPr>
      <w:r w:rsidRPr="00111B4E">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11B4E">
        <w:rPr>
          <w:rFonts w:ascii="Palatino Linotype" w:hAnsi="Palatino Linotype"/>
          <w:b/>
          <w:sz w:val="24"/>
          <w:szCs w:val="24"/>
          <w:u w:val="single"/>
        </w:rPr>
        <w:t>incluso, la solicitud de acceso a la información pueda ser anónima</w:t>
      </w:r>
      <w:r w:rsidRPr="00111B4E">
        <w:rPr>
          <w:rFonts w:ascii="Palatino Linotype" w:hAnsi="Palatino Linotype"/>
          <w:sz w:val="24"/>
          <w:szCs w:val="24"/>
        </w:rPr>
        <w:t xml:space="preserve"> o no contener un </w:t>
      </w:r>
      <w:r w:rsidRPr="00111B4E">
        <w:rPr>
          <w:rFonts w:ascii="Palatino Linotype" w:hAnsi="Palatino Linotype"/>
          <w:sz w:val="24"/>
          <w:szCs w:val="24"/>
        </w:rPr>
        <w:lastRenderedPageBreak/>
        <w:t xml:space="preserve">nombre que identifique al solicitante o que permita tener certeza sobre su identidad. </w:t>
      </w:r>
      <w:r w:rsidRPr="00111B4E">
        <w:rPr>
          <w:rFonts w:ascii="Palatino Linotype" w:hAnsi="Palatino Linotype" w:cs="Arial"/>
          <w:sz w:val="24"/>
          <w:szCs w:val="24"/>
        </w:rPr>
        <w:t xml:space="preserve">En conclusión, se cubrieron los requisitos de procedencia y </w:t>
      </w:r>
      <w:proofErr w:type="spellStart"/>
      <w:r w:rsidRPr="00111B4E">
        <w:rPr>
          <w:rFonts w:ascii="Palatino Linotype" w:hAnsi="Palatino Linotype" w:cs="Arial"/>
          <w:sz w:val="24"/>
          <w:szCs w:val="24"/>
        </w:rPr>
        <w:t>procedibilidad</w:t>
      </w:r>
      <w:proofErr w:type="spellEnd"/>
      <w:r w:rsidRPr="00111B4E">
        <w:rPr>
          <w:rFonts w:ascii="Palatino Linotype" w:hAnsi="Palatino Linotype" w:cs="Arial"/>
          <w:sz w:val="24"/>
          <w:szCs w:val="24"/>
        </w:rPr>
        <w:t xml:space="preserve"> y conforme a las constancias que obran en el expediente.</w:t>
      </w:r>
    </w:p>
    <w:p w:rsidR="00462F1D" w:rsidRPr="00111B4E" w:rsidRDefault="00462F1D" w:rsidP="00462F1D">
      <w:pPr>
        <w:autoSpaceDE w:val="0"/>
        <w:autoSpaceDN w:val="0"/>
        <w:adjustRightInd w:val="0"/>
        <w:spacing w:before="240" w:line="360" w:lineRule="auto"/>
        <w:jc w:val="both"/>
        <w:rPr>
          <w:rFonts w:cs="Arial"/>
          <w:b/>
        </w:rPr>
      </w:pPr>
    </w:p>
    <w:p w:rsidR="00462F1D" w:rsidRPr="00111B4E" w:rsidRDefault="00462F1D" w:rsidP="00462F1D">
      <w:pPr>
        <w:keepNext/>
        <w:keepLines/>
        <w:spacing w:line="360" w:lineRule="auto"/>
        <w:jc w:val="both"/>
        <w:outlineLvl w:val="1"/>
        <w:rPr>
          <w:rFonts w:ascii="Palatino Linotype" w:hAnsi="Palatino Linotype"/>
          <w:b/>
          <w:color w:val="000000" w:themeColor="text1"/>
          <w:sz w:val="26"/>
          <w:szCs w:val="26"/>
          <w:lang w:val="es-ES_tradnl"/>
        </w:rPr>
      </w:pPr>
      <w:r w:rsidRPr="00111B4E">
        <w:rPr>
          <w:rFonts w:ascii="Palatino Linotype" w:hAnsi="Palatino Linotype"/>
          <w:b/>
          <w:color w:val="000000" w:themeColor="text1"/>
          <w:sz w:val="26"/>
          <w:szCs w:val="26"/>
          <w:lang w:val="es-ES_tradnl"/>
        </w:rPr>
        <w:t>CUARTO. De las causas de improcedencia.</w:t>
      </w: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r w:rsidRPr="00111B4E">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111B4E">
        <w:rPr>
          <w:rFonts w:ascii="Palatino Linotype" w:hAnsi="Palatino Linotype" w:cs="Palatino Linotype"/>
          <w:color w:val="000000"/>
          <w:sz w:val="24"/>
          <w:szCs w:val="24"/>
          <w:lang w:val="es-ES_tradnl"/>
        </w:rPr>
        <w:t>procedibilidad</w:t>
      </w:r>
      <w:proofErr w:type="spellEnd"/>
      <w:r w:rsidRPr="00111B4E">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r w:rsidRPr="00111B4E">
        <w:rPr>
          <w:rFonts w:ascii="Palatino Linotype" w:hAnsi="Palatino Linotype" w:cs="Palatino Linotype"/>
          <w:color w:val="000000"/>
          <w:sz w:val="24"/>
          <w:szCs w:val="24"/>
          <w:lang w:val="es-ES_tradnl"/>
        </w:rPr>
        <w:t xml:space="preserve">Por lo anterior, es una facultad legal entrar al estudio de las causas de improcedencia que hagan valer las partes o que se adviertan de oficio por este </w:t>
      </w:r>
      <w:proofErr w:type="spellStart"/>
      <w:r w:rsidRPr="00111B4E">
        <w:rPr>
          <w:rFonts w:ascii="Palatino Linotype" w:hAnsi="Palatino Linotype" w:cs="Palatino Linotype"/>
          <w:color w:val="000000"/>
          <w:sz w:val="24"/>
          <w:szCs w:val="24"/>
          <w:lang w:val="es-ES_tradnl"/>
        </w:rPr>
        <w:t>Resolutor</w:t>
      </w:r>
      <w:proofErr w:type="spellEnd"/>
      <w:r w:rsidRPr="00111B4E">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111B4E">
        <w:rPr>
          <w:rFonts w:ascii="Palatino Linotype" w:hAnsi="Palatino Linotype" w:cs="Palatino Linotype"/>
          <w:color w:val="000000"/>
          <w:sz w:val="24"/>
          <w:szCs w:val="24"/>
          <w:vertAlign w:val="superscript"/>
          <w:lang w:val="es-ES_tradnl"/>
        </w:rPr>
        <w:footnoteReference w:id="1"/>
      </w:r>
      <w:r w:rsidRPr="00111B4E">
        <w:rPr>
          <w:rFonts w:ascii="Palatino Linotype" w:hAnsi="Palatino Linotype" w:cs="Palatino Linotype"/>
          <w:color w:val="000000"/>
          <w:sz w:val="24"/>
          <w:szCs w:val="24"/>
          <w:lang w:val="es-ES_tradnl"/>
        </w:rPr>
        <w:t xml:space="preserve">, la cual permite dilucidar alguna </w:t>
      </w:r>
      <w:r w:rsidRPr="00111B4E">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r w:rsidRPr="00111B4E">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62F1D" w:rsidRPr="00111B4E" w:rsidRDefault="00462F1D" w:rsidP="00462F1D">
      <w:pPr>
        <w:spacing w:line="360" w:lineRule="auto"/>
        <w:contextualSpacing/>
        <w:jc w:val="both"/>
        <w:rPr>
          <w:rFonts w:ascii="Palatino Linotype" w:hAnsi="Palatino Linotype" w:cs="Palatino Linotype"/>
          <w:color w:val="000000"/>
          <w:sz w:val="24"/>
          <w:szCs w:val="24"/>
          <w:lang w:val="es-ES_tradnl"/>
        </w:rPr>
      </w:pPr>
    </w:p>
    <w:p w:rsidR="007D3C06" w:rsidRPr="00111B4E" w:rsidRDefault="007D3C06" w:rsidP="00462F1D">
      <w:pPr>
        <w:spacing w:line="360" w:lineRule="auto"/>
        <w:contextualSpacing/>
        <w:jc w:val="both"/>
        <w:rPr>
          <w:rFonts w:ascii="Palatino Linotype" w:hAnsi="Palatino Linotype" w:cs="Palatino Linotype"/>
          <w:color w:val="000000"/>
          <w:sz w:val="24"/>
          <w:szCs w:val="24"/>
          <w:lang w:val="es-ES_tradnl"/>
        </w:rPr>
      </w:pPr>
    </w:p>
    <w:p w:rsidR="00462F1D" w:rsidRPr="00111B4E" w:rsidRDefault="00462F1D" w:rsidP="00462F1D">
      <w:pPr>
        <w:autoSpaceDE w:val="0"/>
        <w:autoSpaceDN w:val="0"/>
        <w:adjustRightInd w:val="0"/>
        <w:spacing w:line="360" w:lineRule="auto"/>
        <w:jc w:val="both"/>
        <w:rPr>
          <w:rFonts w:ascii="Palatino Linotype" w:hAnsi="Palatino Linotype" w:cs="Arial"/>
          <w:b/>
          <w:sz w:val="28"/>
        </w:rPr>
      </w:pPr>
      <w:r w:rsidRPr="00111B4E">
        <w:rPr>
          <w:rFonts w:ascii="Palatino Linotype" w:hAnsi="Palatino Linotype"/>
          <w:b/>
          <w:color w:val="000000" w:themeColor="text1"/>
          <w:sz w:val="26"/>
          <w:szCs w:val="26"/>
          <w:lang w:val="es-ES_tradnl"/>
        </w:rPr>
        <w:t xml:space="preserve">QUINTO. </w:t>
      </w:r>
      <w:r w:rsidRPr="00111B4E">
        <w:rPr>
          <w:rFonts w:ascii="Palatino Linotype" w:hAnsi="Palatino Linotype" w:cs="Arial"/>
          <w:b/>
          <w:sz w:val="28"/>
        </w:rPr>
        <w:t>Del estudio y resolución del asunto.</w:t>
      </w:r>
      <w:r w:rsidRPr="00111B4E">
        <w:rPr>
          <w:rFonts w:ascii="Palatino Linotype" w:hAnsi="Palatino Linotype" w:cs="Arial"/>
          <w:sz w:val="28"/>
        </w:rPr>
        <w:t xml:space="preserve"> </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C71466" w:rsidRPr="00111B4E" w:rsidRDefault="00462F1D" w:rsidP="00976B1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rsidR="00C71466" w:rsidRPr="00111B4E" w:rsidRDefault="00C71466" w:rsidP="00337781">
      <w:pPr>
        <w:pStyle w:val="Prrafodelista"/>
        <w:numPr>
          <w:ilvl w:val="0"/>
          <w:numId w:val="9"/>
        </w:numPr>
        <w:spacing w:after="0" w:line="360" w:lineRule="auto"/>
        <w:jc w:val="both"/>
        <w:rPr>
          <w:rFonts w:ascii="Palatino Linotype" w:eastAsia="Times New Roman" w:hAnsi="Palatino Linotype" w:cs="Palatino Linotype"/>
          <w:color w:val="000000"/>
          <w:sz w:val="24"/>
          <w:szCs w:val="24"/>
          <w:lang w:eastAsia="es-MX"/>
        </w:rPr>
      </w:pPr>
      <w:r w:rsidRPr="00111B4E">
        <w:rPr>
          <w:rFonts w:ascii="Palatino Linotype" w:hAnsi="Palatino Linotype"/>
          <w:color w:val="000000"/>
          <w:sz w:val="24"/>
          <w:szCs w:val="24"/>
        </w:rPr>
        <w:t xml:space="preserve">Frecuencia y horario de patrullajes por delegación o colonia en el municipio durante los últimos 6 meses. </w:t>
      </w:r>
    </w:p>
    <w:p w:rsidR="00C71466" w:rsidRPr="00111B4E" w:rsidRDefault="00C71466" w:rsidP="00337781">
      <w:pPr>
        <w:pStyle w:val="Prrafodelista"/>
        <w:numPr>
          <w:ilvl w:val="0"/>
          <w:numId w:val="9"/>
        </w:numPr>
        <w:spacing w:after="0" w:line="360" w:lineRule="auto"/>
        <w:jc w:val="both"/>
        <w:rPr>
          <w:rFonts w:ascii="Palatino Linotype" w:eastAsia="Times New Roman" w:hAnsi="Palatino Linotype" w:cs="Palatino Linotype"/>
          <w:color w:val="000000"/>
          <w:sz w:val="24"/>
          <w:szCs w:val="24"/>
          <w:lang w:eastAsia="es-MX"/>
        </w:rPr>
      </w:pPr>
      <w:r w:rsidRPr="00111B4E">
        <w:rPr>
          <w:rFonts w:ascii="Palatino Linotype" w:hAnsi="Palatino Linotype"/>
          <w:color w:val="000000"/>
          <w:sz w:val="24"/>
          <w:szCs w:val="24"/>
        </w:rPr>
        <w:t>Número total de elementos operativos por turno y por tipo de función (sin datos personales, únicamente estadísticos).</w:t>
      </w:r>
    </w:p>
    <w:p w:rsidR="00C71466" w:rsidRPr="00111B4E" w:rsidRDefault="00C71466" w:rsidP="00337781">
      <w:pPr>
        <w:pStyle w:val="Prrafodelista"/>
        <w:numPr>
          <w:ilvl w:val="0"/>
          <w:numId w:val="9"/>
        </w:numPr>
        <w:spacing w:after="0" w:line="360" w:lineRule="auto"/>
        <w:jc w:val="both"/>
        <w:rPr>
          <w:rFonts w:ascii="Palatino Linotype" w:eastAsia="Times New Roman" w:hAnsi="Palatino Linotype" w:cs="Palatino Linotype"/>
          <w:color w:val="000000"/>
          <w:sz w:val="24"/>
          <w:szCs w:val="24"/>
          <w:lang w:eastAsia="es-MX"/>
        </w:rPr>
      </w:pPr>
      <w:r w:rsidRPr="00111B4E">
        <w:rPr>
          <w:rFonts w:ascii="Palatino Linotype" w:hAnsi="Palatino Linotype"/>
          <w:color w:val="000000"/>
          <w:sz w:val="24"/>
          <w:szCs w:val="24"/>
        </w:rPr>
        <w:t xml:space="preserve"> Número de unidades patrullas operativas y descompuestas, especificando modelo, año, kilometraje estimado y estado mecánico actual. </w:t>
      </w:r>
    </w:p>
    <w:p w:rsidR="00C71466" w:rsidRPr="00111B4E" w:rsidRDefault="00C71466" w:rsidP="00462F1D">
      <w:pPr>
        <w:pStyle w:val="Prrafodelista"/>
        <w:spacing w:after="0" w:line="360" w:lineRule="auto"/>
        <w:ind w:left="1440"/>
        <w:jc w:val="both"/>
        <w:rPr>
          <w:rFonts w:ascii="Palatino Linotype" w:eastAsia="Times New Roman" w:hAnsi="Palatino Linotype" w:cs="Palatino Linotype"/>
          <w:color w:val="000000"/>
          <w:sz w:val="24"/>
          <w:szCs w:val="24"/>
          <w:lang w:val="es-ES_tradnl" w:eastAsia="es-MX"/>
        </w:rPr>
      </w:pPr>
    </w:p>
    <w:p w:rsidR="00462F1D" w:rsidRPr="00111B4E" w:rsidRDefault="00462F1D" w:rsidP="00462F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11B4E">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D26A8D" w:rsidRPr="00111B4E">
        <w:rPr>
          <w:rFonts w:ascii="Palatino Linotype" w:eastAsia="Times New Roman" w:hAnsi="Palatino Linotype" w:cs="Palatino Linotype"/>
          <w:color w:val="000000"/>
          <w:sz w:val="24"/>
          <w:szCs w:val="24"/>
          <w:lang w:val="es-ES_tradnl" w:eastAsia="es-MX"/>
        </w:rPr>
        <w:t xml:space="preserve"> </w:t>
      </w:r>
      <w:r w:rsidRPr="00111B4E">
        <w:rPr>
          <w:rFonts w:ascii="Palatino Linotype" w:eastAsia="Times New Roman" w:hAnsi="Palatino Linotype" w:cs="Palatino Linotype"/>
          <w:color w:val="000000"/>
          <w:sz w:val="24"/>
          <w:szCs w:val="24"/>
          <w:lang w:val="es-ES_tradnl" w:eastAsia="es-MX"/>
        </w:rPr>
        <w:t>l</w:t>
      </w:r>
      <w:r w:rsidR="00D26A8D" w:rsidRPr="00111B4E">
        <w:rPr>
          <w:rFonts w:ascii="Palatino Linotype" w:eastAsia="Times New Roman" w:hAnsi="Palatino Linotype" w:cs="Palatino Linotype"/>
          <w:color w:val="000000"/>
          <w:sz w:val="24"/>
          <w:szCs w:val="24"/>
          <w:lang w:val="es-ES_tradnl" w:eastAsia="es-MX"/>
        </w:rPr>
        <w:t>os</w:t>
      </w:r>
      <w:r w:rsidRPr="00111B4E">
        <w:rPr>
          <w:rFonts w:ascii="Palatino Linotype" w:eastAsia="Times New Roman" w:hAnsi="Palatino Linotype" w:cs="Palatino Linotype"/>
          <w:color w:val="000000"/>
          <w:sz w:val="24"/>
          <w:szCs w:val="24"/>
          <w:lang w:val="es-ES_tradnl" w:eastAsia="es-MX"/>
        </w:rPr>
        <w:t xml:space="preserve"> siguiente</w:t>
      </w:r>
      <w:r w:rsidR="00D26A8D" w:rsidRPr="00111B4E">
        <w:rPr>
          <w:rFonts w:ascii="Palatino Linotype" w:eastAsia="Times New Roman" w:hAnsi="Palatino Linotype" w:cs="Palatino Linotype"/>
          <w:color w:val="000000"/>
          <w:sz w:val="24"/>
          <w:szCs w:val="24"/>
          <w:lang w:val="es-ES_tradnl" w:eastAsia="es-MX"/>
        </w:rPr>
        <w:t>s</w:t>
      </w:r>
      <w:r w:rsidRPr="00111B4E">
        <w:rPr>
          <w:rFonts w:ascii="Palatino Linotype" w:eastAsia="Times New Roman" w:hAnsi="Palatino Linotype" w:cs="Palatino Linotype"/>
          <w:color w:val="000000"/>
          <w:sz w:val="24"/>
          <w:szCs w:val="24"/>
          <w:lang w:val="es-ES_tradnl" w:eastAsia="es-MX"/>
        </w:rPr>
        <w:t xml:space="preserve"> archivo</w:t>
      </w:r>
      <w:r w:rsidR="00D26A8D" w:rsidRPr="00111B4E">
        <w:rPr>
          <w:rFonts w:ascii="Palatino Linotype" w:eastAsia="Times New Roman" w:hAnsi="Palatino Linotype" w:cs="Palatino Linotype"/>
          <w:color w:val="000000"/>
          <w:sz w:val="24"/>
          <w:szCs w:val="24"/>
          <w:lang w:val="es-ES_tradnl" w:eastAsia="es-MX"/>
        </w:rPr>
        <w:t>s</w:t>
      </w:r>
      <w:r w:rsidRPr="00111B4E">
        <w:rPr>
          <w:rFonts w:ascii="Palatino Linotype" w:eastAsia="Times New Roman" w:hAnsi="Palatino Linotype" w:cs="Palatino Linotype"/>
          <w:color w:val="000000"/>
          <w:sz w:val="24"/>
          <w:szCs w:val="24"/>
          <w:lang w:val="es-ES_tradnl" w:eastAsia="es-MX"/>
        </w:rPr>
        <w:t xml:space="preserve"> electrónico</w:t>
      </w:r>
      <w:r w:rsidR="00D26A8D" w:rsidRPr="00111B4E">
        <w:rPr>
          <w:rFonts w:ascii="Palatino Linotype" w:eastAsia="Times New Roman" w:hAnsi="Palatino Linotype" w:cs="Palatino Linotype"/>
          <w:color w:val="000000"/>
          <w:sz w:val="24"/>
          <w:szCs w:val="24"/>
          <w:lang w:val="es-ES_tradnl" w:eastAsia="es-MX"/>
        </w:rPr>
        <w:t>s</w:t>
      </w:r>
      <w:r w:rsidRPr="00111B4E">
        <w:rPr>
          <w:rFonts w:ascii="Palatino Linotype" w:eastAsia="Times New Roman" w:hAnsi="Palatino Linotype" w:cs="Palatino Linotype"/>
          <w:color w:val="000000"/>
          <w:sz w:val="24"/>
          <w:szCs w:val="24"/>
          <w:lang w:val="es-ES_tradnl" w:eastAsia="es-MX"/>
        </w:rPr>
        <w:t>:</w:t>
      </w:r>
    </w:p>
    <w:p w:rsidR="00E6546A" w:rsidRPr="00111B4E" w:rsidRDefault="00E6546A" w:rsidP="00337781">
      <w:pPr>
        <w:pStyle w:val="Prrafodelista"/>
        <w:numPr>
          <w:ilvl w:val="0"/>
          <w:numId w:val="10"/>
        </w:numPr>
        <w:spacing w:after="0" w:line="360" w:lineRule="auto"/>
        <w:jc w:val="both"/>
        <w:rPr>
          <w:rFonts w:ascii="Palatino Linotype" w:eastAsia="Times New Roman" w:hAnsi="Palatino Linotype" w:cs="Palatino Linotype"/>
          <w:color w:val="000000"/>
          <w:sz w:val="24"/>
          <w:lang w:val="es-ES_tradnl" w:eastAsia="es-MX"/>
        </w:rPr>
      </w:pPr>
      <w:r w:rsidRPr="00111B4E">
        <w:rPr>
          <w:rFonts w:ascii="Palatino Linotype" w:hAnsi="Palatino Linotype" w:cs="Arial"/>
          <w:b/>
          <w:bCs/>
          <w:sz w:val="24"/>
          <w:szCs w:val="24"/>
        </w:rPr>
        <w:lastRenderedPageBreak/>
        <w:t xml:space="preserve">prueba de daño 64 SPM.pdf: </w:t>
      </w:r>
      <w:r w:rsidRPr="00111B4E">
        <w:rPr>
          <w:rFonts w:ascii="Palatino Linotype" w:hAnsi="Palatino Linotype" w:cs="Arial"/>
          <w:bCs/>
          <w:sz w:val="24"/>
          <w:szCs w:val="24"/>
        </w:rPr>
        <w:t>Soporte documental que consta de quince fojas en formato PDF de feche primero de julio de dos mil veinticinco en el que se advierte la prueba de daño presentada por el Director de Seguridad Pública.</w:t>
      </w:r>
    </w:p>
    <w:p w:rsidR="00E6546A" w:rsidRPr="00111B4E" w:rsidRDefault="00E6546A" w:rsidP="00E6546A">
      <w:pPr>
        <w:pStyle w:val="Prrafodelista"/>
        <w:spacing w:after="0" w:line="360" w:lineRule="auto"/>
        <w:jc w:val="both"/>
        <w:rPr>
          <w:rFonts w:ascii="Palatino Linotype" w:eastAsia="Times New Roman" w:hAnsi="Palatino Linotype" w:cs="Palatino Linotype"/>
          <w:color w:val="000000"/>
          <w:sz w:val="24"/>
          <w:lang w:val="es-ES_tradnl" w:eastAsia="es-MX"/>
        </w:rPr>
      </w:pPr>
    </w:p>
    <w:p w:rsidR="00E6546A" w:rsidRPr="00111B4E" w:rsidRDefault="00E6546A" w:rsidP="00337781">
      <w:pPr>
        <w:pStyle w:val="Prrafodelista"/>
        <w:numPr>
          <w:ilvl w:val="0"/>
          <w:numId w:val="10"/>
        </w:numPr>
        <w:spacing w:after="0" w:line="360" w:lineRule="auto"/>
        <w:jc w:val="both"/>
        <w:rPr>
          <w:rFonts w:ascii="Palatino Linotype" w:eastAsia="Times New Roman" w:hAnsi="Palatino Linotype" w:cs="Palatino Linotype"/>
          <w:color w:val="000000"/>
          <w:sz w:val="24"/>
          <w:lang w:val="es-ES_tradnl" w:eastAsia="es-MX"/>
        </w:rPr>
      </w:pPr>
      <w:r w:rsidRPr="00111B4E">
        <w:rPr>
          <w:rFonts w:ascii="Palatino Linotype" w:hAnsi="Palatino Linotype" w:cs="Arial"/>
          <w:b/>
          <w:bCs/>
          <w:sz w:val="24"/>
          <w:szCs w:val="24"/>
        </w:rPr>
        <w:t xml:space="preserve">quinta </w:t>
      </w:r>
      <w:proofErr w:type="spellStart"/>
      <w:r w:rsidRPr="00111B4E">
        <w:rPr>
          <w:rFonts w:ascii="Palatino Linotype" w:hAnsi="Palatino Linotype" w:cs="Arial"/>
          <w:b/>
          <w:bCs/>
          <w:sz w:val="24"/>
          <w:szCs w:val="24"/>
        </w:rPr>
        <w:t>sesion</w:t>
      </w:r>
      <w:proofErr w:type="spellEnd"/>
      <w:r w:rsidRPr="00111B4E">
        <w:rPr>
          <w:rFonts w:ascii="Palatino Linotype" w:hAnsi="Palatino Linotype" w:cs="Arial"/>
          <w:b/>
          <w:bCs/>
          <w:sz w:val="24"/>
          <w:szCs w:val="24"/>
        </w:rPr>
        <w:t xml:space="preserve"> extraordinaria CT.pdf: </w:t>
      </w:r>
      <w:r w:rsidRPr="00111B4E">
        <w:rPr>
          <w:rFonts w:ascii="Palatino Linotype" w:hAnsi="Palatino Linotype" w:cs="Arial"/>
          <w:bCs/>
          <w:sz w:val="24"/>
          <w:szCs w:val="24"/>
        </w:rPr>
        <w:t xml:space="preserve">Soporte documental que consta de cinco fojas en formato PDF en el que se advierte la quinta sesión extraordinaria del Comité de Transparencia por medio del cual se aprueba la reserva la información de la solicitud de la información </w:t>
      </w:r>
      <w:r w:rsidR="00BF3C00" w:rsidRPr="00111B4E">
        <w:rPr>
          <w:rFonts w:ascii="Palatino Linotype" w:hAnsi="Palatino Linotype"/>
          <w:b/>
          <w:bCs/>
          <w:sz w:val="24"/>
          <w:szCs w:val="24"/>
        </w:rPr>
        <w:t>00064/CHAPULTE/IP/2025</w:t>
      </w:r>
    </w:p>
    <w:p w:rsidR="00E6546A" w:rsidRPr="00111B4E" w:rsidRDefault="00E6546A" w:rsidP="00BF3C00">
      <w:pPr>
        <w:spacing w:after="0" w:line="360" w:lineRule="auto"/>
        <w:jc w:val="both"/>
        <w:rPr>
          <w:rFonts w:ascii="Palatino Linotype" w:eastAsia="Times New Roman" w:hAnsi="Palatino Linotype" w:cs="Palatino Linotype"/>
          <w:color w:val="000000"/>
          <w:sz w:val="24"/>
          <w:lang w:val="es-ES_tradnl" w:eastAsia="es-MX"/>
        </w:rPr>
      </w:pPr>
    </w:p>
    <w:p w:rsidR="00E6546A" w:rsidRPr="00111B4E" w:rsidRDefault="00E6546A" w:rsidP="00337781">
      <w:pPr>
        <w:pStyle w:val="Prrafodelista"/>
        <w:numPr>
          <w:ilvl w:val="0"/>
          <w:numId w:val="10"/>
        </w:numPr>
        <w:spacing w:after="0" w:line="360" w:lineRule="auto"/>
        <w:jc w:val="both"/>
        <w:rPr>
          <w:rFonts w:ascii="Palatino Linotype" w:eastAsia="Times New Roman" w:hAnsi="Palatino Linotype" w:cs="Palatino Linotype"/>
          <w:color w:val="000000"/>
          <w:sz w:val="24"/>
          <w:lang w:val="es-ES_tradnl" w:eastAsia="es-MX"/>
        </w:rPr>
      </w:pPr>
      <w:r w:rsidRPr="00111B4E">
        <w:rPr>
          <w:rFonts w:ascii="Palatino Linotype" w:hAnsi="Palatino Linotype" w:cs="Arial"/>
          <w:b/>
          <w:bCs/>
          <w:sz w:val="24"/>
          <w:szCs w:val="24"/>
        </w:rPr>
        <w:t>0064_CHAPULTE_IP_2025 respuesta.pdf</w:t>
      </w:r>
      <w:r w:rsidR="00BF3C00" w:rsidRPr="00111B4E">
        <w:rPr>
          <w:rFonts w:ascii="Palatino Linotype" w:hAnsi="Palatino Linotype" w:cs="Arial"/>
          <w:b/>
          <w:bCs/>
          <w:sz w:val="24"/>
          <w:szCs w:val="24"/>
        </w:rPr>
        <w:t xml:space="preserve">: </w:t>
      </w:r>
      <w:r w:rsidR="00BF3C00" w:rsidRPr="00111B4E">
        <w:rPr>
          <w:rFonts w:ascii="Palatino Linotype" w:hAnsi="Palatino Linotype" w:cs="Arial"/>
          <w:bCs/>
          <w:sz w:val="24"/>
          <w:szCs w:val="24"/>
        </w:rPr>
        <w:t xml:space="preserve">Soporte documental que consta de una foja en formato </w:t>
      </w:r>
      <w:proofErr w:type="gramStart"/>
      <w:r w:rsidR="00BF3C00" w:rsidRPr="00111B4E">
        <w:rPr>
          <w:rFonts w:ascii="Palatino Linotype" w:hAnsi="Palatino Linotype" w:cs="Arial"/>
          <w:bCs/>
          <w:sz w:val="24"/>
          <w:szCs w:val="24"/>
        </w:rPr>
        <w:t>PDF  de</w:t>
      </w:r>
      <w:proofErr w:type="gramEnd"/>
      <w:r w:rsidR="00BF3C00" w:rsidRPr="00111B4E">
        <w:rPr>
          <w:rFonts w:ascii="Palatino Linotype" w:hAnsi="Palatino Linotype" w:cs="Arial"/>
          <w:bCs/>
          <w:sz w:val="24"/>
          <w:szCs w:val="24"/>
        </w:rPr>
        <w:t xml:space="preserve"> fecha catorce de junio de dos mil veinticinco por medio del cual la titular de la unidad de transparencia manifiesta anexar la prueba de daño, el cuadro de clasificación de la información como reservada así como el acta de la sesión del comité de transparencia en el que se aprueba la clasificación.</w:t>
      </w:r>
    </w:p>
    <w:p w:rsidR="00E6546A" w:rsidRPr="00111B4E" w:rsidRDefault="00E6546A" w:rsidP="00E6546A">
      <w:pPr>
        <w:pStyle w:val="Prrafodelista"/>
        <w:spacing w:after="0" w:line="360" w:lineRule="auto"/>
        <w:jc w:val="both"/>
        <w:rPr>
          <w:rFonts w:ascii="Palatino Linotype" w:eastAsia="Times New Roman" w:hAnsi="Palatino Linotype" w:cs="Palatino Linotype"/>
          <w:color w:val="000000"/>
          <w:sz w:val="24"/>
          <w:lang w:val="es-ES_tradnl" w:eastAsia="es-MX"/>
        </w:rPr>
      </w:pPr>
    </w:p>
    <w:p w:rsidR="00E6546A" w:rsidRPr="00111B4E" w:rsidRDefault="00E6546A" w:rsidP="00337781">
      <w:pPr>
        <w:pStyle w:val="Prrafodelista"/>
        <w:numPr>
          <w:ilvl w:val="0"/>
          <w:numId w:val="10"/>
        </w:numPr>
        <w:spacing w:after="0" w:line="360" w:lineRule="auto"/>
        <w:jc w:val="both"/>
        <w:rPr>
          <w:rFonts w:ascii="Palatino Linotype" w:eastAsia="Times New Roman" w:hAnsi="Palatino Linotype" w:cs="Palatino Linotype"/>
          <w:color w:val="000000"/>
          <w:sz w:val="24"/>
          <w:lang w:val="es-ES_tradnl" w:eastAsia="es-MX"/>
        </w:rPr>
      </w:pPr>
      <w:r w:rsidRPr="00111B4E">
        <w:rPr>
          <w:rFonts w:ascii="Palatino Linotype" w:hAnsi="Palatino Linotype" w:cs="Arial"/>
          <w:b/>
          <w:bCs/>
          <w:sz w:val="24"/>
          <w:szCs w:val="24"/>
        </w:rPr>
        <w:t xml:space="preserve">cuadro de </w:t>
      </w:r>
      <w:proofErr w:type="spellStart"/>
      <w:r w:rsidRPr="00111B4E">
        <w:rPr>
          <w:rFonts w:ascii="Palatino Linotype" w:hAnsi="Palatino Linotype" w:cs="Arial"/>
          <w:b/>
          <w:bCs/>
          <w:sz w:val="24"/>
          <w:szCs w:val="24"/>
        </w:rPr>
        <w:t>clasificacion</w:t>
      </w:r>
      <w:proofErr w:type="spellEnd"/>
      <w:r w:rsidRPr="00111B4E">
        <w:rPr>
          <w:rFonts w:ascii="Palatino Linotype" w:hAnsi="Palatino Linotype" w:cs="Arial"/>
          <w:b/>
          <w:bCs/>
          <w:sz w:val="24"/>
          <w:szCs w:val="24"/>
        </w:rPr>
        <w:t xml:space="preserve"> 64 SPM.pdf</w:t>
      </w:r>
      <w:r w:rsidR="00BF3C00" w:rsidRPr="00111B4E">
        <w:rPr>
          <w:rFonts w:ascii="Palatino Linotype" w:hAnsi="Palatino Linotype" w:cs="Arial"/>
          <w:b/>
          <w:bCs/>
          <w:sz w:val="24"/>
          <w:szCs w:val="24"/>
        </w:rPr>
        <w:t xml:space="preserve">: </w:t>
      </w:r>
      <w:r w:rsidR="00BF3C00" w:rsidRPr="00111B4E">
        <w:rPr>
          <w:rFonts w:ascii="Palatino Linotype" w:hAnsi="Palatino Linotype" w:cs="Arial"/>
          <w:bCs/>
          <w:sz w:val="24"/>
          <w:szCs w:val="24"/>
        </w:rPr>
        <w:t>Soporte documental que consta de una foja en formato PDF en el que se advierte el cuadro de clasificación de la información.</w:t>
      </w:r>
    </w:p>
    <w:p w:rsidR="00E6546A" w:rsidRPr="00111B4E" w:rsidRDefault="00E6546A" w:rsidP="00462F1D">
      <w:pPr>
        <w:spacing w:after="0" w:line="360" w:lineRule="auto"/>
        <w:jc w:val="both"/>
        <w:rPr>
          <w:rFonts w:ascii="Palatino Linotype" w:eastAsia="Times New Roman" w:hAnsi="Palatino Linotype" w:cs="Palatino Linotype"/>
          <w:color w:val="000000"/>
          <w:sz w:val="24"/>
          <w:lang w:val="es-ES_tradnl" w:eastAsia="es-MX"/>
        </w:rPr>
      </w:pPr>
    </w:p>
    <w:p w:rsidR="00462F1D" w:rsidRPr="00111B4E" w:rsidRDefault="00462F1D" w:rsidP="00462F1D">
      <w:pPr>
        <w:spacing w:after="0" w:line="360" w:lineRule="auto"/>
        <w:jc w:val="both"/>
        <w:rPr>
          <w:rFonts w:ascii="Palatino Linotype" w:hAnsi="Palatino Linotype"/>
          <w:i/>
          <w:color w:val="000000"/>
          <w:sz w:val="24"/>
          <w:szCs w:val="24"/>
        </w:rPr>
      </w:pPr>
      <w:r w:rsidRPr="00111B4E">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111B4E">
        <w:rPr>
          <w:rFonts w:ascii="Palatino Linotype" w:eastAsia="Times New Roman" w:hAnsi="Palatino Linotype" w:cs="Palatino Linotype"/>
          <w:iCs/>
          <w:color w:val="000000"/>
          <w:sz w:val="24"/>
          <w:szCs w:val="24"/>
          <w:lang w:val="es-ES_tradnl" w:eastAsia="es-MX"/>
        </w:rPr>
        <w:t>“</w:t>
      </w:r>
      <w:r w:rsidR="00BF3C00" w:rsidRPr="00111B4E">
        <w:rPr>
          <w:rFonts w:ascii="Palatino Linotype" w:hAnsi="Palatino Linotype"/>
          <w:i/>
          <w:color w:val="000000"/>
          <w:sz w:val="24"/>
          <w:szCs w:val="24"/>
        </w:rPr>
        <w:t>solicitud 064</w:t>
      </w:r>
      <w:r w:rsidRPr="00111B4E">
        <w:rPr>
          <w:rFonts w:ascii="Palatino Linotype" w:eastAsia="Times New Roman" w:hAnsi="Palatino Linotype" w:cs="Palatino Linotype"/>
          <w:i/>
          <w:iCs/>
          <w:color w:val="000000"/>
          <w:sz w:val="24"/>
          <w:lang w:eastAsia="es-MX"/>
        </w:rPr>
        <w:t>”</w:t>
      </w:r>
      <w:r w:rsidRPr="00111B4E">
        <w:rPr>
          <w:rFonts w:ascii="Palatino Linotype" w:eastAsia="Times New Roman" w:hAnsi="Palatino Linotype" w:cs="Palatino Linotype"/>
          <w:i/>
          <w:iCs/>
          <w:color w:val="000000"/>
          <w:sz w:val="24"/>
          <w:lang w:val="es-ES_tradnl" w:eastAsia="es-MX"/>
        </w:rPr>
        <w:t xml:space="preserve"> </w:t>
      </w:r>
      <w:r w:rsidRPr="00111B4E">
        <w:rPr>
          <w:rFonts w:ascii="Palatino Linotype" w:eastAsia="Times New Roman" w:hAnsi="Palatino Linotype" w:cs="Palatino Linotype"/>
          <w:color w:val="000000"/>
          <w:sz w:val="24"/>
          <w:lang w:val="es-ES_tradnl" w:eastAsia="es-MX"/>
        </w:rPr>
        <w:t xml:space="preserve">y motivos de inconformidad </w:t>
      </w:r>
      <w:r w:rsidRPr="00111B4E">
        <w:rPr>
          <w:rFonts w:ascii="Palatino Linotype" w:eastAsia="Times New Roman" w:hAnsi="Palatino Linotype" w:cs="Palatino Linotype"/>
          <w:i/>
          <w:color w:val="000000"/>
          <w:sz w:val="24"/>
          <w:szCs w:val="24"/>
          <w:lang w:val="es-ES_tradnl" w:eastAsia="es-MX"/>
        </w:rPr>
        <w:t>“</w:t>
      </w:r>
      <w:r w:rsidR="00BF3C00" w:rsidRPr="00111B4E">
        <w:rPr>
          <w:rFonts w:ascii="Palatino Linotype" w:hAnsi="Palatino Linotype"/>
          <w:i/>
          <w:color w:val="000000"/>
          <w:sz w:val="24"/>
          <w:szCs w:val="24"/>
        </w:rPr>
        <w:t xml:space="preserve">Negativa a proporcionar la información solicitada, sin que proceda su </w:t>
      </w:r>
      <w:r w:rsidR="00BF3C00" w:rsidRPr="00111B4E">
        <w:rPr>
          <w:rFonts w:ascii="Palatino Linotype" w:hAnsi="Palatino Linotype"/>
          <w:i/>
          <w:color w:val="000000"/>
          <w:sz w:val="24"/>
          <w:szCs w:val="24"/>
        </w:rPr>
        <w:lastRenderedPageBreak/>
        <w:t xml:space="preserve">clasificación como reservada. La solicitud se centró en información de naturaleza estadística y operativa, sin pedir datos personales, nombres, ubicaciones tácticas o información confidencial. Se solicitó: Horarios y frecuencia de patrullaje por colonia. Número de elementos operativos por turno y función. Datos técnicos de las patrullas (modelo, año, estado mecánico, kilometraje). El sujeto obligado entregó una respuesta genérica que no contiene ninguno de los datos solicitados. En su lugar, anexa una prueba de daño, un cuadro de clasificación y un acta del Comité de Transparencia, argumentando que toda la información solicitada es reservada. La prueba de daño no establece cómo ni por qué se afectaría la seguridad pública con la difusión de datos generales de operación y cobertura. Se trata de un documento sin análisis técnico, sin escenario de riesgo, sin vinculación real con los contenidos solicitados. El cuadro de clasificación se limita a señalar categorías generales sin identificar ni desglosar los documentos clasificados, sin describir los plazos aplicables, ni acreditar que lo solicitado encuadra en las causales de reserva previstas en la ley. El acta del Comité de Transparencia no justifica de manera individual y concreta la reserva de cada uno de los puntos solicitados. No hay motivación suficiente, ni se demuestra un análisis caso por caso. La respuesta no toma en cuenta que lo solicitado se relaciona con el ejercicio de recursos públicos, número de unidades, desempeño institucional y condiciones materiales de operación, lo cual forma parte del control ciudadano legítimo. Solicitud adicional: Se solicita expresamente al Instituto que aplique el principio de suplencia de la deficiencia de la queja y de la prueba, en virtud de que el ciudadano no cuenta con acceso a los documentos oficiales ni con medios técnicos para aportar pruebas más allá de las evidencias contenidas en la propia respuesta impugnada. El comportamiento del sujeto obligado no es aislado, sino parte de una práctica reiterada que ha consistido en: Responder solicitudes de acceso con evasivas, Clasificar información pública como </w:t>
      </w:r>
      <w:r w:rsidR="00BF3C00" w:rsidRPr="00111B4E">
        <w:rPr>
          <w:rFonts w:ascii="Palatino Linotype" w:hAnsi="Palatino Linotype"/>
          <w:i/>
          <w:color w:val="000000"/>
          <w:sz w:val="24"/>
          <w:szCs w:val="24"/>
        </w:rPr>
        <w:lastRenderedPageBreak/>
        <w:t xml:space="preserve">reservada sin justificación suficiente, Usar de manera genérica la prueba de daño, Simular actos de cumplimiento formal sin entregar información útil ni verificable. Este patrón vulnera de forma constante el principio de máxima publicidad, y atenta contra el derecho constitucional de acceso a la información pública. Por lo anterior, solicito expresamente al Instituto que valore si la actuación del sujeto obligado amerita la imposición de sanciones, conforme </w:t>
      </w:r>
      <w:proofErr w:type="spellStart"/>
      <w:r w:rsidR="00BF3C00" w:rsidRPr="00111B4E">
        <w:rPr>
          <w:rFonts w:ascii="Palatino Linotype" w:hAnsi="Palatino Linotype"/>
          <w:i/>
          <w:color w:val="000000"/>
          <w:sz w:val="24"/>
          <w:szCs w:val="24"/>
        </w:rPr>
        <w:t>al</w:t>
      </w:r>
      <w:proofErr w:type="spellEnd"/>
      <w:r w:rsidR="00BF3C00" w:rsidRPr="00111B4E">
        <w:rPr>
          <w:rFonts w:ascii="Palatino Linotype" w:hAnsi="Palatino Linotype"/>
          <w:i/>
          <w:color w:val="000000"/>
          <w:sz w:val="24"/>
          <w:szCs w:val="24"/>
        </w:rPr>
        <w:t xml:space="preserve"> la Ley de Transparencia del Estado de México y Municipios, y a lo dispuesto en la Ley de Responsabilidades Administrativas del Estado de México y Municipios, dado que: Se advierte un uso indebido de la figura de clasificación de información; Se incumple de forma sistemática con la obligación de proporcionar información pública; Se vulnera el principio de legalidad y se obstaculiza el control ciudadano.” </w:t>
      </w:r>
      <w:r w:rsidRPr="00111B4E">
        <w:rPr>
          <w:rFonts w:ascii="Palatino Linotype" w:eastAsia="Times New Roman" w:hAnsi="Palatino Linotype" w:cs="Palatino Linotype"/>
          <w:color w:val="000000"/>
          <w:sz w:val="24"/>
          <w:lang w:val="es-ES_tradnl" w:eastAsia="es-MX"/>
        </w:rPr>
        <w:t>en este sentido el Recurrente se adoleció de la reserva de la información manifestada por el Sujeto Obligado.</w:t>
      </w:r>
    </w:p>
    <w:p w:rsidR="00462F1D" w:rsidRPr="00111B4E" w:rsidRDefault="00462F1D" w:rsidP="00462F1D">
      <w:pPr>
        <w:spacing w:line="360" w:lineRule="auto"/>
        <w:jc w:val="both"/>
        <w:rPr>
          <w:rFonts w:ascii="Palatino Linotype" w:hAnsi="Palatino Linotype" w:cs="Palatino Linotype"/>
          <w:color w:val="000000"/>
          <w:sz w:val="24"/>
          <w:szCs w:val="24"/>
        </w:rPr>
      </w:pPr>
    </w:p>
    <w:p w:rsidR="00462F1D" w:rsidRPr="00111B4E" w:rsidRDefault="00462F1D" w:rsidP="00462F1D">
      <w:pPr>
        <w:tabs>
          <w:tab w:val="left" w:pos="709"/>
        </w:tabs>
        <w:spacing w:after="0" w:line="360" w:lineRule="auto"/>
        <w:contextualSpacing/>
        <w:jc w:val="both"/>
        <w:rPr>
          <w:rFonts w:ascii="Palatino Linotype" w:eastAsia="Times New Roman" w:hAnsi="Palatino Linotype" w:cs="Arial"/>
          <w:sz w:val="24"/>
          <w:lang w:val="es-ES_tradnl" w:eastAsia="es-MX"/>
        </w:rPr>
      </w:pPr>
      <w:r w:rsidRPr="00111B4E">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i/>
          <w:lang w:val="es-ES_tradnl" w:eastAsia="es-MX"/>
        </w:rPr>
        <w:t>“</w:t>
      </w:r>
      <w:r w:rsidRPr="00111B4E">
        <w:rPr>
          <w:rFonts w:ascii="Palatino Linotype" w:eastAsia="Times New Roman" w:hAnsi="Palatino Linotype" w:cs="Arial"/>
          <w:b/>
          <w:i/>
          <w:lang w:val="es-ES_tradnl" w:eastAsia="es-MX"/>
        </w:rPr>
        <w:t xml:space="preserve">Artículo 4. </w:t>
      </w:r>
      <w:r w:rsidRPr="00111B4E">
        <w:rPr>
          <w:rFonts w:ascii="Palatino Linotype" w:eastAsia="Times New Roman" w:hAnsi="Palatino Linotype" w:cs="Arial"/>
          <w:i/>
          <w:lang w:val="es-ES_tradnl" w:eastAsia="es-MX"/>
        </w:rPr>
        <w:t xml:space="preserve">… </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111B4E">
        <w:rPr>
          <w:rFonts w:ascii="Palatino Linotype" w:eastAsia="Times New Roman" w:hAnsi="Palatino Linotype" w:cs="Arial"/>
          <w:i/>
          <w:lang w:val="es-ES_tradnl" w:eastAsia="es-MX"/>
        </w:rPr>
        <w:lastRenderedPageBreak/>
        <w:t>clasificada excepcionalmente como reservada temporalmente por razones de interés público, en los términos de las causas legítimas y estrictamente necesarias previstas por esta Ley.”</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p>
    <w:p w:rsidR="00462F1D" w:rsidRPr="00111B4E" w:rsidRDefault="00462F1D" w:rsidP="00462F1D">
      <w:pPr>
        <w:tabs>
          <w:tab w:val="left" w:pos="709"/>
        </w:tabs>
        <w:spacing w:after="0" w:line="360" w:lineRule="auto"/>
        <w:contextualSpacing/>
        <w:jc w:val="both"/>
        <w:rPr>
          <w:rFonts w:ascii="Palatino Linotype" w:eastAsia="Times New Roman" w:hAnsi="Palatino Linotype" w:cs="Arial"/>
          <w:sz w:val="24"/>
          <w:lang w:val="es-ES_tradnl" w:eastAsia="es-MX"/>
        </w:rPr>
      </w:pPr>
      <w:r w:rsidRPr="00111B4E">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607D4D" w:rsidRPr="00111B4E" w:rsidRDefault="00607D4D" w:rsidP="00462F1D">
      <w:pPr>
        <w:tabs>
          <w:tab w:val="left" w:pos="709"/>
        </w:tabs>
        <w:spacing w:after="0" w:line="360" w:lineRule="auto"/>
        <w:contextualSpacing/>
        <w:jc w:val="both"/>
      </w:pPr>
    </w:p>
    <w:p w:rsidR="00462F1D" w:rsidRPr="00111B4E" w:rsidRDefault="00462F1D" w:rsidP="00462F1D">
      <w:pPr>
        <w:tabs>
          <w:tab w:val="left" w:pos="709"/>
        </w:tabs>
        <w:spacing w:after="0" w:line="360" w:lineRule="auto"/>
        <w:contextualSpacing/>
        <w:jc w:val="both"/>
        <w:rPr>
          <w:rFonts w:ascii="Palatino Linotype" w:eastAsia="Times New Roman" w:hAnsi="Palatino Linotype" w:cs="Arial"/>
          <w:sz w:val="24"/>
          <w:lang w:val="es-ES_tradnl" w:eastAsia="es-MX"/>
        </w:rPr>
      </w:pPr>
      <w:r w:rsidRPr="00111B4E">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111B4E">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11B4E">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i/>
          <w:lang w:val="es-ES_tradnl" w:eastAsia="es-MX"/>
        </w:rPr>
        <w:t>“</w:t>
      </w:r>
      <w:r w:rsidRPr="00111B4E">
        <w:rPr>
          <w:rFonts w:ascii="Palatino Linotype" w:eastAsia="Times New Roman" w:hAnsi="Palatino Linotype" w:cs="Arial"/>
          <w:b/>
          <w:i/>
          <w:lang w:val="es-ES_tradnl" w:eastAsia="es-MX"/>
        </w:rPr>
        <w:t xml:space="preserve">Artículo 3. </w:t>
      </w:r>
      <w:r w:rsidRPr="00111B4E">
        <w:rPr>
          <w:rFonts w:ascii="Palatino Linotype" w:eastAsia="Times New Roman" w:hAnsi="Palatino Linotype" w:cs="Arial"/>
          <w:i/>
          <w:lang w:val="es-ES_tradnl" w:eastAsia="es-MX"/>
        </w:rPr>
        <w:t>Para los efectos de la presente Ley se entenderá por:</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i/>
          <w:lang w:val="es-ES_tradnl" w:eastAsia="es-MX"/>
        </w:rPr>
        <w:t>(…)</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b/>
          <w:i/>
          <w:lang w:val="es-ES_tradnl" w:eastAsia="es-MX"/>
        </w:rPr>
        <w:t>XI. Documento:</w:t>
      </w:r>
      <w:r w:rsidRPr="00111B4E">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111B4E">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111B4E">
        <w:rPr>
          <w:rFonts w:ascii="Palatino Linotype" w:eastAsia="Times New Roman" w:hAnsi="Palatino Linotype" w:cs="Arial"/>
          <w:i/>
          <w:u w:val="single"/>
          <w:lang w:val="es-ES_tradnl" w:eastAsia="es-MX"/>
        </w:rPr>
        <w:t>,</w:t>
      </w:r>
      <w:r w:rsidRPr="00111B4E">
        <w:rPr>
          <w:rFonts w:ascii="Palatino Linotype" w:eastAsia="Times New Roman" w:hAnsi="Palatino Linotype" w:cs="Arial"/>
          <w:i/>
          <w:lang w:val="es-ES_tradnl" w:eastAsia="es-MX"/>
        </w:rPr>
        <w:t xml:space="preserve"> sus </w:t>
      </w:r>
      <w:r w:rsidRPr="00111B4E">
        <w:rPr>
          <w:rFonts w:ascii="Palatino Linotype" w:eastAsia="Times New Roman" w:hAnsi="Palatino Linotype" w:cs="Arial"/>
          <w:i/>
          <w:lang w:val="es-ES_tradnl" w:eastAsia="es-MX"/>
        </w:rPr>
        <w:lastRenderedPageBreak/>
        <w:t xml:space="preserve">servidores públicos e integrantes, </w:t>
      </w:r>
      <w:r w:rsidRPr="00111B4E">
        <w:rPr>
          <w:rFonts w:ascii="Palatino Linotype" w:eastAsia="Times New Roman" w:hAnsi="Palatino Linotype" w:cs="Arial"/>
          <w:b/>
          <w:i/>
          <w:u w:val="single"/>
          <w:lang w:val="es-ES_tradnl" w:eastAsia="es-MX"/>
        </w:rPr>
        <w:t>sin importar su fuente o fecha de elaboración.</w:t>
      </w:r>
      <w:r w:rsidRPr="00111B4E">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rsidR="00462F1D" w:rsidRPr="00111B4E" w:rsidRDefault="00462F1D" w:rsidP="00462F1D">
      <w:pPr>
        <w:spacing w:after="0" w:line="360" w:lineRule="auto"/>
        <w:ind w:left="567" w:right="616"/>
        <w:jc w:val="both"/>
        <w:rPr>
          <w:rFonts w:ascii="Palatino Linotype" w:eastAsia="Times New Roman" w:hAnsi="Palatino Linotype" w:cs="Arial"/>
          <w:i/>
          <w:lang w:val="es-ES_tradnl" w:eastAsia="es-MX"/>
        </w:rPr>
      </w:pPr>
      <w:r w:rsidRPr="00111B4E">
        <w:rPr>
          <w:rFonts w:ascii="Palatino Linotype" w:eastAsia="Times New Roman" w:hAnsi="Palatino Linotype" w:cs="Arial"/>
          <w:i/>
          <w:lang w:val="es-ES_tradnl" w:eastAsia="es-MX"/>
        </w:rPr>
        <w:t>(…)”</w:t>
      </w:r>
    </w:p>
    <w:p w:rsidR="00462F1D" w:rsidRPr="00111B4E" w:rsidRDefault="00462F1D" w:rsidP="00462F1D">
      <w:pPr>
        <w:spacing w:before="240" w:after="240" w:line="360" w:lineRule="auto"/>
        <w:ind w:right="49"/>
        <w:contextualSpacing/>
        <w:jc w:val="both"/>
        <w:rPr>
          <w:rFonts w:ascii="Palatino Linotype" w:eastAsia="Times New Roman" w:hAnsi="Palatino Linotype" w:cs="Arial"/>
          <w:sz w:val="24"/>
          <w:lang w:val="es-ES_tradnl" w:eastAsia="es-MX"/>
        </w:rPr>
      </w:pPr>
    </w:p>
    <w:p w:rsidR="00462F1D" w:rsidRPr="00111B4E" w:rsidRDefault="00462F1D" w:rsidP="00462F1D">
      <w:pPr>
        <w:spacing w:before="240" w:after="240" w:line="360" w:lineRule="auto"/>
        <w:ind w:right="49"/>
        <w:contextualSpacing/>
        <w:jc w:val="both"/>
        <w:rPr>
          <w:rFonts w:ascii="Palatino Linotype" w:eastAsia="MS Mincho" w:hAnsi="Palatino Linotype" w:cs="Calibri"/>
          <w:sz w:val="24"/>
          <w:lang w:val="es-ES_tradnl" w:eastAsia="es-MX"/>
        </w:rPr>
      </w:pPr>
      <w:r w:rsidRPr="00111B4E">
        <w:rPr>
          <w:rFonts w:ascii="Palatino Linotype" w:eastAsia="Times New Roman" w:hAnsi="Palatino Linotype" w:cs="Arial"/>
          <w:sz w:val="24"/>
          <w:lang w:val="es-ES_tradnl" w:eastAsia="es-MX"/>
        </w:rPr>
        <w:t xml:space="preserve">Además, </w:t>
      </w:r>
      <w:r w:rsidRPr="00111B4E">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462F1D" w:rsidRPr="00111B4E" w:rsidRDefault="00462F1D" w:rsidP="00462F1D">
      <w:pPr>
        <w:spacing w:before="240" w:after="240" w:line="360" w:lineRule="auto"/>
        <w:ind w:right="49"/>
        <w:contextualSpacing/>
        <w:jc w:val="both"/>
        <w:rPr>
          <w:rFonts w:ascii="Palatino Linotype" w:eastAsia="MS Mincho" w:hAnsi="Palatino Linotype" w:cs="Calibri"/>
          <w:sz w:val="24"/>
          <w:lang w:val="es-ES_tradnl" w:eastAsia="es-MX"/>
        </w:rPr>
      </w:pPr>
    </w:p>
    <w:p w:rsidR="00462F1D" w:rsidRPr="00111B4E" w:rsidRDefault="00462F1D" w:rsidP="00462F1D">
      <w:pPr>
        <w:spacing w:before="240" w:after="240" w:line="360" w:lineRule="auto"/>
        <w:ind w:right="49"/>
        <w:contextualSpacing/>
        <w:jc w:val="both"/>
        <w:rPr>
          <w:rFonts w:ascii="Palatino Linotype" w:eastAsia="MS Mincho" w:hAnsi="Palatino Linotype" w:cs="Tahoma"/>
          <w:sz w:val="24"/>
          <w:lang w:val="es-ES_tradnl" w:eastAsia="es-MX"/>
        </w:rPr>
      </w:pPr>
      <w:r w:rsidRPr="00111B4E">
        <w:rPr>
          <w:rFonts w:ascii="Palatino Linotype" w:eastAsia="Times New Roman" w:hAnsi="Palatino Linotype" w:cs="Arial"/>
          <w:sz w:val="24"/>
          <w:lang w:val="es-ES_tradnl" w:eastAsia="es-MX"/>
        </w:rPr>
        <w:t xml:space="preserve">De la misma forma, </w:t>
      </w:r>
      <w:r w:rsidRPr="00111B4E">
        <w:rPr>
          <w:rFonts w:ascii="Palatino Linotype" w:eastAsia="MS Mincho" w:hAnsi="Palatino Linotype" w:cs="Calibri"/>
          <w:sz w:val="24"/>
          <w:lang w:val="es-ES_tradnl" w:eastAsia="es-MX"/>
        </w:rPr>
        <w:t>de acuerdo al contenido del artículo 160,</w:t>
      </w:r>
      <w:r w:rsidRPr="00111B4E">
        <w:rPr>
          <w:rFonts w:ascii="Palatino Linotype" w:eastAsia="Times New Roman" w:hAnsi="Palatino Linotype" w:cs="Arial"/>
          <w:sz w:val="24"/>
          <w:lang w:val="es-ES_tradnl" w:eastAsia="es-MX"/>
        </w:rPr>
        <w:t xml:space="preserve"> de la Ley </w:t>
      </w:r>
      <w:r w:rsidRPr="00111B4E">
        <w:rPr>
          <w:rFonts w:ascii="Palatino Linotype" w:eastAsia="MS Mincho" w:hAnsi="Palatino Linotype" w:cs="Tahoma"/>
          <w:sz w:val="24"/>
          <w:lang w:val="es-ES_tradnl" w:eastAsia="es-MX"/>
        </w:rPr>
        <w:t>General de Transparencia y Acceso a la Información Pública que a la letra dispone</w:t>
      </w:r>
    </w:p>
    <w:p w:rsidR="00462F1D" w:rsidRPr="00111B4E" w:rsidRDefault="00462F1D" w:rsidP="00462F1D">
      <w:pPr>
        <w:spacing w:after="0" w:line="360" w:lineRule="auto"/>
        <w:ind w:left="567" w:right="616"/>
        <w:contextualSpacing/>
        <w:jc w:val="both"/>
        <w:rPr>
          <w:rFonts w:ascii="Palatino Linotype" w:eastAsia="Times New Roman" w:hAnsi="Palatino Linotype" w:cs="Arial"/>
          <w:i/>
          <w:lang w:val="es-ES_tradnl" w:eastAsia="gl-ES"/>
        </w:rPr>
      </w:pPr>
      <w:r w:rsidRPr="00111B4E">
        <w:rPr>
          <w:rFonts w:ascii="Palatino Linotype" w:eastAsia="Times New Roman" w:hAnsi="Palatino Linotype" w:cs="Arial"/>
          <w:b/>
          <w:i/>
          <w:lang w:val="es-ES_tradnl" w:eastAsia="gl-ES"/>
        </w:rPr>
        <w:t>Artículo 160</w:t>
      </w:r>
      <w:r w:rsidRPr="00111B4E">
        <w:rPr>
          <w:rFonts w:ascii="Palatino Linotype" w:eastAsia="Times New Roman" w:hAnsi="Palatino Linotype" w:cs="Arial"/>
          <w:i/>
          <w:lang w:val="es-ES_tradnl"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w:t>
      </w:r>
      <w:r w:rsidRPr="00111B4E">
        <w:rPr>
          <w:rFonts w:ascii="Palatino Linotype" w:eastAsia="Times New Roman" w:hAnsi="Palatino Linotype" w:cs="Arial"/>
          <w:i/>
          <w:lang w:val="es-ES_tradnl" w:eastAsia="gl-ES"/>
        </w:rPr>
        <w:lastRenderedPageBreak/>
        <w:t>existentes, conforme a las características físicas de la información o del lugar donde se encuentre así lo permita.</w:t>
      </w:r>
    </w:p>
    <w:p w:rsidR="00462F1D" w:rsidRPr="00111B4E" w:rsidRDefault="00462F1D" w:rsidP="00462F1D">
      <w:pPr>
        <w:spacing w:after="0" w:line="360" w:lineRule="auto"/>
        <w:jc w:val="both"/>
        <w:rPr>
          <w:rFonts w:ascii="Palatino Linotype" w:eastAsia="Times New Roman" w:hAnsi="Palatino Linotype" w:cs="Arial"/>
          <w:sz w:val="24"/>
        </w:rPr>
      </w:pPr>
    </w:p>
    <w:p w:rsidR="00462F1D" w:rsidRPr="00111B4E" w:rsidRDefault="00462F1D" w:rsidP="00462F1D">
      <w:pPr>
        <w:spacing w:after="0" w:line="360" w:lineRule="auto"/>
        <w:jc w:val="both"/>
        <w:rPr>
          <w:rFonts w:ascii="Palatino Linotype" w:eastAsia="Times New Roman" w:hAnsi="Palatino Linotype" w:cs="Arial"/>
          <w:sz w:val="24"/>
        </w:rPr>
      </w:pPr>
      <w:r w:rsidRPr="00111B4E">
        <w:rPr>
          <w:rFonts w:ascii="Palatino Linotype" w:eastAsia="Times New Roman" w:hAnsi="Palatino Linotype" w:cs="Arial"/>
          <w:sz w:val="24"/>
        </w:rPr>
        <w:t xml:space="preserve">Expuesto lo anterior, se procede al análisis de la totalidad de las constancias que integran el expediente electrónico del </w:t>
      </w:r>
      <w:r w:rsidRPr="00111B4E">
        <w:rPr>
          <w:rFonts w:ascii="Palatino Linotype" w:eastAsia="Times New Roman" w:hAnsi="Palatino Linotype" w:cs="Arial"/>
          <w:b/>
          <w:sz w:val="24"/>
        </w:rPr>
        <w:t>SAIMEX</w:t>
      </w:r>
      <w:r w:rsidRPr="00111B4E">
        <w:rPr>
          <w:rFonts w:ascii="Palatino Linotype" w:eastAsia="Times New Roman" w:hAnsi="Palatino Linotype" w:cs="Arial"/>
          <w:sz w:val="24"/>
        </w:rPr>
        <w:t xml:space="preserve">, a efecto de determinar si con la información remitida por </w:t>
      </w:r>
      <w:r w:rsidRPr="00111B4E">
        <w:rPr>
          <w:rFonts w:ascii="Palatino Linotype" w:eastAsia="Times New Roman" w:hAnsi="Palatino Linotype" w:cs="Arial"/>
          <w:b/>
          <w:sz w:val="24"/>
        </w:rPr>
        <w:t>El Sujeto Obligado</w:t>
      </w:r>
      <w:r w:rsidRPr="00111B4E">
        <w:rPr>
          <w:rFonts w:ascii="Palatino Linotype" w:eastAsia="Times New Roman" w:hAnsi="Palatino Linotype" w:cs="Arial"/>
          <w:sz w:val="24"/>
        </w:rPr>
        <w:t xml:space="preserve"> a través de su respuesta se colma lo requerido en dicha solicitud.</w:t>
      </w:r>
    </w:p>
    <w:p w:rsidR="00462F1D" w:rsidRPr="00111B4E" w:rsidRDefault="00462F1D" w:rsidP="00462F1D">
      <w:pPr>
        <w:spacing w:after="0" w:line="360" w:lineRule="auto"/>
        <w:jc w:val="both"/>
      </w:pPr>
    </w:p>
    <w:p w:rsidR="00462F1D" w:rsidRPr="00111B4E" w:rsidRDefault="00462F1D" w:rsidP="00CD6B4E">
      <w:pPr>
        <w:spacing w:line="360" w:lineRule="auto"/>
        <w:jc w:val="both"/>
        <w:rPr>
          <w:rFonts w:ascii="Palatino Linotype" w:hAnsi="Palatino Linotype"/>
          <w:sz w:val="24"/>
          <w:szCs w:val="24"/>
        </w:rPr>
      </w:pPr>
      <w:r w:rsidRPr="00111B4E">
        <w:rPr>
          <w:rFonts w:ascii="Palatino Linotype" w:hAnsi="Palatino Linotype"/>
          <w:sz w:val="24"/>
          <w:szCs w:val="24"/>
        </w:rPr>
        <w:t>De lo anterior, se debe</w:t>
      </w:r>
      <w:r w:rsidRPr="00111B4E">
        <w:t xml:space="preserve"> </w:t>
      </w:r>
      <w:r w:rsidRPr="00111B4E">
        <w:rPr>
          <w:rFonts w:ascii="Palatino Linotype" w:hAnsi="Palatino Linotype"/>
          <w:sz w:val="24"/>
          <w:szCs w:val="24"/>
        </w:rPr>
        <w:t xml:space="preserve">señalar que el conforme los artículos </w:t>
      </w:r>
      <w:r w:rsidR="007D3C06" w:rsidRPr="00111B4E">
        <w:rPr>
          <w:rFonts w:ascii="Palatino Linotype" w:hAnsi="Palatino Linotype"/>
          <w:sz w:val="24"/>
          <w:szCs w:val="24"/>
        </w:rPr>
        <w:t xml:space="preserve">57, 85 y 86 del Bando Municipal del Sujeto Obligado le corresponde a la Dirección de Seguridad Pública inhibir conductas delictivas, a través de la implementación de rondines y puestos de control en puntos estratégicos, para prevenir y disminuir las mismas así como prevenir las conductas antisociales, la drogadicción, el alcoholismo y demás actos que atenten contra la seguridad, orden, tranquilidad y moralidad de las y los habitantes del Municipio de Chapultepec entre otras, conforme lo siguiente; </w:t>
      </w:r>
    </w:p>
    <w:p w:rsidR="007D3C06"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b/>
          <w:i/>
        </w:rPr>
        <w:t>Artículo 57.-</w:t>
      </w:r>
      <w:r w:rsidRPr="00111B4E">
        <w:rPr>
          <w:rFonts w:ascii="Palatino Linotype" w:hAnsi="Palatino Linotype"/>
          <w:i/>
        </w:rPr>
        <w:t xml:space="preserve"> La Administración Pública Centralizada es una forma de organización de la Administración Pública del Municipio, cuyos Órganos auxilian al Ayuntamiento en el despacho de los asuntos municipales y están subordinados a la presidencia municipal. </w:t>
      </w:r>
    </w:p>
    <w:p w:rsidR="00462F1D"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i/>
        </w:rPr>
        <w:t>La administración pública centralizada se integra por:</w:t>
      </w:r>
    </w:p>
    <w:p w:rsidR="007D3C06"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i/>
        </w:rPr>
        <w:t>…</w:t>
      </w:r>
    </w:p>
    <w:p w:rsidR="007D3C06"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i/>
        </w:rPr>
        <w:t>Direcciones de:</w:t>
      </w:r>
    </w:p>
    <w:p w:rsidR="007D3C06"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i/>
        </w:rPr>
        <w:lastRenderedPageBreak/>
        <w:t xml:space="preserve">IX. Seguridad Pública Municipal </w:t>
      </w:r>
    </w:p>
    <w:p w:rsidR="007D3C06" w:rsidRPr="00111B4E" w:rsidRDefault="007D3C06" w:rsidP="007D3C06">
      <w:pPr>
        <w:tabs>
          <w:tab w:val="left" w:pos="1200"/>
        </w:tabs>
        <w:spacing w:line="360" w:lineRule="auto"/>
        <w:ind w:left="708"/>
        <w:jc w:val="both"/>
        <w:rPr>
          <w:rFonts w:ascii="Palatino Linotype" w:hAnsi="Palatino Linotype"/>
          <w:i/>
        </w:rPr>
      </w:pPr>
      <w:r w:rsidRPr="00111B4E">
        <w:rPr>
          <w:rFonts w:ascii="Palatino Linotype" w:hAnsi="Palatino Linotype"/>
          <w:i/>
        </w:rPr>
        <w:tab/>
        <w:t>● Coordinación de Centro de Mando C2</w:t>
      </w:r>
    </w:p>
    <w:p w:rsidR="007D3C06" w:rsidRPr="00111B4E" w:rsidRDefault="007D3C06" w:rsidP="007D3C06">
      <w:pPr>
        <w:spacing w:before="240" w:after="240" w:line="360" w:lineRule="auto"/>
        <w:ind w:left="708"/>
        <w:jc w:val="both"/>
        <w:rPr>
          <w:rFonts w:ascii="Palatino Linotype" w:hAnsi="Palatino Linotype"/>
          <w:i/>
        </w:rPr>
      </w:pPr>
      <w:r w:rsidRPr="00111B4E">
        <w:rPr>
          <w:rFonts w:ascii="Palatino Linotype" w:hAnsi="Palatino Linotype"/>
          <w:b/>
          <w:i/>
        </w:rPr>
        <w:t>Artículo 85.</w:t>
      </w:r>
      <w:r w:rsidRPr="00111B4E">
        <w:rPr>
          <w:rFonts w:ascii="Palatino Linotype" w:hAnsi="Palatino Linotype"/>
          <w:i/>
        </w:rPr>
        <w:t xml:space="preserve">- El Ayuntamiento establecerá las bases para la organización del Sistema de Seguridad Pública Municipal, cuyo propósito es preservar, proteger y salvaguardar los derechos humanos de las y los </w:t>
      </w:r>
      <w:proofErr w:type="spellStart"/>
      <w:r w:rsidRPr="00111B4E">
        <w:rPr>
          <w:rFonts w:ascii="Palatino Linotype" w:hAnsi="Palatino Linotype"/>
          <w:i/>
        </w:rPr>
        <w:t>chapultepenses</w:t>
      </w:r>
      <w:proofErr w:type="spellEnd"/>
      <w:r w:rsidRPr="00111B4E">
        <w:rPr>
          <w:rFonts w:ascii="Palatino Linotype" w:hAnsi="Palatino Linotype"/>
          <w:i/>
        </w:rPr>
        <w:t>, propiedades y posesiones; dentro de la jurisdicción municipal, a través de la Dirección de Seguridad Pública Municipal, actuarán en coordinación con las autoridades estatales y el Sistema Nacional de Seguridad Pública, de acuerdo a la Ley que establece las bases de coordinación del Sistema Nacional de Seguridad Pública, suscribir convenios de coordinación y colaboración con el Gobierno del Estado de México, a través de la Secretaría de Seguridad del Estado de México y con otros Municipios; así como, para que antes de que sean designados los mandos municipales, estos ya hayan sido evaluados, certificados y cumplan con el programa de capacitación de mandos en el marco del Sistema Nacional de Seguridad Pública. La Presidenta Municipal en términos de lo dispuesto por la Ley Orgánica, tendrá el mando directo e inmediato de los cuerpos de seguridad pública.</w:t>
      </w:r>
    </w:p>
    <w:p w:rsidR="007D3C06" w:rsidRPr="00111B4E" w:rsidRDefault="007D3C06" w:rsidP="007D3C06">
      <w:pPr>
        <w:spacing w:before="240" w:after="240" w:line="360" w:lineRule="auto"/>
        <w:ind w:left="708"/>
        <w:jc w:val="both"/>
        <w:rPr>
          <w:rFonts w:ascii="Palatino Linotype" w:hAnsi="Palatino Linotype"/>
          <w:i/>
        </w:rPr>
      </w:pPr>
      <w:r w:rsidRPr="00111B4E">
        <w:rPr>
          <w:rFonts w:ascii="Palatino Linotype" w:hAnsi="Palatino Linotype"/>
          <w:b/>
          <w:i/>
        </w:rPr>
        <w:t>Artículo 86.-</w:t>
      </w:r>
      <w:r w:rsidRPr="00111B4E">
        <w:rPr>
          <w:rFonts w:ascii="Palatino Linotype" w:hAnsi="Palatino Linotype"/>
          <w:i/>
        </w:rPr>
        <w:t xml:space="preserve"> Son atribuciones de la Dirección de Seguridad Pública Municipal las siguientes:</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Salvaguardar las instituciones y mantener la seguridad, el orden y la tranquilidad pública del Municipio.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Inhibir conductas delictivas, a través de la implementación de rondines y puestos de control en puntos estratégicos, para prevenir y disminuir las mismas.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Proteger la integridad física y los bienes de los vecinos y habitantes del Municipio.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Auxiliar en el ámbito de su competencia a las autoridades estatales y federales.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lastRenderedPageBreak/>
        <w:t xml:space="preserve">Intervenir en los casos de flagrancia, asegurando a los presuntos responsables de la comisión de conductas ilícitas y poniéndolos a la disposición de la autoridad competente.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Vigilar el cumplimiento de las disposiciones contenidas en el presente Bando y en los reglamentos municipales.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Vigilar el absoluto respeto a los derechos humanos de los habitantes del Municipio.</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 Normar, supervisar y operar el Centro de Control y Comando (C-2), a través de la Coordinación del Centro de Mando C2, con la finalidad de mejorar el desempeño de los elementos de Seguridad Pública Municipal, mediante la red de video vigilancia Municipal</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Prevenir las conductas antisociales, la drogadicción, el alcoholismo y demás actos que atenten contra la seguridad, orden, tranquilidad y moralidad de las y los habitantes del Municipio de Chapultepec.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Vigilar que los conductores de vehículos circulen con moderación y de acuerdo con los sentidos de las calles y disposiciones de la autoridad municipal, apercibiendo, o en su caso poniendo a disposición de la autoridad competente a los conductores que infrinjan el presente Bando Municipal y reglamentos que deriven del mismo.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Detener los vehículos automotores conducidos por personas, bajo los efectos del alcohol o de otra sustancia toxica que afecten sus sentidos, aplicando las pruebas procedentes para determinar el estado de ebriedad o de drogadicción que impidan la conducción del vehículo con todas las precauciones debidas, poniendo de inmediato al conductor a disposición de la autoridad correspondiente para la aplicación de la sanción procedente</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t xml:space="preserve">Brindar seguridad a los periodistas y comunicadores en eventos públicos. </w:t>
      </w:r>
    </w:p>
    <w:p w:rsidR="007D3C06" w:rsidRPr="00111B4E" w:rsidRDefault="007D3C06" w:rsidP="007D3C06">
      <w:pPr>
        <w:pStyle w:val="Prrafodelista"/>
        <w:numPr>
          <w:ilvl w:val="0"/>
          <w:numId w:val="12"/>
        </w:numPr>
        <w:spacing w:before="240" w:after="240" w:line="360" w:lineRule="auto"/>
        <w:jc w:val="both"/>
        <w:rPr>
          <w:rFonts w:ascii="Palatino Linotype" w:hAnsi="Palatino Linotype"/>
          <w:i/>
        </w:rPr>
      </w:pPr>
      <w:r w:rsidRPr="00111B4E">
        <w:rPr>
          <w:rFonts w:ascii="Palatino Linotype" w:hAnsi="Palatino Linotype"/>
          <w:i/>
        </w:rPr>
        <w:lastRenderedPageBreak/>
        <w:t>Las demás que le sean inherentes a sus funciones</w:t>
      </w:r>
    </w:p>
    <w:p w:rsidR="00620120" w:rsidRPr="00111B4E" w:rsidRDefault="007D3C06" w:rsidP="00620120">
      <w:pPr>
        <w:spacing w:before="240" w:after="240" w:line="360" w:lineRule="auto"/>
        <w:jc w:val="both"/>
        <w:rPr>
          <w:rFonts w:ascii="Palatino Linotype" w:hAnsi="Palatino Linotype"/>
          <w:sz w:val="24"/>
          <w:szCs w:val="24"/>
        </w:rPr>
      </w:pPr>
      <w:r w:rsidRPr="00111B4E">
        <w:rPr>
          <w:rFonts w:ascii="Palatino Linotype" w:hAnsi="Palatino Linotype"/>
          <w:sz w:val="24"/>
          <w:szCs w:val="24"/>
        </w:rPr>
        <w:t>De lo anter</w:t>
      </w:r>
      <w:r w:rsidR="00620120" w:rsidRPr="00111B4E">
        <w:rPr>
          <w:rFonts w:ascii="Palatino Linotype" w:hAnsi="Palatino Linotype"/>
          <w:sz w:val="24"/>
          <w:szCs w:val="24"/>
        </w:rPr>
        <w:t xml:space="preserve">ior, </w:t>
      </w:r>
      <w:r w:rsidR="00620120" w:rsidRPr="00111B4E">
        <w:rPr>
          <w:rFonts w:ascii="Palatino Linotype" w:eastAsia="Palatino Linotype" w:hAnsi="Palatino Linotype" w:cs="Palatino Linotype"/>
          <w:color w:val="000000"/>
          <w:sz w:val="24"/>
          <w:szCs w:val="24"/>
        </w:rPr>
        <w:t xml:space="preserve">conforme las respuestas emitidas por el Sujeto Obligado mediante el pronunciamiento de la Dirección de Seguridad se desprende que la información solicitada por </w:t>
      </w:r>
      <w:proofErr w:type="gramStart"/>
      <w:r w:rsidR="00620120" w:rsidRPr="00111B4E">
        <w:rPr>
          <w:rFonts w:ascii="Palatino Linotype" w:eastAsia="Palatino Linotype" w:hAnsi="Palatino Linotype" w:cs="Palatino Linotype"/>
          <w:color w:val="000000"/>
          <w:sz w:val="24"/>
          <w:szCs w:val="24"/>
        </w:rPr>
        <w:t>el</w:t>
      </w:r>
      <w:proofErr w:type="gramEnd"/>
      <w:r w:rsidR="00620120" w:rsidRPr="00111B4E">
        <w:rPr>
          <w:rFonts w:ascii="Palatino Linotype" w:eastAsia="Palatino Linotype" w:hAnsi="Palatino Linotype" w:cs="Palatino Linotype"/>
          <w:color w:val="000000"/>
          <w:sz w:val="24"/>
          <w:szCs w:val="24"/>
        </w:rPr>
        <w:t xml:space="preserve"> Recurrente obra en los archivos de esa área, toda vez que se propone su clasificación. Así, conviene traer a colación lo dispuesto en el criterio con clave de control SO/012/2023 emitido por el Instituto Nacional de Transparencia, Acceso a la Información y Protección de Datos Personales, que a la letra estipula lo siguiente:</w:t>
      </w:r>
    </w:p>
    <w:p w:rsidR="00620120" w:rsidRPr="00111B4E" w:rsidRDefault="00620120" w:rsidP="00620120">
      <w:pPr>
        <w:pStyle w:val="Sinespaciado"/>
        <w:spacing w:line="360" w:lineRule="auto"/>
        <w:ind w:left="708"/>
        <w:jc w:val="both"/>
        <w:rPr>
          <w:rFonts w:ascii="Palatino Linotype" w:eastAsia="Palatino Linotype" w:hAnsi="Palatino Linotype"/>
          <w:i/>
          <w:sz w:val="22"/>
          <w:szCs w:val="22"/>
        </w:rPr>
      </w:pPr>
      <w:r w:rsidRPr="00111B4E">
        <w:rPr>
          <w:rFonts w:ascii="Palatino Linotype" w:eastAsia="Palatino Linotype" w:hAnsi="Palatino Linotype"/>
          <w:b/>
          <w:bCs/>
          <w:i/>
          <w:sz w:val="22"/>
          <w:szCs w:val="22"/>
        </w:rPr>
        <w:t>Respuesta a solicitud de acceso. La clasificación y la inexistencia de información son conceptos que no pueden coexistir.</w:t>
      </w:r>
      <w:r w:rsidRPr="00111B4E">
        <w:rPr>
          <w:rFonts w:ascii="Palatino Linotype" w:eastAsia="Palatino Linotype" w:hAnsi="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w:t>
      </w:r>
      <w:proofErr w:type="spellStart"/>
      <w:r w:rsidRPr="00111B4E">
        <w:rPr>
          <w:rFonts w:ascii="Palatino Linotype" w:eastAsia="Palatino Linotype" w:hAnsi="Palatino Linotype"/>
          <w:i/>
          <w:sz w:val="22"/>
          <w:szCs w:val="22"/>
        </w:rPr>
        <w:t>actualiza</w:t>
      </w:r>
      <w:proofErr w:type="spellEnd"/>
      <w:r w:rsidRPr="00111B4E">
        <w:rPr>
          <w:rFonts w:ascii="Palatino Linotype" w:eastAsia="Palatino Linotype" w:hAnsi="Palatino Linotype"/>
          <w:i/>
          <w:sz w:val="22"/>
          <w:szCs w:val="22"/>
        </w:rPr>
        <w:t xml:space="preserve"> alguno de los supuestos de reserva o confidencialidad, por lo que se trata de una característica que adquiere la información contenida en un documento específico. Por lo anterior, </w:t>
      </w:r>
      <w:r w:rsidRPr="00111B4E">
        <w:rPr>
          <w:rFonts w:ascii="Palatino Linotype" w:eastAsia="Palatino Linotype" w:hAnsi="Palatino Linotype"/>
          <w:b/>
          <w:bCs/>
          <w:i/>
          <w:sz w:val="22"/>
          <w:szCs w:val="22"/>
          <w:u w:val="single"/>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111B4E">
        <w:rPr>
          <w:rFonts w:ascii="Palatino Linotype" w:eastAsia="Palatino Linotype" w:hAnsi="Palatino Linotype"/>
          <w:i/>
          <w:sz w:val="22"/>
          <w:szCs w:val="22"/>
        </w:rPr>
        <w:t>.</w:t>
      </w:r>
    </w:p>
    <w:p w:rsidR="00620120" w:rsidRPr="00111B4E" w:rsidRDefault="00620120" w:rsidP="0062012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620120" w:rsidRPr="00111B4E" w:rsidRDefault="00620120" w:rsidP="00620120">
      <w:pPr>
        <w:spacing w:line="360" w:lineRule="auto"/>
        <w:ind w:left="-20" w:right="-20"/>
        <w:jc w:val="both"/>
        <w:rPr>
          <w:rFonts w:ascii="Palatino Linotype" w:hAnsi="Palatino Linotype"/>
          <w:sz w:val="24"/>
          <w:szCs w:val="24"/>
        </w:rPr>
      </w:pPr>
      <w:r w:rsidRPr="00111B4E">
        <w:rPr>
          <w:rFonts w:ascii="Palatino Linotype" w:eastAsia="Palatino Linotype" w:hAnsi="Palatino Linotype" w:cs="Palatino Linotype"/>
          <w:color w:val="000000"/>
          <w:sz w:val="24"/>
          <w:szCs w:val="24"/>
        </w:rPr>
        <w:t xml:space="preserve">En ese sentido, </w:t>
      </w:r>
      <w:r w:rsidRPr="00111B4E">
        <w:rPr>
          <w:rFonts w:ascii="Palatino Linotype" w:eastAsia="Palatino Linotype" w:hAnsi="Palatino Linotype" w:cs="Palatino Linotype"/>
          <w:sz w:val="24"/>
          <w:szCs w:val="24"/>
        </w:rPr>
        <w:t xml:space="preserve">se debe enfatizar que el Sujeto Obligado no negó contar con la información solicitada; por el contrario, el área competente propuso su clasificación como información </w:t>
      </w:r>
      <w:r w:rsidRPr="00111B4E">
        <w:rPr>
          <w:rFonts w:ascii="Palatino Linotype" w:eastAsia="Palatino Linotype" w:hAnsi="Palatino Linotype" w:cs="Palatino Linotype"/>
          <w:sz w:val="24"/>
          <w:szCs w:val="24"/>
        </w:rPr>
        <w:lastRenderedPageBreak/>
        <w:t>reservada. Por tanto,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rsidR="00620120" w:rsidRPr="00111B4E" w:rsidRDefault="00620120" w:rsidP="00620120">
      <w:pPr>
        <w:spacing w:line="360" w:lineRule="auto"/>
        <w:ind w:left="-20" w:right="-20"/>
        <w:jc w:val="both"/>
        <w:rPr>
          <w:rFonts w:ascii="Palatino Linotype" w:hAnsi="Palatino Linotype"/>
          <w:sz w:val="24"/>
          <w:szCs w:val="24"/>
        </w:rPr>
      </w:pPr>
      <w:r w:rsidRPr="00111B4E">
        <w:rPr>
          <w:rFonts w:ascii="Palatino Linotype" w:eastAsia="Palatino Linotype" w:hAnsi="Palatino Linotype" w:cs="Palatino Linotype"/>
          <w:sz w:val="24"/>
          <w:szCs w:val="24"/>
        </w:rPr>
        <w:t xml:space="preserve"> </w:t>
      </w:r>
    </w:p>
    <w:p w:rsidR="00620120" w:rsidRPr="00111B4E" w:rsidRDefault="00620120" w:rsidP="00620120">
      <w:pPr>
        <w:spacing w:line="360" w:lineRule="auto"/>
        <w:ind w:left="-20" w:right="-20"/>
        <w:jc w:val="both"/>
        <w:rPr>
          <w:rFonts w:ascii="Palatino Linotype" w:eastAsia="Palatino Linotype" w:hAnsi="Palatino Linotype" w:cs="Palatino Linotype"/>
          <w:sz w:val="24"/>
          <w:szCs w:val="24"/>
        </w:rPr>
      </w:pPr>
      <w:r w:rsidRPr="00111B4E">
        <w:rPr>
          <w:rFonts w:ascii="Palatino Linotype" w:eastAsia="Palatino Linotype" w:hAnsi="Palatino Linotype" w:cs="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rsidR="00620120" w:rsidRPr="00111B4E" w:rsidRDefault="00620120" w:rsidP="00620120">
      <w:pPr>
        <w:spacing w:line="360" w:lineRule="auto"/>
        <w:ind w:left="-20" w:right="-20"/>
        <w:jc w:val="both"/>
        <w:rPr>
          <w:rFonts w:ascii="Palatino Linotype" w:eastAsia="Palatino Linotype" w:hAnsi="Palatino Linotype" w:cs="Palatino Linotype"/>
          <w:sz w:val="24"/>
          <w:szCs w:val="24"/>
        </w:rPr>
      </w:pPr>
    </w:p>
    <w:p w:rsidR="00620120" w:rsidRPr="00111B4E" w:rsidRDefault="00620120" w:rsidP="00620120">
      <w:pPr>
        <w:spacing w:line="360" w:lineRule="auto"/>
        <w:contextualSpacing/>
        <w:jc w:val="both"/>
        <w:rPr>
          <w:rFonts w:ascii="Palatino Linotype" w:eastAsia="Palatino Linotype" w:hAnsi="Palatino Linotype" w:cs="Palatino Linotype"/>
          <w:color w:val="000000"/>
          <w:sz w:val="24"/>
          <w:szCs w:val="24"/>
        </w:rPr>
      </w:pPr>
      <w:r w:rsidRPr="00111B4E">
        <w:rPr>
          <w:rFonts w:ascii="Palatino Linotype" w:eastAsia="Palatino Linotype" w:hAnsi="Palatino Linotype" w:cs="Palatino Linotype"/>
          <w:color w:val="000000"/>
          <w:sz w:val="24"/>
          <w:szCs w:val="24"/>
        </w:rPr>
        <w:t xml:space="preserve">Ahora bien, se tiene que el Recurrente solicitó la entrega de los documentos </w:t>
      </w:r>
      <w:r w:rsidR="004579DA" w:rsidRPr="00111B4E">
        <w:rPr>
          <w:rFonts w:ascii="Palatino Linotype" w:eastAsia="Palatino Linotype" w:hAnsi="Palatino Linotype" w:cs="Palatino Linotype"/>
          <w:color w:val="000000"/>
          <w:sz w:val="24"/>
          <w:szCs w:val="24"/>
        </w:rPr>
        <w:t>donde conste, la f</w:t>
      </w:r>
      <w:r w:rsidR="004579DA" w:rsidRPr="00111B4E">
        <w:rPr>
          <w:rFonts w:ascii="Palatino Linotype" w:hAnsi="Palatino Linotype"/>
          <w:color w:val="000000"/>
          <w:sz w:val="24"/>
          <w:szCs w:val="24"/>
        </w:rPr>
        <w:t>recuencia y horario de patrullajes por delegación o colonia en el municipio durante los últimos 6 meses, el número total de elementos operativos por turno y por tipo de función (sin datos personales, únicamente estadísticos) así como el número de unidades patrullas operativas y descompuestas, especificando modelo, año, kilometraje estimado y estado mecánico actual</w:t>
      </w:r>
      <w:r w:rsidRPr="00111B4E">
        <w:rPr>
          <w:rFonts w:ascii="Palatino Linotype" w:eastAsia="Palatino Linotype" w:hAnsi="Palatino Linotype" w:cs="Palatino Linotype"/>
          <w:color w:val="000000"/>
          <w:sz w:val="24"/>
          <w:szCs w:val="24"/>
        </w:rPr>
        <w:t xml:space="preserve">, por lo que es </w:t>
      </w:r>
      <w:r w:rsidRPr="00111B4E">
        <w:rPr>
          <w:rFonts w:ascii="Palatino Linotype" w:eastAsia="Palatino Linotype" w:hAnsi="Palatino Linotype" w:cs="Palatino Linotype"/>
          <w:sz w:val="24"/>
          <w:szCs w:val="24"/>
        </w:rPr>
        <w:t>conveniente hacer referencia a lo establecido en la Ley de Seguridad del Estado de México, que e</w:t>
      </w:r>
      <w:r w:rsidR="00206730" w:rsidRPr="00111B4E">
        <w:rPr>
          <w:rFonts w:ascii="Palatino Linotype" w:eastAsia="Palatino Linotype" w:hAnsi="Palatino Linotype" w:cs="Palatino Linotype"/>
          <w:sz w:val="24"/>
          <w:szCs w:val="24"/>
        </w:rPr>
        <w:t>n su artículo 138 fracción X</w:t>
      </w:r>
      <w:r w:rsidRPr="00111B4E">
        <w:rPr>
          <w:rFonts w:ascii="Palatino Linotype" w:eastAsia="Palatino Linotype" w:hAnsi="Palatino Linotype" w:cs="Palatino Linotype"/>
          <w:sz w:val="24"/>
          <w:szCs w:val="24"/>
        </w:rPr>
        <w:t xml:space="preserve"> otorga facultades a las instituciones de dedicadas a la seguridad pública para dar cabal </w:t>
      </w:r>
      <w:r w:rsidRPr="00111B4E">
        <w:rPr>
          <w:rFonts w:ascii="Palatino Linotype" w:eastAsia="Palatino Linotype" w:hAnsi="Palatino Linotype" w:cs="Palatino Linotype"/>
          <w:sz w:val="24"/>
          <w:szCs w:val="24"/>
        </w:rPr>
        <w:lastRenderedPageBreak/>
        <w:t xml:space="preserve">cumplimiento a sus funciones, dentro de las cuales se encuentra </w:t>
      </w:r>
      <w:r w:rsidR="00320A97" w:rsidRPr="00111B4E">
        <w:rPr>
          <w:rFonts w:ascii="Palatino Linotype" w:eastAsia="Palatino Linotype" w:hAnsi="Palatino Linotype" w:cs="Palatino Linotype"/>
          <w:sz w:val="24"/>
          <w:szCs w:val="24"/>
        </w:rPr>
        <w:t>dejar constancia de las actuaciones que se realicen en el ámbito de sus atribuciones, conforme lo siguiente;</w:t>
      </w:r>
    </w:p>
    <w:p w:rsidR="00620120" w:rsidRPr="00111B4E" w:rsidRDefault="00620120" w:rsidP="00620120">
      <w:pPr>
        <w:pStyle w:val="Sinespaciado"/>
        <w:spacing w:line="360" w:lineRule="auto"/>
        <w:ind w:left="708"/>
        <w:jc w:val="both"/>
        <w:rPr>
          <w:rFonts w:ascii="Palatino Linotype" w:eastAsia="Palatino Linotype" w:hAnsi="Palatino Linotype"/>
          <w:i/>
          <w:sz w:val="22"/>
          <w:szCs w:val="22"/>
        </w:rPr>
      </w:pPr>
      <w:r w:rsidRPr="00111B4E">
        <w:rPr>
          <w:rFonts w:ascii="Palatino Linotype" w:eastAsia="Palatino Linotype" w:hAnsi="Palatino Linotype"/>
          <w:b/>
          <w:i/>
          <w:sz w:val="22"/>
          <w:szCs w:val="22"/>
        </w:rPr>
        <w:t xml:space="preserve">Artículo 138.- </w:t>
      </w:r>
      <w:r w:rsidRPr="00111B4E">
        <w:rPr>
          <w:rFonts w:ascii="Palatino Linotype" w:eastAsia="Palatino Linotype" w:hAnsi="Palatino Linotype"/>
          <w:i/>
          <w:sz w:val="22"/>
          <w:szCs w:val="22"/>
        </w:rPr>
        <w:t xml:space="preserve">Las unidades de policía encargadas de la investigación científica de los delitos se coordinarán en los términos de esta Ley y demás disposiciones aplicables, para el efectivo cumplimiento de sus funciones, y tendrán, entre otras, las facultades siguientes: </w:t>
      </w:r>
    </w:p>
    <w:p w:rsidR="00620120" w:rsidRPr="00111B4E" w:rsidRDefault="00620120" w:rsidP="00620120">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620120" w:rsidRPr="00111B4E" w:rsidRDefault="00620120" w:rsidP="00620120">
      <w:pPr>
        <w:pStyle w:val="Sinespaciado"/>
        <w:spacing w:line="360" w:lineRule="auto"/>
        <w:ind w:left="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 xml:space="preserve">X. </w:t>
      </w:r>
      <w:r w:rsidRPr="00111B4E">
        <w:rPr>
          <w:rFonts w:ascii="Palatino Linotype" w:eastAsia="Palatino Linotype" w:hAnsi="Palatino Linotype"/>
          <w:b/>
          <w:i/>
          <w:sz w:val="22"/>
          <w:szCs w:val="22"/>
          <w:u w:val="single"/>
        </w:rPr>
        <w:t>Dejar constancia de cada una de sus actuaciones, así como llevar un control y seguimiento de éstas. Durante el curso de la investigación deberán elaborar informes sobre el desarrollo de la misma</w:t>
      </w:r>
      <w:r w:rsidRPr="00111B4E">
        <w:rPr>
          <w:rFonts w:ascii="Palatino Linotype" w:eastAsia="Palatino Linotype" w:hAnsi="Palatino Linotype"/>
          <w:i/>
          <w:sz w:val="22"/>
          <w:szCs w:val="22"/>
        </w:rPr>
        <w:t>, y rendirlos al ministerio público, sin perjuicio de los informes que éste le requiera;</w:t>
      </w:r>
    </w:p>
    <w:p w:rsidR="00620120" w:rsidRPr="00111B4E" w:rsidRDefault="00620120" w:rsidP="00620120">
      <w:pPr>
        <w:pStyle w:val="Sinespaciado"/>
        <w:spacing w:line="360" w:lineRule="auto"/>
        <w:ind w:left="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D963B2" w:rsidRPr="00111B4E" w:rsidRDefault="00620120"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AF2CE4" w:rsidRPr="00111B4E" w:rsidRDefault="00AF2CE4"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bCs/>
          <w:sz w:val="24"/>
          <w:szCs w:val="24"/>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D963B2" w:rsidRPr="00111B4E" w:rsidRDefault="00D963B2"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bCs/>
          <w:sz w:val="24"/>
          <w:szCs w:val="24"/>
        </w:rPr>
        <w:lastRenderedPageBreak/>
        <w:t>En ese contexto, el artículo 6, fracciones XI y XII de dicho ordenamiento jurídico, establece los siguientes conceptos:</w:t>
      </w:r>
    </w:p>
    <w:p w:rsidR="00D963B2" w:rsidRPr="00111B4E" w:rsidRDefault="00D963B2" w:rsidP="00D963B2">
      <w:pPr>
        <w:numPr>
          <w:ilvl w:val="0"/>
          <w:numId w:val="11"/>
        </w:numPr>
        <w:spacing w:before="240" w:after="240" w:line="360" w:lineRule="auto"/>
        <w:jc w:val="both"/>
        <w:rPr>
          <w:rFonts w:ascii="Palatino Linotype" w:hAnsi="Palatino Linotype"/>
          <w:b/>
          <w:bCs/>
          <w:sz w:val="24"/>
          <w:szCs w:val="24"/>
        </w:rPr>
      </w:pPr>
      <w:r w:rsidRPr="00111B4E">
        <w:rPr>
          <w:rFonts w:ascii="Palatino Linotype" w:hAnsi="Palatino Linotype"/>
          <w:b/>
          <w:bCs/>
          <w:sz w:val="24"/>
          <w:szCs w:val="24"/>
        </w:rPr>
        <w:t xml:space="preserve">Instituciones Policiales: </w:t>
      </w:r>
      <w:r w:rsidRPr="00111B4E">
        <w:rPr>
          <w:rFonts w:ascii="Palatino Linotype" w:hAnsi="Palatino Linotype"/>
          <w:bCs/>
          <w:sz w:val="24"/>
          <w:szCs w:val="24"/>
        </w:rPr>
        <w:t xml:space="preserve">Son los cuerpos de policía, de vigilancia y custodia de los establecimientos penitenciarios, detención preventiva, centros de arraigo y en general, </w:t>
      </w:r>
      <w:r w:rsidRPr="00111B4E">
        <w:rPr>
          <w:rFonts w:ascii="Palatino Linotype" w:hAnsi="Palatino Linotype"/>
          <w:b/>
          <w:bCs/>
          <w:sz w:val="24"/>
          <w:szCs w:val="24"/>
        </w:rPr>
        <w:t>todas las dependencias encargadas de la seguridad pública a nivel</w:t>
      </w:r>
      <w:r w:rsidRPr="00111B4E">
        <w:rPr>
          <w:rFonts w:ascii="Palatino Linotype" w:hAnsi="Palatino Linotype"/>
          <w:bCs/>
          <w:sz w:val="24"/>
          <w:szCs w:val="24"/>
        </w:rPr>
        <w:t xml:space="preserve"> estatal y </w:t>
      </w:r>
      <w:r w:rsidRPr="00111B4E">
        <w:rPr>
          <w:rFonts w:ascii="Palatino Linotype" w:hAnsi="Palatino Linotype"/>
          <w:b/>
          <w:bCs/>
          <w:sz w:val="24"/>
          <w:szCs w:val="24"/>
        </w:rPr>
        <w:t>municipal.</w:t>
      </w:r>
    </w:p>
    <w:p w:rsidR="00D963B2" w:rsidRPr="00111B4E" w:rsidRDefault="00D963B2" w:rsidP="00D963B2">
      <w:pPr>
        <w:numPr>
          <w:ilvl w:val="0"/>
          <w:numId w:val="11"/>
        </w:numPr>
        <w:spacing w:before="240" w:after="240" w:line="360" w:lineRule="auto"/>
        <w:jc w:val="both"/>
        <w:rPr>
          <w:rFonts w:ascii="Palatino Linotype" w:hAnsi="Palatino Linotype"/>
          <w:b/>
          <w:bCs/>
          <w:sz w:val="24"/>
          <w:szCs w:val="24"/>
        </w:rPr>
      </w:pPr>
      <w:r w:rsidRPr="00111B4E">
        <w:rPr>
          <w:rFonts w:ascii="Palatino Linotype" w:hAnsi="Palatino Linotype"/>
          <w:b/>
          <w:bCs/>
          <w:sz w:val="24"/>
          <w:szCs w:val="24"/>
        </w:rPr>
        <w:t xml:space="preserve">Instituciones de Seguridad Pública: </w:t>
      </w:r>
      <w:r w:rsidRPr="00111B4E">
        <w:rPr>
          <w:rFonts w:ascii="Palatino Linotype" w:hAnsi="Palatino Linotype"/>
          <w:bCs/>
          <w:sz w:val="24"/>
          <w:szCs w:val="24"/>
        </w:rPr>
        <w:t xml:space="preserve">Instituciones Policiales, Procuración de Justicia, Sistema Penitenciario y </w:t>
      </w:r>
      <w:r w:rsidRPr="00111B4E">
        <w:rPr>
          <w:rFonts w:ascii="Palatino Linotype" w:hAnsi="Palatino Linotype"/>
          <w:b/>
          <w:bCs/>
          <w:sz w:val="24"/>
          <w:szCs w:val="24"/>
        </w:rPr>
        <w:t xml:space="preserve">dependencias encargadas de la seguridad pública a nivel </w:t>
      </w:r>
      <w:r w:rsidRPr="00111B4E">
        <w:rPr>
          <w:rFonts w:ascii="Palatino Linotype" w:hAnsi="Palatino Linotype"/>
          <w:bCs/>
          <w:sz w:val="24"/>
          <w:szCs w:val="24"/>
        </w:rPr>
        <w:t xml:space="preserve">estatal y </w:t>
      </w:r>
      <w:r w:rsidRPr="00111B4E">
        <w:rPr>
          <w:rFonts w:ascii="Palatino Linotype" w:hAnsi="Palatino Linotype"/>
          <w:b/>
          <w:bCs/>
          <w:sz w:val="24"/>
          <w:szCs w:val="24"/>
        </w:rPr>
        <w:t>municipal.</w:t>
      </w:r>
    </w:p>
    <w:p w:rsidR="00AF2CE4" w:rsidRPr="00111B4E" w:rsidRDefault="00AF2CE4" w:rsidP="00D963B2">
      <w:pPr>
        <w:spacing w:before="240" w:after="240" w:line="360" w:lineRule="auto"/>
        <w:jc w:val="both"/>
        <w:rPr>
          <w:rFonts w:ascii="Palatino Linotype" w:hAnsi="Palatino Linotype"/>
          <w:iCs/>
          <w:sz w:val="24"/>
          <w:szCs w:val="24"/>
          <w:lang w:val="es-ES"/>
        </w:rPr>
      </w:pP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iCs/>
          <w:sz w:val="24"/>
          <w:szCs w:val="24"/>
          <w:lang w:val="es-ES"/>
        </w:rPr>
        <w:t>Conforme a lo anterior</w:t>
      </w:r>
      <w:r w:rsidRPr="00111B4E">
        <w:rPr>
          <w:rFonts w:ascii="Palatino Linotype" w:hAnsi="Palatino Linotype"/>
          <w:bCs/>
          <w:sz w:val="24"/>
          <w:szCs w:val="24"/>
        </w:rPr>
        <w:t xml:space="preserve">, se puede deducir que el área </w:t>
      </w:r>
      <w:r w:rsidRPr="00111B4E">
        <w:rPr>
          <w:rFonts w:ascii="Palatino Linotype" w:hAnsi="Palatino Linotype"/>
          <w:bCs/>
          <w:sz w:val="24"/>
          <w:szCs w:val="24"/>
          <w:lang w:val="es-ES_tradnl"/>
        </w:rPr>
        <w:t>Seguridad Pública</w:t>
      </w:r>
      <w:r w:rsidRPr="00111B4E">
        <w:rPr>
          <w:rFonts w:ascii="Palatino Linotype" w:hAnsi="Palatino Linotype"/>
          <w:bCs/>
          <w:sz w:val="24"/>
          <w:szCs w:val="24"/>
        </w:rPr>
        <w:t xml:space="preserve"> tiene como atribución principal, la prevención de delitos </w:t>
      </w:r>
      <w:r w:rsidRPr="00111B4E">
        <w:rPr>
          <w:rFonts w:ascii="Palatino Linotype" w:hAnsi="Palatino Linotype"/>
          <w:sz w:val="24"/>
          <w:szCs w:val="24"/>
        </w:rPr>
        <w:t>y proteger a las personas, sus propiedades, posesiones y derechos</w:t>
      </w:r>
      <w:r w:rsidRPr="00111B4E">
        <w:rPr>
          <w:rFonts w:ascii="Palatino Linotype" w:hAnsi="Palatino Linotype"/>
          <w:bCs/>
          <w:sz w:val="24"/>
          <w:szCs w:val="24"/>
        </w:rPr>
        <w:t xml:space="preserve">. </w:t>
      </w:r>
      <w:r w:rsidRPr="00111B4E">
        <w:rPr>
          <w:rFonts w:ascii="Palatino Linotype" w:hAnsi="Palatino Linotype"/>
          <w:bCs/>
          <w:sz w:val="24"/>
          <w:szCs w:val="24"/>
          <w:lang w:val="es-ES"/>
        </w:rPr>
        <w:t xml:space="preserve">Además, </w:t>
      </w:r>
      <w:r w:rsidRPr="00111B4E">
        <w:rPr>
          <w:rFonts w:ascii="Palatino Linotype" w:hAnsi="Palatino Linotype"/>
          <w:bCs/>
          <w:sz w:val="24"/>
          <w:szCs w:val="24"/>
        </w:rPr>
        <w:t>el Instructivo de llenado del Formato “</w:t>
      </w:r>
      <w:r w:rsidRPr="00111B4E">
        <w:rPr>
          <w:rFonts w:ascii="Palatino Linotype" w:hAnsi="Palatino Linotype"/>
          <w:bCs/>
          <w:i/>
          <w:sz w:val="24"/>
          <w:szCs w:val="24"/>
        </w:rPr>
        <w:t>Personal de Seguridad Pública</w:t>
      </w:r>
      <w:r w:rsidRPr="00111B4E">
        <w:rPr>
          <w:rFonts w:ascii="Palatino Linotype" w:hAnsi="Palatino Linotype"/>
          <w:bCs/>
          <w:sz w:val="24"/>
          <w:szCs w:val="24"/>
        </w:rPr>
        <w:t xml:space="preserve">”, del Secretariado Ejecutivo del Sistema Nacional de Seguridad Pública (consultado en la liga electrónica </w:t>
      </w:r>
      <w:hyperlink r:id="rId7" w:history="1">
        <w:r w:rsidRPr="00111B4E">
          <w:rPr>
            <w:rStyle w:val="Hipervnculo"/>
            <w:rFonts w:ascii="Palatino Linotype" w:hAnsi="Palatino Linotype"/>
            <w:bCs/>
            <w:sz w:val="24"/>
            <w:szCs w:val="24"/>
          </w:rPr>
          <w:t>http://secretariadoejecutivo.gob.mx/work/models/SecretariadoEjecutivo/Resource/328/1/images/instructivo_final_edo_fuerza(1).pdf</w:t>
        </w:r>
      </w:hyperlink>
      <w:r w:rsidRPr="00111B4E">
        <w:rPr>
          <w:rFonts w:ascii="Palatino Linotype" w:hAnsi="Palatino Linotype"/>
          <w:bCs/>
          <w:sz w:val="24"/>
          <w:szCs w:val="24"/>
        </w:rPr>
        <w:t xml:space="preserve">), establece que los elementos operativos de seguridad pública, son aquellos que desempeñan funciones de campo (policiacas, especializadas o equivalentes y que no desempeña funciones de mando), entre los cuales, se encuentra </w:t>
      </w:r>
      <w:r w:rsidRPr="00111B4E">
        <w:rPr>
          <w:rFonts w:ascii="Palatino Linotype" w:hAnsi="Palatino Linotype"/>
          <w:b/>
          <w:bCs/>
          <w:sz w:val="24"/>
          <w:szCs w:val="24"/>
        </w:rPr>
        <w:t>la Policía Municipal</w:t>
      </w:r>
      <w:r w:rsidRPr="00111B4E">
        <w:rPr>
          <w:rFonts w:ascii="Palatino Linotype" w:hAnsi="Palatino Linotype"/>
          <w:bCs/>
          <w:sz w:val="24"/>
          <w:szCs w:val="24"/>
        </w:rPr>
        <w:t>.</w:t>
      </w: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bCs/>
          <w:sz w:val="24"/>
          <w:szCs w:val="24"/>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00D963B2" w:rsidRPr="00111B4E" w:rsidRDefault="00D963B2"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t xml:space="preserve">Por otro lado, no escapa de la óptica de este Instituto que dentro de la información que se solicita se puede encontrar </w:t>
      </w:r>
      <w:r w:rsidRPr="00111B4E">
        <w:rPr>
          <w:rFonts w:ascii="Palatino Linotype" w:hAnsi="Palatino Linotype"/>
          <w:b/>
          <w:bCs/>
          <w:sz w:val="24"/>
          <w:szCs w:val="24"/>
          <w:u w:val="single"/>
        </w:rPr>
        <w:t>información relativa a los elementos operativos del cuerpo de seguridad pública,</w:t>
      </w:r>
      <w:r w:rsidRPr="00111B4E">
        <w:rPr>
          <w:rFonts w:ascii="Palatino Linotype" w:hAnsi="Palatino Linotype"/>
          <w:sz w:val="24"/>
          <w:szCs w:val="24"/>
        </w:rPr>
        <w:t xml:space="preserve"> los cuales es criterio del pleno de este Organismo que el nombre de estos servidores públicos encuadra en una excepción y por tanto debe ser objeto de un proceso de </w:t>
      </w:r>
      <w:r w:rsidRPr="00111B4E">
        <w:rPr>
          <w:rFonts w:ascii="Palatino Linotype" w:hAnsi="Palatino Linotype"/>
          <w:b/>
          <w:sz w:val="24"/>
          <w:szCs w:val="24"/>
          <w:u w:val="single"/>
        </w:rPr>
        <w:t>reserva de la información</w:t>
      </w:r>
      <w:r w:rsidRPr="00111B4E">
        <w:rPr>
          <w:rFonts w:ascii="Palatino Linotype" w:hAnsi="Palatino Linotype"/>
          <w:sz w:val="24"/>
          <w:szCs w:val="24"/>
        </w:rPr>
        <w:t>, para no hacer identificable al titular de tal dato personal.</w:t>
      </w:r>
    </w:p>
    <w:p w:rsidR="00D963B2" w:rsidRPr="00111B4E" w:rsidRDefault="00D963B2" w:rsidP="00D963B2">
      <w:pPr>
        <w:spacing w:before="240" w:after="240" w:line="360" w:lineRule="auto"/>
        <w:jc w:val="both"/>
        <w:rPr>
          <w:rFonts w:ascii="Palatino Linotype" w:hAnsi="Palatino Linotype"/>
          <w:sz w:val="24"/>
          <w:szCs w:val="24"/>
        </w:rPr>
      </w:pP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t>Ello, conforme al propio concepto de versión pública contenido en el artículo 3, fracción XXIV, de la multicitada Ley se define como:</w:t>
      </w:r>
    </w:p>
    <w:p w:rsidR="00D963B2" w:rsidRPr="00111B4E" w:rsidRDefault="00D963B2" w:rsidP="00D963B2">
      <w:pPr>
        <w:spacing w:before="240" w:after="240" w:line="360" w:lineRule="auto"/>
        <w:ind w:left="567" w:right="822"/>
        <w:jc w:val="both"/>
        <w:rPr>
          <w:rFonts w:ascii="Palatino Linotype" w:hAnsi="Palatino Linotype"/>
          <w:i/>
        </w:rPr>
      </w:pPr>
      <w:r w:rsidRPr="00111B4E">
        <w:rPr>
          <w:rFonts w:ascii="Palatino Linotype" w:hAnsi="Palatino Linotype"/>
          <w:i/>
        </w:rPr>
        <w:t>“</w:t>
      </w:r>
      <w:r w:rsidRPr="00111B4E">
        <w:rPr>
          <w:rFonts w:ascii="Palatino Linotype" w:hAnsi="Palatino Linotype"/>
          <w:b/>
          <w:i/>
        </w:rPr>
        <w:t>XXIV</w:t>
      </w:r>
      <w:r w:rsidRPr="00111B4E">
        <w:rPr>
          <w:rFonts w:ascii="Palatino Linotype" w:hAnsi="Palatino Linotype"/>
          <w:i/>
        </w:rPr>
        <w:t xml:space="preserve">. </w:t>
      </w:r>
      <w:r w:rsidRPr="00111B4E">
        <w:rPr>
          <w:rFonts w:ascii="Palatino Linotype" w:hAnsi="Palatino Linotype"/>
          <w:b/>
          <w:i/>
        </w:rPr>
        <w:t>Información reservada:</w:t>
      </w:r>
      <w:r w:rsidRPr="00111B4E">
        <w:rPr>
          <w:rFonts w:ascii="Palatino Linotype" w:hAnsi="Palatino Linotype"/>
          <w:i/>
        </w:rPr>
        <w:t xml:space="preserve"> La clasificada con este carácter de manera temporal por las disposiciones de esta Ley, cuya divulgación puede causar daño en términos de lo establecido por esta Ley;”</w:t>
      </w: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lastRenderedPageBreak/>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111B4E">
        <w:rPr>
          <w:rFonts w:ascii="Palatino Linotype" w:hAnsi="Palatino Linotype"/>
          <w:b/>
          <w:sz w:val="24"/>
          <w:szCs w:val="24"/>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111B4E">
        <w:rPr>
          <w:rFonts w:ascii="Palatino Linotype" w:hAnsi="Palatino Linotype"/>
          <w:sz w:val="24"/>
          <w:szCs w:val="24"/>
        </w:rPr>
        <w:t>.</w:t>
      </w:r>
    </w:p>
    <w:p w:rsidR="00D963B2" w:rsidRPr="00111B4E" w:rsidRDefault="00D963B2" w:rsidP="00D963B2">
      <w:pPr>
        <w:spacing w:before="240" w:after="240" w:line="360" w:lineRule="auto"/>
        <w:jc w:val="both"/>
        <w:rPr>
          <w:rFonts w:ascii="Palatino Linotype" w:hAnsi="Palatino Linotype"/>
          <w:sz w:val="24"/>
          <w:szCs w:val="24"/>
        </w:rPr>
      </w:pP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t xml:space="preserve">Esto es así, ya que el artículo 81, fracción III, de la Ley de Seguridad del Estado de México, establece lo siguiente: </w:t>
      </w:r>
    </w:p>
    <w:p w:rsidR="00D963B2" w:rsidRPr="00111B4E" w:rsidRDefault="00D963B2" w:rsidP="00D963B2">
      <w:pPr>
        <w:spacing w:before="240" w:after="240" w:line="360" w:lineRule="auto"/>
        <w:ind w:left="567" w:right="822"/>
        <w:jc w:val="both"/>
        <w:rPr>
          <w:rFonts w:ascii="Palatino Linotype" w:hAnsi="Palatino Linotype"/>
          <w:i/>
        </w:rPr>
      </w:pPr>
      <w:r w:rsidRPr="00111B4E">
        <w:rPr>
          <w:rFonts w:ascii="Palatino Linotype" w:hAnsi="Palatino Linotype"/>
          <w:i/>
        </w:rPr>
        <w:t>“</w:t>
      </w:r>
      <w:r w:rsidRPr="00111B4E">
        <w:rPr>
          <w:rFonts w:ascii="Palatino Linotype" w:hAnsi="Palatino Linotype"/>
          <w:b/>
          <w:i/>
        </w:rPr>
        <w:t>Artículo 81.-</w:t>
      </w:r>
      <w:r w:rsidRPr="00111B4E">
        <w:rPr>
          <w:rFonts w:ascii="Palatino Linotype" w:hAnsi="Palatino Linotype"/>
          <w:i/>
        </w:rPr>
        <w:t xml:space="preserve"> </w:t>
      </w:r>
      <w:r w:rsidRPr="00111B4E">
        <w:rPr>
          <w:rFonts w:ascii="Palatino Linotype" w:hAnsi="Palatino Linotype"/>
          <w:b/>
          <w:i/>
        </w:rPr>
        <w:t>Toda información para la seguridad pública</w:t>
      </w:r>
      <w:r w:rsidRPr="00111B4E">
        <w:rPr>
          <w:rFonts w:ascii="Palatino Linotype" w:hAnsi="Palatino Linotype"/>
          <w:i/>
        </w:rPr>
        <w:t xml:space="preserve"> generada o en poder de Instituciones de Seguridad Pública o de cualquier instancia del Sistema Estatal </w:t>
      </w:r>
      <w:r w:rsidRPr="00111B4E">
        <w:rPr>
          <w:rFonts w:ascii="Palatino Linotype" w:hAnsi="Palatino Linotype"/>
          <w:i/>
          <w:u w:val="single"/>
        </w:rPr>
        <w:t>debe</w:t>
      </w:r>
      <w:r w:rsidRPr="00111B4E">
        <w:rPr>
          <w:rFonts w:ascii="Palatino Linotype" w:hAnsi="Palatino Linotype"/>
          <w:i/>
        </w:rPr>
        <w:t xml:space="preserve"> registrarse, </w:t>
      </w:r>
      <w:r w:rsidRPr="00111B4E">
        <w:rPr>
          <w:rFonts w:ascii="Palatino Linotype" w:hAnsi="Palatino Linotype"/>
          <w:i/>
          <w:u w:val="single"/>
        </w:rPr>
        <w:t>clasificarse</w:t>
      </w:r>
      <w:r w:rsidRPr="00111B4E">
        <w:rPr>
          <w:rFonts w:ascii="Palatino Linotype" w:hAnsi="Palatino Linotype"/>
          <w:i/>
        </w:rPr>
        <w:t xml:space="preserve"> y tratarse de conformidad con las disposiciones aplicables. No obstante lo anterior, esta información se considerará reservada en los casos siguientes:</w:t>
      </w:r>
    </w:p>
    <w:p w:rsidR="00D963B2" w:rsidRPr="00111B4E" w:rsidRDefault="00D963B2" w:rsidP="00D963B2">
      <w:pPr>
        <w:spacing w:before="240" w:after="240" w:line="360" w:lineRule="auto"/>
        <w:ind w:left="567" w:right="822"/>
        <w:jc w:val="both"/>
        <w:rPr>
          <w:rFonts w:ascii="Palatino Linotype" w:hAnsi="Palatino Linotype"/>
          <w:i/>
        </w:rPr>
      </w:pPr>
      <w:r w:rsidRPr="00111B4E">
        <w:rPr>
          <w:rFonts w:ascii="Palatino Linotype" w:hAnsi="Palatino Linotype"/>
          <w:i/>
        </w:rPr>
        <w:t>(…)</w:t>
      </w:r>
    </w:p>
    <w:p w:rsidR="00D963B2" w:rsidRPr="00111B4E" w:rsidRDefault="00D963B2" w:rsidP="00D963B2">
      <w:pPr>
        <w:spacing w:before="240" w:after="240" w:line="360" w:lineRule="auto"/>
        <w:ind w:left="567" w:right="822"/>
        <w:jc w:val="both"/>
        <w:rPr>
          <w:rFonts w:ascii="Palatino Linotype" w:hAnsi="Palatino Linotype"/>
          <w:b/>
          <w:i/>
        </w:rPr>
      </w:pPr>
      <w:r w:rsidRPr="00111B4E">
        <w:rPr>
          <w:rFonts w:ascii="Palatino Linotype" w:hAnsi="Palatino Linotype"/>
          <w:b/>
          <w:i/>
        </w:rPr>
        <w:t>III</w:t>
      </w:r>
      <w:r w:rsidRPr="00111B4E">
        <w:rPr>
          <w:rFonts w:ascii="Palatino Linotype" w:hAnsi="Palatino Linotype"/>
          <w:i/>
        </w:rPr>
        <w:t xml:space="preserve">. </w:t>
      </w:r>
      <w:r w:rsidRPr="00111B4E">
        <w:rPr>
          <w:rFonts w:ascii="Palatino Linotype" w:hAnsi="Palatino Linotype"/>
          <w:b/>
          <w:i/>
        </w:rPr>
        <w:t>La relativa a servidores públicos miembros de las instituciones de seguridad pública, cuya revelación pueda poner en riesgo su vida e integridad física con motivo de sus funciones;”</w:t>
      </w: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lastRenderedPageBreak/>
        <w:t xml:space="preserve">Es importante mencionar que la causal de reserva antes señalada, puede ubicarse en los supuestos previstos por los artículos 140, fracción IV, de la Ley de Transparencia </w:t>
      </w:r>
      <w:proofErr w:type="gramStart"/>
      <w:r w:rsidRPr="00111B4E">
        <w:rPr>
          <w:rFonts w:ascii="Palatino Linotype" w:hAnsi="Palatino Linotype"/>
          <w:sz w:val="24"/>
          <w:szCs w:val="24"/>
        </w:rPr>
        <w:t>y  Acceso</w:t>
      </w:r>
      <w:proofErr w:type="gramEnd"/>
      <w:r w:rsidRPr="00111B4E">
        <w:rPr>
          <w:rFonts w:ascii="Palatino Linotype" w:hAnsi="Palatino Linotype"/>
          <w:sz w:val="24"/>
          <w:szCs w:val="24"/>
        </w:rPr>
        <w:t xml:space="preserve"> a la Información Pública del Estado de México y Municipios, así como los requisitos previstos por los numerales Vigésimo Tercero y Trigésimo Tercero, de los Lineamientos generales en materia de clasificación y desclasificación de la información.</w:t>
      </w:r>
    </w:p>
    <w:p w:rsidR="00AF2CE4" w:rsidRPr="00111B4E" w:rsidRDefault="00AF2CE4" w:rsidP="00D963B2">
      <w:pPr>
        <w:spacing w:before="240" w:after="240" w:line="360" w:lineRule="auto"/>
        <w:jc w:val="both"/>
        <w:rPr>
          <w:rFonts w:ascii="Palatino Linotype" w:hAnsi="Palatino Linotype"/>
          <w:sz w:val="24"/>
          <w:szCs w:val="24"/>
        </w:rPr>
      </w:pPr>
    </w:p>
    <w:p w:rsidR="00D963B2" w:rsidRPr="00111B4E" w:rsidRDefault="00D963B2" w:rsidP="00D963B2">
      <w:pPr>
        <w:spacing w:before="240" w:after="240" w:line="360" w:lineRule="auto"/>
        <w:jc w:val="both"/>
        <w:rPr>
          <w:rFonts w:ascii="Palatino Linotype" w:hAnsi="Palatino Linotype"/>
          <w:sz w:val="24"/>
          <w:szCs w:val="24"/>
        </w:rPr>
      </w:pPr>
      <w:r w:rsidRPr="00111B4E">
        <w:rPr>
          <w:rFonts w:ascii="Palatino Linotype" w:hAnsi="Palatino Linotype"/>
          <w:sz w:val="24"/>
          <w:szCs w:val="24"/>
        </w:rPr>
        <w:t>Resulta alusivo por analogía el criterio 06-09 emitido por el entonces Instituto Federal de Acceso a la Información (IFAI), ahora Instituto Nacional de Transparencia, Acceso a la Información y Protección de Datos Personales (INAI) que a la letra dice:</w:t>
      </w:r>
    </w:p>
    <w:p w:rsidR="00D963B2" w:rsidRPr="00111B4E" w:rsidRDefault="00D963B2" w:rsidP="00D963B2">
      <w:pPr>
        <w:spacing w:before="240" w:after="240" w:line="360" w:lineRule="auto"/>
        <w:ind w:left="567" w:right="822"/>
        <w:jc w:val="both"/>
        <w:rPr>
          <w:rFonts w:ascii="Palatino Linotype" w:hAnsi="Palatino Linotype"/>
          <w:i/>
        </w:rPr>
      </w:pPr>
      <w:r w:rsidRPr="00111B4E">
        <w:rPr>
          <w:rFonts w:ascii="Palatino Linotype" w:hAnsi="Palatino Linotype"/>
          <w:i/>
        </w:rPr>
        <w:t>“</w:t>
      </w:r>
      <w:r w:rsidRPr="00111B4E">
        <w:rPr>
          <w:rFonts w:ascii="Palatino Linotype" w:hAnsi="Palatino Linotype"/>
          <w:b/>
          <w:i/>
        </w:rPr>
        <w:t>Nombres de servidores públicos dedicados a actividades en materia de seguridad, por excepción pueden considerarse información reservada</w:t>
      </w:r>
      <w:r w:rsidRPr="00111B4E">
        <w:rPr>
          <w:rFonts w:ascii="Palatino Linotype" w:hAnsi="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w:t>
      </w:r>
      <w:r w:rsidRPr="00111B4E">
        <w:rPr>
          <w:rFonts w:ascii="Palatino Linotype" w:hAnsi="Palatino Linotype"/>
          <w:i/>
        </w:rPr>
        <w:lastRenderedPageBreak/>
        <w:t>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AF2CE4" w:rsidRPr="00111B4E" w:rsidRDefault="00AF2CE4"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bCs/>
          <w:sz w:val="24"/>
          <w:szCs w:val="24"/>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D963B2" w:rsidRPr="00111B4E" w:rsidRDefault="00D963B2"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b/>
          <w:sz w:val="24"/>
          <w:szCs w:val="24"/>
          <w:u w:val="single"/>
        </w:rPr>
      </w:pPr>
      <w:r w:rsidRPr="00111B4E">
        <w:rPr>
          <w:rFonts w:ascii="Palatino Linotype" w:hAnsi="Palatino Linotype"/>
          <w:bCs/>
          <w:sz w:val="24"/>
          <w:szCs w:val="24"/>
        </w:rPr>
        <w:t xml:space="preserve">En ese orden de ideas, </w:t>
      </w:r>
      <w:r w:rsidRPr="00111B4E">
        <w:rPr>
          <w:rFonts w:ascii="Palatino Linotype" w:hAnsi="Palatino Linotype"/>
          <w:b/>
          <w:sz w:val="24"/>
          <w:szCs w:val="24"/>
          <w:u w:val="single"/>
        </w:rPr>
        <w:t>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rsidR="00D963B2" w:rsidRPr="00111B4E" w:rsidRDefault="00D963B2" w:rsidP="00D963B2">
      <w:pPr>
        <w:spacing w:before="240" w:after="240" w:line="360" w:lineRule="auto"/>
        <w:jc w:val="both"/>
        <w:rPr>
          <w:rFonts w:ascii="Palatino Linotype" w:hAnsi="Palatino Linotype"/>
          <w:bCs/>
          <w:sz w:val="24"/>
          <w:szCs w:val="24"/>
        </w:rPr>
      </w:pPr>
    </w:p>
    <w:p w:rsidR="00D963B2" w:rsidRPr="00111B4E" w:rsidRDefault="00D963B2" w:rsidP="00D963B2">
      <w:pPr>
        <w:spacing w:before="240" w:after="240" w:line="360" w:lineRule="auto"/>
        <w:jc w:val="both"/>
        <w:rPr>
          <w:rFonts w:ascii="Palatino Linotype" w:hAnsi="Palatino Linotype"/>
          <w:bCs/>
          <w:sz w:val="24"/>
          <w:szCs w:val="24"/>
        </w:rPr>
      </w:pPr>
      <w:r w:rsidRPr="00111B4E">
        <w:rPr>
          <w:rFonts w:ascii="Palatino Linotype" w:hAnsi="Palatino Linotype"/>
          <w:bCs/>
          <w:sz w:val="24"/>
          <w:szCs w:val="24"/>
        </w:rPr>
        <w:lastRenderedPageBreak/>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D963B2" w:rsidRPr="00111B4E" w:rsidRDefault="00D963B2" w:rsidP="00D963B2">
      <w:pPr>
        <w:spacing w:line="360" w:lineRule="auto"/>
        <w:contextualSpacing/>
        <w:jc w:val="both"/>
        <w:rPr>
          <w:rFonts w:ascii="Palatino Linotype" w:eastAsia="Palatino Linotype" w:hAnsi="Palatino Linotype" w:cs="Palatino Linotype"/>
          <w:sz w:val="24"/>
          <w:szCs w:val="24"/>
        </w:rPr>
      </w:pPr>
    </w:p>
    <w:p w:rsidR="00D963B2" w:rsidRPr="00111B4E" w:rsidRDefault="00CE6C47" w:rsidP="00D963B2">
      <w:pPr>
        <w:spacing w:line="360" w:lineRule="auto"/>
        <w:contextualSpacing/>
        <w:jc w:val="both"/>
        <w:rPr>
          <w:rFonts w:ascii="Palatino Linotype" w:eastAsia="Palatino Linotype" w:hAnsi="Palatino Linotype" w:cs="Palatino Linotype"/>
          <w:sz w:val="24"/>
          <w:szCs w:val="24"/>
        </w:rPr>
      </w:pPr>
      <w:r w:rsidRPr="00111B4E">
        <w:rPr>
          <w:rFonts w:ascii="Palatino Linotype" w:eastAsia="Palatino Linotype" w:hAnsi="Palatino Linotype" w:cs="Palatino Linotype"/>
          <w:sz w:val="24"/>
          <w:szCs w:val="24"/>
        </w:rPr>
        <w:t>De lo expuesto con anterioridad el Servidor Público Habilitado de la Dirección de Seguridad Pública</w:t>
      </w:r>
      <w:r w:rsidR="00D963B2" w:rsidRPr="00111B4E">
        <w:rPr>
          <w:rFonts w:ascii="Palatino Linotype" w:eastAsia="Palatino Linotype" w:hAnsi="Palatino Linotype" w:cs="Palatino Linotype"/>
          <w:sz w:val="24"/>
          <w:szCs w:val="24"/>
        </w:rPr>
        <w:t xml:space="preserve"> </w:t>
      </w:r>
      <w:r w:rsidRPr="00111B4E">
        <w:rPr>
          <w:rFonts w:ascii="Palatino Linotype" w:eastAsia="Palatino Linotype" w:hAnsi="Palatino Linotype" w:cs="Palatino Linotype"/>
          <w:sz w:val="24"/>
          <w:szCs w:val="24"/>
        </w:rPr>
        <w:t>propuso la</w:t>
      </w:r>
      <w:r w:rsidR="00D963B2" w:rsidRPr="00111B4E">
        <w:rPr>
          <w:rFonts w:ascii="Palatino Linotype" w:eastAsia="Palatino Linotype" w:hAnsi="Palatino Linotype" w:cs="Palatino Linotype"/>
          <w:sz w:val="24"/>
          <w:szCs w:val="24"/>
        </w:rPr>
        <w:t xml:space="preserve"> clasificación </w:t>
      </w:r>
      <w:r w:rsidRPr="00111B4E">
        <w:rPr>
          <w:rFonts w:ascii="Palatino Linotype" w:eastAsia="Palatino Linotype" w:hAnsi="Palatino Linotype" w:cs="Palatino Linotype"/>
          <w:sz w:val="24"/>
          <w:szCs w:val="24"/>
        </w:rPr>
        <w:t>de la información como reservada</w:t>
      </w:r>
      <w:r w:rsidR="00D963B2" w:rsidRPr="00111B4E">
        <w:rPr>
          <w:rFonts w:ascii="Palatino Linotype" w:eastAsia="Palatino Linotype" w:hAnsi="Palatino Linotype" w:cs="Palatino Linotype"/>
          <w:sz w:val="24"/>
          <w:szCs w:val="24"/>
        </w:rPr>
        <w:t>,</w:t>
      </w:r>
      <w:r w:rsidRPr="00111B4E">
        <w:rPr>
          <w:rFonts w:ascii="Palatino Linotype" w:eastAsia="Palatino Linotype" w:hAnsi="Palatino Linotype" w:cs="Palatino Linotype"/>
          <w:sz w:val="24"/>
          <w:szCs w:val="24"/>
        </w:rPr>
        <w:t xml:space="preserve"> por lo que</w:t>
      </w:r>
      <w:r w:rsidR="00D963B2" w:rsidRPr="00111B4E">
        <w:rPr>
          <w:rFonts w:ascii="Palatino Linotype" w:eastAsia="Palatino Linotype" w:hAnsi="Palatino Linotype" w:cs="Palatino Linotype"/>
          <w:sz w:val="24"/>
          <w:szCs w:val="24"/>
        </w:rPr>
        <w:t xml:space="preserve"> conforme a la Ley de Transparencia Estatal, es el Comité de Transparencia la instancia facultada para confirmar, modificar o revocar la clasificación de la información, como se estipula en el artículo 49 fracciones II y VIII de la Ley en cita, que a la letra dispone lo siguiente:</w:t>
      </w:r>
    </w:p>
    <w:p w:rsidR="00D963B2" w:rsidRPr="00111B4E" w:rsidRDefault="00D963B2"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b/>
          <w:i/>
          <w:sz w:val="22"/>
          <w:szCs w:val="22"/>
        </w:rPr>
        <w:t xml:space="preserve">Artículo 49. </w:t>
      </w:r>
      <w:r w:rsidRPr="00111B4E">
        <w:rPr>
          <w:rFonts w:ascii="Palatino Linotype" w:eastAsia="Palatino Linotype" w:hAnsi="Palatino Linotype"/>
          <w:i/>
          <w:sz w:val="22"/>
          <w:szCs w:val="22"/>
        </w:rPr>
        <w:t>Los Comités de Transparencia tendrán las siguientes atribuciones:</w:t>
      </w:r>
    </w:p>
    <w:p w:rsidR="00D963B2" w:rsidRPr="00111B4E" w:rsidRDefault="00D963B2"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D963B2" w:rsidRPr="00111B4E" w:rsidRDefault="00D963B2" w:rsidP="00D963B2">
      <w:pPr>
        <w:pStyle w:val="Sinespaciado"/>
        <w:spacing w:line="360" w:lineRule="auto"/>
        <w:ind w:left="708"/>
        <w:jc w:val="both"/>
        <w:rPr>
          <w:rFonts w:ascii="Palatino Linotype" w:eastAsia="Palatino Linotype" w:hAnsi="Palatino Linotype"/>
          <w:i/>
          <w:sz w:val="22"/>
          <w:szCs w:val="22"/>
        </w:rPr>
      </w:pPr>
      <w:r w:rsidRPr="00111B4E">
        <w:rPr>
          <w:rFonts w:ascii="Palatino Linotype" w:eastAsia="Palatino Linotype" w:hAnsi="Palatino Linotype"/>
          <w:b/>
          <w:bCs/>
          <w:i/>
          <w:sz w:val="22"/>
          <w:szCs w:val="22"/>
        </w:rPr>
        <w:lastRenderedPageBreak/>
        <w:t>II.</w:t>
      </w:r>
      <w:r w:rsidRPr="00111B4E">
        <w:rPr>
          <w:rFonts w:ascii="Palatino Linotype" w:eastAsia="Palatino Linotype" w:hAnsi="Palatino Linotype"/>
          <w:i/>
          <w:sz w:val="22"/>
          <w:szCs w:val="22"/>
        </w:rPr>
        <w:tab/>
        <w:t>Confirmar, modificar o revocar las determinaciones que en materia de ampliación del plazo de respuesta, clasificación de la información y declaración de inexistencia o de incompetencia realicen los titulares de las áreas de los sujetos obligados;</w:t>
      </w:r>
    </w:p>
    <w:p w:rsidR="00D963B2" w:rsidRPr="00111B4E" w:rsidRDefault="00D963B2"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D963B2" w:rsidRPr="00111B4E" w:rsidRDefault="00D963B2"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b/>
          <w:bCs/>
          <w:i/>
          <w:sz w:val="22"/>
          <w:szCs w:val="22"/>
        </w:rPr>
        <w:t>VIII.</w:t>
      </w:r>
      <w:r w:rsidRPr="00111B4E">
        <w:rPr>
          <w:rFonts w:ascii="Palatino Linotype" w:eastAsia="Palatino Linotype" w:hAnsi="Palatino Linotype"/>
          <w:i/>
          <w:sz w:val="22"/>
          <w:szCs w:val="22"/>
        </w:rPr>
        <w:tab/>
        <w:t>Aprobar, modificar o revocar la clasificación de la información;</w:t>
      </w:r>
    </w:p>
    <w:p w:rsidR="00D963B2" w:rsidRPr="00111B4E" w:rsidRDefault="00D963B2" w:rsidP="00D963B2">
      <w:pPr>
        <w:pStyle w:val="Sinespaciado"/>
        <w:spacing w:line="360" w:lineRule="auto"/>
        <w:ind w:firstLine="708"/>
        <w:jc w:val="both"/>
        <w:rPr>
          <w:rFonts w:ascii="Palatino Linotype" w:eastAsia="Palatino Linotype" w:hAnsi="Palatino Linotype"/>
          <w:i/>
          <w:sz w:val="22"/>
          <w:szCs w:val="22"/>
        </w:rPr>
      </w:pPr>
      <w:r w:rsidRPr="00111B4E">
        <w:rPr>
          <w:rFonts w:ascii="Palatino Linotype" w:eastAsia="Palatino Linotype" w:hAnsi="Palatino Linotype"/>
          <w:i/>
          <w:sz w:val="22"/>
          <w:szCs w:val="22"/>
        </w:rPr>
        <w:t>[…]</w:t>
      </w:r>
    </w:p>
    <w:p w:rsidR="00D963B2" w:rsidRPr="00111B4E" w:rsidRDefault="00D963B2" w:rsidP="00D963B2">
      <w:pPr>
        <w:spacing w:line="360" w:lineRule="auto"/>
        <w:jc w:val="both"/>
        <w:rPr>
          <w:rFonts w:ascii="Palatino Linotype" w:hAnsi="Palatino Linotype"/>
          <w:sz w:val="24"/>
          <w:szCs w:val="24"/>
        </w:rPr>
      </w:pPr>
    </w:p>
    <w:p w:rsidR="00D963B2"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rsidR="00D963B2" w:rsidRPr="00111B4E" w:rsidRDefault="00D963B2" w:rsidP="00D963B2">
      <w:pPr>
        <w:spacing w:line="360" w:lineRule="auto"/>
        <w:jc w:val="both"/>
        <w:rPr>
          <w:rFonts w:ascii="Palatino Linotype" w:hAnsi="Palatino Linotype"/>
        </w:rPr>
      </w:pPr>
    </w:p>
    <w:p w:rsidR="00206730"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t xml:space="preserve">Adicionalmente los artículos 129 y 134 último párrafo </w:t>
      </w:r>
      <w:r w:rsidR="00384837" w:rsidRPr="00111B4E">
        <w:rPr>
          <w:rFonts w:ascii="Palatino Linotype" w:hAnsi="Palatino Linotype"/>
          <w:sz w:val="24"/>
          <w:szCs w:val="24"/>
        </w:rPr>
        <w:t>de la Ley Estatal y 103 y 107</w:t>
      </w:r>
      <w:r w:rsidRPr="00111B4E">
        <w:rPr>
          <w:rFonts w:ascii="Palatino Linotype" w:hAnsi="Palatino Linotype"/>
          <w:sz w:val="24"/>
          <w:szCs w:val="24"/>
        </w:rPr>
        <w:t xml:space="preserve"> la Ley General</w:t>
      </w:r>
      <w:r w:rsidR="00D15D9A" w:rsidRPr="00111B4E">
        <w:rPr>
          <w:rFonts w:ascii="Palatino Linotype" w:hAnsi="Palatino Linotype"/>
          <w:sz w:val="24"/>
          <w:szCs w:val="24"/>
        </w:rPr>
        <w:t xml:space="preserve"> de Transparencia</w:t>
      </w:r>
      <w:r w:rsidRPr="00111B4E">
        <w:rPr>
          <w:rFonts w:ascii="Palatino Linotype" w:hAnsi="Palatino Linotype"/>
          <w:sz w:val="24"/>
          <w:szCs w:val="24"/>
        </w:rPr>
        <w:t xml:space="preserve">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w:t>
      </w:r>
      <w:r w:rsidR="00D15D9A" w:rsidRPr="00111B4E">
        <w:rPr>
          <w:rFonts w:ascii="Palatino Linotype" w:hAnsi="Palatino Linotype"/>
          <w:sz w:val="24"/>
          <w:szCs w:val="24"/>
        </w:rPr>
        <w:t>e debe aplicarse caso por caso.</w:t>
      </w:r>
    </w:p>
    <w:p w:rsidR="00D963B2"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lastRenderedPageBreak/>
        <w:t xml:space="preserve">Para aplicar la prueba de daño, se deberán de precisar las razones objetivas por las que la apertura genera una afectación, acreditando que: </w:t>
      </w:r>
    </w:p>
    <w:p w:rsidR="00D963B2" w:rsidRPr="00111B4E" w:rsidRDefault="00D963B2" w:rsidP="00D963B2">
      <w:pPr>
        <w:pStyle w:val="Prrafodelista"/>
        <w:numPr>
          <w:ilvl w:val="0"/>
          <w:numId w:val="4"/>
        </w:numPr>
        <w:spacing w:line="360" w:lineRule="auto"/>
        <w:jc w:val="both"/>
        <w:rPr>
          <w:rFonts w:ascii="Palatino Linotype" w:hAnsi="Palatino Linotype"/>
          <w:i/>
        </w:rPr>
      </w:pPr>
      <w:r w:rsidRPr="00111B4E">
        <w:rPr>
          <w:rFonts w:ascii="Palatino Linotype" w:hAnsi="Palatino Linotype"/>
          <w:i/>
        </w:rPr>
        <w:t xml:space="preserve">La divulgación de la información representa un riesgo real, demostrable e identificable del perjuicio significativo al interés público o a la seguridad pública </w:t>
      </w:r>
    </w:p>
    <w:p w:rsidR="00D963B2" w:rsidRPr="00111B4E" w:rsidRDefault="00D963B2" w:rsidP="00D963B2">
      <w:pPr>
        <w:pStyle w:val="Prrafodelista"/>
        <w:numPr>
          <w:ilvl w:val="0"/>
          <w:numId w:val="4"/>
        </w:numPr>
        <w:spacing w:line="360" w:lineRule="auto"/>
        <w:jc w:val="both"/>
        <w:rPr>
          <w:rFonts w:ascii="Palatino Linotype" w:hAnsi="Palatino Linotype"/>
          <w:i/>
        </w:rPr>
      </w:pPr>
      <w:r w:rsidRPr="00111B4E">
        <w:rPr>
          <w:rFonts w:ascii="Palatino Linotype" w:hAnsi="Palatino Linotype"/>
          <w:i/>
        </w:rPr>
        <w:t xml:space="preserve">El riesgo de perjuicio que supondría la divulgación supera el interés público general de que se difunda; y </w:t>
      </w:r>
    </w:p>
    <w:p w:rsidR="00D963B2" w:rsidRPr="00111B4E" w:rsidRDefault="00D963B2" w:rsidP="00D963B2">
      <w:pPr>
        <w:pStyle w:val="Prrafodelista"/>
        <w:numPr>
          <w:ilvl w:val="0"/>
          <w:numId w:val="4"/>
        </w:numPr>
        <w:spacing w:line="360" w:lineRule="auto"/>
        <w:jc w:val="both"/>
        <w:rPr>
          <w:rFonts w:ascii="Palatino Linotype" w:hAnsi="Palatino Linotype"/>
          <w:i/>
        </w:rPr>
      </w:pPr>
      <w:r w:rsidRPr="00111B4E">
        <w:rPr>
          <w:rFonts w:ascii="Palatino Linotype" w:hAnsi="Palatino Linotype"/>
          <w:i/>
        </w:rPr>
        <w:t>La limitación se adecua al principio de proporcionalidad y representa el medio menos restrictivo disponible para evitar el perjuicio.</w:t>
      </w:r>
    </w:p>
    <w:p w:rsidR="00D15D9A" w:rsidRPr="00111B4E" w:rsidRDefault="00D15D9A" w:rsidP="00D963B2">
      <w:pPr>
        <w:spacing w:line="360" w:lineRule="auto"/>
        <w:jc w:val="both"/>
        <w:rPr>
          <w:rFonts w:ascii="Palatino Linotype" w:hAnsi="Palatino Linotype"/>
        </w:rPr>
      </w:pPr>
    </w:p>
    <w:p w:rsidR="00D963B2"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t>Por lo que entonces, el primer supuesto de la prueba de daño consiste en acreditar que la entrega de la información provoca aspectos concurrentes: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rsidR="00D963B2" w:rsidRPr="00111B4E" w:rsidRDefault="00D963B2" w:rsidP="00D963B2">
      <w:pPr>
        <w:spacing w:line="360" w:lineRule="auto"/>
        <w:jc w:val="both"/>
        <w:rPr>
          <w:rFonts w:ascii="Palatino Linotype" w:hAnsi="Palatino Linotype"/>
          <w:sz w:val="24"/>
          <w:szCs w:val="24"/>
        </w:rPr>
      </w:pPr>
    </w:p>
    <w:p w:rsidR="00D963B2" w:rsidRPr="00111B4E" w:rsidRDefault="00D963B2" w:rsidP="00D963B2">
      <w:pPr>
        <w:spacing w:line="360" w:lineRule="auto"/>
        <w:jc w:val="both"/>
        <w:rPr>
          <w:rFonts w:ascii="Palatino Linotype" w:hAnsi="Palatino Linotype"/>
          <w:i/>
        </w:rPr>
      </w:pPr>
      <w:r w:rsidRPr="00111B4E">
        <w:rPr>
          <w:rFonts w:ascii="Palatino Linotype" w:hAnsi="Palatino Linotype"/>
          <w:sz w:val="24"/>
          <w:szCs w:val="24"/>
        </w:rPr>
        <w:t xml:space="preserve">Debido a lo anterior, se destaca que la pauta metodológica necesaria para clasificar la información como reservada se desprende inicialmente de identificar las causales aplicables, por ello, resulta oportuno realizar un análisis integral del numeral 140 de la </w:t>
      </w:r>
      <w:r w:rsidRPr="00111B4E">
        <w:rPr>
          <w:rFonts w:ascii="Palatino Linotype" w:hAnsi="Palatino Linotype"/>
          <w:sz w:val="24"/>
          <w:szCs w:val="24"/>
        </w:rPr>
        <w:lastRenderedPageBreak/>
        <w:t xml:space="preserve">Ley de Transparencia y Acceso a la Información Pública del Estado de México y </w:t>
      </w:r>
      <w:r w:rsidRPr="00111B4E">
        <w:rPr>
          <w:rFonts w:ascii="Palatino Linotype" w:hAnsi="Palatino Linotype"/>
          <w:i/>
        </w:rPr>
        <w:t>Municipios, porción normativa que dispone a la literalidad lo siguiente:</w:t>
      </w:r>
    </w:p>
    <w:p w:rsidR="00D963B2" w:rsidRPr="00111B4E" w:rsidRDefault="00D963B2" w:rsidP="00D963B2">
      <w:pPr>
        <w:spacing w:line="360" w:lineRule="auto"/>
        <w:ind w:left="708"/>
        <w:jc w:val="both"/>
        <w:rPr>
          <w:rFonts w:ascii="Palatino Linotype" w:hAnsi="Palatino Linotype"/>
          <w:i/>
        </w:rPr>
      </w:pPr>
      <w:r w:rsidRPr="00111B4E">
        <w:rPr>
          <w:rFonts w:ascii="Palatino Linotype" w:hAnsi="Palatino Linotype"/>
          <w:b/>
          <w:i/>
        </w:rPr>
        <w:t>Artículo 140</w:t>
      </w:r>
      <w:r w:rsidRPr="00111B4E">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bCs/>
          <w:i/>
        </w:rPr>
        <w:t>Comprometa la seguridad pública</w:t>
      </w:r>
      <w:r w:rsidRPr="00111B4E">
        <w:rPr>
          <w:rFonts w:ascii="Palatino Linotype" w:hAnsi="Palatino Linotype"/>
          <w:i/>
        </w:rPr>
        <w:t xml:space="preserve"> y cuente con un propósito genuino y un efecto demostrable;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Pueda menoscabar la conducción de las negociaciones y relaciones internacionales;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 Ponga en riesgo la vida, la seguridad o la salud de una persona física;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bCs/>
          <w:i/>
        </w:rPr>
        <w:t>Aquella cuya divulgación obstruya o pueda causar un serio perjuicio</w:t>
      </w:r>
      <w:r w:rsidRPr="00111B4E">
        <w:rPr>
          <w:rFonts w:ascii="Palatino Linotype" w:hAnsi="Palatino Linotype"/>
          <w:i/>
        </w:rPr>
        <w:t xml:space="preserve"> a: </w:t>
      </w:r>
    </w:p>
    <w:p w:rsidR="00D963B2" w:rsidRPr="00111B4E" w:rsidRDefault="00D963B2" w:rsidP="00D963B2">
      <w:pPr>
        <w:pStyle w:val="Prrafodelista"/>
        <w:ind w:left="2832"/>
        <w:rPr>
          <w:rFonts w:ascii="Palatino Linotype" w:hAnsi="Palatino Linotype"/>
          <w:i/>
        </w:rPr>
      </w:pPr>
      <w:r w:rsidRPr="00111B4E">
        <w:rPr>
          <w:rFonts w:ascii="Palatino Linotype" w:hAnsi="Palatino Linotype"/>
          <w:i/>
        </w:rPr>
        <w:t xml:space="preserve">1. Las actividades de fiscalización, verificación, inspección, comprobación y </w:t>
      </w:r>
      <w:r w:rsidRPr="00111B4E">
        <w:rPr>
          <w:rFonts w:ascii="Palatino Linotype" w:hAnsi="Palatino Linotype"/>
          <w:bCs/>
          <w:i/>
        </w:rPr>
        <w:t>auditoría</w:t>
      </w:r>
      <w:r w:rsidRPr="00111B4E">
        <w:rPr>
          <w:rFonts w:ascii="Palatino Linotype" w:hAnsi="Palatino Linotype"/>
          <w:b/>
          <w:bCs/>
          <w:i/>
          <w:u w:val="single"/>
        </w:rPr>
        <w:t xml:space="preserve"> </w:t>
      </w:r>
      <w:r w:rsidRPr="00111B4E">
        <w:rPr>
          <w:rFonts w:ascii="Palatino Linotype" w:hAnsi="Palatino Linotype"/>
          <w:i/>
        </w:rPr>
        <w:t xml:space="preserve">sobre el cumplimiento de las Leyes; o </w:t>
      </w:r>
    </w:p>
    <w:p w:rsidR="00D963B2" w:rsidRPr="00111B4E" w:rsidRDefault="00D963B2" w:rsidP="00D963B2">
      <w:pPr>
        <w:pStyle w:val="Prrafodelista"/>
        <w:ind w:left="2832"/>
        <w:rPr>
          <w:rFonts w:ascii="Palatino Linotype" w:hAnsi="Palatino Linotype"/>
          <w:i/>
        </w:rPr>
      </w:pPr>
      <w:r w:rsidRPr="00111B4E">
        <w:rPr>
          <w:rFonts w:ascii="Palatino Linotype" w:hAnsi="Palatino Linotype"/>
          <w:i/>
        </w:rPr>
        <w:t xml:space="preserve">2. La recaudación de las contribuciones.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lastRenderedPageBreak/>
        <w:t xml:space="preserve">La que contengan las opiniones, recomendaciones o puntos de vista que formen parte del proceso deliberativo de los servidores públicos, hasta en tanto sea adoptada la decisión definitiva, la cual deberá estar documentada;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Vulnere la conducción de los expedientes judiciales o de los procedimientos administrativos seguidos en forma de juicio, en tanto no hayan quedado firmes;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Se encuentre contenida dentro de las investigaciones de hechos que la Ley señale como delitos y se tramiten ante el Ministerio Público;</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D963B2" w:rsidRPr="00111B4E" w:rsidRDefault="00D963B2" w:rsidP="00D963B2">
      <w:pPr>
        <w:pStyle w:val="Prrafodelista"/>
        <w:numPr>
          <w:ilvl w:val="0"/>
          <w:numId w:val="5"/>
        </w:numPr>
        <w:spacing w:line="360" w:lineRule="auto"/>
        <w:jc w:val="both"/>
        <w:rPr>
          <w:rFonts w:ascii="Palatino Linotype" w:hAnsi="Palatino Linotype"/>
          <w:i/>
        </w:rPr>
      </w:pPr>
      <w:r w:rsidRPr="00111B4E">
        <w:rPr>
          <w:rFonts w:ascii="Palatino Linotype" w:hAnsi="Palatino Linotype"/>
          <w:i/>
        </w:rPr>
        <w:t xml:space="preserve">Las que por disposición expresa de una ley tengan tal carácter, siempre que sean acordes con las bases, principios y disposiciones establecidos en esta Ley y no la contravengan; así como las previstas en tratados internacionales. </w:t>
      </w:r>
    </w:p>
    <w:p w:rsidR="00D963B2" w:rsidRPr="00111B4E" w:rsidRDefault="00D963B2" w:rsidP="00D963B2">
      <w:pPr>
        <w:spacing w:line="360" w:lineRule="auto"/>
        <w:jc w:val="both"/>
        <w:rPr>
          <w:rFonts w:ascii="Palatino Linotype" w:hAnsi="Palatino Linotype"/>
          <w:sz w:val="24"/>
          <w:szCs w:val="24"/>
        </w:rPr>
      </w:pPr>
    </w:p>
    <w:p w:rsidR="00D963B2"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t xml:space="preserve">Bajo este contexto, la fundamentación y motivación, cobra particular relevancia la corriente que emana del Tercer Tribunal Colegiado en Materia Civil del Primer Circuito, a través de la jurisprudencia con número de registro digital 170307 de la Novena Época, </w:t>
      </w:r>
      <w:r w:rsidRPr="00111B4E">
        <w:rPr>
          <w:rFonts w:ascii="Palatino Linotype" w:hAnsi="Palatino Linotype"/>
          <w:sz w:val="24"/>
          <w:szCs w:val="24"/>
        </w:rPr>
        <w:lastRenderedPageBreak/>
        <w:t>visible en el Semanario Judicial de la Federación y su Gaceta, Tomo XXVII, de febrero de 2008, tesis I.3o.C. J/47 en materia común, en la que establece lo siguiente;</w:t>
      </w:r>
    </w:p>
    <w:p w:rsidR="00D963B2" w:rsidRPr="00111B4E" w:rsidRDefault="00D963B2" w:rsidP="00D963B2">
      <w:pPr>
        <w:spacing w:line="360" w:lineRule="auto"/>
        <w:ind w:left="708"/>
        <w:jc w:val="both"/>
        <w:rPr>
          <w:rFonts w:ascii="Palatino Linotype" w:hAnsi="Palatino Linotype"/>
          <w:i/>
          <w:iCs/>
        </w:rPr>
      </w:pPr>
      <w:r w:rsidRPr="00111B4E">
        <w:rPr>
          <w:rFonts w:ascii="Palatino Linotype" w:hAnsi="Palatino Linotype"/>
        </w:rPr>
        <w:t>“</w:t>
      </w:r>
      <w:r w:rsidRPr="00111B4E">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111B4E">
        <w:rPr>
          <w:rFonts w:ascii="Palatino Linotype" w:hAnsi="Palatino Linotype"/>
          <w:i/>
          <w:iCs/>
        </w:rPr>
        <w:t xml:space="preserve"> </w:t>
      </w:r>
    </w:p>
    <w:p w:rsidR="00D963B2" w:rsidRPr="00111B4E" w:rsidRDefault="00D963B2" w:rsidP="00D963B2">
      <w:pPr>
        <w:spacing w:line="360" w:lineRule="auto"/>
        <w:ind w:left="708"/>
        <w:jc w:val="both"/>
        <w:rPr>
          <w:rFonts w:ascii="Palatino Linotype" w:hAnsi="Palatino Linotype"/>
          <w:i/>
          <w:iCs/>
        </w:rPr>
      </w:pPr>
      <w:r w:rsidRPr="00111B4E">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w:t>
      </w:r>
      <w:r w:rsidRPr="00111B4E">
        <w:rPr>
          <w:rFonts w:ascii="Palatino Linotype" w:hAnsi="Palatino Linotype"/>
          <w:i/>
          <w:iCs/>
        </w:rPr>
        <w:lastRenderedPageBreak/>
        <w:t xml:space="preserve">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t xml:space="preserve">TERCER TRIBUNAL COLEGIADO EN MATERIA CIVIL DEL PRIMER CIRCUITO.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t xml:space="preserve">Amparo directo 551/2005. Jorge Luis </w:t>
      </w:r>
      <w:proofErr w:type="spellStart"/>
      <w:r w:rsidRPr="00111B4E">
        <w:rPr>
          <w:rFonts w:ascii="Palatino Linotype" w:hAnsi="Palatino Linotype"/>
          <w:i/>
          <w:iCs/>
          <w:sz w:val="18"/>
          <w:szCs w:val="18"/>
        </w:rPr>
        <w:t>Almaral</w:t>
      </w:r>
      <w:proofErr w:type="spellEnd"/>
      <w:r w:rsidRPr="00111B4E">
        <w:rPr>
          <w:rFonts w:ascii="Palatino Linotype" w:hAnsi="Palatino Linotype"/>
          <w:i/>
          <w:iCs/>
          <w:sz w:val="18"/>
          <w:szCs w:val="18"/>
        </w:rPr>
        <w:t xml:space="preserve"> </w:t>
      </w:r>
      <w:proofErr w:type="spellStart"/>
      <w:r w:rsidRPr="00111B4E">
        <w:rPr>
          <w:rFonts w:ascii="Palatino Linotype" w:hAnsi="Palatino Linotype"/>
          <w:i/>
          <w:iCs/>
          <w:sz w:val="18"/>
          <w:szCs w:val="18"/>
        </w:rPr>
        <w:t>Mendívil</w:t>
      </w:r>
      <w:proofErr w:type="spellEnd"/>
      <w:r w:rsidRPr="00111B4E">
        <w:rPr>
          <w:rFonts w:ascii="Palatino Linotype" w:hAnsi="Palatino Linotype"/>
          <w:i/>
          <w:iCs/>
          <w:sz w:val="18"/>
          <w:szCs w:val="18"/>
        </w:rPr>
        <w:t xml:space="preserve">. 20 de octubre de 2005. Unanimidad de votos.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t xml:space="preserve">Amparo directo 66/2007. Juan Ramón Jaime Alcántara. 15 de febrero de 2007. Unanimidad de votos.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lastRenderedPageBreak/>
        <w:t xml:space="preserve">Amparo directo 364/2007. Guadalupe Rodríguez Daniel. 6 de julio de 2007. Unanimidad de votos.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t xml:space="preserve">Amparo directo 513/2007. Autofinanciamiento México, S.A. de C.V. 4 de octubre de 2007. Unanimidad de votos. </w:t>
      </w:r>
    </w:p>
    <w:p w:rsidR="00D963B2" w:rsidRPr="00111B4E" w:rsidRDefault="00D963B2" w:rsidP="00D963B2">
      <w:pPr>
        <w:spacing w:line="360" w:lineRule="auto"/>
        <w:ind w:left="708"/>
        <w:jc w:val="both"/>
        <w:rPr>
          <w:rFonts w:ascii="Palatino Linotype" w:hAnsi="Palatino Linotype"/>
          <w:i/>
          <w:iCs/>
          <w:sz w:val="18"/>
          <w:szCs w:val="18"/>
        </w:rPr>
      </w:pPr>
      <w:r w:rsidRPr="00111B4E">
        <w:rPr>
          <w:rFonts w:ascii="Palatino Linotype" w:hAnsi="Palatino Linotype"/>
          <w:i/>
          <w:iCs/>
          <w:sz w:val="18"/>
          <w:szCs w:val="18"/>
        </w:rPr>
        <w:t xml:space="preserve">Amparo directo 562/2007. Arenas y Gravas </w:t>
      </w:r>
      <w:proofErr w:type="spellStart"/>
      <w:r w:rsidRPr="00111B4E">
        <w:rPr>
          <w:rFonts w:ascii="Palatino Linotype" w:hAnsi="Palatino Linotype"/>
          <w:i/>
          <w:iCs/>
          <w:sz w:val="18"/>
          <w:szCs w:val="18"/>
        </w:rPr>
        <w:t>Xaltepec</w:t>
      </w:r>
      <w:proofErr w:type="spellEnd"/>
      <w:r w:rsidRPr="00111B4E">
        <w:rPr>
          <w:rFonts w:ascii="Palatino Linotype" w:hAnsi="Palatino Linotype"/>
          <w:i/>
          <w:iCs/>
          <w:sz w:val="18"/>
          <w:szCs w:val="18"/>
        </w:rPr>
        <w:t>, S.A. 11 de octubre de 2007. Unanimidad de votos</w:t>
      </w:r>
      <w:proofErr w:type="gramStart"/>
      <w:r w:rsidRPr="00111B4E">
        <w:rPr>
          <w:rFonts w:ascii="Palatino Linotype" w:hAnsi="Palatino Linotype"/>
          <w:i/>
          <w:iCs/>
          <w:sz w:val="18"/>
          <w:szCs w:val="18"/>
        </w:rPr>
        <w:t>..”</w:t>
      </w:r>
      <w:proofErr w:type="gramEnd"/>
      <w:r w:rsidRPr="00111B4E">
        <w:rPr>
          <w:rFonts w:ascii="Palatino Linotype" w:hAnsi="Palatino Linotype"/>
          <w:i/>
          <w:iCs/>
          <w:sz w:val="18"/>
          <w:szCs w:val="18"/>
        </w:rPr>
        <w:t xml:space="preserve"> </w:t>
      </w:r>
      <w:r w:rsidRPr="00111B4E">
        <w:rPr>
          <w:rFonts w:ascii="Palatino Linotype" w:hAnsi="Palatino Linotype"/>
          <w:i/>
          <w:iCs/>
        </w:rPr>
        <w:t>(Sic)</w:t>
      </w:r>
    </w:p>
    <w:p w:rsidR="00D963B2" w:rsidRPr="00111B4E" w:rsidRDefault="00D963B2" w:rsidP="00D963B2">
      <w:pPr>
        <w:spacing w:line="360" w:lineRule="auto"/>
        <w:jc w:val="both"/>
        <w:rPr>
          <w:rFonts w:ascii="Palatino Linotype" w:hAnsi="Palatino Linotype"/>
        </w:rPr>
      </w:pPr>
    </w:p>
    <w:p w:rsidR="00D963B2" w:rsidRPr="00111B4E" w:rsidRDefault="00D963B2" w:rsidP="00D963B2">
      <w:pPr>
        <w:spacing w:line="360" w:lineRule="auto"/>
        <w:jc w:val="both"/>
        <w:rPr>
          <w:rFonts w:ascii="Palatino Linotype" w:hAnsi="Palatino Linotype"/>
          <w:sz w:val="24"/>
          <w:szCs w:val="24"/>
        </w:rPr>
      </w:pPr>
      <w:r w:rsidRPr="00111B4E">
        <w:rPr>
          <w:rFonts w:ascii="Palatino Linotype" w:hAnsi="Palatino Linotype"/>
          <w:sz w:val="24"/>
          <w:szCs w:val="24"/>
        </w:rPr>
        <w:t>En virtud de lo anterior, se desprende que los Acuerdos de Reserva deberán de cumplir parámetros de forma y fondo, sin pasar por desapercibido para este Instituto que los Lineamientos Generales de Clasificación y Desclasificación de la Información, así como para la Elaboración de Versiones Públicas en su apartado Quincuagésimo tercero establece que  respecto la información reservada el formato para señalar la clasificación de un documento o expediente que contenga información reservada es un cuadro de clasificación, como se muestra a continuación;</w:t>
      </w:r>
    </w:p>
    <w:p w:rsidR="00D963B2" w:rsidRPr="00111B4E" w:rsidRDefault="00D963B2" w:rsidP="00D963B2">
      <w:pPr>
        <w:spacing w:line="360" w:lineRule="auto"/>
        <w:ind w:left="708" w:hanging="708"/>
        <w:jc w:val="center"/>
        <w:rPr>
          <w:rFonts w:ascii="Palatino Linotype" w:hAnsi="Palatino Linotype"/>
        </w:rPr>
      </w:pPr>
      <w:r w:rsidRPr="00111B4E">
        <w:rPr>
          <w:rFonts w:ascii="Palatino Linotype" w:hAnsi="Palatino Linotype"/>
          <w:noProof/>
          <w:lang w:eastAsia="es-MX"/>
        </w:rPr>
        <w:drawing>
          <wp:inline distT="0" distB="0" distL="0" distR="0" wp14:anchorId="5B94BF5E" wp14:editId="747E5D53">
            <wp:extent cx="4712970" cy="2562045"/>
            <wp:effectExtent l="0" t="0" r="0" b="0"/>
            <wp:docPr id="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8"/>
                    <a:stretch>
                      <a:fillRect/>
                    </a:stretch>
                  </pic:blipFill>
                  <pic:spPr>
                    <a:xfrm>
                      <a:off x="0" y="0"/>
                      <a:ext cx="4724572" cy="2568352"/>
                    </a:xfrm>
                    <a:prstGeom prst="rect">
                      <a:avLst/>
                    </a:prstGeom>
                  </pic:spPr>
                </pic:pic>
              </a:graphicData>
            </a:graphic>
          </wp:inline>
        </w:drawing>
      </w:r>
    </w:p>
    <w:p w:rsidR="00D963B2" w:rsidRPr="00111B4E" w:rsidRDefault="00D963B2" w:rsidP="00D963B2">
      <w:pPr>
        <w:tabs>
          <w:tab w:val="left" w:pos="709"/>
        </w:tabs>
        <w:spacing w:line="360" w:lineRule="auto"/>
        <w:ind w:right="51"/>
        <w:jc w:val="both"/>
        <w:rPr>
          <w:rFonts w:ascii="Palatino Linotype" w:hAnsi="Palatino Linotype"/>
        </w:rPr>
      </w:pPr>
    </w:p>
    <w:p w:rsidR="00D963B2" w:rsidRPr="00111B4E" w:rsidRDefault="00D963B2" w:rsidP="00D963B2">
      <w:pPr>
        <w:tabs>
          <w:tab w:val="left" w:pos="709"/>
        </w:tabs>
        <w:spacing w:line="360" w:lineRule="auto"/>
        <w:ind w:right="51"/>
        <w:jc w:val="both"/>
        <w:rPr>
          <w:rFonts w:ascii="Palatino Linotype" w:hAnsi="Palatino Linotype"/>
          <w:sz w:val="24"/>
          <w:szCs w:val="24"/>
        </w:rPr>
      </w:pPr>
      <w:r w:rsidRPr="00111B4E">
        <w:rPr>
          <w:rFonts w:ascii="Palatino Linotype" w:hAnsi="Palatino Linotype"/>
          <w:sz w:val="24"/>
          <w:szCs w:val="24"/>
        </w:rPr>
        <w:lastRenderedPageBreak/>
        <w:t xml:space="preserve">Por lo que de la respuesta proporcionada por el Sujeto Obligado refiere reservar </w:t>
      </w:r>
      <w:r w:rsidRPr="00111B4E">
        <w:rPr>
          <w:rFonts w:ascii="Palatino Linotype" w:hAnsi="Palatino Linotype"/>
          <w:i/>
          <w:sz w:val="24"/>
          <w:szCs w:val="24"/>
        </w:rPr>
        <w:t>“</w:t>
      </w:r>
      <w:r w:rsidR="00D15D9A" w:rsidRPr="00111B4E">
        <w:rPr>
          <w:rFonts w:ascii="Palatino Linotype" w:eastAsia="Palatino Linotype" w:hAnsi="Palatino Linotype" w:cs="Palatino Linotype"/>
          <w:color w:val="000000"/>
          <w:sz w:val="24"/>
          <w:szCs w:val="24"/>
        </w:rPr>
        <w:t xml:space="preserve">los documentos donde conste, </w:t>
      </w:r>
      <w:r w:rsidR="00D15D9A" w:rsidRPr="00111B4E">
        <w:rPr>
          <w:rFonts w:ascii="Palatino Linotype" w:eastAsia="Palatino Linotype" w:hAnsi="Palatino Linotype" w:cs="Palatino Linotype"/>
          <w:b/>
          <w:color w:val="000000"/>
          <w:sz w:val="24"/>
          <w:szCs w:val="24"/>
        </w:rPr>
        <w:t>la f</w:t>
      </w:r>
      <w:r w:rsidR="00D15D9A" w:rsidRPr="00111B4E">
        <w:rPr>
          <w:rFonts w:ascii="Palatino Linotype" w:hAnsi="Palatino Linotype"/>
          <w:b/>
          <w:color w:val="000000"/>
          <w:sz w:val="24"/>
          <w:szCs w:val="24"/>
        </w:rPr>
        <w:t>recuencia y horario de patrullajes por delegación</w:t>
      </w:r>
      <w:r w:rsidR="00D15D9A" w:rsidRPr="00111B4E">
        <w:rPr>
          <w:rFonts w:ascii="Palatino Linotype" w:hAnsi="Palatino Linotype"/>
          <w:color w:val="000000"/>
          <w:sz w:val="24"/>
          <w:szCs w:val="24"/>
        </w:rPr>
        <w:t xml:space="preserve"> o colonia en el municipio durante los últimos 6 meses, </w:t>
      </w:r>
      <w:r w:rsidR="00D15D9A" w:rsidRPr="00111B4E">
        <w:rPr>
          <w:rFonts w:ascii="Palatino Linotype" w:hAnsi="Palatino Linotype"/>
          <w:b/>
          <w:color w:val="000000"/>
          <w:sz w:val="24"/>
          <w:szCs w:val="24"/>
        </w:rPr>
        <w:t>el número total de elementos operativos</w:t>
      </w:r>
      <w:r w:rsidR="00D15D9A" w:rsidRPr="00111B4E">
        <w:rPr>
          <w:rFonts w:ascii="Palatino Linotype" w:hAnsi="Palatino Linotype"/>
          <w:color w:val="000000"/>
          <w:sz w:val="24"/>
          <w:szCs w:val="24"/>
        </w:rPr>
        <w:t xml:space="preserve"> por turno y por tipo de función (sin datos personales, únicamente estadísticos) así como </w:t>
      </w:r>
      <w:r w:rsidR="00D15D9A" w:rsidRPr="00111B4E">
        <w:rPr>
          <w:rFonts w:ascii="Palatino Linotype" w:hAnsi="Palatino Linotype"/>
          <w:b/>
          <w:color w:val="000000"/>
          <w:sz w:val="24"/>
          <w:szCs w:val="24"/>
        </w:rPr>
        <w:t>el número de unidades patrullas operativas</w:t>
      </w:r>
      <w:r w:rsidR="00D15D9A" w:rsidRPr="00111B4E">
        <w:rPr>
          <w:rFonts w:ascii="Palatino Linotype" w:hAnsi="Palatino Linotype"/>
          <w:color w:val="000000"/>
          <w:sz w:val="24"/>
          <w:szCs w:val="24"/>
        </w:rPr>
        <w:t xml:space="preserve"> y descompuestas, especificando modelo, año, kilometraje estimado y estado mecánico actual</w:t>
      </w:r>
      <w:r w:rsidRPr="00111B4E">
        <w:rPr>
          <w:rFonts w:ascii="Palatino Linotype" w:hAnsi="Palatino Linotype"/>
          <w:i/>
          <w:sz w:val="24"/>
          <w:szCs w:val="24"/>
        </w:rPr>
        <w:t xml:space="preserve">” </w:t>
      </w:r>
      <w:r w:rsidRPr="00111B4E">
        <w:rPr>
          <w:rFonts w:ascii="Palatino Linotype" w:hAnsi="Palatino Linotype"/>
          <w:sz w:val="24"/>
          <w:szCs w:val="24"/>
        </w:rPr>
        <w:t>mediante acuerdo</w:t>
      </w:r>
      <w:r w:rsidR="00D15D9A" w:rsidRPr="00111B4E">
        <w:rPr>
          <w:rFonts w:ascii="Palatino Linotype" w:hAnsi="Palatino Linotype"/>
          <w:sz w:val="24"/>
          <w:szCs w:val="24"/>
        </w:rPr>
        <w:t xml:space="preserve"> de la Quinta Sesión Extraordinaria del Comité de Transparencia por un periodo de dos años y cinco meses</w:t>
      </w:r>
      <w:r w:rsidRPr="00111B4E">
        <w:rPr>
          <w:rFonts w:ascii="Palatino Linotype" w:hAnsi="Palatino Linotype"/>
          <w:sz w:val="24"/>
          <w:szCs w:val="24"/>
        </w:rPr>
        <w:t>, por lo que es de recordarse que los acuerdos de reserva deberán de cumplir parámetros de forma y fondo, los cuales se abordan a continuación;</w:t>
      </w:r>
    </w:p>
    <w:p w:rsidR="00462F1D" w:rsidRPr="00111B4E" w:rsidRDefault="00462F1D" w:rsidP="00462F1D">
      <w:pPr>
        <w:spacing w:after="0" w:line="360" w:lineRule="auto"/>
        <w:jc w:val="both"/>
        <w:rPr>
          <w:rFonts w:ascii="Palatino Linotype" w:hAnsi="Palatino Linotype"/>
          <w:sz w:val="24"/>
          <w:szCs w:val="24"/>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462F1D" w:rsidRPr="00111B4E" w:rsidTr="003445E5">
        <w:trPr>
          <w:trHeight w:val="430"/>
          <w:jc w:val="center"/>
        </w:trPr>
        <w:tc>
          <w:tcPr>
            <w:tcW w:w="1980" w:type="dxa"/>
            <w:shd w:val="clear" w:color="auto" w:fill="AEAAAA" w:themeFill="background2" w:themeFillShade="BF"/>
          </w:tcPr>
          <w:p w:rsidR="00462F1D" w:rsidRPr="00111B4E" w:rsidRDefault="00462F1D" w:rsidP="003445E5">
            <w:pPr>
              <w:spacing w:line="360" w:lineRule="auto"/>
              <w:jc w:val="both"/>
              <w:rPr>
                <w:rFonts w:ascii="Palatino Linotype" w:hAnsi="Palatino Linotype"/>
              </w:rPr>
            </w:pPr>
          </w:p>
        </w:tc>
        <w:tc>
          <w:tcPr>
            <w:tcW w:w="2410" w:type="dxa"/>
            <w:shd w:val="clear" w:color="auto" w:fill="AEAAAA" w:themeFill="background2" w:themeFillShade="BF"/>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Cumplió</w:t>
            </w:r>
          </w:p>
        </w:tc>
        <w:tc>
          <w:tcPr>
            <w:tcW w:w="5244" w:type="dxa"/>
            <w:shd w:val="clear" w:color="auto" w:fill="AEAAAA" w:themeFill="background2" w:themeFillShade="BF"/>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Contenido</w:t>
            </w:r>
          </w:p>
        </w:tc>
      </w:tr>
      <w:tr w:rsidR="00462F1D" w:rsidRPr="00111B4E" w:rsidTr="003445E5">
        <w:trPr>
          <w:trHeight w:val="95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 xml:space="preserve">Número de Folio </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SI</w:t>
            </w:r>
          </w:p>
        </w:tc>
        <w:tc>
          <w:tcPr>
            <w:tcW w:w="5244" w:type="dxa"/>
          </w:tcPr>
          <w:p w:rsidR="00462F1D" w:rsidRPr="00111B4E" w:rsidRDefault="00974CF3" w:rsidP="003445E5">
            <w:pPr>
              <w:spacing w:line="360" w:lineRule="auto"/>
              <w:jc w:val="both"/>
              <w:rPr>
                <w:rFonts w:ascii="Palatino Linotype" w:hAnsi="Palatino Linotype"/>
              </w:rPr>
            </w:pPr>
            <w:r w:rsidRPr="00111B4E">
              <w:rPr>
                <w:rFonts w:ascii="Palatino Linotype" w:hAnsi="Palatino Linotype"/>
                <w:noProof/>
                <w:lang w:eastAsia="es-MX"/>
              </w:rPr>
              <w:drawing>
                <wp:inline distT="0" distB="0" distL="0" distR="0" wp14:anchorId="392F19B7" wp14:editId="2F24D9CE">
                  <wp:extent cx="3192780" cy="44527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4278" cy="446876"/>
                          </a:xfrm>
                          <a:prstGeom prst="rect">
                            <a:avLst/>
                          </a:prstGeom>
                        </pic:spPr>
                      </pic:pic>
                    </a:graphicData>
                  </a:graphic>
                </wp:inline>
              </w:drawing>
            </w:r>
          </w:p>
        </w:tc>
      </w:tr>
      <w:tr w:rsidR="00462F1D" w:rsidRPr="00111B4E" w:rsidTr="003445E5">
        <w:trPr>
          <w:trHeight w:val="952"/>
          <w:jc w:val="center"/>
        </w:trPr>
        <w:tc>
          <w:tcPr>
            <w:tcW w:w="198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Referencia de la información solicitada</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SI</w:t>
            </w:r>
          </w:p>
        </w:tc>
        <w:tc>
          <w:tcPr>
            <w:tcW w:w="5244" w:type="dxa"/>
          </w:tcPr>
          <w:p w:rsidR="00462F1D" w:rsidRPr="00111B4E" w:rsidRDefault="00974CF3" w:rsidP="003445E5">
            <w:pPr>
              <w:spacing w:line="360" w:lineRule="auto"/>
              <w:jc w:val="center"/>
              <w:rPr>
                <w:rFonts w:ascii="Palatino Linotype" w:hAnsi="Palatino Linotype"/>
              </w:rPr>
            </w:pPr>
            <w:r w:rsidRPr="00111B4E">
              <w:rPr>
                <w:rFonts w:ascii="Palatino Linotype" w:hAnsi="Palatino Linotype"/>
                <w:noProof/>
                <w:lang w:eastAsia="es-MX"/>
              </w:rPr>
              <w:drawing>
                <wp:inline distT="0" distB="0" distL="0" distR="0" wp14:anchorId="40056F47" wp14:editId="5A7C80D4">
                  <wp:extent cx="3192780" cy="13188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2780" cy="1318895"/>
                          </a:xfrm>
                          <a:prstGeom prst="rect">
                            <a:avLst/>
                          </a:prstGeom>
                        </pic:spPr>
                      </pic:pic>
                    </a:graphicData>
                  </a:graphic>
                </wp:inline>
              </w:drawing>
            </w:r>
          </w:p>
        </w:tc>
      </w:tr>
      <w:tr w:rsidR="00462F1D" w:rsidRPr="00111B4E" w:rsidTr="003445E5">
        <w:trPr>
          <w:trHeight w:val="952"/>
          <w:jc w:val="center"/>
        </w:trPr>
        <w:tc>
          <w:tcPr>
            <w:tcW w:w="198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 xml:space="preserve">Causal aplicable del artículo 112 de la Ley General, vinculándola con </w:t>
            </w:r>
            <w:r w:rsidRPr="00111B4E">
              <w:rPr>
                <w:rFonts w:ascii="Palatino Linotype" w:hAnsi="Palatino Linotype"/>
              </w:rPr>
              <w:lastRenderedPageBreak/>
              <w:t>el Lineamiento específico del presente ordenamiento y, cuando corresponda, el supuesto normativo que expresamente le otorga el carácter de información reservada</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lastRenderedPageBreak/>
              <w:t>NO</w:t>
            </w:r>
          </w:p>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 xml:space="preserve">El Sujeto Obligado refiere el artículo 113 de la Ley General en </w:t>
            </w:r>
            <w:r w:rsidRPr="00111B4E">
              <w:rPr>
                <w:rFonts w:ascii="Palatino Linotype" w:hAnsi="Palatino Linotype"/>
              </w:rPr>
              <w:lastRenderedPageBreak/>
              <w:t>materia de Transparencia abrogada.</w:t>
            </w:r>
          </w:p>
        </w:tc>
        <w:tc>
          <w:tcPr>
            <w:tcW w:w="5244" w:type="dxa"/>
          </w:tcPr>
          <w:p w:rsidR="00462F1D" w:rsidRPr="00111B4E" w:rsidRDefault="00462F1D" w:rsidP="003445E5">
            <w:pPr>
              <w:spacing w:line="360" w:lineRule="auto"/>
              <w:jc w:val="both"/>
              <w:rPr>
                <w:rFonts w:ascii="Palatino Linotype" w:hAnsi="Palatino Linotype"/>
              </w:rPr>
            </w:pPr>
          </w:p>
          <w:p w:rsidR="00462F1D" w:rsidRPr="00111B4E" w:rsidRDefault="00462F1D" w:rsidP="003445E5">
            <w:pPr>
              <w:spacing w:line="360" w:lineRule="auto"/>
              <w:jc w:val="both"/>
              <w:rPr>
                <w:rFonts w:ascii="Palatino Linotype" w:hAnsi="Palatino Linotype"/>
              </w:rPr>
            </w:pPr>
          </w:p>
          <w:p w:rsidR="00462F1D" w:rsidRPr="00111B4E" w:rsidRDefault="00974CF3" w:rsidP="003445E5">
            <w:pPr>
              <w:spacing w:line="360" w:lineRule="auto"/>
              <w:jc w:val="both"/>
              <w:rPr>
                <w:rFonts w:ascii="Palatino Linotype" w:hAnsi="Palatino Linotype"/>
              </w:rPr>
            </w:pPr>
            <w:r w:rsidRPr="00111B4E">
              <w:rPr>
                <w:rFonts w:ascii="Palatino Linotype" w:hAnsi="Palatino Linotype"/>
                <w:noProof/>
                <w:lang w:eastAsia="es-MX"/>
              </w:rPr>
              <w:lastRenderedPageBreak/>
              <w:drawing>
                <wp:inline distT="0" distB="0" distL="0" distR="0" wp14:anchorId="48048384" wp14:editId="1073241B">
                  <wp:extent cx="3192780" cy="1860606"/>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2742" cy="1866411"/>
                          </a:xfrm>
                          <a:prstGeom prst="rect">
                            <a:avLst/>
                          </a:prstGeom>
                        </pic:spPr>
                      </pic:pic>
                    </a:graphicData>
                  </a:graphic>
                </wp:inline>
              </w:drawing>
            </w:r>
          </w:p>
        </w:tc>
      </w:tr>
      <w:tr w:rsidR="00462F1D" w:rsidRPr="00111B4E" w:rsidTr="003445E5">
        <w:trPr>
          <w:trHeight w:val="95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lastRenderedPageBreak/>
              <w:t>Fundamento y Motivación Legal</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NO</w:t>
            </w:r>
          </w:p>
          <w:p w:rsidR="00462F1D" w:rsidRPr="00111B4E" w:rsidRDefault="00462F1D" w:rsidP="003445E5">
            <w:pPr>
              <w:spacing w:line="360" w:lineRule="auto"/>
              <w:rPr>
                <w:rFonts w:ascii="Palatino Linotype" w:hAnsi="Palatino Linotype"/>
              </w:rPr>
            </w:pPr>
          </w:p>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El Sujeto Obligado refiere el artículo 113 de la Ley General en materia de Transparencia abrogada.</w:t>
            </w:r>
          </w:p>
        </w:tc>
        <w:tc>
          <w:tcPr>
            <w:tcW w:w="5244" w:type="dxa"/>
          </w:tcPr>
          <w:p w:rsidR="00462F1D" w:rsidRPr="00111B4E" w:rsidRDefault="00462F1D" w:rsidP="003445E5">
            <w:pPr>
              <w:spacing w:line="360" w:lineRule="auto"/>
              <w:jc w:val="both"/>
              <w:rPr>
                <w:rFonts w:ascii="Palatino Linotype" w:hAnsi="Palatino Linotype"/>
              </w:rPr>
            </w:pPr>
          </w:p>
          <w:p w:rsidR="00462F1D" w:rsidRPr="00111B4E" w:rsidRDefault="005B05C2" w:rsidP="003445E5">
            <w:pPr>
              <w:spacing w:line="360" w:lineRule="auto"/>
              <w:jc w:val="both"/>
              <w:rPr>
                <w:rFonts w:ascii="Palatino Linotype" w:hAnsi="Palatino Linotype"/>
              </w:rPr>
            </w:pPr>
            <w:r w:rsidRPr="00111B4E">
              <w:rPr>
                <w:rFonts w:ascii="Palatino Linotype" w:hAnsi="Palatino Linotype"/>
                <w:noProof/>
                <w:lang w:eastAsia="es-MX"/>
              </w:rPr>
              <w:drawing>
                <wp:inline distT="0" distB="0" distL="0" distR="0" wp14:anchorId="6A3D7EED" wp14:editId="6A3AC3A3">
                  <wp:extent cx="3192780" cy="1160891"/>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421" cy="1162942"/>
                          </a:xfrm>
                          <a:prstGeom prst="rect">
                            <a:avLst/>
                          </a:prstGeom>
                        </pic:spPr>
                      </pic:pic>
                    </a:graphicData>
                  </a:graphic>
                </wp:inline>
              </w:drawing>
            </w:r>
          </w:p>
          <w:p w:rsidR="00462F1D" w:rsidRPr="00111B4E" w:rsidRDefault="00462F1D" w:rsidP="003445E5">
            <w:pPr>
              <w:spacing w:line="360" w:lineRule="auto"/>
              <w:jc w:val="both"/>
              <w:rPr>
                <w:rFonts w:ascii="Palatino Linotype" w:hAnsi="Palatino Linotype"/>
              </w:rPr>
            </w:pPr>
          </w:p>
        </w:tc>
      </w:tr>
      <w:tr w:rsidR="00462F1D" w:rsidRPr="00111B4E" w:rsidTr="003445E5">
        <w:trPr>
          <w:trHeight w:val="95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 xml:space="preserve">Conexión entre los fundamentos y motivos que dieron origen a la </w:t>
            </w:r>
            <w:r w:rsidRPr="00111B4E">
              <w:rPr>
                <w:rFonts w:ascii="Palatino Linotype" w:hAnsi="Palatino Linotype"/>
              </w:rPr>
              <w:lastRenderedPageBreak/>
              <w:t>Reserva de la información</w:t>
            </w:r>
          </w:p>
        </w:tc>
        <w:tc>
          <w:tcPr>
            <w:tcW w:w="2410" w:type="dxa"/>
          </w:tcPr>
          <w:p w:rsidR="00462F1D" w:rsidRPr="00111B4E" w:rsidRDefault="005B05C2" w:rsidP="003445E5">
            <w:pPr>
              <w:spacing w:line="360" w:lineRule="auto"/>
              <w:jc w:val="center"/>
              <w:rPr>
                <w:rFonts w:ascii="Palatino Linotype" w:hAnsi="Palatino Linotype"/>
              </w:rPr>
            </w:pPr>
            <w:r w:rsidRPr="00111B4E">
              <w:rPr>
                <w:rFonts w:ascii="Palatino Linotype" w:hAnsi="Palatino Linotype"/>
              </w:rPr>
              <w:lastRenderedPageBreak/>
              <w:t>NO</w:t>
            </w:r>
          </w:p>
          <w:p w:rsidR="00462F1D" w:rsidRPr="00111B4E" w:rsidRDefault="005B05C2" w:rsidP="003445E5">
            <w:pPr>
              <w:spacing w:line="360" w:lineRule="auto"/>
              <w:jc w:val="both"/>
              <w:rPr>
                <w:rFonts w:ascii="Palatino Linotype" w:hAnsi="Palatino Linotype"/>
              </w:rPr>
            </w:pPr>
            <w:r w:rsidRPr="00111B4E">
              <w:rPr>
                <w:rFonts w:ascii="Palatino Linotype" w:hAnsi="Palatino Linotype"/>
              </w:rPr>
              <w:t xml:space="preserve">El Sujeto Obligado fue omiso en establecer una argumentación </w:t>
            </w:r>
            <w:r w:rsidRPr="00111B4E">
              <w:rPr>
                <w:rFonts w:ascii="Palatino Linotype" w:hAnsi="Palatino Linotype"/>
              </w:rPr>
              <w:lastRenderedPageBreak/>
              <w:t>lógica jurídica que permitieran advertir la procedencia de la causal de reserva de la información.</w:t>
            </w:r>
          </w:p>
        </w:tc>
        <w:tc>
          <w:tcPr>
            <w:tcW w:w="5244" w:type="dxa"/>
          </w:tcPr>
          <w:p w:rsidR="00462F1D" w:rsidRPr="00111B4E" w:rsidRDefault="00462F1D" w:rsidP="003445E5">
            <w:pPr>
              <w:spacing w:line="360" w:lineRule="auto"/>
              <w:jc w:val="both"/>
              <w:rPr>
                <w:rFonts w:ascii="Palatino Linotype" w:hAnsi="Palatino Linotype"/>
              </w:rPr>
            </w:pPr>
          </w:p>
        </w:tc>
      </w:tr>
      <w:tr w:rsidR="00462F1D" w:rsidRPr="00111B4E" w:rsidTr="003445E5">
        <w:trPr>
          <w:trHeight w:val="283"/>
          <w:jc w:val="center"/>
        </w:trPr>
        <w:tc>
          <w:tcPr>
            <w:tcW w:w="9634" w:type="dxa"/>
            <w:gridSpan w:val="3"/>
            <w:shd w:val="clear" w:color="auto" w:fill="AEAAAA" w:themeFill="background2" w:themeFillShade="BF"/>
          </w:tcPr>
          <w:p w:rsidR="00462F1D" w:rsidRPr="00111B4E" w:rsidRDefault="00462F1D" w:rsidP="003445E5">
            <w:pPr>
              <w:spacing w:line="360" w:lineRule="auto"/>
              <w:jc w:val="center"/>
              <w:rPr>
                <w:rFonts w:ascii="Palatino Linotype" w:hAnsi="Palatino Linotype"/>
                <w:b/>
              </w:rPr>
            </w:pPr>
            <w:r w:rsidRPr="00111B4E">
              <w:rPr>
                <w:rFonts w:ascii="Palatino Linotype" w:hAnsi="Palatino Linotype"/>
                <w:b/>
              </w:rPr>
              <w:t>PRUEBA DE DAÑO</w:t>
            </w:r>
          </w:p>
        </w:tc>
      </w:tr>
      <w:tr w:rsidR="00462F1D" w:rsidRPr="00111B4E" w:rsidTr="003445E5">
        <w:trPr>
          <w:trHeight w:val="580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Riesgo Real, Demostrable e Identificable (Modo, Tiempo y Lugar</w:t>
            </w:r>
          </w:p>
        </w:tc>
        <w:tc>
          <w:tcPr>
            <w:tcW w:w="2410" w:type="dxa"/>
          </w:tcPr>
          <w:p w:rsidR="005B05C2" w:rsidRPr="00111B4E" w:rsidRDefault="005B05C2" w:rsidP="005B05C2">
            <w:pPr>
              <w:spacing w:line="360" w:lineRule="auto"/>
              <w:jc w:val="center"/>
              <w:rPr>
                <w:rFonts w:ascii="Palatino Linotype" w:hAnsi="Palatino Linotype"/>
              </w:rPr>
            </w:pPr>
            <w:r w:rsidRPr="00111B4E">
              <w:rPr>
                <w:rFonts w:ascii="Palatino Linotype" w:hAnsi="Palatino Linotype"/>
              </w:rPr>
              <w:t>NO</w:t>
            </w:r>
          </w:p>
          <w:p w:rsidR="005B05C2" w:rsidRPr="00111B4E" w:rsidRDefault="005B05C2" w:rsidP="003445E5">
            <w:pPr>
              <w:spacing w:line="360" w:lineRule="auto"/>
              <w:jc w:val="both"/>
              <w:rPr>
                <w:rFonts w:ascii="Palatino Linotype" w:hAnsi="Palatino Linotype"/>
              </w:rPr>
            </w:pPr>
          </w:p>
          <w:p w:rsidR="00462F1D" w:rsidRPr="00111B4E" w:rsidRDefault="00462F1D" w:rsidP="005B05C2">
            <w:pPr>
              <w:spacing w:line="360" w:lineRule="auto"/>
              <w:jc w:val="both"/>
              <w:rPr>
                <w:rFonts w:ascii="Palatino Linotype" w:hAnsi="Palatino Linotype"/>
              </w:rPr>
            </w:pPr>
            <w:r w:rsidRPr="00111B4E">
              <w:rPr>
                <w:rFonts w:ascii="Palatino Linotype" w:hAnsi="Palatino Linotype"/>
              </w:rPr>
              <w:t xml:space="preserve">El Sujeto Obligado refiere que divulgar la información puede </w:t>
            </w:r>
            <w:r w:rsidR="005B05C2" w:rsidRPr="00111B4E">
              <w:rPr>
                <w:rFonts w:ascii="Palatino Linotype" w:hAnsi="Palatino Linotype"/>
              </w:rPr>
              <w:t>comprometer la integridad de las estrategias de patrullaje sin embargo no realizó una argumentación lógica jurídica en modo, tiempo y lugar que permitieran advertir la procedencia de la causal de reserva de la información.</w:t>
            </w:r>
          </w:p>
        </w:tc>
        <w:tc>
          <w:tcPr>
            <w:tcW w:w="5244" w:type="dxa"/>
          </w:tcPr>
          <w:p w:rsidR="005B05C2" w:rsidRPr="00111B4E" w:rsidRDefault="005B05C2" w:rsidP="003445E5">
            <w:pPr>
              <w:spacing w:line="360" w:lineRule="auto"/>
              <w:rPr>
                <w:rFonts w:ascii="Palatino Linotype" w:hAnsi="Palatino Linotype"/>
                <w:noProof/>
                <w:lang w:eastAsia="es-MX"/>
              </w:rPr>
            </w:pPr>
          </w:p>
          <w:p w:rsidR="00462F1D" w:rsidRPr="00111B4E" w:rsidRDefault="00462F1D" w:rsidP="003445E5">
            <w:pPr>
              <w:spacing w:line="360" w:lineRule="auto"/>
              <w:rPr>
                <w:rFonts w:ascii="Palatino Linotype" w:hAnsi="Palatino Linotype"/>
              </w:rPr>
            </w:pPr>
          </w:p>
          <w:p w:rsidR="00462F1D" w:rsidRPr="00111B4E" w:rsidRDefault="00462F1D" w:rsidP="003445E5">
            <w:pPr>
              <w:spacing w:line="360" w:lineRule="auto"/>
              <w:rPr>
                <w:rFonts w:ascii="Palatino Linotype" w:hAnsi="Palatino Linotype"/>
              </w:rPr>
            </w:pPr>
          </w:p>
          <w:p w:rsidR="00462F1D" w:rsidRPr="00111B4E" w:rsidRDefault="00462F1D" w:rsidP="003445E5">
            <w:pPr>
              <w:spacing w:line="360" w:lineRule="auto"/>
              <w:rPr>
                <w:rFonts w:ascii="Palatino Linotype" w:hAnsi="Palatino Linotype"/>
              </w:rPr>
            </w:pPr>
          </w:p>
          <w:p w:rsidR="00462F1D" w:rsidRPr="00111B4E" w:rsidRDefault="00462F1D" w:rsidP="003445E5">
            <w:pPr>
              <w:rPr>
                <w:rFonts w:ascii="Palatino Linotype" w:hAnsi="Palatino Linotype"/>
              </w:rPr>
            </w:pPr>
          </w:p>
          <w:p w:rsidR="00462F1D" w:rsidRPr="00111B4E" w:rsidRDefault="00462F1D" w:rsidP="003445E5">
            <w:pPr>
              <w:rPr>
                <w:rFonts w:ascii="Palatino Linotype" w:hAnsi="Palatino Linotype"/>
              </w:rPr>
            </w:pPr>
          </w:p>
        </w:tc>
      </w:tr>
      <w:tr w:rsidR="00462F1D" w:rsidRPr="00111B4E" w:rsidTr="003445E5">
        <w:trPr>
          <w:trHeight w:val="95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lastRenderedPageBreak/>
              <w:t>Temporalidad de la Reserva de la información</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SI</w:t>
            </w:r>
          </w:p>
        </w:tc>
        <w:tc>
          <w:tcPr>
            <w:tcW w:w="5244" w:type="dxa"/>
          </w:tcPr>
          <w:p w:rsidR="00462F1D" w:rsidRPr="00111B4E" w:rsidRDefault="005B05C2" w:rsidP="003445E5">
            <w:pPr>
              <w:spacing w:line="360" w:lineRule="auto"/>
              <w:jc w:val="both"/>
              <w:rPr>
                <w:rFonts w:ascii="Palatino Linotype" w:hAnsi="Palatino Linotype"/>
              </w:rPr>
            </w:pPr>
            <w:r w:rsidRPr="00111B4E">
              <w:rPr>
                <w:rFonts w:ascii="Palatino Linotype" w:hAnsi="Palatino Linotype"/>
                <w:noProof/>
                <w:lang w:eastAsia="es-MX"/>
              </w:rPr>
              <w:drawing>
                <wp:inline distT="0" distB="0" distL="0" distR="0" wp14:anchorId="693BF385" wp14:editId="51FE4F91">
                  <wp:extent cx="3192780" cy="7620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780" cy="762000"/>
                          </a:xfrm>
                          <a:prstGeom prst="rect">
                            <a:avLst/>
                          </a:prstGeom>
                        </pic:spPr>
                      </pic:pic>
                    </a:graphicData>
                  </a:graphic>
                </wp:inline>
              </w:drawing>
            </w:r>
          </w:p>
        </w:tc>
      </w:tr>
      <w:tr w:rsidR="00462F1D" w:rsidRPr="00111B4E" w:rsidTr="003445E5">
        <w:trPr>
          <w:trHeight w:val="952"/>
          <w:jc w:val="center"/>
        </w:trPr>
        <w:tc>
          <w:tcPr>
            <w:tcW w:w="1980" w:type="dxa"/>
          </w:tcPr>
          <w:p w:rsidR="00462F1D" w:rsidRPr="00111B4E" w:rsidRDefault="00462F1D" w:rsidP="003445E5">
            <w:pPr>
              <w:spacing w:line="360" w:lineRule="auto"/>
              <w:jc w:val="both"/>
              <w:rPr>
                <w:rFonts w:ascii="Palatino Linotype" w:hAnsi="Palatino Linotype"/>
              </w:rPr>
            </w:pPr>
            <w:r w:rsidRPr="00111B4E">
              <w:rPr>
                <w:rFonts w:ascii="Palatino Linotype" w:hAnsi="Palatino Linotype"/>
              </w:rPr>
              <w:t>Autoridades competentes</w:t>
            </w:r>
          </w:p>
        </w:tc>
        <w:tc>
          <w:tcPr>
            <w:tcW w:w="2410" w:type="dxa"/>
          </w:tcPr>
          <w:p w:rsidR="00462F1D" w:rsidRPr="00111B4E" w:rsidRDefault="00462F1D" w:rsidP="003445E5">
            <w:pPr>
              <w:spacing w:line="360" w:lineRule="auto"/>
              <w:jc w:val="center"/>
              <w:rPr>
                <w:rFonts w:ascii="Palatino Linotype" w:hAnsi="Palatino Linotype"/>
              </w:rPr>
            </w:pPr>
            <w:r w:rsidRPr="00111B4E">
              <w:rPr>
                <w:rFonts w:ascii="Palatino Linotype" w:hAnsi="Palatino Linotype"/>
              </w:rPr>
              <w:t>SI</w:t>
            </w:r>
          </w:p>
        </w:tc>
        <w:tc>
          <w:tcPr>
            <w:tcW w:w="5244" w:type="dxa"/>
          </w:tcPr>
          <w:p w:rsidR="00462F1D" w:rsidRPr="00111B4E" w:rsidRDefault="005B05C2" w:rsidP="003445E5">
            <w:pPr>
              <w:spacing w:line="360" w:lineRule="auto"/>
              <w:jc w:val="center"/>
              <w:rPr>
                <w:rFonts w:ascii="Palatino Linotype" w:hAnsi="Palatino Linotype"/>
              </w:rPr>
            </w:pPr>
            <w:r w:rsidRPr="00111B4E">
              <w:rPr>
                <w:rFonts w:ascii="Palatino Linotype" w:hAnsi="Palatino Linotype"/>
                <w:noProof/>
                <w:lang w:eastAsia="es-MX"/>
              </w:rPr>
              <w:drawing>
                <wp:inline distT="0" distB="0" distL="0" distR="0" wp14:anchorId="4DED3C50" wp14:editId="36BA9115">
                  <wp:extent cx="3192780" cy="15513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780" cy="1551305"/>
                          </a:xfrm>
                          <a:prstGeom prst="rect">
                            <a:avLst/>
                          </a:prstGeom>
                        </pic:spPr>
                      </pic:pic>
                    </a:graphicData>
                  </a:graphic>
                </wp:inline>
              </w:drawing>
            </w:r>
          </w:p>
        </w:tc>
      </w:tr>
    </w:tbl>
    <w:p w:rsidR="00462F1D" w:rsidRPr="00111B4E" w:rsidRDefault="00462F1D" w:rsidP="00462F1D">
      <w:pPr>
        <w:spacing w:after="0" w:line="360" w:lineRule="auto"/>
        <w:jc w:val="both"/>
        <w:rPr>
          <w:rFonts w:ascii="Palatino Linotype" w:hAnsi="Palatino Linotype"/>
          <w:sz w:val="24"/>
          <w:szCs w:val="24"/>
        </w:rPr>
      </w:pPr>
    </w:p>
    <w:p w:rsidR="00462F1D" w:rsidRPr="00111B4E" w:rsidRDefault="00462F1D" w:rsidP="00462F1D">
      <w:pPr>
        <w:spacing w:after="0" w:line="360" w:lineRule="auto"/>
        <w:jc w:val="both"/>
        <w:rPr>
          <w:rFonts w:ascii="Palatino Linotype" w:hAnsi="Palatino Linotype"/>
          <w:i/>
        </w:rPr>
      </w:pPr>
      <w:r w:rsidRPr="00111B4E">
        <w:rPr>
          <w:rFonts w:ascii="Palatino Linotype" w:hAnsi="Palatino Linotype"/>
          <w:sz w:val="24"/>
          <w:szCs w:val="24"/>
        </w:rPr>
        <w:t>Con base en lo anteriormente expuesto,</w:t>
      </w:r>
      <w:r w:rsidRPr="00111B4E">
        <w:rPr>
          <w:rFonts w:ascii="Palatino Linotype" w:hAnsi="Palatino Linotype" w:cs="Arial"/>
          <w:sz w:val="24"/>
          <w:szCs w:val="24"/>
        </w:rPr>
        <w:t xml:space="preserve"> es de recordarse que la causal de clasificación fue la fracción establecida con </w:t>
      </w:r>
      <w:r w:rsidRPr="00111B4E">
        <w:rPr>
          <w:rFonts w:ascii="Palatino Linotype" w:hAnsi="Palatino Linotype" w:cs="Tahoma"/>
          <w:iCs/>
          <w:sz w:val="24"/>
          <w:szCs w:val="24"/>
        </w:rPr>
        <w:t>el</w:t>
      </w:r>
      <w:r w:rsidRPr="00111B4E">
        <w:rPr>
          <w:rFonts w:ascii="Palatino Linotype" w:hAnsi="Palatino Linotype" w:cs="Tahoma"/>
          <w:b/>
          <w:iCs/>
          <w:sz w:val="24"/>
          <w:szCs w:val="24"/>
        </w:rPr>
        <w:t xml:space="preserve"> </w:t>
      </w:r>
      <w:r w:rsidRPr="00111B4E">
        <w:rPr>
          <w:rFonts w:ascii="Palatino Linotype" w:hAnsi="Palatino Linotype" w:cs="Tahoma"/>
          <w:iCs/>
          <w:sz w:val="24"/>
          <w:szCs w:val="24"/>
        </w:rPr>
        <w:t xml:space="preserve">artículo 140, </w:t>
      </w:r>
      <w:r w:rsidR="00460327" w:rsidRPr="00111B4E">
        <w:rPr>
          <w:rFonts w:ascii="Palatino Linotype" w:hAnsi="Palatino Linotype" w:cs="Tahoma"/>
          <w:iCs/>
          <w:sz w:val="24"/>
          <w:szCs w:val="24"/>
        </w:rPr>
        <w:t>fracciones I, IV, VI, XI</w:t>
      </w:r>
      <w:r w:rsidRPr="00111B4E">
        <w:rPr>
          <w:rFonts w:ascii="Palatino Linotype" w:hAnsi="Palatino Linotype" w:cs="Tahoma"/>
          <w:iCs/>
          <w:sz w:val="24"/>
          <w:szCs w:val="24"/>
        </w:rPr>
        <w:t xml:space="preserve"> de la Ley de Transparencia y Acceso a la Información Pública del Estado de México y Municipios, prevé lo siguiente:</w:t>
      </w:r>
    </w:p>
    <w:p w:rsidR="00462F1D" w:rsidRPr="00111B4E" w:rsidRDefault="00462F1D" w:rsidP="00462F1D">
      <w:pPr>
        <w:spacing w:line="360" w:lineRule="auto"/>
        <w:ind w:left="851" w:right="900"/>
        <w:jc w:val="both"/>
        <w:rPr>
          <w:rFonts w:ascii="Palatino Linotype" w:hAnsi="Palatino Linotype" w:cs="Tahoma"/>
          <w:i/>
          <w:iCs/>
        </w:rPr>
      </w:pPr>
      <w:r w:rsidRPr="00111B4E">
        <w:rPr>
          <w:rFonts w:ascii="Palatino Linotype" w:hAnsi="Palatino Linotype" w:cs="Tahoma"/>
          <w:i/>
          <w:iCs/>
        </w:rPr>
        <w:t>“</w:t>
      </w:r>
      <w:r w:rsidRPr="00111B4E">
        <w:rPr>
          <w:rFonts w:ascii="Palatino Linotype" w:hAnsi="Palatino Linotype" w:cs="Tahoma"/>
          <w:b/>
          <w:i/>
          <w:iCs/>
        </w:rPr>
        <w:t>Artículo 140.</w:t>
      </w:r>
      <w:r w:rsidRPr="00111B4E">
        <w:rPr>
          <w:rFonts w:ascii="Palatino Linotype" w:hAnsi="Palatino Linotype" w:cs="Tahoma"/>
          <w:i/>
          <w:iCs/>
        </w:rPr>
        <w:t xml:space="preserve"> El acceso a la información pública será restringido excepcionalmente, cuando por razones de interés público, ésta sea clasificada como reservada, conforme a los criterios siguientes: </w:t>
      </w:r>
    </w:p>
    <w:p w:rsidR="00460327" w:rsidRPr="00111B4E" w:rsidRDefault="00460327" w:rsidP="00462F1D">
      <w:pPr>
        <w:spacing w:line="360" w:lineRule="auto"/>
        <w:ind w:left="851" w:right="900"/>
        <w:contextualSpacing/>
        <w:jc w:val="both"/>
        <w:rPr>
          <w:rFonts w:ascii="Palatino Linotype" w:hAnsi="Palatino Linotype"/>
          <w:i/>
        </w:rPr>
      </w:pPr>
      <w:r w:rsidRPr="00111B4E">
        <w:rPr>
          <w:rFonts w:ascii="Palatino Linotype" w:hAnsi="Palatino Linotype"/>
          <w:i/>
        </w:rPr>
        <w:t xml:space="preserve">I. Comprometa la seguridad pública y cuente con un propósito genuino y un efecto demostrable; </w:t>
      </w:r>
    </w:p>
    <w:p w:rsidR="00460327" w:rsidRPr="00111B4E" w:rsidRDefault="00460327" w:rsidP="00462F1D">
      <w:pPr>
        <w:spacing w:line="360" w:lineRule="auto"/>
        <w:ind w:left="851" w:right="900"/>
        <w:contextualSpacing/>
        <w:jc w:val="both"/>
        <w:rPr>
          <w:rFonts w:ascii="Palatino Linotype" w:hAnsi="Palatino Linotype"/>
          <w:i/>
        </w:rPr>
      </w:pPr>
      <w:r w:rsidRPr="00111B4E">
        <w:rPr>
          <w:rFonts w:ascii="Palatino Linotype" w:hAnsi="Palatino Linotype"/>
          <w:i/>
        </w:rPr>
        <w:t>…</w:t>
      </w:r>
    </w:p>
    <w:p w:rsidR="00460327" w:rsidRPr="00111B4E" w:rsidRDefault="00460327" w:rsidP="00462F1D">
      <w:pPr>
        <w:spacing w:line="360" w:lineRule="auto"/>
        <w:ind w:left="851" w:right="900"/>
        <w:contextualSpacing/>
        <w:jc w:val="both"/>
        <w:rPr>
          <w:rFonts w:ascii="Palatino Linotype" w:hAnsi="Palatino Linotype" w:cs="Tahoma"/>
          <w:i/>
          <w:iCs/>
        </w:rPr>
      </w:pPr>
      <w:r w:rsidRPr="00111B4E">
        <w:rPr>
          <w:rFonts w:ascii="Palatino Linotype" w:hAnsi="Palatino Linotype"/>
          <w:i/>
        </w:rPr>
        <w:t>IV. Ponga en riesgo la vida, la seguridad o la salud de una persona física;</w:t>
      </w:r>
    </w:p>
    <w:p w:rsidR="00460327" w:rsidRPr="00111B4E" w:rsidRDefault="00460327" w:rsidP="00462F1D">
      <w:pPr>
        <w:spacing w:line="360" w:lineRule="auto"/>
        <w:ind w:left="851" w:right="900"/>
        <w:contextualSpacing/>
        <w:jc w:val="both"/>
        <w:rPr>
          <w:rFonts w:ascii="Palatino Linotype" w:hAnsi="Palatino Linotype" w:cs="Tahoma"/>
          <w:i/>
          <w:iCs/>
        </w:rPr>
      </w:pPr>
      <w:r w:rsidRPr="00111B4E">
        <w:rPr>
          <w:rFonts w:ascii="Palatino Linotype" w:hAnsi="Palatino Linotype" w:cs="Tahoma"/>
          <w:i/>
          <w:iCs/>
        </w:rPr>
        <w:t>..</w:t>
      </w:r>
    </w:p>
    <w:p w:rsidR="00460327" w:rsidRPr="00111B4E" w:rsidRDefault="00460327" w:rsidP="00462F1D">
      <w:pPr>
        <w:spacing w:line="360" w:lineRule="auto"/>
        <w:ind w:left="851" w:right="900"/>
        <w:contextualSpacing/>
        <w:jc w:val="both"/>
        <w:rPr>
          <w:rFonts w:ascii="Palatino Linotype" w:hAnsi="Palatino Linotype"/>
          <w:i/>
        </w:rPr>
      </w:pPr>
      <w:r w:rsidRPr="00111B4E">
        <w:rPr>
          <w:rFonts w:ascii="Palatino Linotype" w:hAnsi="Palatino Linotype"/>
          <w:i/>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460327" w:rsidRPr="00111B4E" w:rsidRDefault="00460327" w:rsidP="00462F1D">
      <w:pPr>
        <w:spacing w:line="360" w:lineRule="auto"/>
        <w:ind w:left="851" w:right="900"/>
        <w:contextualSpacing/>
        <w:jc w:val="both"/>
        <w:rPr>
          <w:rFonts w:ascii="Palatino Linotype" w:hAnsi="Palatino Linotype"/>
          <w:i/>
        </w:rPr>
      </w:pPr>
      <w:r w:rsidRPr="00111B4E">
        <w:rPr>
          <w:rFonts w:ascii="Palatino Linotype" w:hAnsi="Palatino Linotype"/>
          <w:i/>
        </w:rPr>
        <w:t>..</w:t>
      </w:r>
    </w:p>
    <w:p w:rsidR="00460327" w:rsidRPr="00111B4E" w:rsidRDefault="00460327" w:rsidP="00462F1D">
      <w:pPr>
        <w:spacing w:line="360" w:lineRule="auto"/>
        <w:ind w:left="851" w:right="900"/>
        <w:contextualSpacing/>
        <w:jc w:val="both"/>
        <w:rPr>
          <w:rFonts w:ascii="Palatino Linotype" w:hAnsi="Palatino Linotype" w:cs="Tahoma"/>
          <w:i/>
          <w:iCs/>
        </w:rPr>
      </w:pPr>
      <w:r w:rsidRPr="00111B4E">
        <w:rPr>
          <w:rFonts w:ascii="Palatino Linotype" w:hAnsi="Palatino Linotype"/>
          <w:i/>
        </w:rPr>
        <w:t>XI. Las que por disposición expresa de una ley tengan tal carácter, siempre que sean acordes con las bases, principios y disposiciones establecidos en esta Ley y no la contravengan; así como las previstas en tratados internacionales.</w:t>
      </w:r>
    </w:p>
    <w:p w:rsidR="00462F1D" w:rsidRPr="00111B4E" w:rsidRDefault="00460327" w:rsidP="00462F1D">
      <w:pPr>
        <w:spacing w:line="360" w:lineRule="auto"/>
        <w:ind w:left="851" w:right="900"/>
        <w:contextualSpacing/>
        <w:jc w:val="both"/>
        <w:rPr>
          <w:rFonts w:ascii="Palatino Linotype" w:hAnsi="Palatino Linotype" w:cs="Tahoma"/>
          <w:i/>
          <w:iCs/>
        </w:rPr>
      </w:pPr>
      <w:r w:rsidRPr="00111B4E">
        <w:rPr>
          <w:rFonts w:ascii="Palatino Linotype" w:hAnsi="Palatino Linotype" w:cs="Tahoma"/>
          <w:i/>
          <w:iCs/>
        </w:rPr>
        <w:t xml:space="preserve"> </w:t>
      </w:r>
      <w:r w:rsidR="00462F1D" w:rsidRPr="00111B4E">
        <w:rPr>
          <w:rFonts w:ascii="Palatino Linotype" w:hAnsi="Palatino Linotype" w:cs="Tahoma"/>
          <w:i/>
          <w:iCs/>
        </w:rPr>
        <w:t>(….)”</w:t>
      </w:r>
    </w:p>
    <w:p w:rsidR="00462F1D" w:rsidRPr="00111B4E" w:rsidRDefault="00462F1D" w:rsidP="00462F1D">
      <w:pPr>
        <w:spacing w:line="360" w:lineRule="auto"/>
        <w:ind w:left="851" w:right="900"/>
        <w:contextualSpacing/>
        <w:jc w:val="both"/>
        <w:rPr>
          <w:rFonts w:ascii="Palatino Linotype" w:hAnsi="Palatino Linotype" w:cs="Tahoma"/>
          <w:i/>
          <w:iCs/>
        </w:rPr>
      </w:pPr>
    </w:p>
    <w:p w:rsidR="00462F1D" w:rsidRPr="00111B4E" w:rsidRDefault="00462F1D" w:rsidP="00462F1D">
      <w:pPr>
        <w:spacing w:line="360" w:lineRule="auto"/>
        <w:contextualSpacing/>
        <w:jc w:val="both"/>
        <w:rPr>
          <w:rFonts w:ascii="Palatino Linotype" w:hAnsi="Palatino Linotype" w:cs="Tahoma"/>
          <w:bCs/>
          <w:sz w:val="24"/>
          <w:szCs w:val="24"/>
        </w:rPr>
      </w:pPr>
      <w:r w:rsidRPr="00111B4E">
        <w:rPr>
          <w:rFonts w:ascii="Palatino Linotype" w:hAnsi="Palatino Linotype" w:cs="Tahoma"/>
          <w:bCs/>
          <w:sz w:val="24"/>
          <w:szCs w:val="24"/>
        </w:rPr>
        <w:t xml:space="preserve">Precepto normativo de que se desprende que, podrá clasificarse como información reservada aquella cuya publicación </w:t>
      </w:r>
      <w:r w:rsidR="00D23880" w:rsidRPr="00111B4E">
        <w:rPr>
          <w:rFonts w:ascii="Palatino Linotype" w:hAnsi="Palatino Linotype" w:cs="Tahoma"/>
          <w:bCs/>
          <w:sz w:val="24"/>
          <w:szCs w:val="24"/>
        </w:rPr>
        <w:t xml:space="preserve">comprometa la seguridad pública, ponga en riesgo la vida, seguridad o la salud de una persona física, pueda causar daño u obstruya la prevención o persecución de los delitos así como aquella información que </w:t>
      </w:r>
      <w:r w:rsidR="00D23880" w:rsidRPr="00111B4E">
        <w:rPr>
          <w:rFonts w:ascii="Palatino Linotype" w:hAnsi="Palatino Linotype"/>
          <w:sz w:val="24"/>
          <w:szCs w:val="24"/>
        </w:rPr>
        <w:t>por disposición expresa de una ley tengan tal carácter.</w:t>
      </w:r>
    </w:p>
    <w:p w:rsidR="00462F1D" w:rsidRPr="00111B4E" w:rsidRDefault="00462F1D" w:rsidP="00462F1D">
      <w:pPr>
        <w:spacing w:line="360" w:lineRule="auto"/>
        <w:contextualSpacing/>
        <w:jc w:val="both"/>
        <w:rPr>
          <w:rFonts w:ascii="Palatino Linotype" w:hAnsi="Palatino Linotype" w:cs="Tahoma"/>
          <w:bCs/>
          <w:iCs/>
          <w:sz w:val="24"/>
          <w:szCs w:val="24"/>
        </w:rPr>
      </w:pP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cs="Arial"/>
          <w:sz w:val="24"/>
          <w:szCs w:val="24"/>
        </w:rPr>
        <w:t xml:space="preserve">Conforme lo anterior, si bien el Sujeto Obligado manifestó reservar la información </w:t>
      </w:r>
      <w:r w:rsidR="00D23880" w:rsidRPr="00111B4E">
        <w:rPr>
          <w:rFonts w:ascii="Palatino Linotype" w:hAnsi="Palatino Linotype" w:cs="Arial"/>
          <w:sz w:val="24"/>
          <w:szCs w:val="24"/>
        </w:rPr>
        <w:t xml:space="preserve">correspondiente a </w:t>
      </w:r>
      <w:r w:rsidR="00D23880" w:rsidRPr="00111B4E">
        <w:rPr>
          <w:rFonts w:ascii="Palatino Linotype" w:eastAsia="Palatino Linotype" w:hAnsi="Palatino Linotype" w:cs="Palatino Linotype"/>
          <w:color w:val="000000"/>
          <w:sz w:val="24"/>
          <w:szCs w:val="24"/>
        </w:rPr>
        <w:t xml:space="preserve">los documentos donde conste, </w:t>
      </w:r>
      <w:r w:rsidR="00D23880" w:rsidRPr="00111B4E">
        <w:rPr>
          <w:rFonts w:ascii="Palatino Linotype" w:eastAsia="Palatino Linotype" w:hAnsi="Palatino Linotype" w:cs="Palatino Linotype"/>
          <w:b/>
          <w:color w:val="000000"/>
          <w:sz w:val="24"/>
          <w:szCs w:val="24"/>
        </w:rPr>
        <w:t>la f</w:t>
      </w:r>
      <w:r w:rsidR="00D23880" w:rsidRPr="00111B4E">
        <w:rPr>
          <w:rFonts w:ascii="Palatino Linotype" w:hAnsi="Palatino Linotype"/>
          <w:b/>
          <w:color w:val="000000"/>
          <w:sz w:val="24"/>
          <w:szCs w:val="24"/>
        </w:rPr>
        <w:t>recuencia y horario de patrullajes por delegación</w:t>
      </w:r>
      <w:r w:rsidR="00D23880" w:rsidRPr="00111B4E">
        <w:rPr>
          <w:rFonts w:ascii="Palatino Linotype" w:hAnsi="Palatino Linotype"/>
          <w:color w:val="000000"/>
          <w:sz w:val="24"/>
          <w:szCs w:val="24"/>
        </w:rPr>
        <w:t xml:space="preserve"> o colonia en el municipio durante los últimos 6 meses, </w:t>
      </w:r>
      <w:r w:rsidR="00D23880" w:rsidRPr="00111B4E">
        <w:rPr>
          <w:rFonts w:ascii="Palatino Linotype" w:hAnsi="Palatino Linotype"/>
          <w:b/>
          <w:color w:val="000000"/>
          <w:sz w:val="24"/>
          <w:szCs w:val="24"/>
        </w:rPr>
        <w:t>el número total de elementos operativos</w:t>
      </w:r>
      <w:r w:rsidR="00D23880" w:rsidRPr="00111B4E">
        <w:rPr>
          <w:rFonts w:ascii="Palatino Linotype" w:hAnsi="Palatino Linotype"/>
          <w:color w:val="000000"/>
          <w:sz w:val="24"/>
          <w:szCs w:val="24"/>
        </w:rPr>
        <w:t xml:space="preserve"> por turno y por tipo de función (sin datos personales, </w:t>
      </w:r>
      <w:r w:rsidR="00D23880" w:rsidRPr="00111B4E">
        <w:rPr>
          <w:rFonts w:ascii="Palatino Linotype" w:hAnsi="Palatino Linotype"/>
          <w:color w:val="000000"/>
          <w:sz w:val="24"/>
          <w:szCs w:val="24"/>
        </w:rPr>
        <w:lastRenderedPageBreak/>
        <w:t xml:space="preserve">únicamente estadísticos) así como </w:t>
      </w:r>
      <w:r w:rsidR="00D23880" w:rsidRPr="00111B4E">
        <w:rPr>
          <w:rFonts w:ascii="Palatino Linotype" w:hAnsi="Palatino Linotype"/>
          <w:b/>
          <w:color w:val="000000"/>
          <w:sz w:val="24"/>
          <w:szCs w:val="24"/>
        </w:rPr>
        <w:t>el número de unidades patrullas operativas</w:t>
      </w:r>
      <w:r w:rsidR="00D23880" w:rsidRPr="00111B4E">
        <w:rPr>
          <w:rFonts w:ascii="Palatino Linotype" w:hAnsi="Palatino Linotype"/>
          <w:color w:val="000000"/>
          <w:sz w:val="24"/>
          <w:szCs w:val="24"/>
        </w:rPr>
        <w:t xml:space="preserve"> y descompuestas, especificando modelo, año, kilometraje estimado y estado mecánico actual</w:t>
      </w:r>
      <w:r w:rsidR="00D23880" w:rsidRPr="00111B4E">
        <w:rPr>
          <w:rFonts w:ascii="Palatino Linotype" w:hAnsi="Palatino Linotype"/>
          <w:i/>
          <w:sz w:val="24"/>
          <w:szCs w:val="24"/>
        </w:rPr>
        <w:t xml:space="preserve">” </w:t>
      </w:r>
      <w:r w:rsidR="00D23880" w:rsidRPr="00111B4E">
        <w:rPr>
          <w:rFonts w:ascii="Palatino Linotype" w:hAnsi="Palatino Linotype"/>
          <w:sz w:val="24"/>
          <w:szCs w:val="24"/>
        </w:rPr>
        <w:t xml:space="preserve">manifestando que divulgar la información puede comprometer la integridad de las estrategias de patrullaje sin embargo se reitera que no realizó una argumentación lógica jurídica en modo, tiempo y lugar que permitieran advertir la procedencia de la causal de reserva de la información, </w:t>
      </w:r>
      <w:r w:rsidRPr="00111B4E">
        <w:rPr>
          <w:rFonts w:ascii="Palatino Linotype" w:hAnsi="Palatino Linotype" w:cs="Arial"/>
          <w:sz w:val="24"/>
          <w:szCs w:val="24"/>
        </w:rPr>
        <w:t xml:space="preserve">entonces como se advirtió con anterioridad en el análisis de la prueba de daño brindada por el Sujeto Obligado se debe concluir lo siguiente; </w:t>
      </w:r>
    </w:p>
    <w:p w:rsidR="00462F1D" w:rsidRPr="00111B4E" w:rsidRDefault="00462F1D" w:rsidP="00462F1D">
      <w:pPr>
        <w:pStyle w:val="Prrafodelista"/>
        <w:numPr>
          <w:ilvl w:val="0"/>
          <w:numId w:val="3"/>
        </w:numPr>
        <w:spacing w:line="360" w:lineRule="auto"/>
        <w:jc w:val="both"/>
        <w:rPr>
          <w:rFonts w:ascii="Palatino Linotype" w:hAnsi="Palatino Linotype" w:cs="Arial"/>
          <w:sz w:val="24"/>
          <w:szCs w:val="24"/>
        </w:rPr>
      </w:pPr>
      <w:r w:rsidRPr="00111B4E">
        <w:rPr>
          <w:rFonts w:ascii="Palatino Linotype" w:hAnsi="Palatino Linotype" w:cs="Arial"/>
          <w:sz w:val="24"/>
          <w:szCs w:val="24"/>
        </w:rPr>
        <w:t xml:space="preserve">Que la prueba de daño presentada por el Sujeto Obligado carece de fundamentación legal </w:t>
      </w:r>
      <w:r w:rsidRPr="00111B4E">
        <w:rPr>
          <w:rFonts w:ascii="Palatino Linotype" w:hAnsi="Palatino Linotype"/>
          <w:sz w:val="24"/>
          <w:szCs w:val="24"/>
        </w:rPr>
        <w:t xml:space="preserve">pues refiere el artículo 113 de la Ley General en materia de Transparencia abrogada, siendo el artículo 112 de la Ley de General Vigente el que advierte los supuestos de clasificación como reservada. </w:t>
      </w:r>
    </w:p>
    <w:p w:rsidR="00462F1D" w:rsidRPr="00111B4E" w:rsidRDefault="00462F1D" w:rsidP="00462F1D">
      <w:pPr>
        <w:pStyle w:val="Prrafodelista"/>
        <w:spacing w:line="360" w:lineRule="auto"/>
        <w:ind w:left="1413"/>
        <w:jc w:val="both"/>
        <w:rPr>
          <w:rFonts w:ascii="Palatino Linotype" w:hAnsi="Palatino Linotype" w:cs="Arial"/>
          <w:sz w:val="24"/>
          <w:szCs w:val="24"/>
        </w:rPr>
      </w:pPr>
    </w:p>
    <w:p w:rsidR="00462F1D" w:rsidRPr="00111B4E" w:rsidRDefault="00462F1D" w:rsidP="00D23880">
      <w:pPr>
        <w:pStyle w:val="Prrafodelista"/>
        <w:numPr>
          <w:ilvl w:val="0"/>
          <w:numId w:val="3"/>
        </w:numPr>
        <w:spacing w:line="360" w:lineRule="auto"/>
        <w:jc w:val="both"/>
        <w:rPr>
          <w:rFonts w:ascii="Palatino Linotype" w:hAnsi="Palatino Linotype" w:cs="Arial"/>
          <w:sz w:val="24"/>
          <w:szCs w:val="24"/>
        </w:rPr>
      </w:pPr>
      <w:r w:rsidRPr="00111B4E">
        <w:rPr>
          <w:rFonts w:ascii="Palatino Linotype" w:hAnsi="Palatino Linotype" w:cs="Arial"/>
          <w:sz w:val="24"/>
          <w:szCs w:val="24"/>
        </w:rPr>
        <w:t>Que el Sujeto Obligado refiere que</w:t>
      </w:r>
      <w:r w:rsidR="00D23880" w:rsidRPr="00111B4E">
        <w:rPr>
          <w:rFonts w:ascii="Palatino Linotype" w:hAnsi="Palatino Linotype" w:cs="Arial"/>
          <w:sz w:val="24"/>
          <w:szCs w:val="24"/>
        </w:rPr>
        <w:t xml:space="preserve"> </w:t>
      </w:r>
      <w:r w:rsidR="00D23880" w:rsidRPr="00111B4E">
        <w:rPr>
          <w:rFonts w:ascii="Palatino Linotype" w:hAnsi="Palatino Linotype"/>
          <w:sz w:val="24"/>
          <w:szCs w:val="24"/>
        </w:rPr>
        <w:t>divulgar la información puede comprometer la integridad de las estrategias de patrullaje vigilancia, reacción, despliegue operativo, así como la seguridad de los elementos y de la ciudadanía en general, se justifica en virtud del principio de interés público y de la necesidad de garantizar la eficacia de las funciones de seguridad pública, evitando la exposición de información que pueda ser mal utilizada y que afecte los fines legítimos de protección de la paz social y el orden público.</w:t>
      </w:r>
    </w:p>
    <w:p w:rsidR="00D23880" w:rsidRPr="00111B4E" w:rsidRDefault="00D23880" w:rsidP="00D23880">
      <w:pPr>
        <w:pStyle w:val="Prrafodelista"/>
        <w:rPr>
          <w:rFonts w:ascii="Palatino Linotype" w:hAnsi="Palatino Linotype" w:cs="Arial"/>
          <w:sz w:val="24"/>
          <w:szCs w:val="24"/>
        </w:rPr>
      </w:pPr>
    </w:p>
    <w:p w:rsidR="00462F1D" w:rsidRPr="00111B4E" w:rsidRDefault="00D23880" w:rsidP="0082650C">
      <w:pPr>
        <w:pStyle w:val="Prrafodelista"/>
        <w:numPr>
          <w:ilvl w:val="0"/>
          <w:numId w:val="3"/>
        </w:numPr>
        <w:spacing w:line="360" w:lineRule="auto"/>
        <w:jc w:val="both"/>
        <w:rPr>
          <w:rFonts w:ascii="Palatino Linotype" w:hAnsi="Palatino Linotype" w:cs="Arial"/>
          <w:sz w:val="24"/>
          <w:szCs w:val="24"/>
        </w:rPr>
      </w:pPr>
      <w:r w:rsidRPr="00111B4E">
        <w:rPr>
          <w:rFonts w:ascii="Palatino Linotype" w:hAnsi="Palatino Linotype" w:cs="Arial"/>
          <w:sz w:val="24"/>
          <w:szCs w:val="24"/>
        </w:rPr>
        <w:t xml:space="preserve">Que de la prueba de daño emitida por el Comité de Transparencia no se advierte que se realizara </w:t>
      </w:r>
      <w:r w:rsidRPr="00111B4E">
        <w:rPr>
          <w:rFonts w:ascii="Palatino Linotype" w:hAnsi="Palatino Linotype"/>
          <w:sz w:val="24"/>
          <w:szCs w:val="24"/>
        </w:rPr>
        <w:t>una argumentación lógica jurídica en modo, tiempo y lugar que permitieran advertir la procedencia de la causal de reserva de la información.</w:t>
      </w:r>
    </w:p>
    <w:p w:rsidR="0082650C" w:rsidRPr="00111B4E" w:rsidRDefault="0082650C" w:rsidP="00462F1D">
      <w:pPr>
        <w:spacing w:line="360" w:lineRule="auto"/>
        <w:jc w:val="both"/>
        <w:rPr>
          <w:rFonts w:ascii="Palatino Linotype" w:hAnsi="Palatino Linotype"/>
          <w:sz w:val="24"/>
          <w:szCs w:val="24"/>
        </w:rPr>
      </w:pPr>
    </w:p>
    <w:p w:rsidR="00462F1D" w:rsidRPr="00111B4E" w:rsidRDefault="0082650C" w:rsidP="00462F1D">
      <w:pPr>
        <w:spacing w:line="360" w:lineRule="auto"/>
        <w:jc w:val="both"/>
        <w:rPr>
          <w:rFonts w:ascii="Palatino Linotype" w:hAnsi="Palatino Linotype"/>
          <w:sz w:val="24"/>
          <w:szCs w:val="24"/>
        </w:rPr>
      </w:pPr>
      <w:r w:rsidRPr="00111B4E">
        <w:rPr>
          <w:rFonts w:ascii="Palatino Linotype" w:hAnsi="Palatino Linotype"/>
          <w:sz w:val="24"/>
          <w:szCs w:val="24"/>
        </w:rPr>
        <w:t>Entonc</w:t>
      </w:r>
      <w:r w:rsidR="00462F1D" w:rsidRPr="00111B4E">
        <w:rPr>
          <w:rFonts w:ascii="Palatino Linotype" w:hAnsi="Palatino Linotype"/>
          <w:sz w:val="24"/>
          <w:szCs w:val="24"/>
        </w:rPr>
        <w:t>e</w:t>
      </w:r>
      <w:r w:rsidRPr="00111B4E">
        <w:rPr>
          <w:rFonts w:ascii="Palatino Linotype" w:hAnsi="Palatino Linotype"/>
          <w:sz w:val="24"/>
          <w:szCs w:val="24"/>
        </w:rPr>
        <w:t>s</w:t>
      </w:r>
      <w:r w:rsidR="00462F1D" w:rsidRPr="00111B4E">
        <w:rPr>
          <w:rFonts w:ascii="Palatino Linotype" w:hAnsi="Palatino Linotype"/>
          <w:sz w:val="24"/>
          <w:szCs w:val="24"/>
        </w:rPr>
        <w:t xml:space="preserve">, resulta fundamental establecer que el máximo tribunal del país ha establecido jurisprudencia respecto a qué debe entenderse por fundamentación y motivación, criterios bajo los cuales se debe regir el actuar de este Órgano </w:t>
      </w:r>
      <w:proofErr w:type="gramStart"/>
      <w:r w:rsidR="00462F1D" w:rsidRPr="00111B4E">
        <w:rPr>
          <w:rFonts w:ascii="Palatino Linotype" w:hAnsi="Palatino Linotype"/>
          <w:sz w:val="24"/>
          <w:szCs w:val="24"/>
        </w:rPr>
        <w:t>Garante  en</w:t>
      </w:r>
      <w:proofErr w:type="gramEnd"/>
      <w:r w:rsidR="00462F1D" w:rsidRPr="00111B4E">
        <w:rPr>
          <w:rFonts w:ascii="Palatino Linotype" w:hAnsi="Palatino Linotype"/>
          <w:sz w:val="24"/>
          <w:szCs w:val="24"/>
        </w:rPr>
        <w:t xml:space="preserve"> los siguientes términos:</w:t>
      </w:r>
    </w:p>
    <w:p w:rsidR="00462F1D" w:rsidRPr="00111B4E" w:rsidRDefault="00462F1D" w:rsidP="00462F1D">
      <w:pPr>
        <w:ind w:left="567" w:right="567"/>
        <w:jc w:val="both"/>
        <w:rPr>
          <w:rFonts w:ascii="Palatino Linotype" w:hAnsi="Palatino Linotype"/>
          <w:i/>
        </w:rPr>
      </w:pPr>
      <w:r w:rsidRPr="00111B4E">
        <w:rPr>
          <w:rFonts w:ascii="Palatino Linotype" w:hAnsi="Palatino Linotype"/>
          <w:b/>
          <w:i/>
        </w:rPr>
        <w:t xml:space="preserve">FUNDAMENTACIÓN Y MOTIVACIÓN. </w:t>
      </w:r>
      <w:r w:rsidRPr="00111B4E">
        <w:rPr>
          <w:rFonts w:ascii="Palatino Linotype" w:hAnsi="Palatino Linotype"/>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62F1D" w:rsidRPr="00111B4E" w:rsidRDefault="00462F1D" w:rsidP="00462F1D">
      <w:pPr>
        <w:spacing w:line="360" w:lineRule="auto"/>
        <w:jc w:val="both"/>
        <w:rPr>
          <w:rFonts w:ascii="Palatino Linotype" w:hAnsi="Palatino Linotype"/>
          <w:sz w:val="24"/>
          <w:szCs w:val="24"/>
        </w:rPr>
      </w:pP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sidR="00AF2CE4" w:rsidRPr="00111B4E">
        <w:rPr>
          <w:rFonts w:ascii="Palatino Linotype" w:hAnsi="Palatino Linotype"/>
          <w:sz w:val="24"/>
          <w:szCs w:val="24"/>
        </w:rPr>
        <w:t xml:space="preserve"> </w:t>
      </w:r>
      <w:r w:rsidRPr="00111B4E">
        <w:rPr>
          <w:rFonts w:ascii="Palatino Linotype" w:hAnsi="Palatino Linotype"/>
          <w:sz w:val="24"/>
          <w:szCs w:val="24"/>
        </w:rPr>
        <w:t xml:space="preserve">Más aún, a través de diversa jurisprudencia dictada por el Poder Judicial de la Federación se sostiene que la finalidad de la fundamentación o </w:t>
      </w:r>
      <w:r w:rsidRPr="00111B4E">
        <w:rPr>
          <w:rFonts w:ascii="Palatino Linotype" w:hAnsi="Palatino Linotype"/>
          <w:sz w:val="24"/>
          <w:szCs w:val="24"/>
        </w:rPr>
        <w:lastRenderedPageBreak/>
        <w:t>motivación es la de explicar, justificar, posibilitar la defensa y comunicar la decisión de la autoridad:</w:t>
      </w:r>
    </w:p>
    <w:p w:rsidR="00462F1D" w:rsidRPr="00111B4E" w:rsidRDefault="00462F1D" w:rsidP="00462F1D">
      <w:pPr>
        <w:ind w:left="567" w:right="567"/>
        <w:jc w:val="both"/>
        <w:rPr>
          <w:rFonts w:ascii="Palatino Linotype" w:hAnsi="Palatino Linotype"/>
          <w:i/>
        </w:rPr>
      </w:pPr>
      <w:r w:rsidRPr="00111B4E">
        <w:rPr>
          <w:rFonts w:ascii="Palatino Linotype" w:hAnsi="Palatino Linotype"/>
          <w:b/>
          <w:i/>
        </w:rPr>
        <w:t>FUNDAMENTACIÓN Y MOTIVACIÓN. EL ASPECTO FORMAL DE LA GARANTÍA Y SU FINALIDAD SE TRADUCEN EN EXPLICAR, JUSTIFICAR, POSIBILITAR LA DEFENSA Y COMUNICAR LA DECISIÓN</w:t>
      </w:r>
      <w:r w:rsidRPr="00111B4E">
        <w:rPr>
          <w:rFonts w:ascii="Palatino Linotype" w:hAnsi="Palatino Linotype"/>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62F1D" w:rsidRPr="00111B4E" w:rsidRDefault="00462F1D" w:rsidP="00462F1D">
      <w:pPr>
        <w:ind w:left="567" w:right="567"/>
        <w:jc w:val="both"/>
        <w:rPr>
          <w:rFonts w:ascii="Palatino Linotype" w:hAnsi="Palatino Linotype"/>
          <w:i/>
        </w:rPr>
      </w:pP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6517AB" w:rsidRPr="00111B4E" w:rsidRDefault="00462F1D" w:rsidP="00462F1D">
      <w:pPr>
        <w:spacing w:line="360" w:lineRule="auto"/>
        <w:jc w:val="both"/>
        <w:rPr>
          <w:rFonts w:ascii="Palatino Linotype" w:hAnsi="Palatino Linotype"/>
          <w:color w:val="000000"/>
          <w:sz w:val="24"/>
          <w:szCs w:val="24"/>
        </w:rPr>
      </w:pPr>
      <w:r w:rsidRPr="00111B4E">
        <w:rPr>
          <w:rFonts w:ascii="Palatino Linotype" w:hAnsi="Palatino Linotype"/>
          <w:sz w:val="24"/>
          <w:szCs w:val="24"/>
        </w:rPr>
        <w:lastRenderedPageBreak/>
        <w:t xml:space="preserve">En este </w:t>
      </w:r>
      <w:r w:rsidR="006517AB" w:rsidRPr="00111B4E">
        <w:rPr>
          <w:rFonts w:ascii="Palatino Linotype" w:hAnsi="Palatino Linotype"/>
          <w:sz w:val="24"/>
          <w:szCs w:val="24"/>
        </w:rPr>
        <w:t>sentido si bien el Sujeto Obligado fue omiso en fundar y motivar adecuadamente la prueba de daño realizada no se puede pasar por desapercibido que respecto el requerimiento de información “</w:t>
      </w:r>
      <w:r w:rsidR="006517AB" w:rsidRPr="00111B4E">
        <w:rPr>
          <w:rFonts w:ascii="Palatino Linotype" w:hAnsi="Palatino Linotype"/>
          <w:i/>
          <w:color w:val="000000"/>
          <w:sz w:val="24"/>
          <w:szCs w:val="24"/>
        </w:rPr>
        <w:t>Frecuencia y horario de patrullajes por delegación o colonia en el municipio durante los últimos 6 meses”</w:t>
      </w:r>
      <w:r w:rsidR="004101DB" w:rsidRPr="00111B4E">
        <w:rPr>
          <w:rFonts w:ascii="Palatino Linotype" w:hAnsi="Palatino Linotype"/>
          <w:i/>
          <w:color w:val="000000"/>
          <w:sz w:val="24"/>
          <w:szCs w:val="24"/>
        </w:rPr>
        <w:t xml:space="preserve"> </w:t>
      </w:r>
      <w:r w:rsidR="004101DB" w:rsidRPr="00111B4E">
        <w:rPr>
          <w:rFonts w:ascii="Palatino Linotype" w:hAnsi="Palatino Linotype"/>
          <w:color w:val="000000"/>
          <w:sz w:val="24"/>
          <w:szCs w:val="24"/>
        </w:rPr>
        <w:t xml:space="preserve"> lo procedente es </w:t>
      </w:r>
      <w:r w:rsidR="004101DB" w:rsidRPr="00111B4E">
        <w:rPr>
          <w:rFonts w:ascii="Palatino Linotype" w:hAnsi="Palatino Linotype"/>
          <w:sz w:val="24"/>
          <w:szCs w:val="24"/>
        </w:rPr>
        <w:t xml:space="preserve">ordenar la entrega del Acuerdo de clasificación emitido por el Comité de Transparencia, </w:t>
      </w:r>
      <w:r w:rsidR="004101DB" w:rsidRPr="00111B4E">
        <w:rPr>
          <w:rFonts w:ascii="Palatino Linotype" w:hAnsi="Palatino Linotype"/>
          <w:b/>
          <w:sz w:val="24"/>
          <w:szCs w:val="24"/>
        </w:rPr>
        <w:t>debidamente fundado y motivado, a través de una prueba de daño</w:t>
      </w:r>
      <w:r w:rsidR="004101DB" w:rsidRPr="00111B4E">
        <w:rPr>
          <w:rFonts w:ascii="Palatino Linotype" w:hAnsi="Palatino Linotype"/>
          <w:sz w:val="24"/>
          <w:szCs w:val="24"/>
        </w:rPr>
        <w:t xml:space="preserve">, en el que se clasifique como </w:t>
      </w:r>
      <w:r w:rsidR="004101DB" w:rsidRPr="00111B4E">
        <w:rPr>
          <w:rFonts w:ascii="Palatino Linotype" w:hAnsi="Palatino Linotype"/>
          <w:sz w:val="24"/>
          <w:szCs w:val="24"/>
          <w:u w:val="single"/>
        </w:rPr>
        <w:t>RESERVADA,</w:t>
      </w:r>
      <w:r w:rsidR="004101DB" w:rsidRPr="00111B4E">
        <w:rPr>
          <w:rFonts w:ascii="Palatino Linotype" w:hAnsi="Palatino Linotype"/>
          <w:sz w:val="24"/>
          <w:szCs w:val="24"/>
        </w:rPr>
        <w:t xml:space="preserve"> en términos del artículo 140 fracción I, IV y VI, de la Ley de Transparencia y Acceso a la Información Pública del Estado de México y Municipios, de </w:t>
      </w:r>
      <w:r w:rsidR="004101DB" w:rsidRPr="00111B4E">
        <w:rPr>
          <w:rFonts w:ascii="Palatino Linotype" w:hAnsi="Palatino Linotype"/>
          <w:color w:val="000000"/>
          <w:sz w:val="24"/>
          <w:szCs w:val="24"/>
        </w:rPr>
        <w:t>la frecuencia y horario de patrullajes por delegación o colonia en el municipio del veintitrés de enero al veintitrés de junio de dos mil veinticinco por tratarse del periodo requerido correspondiente a los últimos seis meses</w:t>
      </w:r>
      <w:r w:rsidR="004101DB" w:rsidRPr="00111B4E">
        <w:rPr>
          <w:rFonts w:ascii="Palatino Linotype" w:hAnsi="Palatino Linotype"/>
          <w:sz w:val="24"/>
          <w:szCs w:val="24"/>
        </w:rPr>
        <w:t>.</w:t>
      </w:r>
    </w:p>
    <w:p w:rsidR="004101DB" w:rsidRPr="00111B4E" w:rsidRDefault="004101DB" w:rsidP="00462F1D">
      <w:pPr>
        <w:spacing w:line="360" w:lineRule="auto"/>
        <w:jc w:val="both"/>
        <w:rPr>
          <w:rFonts w:ascii="Palatino Linotype" w:hAnsi="Palatino Linotype"/>
          <w:sz w:val="24"/>
          <w:szCs w:val="24"/>
        </w:rPr>
      </w:pPr>
    </w:p>
    <w:p w:rsidR="004101DB" w:rsidRPr="00111B4E" w:rsidRDefault="00FC3115" w:rsidP="00462F1D">
      <w:pPr>
        <w:spacing w:line="360" w:lineRule="auto"/>
        <w:jc w:val="both"/>
        <w:rPr>
          <w:rFonts w:ascii="Palatino Linotype" w:hAnsi="Palatino Linotype"/>
          <w:sz w:val="24"/>
          <w:szCs w:val="24"/>
        </w:rPr>
      </w:pPr>
      <w:r w:rsidRPr="00111B4E">
        <w:rPr>
          <w:rFonts w:ascii="Palatino Linotype" w:hAnsi="Palatino Linotype"/>
          <w:sz w:val="24"/>
          <w:szCs w:val="24"/>
        </w:rPr>
        <w:t>Lo anterior toda vez que en términos de lo establecido por los artículo</w:t>
      </w:r>
      <w:r w:rsidR="00A0084E" w:rsidRPr="00111B4E">
        <w:rPr>
          <w:rFonts w:ascii="Palatino Linotype" w:hAnsi="Palatino Linotype"/>
          <w:sz w:val="24"/>
          <w:szCs w:val="24"/>
        </w:rPr>
        <w:t>s</w:t>
      </w:r>
      <w:r w:rsidRPr="00111B4E">
        <w:rPr>
          <w:rFonts w:ascii="Palatino Linotype" w:hAnsi="Palatino Linotype"/>
          <w:sz w:val="24"/>
          <w:szCs w:val="24"/>
        </w:rPr>
        <w:t xml:space="preserve"> 19, 20</w:t>
      </w:r>
      <w:r w:rsidR="00A0084E" w:rsidRPr="00111B4E">
        <w:rPr>
          <w:rFonts w:ascii="Palatino Linotype" w:hAnsi="Palatino Linotype"/>
          <w:sz w:val="24"/>
          <w:szCs w:val="24"/>
        </w:rPr>
        <w:t xml:space="preserve"> fracción I, V y IX, 21</w:t>
      </w:r>
      <w:r w:rsidR="00F1441C" w:rsidRPr="00111B4E">
        <w:rPr>
          <w:rFonts w:ascii="Palatino Linotype" w:hAnsi="Palatino Linotype"/>
          <w:sz w:val="24"/>
          <w:szCs w:val="24"/>
        </w:rPr>
        <w:t xml:space="preserve"> fracciones II, IV, V, VI, VIII y XVI y 22 de la Ley de Seguridad del Estado de México proporcionar información respecto la frecuencia y el horario del patrullaje por delegación o colonia en el municipio de Chapultepec de manera enunciativa puede poner en riesgo la seguridad pública así como poner en riesgo la vida de una persona física. </w:t>
      </w:r>
    </w:p>
    <w:p w:rsidR="00A0084E" w:rsidRPr="00111B4E" w:rsidRDefault="00A0084E" w:rsidP="00462F1D">
      <w:pPr>
        <w:spacing w:line="360" w:lineRule="auto"/>
        <w:jc w:val="both"/>
        <w:rPr>
          <w:rFonts w:ascii="Palatino Linotype" w:hAnsi="Palatino Linotype"/>
          <w:sz w:val="24"/>
          <w:szCs w:val="24"/>
        </w:rPr>
      </w:pPr>
    </w:p>
    <w:p w:rsidR="006512E9" w:rsidRPr="00111B4E" w:rsidRDefault="006512E9" w:rsidP="006512E9">
      <w:pPr>
        <w:spacing w:line="360" w:lineRule="auto"/>
        <w:ind w:right="39"/>
        <w:jc w:val="both"/>
        <w:rPr>
          <w:rFonts w:ascii="Palatino Linotype" w:hAnsi="Palatino Linotype"/>
          <w:color w:val="000000"/>
          <w:sz w:val="24"/>
          <w:szCs w:val="24"/>
        </w:rPr>
      </w:pPr>
      <w:r w:rsidRPr="00111B4E">
        <w:rPr>
          <w:rFonts w:ascii="Palatino Linotype" w:hAnsi="Palatino Linotype"/>
          <w:sz w:val="24"/>
          <w:szCs w:val="24"/>
        </w:rPr>
        <w:t>Ahora bien respecto los requerimientos de información “</w:t>
      </w:r>
      <w:r w:rsidRPr="00111B4E">
        <w:rPr>
          <w:rFonts w:ascii="Palatino Linotype" w:hAnsi="Palatino Linotype"/>
          <w:i/>
          <w:color w:val="000000"/>
          <w:sz w:val="24"/>
          <w:szCs w:val="24"/>
        </w:rPr>
        <w:t>Número total de elementos operativos por turno y por tipo de función</w:t>
      </w:r>
      <w:proofErr w:type="gramStart"/>
      <w:r w:rsidRPr="00111B4E">
        <w:rPr>
          <w:rFonts w:ascii="Palatino Linotype" w:hAnsi="Palatino Linotype"/>
          <w:i/>
          <w:color w:val="000000"/>
          <w:sz w:val="24"/>
          <w:szCs w:val="24"/>
        </w:rPr>
        <w:t>….</w:t>
      </w:r>
      <w:proofErr w:type="gramEnd"/>
      <w:r w:rsidRPr="00111B4E">
        <w:rPr>
          <w:rFonts w:ascii="Palatino Linotype" w:hAnsi="Palatino Linotype"/>
          <w:i/>
          <w:color w:val="000000"/>
          <w:sz w:val="24"/>
          <w:szCs w:val="24"/>
        </w:rPr>
        <w:t xml:space="preserve"> Número de unidades patrullas operativas y descompuestas, especificando modelo, año, kilometraje estimado y estado mecánico actual” </w:t>
      </w:r>
      <w:r w:rsidRPr="00111B4E">
        <w:rPr>
          <w:rFonts w:ascii="Palatino Linotype" w:hAnsi="Palatino Linotype"/>
          <w:color w:val="000000"/>
          <w:sz w:val="24"/>
          <w:szCs w:val="24"/>
        </w:rPr>
        <w:t xml:space="preserve">este </w:t>
      </w:r>
      <w:r w:rsidRPr="00111B4E">
        <w:rPr>
          <w:rFonts w:ascii="Palatino Linotype" w:hAnsi="Palatino Linotype"/>
          <w:color w:val="000000"/>
          <w:sz w:val="24"/>
          <w:szCs w:val="24"/>
        </w:rPr>
        <w:lastRenderedPageBreak/>
        <w:t>Instituto advierte que corresponde a información estadística</w:t>
      </w:r>
      <w:r w:rsidRPr="00111B4E">
        <w:rPr>
          <w:rFonts w:ascii="Palatino Linotype" w:hAnsi="Palatino Linotype" w:cstheme="minorHAnsi"/>
          <w:sz w:val="24"/>
          <w:szCs w:val="24"/>
        </w:rPr>
        <w:t xml:space="preserve">, </w:t>
      </w:r>
      <w:r w:rsidRPr="00111B4E">
        <w:rPr>
          <w:rFonts w:ascii="Palatino Linotype" w:eastAsia="Palatino Linotype" w:hAnsi="Palatino Linotype" w:cstheme="minorHAnsi"/>
          <w:color w:val="000000"/>
          <w:sz w:val="24"/>
          <w:szCs w:val="24"/>
        </w:rPr>
        <w:t>luego entonces  se debe tomar en consideración el criterio orientador emitido por el entonces Instituto Federal de Transparencia, Acceso a la Información Pública y Protección de Datos Personales ahora Instituto Nacional de Transparencia, Acceso a la Información Pública y Protección de Datos Personales:</w:t>
      </w:r>
    </w:p>
    <w:p w:rsidR="006512E9" w:rsidRPr="00111B4E" w:rsidRDefault="006512E9" w:rsidP="006512E9">
      <w:pPr>
        <w:pBdr>
          <w:top w:val="nil"/>
          <w:left w:val="nil"/>
          <w:bottom w:val="nil"/>
          <w:right w:val="nil"/>
          <w:between w:val="nil"/>
        </w:pBdr>
        <w:spacing w:after="120" w:line="360" w:lineRule="auto"/>
        <w:ind w:left="851" w:right="958"/>
        <w:jc w:val="both"/>
        <w:rPr>
          <w:rFonts w:ascii="Palatino Linotype" w:hAnsi="Palatino Linotype"/>
          <w:color w:val="000000"/>
        </w:rPr>
      </w:pPr>
      <w:r w:rsidRPr="00111B4E">
        <w:rPr>
          <w:rFonts w:ascii="Palatino Linotype" w:eastAsia="Palatino Linotype" w:hAnsi="Palatino Linotype" w:cs="Palatino Linotype"/>
          <w:b/>
          <w:i/>
          <w:color w:val="000000"/>
        </w:rPr>
        <w:t xml:space="preserve">La información estadística es de naturaleza pública, independientemente de la materia con la que se encuentre vinculada. </w:t>
      </w:r>
      <w:r w:rsidRPr="00111B4E">
        <w:rPr>
          <w:rFonts w:ascii="Palatino Linotype" w:eastAsia="Palatino Linotype" w:hAnsi="Palatino Linotype" w:cs="Palatino Linotype"/>
          <w:i/>
          <w:color w:val="000000"/>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462F1D" w:rsidRPr="00111B4E" w:rsidRDefault="006512E9" w:rsidP="00670444">
      <w:pPr>
        <w:pBdr>
          <w:top w:val="nil"/>
          <w:left w:val="nil"/>
          <w:bottom w:val="nil"/>
          <w:right w:val="nil"/>
          <w:between w:val="nil"/>
        </w:pBdr>
        <w:tabs>
          <w:tab w:val="left" w:pos="284"/>
        </w:tabs>
        <w:spacing w:before="240" w:after="360" w:line="360" w:lineRule="auto"/>
        <w:jc w:val="both"/>
        <w:rPr>
          <w:rFonts w:cs="Arial"/>
          <w:sz w:val="24"/>
          <w:szCs w:val="24"/>
        </w:rPr>
      </w:pPr>
      <w:r w:rsidRPr="00111B4E">
        <w:rPr>
          <w:rFonts w:ascii="Palatino Linotype" w:hAnsi="Palatino Linotype" w:cs="Arial"/>
          <w:sz w:val="24"/>
          <w:szCs w:val="24"/>
        </w:rPr>
        <w:t>Es así que, para el presente caso se trata meramente de información estadística, en atención al criterio ante referido, independientemente la materia con la que se encuentre vinculada la información no ha lugar a su clasificación, por consiguiente el Sujeto Obligado deberá hacer entrega de la información</w:t>
      </w:r>
      <w:r w:rsidRPr="00111B4E">
        <w:rPr>
          <w:rFonts w:cs="Arial"/>
          <w:sz w:val="24"/>
          <w:szCs w:val="24"/>
        </w:rPr>
        <w:t>.</w:t>
      </w:r>
    </w:p>
    <w:p w:rsidR="00462F1D" w:rsidRPr="00111B4E" w:rsidRDefault="00462F1D" w:rsidP="00462F1D">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sidRPr="00111B4E">
        <w:rPr>
          <w:rFonts w:ascii="Palatino Linotype" w:hAnsi="Palatino Linotype"/>
          <w:sz w:val="24"/>
          <w:szCs w:val="24"/>
        </w:rPr>
        <w:lastRenderedPageBreak/>
        <w:t xml:space="preserve"> </w:t>
      </w:r>
      <w:r w:rsidRPr="00111B4E">
        <w:rPr>
          <w:rFonts w:ascii="Palatino Linotype" w:eastAsia="Palatino Linotype" w:hAnsi="Palatino Linotype" w:cstheme="majorBidi"/>
          <w:b/>
          <w:i/>
          <w:color w:val="000000" w:themeColor="text1"/>
          <w:u w:val="single"/>
          <w:lang w:val="es-ES_tradnl" w:eastAsia="es-MX"/>
        </w:rPr>
        <w:t>DE LA VERSIÓN PÚBLICA</w:t>
      </w: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r w:rsidRPr="00111B4E">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Artículo 3.</w:t>
      </w:r>
      <w:r w:rsidRPr="00111B4E">
        <w:rPr>
          <w:rFonts w:ascii="Palatino Linotype" w:eastAsia="Palatino Linotype" w:hAnsi="Palatino Linotype" w:cs="Palatino Linotype"/>
          <w:i/>
          <w:lang w:val="es-ES_tradnl" w:eastAsia="es-MX"/>
        </w:rPr>
        <w:t xml:space="preserve"> Para los efectos de la presente Ley se entenderá por:</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IX. Datos personales:</w:t>
      </w:r>
      <w:r w:rsidRPr="00111B4E">
        <w:rPr>
          <w:rFonts w:ascii="Palatino Linotype" w:eastAsia="Palatino Linotype" w:hAnsi="Palatino Linotype" w:cs="Palatino Linotype"/>
          <w:i/>
          <w:lang w:val="es-ES_tradnl" w:eastAsia="es-MX"/>
        </w:rPr>
        <w:t xml:space="preserve"> La información concerniente a una persona, identificada o identificable según lo dispuesto por la Ley de Protección de Datos Personales del Estado de México;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XX.</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b/>
          <w:i/>
          <w:lang w:val="es-ES_tradnl" w:eastAsia="es-MX"/>
        </w:rPr>
        <w:t>Información clasificada:</w:t>
      </w:r>
      <w:r w:rsidRPr="00111B4E">
        <w:rPr>
          <w:rFonts w:ascii="Palatino Linotype" w:eastAsia="Palatino Linotype" w:hAnsi="Palatino Linotype" w:cs="Palatino Linotype"/>
          <w:i/>
          <w:lang w:val="es-ES_tradnl" w:eastAsia="es-MX"/>
        </w:rPr>
        <w:t xml:space="preserve"> Aquella considerada por la presente Ley como reservada o confidencial;</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XXI.</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b/>
          <w:i/>
          <w:lang w:val="es-ES_tradnl" w:eastAsia="es-MX"/>
        </w:rPr>
        <w:t>Información confidencial:</w:t>
      </w:r>
      <w:r w:rsidRPr="00111B4E">
        <w:rPr>
          <w:rFonts w:ascii="Palatino Linotype" w:eastAsia="Palatino Linotype" w:hAnsi="Palatino Linotype" w:cs="Palatino Linotype"/>
          <w:i/>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XLV.</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b/>
          <w:i/>
          <w:lang w:val="es-ES_tradnl" w:eastAsia="es-MX"/>
        </w:rPr>
        <w:t>Versión pública:</w:t>
      </w:r>
      <w:r w:rsidRPr="00111B4E">
        <w:rPr>
          <w:rFonts w:ascii="Palatino Linotype" w:eastAsia="Palatino Linotype" w:hAnsi="Palatino Linotype" w:cs="Palatino Linotype"/>
          <w:i/>
          <w:lang w:val="es-ES_tradnl" w:eastAsia="es-MX"/>
        </w:rPr>
        <w:t xml:space="preserve"> Documento en el que se elimine, suprime o borra la información clasificada como reservada o confidencial para permitir su acceso.</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 xml:space="preserve">Artículo 91. </w:t>
      </w:r>
      <w:r w:rsidRPr="00111B4E">
        <w:rPr>
          <w:rFonts w:ascii="Palatino Linotype" w:eastAsia="Palatino Linotype" w:hAnsi="Palatino Linotype" w:cs="Palatino Linotype"/>
          <w:i/>
          <w:lang w:val="es-ES_tradnl" w:eastAsia="es-MX"/>
        </w:rPr>
        <w:t>El acceso a la información pública será restringido excepcionalmente, cuando ésta sea clasificada como reservada o confidencial.</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lastRenderedPageBreak/>
        <w:t>Artículo 132.</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i/>
          <w:u w:val="single"/>
          <w:lang w:val="es-ES_tradnl" w:eastAsia="es-MX"/>
        </w:rPr>
        <w:t>La clasificación de la información se llevará a cabo en el momento en que</w:t>
      </w:r>
      <w:r w:rsidRPr="00111B4E">
        <w:rPr>
          <w:rFonts w:ascii="Palatino Linotype" w:eastAsia="Palatino Linotype" w:hAnsi="Palatino Linotype" w:cs="Palatino Linotype"/>
          <w:i/>
          <w:lang w:val="es-ES_tradnl" w:eastAsia="es-MX"/>
        </w:rPr>
        <w:t>:</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I.</w:t>
      </w:r>
      <w:r w:rsidRPr="00111B4E">
        <w:rPr>
          <w:rFonts w:ascii="Palatino Linotype" w:eastAsia="Palatino Linotype" w:hAnsi="Palatino Linotype" w:cs="Palatino Linotype"/>
          <w:i/>
          <w:lang w:val="es-ES_tradnl" w:eastAsia="es-MX"/>
        </w:rPr>
        <w:t xml:space="preserve"> Se reciba una solicitud de acceso a la información;</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II.</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i/>
          <w:u w:val="single"/>
          <w:lang w:val="es-ES_tradnl" w:eastAsia="es-MX"/>
        </w:rPr>
        <w:t>Se determine mediante resolución de autoridad competente; o</w:t>
      </w:r>
    </w:p>
    <w:p w:rsidR="00462F1D" w:rsidRPr="00111B4E" w:rsidRDefault="00462F1D" w:rsidP="00462F1D">
      <w:pPr>
        <w:ind w:left="567" w:right="567"/>
        <w:jc w:val="both"/>
        <w:rPr>
          <w:rFonts w:ascii="Palatino Linotype" w:eastAsia="Palatino Linotype" w:hAnsi="Palatino Linotype" w:cs="Palatino Linotype"/>
          <w:i/>
          <w:u w:val="single"/>
          <w:lang w:val="es-ES_tradnl" w:eastAsia="es-MX"/>
        </w:rPr>
      </w:pPr>
      <w:r w:rsidRPr="00111B4E">
        <w:rPr>
          <w:rFonts w:ascii="Palatino Linotype" w:eastAsia="Palatino Linotype" w:hAnsi="Palatino Linotype" w:cs="Palatino Linotype"/>
          <w:b/>
          <w:i/>
          <w:lang w:val="es-ES_tradnl" w:eastAsia="es-MX"/>
        </w:rPr>
        <w:t>III.</w:t>
      </w:r>
      <w:r w:rsidRPr="00111B4E">
        <w:rPr>
          <w:rFonts w:ascii="Palatino Linotype" w:eastAsia="Palatino Linotype" w:hAnsi="Palatino Linotype" w:cs="Palatino Linotype"/>
          <w:i/>
          <w:lang w:val="es-ES_tradnl" w:eastAsia="es-MX"/>
        </w:rPr>
        <w:t xml:space="preserve"> </w:t>
      </w:r>
      <w:r w:rsidRPr="00111B4E">
        <w:rPr>
          <w:rFonts w:ascii="Palatino Linotype" w:eastAsia="Palatino Linotype" w:hAnsi="Palatino Linotype" w:cs="Palatino Linotype"/>
          <w:i/>
          <w:u w:val="single"/>
          <w:lang w:val="es-ES_tradnl" w:eastAsia="es-MX"/>
        </w:rPr>
        <w:t>Se generen versiones públicas para dar cumplimiento a las obligaciones de transparencia previstas en esta Ley.</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w:t>
      </w:r>
    </w:p>
    <w:p w:rsidR="00462F1D" w:rsidRPr="00111B4E" w:rsidRDefault="00462F1D" w:rsidP="00462F1D">
      <w:pPr>
        <w:spacing w:line="360" w:lineRule="auto"/>
        <w:jc w:val="both"/>
        <w:rPr>
          <w:rFonts w:ascii="Palatino Linotype" w:eastAsia="Palatino Linotype" w:hAnsi="Palatino Linotype" w:cs="Palatino Linotype"/>
          <w:i/>
          <w:lang w:val="es-ES_tradnl" w:eastAsia="es-MX"/>
        </w:rPr>
      </w:pP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r w:rsidRPr="00111B4E">
        <w:rPr>
          <w:rFonts w:ascii="Palatino Linotype" w:eastAsia="Palatino Linotype" w:hAnsi="Palatino Linotype" w:cs="Palatino Linotype"/>
          <w:sz w:val="24"/>
          <w:szCs w:val="24"/>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r w:rsidRPr="00111B4E">
        <w:rPr>
          <w:rFonts w:ascii="Palatino Linotype" w:eastAsia="Palatino Linotype" w:hAnsi="Palatino Linotype" w:cs="Palatino Linotype"/>
          <w:sz w:val="24"/>
          <w:szCs w:val="24"/>
          <w:lang w:val="es-ES_tradnl" w:eastAsia="es-MX"/>
        </w:rPr>
        <w:t xml:space="preserve">Por otro lado, los </w:t>
      </w:r>
      <w:r w:rsidRPr="00111B4E">
        <w:rPr>
          <w:rFonts w:ascii="Palatino Linotype" w:eastAsia="Palatino Linotype" w:hAnsi="Palatino Linotype" w:cs="Palatino Linotype"/>
          <w:iCs/>
          <w:sz w:val="24"/>
          <w:szCs w:val="24"/>
          <w:lang w:val="es-ES_tradnl" w:eastAsia="es-MX"/>
        </w:rPr>
        <w:t>Lineamientos Generales en Materia de Clasificación y Desclasificación de la Información, así como para la elaboración de Versiones Públicas</w:t>
      </w:r>
      <w:r w:rsidRPr="00111B4E">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r w:rsidRPr="00111B4E">
        <w:rPr>
          <w:rFonts w:ascii="Palatino Linotype" w:eastAsia="Palatino Linotype" w:hAnsi="Palatino Linotype" w:cs="Palatino Linotype"/>
          <w:sz w:val="24"/>
          <w:szCs w:val="24"/>
          <w:lang w:val="es-ES_tradnl" w:eastAsia="es-MX"/>
        </w:rPr>
        <w:lastRenderedPageBreak/>
        <w:t>Entorno a lo que aquí nos interesa, los Lineamientos Quincuagésimo sexto, Quincuagésimo séptimo y Quincuagésimo octavo, establecen lo siguiente:</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Quincuagésimo sexto.</w:t>
      </w:r>
      <w:r w:rsidRPr="00111B4E">
        <w:rPr>
          <w:rFonts w:ascii="Palatino Linotype" w:eastAsia="Palatino Linotype" w:hAnsi="Palatino Linotype" w:cs="Palatino Linotype"/>
          <w:i/>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Quincuagésimo séptimo.</w:t>
      </w:r>
      <w:r w:rsidRPr="00111B4E">
        <w:rPr>
          <w:rFonts w:ascii="Palatino Linotype" w:eastAsia="Palatino Linotype" w:hAnsi="Palatino Linotype" w:cs="Palatino Linotype"/>
          <w:i/>
          <w:lang w:val="es-ES_tradnl" w:eastAsia="es-MX"/>
        </w:rPr>
        <w:t xml:space="preserve"> Se considera, en principio, como información pública y no podrá omitirse de las versiones públicas la siguiente:</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 xml:space="preserve">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 xml:space="preserve">I. La relativa a las Obligaciones de Transparencia que contempla el Título V de la Ley General y las demás disposiciones legales aplicables;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i/>
          <w:lang w:val="es-ES_tradnl" w:eastAsia="es-MX"/>
        </w:rPr>
        <w:t xml:space="preserve">Lo anterior, siempre y cuando no se acredite alguna causal de clasificación, prevista en las leyes o en los tratados internacionales suscritos por el Estado mexicano. </w:t>
      </w:r>
    </w:p>
    <w:p w:rsidR="00462F1D" w:rsidRPr="00111B4E" w:rsidRDefault="00462F1D" w:rsidP="00462F1D">
      <w:pPr>
        <w:ind w:left="567" w:right="567"/>
        <w:jc w:val="both"/>
        <w:rPr>
          <w:rFonts w:ascii="Palatino Linotype" w:eastAsia="Palatino Linotype" w:hAnsi="Palatino Linotype" w:cs="Palatino Linotype"/>
          <w:i/>
          <w:lang w:val="es-ES_tradnl" w:eastAsia="es-MX"/>
        </w:rPr>
      </w:pPr>
    </w:p>
    <w:p w:rsidR="00462F1D" w:rsidRPr="00111B4E" w:rsidRDefault="00462F1D" w:rsidP="00462F1D">
      <w:pPr>
        <w:ind w:left="567" w:right="567"/>
        <w:jc w:val="both"/>
        <w:rPr>
          <w:rFonts w:ascii="Palatino Linotype" w:eastAsia="Palatino Linotype" w:hAnsi="Palatino Linotype" w:cs="Palatino Linotype"/>
          <w:i/>
          <w:lang w:val="es-ES_tradnl" w:eastAsia="es-MX"/>
        </w:rPr>
      </w:pPr>
      <w:r w:rsidRPr="00111B4E">
        <w:rPr>
          <w:rFonts w:ascii="Palatino Linotype" w:eastAsia="Palatino Linotype" w:hAnsi="Palatino Linotype" w:cs="Palatino Linotype"/>
          <w:b/>
          <w:i/>
          <w:lang w:val="es-ES_tradnl" w:eastAsia="es-MX"/>
        </w:rPr>
        <w:t>Quincuagésimo octavo.</w:t>
      </w:r>
      <w:r w:rsidRPr="00111B4E">
        <w:rPr>
          <w:rFonts w:ascii="Palatino Linotype" w:eastAsia="Palatino Linotype" w:hAnsi="Palatino Linotype" w:cs="Palatino Linotype"/>
          <w:i/>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rsidR="00462F1D" w:rsidRPr="00111B4E" w:rsidRDefault="00462F1D" w:rsidP="00462F1D">
      <w:pPr>
        <w:spacing w:line="360" w:lineRule="auto"/>
        <w:jc w:val="both"/>
        <w:rPr>
          <w:rFonts w:ascii="Palatino Linotype" w:eastAsia="Palatino Linotype" w:hAnsi="Palatino Linotype" w:cs="Palatino Linotype"/>
          <w:i/>
          <w:sz w:val="24"/>
          <w:szCs w:val="24"/>
          <w:lang w:val="es-ES_tradnl" w:eastAsia="es-MX"/>
        </w:rPr>
      </w:pPr>
    </w:p>
    <w:p w:rsidR="00462F1D" w:rsidRPr="00111B4E" w:rsidRDefault="00462F1D" w:rsidP="00462F1D">
      <w:pPr>
        <w:spacing w:line="360" w:lineRule="auto"/>
        <w:jc w:val="both"/>
        <w:rPr>
          <w:rFonts w:ascii="Palatino Linotype" w:eastAsia="Palatino Linotype" w:hAnsi="Palatino Linotype" w:cs="Palatino Linotype"/>
          <w:sz w:val="24"/>
          <w:szCs w:val="24"/>
          <w:lang w:val="es-ES_tradnl" w:eastAsia="es-MX"/>
        </w:rPr>
      </w:pPr>
      <w:r w:rsidRPr="00111B4E">
        <w:rPr>
          <w:rFonts w:ascii="Palatino Linotype" w:eastAsia="Palatino Linotype" w:hAnsi="Palatino Linotype" w:cs="Palatino Linotype"/>
          <w:sz w:val="24"/>
          <w:szCs w:val="24"/>
          <w:lang w:val="es-ES_tradnl" w:eastAsia="es-MX"/>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rsidR="00670444" w:rsidRPr="00111B4E" w:rsidRDefault="00670444" w:rsidP="00462F1D">
      <w:pPr>
        <w:spacing w:line="360" w:lineRule="auto"/>
        <w:jc w:val="both"/>
        <w:rPr>
          <w:rFonts w:ascii="Palatino Linotype" w:eastAsia="Palatino Linotype" w:hAnsi="Palatino Linotype" w:cs="Palatino Linotype"/>
          <w:sz w:val="24"/>
          <w:szCs w:val="24"/>
          <w:lang w:val="es-ES_tradnl" w:eastAsia="es-MX"/>
        </w:rPr>
      </w:pPr>
    </w:p>
    <w:p w:rsidR="00740BC4" w:rsidRPr="00111B4E" w:rsidRDefault="00740BC4" w:rsidP="003603FE">
      <w:pPr>
        <w:widowControl w:val="0"/>
        <w:spacing w:line="360" w:lineRule="auto"/>
        <w:jc w:val="both"/>
        <w:rPr>
          <w:rFonts w:ascii="Palatino Linotype" w:hAnsi="Palatino Linotype"/>
          <w:sz w:val="24"/>
          <w:szCs w:val="24"/>
        </w:rPr>
      </w:pPr>
      <w:r w:rsidRPr="00111B4E">
        <w:rPr>
          <w:rFonts w:ascii="Palatino Linotype" w:hAnsi="Palatino Linotype"/>
          <w:bCs/>
          <w:sz w:val="24"/>
          <w:szCs w:val="24"/>
        </w:rPr>
        <w:t xml:space="preserve">Por otro lado, </w:t>
      </w:r>
      <w:r w:rsidRPr="00111B4E">
        <w:rPr>
          <w:rFonts w:ascii="Palatino Linotype" w:hAnsi="Palatino Linotype"/>
          <w:sz w:val="24"/>
          <w:szCs w:val="24"/>
        </w:rPr>
        <w:t xml:space="preserve">referente </w:t>
      </w:r>
      <w:r w:rsidR="003603FE" w:rsidRPr="00111B4E">
        <w:rPr>
          <w:rFonts w:ascii="Palatino Linotype" w:hAnsi="Palatino Linotype"/>
          <w:sz w:val="24"/>
          <w:szCs w:val="24"/>
        </w:rPr>
        <w:t>a las</w:t>
      </w:r>
      <w:r w:rsidRPr="00111B4E">
        <w:rPr>
          <w:rFonts w:ascii="Palatino Linotype" w:hAnsi="Palatino Linotype"/>
          <w:sz w:val="24"/>
          <w:szCs w:val="24"/>
        </w:rPr>
        <w:t xml:space="preserve"> caracter</w:t>
      </w:r>
      <w:r w:rsidR="003603FE" w:rsidRPr="00111B4E">
        <w:rPr>
          <w:rFonts w:ascii="Palatino Linotype" w:hAnsi="Palatino Linotype"/>
          <w:sz w:val="24"/>
          <w:szCs w:val="24"/>
        </w:rPr>
        <w:t>ísticas especiales de patrullas</w:t>
      </w:r>
      <w:r w:rsidRPr="00111B4E">
        <w:rPr>
          <w:rFonts w:ascii="Palatino Linotype" w:hAnsi="Palatino Linotype"/>
          <w:sz w:val="24"/>
          <w:szCs w:val="24"/>
        </w:rPr>
        <w:t>, las documentales en donde obren dichos datos</w:t>
      </w:r>
      <w:proofErr w:type="gramStart"/>
      <w:r w:rsidRPr="00111B4E">
        <w:rPr>
          <w:rFonts w:ascii="Palatino Linotype" w:hAnsi="Palatino Linotype"/>
          <w:sz w:val="24"/>
          <w:szCs w:val="24"/>
        </w:rPr>
        <w:t>,  puede</w:t>
      </w:r>
      <w:proofErr w:type="gramEnd"/>
      <w:r w:rsidRPr="00111B4E">
        <w:rPr>
          <w:rFonts w:ascii="Palatino Linotype" w:hAnsi="Palatino Linotype"/>
          <w:sz w:val="24"/>
          <w:szCs w:val="24"/>
        </w:rPr>
        <w:t xml:space="preserve"> contener partes de información que se debe de clasificar como reservada, como se analiza en las líneas subsecuentes.  Por ello, se cita el contenido d</w:t>
      </w:r>
      <w:r w:rsidRPr="00111B4E">
        <w:rPr>
          <w:rFonts w:ascii="Palatino Linotype" w:hAnsi="Palatino Linotype"/>
          <w:color w:val="000000"/>
          <w:sz w:val="24"/>
          <w:szCs w:val="24"/>
        </w:rPr>
        <w:t>el artículo 81 de la Ley de Seguridad del Estado de México, que establece lo siguiente:</w:t>
      </w:r>
    </w:p>
    <w:p w:rsidR="00740BC4" w:rsidRPr="00111B4E" w:rsidRDefault="00740BC4" w:rsidP="003603FE">
      <w:pPr>
        <w:spacing w:line="240" w:lineRule="auto"/>
        <w:ind w:left="567" w:right="567"/>
        <w:jc w:val="both"/>
        <w:rPr>
          <w:rFonts w:ascii="Palatino Linotype" w:hAnsi="Palatino Linotype"/>
          <w:i/>
          <w:color w:val="000000"/>
        </w:rPr>
      </w:pPr>
      <w:r w:rsidRPr="00111B4E">
        <w:rPr>
          <w:rFonts w:ascii="Palatino Linotype" w:hAnsi="Palatino Linotype"/>
          <w:b/>
          <w:i/>
          <w:color w:val="000000"/>
        </w:rPr>
        <w:t>“Artículo 81.-</w:t>
      </w:r>
      <w:r w:rsidRPr="00111B4E">
        <w:rPr>
          <w:rFonts w:ascii="Palatino Linotype" w:hAnsi="Palatino Linotype"/>
          <w:i/>
          <w:color w:val="00000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740BC4" w:rsidRPr="00111B4E" w:rsidRDefault="00740BC4" w:rsidP="003603FE">
      <w:pPr>
        <w:spacing w:line="240" w:lineRule="auto"/>
        <w:ind w:left="567" w:right="567"/>
        <w:jc w:val="both"/>
        <w:rPr>
          <w:rFonts w:ascii="Palatino Linotype" w:hAnsi="Palatino Linotype"/>
          <w:i/>
          <w:color w:val="000000"/>
        </w:rPr>
      </w:pPr>
    </w:p>
    <w:p w:rsidR="00740BC4" w:rsidRPr="00111B4E" w:rsidRDefault="00740BC4" w:rsidP="003603FE">
      <w:pPr>
        <w:spacing w:line="240" w:lineRule="auto"/>
        <w:ind w:left="567" w:right="567"/>
        <w:jc w:val="both"/>
        <w:rPr>
          <w:rFonts w:ascii="Palatino Linotype" w:hAnsi="Palatino Linotype"/>
          <w:i/>
          <w:color w:val="000000"/>
        </w:rPr>
      </w:pPr>
      <w:r w:rsidRPr="00111B4E">
        <w:rPr>
          <w:rFonts w:ascii="Palatino Linotype" w:hAnsi="Palatino Linotype"/>
          <w:b/>
          <w:i/>
          <w:color w:val="000000"/>
          <w:u w:val="single"/>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r w:rsidRPr="00111B4E">
        <w:rPr>
          <w:rFonts w:ascii="Palatino Linotype" w:hAnsi="Palatino Linotype"/>
          <w:i/>
          <w:color w:val="000000"/>
        </w:rPr>
        <w:t xml:space="preserve">; </w:t>
      </w:r>
    </w:p>
    <w:p w:rsidR="00740BC4" w:rsidRPr="00111B4E" w:rsidRDefault="00740BC4" w:rsidP="003603FE">
      <w:pPr>
        <w:spacing w:line="240" w:lineRule="auto"/>
        <w:ind w:left="567" w:right="567"/>
        <w:jc w:val="both"/>
        <w:rPr>
          <w:rFonts w:ascii="Palatino Linotype" w:hAnsi="Palatino Linotype"/>
          <w:i/>
          <w:color w:val="000000"/>
        </w:rPr>
      </w:pPr>
    </w:p>
    <w:p w:rsidR="00740BC4" w:rsidRPr="00111B4E" w:rsidRDefault="00740BC4" w:rsidP="003603FE">
      <w:pPr>
        <w:spacing w:line="240" w:lineRule="auto"/>
        <w:ind w:left="567" w:right="567"/>
        <w:jc w:val="both"/>
        <w:rPr>
          <w:rFonts w:ascii="Palatino Linotype" w:hAnsi="Palatino Linotype"/>
          <w:b/>
          <w:i/>
          <w:color w:val="000000"/>
          <w:u w:val="single"/>
        </w:rPr>
      </w:pPr>
      <w:r w:rsidRPr="00111B4E">
        <w:rPr>
          <w:rFonts w:ascii="Palatino Linotype" w:hAnsi="Palatino Linotype"/>
          <w:b/>
          <w:i/>
          <w:color w:val="000000"/>
          <w:u w:val="single"/>
        </w:rPr>
        <w:t xml:space="preserve">II. Aquella cuya revelación pueda ser utilizada para actualizar o potenciar una amenaza a la seguridad pública o a las instituciones del Estado de México; </w:t>
      </w:r>
    </w:p>
    <w:p w:rsidR="00740BC4" w:rsidRPr="00111B4E" w:rsidRDefault="00740BC4" w:rsidP="003603FE">
      <w:pPr>
        <w:spacing w:line="240" w:lineRule="auto"/>
        <w:ind w:left="567" w:right="567"/>
        <w:jc w:val="both"/>
        <w:rPr>
          <w:rFonts w:ascii="Palatino Linotype" w:hAnsi="Palatino Linotype"/>
          <w:i/>
          <w:color w:val="000000"/>
        </w:rPr>
      </w:pPr>
      <w:r w:rsidRPr="00111B4E">
        <w:rPr>
          <w:rFonts w:ascii="Palatino Linotype" w:hAnsi="Palatino Linotype"/>
          <w:i/>
          <w:color w:val="000000"/>
        </w:rPr>
        <w:t>…</w:t>
      </w:r>
    </w:p>
    <w:p w:rsidR="00740BC4" w:rsidRPr="00111B4E" w:rsidRDefault="00740BC4" w:rsidP="003603FE">
      <w:pPr>
        <w:spacing w:line="240" w:lineRule="auto"/>
        <w:ind w:left="567" w:right="567"/>
        <w:jc w:val="both"/>
        <w:rPr>
          <w:rFonts w:ascii="Palatino Linotype" w:hAnsi="Palatino Linotype"/>
          <w:i/>
          <w:color w:val="000000"/>
        </w:rPr>
      </w:pPr>
      <w:r w:rsidRPr="00111B4E">
        <w:rPr>
          <w:rFonts w:ascii="Palatino Linotype" w:hAnsi="Palatino Linotype"/>
          <w:b/>
          <w:i/>
          <w:color w:val="000000"/>
        </w:rPr>
        <w:t xml:space="preserve">IV. </w:t>
      </w:r>
      <w:r w:rsidRPr="00111B4E">
        <w:rPr>
          <w:rFonts w:ascii="Palatino Linotype" w:hAnsi="Palatino Linotype"/>
          <w:i/>
          <w:color w:val="000000"/>
        </w:rPr>
        <w:t xml:space="preserve">La que sea producto de una intervención de comunicaciones privadas autorizadas conforme a la Constitución Federal y las disposiciones legales correspondientes; y </w:t>
      </w:r>
    </w:p>
    <w:p w:rsidR="00740BC4" w:rsidRPr="00111B4E" w:rsidRDefault="00740BC4" w:rsidP="003603FE">
      <w:pPr>
        <w:spacing w:line="240" w:lineRule="auto"/>
        <w:ind w:left="567" w:right="567"/>
        <w:jc w:val="both"/>
        <w:rPr>
          <w:rFonts w:ascii="Palatino Linotype" w:hAnsi="Palatino Linotype"/>
          <w:i/>
          <w:color w:val="000000"/>
        </w:rPr>
      </w:pPr>
    </w:p>
    <w:p w:rsidR="00740BC4" w:rsidRPr="00111B4E" w:rsidRDefault="00740BC4" w:rsidP="003603FE">
      <w:pPr>
        <w:spacing w:line="240" w:lineRule="auto"/>
        <w:ind w:left="567" w:right="567"/>
        <w:jc w:val="both"/>
        <w:rPr>
          <w:rFonts w:ascii="Palatino Linotype" w:hAnsi="Palatino Linotype"/>
          <w:i/>
          <w:color w:val="000000"/>
        </w:rPr>
      </w:pPr>
      <w:r w:rsidRPr="00111B4E">
        <w:rPr>
          <w:rFonts w:ascii="Palatino Linotype" w:hAnsi="Palatino Linotype"/>
          <w:b/>
          <w:i/>
          <w:color w:val="000000"/>
        </w:rPr>
        <w:t>V.</w:t>
      </w:r>
      <w:r w:rsidRPr="00111B4E">
        <w:rPr>
          <w:rFonts w:ascii="Palatino Linotype" w:hAnsi="Palatino Linotype"/>
          <w:i/>
          <w:color w:val="000000"/>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00740BC4" w:rsidRPr="00111B4E" w:rsidRDefault="00740BC4" w:rsidP="00740BC4">
      <w:pPr>
        <w:rPr>
          <w:rFonts w:ascii="Palatino Linotype" w:hAnsi="Palatino Linotype"/>
          <w:color w:val="000000"/>
          <w:sz w:val="24"/>
          <w:szCs w:val="24"/>
        </w:rPr>
      </w:pPr>
    </w:p>
    <w:p w:rsidR="00740BC4" w:rsidRPr="00111B4E" w:rsidRDefault="00740BC4" w:rsidP="003603FE">
      <w:pPr>
        <w:spacing w:line="360" w:lineRule="auto"/>
        <w:jc w:val="both"/>
        <w:rPr>
          <w:rFonts w:ascii="Palatino Linotype" w:hAnsi="Palatino Linotype"/>
          <w:color w:val="000000"/>
          <w:sz w:val="24"/>
          <w:szCs w:val="24"/>
        </w:rPr>
      </w:pPr>
      <w:r w:rsidRPr="00111B4E">
        <w:rPr>
          <w:rFonts w:ascii="Palatino Linotype" w:hAnsi="Palatino Linotype"/>
          <w:color w:val="000000"/>
          <w:sz w:val="24"/>
          <w:szCs w:val="24"/>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740BC4" w:rsidRPr="00111B4E" w:rsidRDefault="00740BC4" w:rsidP="003603FE">
      <w:pPr>
        <w:spacing w:line="360" w:lineRule="auto"/>
        <w:jc w:val="both"/>
        <w:rPr>
          <w:rFonts w:ascii="Palatino Linotype" w:hAnsi="Palatino Linotype"/>
          <w:color w:val="000000"/>
          <w:sz w:val="24"/>
          <w:szCs w:val="24"/>
        </w:rPr>
      </w:pPr>
    </w:p>
    <w:p w:rsidR="00740BC4" w:rsidRPr="00111B4E" w:rsidRDefault="00740BC4" w:rsidP="003603FE">
      <w:pPr>
        <w:spacing w:line="360" w:lineRule="auto"/>
        <w:jc w:val="both"/>
        <w:rPr>
          <w:rFonts w:ascii="Palatino Linotype" w:hAnsi="Palatino Linotype"/>
          <w:sz w:val="24"/>
          <w:szCs w:val="24"/>
        </w:rPr>
      </w:pPr>
      <w:r w:rsidRPr="00111B4E">
        <w:rPr>
          <w:rFonts w:ascii="Palatino Linotype" w:hAnsi="Palatino Linotype"/>
          <w:sz w:val="24"/>
          <w:szCs w:val="24"/>
        </w:rPr>
        <w:lastRenderedPageBreak/>
        <w:t xml:space="preserve">Así, respecto a la información clasificada como reservada como se analizó con anterioridad la Ley de Transparencia vigente en nuestra entidad establece en su artículo 140 una serie de hipótesis en las cuales radica la posibilidad de tal clasificación de información, de manera específica el </w:t>
      </w:r>
      <w:r w:rsidRPr="00111B4E">
        <w:rPr>
          <w:rFonts w:ascii="Palatino Linotype" w:hAnsi="Palatino Linotype"/>
          <w:color w:val="000000"/>
          <w:sz w:val="24"/>
          <w:szCs w:val="24"/>
        </w:rPr>
        <w:t>artículo 140, fracción I, de la Ley de Transparencia y Acceso a la Información Pública del Estado de México y Municipios, (homólogo del artículo 113, fracción I de la Ley General de Transparencia y Acceso a la Información Pública), prevé lo siguiente:</w:t>
      </w:r>
    </w:p>
    <w:p w:rsidR="00740BC4" w:rsidRPr="00111B4E" w:rsidRDefault="00740BC4" w:rsidP="00740BC4">
      <w:pPr>
        <w:tabs>
          <w:tab w:val="left" w:pos="4962"/>
        </w:tabs>
        <w:spacing w:line="240" w:lineRule="auto"/>
        <w:ind w:left="567" w:right="567"/>
        <w:rPr>
          <w:rFonts w:ascii="Palatino Linotype" w:hAnsi="Palatino Linotype"/>
          <w:i/>
          <w:color w:val="000000"/>
        </w:rPr>
      </w:pPr>
      <w:r w:rsidRPr="00111B4E">
        <w:rPr>
          <w:rFonts w:ascii="Palatino Linotype" w:hAnsi="Palatino Linotype"/>
          <w:i/>
          <w:color w:val="000000"/>
        </w:rPr>
        <w:t>“</w:t>
      </w:r>
      <w:r w:rsidRPr="00111B4E">
        <w:rPr>
          <w:rFonts w:ascii="Palatino Linotype" w:hAnsi="Palatino Linotype"/>
          <w:b/>
          <w:i/>
          <w:color w:val="000000"/>
        </w:rPr>
        <w:t>Artículo 140.</w:t>
      </w:r>
      <w:r w:rsidRPr="00111B4E">
        <w:rPr>
          <w:rFonts w:ascii="Palatino Linotype" w:hAnsi="Palatino Linotype"/>
          <w:i/>
          <w:color w:val="000000"/>
        </w:rPr>
        <w:t xml:space="preserve"> El acceso a la información pública será restringido excepcionalmente, cuando por razones de interés público, ésta sea clasificada como reservada, conforme a los criterios siguientes: </w:t>
      </w:r>
    </w:p>
    <w:p w:rsidR="00740BC4" w:rsidRPr="00111B4E" w:rsidRDefault="00740BC4" w:rsidP="00740BC4">
      <w:pPr>
        <w:tabs>
          <w:tab w:val="left" w:pos="4962"/>
        </w:tabs>
        <w:spacing w:line="240" w:lineRule="auto"/>
        <w:ind w:left="567" w:right="567"/>
        <w:rPr>
          <w:rFonts w:ascii="Palatino Linotype" w:hAnsi="Palatino Linotype"/>
          <w:i/>
          <w:color w:val="000000"/>
        </w:rPr>
      </w:pPr>
    </w:p>
    <w:p w:rsidR="00740BC4" w:rsidRPr="00111B4E" w:rsidRDefault="00740BC4" w:rsidP="00740BC4">
      <w:pPr>
        <w:tabs>
          <w:tab w:val="left" w:pos="4962"/>
        </w:tabs>
        <w:spacing w:line="240" w:lineRule="auto"/>
        <w:ind w:left="567" w:right="567"/>
        <w:rPr>
          <w:rFonts w:ascii="Palatino Linotype" w:hAnsi="Palatino Linotype"/>
          <w:b/>
          <w:i/>
          <w:color w:val="000000"/>
          <w:u w:val="single"/>
        </w:rPr>
      </w:pPr>
      <w:r w:rsidRPr="00111B4E">
        <w:rPr>
          <w:rFonts w:ascii="Palatino Linotype" w:hAnsi="Palatino Linotype"/>
          <w:b/>
          <w:i/>
          <w:color w:val="000000"/>
          <w:u w:val="single"/>
        </w:rPr>
        <w:t>I. Comprometa la seguridad pública y cuente con un propósito genuino y un efecto demostrable;</w:t>
      </w:r>
    </w:p>
    <w:p w:rsidR="00740BC4" w:rsidRPr="00111B4E" w:rsidRDefault="00740BC4" w:rsidP="00740BC4">
      <w:pPr>
        <w:tabs>
          <w:tab w:val="left" w:pos="4962"/>
        </w:tabs>
        <w:spacing w:line="240" w:lineRule="auto"/>
        <w:ind w:left="567" w:right="567"/>
        <w:rPr>
          <w:rFonts w:ascii="Palatino Linotype" w:hAnsi="Palatino Linotype"/>
          <w:i/>
          <w:color w:val="000000"/>
        </w:rPr>
      </w:pPr>
      <w:r w:rsidRPr="00111B4E">
        <w:rPr>
          <w:rFonts w:ascii="Palatino Linotype" w:hAnsi="Palatino Linotype"/>
          <w:i/>
          <w:color w:val="000000"/>
        </w:rPr>
        <w:t xml:space="preserve">…” </w:t>
      </w:r>
    </w:p>
    <w:p w:rsidR="00740BC4" w:rsidRPr="00111B4E" w:rsidRDefault="00740BC4" w:rsidP="00740BC4">
      <w:pPr>
        <w:tabs>
          <w:tab w:val="left" w:pos="4962"/>
        </w:tabs>
        <w:ind w:left="567" w:right="567"/>
        <w:rPr>
          <w:rFonts w:ascii="Palatino Linotype" w:hAnsi="Palatino Linotype"/>
          <w:color w:val="000000"/>
          <w:sz w:val="24"/>
          <w:szCs w:val="24"/>
        </w:rPr>
      </w:pPr>
    </w:p>
    <w:p w:rsidR="00740BC4" w:rsidRPr="00111B4E" w:rsidRDefault="00740BC4" w:rsidP="003603FE">
      <w:pPr>
        <w:tabs>
          <w:tab w:val="left" w:pos="4962"/>
        </w:tabs>
        <w:spacing w:line="360" w:lineRule="auto"/>
        <w:jc w:val="both"/>
        <w:rPr>
          <w:rFonts w:ascii="Palatino Linotype" w:hAnsi="Palatino Linotype"/>
          <w:color w:val="000000"/>
          <w:sz w:val="24"/>
          <w:szCs w:val="24"/>
        </w:rPr>
      </w:pPr>
      <w:r w:rsidRPr="00111B4E">
        <w:rPr>
          <w:rFonts w:ascii="Palatino Linotype" w:hAnsi="Palatino Linotype"/>
          <w:color w:val="000000"/>
          <w:sz w:val="24"/>
          <w:szCs w:val="24"/>
        </w:rPr>
        <w:t xml:space="preserve">De dicho precepto normativo se desprende que podrá clasificarse como información reservada aquella cuya publicación comprometa la seguridad pública y cuente con un propósito genuino y un efecto demostrable. </w:t>
      </w:r>
      <w:r w:rsidR="003603FE" w:rsidRPr="00111B4E">
        <w:rPr>
          <w:rFonts w:ascii="Palatino Linotype" w:hAnsi="Palatino Linotype"/>
          <w:color w:val="000000"/>
          <w:sz w:val="24"/>
          <w:szCs w:val="24"/>
        </w:rPr>
        <w:t xml:space="preserve"> </w:t>
      </w:r>
      <w:r w:rsidRPr="00111B4E">
        <w:rPr>
          <w:rFonts w:ascii="Palatino Linotype" w:hAnsi="Palatino Linotype"/>
          <w:color w:val="000000"/>
          <w:sz w:val="24"/>
          <w:szCs w:val="24"/>
        </w:rPr>
        <w:t>Por su parte, los Lineamientos Generales, disponen:</w:t>
      </w:r>
    </w:p>
    <w:p w:rsidR="00740BC4" w:rsidRPr="00111B4E" w:rsidRDefault="00740BC4" w:rsidP="003603FE">
      <w:pPr>
        <w:tabs>
          <w:tab w:val="left" w:pos="4962"/>
        </w:tabs>
        <w:spacing w:line="360" w:lineRule="auto"/>
        <w:ind w:left="567" w:right="567"/>
        <w:jc w:val="both"/>
        <w:rPr>
          <w:rFonts w:ascii="Palatino Linotype" w:hAnsi="Palatino Linotype"/>
          <w:i/>
          <w:color w:val="000000"/>
        </w:rPr>
      </w:pPr>
      <w:r w:rsidRPr="00111B4E">
        <w:rPr>
          <w:rFonts w:ascii="Palatino Linotype" w:hAnsi="Palatino Linotype"/>
          <w:b/>
          <w:color w:val="000000"/>
          <w:sz w:val="24"/>
          <w:szCs w:val="24"/>
        </w:rPr>
        <w:t>“</w:t>
      </w:r>
      <w:r w:rsidRPr="00111B4E">
        <w:rPr>
          <w:rFonts w:ascii="Palatino Linotype" w:hAnsi="Palatino Linotype"/>
          <w:b/>
          <w:i/>
          <w:color w:val="000000"/>
        </w:rPr>
        <w:t>Décimo octavo.</w:t>
      </w:r>
      <w:r w:rsidRPr="00111B4E">
        <w:rPr>
          <w:rFonts w:ascii="Palatino Linotype" w:hAnsi="Palatino Linotype"/>
          <w:i/>
          <w:color w:val="000000"/>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w:t>
      </w:r>
      <w:r w:rsidRPr="00111B4E">
        <w:rPr>
          <w:rFonts w:ascii="Palatino Linotype" w:hAnsi="Palatino Linotype"/>
          <w:i/>
          <w:color w:val="000000"/>
        </w:rPr>
        <w:lastRenderedPageBreak/>
        <w:t xml:space="preserve">Municipios, tendientes a preservar y resguardar la vida, la salud, la integridad y el ejercicio de los derechos de las personas, así como para el mantenimiento del orden público. </w:t>
      </w:r>
    </w:p>
    <w:p w:rsidR="00740BC4" w:rsidRPr="00111B4E" w:rsidRDefault="00740BC4" w:rsidP="003603FE">
      <w:pPr>
        <w:tabs>
          <w:tab w:val="left" w:pos="4962"/>
        </w:tabs>
        <w:spacing w:line="360" w:lineRule="auto"/>
        <w:ind w:left="567" w:right="567"/>
        <w:jc w:val="both"/>
        <w:rPr>
          <w:rFonts w:ascii="Palatino Linotype" w:hAnsi="Palatino Linotype"/>
          <w:i/>
          <w:color w:val="000000"/>
        </w:rPr>
      </w:pPr>
    </w:p>
    <w:p w:rsidR="00740BC4" w:rsidRPr="00111B4E" w:rsidRDefault="00740BC4" w:rsidP="003603FE">
      <w:pPr>
        <w:tabs>
          <w:tab w:val="left" w:pos="4962"/>
        </w:tabs>
        <w:spacing w:line="360" w:lineRule="auto"/>
        <w:ind w:left="567" w:right="567"/>
        <w:jc w:val="both"/>
        <w:rPr>
          <w:rFonts w:ascii="Palatino Linotype" w:hAnsi="Palatino Linotype"/>
          <w:i/>
          <w:color w:val="000000"/>
        </w:rPr>
      </w:pPr>
      <w:r w:rsidRPr="00111B4E">
        <w:rPr>
          <w:rFonts w:ascii="Palatino Linotype" w:hAnsi="Palatino Linotype"/>
          <w:i/>
          <w:color w:val="000000"/>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740BC4" w:rsidRPr="00111B4E" w:rsidRDefault="00740BC4" w:rsidP="003603FE">
      <w:pPr>
        <w:tabs>
          <w:tab w:val="left" w:pos="4962"/>
        </w:tabs>
        <w:spacing w:line="360" w:lineRule="auto"/>
        <w:ind w:left="567" w:right="567"/>
        <w:jc w:val="both"/>
        <w:rPr>
          <w:rFonts w:ascii="Palatino Linotype" w:hAnsi="Palatino Linotype"/>
          <w:i/>
          <w:color w:val="000000"/>
        </w:rPr>
      </w:pPr>
    </w:p>
    <w:p w:rsidR="00740BC4" w:rsidRPr="00111B4E" w:rsidRDefault="00740BC4" w:rsidP="003603FE">
      <w:pPr>
        <w:tabs>
          <w:tab w:val="left" w:pos="4962"/>
        </w:tabs>
        <w:spacing w:line="360" w:lineRule="auto"/>
        <w:ind w:left="567" w:right="567"/>
        <w:jc w:val="both"/>
        <w:rPr>
          <w:rFonts w:ascii="Palatino Linotype" w:hAnsi="Palatino Linotype"/>
          <w:i/>
          <w:color w:val="000000"/>
        </w:rPr>
      </w:pPr>
      <w:r w:rsidRPr="00111B4E">
        <w:rPr>
          <w:rFonts w:ascii="Palatino Linotype" w:hAnsi="Palatino Linotype"/>
          <w:b/>
          <w:i/>
          <w:color w:val="000000"/>
          <w:u w:val="single"/>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r w:rsidRPr="00111B4E">
        <w:rPr>
          <w:rFonts w:ascii="Palatino Linotype" w:hAnsi="Palatino Linotype"/>
          <w:i/>
          <w:color w:val="000000"/>
        </w:rPr>
        <w:t>.”</w:t>
      </w:r>
    </w:p>
    <w:p w:rsidR="00740BC4" w:rsidRPr="00111B4E" w:rsidRDefault="00740BC4" w:rsidP="00740BC4">
      <w:pPr>
        <w:rPr>
          <w:rFonts w:ascii="Palatino Linotype" w:hAnsi="Palatino Linotype"/>
          <w:color w:val="000000"/>
          <w:sz w:val="24"/>
          <w:szCs w:val="24"/>
        </w:rPr>
      </w:pPr>
    </w:p>
    <w:p w:rsidR="00740BC4" w:rsidRPr="00111B4E" w:rsidRDefault="00740BC4" w:rsidP="003603FE">
      <w:pPr>
        <w:spacing w:line="360" w:lineRule="auto"/>
        <w:jc w:val="both"/>
        <w:rPr>
          <w:rFonts w:ascii="Palatino Linotype" w:hAnsi="Palatino Linotype"/>
          <w:color w:val="000000"/>
          <w:sz w:val="24"/>
          <w:szCs w:val="24"/>
        </w:rPr>
      </w:pPr>
      <w:r w:rsidRPr="00111B4E">
        <w:rPr>
          <w:rFonts w:ascii="Palatino Linotype" w:hAnsi="Palatino Linotype"/>
          <w:color w:val="000000"/>
          <w:sz w:val="24"/>
          <w:szCs w:val="24"/>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rsidR="00740BC4" w:rsidRPr="00111B4E" w:rsidRDefault="00740BC4" w:rsidP="003603FE">
      <w:pPr>
        <w:spacing w:line="360" w:lineRule="auto"/>
        <w:jc w:val="both"/>
        <w:rPr>
          <w:rFonts w:ascii="Palatino Linotype" w:hAnsi="Palatino Linotype"/>
          <w:color w:val="000000"/>
          <w:sz w:val="24"/>
          <w:szCs w:val="24"/>
        </w:rPr>
      </w:pPr>
    </w:p>
    <w:p w:rsidR="00740BC4" w:rsidRPr="00111B4E" w:rsidRDefault="00740BC4" w:rsidP="003603FE">
      <w:pPr>
        <w:spacing w:line="360" w:lineRule="auto"/>
        <w:jc w:val="both"/>
        <w:rPr>
          <w:rFonts w:ascii="Palatino Linotype" w:hAnsi="Palatino Linotype"/>
          <w:color w:val="000000"/>
          <w:sz w:val="24"/>
          <w:szCs w:val="24"/>
        </w:rPr>
      </w:pPr>
      <w:r w:rsidRPr="00111B4E">
        <w:rPr>
          <w:rFonts w:ascii="Palatino Linotype" w:hAnsi="Palatino Linotype"/>
          <w:color w:val="000000"/>
          <w:sz w:val="24"/>
          <w:szCs w:val="24"/>
        </w:rPr>
        <w:t xml:space="preserve">De la misma manera, será información clasificada aquella que revele datos que pudieran ser aprovechados para conocer la </w:t>
      </w:r>
      <w:r w:rsidRPr="00111B4E">
        <w:rPr>
          <w:rFonts w:ascii="Palatino Linotype" w:hAnsi="Palatino Linotype"/>
          <w:b/>
          <w:color w:val="000000"/>
          <w:sz w:val="24"/>
          <w:szCs w:val="24"/>
        </w:rPr>
        <w:t>capacidad de reacción</w:t>
      </w:r>
      <w:r w:rsidRPr="00111B4E">
        <w:rPr>
          <w:rFonts w:ascii="Palatino Linotype" w:hAnsi="Palatino Linotype"/>
          <w:color w:val="000000"/>
          <w:sz w:val="24"/>
          <w:szCs w:val="24"/>
        </w:rPr>
        <w:t xml:space="preserve"> de las instituciones encargadas </w:t>
      </w:r>
      <w:r w:rsidRPr="00111B4E">
        <w:rPr>
          <w:rFonts w:ascii="Palatino Linotype" w:hAnsi="Palatino Linotype"/>
          <w:color w:val="000000"/>
          <w:sz w:val="24"/>
          <w:szCs w:val="24"/>
        </w:rPr>
        <w:lastRenderedPageBreak/>
        <w:t>de la seguridad pública, sus planes, estrategias, tecnología, información, sistemas de comunicaciones.</w:t>
      </w:r>
    </w:p>
    <w:p w:rsidR="00740BC4" w:rsidRPr="00111B4E" w:rsidRDefault="00740BC4" w:rsidP="003603FE">
      <w:pPr>
        <w:spacing w:line="360" w:lineRule="auto"/>
        <w:jc w:val="both"/>
        <w:rPr>
          <w:rFonts w:ascii="Palatino Linotype" w:hAnsi="Palatino Linotype"/>
          <w:color w:val="000000"/>
          <w:sz w:val="24"/>
          <w:szCs w:val="24"/>
        </w:rPr>
      </w:pPr>
    </w:p>
    <w:p w:rsidR="00740BC4" w:rsidRPr="00111B4E" w:rsidRDefault="00740BC4" w:rsidP="003603FE">
      <w:pPr>
        <w:spacing w:line="360" w:lineRule="auto"/>
        <w:jc w:val="both"/>
        <w:rPr>
          <w:rFonts w:ascii="Palatino Linotype" w:hAnsi="Palatino Linotype"/>
          <w:sz w:val="24"/>
          <w:szCs w:val="24"/>
        </w:rPr>
      </w:pPr>
      <w:r w:rsidRPr="00111B4E">
        <w:rPr>
          <w:rFonts w:ascii="Palatino Linotype" w:hAnsi="Palatino Linotype"/>
          <w:sz w:val="24"/>
          <w:szCs w:val="24"/>
        </w:rPr>
        <w:t>Así, este Instituto advierte que proporcionar las características o especificaciones de los equipos o armamento adquiridos o arrendados, revelaría la nueva tecnología, sistemas y componentes, con los que cuenta el Sujeto Obligado para el combate a la delincuencia, pues al proporcionar información sobre el armamento y radios con los que cuentan dicha área, se estaría dando cuenta de los aparatos que se utilizan para estar en comunicación los policías municipales, así como, las características del equipo y armamento especial, con el que cuentan el personal, y que es utilizado para mantener la seguridad.</w:t>
      </w:r>
    </w:p>
    <w:p w:rsidR="00740BC4" w:rsidRPr="00111B4E" w:rsidRDefault="00740BC4" w:rsidP="003603FE">
      <w:pPr>
        <w:spacing w:line="360" w:lineRule="auto"/>
        <w:jc w:val="both"/>
        <w:rPr>
          <w:rFonts w:ascii="Palatino Linotype" w:hAnsi="Palatino Linotype"/>
          <w:sz w:val="24"/>
          <w:szCs w:val="24"/>
        </w:rPr>
      </w:pPr>
    </w:p>
    <w:p w:rsidR="00740BC4" w:rsidRPr="00111B4E" w:rsidRDefault="00740BC4" w:rsidP="003603FE">
      <w:pPr>
        <w:spacing w:line="360" w:lineRule="auto"/>
        <w:jc w:val="both"/>
        <w:rPr>
          <w:rFonts w:ascii="Palatino Linotype" w:hAnsi="Palatino Linotype"/>
          <w:sz w:val="24"/>
          <w:szCs w:val="24"/>
        </w:rPr>
      </w:pPr>
      <w:r w:rsidRPr="00111B4E">
        <w:rPr>
          <w:rFonts w:ascii="Palatino Linotype" w:hAnsi="Palatino Linotype"/>
          <w:sz w:val="24"/>
          <w:szCs w:val="24"/>
        </w:rPr>
        <w:t>Inclusive, dar a conocer las especificaciones y características de dicho equipamiento, podría ocasionar que los entes delincuenciales busquen allegarse de instrumentos para disminuir o destruir estos, con el fin de aumentar la inseguridad, pues podría ser utilizada dicha información para buscar las debilidades de las mismas y poderse aprovechar de dichas situaciones para realizar diversos delitos, lo cual va en detrimento de la paz y orden social.</w:t>
      </w:r>
    </w:p>
    <w:p w:rsidR="00740BC4" w:rsidRPr="00111B4E" w:rsidRDefault="00740BC4" w:rsidP="00462F1D">
      <w:pPr>
        <w:spacing w:line="360" w:lineRule="auto"/>
        <w:jc w:val="both"/>
        <w:rPr>
          <w:rFonts w:ascii="Palatino Linotype" w:eastAsia="Palatino Linotype" w:hAnsi="Palatino Linotype" w:cs="Palatino Linotype"/>
          <w:sz w:val="24"/>
          <w:szCs w:val="24"/>
          <w:lang w:val="es-ES_tradnl" w:eastAsia="es-MX"/>
        </w:rPr>
      </w:pP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w:t>
      </w:r>
      <w:r w:rsidRPr="00111B4E">
        <w:rPr>
          <w:rFonts w:ascii="Palatino Linotype" w:hAnsi="Palatino Linotype" w:cs="Arial"/>
          <w:sz w:val="24"/>
          <w:szCs w:val="24"/>
        </w:rPr>
        <w:lastRenderedPageBreak/>
        <w:t>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462F1D" w:rsidRPr="00111B4E" w:rsidRDefault="00462F1D" w:rsidP="00462F1D">
      <w:pPr>
        <w:spacing w:line="360" w:lineRule="auto"/>
        <w:jc w:val="both"/>
        <w:rPr>
          <w:rFonts w:ascii="Palatino Linotype" w:hAnsi="Palatino Linotype" w:cs="Arial"/>
          <w:sz w:val="24"/>
          <w:szCs w:val="24"/>
        </w:rPr>
      </w:pP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w:t>
      </w:r>
      <w:r w:rsidR="00670444" w:rsidRPr="00111B4E">
        <w:rPr>
          <w:rFonts w:ascii="Palatino Linotype" w:hAnsi="Palatino Linotype" w:cs="Arial"/>
          <w:sz w:val="24"/>
          <w:szCs w:val="24"/>
        </w:rPr>
        <w:t xml:space="preserve">ones o argumentos de su actuar. </w:t>
      </w:r>
      <w:r w:rsidRPr="00111B4E">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462F1D" w:rsidRPr="00111B4E" w:rsidRDefault="00462F1D" w:rsidP="00462F1D">
      <w:pPr>
        <w:spacing w:line="360" w:lineRule="auto"/>
        <w:ind w:left="567" w:right="567"/>
        <w:jc w:val="both"/>
        <w:rPr>
          <w:rFonts w:ascii="Palatino Linotype" w:hAnsi="Palatino Linotype" w:cs="Arial"/>
          <w:i/>
        </w:rPr>
      </w:pPr>
      <w:r w:rsidRPr="00111B4E">
        <w:rPr>
          <w:rFonts w:ascii="Palatino Linotype" w:hAnsi="Palatino Linotype" w:cs="Arial"/>
          <w:b/>
          <w:i/>
        </w:rPr>
        <w:t>FUNDAMENTACIÓN Y MOTIVACIÓN</w:t>
      </w:r>
      <w:r w:rsidRPr="00111B4E">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 xml:space="preserve">Así, en un acto de autoridad se surte la debida fundamentación cuando se cita el precepto legal aplicable al caso concreto y la debida motivación cuando se expresan las razones, </w:t>
      </w:r>
      <w:r w:rsidRPr="00111B4E">
        <w:rPr>
          <w:rFonts w:ascii="Palatino Linotype" w:hAnsi="Palatino Linotype" w:cs="Arial"/>
          <w:sz w:val="24"/>
          <w:szCs w:val="24"/>
        </w:rPr>
        <w:lastRenderedPageBreak/>
        <w:t>motivos o circunstancias que tomó en cuenta la autoridad para adecuar el hecho a los fundamentos de derecho</w:t>
      </w:r>
    </w:p>
    <w:p w:rsidR="00462F1D" w:rsidRPr="00111B4E" w:rsidRDefault="00583CCF"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 xml:space="preserve"> </w:t>
      </w:r>
      <w:r w:rsidR="00D127B0" w:rsidRPr="00111B4E">
        <w:rPr>
          <w:rFonts w:ascii="Palatino Linotype" w:hAnsi="Palatino Linotype" w:cs="Arial"/>
          <w:sz w:val="24"/>
          <w:szCs w:val="24"/>
        </w:rPr>
        <w:t xml:space="preserve"> </w:t>
      </w: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62F1D" w:rsidRPr="00111B4E" w:rsidRDefault="00462F1D" w:rsidP="00462F1D">
      <w:pPr>
        <w:spacing w:line="360" w:lineRule="auto"/>
        <w:ind w:left="567" w:right="567"/>
        <w:jc w:val="both"/>
        <w:rPr>
          <w:rFonts w:ascii="Palatino Linotype" w:hAnsi="Palatino Linotype" w:cs="Arial"/>
          <w:i/>
        </w:rPr>
      </w:pPr>
      <w:r w:rsidRPr="00111B4E">
        <w:rPr>
          <w:rFonts w:ascii="Palatino Linotype" w:hAnsi="Palatino Linotype" w:cs="Arial"/>
          <w:b/>
          <w:i/>
        </w:rPr>
        <w:t>FUNDAMENTACIÓN Y MOTIVACIÓN. EL ASPECTO FORMAL DE LA GARANTÍA Y SU FINALIDAD SE TRADUCEN EN EXPLICAR, JUSTIFICAR, POSIBILITAR LA DEFENSA Y COMUNICAR LA DECISIÓN.</w:t>
      </w:r>
      <w:r w:rsidRPr="00111B4E">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w:t>
      </w:r>
      <w:r w:rsidRPr="00111B4E">
        <w:rPr>
          <w:rFonts w:ascii="Palatino Linotype" w:hAnsi="Palatino Linotype" w:cs="Arial"/>
          <w:i/>
        </w:rPr>
        <w:lastRenderedPageBreak/>
        <w:t>que se deduzca la relación de pertenencia lógica de los hechos al derecho invocado, que es la subsunción.</w:t>
      </w:r>
    </w:p>
    <w:p w:rsidR="00462F1D" w:rsidRPr="00111B4E" w:rsidRDefault="00462F1D" w:rsidP="00462F1D">
      <w:pPr>
        <w:spacing w:line="360" w:lineRule="auto"/>
        <w:jc w:val="both"/>
        <w:rPr>
          <w:rFonts w:ascii="Palatino Linotype" w:hAnsi="Palatino Linotype" w:cs="Arial"/>
        </w:rPr>
      </w:pP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62F1D" w:rsidRPr="00111B4E" w:rsidRDefault="00462F1D" w:rsidP="00462F1D">
      <w:pPr>
        <w:spacing w:line="360" w:lineRule="auto"/>
        <w:jc w:val="both"/>
        <w:rPr>
          <w:rFonts w:ascii="Palatino Linotype" w:hAnsi="Palatino Linotype" w:cs="Arial"/>
          <w:sz w:val="24"/>
          <w:szCs w:val="24"/>
        </w:rPr>
      </w:pPr>
    </w:p>
    <w:p w:rsidR="00462F1D" w:rsidRPr="00111B4E" w:rsidRDefault="00462F1D" w:rsidP="00462F1D">
      <w:pPr>
        <w:spacing w:line="360" w:lineRule="auto"/>
        <w:jc w:val="both"/>
        <w:rPr>
          <w:rFonts w:ascii="Palatino Linotype" w:hAnsi="Palatino Linotype" w:cs="Arial"/>
          <w:sz w:val="24"/>
          <w:szCs w:val="24"/>
        </w:rPr>
      </w:pPr>
      <w:r w:rsidRPr="00111B4E">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62F1D" w:rsidRPr="00111B4E" w:rsidRDefault="00462F1D" w:rsidP="00462F1D">
      <w:pPr>
        <w:spacing w:line="360" w:lineRule="auto"/>
        <w:jc w:val="both"/>
        <w:rPr>
          <w:rFonts w:ascii="Palatino Linotype" w:hAnsi="Palatino Linotype" w:cs="Arial"/>
        </w:rPr>
      </w:pPr>
    </w:p>
    <w:p w:rsidR="00462F1D" w:rsidRPr="00111B4E" w:rsidRDefault="00462F1D" w:rsidP="00462F1D">
      <w:pPr>
        <w:spacing w:line="360" w:lineRule="auto"/>
        <w:jc w:val="both"/>
        <w:rPr>
          <w:rFonts w:ascii="Palatino Linotype" w:hAnsi="Palatino Linotype"/>
          <w:sz w:val="24"/>
          <w:szCs w:val="24"/>
        </w:rPr>
      </w:pPr>
      <w:r w:rsidRPr="00111B4E">
        <w:rPr>
          <w:rFonts w:ascii="Palatino Linotype" w:hAnsi="Palatino Linotype" w:cs="Arial"/>
          <w:sz w:val="24"/>
          <w:szCs w:val="24"/>
        </w:rPr>
        <w:lastRenderedPageBreak/>
        <w:t>Final</w:t>
      </w:r>
      <w:r w:rsidRPr="00111B4E">
        <w:rPr>
          <w:rFonts w:ascii="Palatino Linotype" w:hAnsi="Palatino Linotype"/>
          <w:sz w:val="24"/>
          <w:szCs w:val="24"/>
        </w:rPr>
        <w:t xml:space="preserve">mente, y en mérito de lo expuesto en líneas anteriores, con fundamento en la </w:t>
      </w:r>
      <w:r w:rsidRPr="00111B4E">
        <w:rPr>
          <w:rFonts w:ascii="Palatino Linotype" w:hAnsi="Palatino Linotype"/>
          <w:i/>
          <w:sz w:val="24"/>
          <w:szCs w:val="24"/>
        </w:rPr>
        <w:t>primera hipótesis</w:t>
      </w:r>
      <w:r w:rsidRPr="00111B4E">
        <w:rPr>
          <w:rFonts w:ascii="Palatino Linotype" w:hAnsi="Palatino Linotype"/>
          <w:sz w:val="24"/>
          <w:szCs w:val="24"/>
        </w:rPr>
        <w:t xml:space="preserve"> del artículo 186, fracción III, de la Ley de Transparencia y Acceso a la Información Pública del Estado de México y Municipios, se </w:t>
      </w:r>
      <w:r w:rsidRPr="00111B4E">
        <w:rPr>
          <w:rFonts w:ascii="Palatino Linotype" w:hAnsi="Palatino Linotype"/>
          <w:b/>
          <w:sz w:val="24"/>
          <w:szCs w:val="24"/>
        </w:rPr>
        <w:t>REVOC</w:t>
      </w:r>
      <w:r w:rsidRPr="00111B4E">
        <w:rPr>
          <w:rFonts w:ascii="Palatino Linotype" w:hAnsi="Palatino Linotype"/>
          <w:b/>
          <w:bCs/>
          <w:sz w:val="24"/>
          <w:szCs w:val="24"/>
        </w:rPr>
        <w:t>A</w:t>
      </w:r>
      <w:r w:rsidRPr="00111B4E">
        <w:rPr>
          <w:rFonts w:ascii="Palatino Linotype" w:hAnsi="Palatino Linotype"/>
          <w:b/>
          <w:sz w:val="24"/>
          <w:szCs w:val="24"/>
        </w:rPr>
        <w:t xml:space="preserve"> </w:t>
      </w:r>
      <w:r w:rsidRPr="00111B4E">
        <w:rPr>
          <w:rFonts w:ascii="Palatino Linotype" w:hAnsi="Palatino Linotype"/>
          <w:sz w:val="24"/>
          <w:szCs w:val="24"/>
        </w:rPr>
        <w:t xml:space="preserve">la respuesta a la solicitud de información </w:t>
      </w:r>
      <w:r w:rsidR="002A5A3A" w:rsidRPr="00111B4E">
        <w:rPr>
          <w:rFonts w:ascii="Palatino Linotype" w:hAnsi="Palatino Linotype"/>
          <w:b/>
          <w:bCs/>
        </w:rPr>
        <w:t>00064/CHAPULTE/IP/2025</w:t>
      </w:r>
      <w:r w:rsidRPr="00111B4E">
        <w:rPr>
          <w:rFonts w:ascii="Palatino Linotype" w:hAnsi="Palatino Linotype" w:cs="Arial"/>
          <w:b/>
          <w:sz w:val="24"/>
          <w:szCs w:val="24"/>
        </w:rPr>
        <w:t xml:space="preserve">, </w:t>
      </w:r>
      <w:r w:rsidRPr="00111B4E">
        <w:rPr>
          <w:rFonts w:ascii="Palatino Linotype" w:hAnsi="Palatino Linotype"/>
          <w:sz w:val="24"/>
          <w:szCs w:val="24"/>
        </w:rPr>
        <w:t>que ha sido materia del presente fallo.</w:t>
      </w:r>
    </w:p>
    <w:p w:rsidR="00462F1D" w:rsidRPr="00111B4E" w:rsidRDefault="00462F1D" w:rsidP="00462F1D">
      <w:pPr>
        <w:spacing w:line="276" w:lineRule="auto"/>
        <w:jc w:val="both"/>
        <w:rPr>
          <w:rFonts w:ascii="Palatino Linotype" w:hAnsi="Palatino Linotype"/>
          <w:sz w:val="24"/>
          <w:szCs w:val="24"/>
        </w:rPr>
      </w:pPr>
      <w:r w:rsidRPr="00111B4E">
        <w:rPr>
          <w:rFonts w:ascii="Palatino Linotype" w:hAnsi="Palatino Linotype"/>
          <w:sz w:val="24"/>
          <w:szCs w:val="24"/>
        </w:rPr>
        <w:t>Por lo antes expuesto y fundado es de resolverse y;</w:t>
      </w:r>
    </w:p>
    <w:p w:rsidR="00462F1D" w:rsidRPr="00111B4E" w:rsidRDefault="00462F1D" w:rsidP="00462F1D">
      <w:pPr>
        <w:spacing w:line="276" w:lineRule="auto"/>
        <w:jc w:val="both"/>
        <w:rPr>
          <w:rFonts w:ascii="Palatino Linotype" w:hAnsi="Palatino Linotype"/>
        </w:rPr>
      </w:pPr>
    </w:p>
    <w:p w:rsidR="001B7C0F" w:rsidRPr="00111B4E" w:rsidRDefault="001B7C0F" w:rsidP="00462F1D">
      <w:pPr>
        <w:spacing w:line="276" w:lineRule="auto"/>
        <w:jc w:val="both"/>
        <w:rPr>
          <w:rFonts w:ascii="Palatino Linotype" w:hAnsi="Palatino Linotype"/>
        </w:rPr>
      </w:pPr>
    </w:p>
    <w:p w:rsidR="00462F1D" w:rsidRPr="00111B4E" w:rsidRDefault="00462F1D" w:rsidP="00462F1D">
      <w:pPr>
        <w:spacing w:line="360" w:lineRule="auto"/>
        <w:jc w:val="center"/>
        <w:rPr>
          <w:rFonts w:ascii="Palatino Linotype" w:hAnsi="Palatino Linotype"/>
          <w:b/>
          <w:sz w:val="28"/>
        </w:rPr>
      </w:pPr>
      <w:r w:rsidRPr="00111B4E">
        <w:rPr>
          <w:rFonts w:ascii="Palatino Linotype" w:hAnsi="Palatino Linotype"/>
          <w:b/>
          <w:sz w:val="28"/>
        </w:rPr>
        <w:t>S E    R E S U E L V E</w:t>
      </w:r>
    </w:p>
    <w:p w:rsidR="00462F1D" w:rsidRPr="00111B4E" w:rsidRDefault="00462F1D" w:rsidP="00462F1D">
      <w:pPr>
        <w:spacing w:line="360" w:lineRule="auto"/>
        <w:jc w:val="both"/>
      </w:pPr>
    </w:p>
    <w:p w:rsidR="00462F1D" w:rsidRPr="00111B4E" w:rsidRDefault="00462F1D" w:rsidP="00462F1D">
      <w:pPr>
        <w:spacing w:line="360" w:lineRule="auto"/>
        <w:jc w:val="both"/>
        <w:rPr>
          <w:rFonts w:ascii="Palatino Linotype" w:hAnsi="Palatino Linotype" w:cs="Arial"/>
          <w:b/>
        </w:rPr>
      </w:pPr>
      <w:r w:rsidRPr="00111B4E">
        <w:rPr>
          <w:rFonts w:ascii="Palatino Linotype" w:hAnsi="Palatino Linotype" w:cs="Arial"/>
          <w:b/>
          <w:sz w:val="28"/>
          <w:lang w:val="es-ES_tradnl"/>
        </w:rPr>
        <w:t>PRIMERO.</w:t>
      </w:r>
      <w:r w:rsidRPr="00111B4E">
        <w:rPr>
          <w:rFonts w:ascii="Palatino Linotype" w:hAnsi="Palatino Linotype" w:cs="Arial"/>
          <w:sz w:val="28"/>
          <w:lang w:val="es-ES_tradnl"/>
        </w:rPr>
        <w:t xml:space="preserve"> </w:t>
      </w:r>
      <w:r w:rsidRPr="00111B4E">
        <w:rPr>
          <w:rFonts w:ascii="Palatino Linotype" w:eastAsia="Arial Unicode MS" w:hAnsi="Palatino Linotype" w:cs="Arial"/>
          <w:sz w:val="24"/>
          <w:szCs w:val="24"/>
        </w:rPr>
        <w:t>Se</w:t>
      </w:r>
      <w:r w:rsidRPr="00111B4E">
        <w:rPr>
          <w:rFonts w:ascii="Palatino Linotype" w:hAnsi="Palatino Linotype" w:cs="Arial"/>
          <w:sz w:val="24"/>
          <w:szCs w:val="24"/>
          <w:lang w:val="es-ES_tradnl"/>
        </w:rPr>
        <w:t xml:space="preserve"> </w:t>
      </w:r>
      <w:r w:rsidRPr="00111B4E">
        <w:rPr>
          <w:rFonts w:ascii="Palatino Linotype" w:hAnsi="Palatino Linotype" w:cs="Arial"/>
          <w:b/>
          <w:sz w:val="24"/>
          <w:szCs w:val="24"/>
          <w:lang w:val="es-419"/>
        </w:rPr>
        <w:t>REVOCA</w:t>
      </w:r>
      <w:r w:rsidRPr="00111B4E">
        <w:rPr>
          <w:rFonts w:ascii="Palatino Linotype" w:hAnsi="Palatino Linotype" w:cs="Arial"/>
          <w:sz w:val="24"/>
          <w:szCs w:val="24"/>
          <w:lang w:val="es-ES_tradnl"/>
        </w:rPr>
        <w:t xml:space="preserve"> </w:t>
      </w:r>
      <w:r w:rsidRPr="00111B4E">
        <w:rPr>
          <w:rFonts w:ascii="Palatino Linotype" w:eastAsia="Arial Unicode MS" w:hAnsi="Palatino Linotype" w:cs="Arial"/>
          <w:sz w:val="24"/>
          <w:szCs w:val="24"/>
        </w:rPr>
        <w:t xml:space="preserve">la respuesta entregada por </w:t>
      </w:r>
      <w:r w:rsidRPr="00111B4E">
        <w:rPr>
          <w:rFonts w:ascii="Palatino Linotype" w:eastAsia="Arial Unicode MS" w:hAnsi="Palatino Linotype" w:cs="Arial"/>
          <w:b/>
          <w:sz w:val="24"/>
          <w:szCs w:val="24"/>
        </w:rPr>
        <w:t xml:space="preserve">el Sujeto Obligado </w:t>
      </w:r>
      <w:r w:rsidRPr="00111B4E">
        <w:rPr>
          <w:rFonts w:ascii="Palatino Linotype" w:eastAsia="Arial Unicode MS" w:hAnsi="Palatino Linotype" w:cs="Arial"/>
          <w:sz w:val="24"/>
          <w:szCs w:val="24"/>
        </w:rPr>
        <w:t xml:space="preserve">a la solicitud de información número </w:t>
      </w:r>
      <w:r w:rsidR="002A5A3A" w:rsidRPr="00111B4E">
        <w:rPr>
          <w:rFonts w:ascii="Palatino Linotype" w:hAnsi="Palatino Linotype"/>
          <w:b/>
          <w:bCs/>
        </w:rPr>
        <w:t>00064/CHAPULTE/IP/2025</w:t>
      </w:r>
      <w:r w:rsidRPr="00111B4E">
        <w:rPr>
          <w:rFonts w:ascii="Palatino Linotype" w:hAnsi="Palatino Linotype" w:cs="Arial"/>
          <w:sz w:val="24"/>
          <w:szCs w:val="24"/>
        </w:rPr>
        <w:t xml:space="preserve">, </w:t>
      </w:r>
      <w:r w:rsidRPr="00111B4E">
        <w:rPr>
          <w:rFonts w:ascii="Palatino Linotype" w:eastAsia="Arial Unicode MS" w:hAnsi="Palatino Linotype" w:cs="Arial"/>
          <w:sz w:val="24"/>
          <w:szCs w:val="24"/>
        </w:rPr>
        <w:t xml:space="preserve">en términos del </w:t>
      </w:r>
      <w:r w:rsidRPr="00111B4E">
        <w:rPr>
          <w:rFonts w:ascii="Palatino Linotype" w:hAnsi="Palatino Linotype" w:cs="Arial"/>
          <w:sz w:val="24"/>
          <w:szCs w:val="24"/>
        </w:rPr>
        <w:t xml:space="preserve">Considerando </w:t>
      </w:r>
      <w:r w:rsidRPr="00111B4E">
        <w:rPr>
          <w:rFonts w:ascii="Palatino Linotype" w:hAnsi="Palatino Linotype" w:cs="Arial"/>
          <w:b/>
          <w:sz w:val="24"/>
          <w:szCs w:val="24"/>
          <w:lang w:val="es-419"/>
        </w:rPr>
        <w:t>QUINTO</w:t>
      </w:r>
      <w:r w:rsidRPr="00111B4E">
        <w:rPr>
          <w:rFonts w:ascii="Palatino Linotype" w:hAnsi="Palatino Linotype" w:cs="Arial"/>
          <w:sz w:val="24"/>
          <w:szCs w:val="24"/>
        </w:rPr>
        <w:t xml:space="preserve"> de la presente resolución.</w:t>
      </w:r>
    </w:p>
    <w:p w:rsidR="00462F1D" w:rsidRPr="00111B4E" w:rsidRDefault="00462F1D" w:rsidP="00462F1D">
      <w:pPr>
        <w:autoSpaceDE w:val="0"/>
        <w:autoSpaceDN w:val="0"/>
        <w:adjustRightInd w:val="0"/>
        <w:spacing w:line="360" w:lineRule="auto"/>
        <w:ind w:right="49"/>
        <w:jc w:val="both"/>
        <w:rPr>
          <w:rFonts w:ascii="Palatino Linotype" w:hAnsi="Palatino Linotype"/>
          <w:b/>
          <w:sz w:val="28"/>
        </w:rPr>
      </w:pPr>
    </w:p>
    <w:p w:rsidR="00462F1D" w:rsidRPr="00111B4E" w:rsidRDefault="00462F1D" w:rsidP="00462F1D">
      <w:pPr>
        <w:spacing w:before="240" w:line="360" w:lineRule="auto"/>
        <w:ind w:right="49"/>
        <w:jc w:val="both"/>
        <w:rPr>
          <w:rFonts w:ascii="Palatino Linotype" w:eastAsia="Palatino Linotype" w:hAnsi="Palatino Linotype" w:cs="Palatino Linotype"/>
          <w:sz w:val="24"/>
          <w:szCs w:val="24"/>
        </w:rPr>
      </w:pPr>
      <w:r w:rsidRPr="00111B4E">
        <w:rPr>
          <w:rFonts w:ascii="Palatino Linotype" w:hAnsi="Palatino Linotype"/>
          <w:b/>
          <w:sz w:val="28"/>
        </w:rPr>
        <w:t>SEGUNDO.</w:t>
      </w:r>
      <w:r w:rsidRPr="00111B4E">
        <w:rPr>
          <w:rFonts w:ascii="Palatino Linotype" w:hAnsi="Palatino Linotype" w:cs="Arial"/>
          <w:sz w:val="28"/>
        </w:rPr>
        <w:t xml:space="preserve"> </w:t>
      </w:r>
      <w:r w:rsidRPr="00111B4E">
        <w:rPr>
          <w:rFonts w:ascii="Palatino Linotype" w:hAnsi="Palatino Linotype" w:cs="Arial"/>
          <w:sz w:val="24"/>
          <w:szCs w:val="24"/>
        </w:rPr>
        <w:t xml:space="preserve">Se ordena al Sujeto Obligado, haga entrega al </w:t>
      </w:r>
      <w:r w:rsidRPr="00111B4E">
        <w:rPr>
          <w:rFonts w:ascii="Palatino Linotype" w:hAnsi="Palatino Linotype" w:cs="Arial"/>
          <w:b/>
          <w:sz w:val="24"/>
          <w:szCs w:val="24"/>
        </w:rPr>
        <w:t>Recurrente</w:t>
      </w:r>
      <w:r w:rsidRPr="00111B4E">
        <w:rPr>
          <w:rFonts w:ascii="Palatino Linotype" w:hAnsi="Palatino Linotype" w:cs="Arial"/>
          <w:sz w:val="24"/>
          <w:szCs w:val="24"/>
        </w:rPr>
        <w:t xml:space="preserve"> en términos del Considerando</w:t>
      </w:r>
      <w:r w:rsidRPr="00111B4E">
        <w:rPr>
          <w:rFonts w:ascii="Palatino Linotype" w:hAnsi="Palatino Linotype" w:cs="Arial"/>
          <w:b/>
          <w:sz w:val="24"/>
          <w:szCs w:val="24"/>
          <w:lang w:val="es-419"/>
        </w:rPr>
        <w:t xml:space="preserve"> QUINTO</w:t>
      </w:r>
      <w:r w:rsidRPr="00111B4E">
        <w:rPr>
          <w:rFonts w:ascii="Palatino Linotype" w:hAnsi="Palatino Linotype" w:cs="Arial"/>
          <w:sz w:val="24"/>
          <w:szCs w:val="24"/>
        </w:rPr>
        <w:t xml:space="preserve"> de la presente resolución, </w:t>
      </w:r>
      <w:r w:rsidRPr="00111B4E">
        <w:rPr>
          <w:rFonts w:ascii="Palatino Linotype" w:eastAsia="Palatino Linotype" w:hAnsi="Palatino Linotype" w:cs="Palatino Linotype"/>
          <w:sz w:val="24"/>
          <w:szCs w:val="24"/>
        </w:rPr>
        <w:t xml:space="preserve">a través del Sistema de Acceso a la Información Mexiquense </w:t>
      </w:r>
      <w:r w:rsidRPr="00111B4E">
        <w:rPr>
          <w:rFonts w:ascii="Palatino Linotype" w:eastAsia="Palatino Linotype" w:hAnsi="Palatino Linotype" w:cs="Palatino Linotype"/>
          <w:b/>
          <w:sz w:val="24"/>
          <w:szCs w:val="24"/>
        </w:rPr>
        <w:t xml:space="preserve">(SAIMEX) </w:t>
      </w:r>
      <w:r w:rsidRPr="00111B4E">
        <w:rPr>
          <w:rFonts w:ascii="Palatino Linotype" w:eastAsia="Palatino Linotype" w:hAnsi="Palatino Linotype" w:cs="Palatino Linotype"/>
          <w:sz w:val="24"/>
          <w:szCs w:val="24"/>
        </w:rPr>
        <w:t>se entrega al Recurrente de lo siguiente:</w:t>
      </w:r>
    </w:p>
    <w:p w:rsidR="00670444" w:rsidRPr="00111B4E" w:rsidRDefault="00670444" w:rsidP="00337781">
      <w:pPr>
        <w:pStyle w:val="Prrafodelista"/>
        <w:numPr>
          <w:ilvl w:val="0"/>
          <w:numId w:val="7"/>
        </w:numPr>
        <w:spacing w:line="360" w:lineRule="auto"/>
        <w:jc w:val="both"/>
        <w:rPr>
          <w:rFonts w:ascii="Palatino Linotype" w:hAnsi="Palatino Linotype"/>
          <w:sz w:val="24"/>
          <w:szCs w:val="24"/>
        </w:rPr>
      </w:pPr>
      <w:r w:rsidRPr="00111B4E">
        <w:rPr>
          <w:rFonts w:ascii="Palatino Linotype" w:hAnsi="Palatino Linotype"/>
          <w:sz w:val="24"/>
          <w:szCs w:val="24"/>
        </w:rPr>
        <w:t xml:space="preserve">Acuerdo de clasificación emitido por el Comité de Transparencia, </w:t>
      </w:r>
      <w:r w:rsidRPr="00111B4E">
        <w:rPr>
          <w:rFonts w:ascii="Palatino Linotype" w:hAnsi="Palatino Linotype"/>
          <w:b/>
          <w:sz w:val="24"/>
          <w:szCs w:val="24"/>
        </w:rPr>
        <w:t>debidamente fundado y motivado, a través de una prueba de daño</w:t>
      </w:r>
      <w:r w:rsidRPr="00111B4E">
        <w:rPr>
          <w:rFonts w:ascii="Palatino Linotype" w:hAnsi="Palatino Linotype"/>
          <w:sz w:val="24"/>
          <w:szCs w:val="24"/>
        </w:rPr>
        <w:t xml:space="preserve">, en el que se clasifique como RESERVADA, en términos del artículo 140 fracción I, IV y VI, de la Ley de </w:t>
      </w:r>
      <w:r w:rsidRPr="00111B4E">
        <w:rPr>
          <w:rFonts w:ascii="Palatino Linotype" w:hAnsi="Palatino Linotype"/>
          <w:sz w:val="24"/>
          <w:szCs w:val="24"/>
        </w:rPr>
        <w:lastRenderedPageBreak/>
        <w:t xml:space="preserve">Transparencia y Acceso a la Información Pública del Estado de México y Municipios, de </w:t>
      </w:r>
      <w:r w:rsidRPr="00111B4E">
        <w:rPr>
          <w:rFonts w:ascii="Palatino Linotype" w:hAnsi="Palatino Linotype"/>
          <w:color w:val="000000"/>
          <w:sz w:val="24"/>
          <w:szCs w:val="24"/>
        </w:rPr>
        <w:t>la frecuencia y horario de patrullajes por delegación o colonia en el municipio del veintitrés de enero al veintitrés de junio de dos mil veinticinco.</w:t>
      </w:r>
    </w:p>
    <w:p w:rsidR="00670444" w:rsidRPr="00111B4E" w:rsidRDefault="00670444" w:rsidP="00670444">
      <w:pPr>
        <w:pStyle w:val="Prrafodelista"/>
        <w:spacing w:line="360" w:lineRule="auto"/>
        <w:jc w:val="both"/>
        <w:rPr>
          <w:rFonts w:ascii="Palatino Linotype" w:hAnsi="Palatino Linotype"/>
          <w:sz w:val="24"/>
          <w:szCs w:val="24"/>
        </w:rPr>
      </w:pPr>
    </w:p>
    <w:p w:rsidR="002A5A3A" w:rsidRPr="00111B4E" w:rsidRDefault="002A5A3A" w:rsidP="00337781">
      <w:pPr>
        <w:pStyle w:val="Prrafodelista"/>
        <w:numPr>
          <w:ilvl w:val="0"/>
          <w:numId w:val="7"/>
        </w:numPr>
        <w:spacing w:line="360" w:lineRule="auto"/>
        <w:jc w:val="both"/>
        <w:rPr>
          <w:rFonts w:ascii="Palatino Linotype" w:hAnsi="Palatino Linotype"/>
          <w:sz w:val="24"/>
          <w:szCs w:val="24"/>
        </w:rPr>
      </w:pPr>
      <w:r w:rsidRPr="00111B4E">
        <w:rPr>
          <w:rFonts w:ascii="Palatino Linotype" w:hAnsi="Palatino Linotype"/>
          <w:color w:val="000000"/>
          <w:sz w:val="24"/>
          <w:szCs w:val="24"/>
        </w:rPr>
        <w:t>Soporte documental que dé cuenta del número total de elementos operativos por turno y por tipo de función</w:t>
      </w:r>
      <w:r w:rsidR="00740BC4" w:rsidRPr="00111B4E">
        <w:rPr>
          <w:rFonts w:ascii="Palatino Linotype" w:hAnsi="Palatino Linotype"/>
          <w:color w:val="000000"/>
          <w:sz w:val="24"/>
          <w:szCs w:val="24"/>
        </w:rPr>
        <w:t xml:space="preserve"> al veintitrés de junio de dos mil veinticinco</w:t>
      </w:r>
      <w:r w:rsidRPr="00111B4E">
        <w:rPr>
          <w:rFonts w:ascii="Palatino Linotype" w:hAnsi="Palatino Linotype"/>
          <w:color w:val="000000"/>
          <w:sz w:val="24"/>
          <w:szCs w:val="24"/>
        </w:rPr>
        <w:t>.</w:t>
      </w:r>
    </w:p>
    <w:p w:rsidR="002A5A3A" w:rsidRPr="00111B4E" w:rsidRDefault="002A5A3A" w:rsidP="002A5A3A">
      <w:pPr>
        <w:pStyle w:val="Prrafodelista"/>
        <w:rPr>
          <w:rFonts w:ascii="Palatino Linotype" w:hAnsi="Palatino Linotype"/>
          <w:color w:val="000000"/>
          <w:sz w:val="24"/>
          <w:szCs w:val="24"/>
        </w:rPr>
      </w:pPr>
    </w:p>
    <w:p w:rsidR="00462F1D" w:rsidRPr="00111B4E" w:rsidRDefault="002A5A3A" w:rsidP="00337781">
      <w:pPr>
        <w:pStyle w:val="Prrafodelista"/>
        <w:numPr>
          <w:ilvl w:val="0"/>
          <w:numId w:val="7"/>
        </w:numPr>
        <w:spacing w:line="360" w:lineRule="auto"/>
        <w:jc w:val="both"/>
        <w:rPr>
          <w:rFonts w:ascii="Palatino Linotype" w:hAnsi="Palatino Linotype"/>
          <w:sz w:val="24"/>
          <w:szCs w:val="24"/>
        </w:rPr>
      </w:pPr>
      <w:r w:rsidRPr="00111B4E">
        <w:rPr>
          <w:rFonts w:ascii="Palatino Linotype" w:hAnsi="Palatino Linotype"/>
          <w:color w:val="000000"/>
          <w:sz w:val="24"/>
          <w:szCs w:val="24"/>
        </w:rPr>
        <w:t>Soporte documental que dé cuenta del número de unidades patrullas operativas y descompuestas, especificando modelo, año, kilometraje estimado y estado mecánico actual</w:t>
      </w:r>
      <w:r w:rsidR="00740BC4" w:rsidRPr="00111B4E">
        <w:rPr>
          <w:rFonts w:ascii="Palatino Linotype" w:hAnsi="Palatino Linotype"/>
          <w:color w:val="000000"/>
          <w:sz w:val="24"/>
          <w:szCs w:val="24"/>
        </w:rPr>
        <w:t xml:space="preserve"> al veintitrés de junio de dos mil veinticinco</w:t>
      </w:r>
      <w:r w:rsidRPr="00111B4E">
        <w:rPr>
          <w:rFonts w:ascii="Palatino Linotype" w:hAnsi="Palatino Linotype"/>
          <w:color w:val="000000"/>
          <w:sz w:val="24"/>
          <w:szCs w:val="24"/>
        </w:rPr>
        <w:t>.</w:t>
      </w:r>
    </w:p>
    <w:p w:rsidR="002A5A3A" w:rsidRPr="00111B4E" w:rsidRDefault="002A5A3A" w:rsidP="00462F1D">
      <w:pPr>
        <w:tabs>
          <w:tab w:val="left" w:pos="720"/>
        </w:tabs>
        <w:spacing w:line="276" w:lineRule="auto"/>
        <w:ind w:left="709"/>
        <w:jc w:val="both"/>
        <w:rPr>
          <w:rFonts w:ascii="Palatino Linotype" w:hAnsi="Palatino Linotype"/>
          <w:i/>
        </w:rPr>
      </w:pPr>
    </w:p>
    <w:p w:rsidR="00462F1D" w:rsidRPr="00111B4E" w:rsidRDefault="00462F1D" w:rsidP="00462F1D">
      <w:pPr>
        <w:tabs>
          <w:tab w:val="left" w:pos="720"/>
        </w:tabs>
        <w:spacing w:line="276" w:lineRule="auto"/>
        <w:ind w:left="709"/>
        <w:jc w:val="both"/>
        <w:rPr>
          <w:rFonts w:ascii="Palatino Linotype" w:hAnsi="Palatino Linotype"/>
          <w:i/>
        </w:rPr>
      </w:pPr>
      <w:r w:rsidRPr="00111B4E">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111B4E">
        <w:rPr>
          <w:rFonts w:ascii="Palatino Linotype" w:hAnsi="Palatino Linotype"/>
          <w:b/>
          <w:i/>
        </w:rPr>
        <w:t>Recurrente</w:t>
      </w:r>
      <w:r w:rsidRPr="00111B4E">
        <w:rPr>
          <w:rFonts w:ascii="Palatino Linotype" w:hAnsi="Palatino Linotype"/>
          <w:i/>
        </w:rPr>
        <w:t>.</w:t>
      </w:r>
    </w:p>
    <w:p w:rsidR="00462F1D" w:rsidRPr="00111B4E" w:rsidRDefault="00462F1D" w:rsidP="00462F1D">
      <w:pPr>
        <w:tabs>
          <w:tab w:val="left" w:pos="720"/>
        </w:tabs>
        <w:spacing w:line="276" w:lineRule="auto"/>
        <w:ind w:left="709"/>
        <w:jc w:val="both"/>
        <w:rPr>
          <w:rFonts w:ascii="Palatino Linotype" w:hAnsi="Palatino Linotype"/>
          <w:i/>
        </w:rPr>
      </w:pPr>
    </w:p>
    <w:p w:rsidR="00462F1D" w:rsidRPr="00111B4E" w:rsidRDefault="00462F1D" w:rsidP="00462F1D">
      <w:pPr>
        <w:pBdr>
          <w:top w:val="nil"/>
          <w:left w:val="nil"/>
          <w:bottom w:val="nil"/>
          <w:right w:val="nil"/>
          <w:between w:val="nil"/>
        </w:pBdr>
        <w:spacing w:before="240" w:line="276" w:lineRule="auto"/>
        <w:ind w:left="709" w:right="49"/>
        <w:jc w:val="both"/>
        <w:rPr>
          <w:rFonts w:ascii="Palatino Linotype" w:eastAsia="Palatino Linotype" w:hAnsi="Palatino Linotype" w:cs="Palatino Linotype"/>
          <w:i/>
          <w:color w:val="000000"/>
          <w:lang w:eastAsia="es-MX"/>
        </w:rPr>
      </w:pPr>
    </w:p>
    <w:p w:rsidR="00462F1D" w:rsidRPr="00111B4E" w:rsidRDefault="00462F1D" w:rsidP="00462F1D">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111B4E">
        <w:rPr>
          <w:rFonts w:ascii="Palatino Linotype" w:hAnsi="Palatino Linotype" w:cs="Arial"/>
          <w:b/>
          <w:sz w:val="28"/>
          <w:szCs w:val="28"/>
        </w:rPr>
        <w:t>TERCERO.</w:t>
      </w:r>
      <w:r w:rsidRPr="00111B4E">
        <w:rPr>
          <w:rFonts w:ascii="Palatino Linotype" w:hAnsi="Palatino Linotype" w:cs="Arial"/>
          <w:b/>
        </w:rPr>
        <w:t xml:space="preserve"> </w:t>
      </w:r>
      <w:r w:rsidRPr="00111B4E">
        <w:rPr>
          <w:rFonts w:ascii="Palatino Linotype" w:hAnsi="Palatino Linotype" w:cs="Arial"/>
          <w:b/>
          <w:sz w:val="24"/>
          <w:szCs w:val="24"/>
        </w:rPr>
        <w:t>Notifíquese</w:t>
      </w:r>
      <w:r w:rsidRPr="00111B4E">
        <w:rPr>
          <w:rFonts w:ascii="Palatino Linotype" w:hAnsi="Palatino Linotype" w:cs="Arial"/>
          <w:b/>
          <w:i/>
          <w:sz w:val="24"/>
          <w:szCs w:val="24"/>
        </w:rPr>
        <w:t xml:space="preserve"> </w:t>
      </w:r>
      <w:r w:rsidRPr="00111B4E">
        <w:rPr>
          <w:rFonts w:ascii="Palatino Linotype" w:hAnsi="Palatino Linotype" w:cs="Arial"/>
          <w:sz w:val="24"/>
          <w:szCs w:val="24"/>
        </w:rPr>
        <w:t>al Titular de la Unidad de Transparencia del</w:t>
      </w:r>
      <w:r w:rsidRPr="00111B4E">
        <w:rPr>
          <w:rFonts w:ascii="Palatino Linotype" w:hAnsi="Palatino Linotype" w:cs="Arial"/>
          <w:b/>
          <w:sz w:val="24"/>
          <w:szCs w:val="24"/>
        </w:rPr>
        <w:t xml:space="preserve"> SUJETO OBLIGADO</w:t>
      </w:r>
      <w:r w:rsidRPr="00111B4E">
        <w:rPr>
          <w:rFonts w:ascii="Palatino Linotype" w:hAnsi="Palatino Linotype" w:cs="Arial"/>
          <w:sz w:val="24"/>
          <w:szCs w:val="24"/>
        </w:rPr>
        <w:t xml:space="preserve">, por medio del Sistema de Acceso a la Información Mexiquense </w:t>
      </w:r>
      <w:r w:rsidRPr="00111B4E">
        <w:rPr>
          <w:rFonts w:ascii="Palatino Linotype" w:hAnsi="Palatino Linotype" w:cs="Arial"/>
          <w:b/>
          <w:sz w:val="24"/>
          <w:szCs w:val="24"/>
        </w:rPr>
        <w:t>(SAIMEX)</w:t>
      </w:r>
      <w:r w:rsidRPr="00111B4E">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w:t>
      </w:r>
      <w:r w:rsidRPr="00111B4E">
        <w:rPr>
          <w:rFonts w:ascii="Palatino Linotype" w:hAnsi="Palatino Linotype" w:cs="Arial"/>
          <w:sz w:val="24"/>
          <w:szCs w:val="24"/>
        </w:rPr>
        <w:lastRenderedPageBreak/>
        <w:t xml:space="preserve">este Instituto en un plazo de tres días hábiles siguientes sobre el cumplimiento dado a la presente resolución, y </w:t>
      </w:r>
      <w:r w:rsidRPr="00111B4E">
        <w:rPr>
          <w:rFonts w:ascii="Palatino Linotype" w:eastAsia="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A5A3A" w:rsidRPr="00111B4E" w:rsidRDefault="002A5A3A" w:rsidP="00462F1D">
      <w:pPr>
        <w:autoSpaceDE w:val="0"/>
        <w:autoSpaceDN w:val="0"/>
        <w:adjustRightInd w:val="0"/>
        <w:spacing w:line="360" w:lineRule="auto"/>
        <w:jc w:val="both"/>
        <w:rPr>
          <w:rFonts w:ascii="Palatino Linotype" w:hAnsi="Palatino Linotype" w:cs="Arial"/>
        </w:rPr>
      </w:pPr>
    </w:p>
    <w:p w:rsidR="00462F1D" w:rsidRPr="00111B4E" w:rsidRDefault="00462F1D" w:rsidP="00462F1D">
      <w:pPr>
        <w:spacing w:line="360" w:lineRule="auto"/>
        <w:jc w:val="both"/>
        <w:rPr>
          <w:rFonts w:ascii="Palatino Linotype" w:hAnsi="Palatino Linotype" w:cs="Arial"/>
          <w:bCs/>
          <w:szCs w:val="32"/>
        </w:rPr>
      </w:pPr>
      <w:r w:rsidRPr="00111B4E">
        <w:rPr>
          <w:rFonts w:ascii="Palatino Linotype" w:hAnsi="Palatino Linotype" w:cs="Arial"/>
          <w:b/>
          <w:bCs/>
          <w:sz w:val="28"/>
          <w:szCs w:val="28"/>
        </w:rPr>
        <w:t>CUARTO.</w:t>
      </w:r>
      <w:r w:rsidRPr="00111B4E">
        <w:rPr>
          <w:rFonts w:ascii="Palatino Linotype" w:hAnsi="Palatino Linotype" w:cs="Arial"/>
          <w:bCs/>
          <w:szCs w:val="28"/>
        </w:rPr>
        <w:t xml:space="preserve"> </w:t>
      </w:r>
      <w:r w:rsidRPr="00111B4E">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111B4E">
        <w:rPr>
          <w:rFonts w:ascii="Palatino Linotype" w:hAnsi="Palatino Linotype" w:cs="Arial"/>
          <w:b/>
          <w:bCs/>
          <w:sz w:val="24"/>
          <w:szCs w:val="24"/>
        </w:rPr>
        <w:t>Sujeto Obligado</w:t>
      </w:r>
      <w:r w:rsidRPr="00111B4E">
        <w:rPr>
          <w:rFonts w:ascii="Palatino Linotype" w:hAnsi="Palatino Linotype" w:cs="Arial"/>
          <w:bCs/>
          <w:sz w:val="24"/>
          <w:szCs w:val="24"/>
        </w:rPr>
        <w:t xml:space="preserve"> de manera fundada y motivada, podrá solicitar una ampliación de plazo para el cumplimiento de la presente resolución.</w:t>
      </w:r>
    </w:p>
    <w:p w:rsidR="00462F1D" w:rsidRPr="00111B4E" w:rsidRDefault="00462F1D" w:rsidP="00462F1D">
      <w:pPr>
        <w:autoSpaceDE w:val="0"/>
        <w:autoSpaceDN w:val="0"/>
        <w:adjustRightInd w:val="0"/>
        <w:spacing w:line="360" w:lineRule="auto"/>
        <w:ind w:right="51"/>
        <w:jc w:val="both"/>
        <w:rPr>
          <w:rFonts w:ascii="Palatino Linotype" w:hAnsi="Palatino Linotype" w:cs="Arial"/>
          <w:b/>
          <w:sz w:val="28"/>
          <w:szCs w:val="28"/>
        </w:rPr>
      </w:pPr>
    </w:p>
    <w:p w:rsidR="00462F1D" w:rsidRPr="00111B4E" w:rsidRDefault="00462F1D" w:rsidP="00462F1D">
      <w:pPr>
        <w:autoSpaceDE w:val="0"/>
        <w:autoSpaceDN w:val="0"/>
        <w:adjustRightInd w:val="0"/>
        <w:spacing w:line="360" w:lineRule="auto"/>
        <w:ind w:right="49"/>
        <w:jc w:val="both"/>
        <w:rPr>
          <w:rFonts w:ascii="Palatino Linotype" w:hAnsi="Palatino Linotype" w:cs="Arial"/>
        </w:rPr>
      </w:pPr>
      <w:r w:rsidRPr="00111B4E">
        <w:rPr>
          <w:rFonts w:ascii="Palatino Linotype" w:hAnsi="Palatino Linotype" w:cs="Arial"/>
          <w:b/>
          <w:sz w:val="28"/>
          <w:szCs w:val="28"/>
        </w:rPr>
        <w:t>QUINTO.</w:t>
      </w:r>
      <w:r w:rsidRPr="00111B4E">
        <w:rPr>
          <w:rFonts w:ascii="Palatino Linotype" w:hAnsi="Palatino Linotype" w:cs="Arial"/>
          <w:b/>
        </w:rPr>
        <w:t xml:space="preserve"> </w:t>
      </w:r>
      <w:r w:rsidRPr="00111B4E">
        <w:rPr>
          <w:rFonts w:ascii="Palatino Linotype" w:hAnsi="Palatino Linotype" w:cs="Arial"/>
          <w:b/>
          <w:sz w:val="24"/>
          <w:szCs w:val="24"/>
        </w:rPr>
        <w:t>NOTIFÍQUESE</w:t>
      </w:r>
      <w:r w:rsidRPr="00111B4E">
        <w:rPr>
          <w:rFonts w:ascii="Palatino Linotype" w:hAnsi="Palatino Linotype" w:cs="Arial"/>
          <w:sz w:val="24"/>
          <w:szCs w:val="24"/>
        </w:rPr>
        <w:t xml:space="preserve"> al </w:t>
      </w:r>
      <w:r w:rsidRPr="00111B4E">
        <w:rPr>
          <w:rFonts w:ascii="Palatino Linotype" w:hAnsi="Palatino Linotype" w:cs="Arial"/>
          <w:b/>
          <w:sz w:val="24"/>
          <w:szCs w:val="24"/>
        </w:rPr>
        <w:t>Recurrente</w:t>
      </w:r>
      <w:r w:rsidRPr="00111B4E">
        <w:rPr>
          <w:rFonts w:ascii="Palatino Linotype" w:hAnsi="Palatino Linotype" w:cs="Arial"/>
          <w:sz w:val="24"/>
          <w:szCs w:val="24"/>
        </w:rPr>
        <w:t xml:space="preserve"> la presente resolución a través del Sistema de Acceso a la Información Mexiquense </w:t>
      </w:r>
      <w:r w:rsidRPr="00111B4E">
        <w:rPr>
          <w:rFonts w:ascii="Palatino Linotype" w:hAnsi="Palatino Linotype" w:cs="Arial"/>
          <w:b/>
          <w:sz w:val="24"/>
          <w:szCs w:val="24"/>
        </w:rPr>
        <w:t>(SAIMEX),</w:t>
      </w:r>
      <w:r w:rsidRPr="00111B4E">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462F1D" w:rsidRPr="00111B4E" w:rsidRDefault="00462F1D" w:rsidP="00462F1D">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rsidR="00462F1D" w:rsidRPr="00111B4E" w:rsidRDefault="00462F1D" w:rsidP="00462F1D">
      <w:pPr>
        <w:spacing w:after="0" w:line="360" w:lineRule="auto"/>
        <w:jc w:val="both"/>
        <w:rPr>
          <w:rFonts w:ascii="Palatino Linotype" w:eastAsia="Times New Roman" w:hAnsi="Palatino Linotype" w:cs="Arial"/>
          <w:sz w:val="24"/>
          <w:szCs w:val="24"/>
          <w:lang w:eastAsia="es-MX"/>
        </w:rPr>
      </w:pPr>
      <w:r w:rsidRPr="00111B4E">
        <w:rPr>
          <w:rFonts w:ascii="Palatino Linotype" w:eastAsia="Times New Roman" w:hAnsi="Palatino Linotype" w:cs="Arial"/>
          <w:sz w:val="24"/>
          <w:szCs w:val="24"/>
          <w:lang w:val="es-ES_tradnl" w:eastAsia="es-MX"/>
        </w:rPr>
        <w:lastRenderedPageBreak/>
        <w:t xml:space="preserve">ASÍ LO RESUELVE, POR </w:t>
      </w:r>
      <w:r w:rsidRPr="00111B4E">
        <w:rPr>
          <w:rFonts w:ascii="Palatino Linotype" w:eastAsia="Times New Roman" w:hAnsi="Palatino Linotype" w:cs="Arial"/>
          <w:b/>
          <w:sz w:val="24"/>
          <w:szCs w:val="24"/>
          <w:lang w:val="es-ES_tradnl" w:eastAsia="es-MX"/>
        </w:rPr>
        <w:t xml:space="preserve">UNANIMIDAD DE VOTOS </w:t>
      </w:r>
      <w:r w:rsidRPr="00111B4E">
        <w:rPr>
          <w:rFonts w:ascii="Palatino Linotype" w:eastAsia="Times New Roman" w:hAnsi="Palatino Linotype" w:cs="Arial"/>
          <w:sz w:val="24"/>
          <w:szCs w:val="24"/>
          <w:lang w:val="es-ES_tradnl" w:eastAsia="es-MX"/>
        </w:rPr>
        <w:t>EL PLENO DEL</w:t>
      </w:r>
      <w:r w:rsidRPr="00111B4E">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111B4E">
        <w:rPr>
          <w:rFonts w:ascii="Palatino Linotype" w:eastAsia="Times New Roman" w:hAnsi="Palatino Linotype" w:cs="Arial"/>
          <w:sz w:val="24"/>
          <w:szCs w:val="24"/>
          <w:lang w:val="es-ES_tradnl" w:eastAsia="es-MX"/>
        </w:rPr>
        <w:t>, CONFORMADO POR LOS COMISIONADOS JOSÉ MARTÍNEZ VILCHIS, MARÍA DEL ROSARIO MEJÍA AYALA</w:t>
      </w:r>
      <w:r w:rsidR="00507267" w:rsidRPr="00111B4E">
        <w:rPr>
          <w:rFonts w:ascii="Palatino Linotype" w:eastAsia="Times New Roman" w:hAnsi="Palatino Linotype" w:cs="Arial"/>
          <w:sz w:val="24"/>
          <w:szCs w:val="24"/>
          <w:lang w:val="es-ES_tradnl" w:eastAsia="es-MX"/>
        </w:rPr>
        <w:t xml:space="preserve"> (</w:t>
      </w:r>
      <w:r w:rsidR="00F80FD2" w:rsidRPr="00111B4E">
        <w:rPr>
          <w:rFonts w:ascii="Palatino Linotype" w:eastAsia="Times New Roman" w:hAnsi="Palatino Linotype" w:cs="Arial"/>
          <w:sz w:val="24"/>
          <w:szCs w:val="24"/>
          <w:u w:val="single"/>
          <w:lang w:val="es-ES_tradnl" w:eastAsia="es-MX"/>
        </w:rPr>
        <w:t xml:space="preserve">EMITIENDO </w:t>
      </w:r>
      <w:r w:rsidR="00507267" w:rsidRPr="00111B4E">
        <w:rPr>
          <w:rFonts w:ascii="Palatino Linotype" w:eastAsia="Times New Roman" w:hAnsi="Palatino Linotype" w:cs="Arial"/>
          <w:sz w:val="24"/>
          <w:szCs w:val="24"/>
          <w:u w:val="single"/>
          <w:lang w:val="es-ES_tradnl" w:eastAsia="es-MX"/>
        </w:rPr>
        <w:t>VOTO PARTICULAR)</w:t>
      </w:r>
      <w:r w:rsidRPr="00111B4E">
        <w:rPr>
          <w:rFonts w:ascii="Palatino Linotype" w:eastAsia="Times New Roman" w:hAnsi="Palatino Linotype" w:cs="Arial"/>
          <w:sz w:val="24"/>
          <w:szCs w:val="24"/>
          <w:lang w:val="es-ES_tradnl" w:eastAsia="es-MX"/>
        </w:rPr>
        <w:t>, SHARON CRISTINA MORALES MARTÍNEZ, LUIS GUSTAVO PARRA NORIEGA</w:t>
      </w:r>
      <w:r w:rsidR="00507267" w:rsidRPr="00111B4E">
        <w:rPr>
          <w:rFonts w:ascii="Palatino Linotype" w:eastAsia="Times New Roman" w:hAnsi="Palatino Linotype" w:cs="Arial"/>
          <w:sz w:val="24"/>
          <w:szCs w:val="24"/>
          <w:lang w:val="es-ES_tradnl" w:eastAsia="es-MX"/>
        </w:rPr>
        <w:t xml:space="preserve"> (</w:t>
      </w:r>
      <w:r w:rsidR="00F80FD2" w:rsidRPr="00111B4E">
        <w:rPr>
          <w:rFonts w:ascii="Palatino Linotype" w:eastAsia="Times New Roman" w:hAnsi="Palatino Linotype" w:cs="Arial"/>
          <w:sz w:val="24"/>
          <w:szCs w:val="24"/>
          <w:u w:val="single"/>
          <w:lang w:val="es-ES_tradnl" w:eastAsia="es-MX"/>
        </w:rPr>
        <w:t xml:space="preserve">EMITIENDO </w:t>
      </w:r>
      <w:r w:rsidR="00507267" w:rsidRPr="00111B4E">
        <w:rPr>
          <w:rFonts w:ascii="Palatino Linotype" w:eastAsia="Times New Roman" w:hAnsi="Palatino Linotype" w:cs="Arial"/>
          <w:sz w:val="24"/>
          <w:szCs w:val="24"/>
          <w:u w:val="single"/>
          <w:lang w:val="es-ES_tradnl" w:eastAsia="es-MX"/>
        </w:rPr>
        <w:t>VOTO PARTICULAR)</w:t>
      </w:r>
      <w:r w:rsidR="00507267" w:rsidRPr="00111B4E">
        <w:rPr>
          <w:rFonts w:ascii="Palatino Linotype" w:eastAsia="Times New Roman" w:hAnsi="Palatino Linotype" w:cs="Arial"/>
          <w:sz w:val="24"/>
          <w:szCs w:val="24"/>
          <w:lang w:val="es-ES_tradnl" w:eastAsia="es-MX"/>
        </w:rPr>
        <w:t xml:space="preserve">, </w:t>
      </w:r>
      <w:r w:rsidRPr="00111B4E">
        <w:rPr>
          <w:rFonts w:ascii="Palatino Linotype" w:eastAsia="Times New Roman" w:hAnsi="Palatino Linotype" w:cs="Arial"/>
          <w:sz w:val="24"/>
          <w:szCs w:val="24"/>
          <w:lang w:val="es-ES_tradnl" w:eastAsia="es-MX"/>
        </w:rPr>
        <w:t xml:space="preserve"> Y GUADALUPE RAMÍREZ PEÑA</w:t>
      </w:r>
      <w:r w:rsidR="00F80FD2" w:rsidRPr="00111B4E">
        <w:rPr>
          <w:rFonts w:ascii="Palatino Linotype" w:eastAsia="Times New Roman" w:hAnsi="Palatino Linotype" w:cs="Arial"/>
          <w:sz w:val="24"/>
          <w:szCs w:val="24"/>
          <w:lang w:val="es-ES_tradnl" w:eastAsia="es-MX"/>
        </w:rPr>
        <w:t xml:space="preserve"> </w:t>
      </w:r>
      <w:r w:rsidR="00507267" w:rsidRPr="00111B4E">
        <w:rPr>
          <w:rFonts w:ascii="Palatino Linotype" w:eastAsia="Times New Roman" w:hAnsi="Palatino Linotype" w:cs="Arial"/>
          <w:sz w:val="24"/>
          <w:szCs w:val="24"/>
          <w:lang w:val="es-ES_tradnl" w:eastAsia="es-MX"/>
        </w:rPr>
        <w:t>(</w:t>
      </w:r>
      <w:r w:rsidR="00F80FD2" w:rsidRPr="00111B4E">
        <w:rPr>
          <w:rFonts w:ascii="Palatino Linotype" w:eastAsia="Times New Roman" w:hAnsi="Palatino Linotype" w:cs="Arial"/>
          <w:sz w:val="24"/>
          <w:szCs w:val="24"/>
          <w:u w:val="single"/>
          <w:lang w:val="es-ES_tradnl" w:eastAsia="es-MX"/>
        </w:rPr>
        <w:t xml:space="preserve">EMITIENDO </w:t>
      </w:r>
      <w:r w:rsidR="00507267" w:rsidRPr="00111B4E">
        <w:rPr>
          <w:rFonts w:ascii="Palatino Linotype" w:eastAsia="Times New Roman" w:hAnsi="Palatino Linotype" w:cs="Arial"/>
          <w:sz w:val="24"/>
          <w:szCs w:val="24"/>
          <w:u w:val="single"/>
          <w:lang w:val="es-ES_tradnl" w:eastAsia="es-MX"/>
        </w:rPr>
        <w:t>VOTO PARTICULAR)</w:t>
      </w:r>
      <w:r w:rsidR="00507267" w:rsidRPr="00111B4E">
        <w:rPr>
          <w:rFonts w:ascii="Palatino Linotype" w:eastAsia="Times New Roman" w:hAnsi="Palatino Linotype" w:cs="Arial"/>
          <w:sz w:val="24"/>
          <w:szCs w:val="24"/>
          <w:lang w:val="es-ES_tradnl" w:eastAsia="es-MX"/>
        </w:rPr>
        <w:t>,</w:t>
      </w:r>
      <w:r w:rsidRPr="00111B4E">
        <w:rPr>
          <w:rFonts w:ascii="Palatino Linotype" w:eastAsia="Times New Roman" w:hAnsi="Palatino Linotype" w:cs="Arial"/>
          <w:sz w:val="24"/>
          <w:szCs w:val="24"/>
          <w:lang w:val="es-ES_tradnl" w:eastAsia="es-MX"/>
        </w:rPr>
        <w:t xml:space="preserve"> EN LA</w:t>
      </w:r>
      <w:r w:rsidRPr="00111B4E">
        <w:rPr>
          <w:rFonts w:ascii="Palatino Linotype" w:eastAsia="Times New Roman" w:hAnsi="Palatino Linotype" w:cs="Arial"/>
          <w:sz w:val="24"/>
          <w:szCs w:val="24"/>
          <w:lang w:val="es-419" w:eastAsia="es-MX"/>
        </w:rPr>
        <w:t xml:space="preserve"> </w:t>
      </w:r>
      <w:r w:rsidR="00507267" w:rsidRPr="00111B4E">
        <w:rPr>
          <w:rFonts w:ascii="Palatino Linotype" w:eastAsia="Times New Roman" w:hAnsi="Palatino Linotype" w:cs="Arial"/>
          <w:b/>
          <w:sz w:val="24"/>
          <w:szCs w:val="24"/>
          <w:lang w:val="es-419" w:eastAsia="es-MX"/>
        </w:rPr>
        <w:t>CUADRAGÉSIMA PRIMERA</w:t>
      </w:r>
      <w:r w:rsidRPr="00111B4E">
        <w:rPr>
          <w:rFonts w:ascii="Palatino Linotype" w:eastAsia="Times New Roman" w:hAnsi="Palatino Linotype" w:cs="Arial"/>
          <w:b/>
          <w:sz w:val="24"/>
          <w:szCs w:val="24"/>
          <w:lang w:val="es-419" w:eastAsia="es-MX"/>
        </w:rPr>
        <w:t xml:space="preserve"> SESIÓN ORDINARIA CELEBRADA EL </w:t>
      </w:r>
      <w:r w:rsidR="00507267" w:rsidRPr="00111B4E">
        <w:rPr>
          <w:rFonts w:ascii="Palatino Linotype" w:eastAsia="Times New Roman" w:hAnsi="Palatino Linotype" w:cs="Arial"/>
          <w:b/>
          <w:sz w:val="24"/>
          <w:szCs w:val="24"/>
          <w:lang w:val="es-419" w:eastAsia="es-MX"/>
        </w:rPr>
        <w:t>VEINTE DE NOVIEMBRE</w:t>
      </w:r>
      <w:r w:rsidRPr="00111B4E">
        <w:rPr>
          <w:rFonts w:ascii="Palatino Linotype" w:eastAsia="Times New Roman" w:hAnsi="Palatino Linotype" w:cs="Arial"/>
          <w:b/>
          <w:sz w:val="24"/>
          <w:szCs w:val="24"/>
          <w:lang w:val="es-419" w:eastAsia="es-MX"/>
        </w:rPr>
        <w:t xml:space="preserve"> DE DOS MIL VEINTICINCO</w:t>
      </w:r>
      <w:r w:rsidRPr="00111B4E">
        <w:rPr>
          <w:rFonts w:ascii="Palatino Linotype" w:eastAsia="Times New Roman" w:hAnsi="Palatino Linotype" w:cs="Arial"/>
          <w:sz w:val="24"/>
          <w:szCs w:val="24"/>
          <w:lang w:val="es-ES_tradnl" w:eastAsia="es-MX"/>
        </w:rPr>
        <w:t>, ANTE EL SECRETARIO TÉCNICO DEL PLENO, ALEXIS TAPIA RAMÍREZ. -----------------------------------------------------------------------------------------------------------------------------------------------------------------------------------------------------------------------------------------------------------------------------------------------------------------------------------------------------------------------------------------------------------------------------------</w:t>
      </w:r>
      <w:r w:rsidR="00F80FD2" w:rsidRPr="00111B4E">
        <w:rPr>
          <w:rFonts w:ascii="Palatino Linotype" w:hAnsi="Palatino Linotype" w:cs="Arial"/>
        </w:rPr>
        <w:t>---------------------------------------------------------------------------------------------------------------------------------------------------------------------------------------------------------------------------------------------------------------------------------------------------------------------------------------------------------------------------------------------------------------------------------------------------------------------------------------------------------------------------------------------------------------------------------------------------------------------------------------------------------------------------------------------------------------------------------------------------------------------------------------------------------------------------------------------------------------------------------------------------------------------------------------------------------------------------------------------------------------------------------------------------------------------------------------------------------------------------------------------------------------------------------------</w:t>
      </w:r>
    </w:p>
    <w:p w:rsidR="00462F1D" w:rsidRPr="00F444C4" w:rsidRDefault="00462F1D" w:rsidP="00462F1D">
      <w:pPr>
        <w:spacing w:after="0" w:line="360" w:lineRule="auto"/>
        <w:jc w:val="both"/>
        <w:rPr>
          <w:rFonts w:ascii="Palatino Linotype" w:eastAsia="Times New Roman" w:hAnsi="Palatino Linotype" w:cs="Arial"/>
          <w:sz w:val="20"/>
          <w:lang w:val="es-ES_tradnl" w:eastAsia="es-MX"/>
        </w:rPr>
      </w:pPr>
      <w:r w:rsidRPr="00111B4E">
        <w:rPr>
          <w:rFonts w:ascii="Palatino Linotype" w:eastAsia="Times New Roman" w:hAnsi="Palatino Linotype" w:cs="Arial"/>
          <w:sz w:val="20"/>
          <w:lang w:val="es-ES_tradnl" w:eastAsia="es-MX"/>
        </w:rPr>
        <w:t>JMV/CCR/NJMB</w:t>
      </w:r>
    </w:p>
    <w:p w:rsidR="00462F1D" w:rsidRPr="00F444C4" w:rsidRDefault="00462F1D" w:rsidP="00462F1D">
      <w:pPr>
        <w:spacing w:after="0" w:line="360" w:lineRule="auto"/>
        <w:jc w:val="both"/>
        <w:rPr>
          <w:rFonts w:ascii="Palatino Linotype" w:eastAsia="Times New Roman" w:hAnsi="Palatino Linotype" w:cs="Arial"/>
          <w:sz w:val="20"/>
          <w:lang w:val="es-ES_tradnl" w:eastAsia="es-MX"/>
        </w:rPr>
      </w:pPr>
    </w:p>
    <w:p w:rsidR="00462F1D" w:rsidRPr="00F444C4" w:rsidRDefault="00462F1D" w:rsidP="00462F1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462F1D" w:rsidRPr="00F444C4" w:rsidRDefault="00462F1D" w:rsidP="00462F1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462F1D" w:rsidRPr="00F444C4" w:rsidRDefault="00462F1D" w:rsidP="00462F1D">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462F1D" w:rsidRPr="00F444C4" w:rsidRDefault="00462F1D" w:rsidP="00462F1D">
      <w:pPr>
        <w:spacing w:after="0" w:line="360" w:lineRule="auto"/>
        <w:jc w:val="both"/>
        <w:rPr>
          <w:rFonts w:ascii="Palatino Linotype" w:eastAsia="Times New Roman" w:hAnsi="Palatino Linotype" w:cs="Calibri"/>
          <w:sz w:val="24"/>
          <w:lang w:val="es-ES_tradnl" w:eastAsia="es-MX"/>
        </w:rPr>
      </w:pPr>
    </w:p>
    <w:p w:rsidR="00462F1D" w:rsidRPr="00F444C4" w:rsidRDefault="00462F1D" w:rsidP="00462F1D">
      <w:pPr>
        <w:spacing w:after="0" w:line="360" w:lineRule="auto"/>
        <w:jc w:val="both"/>
        <w:rPr>
          <w:rFonts w:ascii="Palatino Linotype" w:eastAsia="Times New Roman" w:hAnsi="Palatino Linotype" w:cs="Calibri"/>
          <w:sz w:val="24"/>
          <w:lang w:val="es-ES_tradnl" w:eastAsia="es-MX"/>
        </w:rPr>
      </w:pPr>
    </w:p>
    <w:p w:rsidR="00462F1D" w:rsidRPr="00F444C4" w:rsidRDefault="00462F1D" w:rsidP="00462F1D">
      <w:pPr>
        <w:spacing w:after="0" w:line="360" w:lineRule="auto"/>
        <w:jc w:val="both"/>
        <w:rPr>
          <w:rFonts w:ascii="Palatino Linotype" w:eastAsia="Times New Roman" w:hAnsi="Palatino Linotype" w:cs="Calibri"/>
          <w:sz w:val="24"/>
          <w:lang w:val="es-ES_tradnl" w:eastAsia="es-MX"/>
        </w:rPr>
      </w:pPr>
    </w:p>
    <w:p w:rsidR="00462F1D" w:rsidRPr="00F444C4" w:rsidRDefault="00462F1D" w:rsidP="00462F1D">
      <w:pPr>
        <w:spacing w:after="0" w:line="360" w:lineRule="auto"/>
        <w:jc w:val="both"/>
        <w:rPr>
          <w:rFonts w:ascii="Palatino Linotype" w:eastAsia="Times New Roman" w:hAnsi="Palatino Linotype" w:cs="Calibri"/>
          <w:sz w:val="24"/>
          <w:lang w:val="es-ES_tradnl" w:eastAsia="es-MX"/>
        </w:rPr>
      </w:pPr>
    </w:p>
    <w:p w:rsidR="00462F1D" w:rsidRDefault="00462F1D" w:rsidP="00462F1D">
      <w:pPr>
        <w:spacing w:line="360" w:lineRule="auto"/>
      </w:pPr>
    </w:p>
    <w:p w:rsidR="00462F1D" w:rsidRDefault="00462F1D" w:rsidP="00462F1D">
      <w:pPr>
        <w:spacing w:line="360" w:lineRule="auto"/>
      </w:pPr>
    </w:p>
    <w:p w:rsidR="00462F1D" w:rsidRDefault="00462F1D" w:rsidP="00462F1D">
      <w:pPr>
        <w:spacing w:line="360" w:lineRule="auto"/>
      </w:pPr>
    </w:p>
    <w:p w:rsidR="00462F1D" w:rsidRDefault="00462F1D" w:rsidP="00462F1D">
      <w:pPr>
        <w:spacing w:line="360" w:lineRule="auto"/>
      </w:pPr>
    </w:p>
    <w:p w:rsidR="00462F1D" w:rsidRDefault="00462F1D" w:rsidP="00462F1D">
      <w:pPr>
        <w:spacing w:line="360" w:lineRule="auto"/>
      </w:pPr>
    </w:p>
    <w:p w:rsidR="00462F1D" w:rsidRDefault="00462F1D" w:rsidP="00462F1D"/>
    <w:p w:rsidR="00462F1D" w:rsidRDefault="00462F1D" w:rsidP="00462F1D"/>
    <w:p w:rsidR="00462F1D" w:rsidRDefault="00462F1D" w:rsidP="00462F1D"/>
    <w:p w:rsidR="00F81481" w:rsidRDefault="00F81481"/>
    <w:sectPr w:rsidR="00F81481" w:rsidSect="003445E5">
      <w:headerReference w:type="even" r:id="rId15"/>
      <w:headerReference w:type="default" r:id="rId16"/>
      <w:footerReference w:type="default" r:id="rId17"/>
      <w:headerReference w:type="first" r:id="rId18"/>
      <w:footerReference w:type="first" r:id="rId1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C73" w:rsidRDefault="009A0C73" w:rsidP="00462F1D">
      <w:pPr>
        <w:spacing w:after="0" w:line="240" w:lineRule="auto"/>
      </w:pPr>
      <w:r>
        <w:separator/>
      </w:r>
    </w:p>
  </w:endnote>
  <w:endnote w:type="continuationSeparator" w:id="0">
    <w:p w:rsidR="009A0C73" w:rsidRDefault="009A0C73" w:rsidP="0046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42" w:rsidRPr="00871A91" w:rsidRDefault="002A2542" w:rsidP="003445E5">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81D92">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81D92">
      <w:rPr>
        <w:rFonts w:ascii="Palatino Linotype" w:hAnsi="Palatino Linotype"/>
        <w:b/>
        <w:bCs/>
        <w:noProof/>
        <w:sz w:val="20"/>
      </w:rPr>
      <w:t>66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42" w:rsidRPr="00871A91" w:rsidRDefault="002A2542" w:rsidP="003445E5">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81D9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81D92">
      <w:rPr>
        <w:rFonts w:ascii="Palatino Linotype" w:hAnsi="Palatino Linotype"/>
        <w:b/>
        <w:bCs/>
        <w:noProof/>
        <w:sz w:val="20"/>
      </w:rPr>
      <w:t>66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C73" w:rsidRDefault="009A0C73" w:rsidP="00462F1D">
      <w:pPr>
        <w:spacing w:after="0" w:line="240" w:lineRule="auto"/>
      </w:pPr>
      <w:r>
        <w:separator/>
      </w:r>
    </w:p>
  </w:footnote>
  <w:footnote w:type="continuationSeparator" w:id="0">
    <w:p w:rsidR="009A0C73" w:rsidRDefault="009A0C73" w:rsidP="00462F1D">
      <w:pPr>
        <w:spacing w:after="0" w:line="240" w:lineRule="auto"/>
      </w:pPr>
      <w:r>
        <w:continuationSeparator/>
      </w:r>
    </w:p>
  </w:footnote>
  <w:footnote w:id="1">
    <w:p w:rsidR="002A2542" w:rsidRPr="0031280C" w:rsidRDefault="002A2542" w:rsidP="00462F1D">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2A2542" w:rsidRPr="0031280C" w:rsidRDefault="002A2542" w:rsidP="00462F1D">
      <w:pPr>
        <w:rPr>
          <w:rFonts w:cs="Palatino Linotype"/>
          <w:color w:val="000000"/>
          <w:sz w:val="20"/>
          <w:szCs w:val="20"/>
        </w:rPr>
      </w:pPr>
    </w:p>
    <w:p w:rsidR="002A2542" w:rsidRPr="0031280C" w:rsidRDefault="002A2542" w:rsidP="00462F1D">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2A2542" w:rsidRPr="00783A97" w:rsidRDefault="002A2542" w:rsidP="00462F1D">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42" w:rsidRDefault="009A0C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2A2542" w:rsidRPr="00B17577" w:rsidTr="003445E5">
      <w:trPr>
        <w:trHeight w:val="237"/>
      </w:trPr>
      <w:tc>
        <w:tcPr>
          <w:tcW w:w="5180" w:type="dxa"/>
          <w:hideMark/>
        </w:tcPr>
        <w:p w:rsidR="002A2542" w:rsidRPr="00F70BDE" w:rsidRDefault="002A2542" w:rsidP="003445E5">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rsidR="002A2542" w:rsidRPr="00F70BDE" w:rsidRDefault="002A2542" w:rsidP="00F3133D">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8640/INFOEM/IP/RR/2025</w:t>
          </w:r>
        </w:p>
      </w:tc>
    </w:tr>
    <w:tr w:rsidR="002A2542" w:rsidTr="003445E5">
      <w:trPr>
        <w:trHeight w:val="252"/>
      </w:trPr>
      <w:tc>
        <w:tcPr>
          <w:tcW w:w="5180" w:type="dxa"/>
          <w:hideMark/>
        </w:tcPr>
        <w:p w:rsidR="002A2542" w:rsidRPr="00F70BDE" w:rsidRDefault="002A2542" w:rsidP="003445E5">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rsidR="002A2542" w:rsidRPr="00DD03AB" w:rsidRDefault="002A2542" w:rsidP="003445E5">
          <w:pPr>
            <w:spacing w:after="120" w:line="240" w:lineRule="auto"/>
            <w:ind w:left="-81" w:right="71"/>
            <w:jc w:val="right"/>
            <w:rPr>
              <w:rFonts w:ascii="Palatino Linotype" w:hAnsi="Palatino Linotype"/>
              <w:b/>
              <w:bCs/>
              <w:color w:val="000000"/>
              <w:sz w:val="24"/>
              <w:szCs w:val="24"/>
            </w:rPr>
          </w:pPr>
          <w:r w:rsidRPr="00DD03AB">
            <w:rPr>
              <w:rFonts w:ascii="Palatino Linotype" w:hAnsi="Palatino Linotype"/>
              <w:b/>
              <w:bCs/>
              <w:color w:val="000000"/>
              <w:sz w:val="24"/>
              <w:szCs w:val="24"/>
            </w:rPr>
            <w:t xml:space="preserve">Ayuntamiento de </w:t>
          </w:r>
        </w:p>
        <w:p w:rsidR="002A2542" w:rsidRPr="00F3133D" w:rsidRDefault="002A2542" w:rsidP="00F3133D">
          <w:pPr>
            <w:jc w:val="right"/>
            <w:rPr>
              <w:rFonts w:ascii="Palatino Linotype" w:hAnsi="Palatino Linotype"/>
              <w:sz w:val="24"/>
              <w:szCs w:val="24"/>
            </w:rPr>
          </w:pPr>
          <w:r w:rsidRPr="00F3133D">
            <w:rPr>
              <w:rFonts w:ascii="Palatino Linotype" w:hAnsi="Palatino Linotype"/>
              <w:b/>
              <w:bCs/>
              <w:sz w:val="24"/>
              <w:szCs w:val="24"/>
            </w:rPr>
            <w:t>Chapultepec</w:t>
          </w:r>
        </w:p>
        <w:p w:rsidR="002A2542" w:rsidRPr="00F70BDE" w:rsidRDefault="002A2542" w:rsidP="003445E5">
          <w:pPr>
            <w:spacing w:after="120" w:line="240" w:lineRule="auto"/>
            <w:ind w:left="-81" w:right="71"/>
            <w:jc w:val="right"/>
            <w:rPr>
              <w:rFonts w:ascii="Palatino Linotype" w:hAnsi="Palatino Linotype" w:cs="Arial"/>
              <w:sz w:val="24"/>
              <w:szCs w:val="24"/>
            </w:rPr>
          </w:pPr>
        </w:p>
      </w:tc>
    </w:tr>
    <w:tr w:rsidR="002A2542" w:rsidRPr="00F63239" w:rsidTr="003445E5">
      <w:trPr>
        <w:trHeight w:val="357"/>
      </w:trPr>
      <w:tc>
        <w:tcPr>
          <w:tcW w:w="5180" w:type="dxa"/>
          <w:hideMark/>
        </w:tcPr>
        <w:p w:rsidR="002A2542" w:rsidRPr="00F70BDE" w:rsidRDefault="002A2542" w:rsidP="003445E5">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rsidR="002A2542" w:rsidRPr="00F70BDE" w:rsidRDefault="002A2542" w:rsidP="003445E5">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rsidR="002A2542" w:rsidRPr="00F70BDE" w:rsidRDefault="002A2542" w:rsidP="003445E5">
          <w:pPr>
            <w:spacing w:after="120" w:line="240" w:lineRule="auto"/>
            <w:ind w:left="-486" w:right="71" w:firstLine="567"/>
            <w:jc w:val="right"/>
            <w:rPr>
              <w:rFonts w:ascii="Palatino Linotype" w:hAnsi="Palatino Linotype" w:cs="Arial"/>
              <w:sz w:val="24"/>
              <w:szCs w:val="24"/>
            </w:rPr>
          </w:pPr>
        </w:p>
      </w:tc>
    </w:tr>
  </w:tbl>
  <w:p w:rsidR="002A2542" w:rsidRPr="00871A91" w:rsidRDefault="009A0C73">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5168;mso-wrap-edited:f;mso-width-percent:0;mso-height-percent:0;mso-position-horizontal-relative:margin;mso-position-vertical-relative:margin;mso-width-percent:0;mso-height-percent:0" o:allowincell="f">
          <v:imagedata r:id="rId1" o:title=""/>
          <w10:wrap anchorx="margin" anchory="margin"/>
        </v:shape>
      </w:pict>
    </w:r>
    <w:r w:rsidR="002A254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A2542" w:rsidRPr="00F70BDE" w:rsidTr="003445E5">
      <w:trPr>
        <w:trHeight w:val="227"/>
      </w:trPr>
      <w:tc>
        <w:tcPr>
          <w:tcW w:w="5103" w:type="dxa"/>
          <w:hideMark/>
        </w:tcPr>
        <w:p w:rsidR="002A2542" w:rsidRPr="00F70BDE" w:rsidRDefault="002A2542" w:rsidP="003445E5">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rsidR="002A2542" w:rsidRPr="00F70BDE" w:rsidRDefault="002A2542" w:rsidP="003445E5">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08640/INFOEM/IP/RR/2025</w:t>
          </w:r>
        </w:p>
      </w:tc>
    </w:tr>
    <w:tr w:rsidR="002A2542" w:rsidRPr="00F70BDE" w:rsidTr="003445E5">
      <w:trPr>
        <w:trHeight w:val="227"/>
      </w:trPr>
      <w:tc>
        <w:tcPr>
          <w:tcW w:w="5103" w:type="dxa"/>
        </w:tcPr>
        <w:p w:rsidR="002A2542" w:rsidRPr="00F70BDE" w:rsidRDefault="002A2542" w:rsidP="003445E5">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rsidR="002A2542" w:rsidRPr="00F70BDE" w:rsidRDefault="00281D92" w:rsidP="003445E5">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2A2542" w:rsidRPr="00F70BDE" w:rsidTr="003445E5">
      <w:trPr>
        <w:trHeight w:val="242"/>
      </w:trPr>
      <w:tc>
        <w:tcPr>
          <w:tcW w:w="5103" w:type="dxa"/>
          <w:hideMark/>
        </w:tcPr>
        <w:p w:rsidR="002A2542" w:rsidRPr="00F70BDE" w:rsidRDefault="002A2542" w:rsidP="003445E5">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rsidR="002A2542" w:rsidRPr="00F3133D" w:rsidRDefault="002A2542" w:rsidP="00F3133D">
          <w:pPr>
            <w:jc w:val="right"/>
            <w:rPr>
              <w:rFonts w:ascii="Palatino Linotype" w:hAnsi="Palatino Linotype"/>
              <w:sz w:val="24"/>
              <w:szCs w:val="24"/>
            </w:rPr>
          </w:pPr>
          <w:r>
            <w:rPr>
              <w:rFonts w:ascii="Palatino Linotype" w:hAnsi="Palatino Linotype"/>
              <w:b/>
              <w:bCs/>
              <w:color w:val="000000"/>
              <w:sz w:val="24"/>
              <w:szCs w:val="24"/>
            </w:rPr>
            <w:t>Ayuntamiento de</w:t>
          </w:r>
          <w:r w:rsidRPr="00F3133D">
            <w:rPr>
              <w:rFonts w:ascii="Palatino Linotype" w:hAnsi="Palatino Linotype"/>
              <w:b/>
              <w:bCs/>
              <w:sz w:val="24"/>
              <w:szCs w:val="24"/>
            </w:rPr>
            <w:t xml:space="preserve"> </w:t>
          </w:r>
          <w:r>
            <w:rPr>
              <w:rFonts w:ascii="Palatino Linotype" w:hAnsi="Palatino Linotype"/>
              <w:b/>
              <w:bCs/>
              <w:sz w:val="24"/>
              <w:szCs w:val="24"/>
            </w:rPr>
            <w:t>Chapultepec</w:t>
          </w:r>
        </w:p>
      </w:tc>
    </w:tr>
    <w:tr w:rsidR="002A2542" w:rsidRPr="00F70BDE" w:rsidTr="003445E5">
      <w:trPr>
        <w:trHeight w:val="342"/>
      </w:trPr>
      <w:tc>
        <w:tcPr>
          <w:tcW w:w="5103" w:type="dxa"/>
          <w:hideMark/>
        </w:tcPr>
        <w:p w:rsidR="002A2542" w:rsidRPr="00F70BDE" w:rsidRDefault="002A2542" w:rsidP="003445E5">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rsidR="002A2542" w:rsidRPr="00F70BDE" w:rsidRDefault="002A2542" w:rsidP="003445E5">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rsidR="002A2542" w:rsidRPr="00871A91" w:rsidRDefault="002A2542">
    <w:pPr>
      <w:pStyle w:val="Encabezado"/>
      <w:rPr>
        <w:sz w:val="2"/>
      </w:rPr>
    </w:pPr>
    <w:r>
      <w:rPr>
        <w:noProof/>
        <w:lang w:val="es-MX" w:eastAsia="es-MX"/>
      </w:rPr>
      <w:drawing>
        <wp:anchor distT="0" distB="0" distL="114300" distR="114300" simplePos="0" relativeHeight="251659264" behindDoc="1" locked="0" layoutInCell="0" allowOverlap="1" wp14:anchorId="1A43E675" wp14:editId="39ECD22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1"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B2E629C"/>
    <w:multiLevelType w:val="hybridMultilevel"/>
    <w:tmpl w:val="8348D29A"/>
    <w:lvl w:ilvl="0" w:tplc="D11CC3F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5"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6" w15:restartNumberingAfterBreak="0">
    <w:nsid w:val="308642FF"/>
    <w:multiLevelType w:val="hybridMultilevel"/>
    <w:tmpl w:val="E97E1118"/>
    <w:lvl w:ilvl="0" w:tplc="B1AED9E0">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7" w15:restartNumberingAfterBreak="0">
    <w:nsid w:val="43B9456E"/>
    <w:multiLevelType w:val="hybridMultilevel"/>
    <w:tmpl w:val="C270EB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8162D04"/>
    <w:multiLevelType w:val="hybridMultilevel"/>
    <w:tmpl w:val="09E29A78"/>
    <w:lvl w:ilvl="0" w:tplc="B5E6AD2C">
      <w:start w:val="1"/>
      <w:numFmt w:val="bullet"/>
      <w:lvlText w:val=""/>
      <w:lvlJc w:val="left"/>
      <w:pPr>
        <w:ind w:left="720" w:hanging="360"/>
      </w:pPr>
      <w:rPr>
        <w:rFonts w:ascii="Symbol" w:eastAsiaTheme="minorHAnsi" w:hAnsi="Symbol" w:cs="Arial" w:hint="default"/>
        <w:b/>
        <w:i/>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6B9046B0"/>
    <w:multiLevelType w:val="hybridMultilevel"/>
    <w:tmpl w:val="C270EB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6EFD290D"/>
    <w:multiLevelType w:val="hybridMultilevel"/>
    <w:tmpl w:val="A1361030"/>
    <w:lvl w:ilvl="0" w:tplc="38EAF19C">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72E2060F"/>
    <w:multiLevelType w:val="hybridMultilevel"/>
    <w:tmpl w:val="CE785842"/>
    <w:lvl w:ilvl="0" w:tplc="D4681032">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0"/>
  </w:num>
  <w:num w:numId="5">
    <w:abstractNumId w:val="1"/>
  </w:num>
  <w:num w:numId="6">
    <w:abstractNumId w:val="9"/>
  </w:num>
  <w:num w:numId="7">
    <w:abstractNumId w:val="3"/>
  </w:num>
  <w:num w:numId="8">
    <w:abstractNumId w:val="13"/>
  </w:num>
  <w:num w:numId="9">
    <w:abstractNumId w:val="7"/>
  </w:num>
  <w:num w:numId="10">
    <w:abstractNumId w:val="8"/>
  </w:num>
  <w:num w:numId="11">
    <w:abstractNumId w:val="14"/>
  </w:num>
  <w:num w:numId="12">
    <w:abstractNumId w:val="6"/>
  </w:num>
  <w:num w:numId="13">
    <w:abstractNumId w:val="11"/>
  </w:num>
  <w:num w:numId="14">
    <w:abstractNumId w:val="2"/>
  </w:num>
  <w:num w:numId="1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F1D"/>
    <w:rsid w:val="00081778"/>
    <w:rsid w:val="00111B4E"/>
    <w:rsid w:val="001B7C0F"/>
    <w:rsid w:val="00206730"/>
    <w:rsid w:val="00211958"/>
    <w:rsid w:val="00281D92"/>
    <w:rsid w:val="002A2542"/>
    <w:rsid w:val="002A5A3A"/>
    <w:rsid w:val="00320A97"/>
    <w:rsid w:val="00337781"/>
    <w:rsid w:val="003445E5"/>
    <w:rsid w:val="003603FE"/>
    <w:rsid w:val="00384837"/>
    <w:rsid w:val="004101DB"/>
    <w:rsid w:val="004579DA"/>
    <w:rsid w:val="00460327"/>
    <w:rsid w:val="00462F1D"/>
    <w:rsid w:val="00464BA6"/>
    <w:rsid w:val="0047057C"/>
    <w:rsid w:val="00490E8C"/>
    <w:rsid w:val="00507267"/>
    <w:rsid w:val="00583CCF"/>
    <w:rsid w:val="005B05C2"/>
    <w:rsid w:val="005B6347"/>
    <w:rsid w:val="00607D4D"/>
    <w:rsid w:val="00620120"/>
    <w:rsid w:val="006512E9"/>
    <w:rsid w:val="006517AB"/>
    <w:rsid w:val="00670444"/>
    <w:rsid w:val="00740BC4"/>
    <w:rsid w:val="007D3C06"/>
    <w:rsid w:val="0082650C"/>
    <w:rsid w:val="008B3813"/>
    <w:rsid w:val="00916973"/>
    <w:rsid w:val="00933735"/>
    <w:rsid w:val="0095293C"/>
    <w:rsid w:val="00974CF3"/>
    <w:rsid w:val="00976B1B"/>
    <w:rsid w:val="009A0C73"/>
    <w:rsid w:val="009E434F"/>
    <w:rsid w:val="00A0084E"/>
    <w:rsid w:val="00AA61EF"/>
    <w:rsid w:val="00AF2CE4"/>
    <w:rsid w:val="00BF3C00"/>
    <w:rsid w:val="00C71466"/>
    <w:rsid w:val="00CD6B4E"/>
    <w:rsid w:val="00CE6C47"/>
    <w:rsid w:val="00D127B0"/>
    <w:rsid w:val="00D15D9A"/>
    <w:rsid w:val="00D23880"/>
    <w:rsid w:val="00D26A8D"/>
    <w:rsid w:val="00D963B2"/>
    <w:rsid w:val="00DF6FA4"/>
    <w:rsid w:val="00E6546A"/>
    <w:rsid w:val="00EA1CA4"/>
    <w:rsid w:val="00F1441C"/>
    <w:rsid w:val="00F26A91"/>
    <w:rsid w:val="00F3133D"/>
    <w:rsid w:val="00F80FD2"/>
    <w:rsid w:val="00F81481"/>
    <w:rsid w:val="00FC3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11EF5DA-342B-4C61-A1E2-022628F0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F1D"/>
  </w:style>
  <w:style w:type="paragraph" w:styleId="Ttulo1">
    <w:name w:val="heading 1"/>
    <w:basedOn w:val="Normal"/>
    <w:next w:val="Normal"/>
    <w:link w:val="Ttulo1Car"/>
    <w:uiPriority w:val="9"/>
    <w:qFormat/>
    <w:rsid w:val="00462F1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462F1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462F1D"/>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462F1D"/>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462F1D"/>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462F1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2F1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2F1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2F1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2F1D"/>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462F1D"/>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462F1D"/>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462F1D"/>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462F1D"/>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462F1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2F1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2F1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2F1D"/>
    <w:rPr>
      <w:rFonts w:eastAsiaTheme="majorEastAsia" w:cstheme="majorBidi"/>
      <w:color w:val="272727" w:themeColor="text1" w:themeTint="D8"/>
    </w:rPr>
  </w:style>
  <w:style w:type="paragraph" w:styleId="Puesto">
    <w:name w:val="Title"/>
    <w:basedOn w:val="Normal"/>
    <w:next w:val="Normal"/>
    <w:link w:val="PuestoCar"/>
    <w:uiPriority w:val="10"/>
    <w:qFormat/>
    <w:rsid w:val="00462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62F1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2F1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2F1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2F1D"/>
    <w:pPr>
      <w:spacing w:before="160"/>
      <w:jc w:val="center"/>
    </w:pPr>
    <w:rPr>
      <w:i/>
      <w:iCs/>
      <w:color w:val="404040" w:themeColor="text1" w:themeTint="BF"/>
    </w:rPr>
  </w:style>
  <w:style w:type="character" w:customStyle="1" w:styleId="CitaCar">
    <w:name w:val="Cita Car"/>
    <w:basedOn w:val="Fuentedeprrafopredeter"/>
    <w:link w:val="Cita"/>
    <w:uiPriority w:val="29"/>
    <w:rsid w:val="00462F1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2F1D"/>
    <w:pPr>
      <w:ind w:left="720"/>
      <w:contextualSpacing/>
    </w:pPr>
  </w:style>
  <w:style w:type="character" w:styleId="nfasisintenso">
    <w:name w:val="Intense Emphasis"/>
    <w:basedOn w:val="Fuentedeprrafopredeter"/>
    <w:uiPriority w:val="21"/>
    <w:qFormat/>
    <w:rsid w:val="00462F1D"/>
    <w:rPr>
      <w:i/>
      <w:iCs/>
      <w:color w:val="2E74B5" w:themeColor="accent1" w:themeShade="BF"/>
    </w:rPr>
  </w:style>
  <w:style w:type="paragraph" w:styleId="Citadestacada">
    <w:name w:val="Intense Quote"/>
    <w:basedOn w:val="Normal"/>
    <w:next w:val="Normal"/>
    <w:link w:val="CitadestacadaCar"/>
    <w:uiPriority w:val="30"/>
    <w:qFormat/>
    <w:rsid w:val="00462F1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462F1D"/>
    <w:rPr>
      <w:i/>
      <w:iCs/>
      <w:color w:val="2E74B5" w:themeColor="accent1" w:themeShade="BF"/>
    </w:rPr>
  </w:style>
  <w:style w:type="character" w:styleId="Referenciaintensa">
    <w:name w:val="Intense Reference"/>
    <w:basedOn w:val="Fuentedeprrafopredeter"/>
    <w:uiPriority w:val="32"/>
    <w:qFormat/>
    <w:rsid w:val="00462F1D"/>
    <w:rPr>
      <w:b/>
      <w:bCs/>
      <w:smallCaps/>
      <w:color w:val="2E74B5" w:themeColor="accent1" w:themeShade="BF"/>
      <w:spacing w:val="5"/>
    </w:rPr>
  </w:style>
  <w:style w:type="paragraph" w:styleId="Encabezado">
    <w:name w:val="header"/>
    <w:basedOn w:val="Normal"/>
    <w:link w:val="EncabezadoCar"/>
    <w:uiPriority w:val="99"/>
    <w:unhideWhenUsed/>
    <w:rsid w:val="00462F1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462F1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62F1D"/>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62F1D"/>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2F1D"/>
  </w:style>
  <w:style w:type="character" w:styleId="Hipervnculo">
    <w:name w:val="Hyperlink"/>
    <w:aliases w:val="Hipervínculo1,Hipervínculo11,Hipervínculo12,Hipervínculo13,Hipervínculo14,Hipervínculo15"/>
    <w:basedOn w:val="Fuentedeprrafopredeter"/>
    <w:uiPriority w:val="99"/>
    <w:unhideWhenUsed/>
    <w:rsid w:val="00462F1D"/>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62F1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2F1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2F1D"/>
    <w:rPr>
      <w:rFonts w:ascii="Times New Roman" w:eastAsia="Times New Roman" w:hAnsi="Times New Roman" w:cs="Times New Roman"/>
      <w:sz w:val="20"/>
      <w:szCs w:val="20"/>
      <w:lang w:val="es-ES" w:eastAsia="es-ES"/>
    </w:rPr>
  </w:style>
  <w:style w:type="paragraph" w:customStyle="1" w:styleId="Citas">
    <w:name w:val="Citas"/>
    <w:basedOn w:val="Normal"/>
    <w:qFormat/>
    <w:rsid w:val="00462F1D"/>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462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462F1D"/>
    <w:rPr>
      <w:color w:val="605E5C"/>
      <w:shd w:val="clear" w:color="auto" w:fill="E1DFDD"/>
    </w:rPr>
  </w:style>
  <w:style w:type="paragraph" w:styleId="Sinespaciado">
    <w:name w:val="No Spacing"/>
    <w:aliases w:val="Francesa,INAI"/>
    <w:link w:val="SinespaciadoCar"/>
    <w:qFormat/>
    <w:rsid w:val="0062012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62012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898512">
      <w:bodyDiv w:val="1"/>
      <w:marLeft w:val="0"/>
      <w:marRight w:val="0"/>
      <w:marTop w:val="0"/>
      <w:marBottom w:val="0"/>
      <w:divBdr>
        <w:top w:val="none" w:sz="0" w:space="0" w:color="auto"/>
        <w:left w:val="none" w:sz="0" w:space="0" w:color="auto"/>
        <w:bottom w:val="none" w:sz="0" w:space="0" w:color="auto"/>
        <w:right w:val="none" w:sz="0" w:space="0" w:color="auto"/>
      </w:divBdr>
    </w:div>
    <w:div w:id="1608005083">
      <w:bodyDiv w:val="1"/>
      <w:marLeft w:val="0"/>
      <w:marRight w:val="0"/>
      <w:marTop w:val="0"/>
      <w:marBottom w:val="0"/>
      <w:divBdr>
        <w:top w:val="none" w:sz="0" w:space="0" w:color="auto"/>
        <w:left w:val="none" w:sz="0" w:space="0" w:color="auto"/>
        <w:bottom w:val="none" w:sz="0" w:space="0" w:color="auto"/>
        <w:right w:val="none" w:sz="0" w:space="0" w:color="auto"/>
      </w:divBdr>
    </w:div>
    <w:div w:id="161868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cretariadoejecutivo.gob.mx/work/models/SecretariadoEjecutivo/Resource/328/1/images/instructivo_final_edo_fuerza(1).pdf"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66</Pages>
  <Words>14138</Words>
  <Characters>77762</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34</cp:revision>
  <cp:lastPrinted>2025-11-24T16:40:00Z</cp:lastPrinted>
  <dcterms:created xsi:type="dcterms:W3CDTF">2025-11-04T20:39:00Z</dcterms:created>
  <dcterms:modified xsi:type="dcterms:W3CDTF">2026-01-13T17:30:00Z</dcterms:modified>
</cp:coreProperties>
</file>