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8755B" w14:textId="67095A33" w:rsidR="00AD197D" w:rsidRPr="00BC07F2" w:rsidRDefault="00AD197D" w:rsidP="0094286C">
      <w:pPr>
        <w:spacing w:line="360" w:lineRule="auto"/>
        <w:jc w:val="both"/>
        <w:rPr>
          <w:rFonts w:ascii="Palatino Linotype" w:eastAsia="Palatino Linotype" w:hAnsi="Palatino Linotype" w:cs="Palatino Linotype"/>
          <w:color w:val="000000" w:themeColor="text1"/>
        </w:rPr>
      </w:pPr>
      <w:bookmarkStart w:id="0" w:name="_GoBack"/>
      <w:bookmarkEnd w:id="0"/>
      <w:r w:rsidRPr="00BC07F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C07F2">
        <w:rPr>
          <w:rFonts w:ascii="Palatino Linotype" w:eastAsia="Palatino Linotype" w:hAnsi="Palatino Linotype" w:cs="Palatino Linotype"/>
          <w:b/>
          <w:color w:val="000000" w:themeColor="text1"/>
        </w:rPr>
        <w:t>de</w:t>
      </w:r>
      <w:r w:rsidR="00706F35">
        <w:rPr>
          <w:rFonts w:ascii="Palatino Linotype" w:eastAsia="Palatino Linotype" w:hAnsi="Palatino Linotype" w:cs="Palatino Linotype"/>
          <w:b/>
          <w:color w:val="000000" w:themeColor="text1"/>
        </w:rPr>
        <w:t xml:space="preserve"> fecha cuatro (04) </w:t>
      </w:r>
      <w:r w:rsidRPr="00BC07F2">
        <w:rPr>
          <w:rFonts w:ascii="Palatino Linotype" w:eastAsia="Palatino Linotype" w:hAnsi="Palatino Linotype" w:cs="Palatino Linotype"/>
          <w:b/>
          <w:color w:val="000000" w:themeColor="text1"/>
        </w:rPr>
        <w:t>de junio de dos mil veinticinco</w:t>
      </w:r>
      <w:r w:rsidRPr="00BC07F2">
        <w:rPr>
          <w:rFonts w:ascii="Palatino Linotype" w:eastAsia="Palatino Linotype" w:hAnsi="Palatino Linotype" w:cs="Palatino Linotype"/>
          <w:color w:val="000000" w:themeColor="text1"/>
        </w:rPr>
        <w:t xml:space="preserve">. </w:t>
      </w:r>
    </w:p>
    <w:p w14:paraId="2CFB0BB0"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35FC1A6E"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b/>
          <w:color w:val="000000" w:themeColor="text1"/>
        </w:rPr>
        <w:t>VISTO</w:t>
      </w:r>
      <w:r w:rsidRPr="00BC07F2">
        <w:rPr>
          <w:rFonts w:ascii="Palatino Linotype" w:eastAsia="Palatino Linotype" w:hAnsi="Palatino Linotype" w:cs="Palatino Linotype"/>
          <w:color w:val="000000" w:themeColor="text1"/>
        </w:rPr>
        <w:t xml:space="preserve"> el expediente electrónico formado con motivo del recurso de revisión </w:t>
      </w:r>
      <w:r w:rsidRPr="00BC07F2">
        <w:rPr>
          <w:rFonts w:ascii="Palatino Linotype" w:eastAsia="Palatino Linotype" w:hAnsi="Palatino Linotype" w:cs="Palatino Linotype"/>
          <w:b/>
          <w:color w:val="000000" w:themeColor="text1"/>
        </w:rPr>
        <w:t xml:space="preserve">01118/INFOEM/IP/RR/2025, </w:t>
      </w:r>
      <w:r w:rsidRPr="00BC07F2">
        <w:rPr>
          <w:rFonts w:ascii="Palatino Linotype" w:eastAsia="Palatino Linotype" w:hAnsi="Palatino Linotype" w:cs="Palatino Linotype"/>
          <w:color w:val="000000" w:themeColor="text1"/>
        </w:rPr>
        <w:t xml:space="preserve">promovido por </w:t>
      </w:r>
      <w:r w:rsidRPr="00BC07F2">
        <w:rPr>
          <w:rFonts w:ascii="Palatino Linotype" w:eastAsia="Palatino Linotype" w:hAnsi="Palatino Linotype" w:cs="Palatino Linotype"/>
          <w:b/>
          <w:bCs/>
          <w:color w:val="000000" w:themeColor="text1"/>
        </w:rPr>
        <w:t>un usuario que no proporcionó nombre</w:t>
      </w:r>
      <w:r w:rsidRPr="00BC07F2">
        <w:rPr>
          <w:rFonts w:ascii="Palatino Linotype" w:eastAsia="Palatino Linotype" w:hAnsi="Palatino Linotype" w:cs="Palatino Linotype"/>
          <w:b/>
          <w:color w:val="000000" w:themeColor="text1"/>
        </w:rPr>
        <w:t>,</w:t>
      </w:r>
      <w:r w:rsidRPr="00BC07F2">
        <w:rPr>
          <w:rFonts w:ascii="Palatino Linotype" w:eastAsia="Palatino Linotype" w:hAnsi="Palatino Linotype" w:cs="Palatino Linotype"/>
          <w:color w:val="000000" w:themeColor="text1"/>
        </w:rPr>
        <w:t xml:space="preserve"> quien en lo sucesivo se identificará como </w:t>
      </w:r>
      <w:r w:rsidRPr="00BC07F2">
        <w:rPr>
          <w:rFonts w:ascii="Palatino Linotype" w:eastAsia="Palatino Linotype" w:hAnsi="Palatino Linotype" w:cs="Palatino Linotype"/>
          <w:b/>
          <w:color w:val="000000" w:themeColor="text1"/>
        </w:rPr>
        <w:t>EL RECURRENTE</w:t>
      </w:r>
      <w:r w:rsidRPr="00BC07F2">
        <w:rPr>
          <w:rFonts w:ascii="Palatino Linotype" w:eastAsia="Palatino Linotype" w:hAnsi="Palatino Linotype" w:cs="Palatino Linotype"/>
          <w:color w:val="000000" w:themeColor="text1"/>
        </w:rPr>
        <w:t xml:space="preserve">, en contra de la respuesta del </w:t>
      </w:r>
      <w:r w:rsidRPr="00BC07F2">
        <w:rPr>
          <w:rFonts w:ascii="Palatino Linotype" w:eastAsia="Palatino Linotype" w:hAnsi="Palatino Linotype" w:cs="Palatino Linotype"/>
          <w:b/>
          <w:bCs/>
          <w:color w:val="000000" w:themeColor="text1"/>
        </w:rPr>
        <w:t>Ayuntamiento de Toluca</w:t>
      </w:r>
      <w:r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color w:val="000000" w:themeColor="text1"/>
        </w:rPr>
        <w:t>en lo sucesivo el</w:t>
      </w:r>
      <w:r w:rsidRPr="00BC07F2">
        <w:rPr>
          <w:rFonts w:ascii="Palatino Linotype" w:eastAsia="Palatino Linotype" w:hAnsi="Palatino Linotype" w:cs="Palatino Linotype"/>
          <w:b/>
          <w:color w:val="000000" w:themeColor="text1"/>
        </w:rPr>
        <w:t xml:space="preserve"> SUJETO OBLIGADO</w:t>
      </w:r>
      <w:r w:rsidRPr="00BC07F2">
        <w:rPr>
          <w:rFonts w:ascii="Palatino Linotype" w:eastAsia="Palatino Linotype" w:hAnsi="Palatino Linotype" w:cs="Palatino Linotype"/>
          <w:color w:val="000000" w:themeColor="text1"/>
        </w:rPr>
        <w:t>, por lo que se procede a dictar la presente resolución, con base en los siguientes:</w:t>
      </w:r>
    </w:p>
    <w:p w14:paraId="238ED058" w14:textId="77777777" w:rsidR="00AD197D" w:rsidRPr="00BC07F2" w:rsidRDefault="00AD197D" w:rsidP="0094286C">
      <w:pPr>
        <w:spacing w:line="360" w:lineRule="auto"/>
        <w:jc w:val="both"/>
        <w:rPr>
          <w:rFonts w:ascii="Palatino Linotype" w:eastAsia="Palatino Linotype" w:hAnsi="Palatino Linotype" w:cs="Palatino Linotype"/>
          <w:b/>
          <w:color w:val="000000" w:themeColor="text1"/>
        </w:rPr>
      </w:pPr>
    </w:p>
    <w:p w14:paraId="38DB8667" w14:textId="78D48749" w:rsidR="00AD197D" w:rsidRPr="00BC07F2" w:rsidRDefault="00AD197D" w:rsidP="0094286C">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BC07F2">
        <w:rPr>
          <w:rFonts w:ascii="Palatino Linotype" w:eastAsia="Palatino Linotype" w:hAnsi="Palatino Linotype" w:cs="Palatino Linotype"/>
          <w:b/>
          <w:color w:val="000000" w:themeColor="text1"/>
        </w:rPr>
        <w:t>A</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N</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T</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E</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C</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E</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D</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E</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N</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T</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E</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S</w:t>
      </w:r>
    </w:p>
    <w:p w14:paraId="58BFED5E" w14:textId="77777777" w:rsidR="00AD197D" w:rsidRPr="00BC07F2" w:rsidRDefault="00AD197D" w:rsidP="0094286C">
      <w:pPr>
        <w:spacing w:line="360" w:lineRule="auto"/>
        <w:rPr>
          <w:rFonts w:ascii="Palatino Linotype" w:eastAsia="Palatino Linotype" w:hAnsi="Palatino Linotype" w:cs="Palatino Linotype"/>
          <w:color w:val="000000" w:themeColor="text1"/>
        </w:rPr>
      </w:pPr>
    </w:p>
    <w:p w14:paraId="560201B8" w14:textId="06A7666C"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El </w:t>
      </w:r>
      <w:r w:rsidRPr="00BC07F2">
        <w:rPr>
          <w:rFonts w:ascii="Palatino Linotype" w:eastAsia="Palatino Linotype" w:hAnsi="Palatino Linotype" w:cs="Palatino Linotype"/>
          <w:b/>
          <w:color w:val="000000" w:themeColor="text1"/>
        </w:rPr>
        <w:t>veinte de enero de dos mil veinticinco</w:t>
      </w:r>
      <w:r w:rsidRPr="00BC07F2">
        <w:rPr>
          <w:rFonts w:ascii="Palatino Linotype" w:eastAsia="Palatino Linotype" w:hAnsi="Palatino Linotype" w:cs="Palatino Linotype"/>
          <w:color w:val="000000" w:themeColor="text1"/>
        </w:rPr>
        <w:t xml:space="preserve">, </w:t>
      </w:r>
      <w:r w:rsidRPr="00BC07F2">
        <w:rPr>
          <w:rFonts w:ascii="Palatino Linotype" w:eastAsia="Palatino Linotype" w:hAnsi="Palatino Linotype" w:cs="Palatino Linotype"/>
          <w:b/>
          <w:color w:val="000000" w:themeColor="text1"/>
        </w:rPr>
        <w:t>EL RECURRENTE,</w:t>
      </w:r>
      <w:r w:rsidRPr="00BC07F2">
        <w:rPr>
          <w:rFonts w:ascii="Palatino Linotype" w:eastAsia="Palatino Linotype" w:hAnsi="Palatino Linotype" w:cs="Palatino Linotype"/>
          <w:color w:val="000000" w:themeColor="text1"/>
        </w:rPr>
        <w:t xml:space="preserve"> ante el </w:t>
      </w:r>
      <w:r w:rsidRPr="00BC07F2">
        <w:rPr>
          <w:rFonts w:ascii="Palatino Linotype" w:eastAsia="Palatino Linotype" w:hAnsi="Palatino Linotype" w:cs="Palatino Linotype"/>
          <w:b/>
          <w:color w:val="000000" w:themeColor="text1"/>
        </w:rPr>
        <w:t>SUJETO OBLIGADO</w:t>
      </w:r>
      <w:r w:rsidRPr="00BC07F2">
        <w:rPr>
          <w:rFonts w:ascii="Palatino Linotype" w:eastAsia="Palatino Linotype" w:hAnsi="Palatino Linotype" w:cs="Palatino Linotype"/>
          <w:color w:val="000000" w:themeColor="text1"/>
        </w:rPr>
        <w:t xml:space="preserve"> vía Sistema de Acceso a la Información Mexiquense (</w:t>
      </w:r>
      <w:r w:rsidRPr="00BC07F2">
        <w:rPr>
          <w:rFonts w:ascii="Palatino Linotype" w:eastAsia="Palatino Linotype" w:hAnsi="Palatino Linotype" w:cs="Palatino Linotype"/>
          <w:b/>
          <w:color w:val="000000" w:themeColor="text1"/>
        </w:rPr>
        <w:t>SAIMEX)</w:t>
      </w:r>
      <w:r w:rsidRPr="00BC07F2">
        <w:rPr>
          <w:rFonts w:ascii="Palatino Linotype" w:eastAsia="Palatino Linotype" w:hAnsi="Palatino Linotype" w:cs="Palatino Linotype"/>
          <w:color w:val="000000" w:themeColor="text1"/>
        </w:rPr>
        <w:t xml:space="preserve">, presentó la solicitud de información registrada con el número </w:t>
      </w:r>
      <w:r w:rsidRPr="00BC07F2">
        <w:rPr>
          <w:rFonts w:ascii="Palatino Linotype" w:eastAsia="Palatino Linotype" w:hAnsi="Palatino Linotype" w:cs="Palatino Linotype"/>
          <w:b/>
          <w:bCs/>
          <w:color w:val="000000" w:themeColor="text1"/>
        </w:rPr>
        <w:t>00396/TOLUCA/IP/2025</w:t>
      </w:r>
      <w:r w:rsidRPr="00BC07F2">
        <w:rPr>
          <w:rFonts w:ascii="Palatino Linotype" w:eastAsia="Palatino Linotype" w:hAnsi="Palatino Linotype" w:cs="Palatino Linotype"/>
          <w:b/>
          <w:color w:val="000000" w:themeColor="text1"/>
        </w:rPr>
        <w:t xml:space="preserve">, </w:t>
      </w:r>
      <w:r w:rsidR="00706F35">
        <w:rPr>
          <w:rFonts w:ascii="Palatino Linotype" w:eastAsia="Palatino Linotype" w:hAnsi="Palatino Linotype" w:cs="Palatino Linotype"/>
          <w:color w:val="000000" w:themeColor="text1"/>
        </w:rPr>
        <w:t>en la que se</w:t>
      </w:r>
      <w:r w:rsidRPr="00BC07F2">
        <w:rPr>
          <w:rFonts w:ascii="Palatino Linotype" w:eastAsia="Palatino Linotype" w:hAnsi="Palatino Linotype" w:cs="Palatino Linotype"/>
          <w:color w:val="000000" w:themeColor="text1"/>
        </w:rPr>
        <w:t xml:space="preserve"> solicitó lo siguiente:</w:t>
      </w:r>
    </w:p>
    <w:p w14:paraId="2608D021" w14:textId="77777777" w:rsidR="00AD197D" w:rsidRPr="00BC07F2" w:rsidRDefault="00AD197D" w:rsidP="0094286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B254520" w14:textId="77777777" w:rsidR="00AD197D" w:rsidRPr="00BC07F2" w:rsidRDefault="00AD197D" w:rsidP="0094286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BC07F2">
        <w:rPr>
          <w:rFonts w:ascii="Palatino Linotype" w:eastAsia="Palatino Linotype" w:hAnsi="Palatino Linotype" w:cs="Palatino Linotype"/>
          <w:i/>
          <w:color w:val="000000" w:themeColor="text1"/>
        </w:rPr>
        <w:t xml:space="preserve"> “De conformidad con el artículo 5 constitucional el expediente con carta de postulacion, currículum y programa completo de los participantes de defensores de derechos humanos desde 2020 a la fecha” (Sic) </w:t>
      </w:r>
    </w:p>
    <w:p w14:paraId="1FD9ACE0" w14:textId="77777777" w:rsidR="00AD197D" w:rsidRPr="00BC07F2" w:rsidRDefault="00AD197D" w:rsidP="0094286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CC9D574"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Se señaló como modalidad de entrega a través de SAIMEX.</w:t>
      </w:r>
    </w:p>
    <w:p w14:paraId="660EB94D" w14:textId="77777777" w:rsidR="00AD197D" w:rsidRPr="00BC07F2" w:rsidRDefault="00AD197D" w:rsidP="0094286C">
      <w:pPr>
        <w:pStyle w:val="Prrafodelista"/>
        <w:ind w:left="0"/>
        <w:rPr>
          <w:rFonts w:ascii="Palatino Linotype" w:eastAsia="Palatino Linotype" w:hAnsi="Palatino Linotype" w:cs="Palatino Linotype"/>
          <w:color w:val="000000" w:themeColor="text1"/>
        </w:rPr>
      </w:pPr>
    </w:p>
    <w:p w14:paraId="5DE7AA0B"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El  </w:t>
      </w:r>
      <w:r w:rsidRPr="00BC07F2">
        <w:rPr>
          <w:rFonts w:ascii="Palatino Linotype" w:eastAsia="Palatino Linotype" w:hAnsi="Palatino Linotype" w:cs="Palatino Linotype"/>
          <w:b/>
          <w:color w:val="000000" w:themeColor="text1"/>
        </w:rPr>
        <w:t>veintiuno de enero de dos mil veinticinco</w:t>
      </w:r>
      <w:r w:rsidRPr="00BC07F2">
        <w:rPr>
          <w:rFonts w:ascii="Palatino Linotype" w:eastAsia="Palatino Linotype" w:hAnsi="Palatino Linotype" w:cs="Palatino Linotype"/>
          <w:color w:val="000000" w:themeColor="text1"/>
        </w:rPr>
        <w:t xml:space="preserve">, se realizó un requerimiento al servidor público habilitado. </w:t>
      </w:r>
    </w:p>
    <w:p w14:paraId="1B73577E"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lastRenderedPageBreak/>
        <w:t xml:space="preserve">El </w:t>
      </w:r>
      <w:r w:rsidRPr="00BC07F2">
        <w:rPr>
          <w:rFonts w:ascii="Palatino Linotype" w:eastAsia="Palatino Linotype" w:hAnsi="Palatino Linotype" w:cs="Palatino Linotype"/>
          <w:b/>
          <w:color w:val="000000" w:themeColor="text1"/>
        </w:rPr>
        <w:t>once de febrero de dos mil veinticinco</w:t>
      </w:r>
      <w:r w:rsidRPr="00BC07F2">
        <w:rPr>
          <w:rFonts w:ascii="Palatino Linotype" w:eastAsia="Palatino Linotype" w:hAnsi="Palatino Linotype" w:cs="Palatino Linotype"/>
          <w:color w:val="000000" w:themeColor="text1"/>
        </w:rPr>
        <w:t xml:space="preserve">, el </w:t>
      </w:r>
      <w:r w:rsidRPr="00BC07F2">
        <w:rPr>
          <w:rFonts w:ascii="Palatino Linotype" w:eastAsia="Palatino Linotype" w:hAnsi="Palatino Linotype" w:cs="Palatino Linotype"/>
          <w:b/>
          <w:color w:val="000000" w:themeColor="text1"/>
        </w:rPr>
        <w:t>SUJETO OBLIGADO</w:t>
      </w:r>
      <w:r w:rsidRPr="00BC07F2">
        <w:rPr>
          <w:rFonts w:ascii="Palatino Linotype" w:eastAsia="Palatino Linotype" w:hAnsi="Palatino Linotype" w:cs="Palatino Linotype"/>
          <w:b/>
          <w:i/>
          <w:color w:val="000000" w:themeColor="text1"/>
        </w:rPr>
        <w:t xml:space="preserve"> </w:t>
      </w:r>
      <w:r w:rsidRPr="00BC07F2">
        <w:rPr>
          <w:rFonts w:ascii="Palatino Linotype" w:eastAsia="Palatino Linotype" w:hAnsi="Palatino Linotype" w:cs="Palatino Linotype"/>
          <w:color w:val="000000" w:themeColor="text1"/>
        </w:rPr>
        <w:t>dio respuesta a las solicitud de información en el siguiente sentido:</w:t>
      </w:r>
    </w:p>
    <w:tbl>
      <w:tblPr>
        <w:tblW w:w="7462" w:type="dxa"/>
        <w:jc w:val="center"/>
        <w:tblCellSpacing w:w="0" w:type="dxa"/>
        <w:tblCellMar>
          <w:left w:w="0" w:type="dxa"/>
          <w:right w:w="0" w:type="dxa"/>
        </w:tblCellMar>
        <w:tblLook w:val="04A0" w:firstRow="1" w:lastRow="0" w:firstColumn="1" w:lastColumn="0" w:noHBand="0" w:noVBand="1"/>
      </w:tblPr>
      <w:tblGrid>
        <w:gridCol w:w="7462"/>
      </w:tblGrid>
      <w:tr w:rsidR="00411A25" w:rsidRPr="00BC07F2" w14:paraId="6F653F60" w14:textId="77777777" w:rsidTr="00AD197D">
        <w:trPr>
          <w:trHeight w:val="313"/>
          <w:tblCellSpacing w:w="0" w:type="dxa"/>
          <w:jc w:val="center"/>
        </w:trPr>
        <w:tc>
          <w:tcPr>
            <w:tcW w:w="0" w:type="auto"/>
            <w:vAlign w:val="center"/>
            <w:hideMark/>
          </w:tcPr>
          <w:p w14:paraId="4515C64D" w14:textId="77777777" w:rsidR="00AD197D" w:rsidRPr="00BC07F2" w:rsidRDefault="00AD197D" w:rsidP="0094286C">
            <w:pPr>
              <w:jc w:val="right"/>
              <w:rPr>
                <w:rFonts w:ascii="Palatino Linotype" w:hAnsi="Palatino Linotype"/>
                <w:i/>
                <w:color w:val="000000" w:themeColor="text1"/>
              </w:rPr>
            </w:pPr>
            <w:r w:rsidRPr="00BC07F2">
              <w:rPr>
                <w:rFonts w:ascii="Palatino Linotype" w:hAnsi="Palatino Linotype"/>
                <w:i/>
                <w:color w:val="000000" w:themeColor="text1"/>
              </w:rPr>
              <w:br/>
              <w:t>Toluca, México a 11 de Febrero de 2025</w:t>
            </w:r>
          </w:p>
        </w:tc>
      </w:tr>
      <w:tr w:rsidR="00411A25" w:rsidRPr="00BC07F2" w14:paraId="3C4E9815" w14:textId="77777777" w:rsidTr="00AD197D">
        <w:trPr>
          <w:trHeight w:val="313"/>
          <w:tblCellSpacing w:w="0" w:type="dxa"/>
          <w:jc w:val="center"/>
        </w:trPr>
        <w:tc>
          <w:tcPr>
            <w:tcW w:w="0" w:type="auto"/>
            <w:vAlign w:val="center"/>
            <w:hideMark/>
          </w:tcPr>
          <w:p w14:paraId="1A3D4A0D" w14:textId="77777777" w:rsidR="00AD197D" w:rsidRPr="00BC07F2" w:rsidRDefault="00AD197D" w:rsidP="0094286C">
            <w:pPr>
              <w:jc w:val="right"/>
              <w:rPr>
                <w:rFonts w:ascii="Palatino Linotype" w:hAnsi="Palatino Linotype"/>
                <w:i/>
                <w:color w:val="000000" w:themeColor="text1"/>
              </w:rPr>
            </w:pPr>
            <w:r w:rsidRPr="00BC07F2">
              <w:rPr>
                <w:rFonts w:ascii="Palatino Linotype" w:hAnsi="Palatino Linotype"/>
                <w:i/>
                <w:color w:val="000000" w:themeColor="text1"/>
              </w:rPr>
              <w:t>Nombre del solicitante: C. Solicitante</w:t>
            </w:r>
          </w:p>
        </w:tc>
      </w:tr>
      <w:tr w:rsidR="00411A25" w:rsidRPr="00BC07F2" w14:paraId="1967D4BD" w14:textId="77777777" w:rsidTr="00AD197D">
        <w:trPr>
          <w:trHeight w:val="313"/>
          <w:tblCellSpacing w:w="0" w:type="dxa"/>
          <w:jc w:val="center"/>
        </w:trPr>
        <w:tc>
          <w:tcPr>
            <w:tcW w:w="0" w:type="auto"/>
            <w:vAlign w:val="center"/>
            <w:hideMark/>
          </w:tcPr>
          <w:p w14:paraId="2E2D42C9" w14:textId="77777777" w:rsidR="00AD197D" w:rsidRPr="00BC07F2" w:rsidRDefault="00AD197D" w:rsidP="0094286C">
            <w:pPr>
              <w:jc w:val="right"/>
              <w:rPr>
                <w:rFonts w:ascii="Palatino Linotype" w:hAnsi="Palatino Linotype"/>
                <w:i/>
                <w:color w:val="000000" w:themeColor="text1"/>
              </w:rPr>
            </w:pPr>
            <w:r w:rsidRPr="00BC07F2">
              <w:rPr>
                <w:rFonts w:ascii="Palatino Linotype" w:hAnsi="Palatino Linotype"/>
                <w:i/>
                <w:color w:val="000000" w:themeColor="text1"/>
              </w:rPr>
              <w:t>Folio de la solicitud: 00396/TOLUCA/IP/2025</w:t>
            </w:r>
          </w:p>
        </w:tc>
      </w:tr>
      <w:tr w:rsidR="00411A25" w:rsidRPr="00BC07F2" w14:paraId="5A505F8F" w14:textId="77777777" w:rsidTr="00AD197D">
        <w:trPr>
          <w:trHeight w:val="469"/>
          <w:tblCellSpacing w:w="0" w:type="dxa"/>
          <w:jc w:val="center"/>
        </w:trPr>
        <w:tc>
          <w:tcPr>
            <w:tcW w:w="0" w:type="auto"/>
            <w:vAlign w:val="center"/>
            <w:hideMark/>
          </w:tcPr>
          <w:p w14:paraId="3F592795" w14:textId="77777777" w:rsidR="00AD197D" w:rsidRPr="00BC07F2" w:rsidRDefault="00AD197D" w:rsidP="0094286C">
            <w:pPr>
              <w:jc w:val="both"/>
              <w:rPr>
                <w:rFonts w:ascii="Palatino Linotype" w:hAnsi="Palatino Linotype"/>
                <w:i/>
                <w:color w:val="000000" w:themeColor="text1"/>
              </w:rPr>
            </w:pPr>
          </w:p>
        </w:tc>
      </w:tr>
      <w:tr w:rsidR="00411A25" w:rsidRPr="00BC07F2" w14:paraId="31D5E5F9" w14:textId="77777777" w:rsidTr="00AD197D">
        <w:trPr>
          <w:trHeight w:val="156"/>
          <w:tblCellSpacing w:w="0" w:type="dxa"/>
          <w:jc w:val="center"/>
        </w:trPr>
        <w:tc>
          <w:tcPr>
            <w:tcW w:w="0" w:type="auto"/>
            <w:vAlign w:val="center"/>
            <w:hideMark/>
          </w:tcPr>
          <w:p w14:paraId="586EE862" w14:textId="77777777" w:rsidR="00AD197D" w:rsidRPr="00BC07F2" w:rsidRDefault="00AD197D" w:rsidP="0094286C">
            <w:pPr>
              <w:jc w:val="both"/>
              <w:rPr>
                <w:rFonts w:ascii="Palatino Linotype" w:hAnsi="Palatino Linotype"/>
                <w:i/>
                <w:color w:val="000000" w:themeColor="text1"/>
              </w:rPr>
            </w:pPr>
            <w:r w:rsidRPr="00BC07F2">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11A25" w:rsidRPr="00BC07F2" w14:paraId="5202C1A3" w14:textId="77777777" w:rsidTr="00AD197D">
        <w:trPr>
          <w:trHeight w:val="391"/>
          <w:tblCellSpacing w:w="0" w:type="dxa"/>
          <w:jc w:val="center"/>
        </w:trPr>
        <w:tc>
          <w:tcPr>
            <w:tcW w:w="0" w:type="auto"/>
            <w:vAlign w:val="center"/>
            <w:hideMark/>
          </w:tcPr>
          <w:p w14:paraId="75E44A49" w14:textId="77777777" w:rsidR="00AD197D" w:rsidRPr="00BC07F2" w:rsidRDefault="00AD197D" w:rsidP="0094286C">
            <w:pPr>
              <w:jc w:val="both"/>
              <w:rPr>
                <w:rFonts w:ascii="Palatino Linotype" w:hAnsi="Palatino Linotype"/>
                <w:i/>
                <w:color w:val="000000" w:themeColor="text1"/>
              </w:rPr>
            </w:pPr>
          </w:p>
        </w:tc>
      </w:tr>
      <w:tr w:rsidR="00411A25" w:rsidRPr="00BC07F2" w14:paraId="6DF225ED" w14:textId="77777777" w:rsidTr="00AD197D">
        <w:trPr>
          <w:trHeight w:val="156"/>
          <w:tblCellSpacing w:w="0" w:type="dxa"/>
          <w:jc w:val="center"/>
        </w:trPr>
        <w:tc>
          <w:tcPr>
            <w:tcW w:w="0" w:type="auto"/>
            <w:vAlign w:val="center"/>
            <w:hideMark/>
          </w:tcPr>
          <w:p w14:paraId="4ECB7271" w14:textId="77777777" w:rsidR="00AD197D" w:rsidRPr="00BC07F2" w:rsidRDefault="00AD197D" w:rsidP="0094286C">
            <w:pPr>
              <w:jc w:val="both"/>
              <w:rPr>
                <w:rFonts w:ascii="Palatino Linotype" w:hAnsi="Palatino Linotype"/>
                <w:i/>
                <w:color w:val="000000" w:themeColor="text1"/>
              </w:rPr>
            </w:pPr>
            <w:r w:rsidRPr="00BC07F2">
              <w:rPr>
                <w:rFonts w:ascii="Palatino Linotype" w:hAnsi="Palatino Linotype"/>
                <w:i/>
                <w:color w:val="000000" w:themeColor="text1"/>
              </w:rPr>
              <w:t>En atención a la solicitud con folio 0396/TOLUCA/IP/2025, me permito adjuntar al presente la respuesta correspondiente. Sin más por el momento, reciba un saludo.</w:t>
            </w:r>
          </w:p>
        </w:tc>
      </w:tr>
      <w:tr w:rsidR="00411A25" w:rsidRPr="00BC07F2" w14:paraId="5F1746E1" w14:textId="77777777" w:rsidTr="00AD197D">
        <w:trPr>
          <w:trHeight w:val="391"/>
          <w:tblCellSpacing w:w="0" w:type="dxa"/>
          <w:jc w:val="center"/>
        </w:trPr>
        <w:tc>
          <w:tcPr>
            <w:tcW w:w="0" w:type="auto"/>
            <w:vAlign w:val="center"/>
            <w:hideMark/>
          </w:tcPr>
          <w:p w14:paraId="7DA5DCDF" w14:textId="77777777" w:rsidR="00AD197D" w:rsidRPr="00BC07F2" w:rsidRDefault="00AD197D" w:rsidP="0094286C">
            <w:pPr>
              <w:rPr>
                <w:rFonts w:ascii="Palatino Linotype" w:hAnsi="Palatino Linotype"/>
                <w:i/>
                <w:color w:val="000000" w:themeColor="text1"/>
              </w:rPr>
            </w:pPr>
          </w:p>
        </w:tc>
      </w:tr>
      <w:tr w:rsidR="00411A25" w:rsidRPr="00BC07F2" w14:paraId="77A155C3" w14:textId="77777777" w:rsidTr="00AD197D">
        <w:trPr>
          <w:trHeight w:val="156"/>
          <w:tblCellSpacing w:w="0" w:type="dxa"/>
          <w:jc w:val="center"/>
        </w:trPr>
        <w:tc>
          <w:tcPr>
            <w:tcW w:w="0" w:type="auto"/>
            <w:vAlign w:val="center"/>
            <w:hideMark/>
          </w:tcPr>
          <w:p w14:paraId="1B0706EC" w14:textId="77777777" w:rsidR="00AD197D" w:rsidRPr="00BC07F2" w:rsidRDefault="00AD197D" w:rsidP="0094286C">
            <w:pPr>
              <w:jc w:val="center"/>
              <w:rPr>
                <w:rFonts w:ascii="Palatino Linotype" w:hAnsi="Palatino Linotype"/>
                <w:i/>
                <w:color w:val="000000" w:themeColor="text1"/>
              </w:rPr>
            </w:pPr>
          </w:p>
        </w:tc>
      </w:tr>
      <w:tr w:rsidR="00411A25" w:rsidRPr="00BC07F2" w14:paraId="2F2E8D70" w14:textId="77777777" w:rsidTr="00AD197D">
        <w:trPr>
          <w:trHeight w:val="156"/>
          <w:tblCellSpacing w:w="0" w:type="dxa"/>
          <w:jc w:val="center"/>
        </w:trPr>
        <w:tc>
          <w:tcPr>
            <w:tcW w:w="0" w:type="auto"/>
            <w:vAlign w:val="center"/>
            <w:hideMark/>
          </w:tcPr>
          <w:p w14:paraId="0364055E" w14:textId="77777777" w:rsidR="00AD197D" w:rsidRPr="00BC07F2" w:rsidRDefault="00AD197D" w:rsidP="0094286C">
            <w:pPr>
              <w:rPr>
                <w:rFonts w:ascii="Palatino Linotype" w:hAnsi="Palatino Linotype"/>
                <w:i/>
                <w:color w:val="000000" w:themeColor="text1"/>
              </w:rPr>
            </w:pPr>
          </w:p>
        </w:tc>
      </w:tr>
      <w:tr w:rsidR="00411A25" w:rsidRPr="00BC07F2" w14:paraId="768B47BD" w14:textId="77777777" w:rsidTr="00AD197D">
        <w:trPr>
          <w:trHeight w:val="156"/>
          <w:tblCellSpacing w:w="0" w:type="dxa"/>
          <w:jc w:val="center"/>
        </w:trPr>
        <w:tc>
          <w:tcPr>
            <w:tcW w:w="0" w:type="auto"/>
            <w:vAlign w:val="center"/>
            <w:hideMark/>
          </w:tcPr>
          <w:p w14:paraId="27F4D48F" w14:textId="77777777" w:rsidR="00AD197D" w:rsidRPr="00BC07F2" w:rsidRDefault="00AD197D" w:rsidP="0094286C">
            <w:pPr>
              <w:rPr>
                <w:rFonts w:ascii="Palatino Linotype" w:hAnsi="Palatino Linotype"/>
                <w:i/>
                <w:color w:val="000000" w:themeColor="text1"/>
              </w:rPr>
            </w:pPr>
            <w:r w:rsidRPr="00BC07F2">
              <w:rPr>
                <w:rFonts w:ascii="Palatino Linotype" w:hAnsi="Palatino Linotype"/>
                <w:i/>
                <w:color w:val="000000" w:themeColor="text1"/>
              </w:rPr>
              <w:t>ATENTAMENTE</w:t>
            </w:r>
          </w:p>
        </w:tc>
      </w:tr>
      <w:tr w:rsidR="00411A25" w:rsidRPr="00BC07F2" w14:paraId="7B02DA60" w14:textId="77777777" w:rsidTr="00AD197D">
        <w:trPr>
          <w:trHeight w:val="234"/>
          <w:tblCellSpacing w:w="0" w:type="dxa"/>
          <w:jc w:val="center"/>
        </w:trPr>
        <w:tc>
          <w:tcPr>
            <w:tcW w:w="0" w:type="auto"/>
            <w:vAlign w:val="center"/>
            <w:hideMark/>
          </w:tcPr>
          <w:p w14:paraId="584C1D09" w14:textId="77777777" w:rsidR="00AD197D" w:rsidRPr="00BC07F2" w:rsidRDefault="00AD197D" w:rsidP="0094286C">
            <w:pPr>
              <w:rPr>
                <w:rFonts w:ascii="Palatino Linotype" w:hAnsi="Palatino Linotype"/>
                <w:i/>
                <w:color w:val="000000" w:themeColor="text1"/>
              </w:rPr>
            </w:pPr>
          </w:p>
        </w:tc>
      </w:tr>
      <w:tr w:rsidR="00AD197D" w:rsidRPr="00BC07F2" w14:paraId="5BDE06D6" w14:textId="77777777" w:rsidTr="00AD197D">
        <w:trPr>
          <w:trHeight w:val="156"/>
          <w:tblCellSpacing w:w="0" w:type="dxa"/>
          <w:jc w:val="center"/>
        </w:trPr>
        <w:tc>
          <w:tcPr>
            <w:tcW w:w="0" w:type="auto"/>
            <w:vAlign w:val="center"/>
            <w:hideMark/>
          </w:tcPr>
          <w:p w14:paraId="37809B99" w14:textId="77777777" w:rsidR="00AD197D" w:rsidRPr="00BC07F2" w:rsidRDefault="00AD197D" w:rsidP="0094286C">
            <w:pPr>
              <w:rPr>
                <w:rFonts w:ascii="Palatino Linotype" w:hAnsi="Palatino Linotype"/>
                <w:i/>
                <w:color w:val="000000" w:themeColor="text1"/>
              </w:rPr>
            </w:pPr>
            <w:r w:rsidRPr="00BC07F2">
              <w:rPr>
                <w:rFonts w:ascii="Palatino Linotype" w:hAnsi="Palatino Linotype"/>
                <w:i/>
                <w:color w:val="000000" w:themeColor="text1"/>
              </w:rPr>
              <w:t>Dr. Nahum Miguel Mendoza Morales</w:t>
            </w:r>
          </w:p>
        </w:tc>
      </w:tr>
    </w:tbl>
    <w:p w14:paraId="6FB919CE"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2B1FDA6A" w14:textId="77777777" w:rsidR="00AD197D" w:rsidRPr="00BC07F2" w:rsidRDefault="00AD197D" w:rsidP="0094286C">
      <w:pPr>
        <w:pStyle w:val="Prrafodelista"/>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A la respuesta se adjuntó el archivo electrónico denominado </w:t>
      </w:r>
      <w:hyperlink r:id="rId7" w:tgtFrame="_blank" w:history="1">
        <w:r w:rsidRPr="00BC07F2">
          <w:rPr>
            <w:rStyle w:val="Hipervnculo"/>
            <w:rFonts w:ascii="Palatino Linotype" w:eastAsiaTheme="majorEastAsia" w:hAnsi="Palatino Linotype" w:cs="Arial"/>
            <w:b/>
            <w:bCs/>
            <w:color w:val="000000" w:themeColor="text1"/>
          </w:rPr>
          <w:t>RESPUESTA 396. 2025.pdf</w:t>
        </w:r>
      </w:hyperlink>
      <w:r w:rsidRPr="00BC07F2">
        <w:rPr>
          <w:rFonts w:ascii="Palatino Linotype" w:hAnsi="Palatino Linotype"/>
          <w:color w:val="000000" w:themeColor="text1"/>
        </w:rPr>
        <w:t xml:space="preserve">, en el que se advierte el oficio de respuesta de fecha once de febrero de dos mil veinticinco, suscrito por el Titular de la Unidad de Transparencia, en el que refirió </w:t>
      </w:r>
      <w:r w:rsidRPr="00BC07F2">
        <w:rPr>
          <w:rFonts w:ascii="Palatino Linotype" w:hAnsi="Palatino Linotype"/>
          <w:i/>
          <w:color w:val="000000" w:themeColor="text1"/>
        </w:rPr>
        <w:t>“…hago de su conocimiento que la Dirección General de Administración y Servidora Pública Habilitada, informó que no es competencia de la Dirección General de Administración, toda vez que la información requerida, en los términos planteados no se genera, recopila, administra, procesa archiva о conserva en esta Unidad Administrativa, lo anterior de conformidad con el artículo 167 de la Ley de Transparencia y Acceso a la Información Pública del Estado de México y Municipios y el articulo 147-E de la Ley Orgánica Municipal del Estado de México.”</w:t>
      </w:r>
    </w:p>
    <w:p w14:paraId="3C7DF3FD"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lastRenderedPageBreak/>
        <w:t xml:space="preserve">El </w:t>
      </w:r>
      <w:r w:rsidRPr="00BC07F2">
        <w:rPr>
          <w:rFonts w:ascii="Palatino Linotype" w:eastAsia="Palatino Linotype" w:hAnsi="Palatino Linotype" w:cs="Palatino Linotype"/>
          <w:b/>
          <w:color w:val="000000" w:themeColor="text1"/>
        </w:rPr>
        <w:t>once de febrero de dos mil veinticinco</w:t>
      </w:r>
      <w:r w:rsidRPr="00BC07F2">
        <w:rPr>
          <w:rFonts w:ascii="Palatino Linotype" w:eastAsia="Palatino Linotype" w:hAnsi="Palatino Linotype" w:cs="Palatino Linotype"/>
          <w:color w:val="000000" w:themeColor="text1"/>
        </w:rPr>
        <w:t xml:space="preserve">, </w:t>
      </w:r>
      <w:r w:rsidRPr="00BC07F2">
        <w:rPr>
          <w:rFonts w:ascii="Palatino Linotype" w:eastAsia="Palatino Linotype" w:hAnsi="Palatino Linotype" w:cs="Palatino Linotype"/>
          <w:b/>
          <w:color w:val="000000" w:themeColor="text1"/>
        </w:rPr>
        <w:t>EL RECURRENTE</w:t>
      </w:r>
      <w:r w:rsidRPr="00BC07F2">
        <w:rPr>
          <w:rFonts w:ascii="Palatino Linotype" w:eastAsia="Palatino Linotype" w:hAnsi="Palatino Linotype" w:cs="Palatino Linotype"/>
          <w:color w:val="000000" w:themeColor="text1"/>
        </w:rPr>
        <w:t xml:space="preserve"> interpuso el recurso de revisión, en contra de la respuesta, señalando como:</w:t>
      </w:r>
    </w:p>
    <w:p w14:paraId="5F10FB46" w14:textId="77777777" w:rsidR="00706F35" w:rsidRDefault="00706F35" w:rsidP="0094286C">
      <w:pPr>
        <w:spacing w:line="360" w:lineRule="auto"/>
        <w:jc w:val="both"/>
        <w:rPr>
          <w:rFonts w:ascii="Palatino Linotype" w:eastAsia="Palatino Linotype" w:hAnsi="Palatino Linotype" w:cs="Palatino Linotype"/>
          <w:b/>
          <w:color w:val="000000" w:themeColor="text1"/>
        </w:rPr>
      </w:pPr>
    </w:p>
    <w:p w14:paraId="4F473681" w14:textId="77777777" w:rsidR="00AD197D" w:rsidRPr="00706F35" w:rsidRDefault="00AD197D" w:rsidP="00706F35">
      <w:pPr>
        <w:pStyle w:val="Prrafodelista"/>
        <w:numPr>
          <w:ilvl w:val="0"/>
          <w:numId w:val="2"/>
        </w:numPr>
        <w:spacing w:line="360" w:lineRule="auto"/>
        <w:jc w:val="both"/>
        <w:rPr>
          <w:rFonts w:ascii="Palatino Linotype" w:eastAsia="Palatino Linotype" w:hAnsi="Palatino Linotype" w:cs="Palatino Linotype"/>
          <w:i/>
          <w:color w:val="000000" w:themeColor="text1"/>
        </w:rPr>
      </w:pPr>
      <w:r w:rsidRPr="00706F35">
        <w:rPr>
          <w:rFonts w:ascii="Palatino Linotype" w:eastAsia="Palatino Linotype" w:hAnsi="Palatino Linotype" w:cs="Palatino Linotype"/>
          <w:b/>
          <w:color w:val="000000" w:themeColor="text1"/>
        </w:rPr>
        <w:t>Acto impugnado</w:t>
      </w:r>
      <w:r w:rsidRPr="00706F35">
        <w:rPr>
          <w:rFonts w:ascii="Palatino Linotype" w:eastAsia="Palatino Linotype" w:hAnsi="Palatino Linotype" w:cs="Palatino Linotype"/>
          <w:b/>
          <w:i/>
          <w:color w:val="000000" w:themeColor="text1"/>
        </w:rPr>
        <w:t>:</w:t>
      </w:r>
      <w:r w:rsidRPr="00706F35">
        <w:rPr>
          <w:rFonts w:ascii="Palatino Linotype" w:eastAsia="Palatino Linotype" w:hAnsi="Palatino Linotype" w:cs="Palatino Linotype"/>
          <w:i/>
          <w:color w:val="000000" w:themeColor="text1"/>
        </w:rPr>
        <w:t xml:space="preserve"> "</w:t>
      </w:r>
      <w:r w:rsidRPr="00706F35">
        <w:rPr>
          <w:rFonts w:ascii="Palatino Linotype" w:hAnsi="Palatino Linotype"/>
          <w:color w:val="000000" w:themeColor="text1"/>
        </w:rPr>
        <w:t xml:space="preserve"> </w:t>
      </w:r>
      <w:r w:rsidRPr="00706F35">
        <w:rPr>
          <w:rFonts w:ascii="Palatino Linotype" w:eastAsia="Palatino Linotype" w:hAnsi="Palatino Linotype" w:cs="Palatino Linotype"/>
          <w:i/>
          <w:color w:val="000000" w:themeColor="text1"/>
        </w:rPr>
        <w:t>La contratación a mi saimex" (Sic)</w:t>
      </w:r>
    </w:p>
    <w:p w14:paraId="7A02D817"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5A28D367" w14:textId="77777777" w:rsidR="00AD197D" w:rsidRPr="00706F35" w:rsidRDefault="00AD197D" w:rsidP="00706F35">
      <w:pPr>
        <w:pStyle w:val="Prrafodelista"/>
        <w:numPr>
          <w:ilvl w:val="0"/>
          <w:numId w:val="2"/>
        </w:numPr>
        <w:spacing w:line="360" w:lineRule="auto"/>
        <w:jc w:val="both"/>
        <w:rPr>
          <w:rFonts w:ascii="Palatino Linotype" w:eastAsia="Palatino Linotype" w:hAnsi="Palatino Linotype" w:cs="Palatino Linotype"/>
          <w:color w:val="000000" w:themeColor="text1"/>
        </w:rPr>
      </w:pPr>
      <w:r w:rsidRPr="00706F35">
        <w:rPr>
          <w:rFonts w:ascii="Palatino Linotype" w:eastAsia="Palatino Linotype" w:hAnsi="Palatino Linotype" w:cs="Palatino Linotype"/>
          <w:b/>
          <w:color w:val="000000" w:themeColor="text1"/>
        </w:rPr>
        <w:t>Razones o Motivos de inconformidad: “</w:t>
      </w:r>
      <w:r w:rsidRPr="00706F35">
        <w:rPr>
          <w:rFonts w:ascii="Palatino Linotype" w:eastAsia="Palatino Linotype" w:hAnsi="Palatino Linotype" w:cs="Palatino Linotype"/>
          <w:i/>
          <w:color w:val="000000" w:themeColor="text1"/>
        </w:rPr>
        <w:t>No entrega la información cuando l Infoem debe existir” (Sic)</w:t>
      </w:r>
      <w:r w:rsidRPr="00706F35">
        <w:rPr>
          <w:rFonts w:ascii="Palatino Linotype" w:eastAsia="Palatino Linotype" w:hAnsi="Palatino Linotype" w:cs="Palatino Linotype"/>
          <w:color w:val="000000" w:themeColor="text1"/>
        </w:rPr>
        <w:t xml:space="preserve">. </w:t>
      </w:r>
    </w:p>
    <w:p w14:paraId="6B4309BB"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05D939AE" w14:textId="03BA0968"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BC07F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C07F2">
        <w:rPr>
          <w:rFonts w:ascii="Palatino Linotype" w:eastAsia="Palatino Linotype" w:hAnsi="Palatino Linotype" w:cs="Palatino Linotype"/>
          <w:color w:val="000000" w:themeColor="text1"/>
        </w:rPr>
        <w:t xml:space="preserve">se turnó a la </w:t>
      </w:r>
      <w:r w:rsidRPr="00BC07F2">
        <w:rPr>
          <w:rFonts w:ascii="Palatino Linotype" w:eastAsia="Palatino Linotype" w:hAnsi="Palatino Linotype" w:cs="Palatino Linotype"/>
          <w:b/>
          <w:color w:val="000000" w:themeColor="text1"/>
        </w:rPr>
        <w:t xml:space="preserve">Comisionada María del Rosario Mejía Ayala, </w:t>
      </w:r>
      <w:r w:rsidR="00706F35">
        <w:rPr>
          <w:rFonts w:ascii="Palatino Linotype" w:eastAsia="Palatino Linotype" w:hAnsi="Palatino Linotype" w:cs="Palatino Linotype"/>
          <w:color w:val="000000" w:themeColor="text1"/>
        </w:rPr>
        <w:t>para</w:t>
      </w:r>
      <w:r w:rsidRPr="00BC07F2">
        <w:rPr>
          <w:rFonts w:ascii="Palatino Linotype" w:eastAsia="Palatino Linotype" w:hAnsi="Palatino Linotype" w:cs="Palatino Linotype"/>
          <w:color w:val="000000" w:themeColor="text1"/>
        </w:rPr>
        <w:t xml:space="preserve"> su análisis. </w:t>
      </w:r>
    </w:p>
    <w:p w14:paraId="79868DAB" w14:textId="77777777" w:rsidR="00AD197D" w:rsidRPr="00BC07F2" w:rsidRDefault="00AD197D" w:rsidP="0094286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9F5C192" w14:textId="2426580C" w:rsidR="00AD197D" w:rsidRPr="00BC07F2" w:rsidRDefault="00706F35"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AD197D" w:rsidRPr="00BC07F2">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AD197D" w:rsidRPr="00BC07F2">
        <w:rPr>
          <w:rFonts w:ascii="Palatino Linotype" w:eastAsia="Palatino Linotype" w:hAnsi="Palatino Linotype" w:cs="Palatino Linotype"/>
          <w:b/>
          <w:color w:val="000000" w:themeColor="text1"/>
        </w:rPr>
        <w:t>catorce de febrero de dos mil veinticinco</w:t>
      </w:r>
      <w:r w:rsidR="00AD197D" w:rsidRPr="00BC07F2">
        <w:rPr>
          <w:rFonts w:ascii="Palatino Linotype" w:eastAsia="Palatino Linotype" w:hAnsi="Palatino Linotype" w:cs="Palatino Linotype"/>
          <w:color w:val="000000" w:themeColor="text1"/>
        </w:rPr>
        <w:t xml:space="preserve">, puso a disposición de las partes el expediente electrónico vía </w:t>
      </w:r>
      <w:r w:rsidR="00AD197D" w:rsidRPr="00BC07F2">
        <w:rPr>
          <w:rFonts w:ascii="Palatino Linotype" w:eastAsia="Palatino Linotype" w:hAnsi="Palatino Linotype" w:cs="Palatino Linotype"/>
          <w:b/>
          <w:color w:val="000000" w:themeColor="text1"/>
        </w:rPr>
        <w:t xml:space="preserve">SAIMEX </w:t>
      </w:r>
      <w:r w:rsidR="00AD197D" w:rsidRPr="00BC07F2">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AD197D" w:rsidRPr="00BC07F2">
        <w:rPr>
          <w:rFonts w:ascii="Palatino Linotype" w:eastAsia="Palatino Linotype" w:hAnsi="Palatino Linotype" w:cs="Palatino Linotype"/>
          <w:b/>
          <w:color w:val="000000" w:themeColor="text1"/>
        </w:rPr>
        <w:t>SUJETO OBLIGADO</w:t>
      </w:r>
      <w:r w:rsidR="00AD197D" w:rsidRPr="00BC07F2">
        <w:rPr>
          <w:rFonts w:ascii="Palatino Linotype" w:eastAsia="Palatino Linotype" w:hAnsi="Palatino Linotype" w:cs="Palatino Linotype"/>
          <w:color w:val="000000" w:themeColor="text1"/>
        </w:rPr>
        <w:t xml:space="preserve"> presentara el informe justificado procedente. </w:t>
      </w:r>
    </w:p>
    <w:p w14:paraId="240FDFF9" w14:textId="77777777" w:rsidR="00AD197D" w:rsidRPr="00BC07F2" w:rsidRDefault="00AD197D" w:rsidP="0094286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0101672"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por su parte, el Sujeto Obligado entregó informe justificado el veinticinco de febrero de dos mil veinticinco y se puso a la vista del Recurrente el veintisiete de febrero del mismo año, a través del archivo denominado </w:t>
      </w:r>
      <w:hyperlink r:id="rId8" w:history="1">
        <w:r w:rsidRPr="00BC07F2">
          <w:rPr>
            <w:rStyle w:val="Hipervnculo"/>
            <w:rFonts w:ascii="Palatino Linotype" w:eastAsia="Palatino Linotype" w:hAnsi="Palatino Linotype" w:cs="Palatino Linotype"/>
            <w:b/>
            <w:bCs/>
            <w:color w:val="000000" w:themeColor="text1"/>
          </w:rPr>
          <w:t>RR-1118-2025.pdf</w:t>
        </w:r>
      </w:hyperlink>
      <w:r w:rsidRPr="00BC07F2">
        <w:rPr>
          <w:rStyle w:val="Hipervnculo"/>
          <w:rFonts w:ascii="Palatino Linotype" w:eastAsia="Palatino Linotype" w:hAnsi="Palatino Linotype" w:cs="Palatino Linotype"/>
          <w:b/>
          <w:bCs/>
          <w:color w:val="000000" w:themeColor="text1"/>
        </w:rPr>
        <w:t>f</w:t>
      </w:r>
      <w:r w:rsidRPr="00BC07F2">
        <w:rPr>
          <w:rFonts w:ascii="Palatino Linotype" w:eastAsia="Palatino Linotype" w:hAnsi="Palatino Linotype" w:cs="Palatino Linotype"/>
          <w:color w:val="000000" w:themeColor="text1"/>
        </w:rPr>
        <w:t xml:space="preserve">, en el que, de forma medular, se ratificó la respuesta. </w:t>
      </w:r>
    </w:p>
    <w:p w14:paraId="49C910E5" w14:textId="6E0C829F"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lastRenderedPageBreak/>
        <w:t xml:space="preserve">l </w:t>
      </w:r>
      <w:r w:rsidR="00A90AFC" w:rsidRPr="00BC07F2">
        <w:rPr>
          <w:rFonts w:ascii="Palatino Linotype" w:eastAsia="Palatino Linotype" w:hAnsi="Palatino Linotype" w:cs="Palatino Linotype"/>
          <w:b/>
          <w:color w:val="000000" w:themeColor="text1"/>
        </w:rPr>
        <w:t>veintiocho</w:t>
      </w:r>
      <w:r w:rsidRPr="00BC07F2">
        <w:rPr>
          <w:rFonts w:ascii="Palatino Linotype" w:eastAsia="Palatino Linotype" w:hAnsi="Palatino Linotype" w:cs="Palatino Linotype"/>
          <w:b/>
          <w:color w:val="000000" w:themeColor="text1"/>
        </w:rPr>
        <w:t xml:space="preserve"> de mayo de dos mil veinticinco</w:t>
      </w:r>
      <w:r w:rsidRPr="00BC07F2">
        <w:rPr>
          <w:rFonts w:ascii="Palatino Linotype" w:eastAsia="Palatino Linotype" w:hAnsi="Palatino Linotype" w:cs="Palatino Linotype"/>
          <w:color w:val="000000" w:themeColor="text1"/>
        </w:rPr>
        <w:t xml:space="preserve">, se notificó el acuerdo mediante el cual se aprobó el plazo para emitir resolución. </w:t>
      </w:r>
    </w:p>
    <w:p w14:paraId="4199F03E" w14:textId="77777777" w:rsidR="00AD197D" w:rsidRPr="00BC07F2" w:rsidRDefault="00AD197D" w:rsidP="0094286C">
      <w:pPr>
        <w:pStyle w:val="Prrafodelista"/>
        <w:ind w:left="0"/>
        <w:rPr>
          <w:rFonts w:ascii="Palatino Linotype" w:eastAsia="Palatino Linotype" w:hAnsi="Palatino Linotype" w:cs="Palatino Linotype"/>
          <w:color w:val="000000" w:themeColor="text1"/>
        </w:rPr>
      </w:pPr>
    </w:p>
    <w:p w14:paraId="49A24633" w14:textId="657F39F3" w:rsidR="00AD197D" w:rsidRPr="00BC07F2" w:rsidRDefault="00706F35"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AD197D" w:rsidRPr="00BC07F2">
        <w:rPr>
          <w:rFonts w:ascii="Palatino Linotype" w:eastAsia="Palatino Linotype" w:hAnsi="Palatino Linotype" w:cs="Palatino Linotype"/>
          <w:color w:val="000000" w:themeColor="text1"/>
        </w:rPr>
        <w:t xml:space="preserve"> Ponente decretó el cierre de instrucción mediante el acuerdo del </w:t>
      </w:r>
      <w:r w:rsidR="002F46F5" w:rsidRPr="00BC07F2">
        <w:rPr>
          <w:rFonts w:ascii="Palatino Linotype" w:eastAsia="Palatino Linotype" w:hAnsi="Palatino Linotype" w:cs="Palatino Linotype"/>
          <w:b/>
          <w:color w:val="000000" w:themeColor="text1"/>
        </w:rPr>
        <w:t>dos de junio</w:t>
      </w:r>
      <w:r w:rsidR="00AD197D" w:rsidRPr="00BC07F2">
        <w:rPr>
          <w:rFonts w:ascii="Palatino Linotype" w:eastAsia="Palatino Linotype" w:hAnsi="Palatino Linotype" w:cs="Palatino Linotype"/>
          <w:b/>
          <w:color w:val="000000" w:themeColor="text1"/>
        </w:rPr>
        <w:t xml:space="preserve"> de dos mil veinticinco</w:t>
      </w:r>
      <w:r w:rsidR="00AD197D" w:rsidRPr="00BC07F2">
        <w:rPr>
          <w:rFonts w:ascii="Palatino Linotype" w:eastAsia="Palatino Linotype" w:hAnsi="Palatino Linotype" w:cs="Palatino Linotype"/>
          <w:color w:val="000000" w:themeColor="text1"/>
        </w:rPr>
        <w:t>.</w:t>
      </w:r>
    </w:p>
    <w:p w14:paraId="716BFDE6" w14:textId="77777777" w:rsidR="00AD197D" w:rsidRPr="00BC07F2" w:rsidRDefault="00AD197D" w:rsidP="0094286C">
      <w:pPr>
        <w:spacing w:line="360" w:lineRule="auto"/>
        <w:rPr>
          <w:rFonts w:ascii="Palatino Linotype" w:eastAsia="Palatino Linotype" w:hAnsi="Palatino Linotype" w:cs="Palatino Linotype"/>
          <w:color w:val="000000" w:themeColor="text1"/>
        </w:rPr>
      </w:pPr>
    </w:p>
    <w:p w14:paraId="56F8458F" w14:textId="539EC76B" w:rsidR="00AD197D" w:rsidRPr="00BC07F2" w:rsidRDefault="00AD197D" w:rsidP="0094286C">
      <w:pPr>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BC07F2">
        <w:rPr>
          <w:rFonts w:ascii="Palatino Linotype" w:eastAsia="Palatino Linotype" w:hAnsi="Palatino Linotype" w:cs="Palatino Linotype"/>
          <w:b/>
          <w:color w:val="000000" w:themeColor="text1"/>
        </w:rPr>
        <w:t>C</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O</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N</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S</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I</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D</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E</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R</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A</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N</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D</w:t>
      </w:r>
      <w:r w:rsidR="0094286C"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b/>
          <w:color w:val="000000" w:themeColor="text1"/>
        </w:rPr>
        <w:t>O</w:t>
      </w:r>
    </w:p>
    <w:p w14:paraId="0D915319" w14:textId="77777777" w:rsidR="00AD197D" w:rsidRPr="00BC07F2" w:rsidRDefault="00AD197D" w:rsidP="0094286C">
      <w:pPr>
        <w:spacing w:line="360" w:lineRule="auto"/>
        <w:jc w:val="center"/>
        <w:rPr>
          <w:rFonts w:ascii="Palatino Linotype" w:eastAsia="Palatino Linotype" w:hAnsi="Palatino Linotype" w:cs="Palatino Linotype"/>
          <w:color w:val="000000" w:themeColor="text1"/>
        </w:rPr>
      </w:pPr>
    </w:p>
    <w:p w14:paraId="1B2D98E3" w14:textId="77777777" w:rsidR="00AD197D" w:rsidRPr="00BC07F2" w:rsidRDefault="00AD197D" w:rsidP="0094286C">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r w:rsidRPr="00BC07F2">
        <w:rPr>
          <w:rFonts w:ascii="Palatino Linotype" w:eastAsia="Palatino Linotype" w:hAnsi="Palatino Linotype" w:cs="Palatino Linotype"/>
          <w:b/>
          <w:color w:val="000000" w:themeColor="text1"/>
        </w:rPr>
        <w:t>PRIMERO. De la competencia</w:t>
      </w:r>
    </w:p>
    <w:p w14:paraId="5337F822"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w:t>
      </w:r>
      <w:r w:rsidR="002F46F5" w:rsidRPr="00BC07F2">
        <w:rPr>
          <w:rFonts w:ascii="Palatino Linotype" w:eastAsia="Palatino Linotype" w:hAnsi="Palatino Linotype" w:cs="Palatino Linotype"/>
          <w:color w:val="000000" w:themeColor="text1"/>
        </w:rPr>
        <w:t xml:space="preserve"> séptimo, trigésimo octavo y trigésimo noveno</w:t>
      </w:r>
      <w:r w:rsidRPr="00BC07F2">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5372192" w14:textId="77777777" w:rsidR="00AD197D" w:rsidRPr="00BC07F2" w:rsidRDefault="00AD197D" w:rsidP="0094286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F0FA31F" w14:textId="77777777" w:rsidR="00AD197D" w:rsidRPr="00BC07F2" w:rsidRDefault="00AD197D" w:rsidP="0094286C">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BC07F2">
        <w:rPr>
          <w:rFonts w:ascii="Palatino Linotype" w:eastAsia="Palatino Linotype" w:hAnsi="Palatino Linotype" w:cs="Palatino Linotype"/>
          <w:b/>
          <w:color w:val="000000" w:themeColor="text1"/>
        </w:rPr>
        <w:t>SEGUNDO. De la oportunidad y procedencia.</w:t>
      </w:r>
    </w:p>
    <w:p w14:paraId="479B75D2"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El medio de impugnación fue presentado a través del </w:t>
      </w:r>
      <w:r w:rsidRPr="00BC07F2">
        <w:rPr>
          <w:rFonts w:ascii="Palatino Linotype" w:eastAsia="Palatino Linotype" w:hAnsi="Palatino Linotype" w:cs="Palatino Linotype"/>
          <w:b/>
          <w:color w:val="000000" w:themeColor="text1"/>
        </w:rPr>
        <w:t>SAIMEX,</w:t>
      </w:r>
      <w:r w:rsidRPr="00BC07F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BC07F2">
        <w:rPr>
          <w:rFonts w:ascii="Palatino Linotype" w:eastAsia="Palatino Linotype" w:hAnsi="Palatino Linotype" w:cs="Palatino Linotype"/>
          <w:b/>
          <w:color w:val="000000" w:themeColor="text1"/>
        </w:rPr>
        <w:t>SUJETO OBLIGADO</w:t>
      </w:r>
      <w:r w:rsidRPr="00BC07F2">
        <w:rPr>
          <w:rFonts w:ascii="Palatino Linotype" w:eastAsia="Palatino Linotype" w:hAnsi="Palatino Linotype" w:cs="Palatino Linotype"/>
          <w:color w:val="000000" w:themeColor="text1"/>
        </w:rPr>
        <w:t xml:space="preserve"> entregó respuesta a la solicitud el </w:t>
      </w:r>
      <w:r w:rsidR="002F46F5" w:rsidRPr="00BC07F2">
        <w:rPr>
          <w:rFonts w:ascii="Palatino Linotype" w:eastAsia="Palatino Linotype" w:hAnsi="Palatino Linotype" w:cs="Palatino Linotype"/>
          <w:b/>
          <w:color w:val="000000" w:themeColor="text1"/>
        </w:rPr>
        <w:t>once</w:t>
      </w:r>
      <w:r w:rsidRPr="00BC07F2">
        <w:rPr>
          <w:rFonts w:ascii="Palatino Linotype" w:eastAsia="Palatino Linotype" w:hAnsi="Palatino Linotype" w:cs="Palatino Linotype"/>
          <w:b/>
          <w:color w:val="000000" w:themeColor="text1"/>
        </w:rPr>
        <w:t xml:space="preserve"> de febrero de dos mil veinticinco</w:t>
      </w:r>
      <w:r w:rsidRPr="00BC07F2">
        <w:rPr>
          <w:rFonts w:ascii="Palatino Linotype" w:eastAsia="Palatino Linotype" w:hAnsi="Palatino Linotype" w:cs="Palatino Linotype"/>
          <w:color w:val="000000" w:themeColor="text1"/>
        </w:rPr>
        <w:t xml:space="preserve">, de tal forma que el plazo para interponer el recurso de </w:t>
      </w:r>
      <w:r w:rsidRPr="00BC07F2">
        <w:rPr>
          <w:rFonts w:ascii="Palatino Linotype" w:eastAsia="Palatino Linotype" w:hAnsi="Palatino Linotype" w:cs="Palatino Linotype"/>
          <w:color w:val="000000" w:themeColor="text1"/>
        </w:rPr>
        <w:lastRenderedPageBreak/>
        <w:t xml:space="preserve">revisión transcurrió del </w:t>
      </w:r>
      <w:r w:rsidR="002F46F5" w:rsidRPr="00BC07F2">
        <w:rPr>
          <w:rFonts w:ascii="Palatino Linotype" w:eastAsia="Palatino Linotype" w:hAnsi="Palatino Linotype" w:cs="Palatino Linotype"/>
          <w:b/>
          <w:color w:val="000000" w:themeColor="text1"/>
        </w:rPr>
        <w:t>doce</w:t>
      </w:r>
      <w:r w:rsidRPr="00BC07F2">
        <w:rPr>
          <w:rFonts w:ascii="Palatino Linotype" w:eastAsia="Palatino Linotype" w:hAnsi="Palatino Linotype" w:cs="Palatino Linotype"/>
          <w:b/>
          <w:color w:val="000000" w:themeColor="text1"/>
        </w:rPr>
        <w:t xml:space="preserve"> de febrero al </w:t>
      </w:r>
      <w:r w:rsidR="002F46F5" w:rsidRPr="00BC07F2">
        <w:rPr>
          <w:rFonts w:ascii="Palatino Linotype" w:eastAsia="Palatino Linotype" w:hAnsi="Palatino Linotype" w:cs="Palatino Linotype"/>
          <w:b/>
          <w:color w:val="000000" w:themeColor="text1"/>
        </w:rPr>
        <w:t xml:space="preserve">cinco </w:t>
      </w:r>
      <w:r w:rsidRPr="00BC07F2">
        <w:rPr>
          <w:rFonts w:ascii="Palatino Linotype" w:eastAsia="Palatino Linotype" w:hAnsi="Palatino Linotype" w:cs="Palatino Linotype"/>
          <w:b/>
          <w:color w:val="000000" w:themeColor="text1"/>
        </w:rPr>
        <w:t>de marzo de dos mil veinticinco</w:t>
      </w:r>
      <w:r w:rsidRPr="00BC07F2">
        <w:rPr>
          <w:rFonts w:ascii="Palatino Linotype" w:eastAsia="Palatino Linotype" w:hAnsi="Palatino Linotype" w:cs="Palatino Linotype"/>
          <w:color w:val="000000" w:themeColor="text1"/>
        </w:rPr>
        <w:t xml:space="preserve">; en consecuencia, presentó su inconformidad el día </w:t>
      </w:r>
      <w:r w:rsidR="002F46F5" w:rsidRPr="00BC07F2">
        <w:rPr>
          <w:rFonts w:ascii="Palatino Linotype" w:eastAsia="Palatino Linotype" w:hAnsi="Palatino Linotype" w:cs="Palatino Linotype"/>
          <w:b/>
          <w:color w:val="000000" w:themeColor="text1"/>
        </w:rPr>
        <w:t>once</w:t>
      </w:r>
      <w:r w:rsidRPr="00BC07F2">
        <w:rPr>
          <w:rFonts w:ascii="Palatino Linotype" w:eastAsia="Palatino Linotype" w:hAnsi="Palatino Linotype" w:cs="Palatino Linotype"/>
          <w:b/>
          <w:color w:val="000000" w:themeColor="text1"/>
        </w:rPr>
        <w:t xml:space="preserve"> de febrero de dos mil veinticinco</w:t>
      </w:r>
      <w:r w:rsidRPr="00BC07F2">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BC07F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C07F2">
        <w:rPr>
          <w:rFonts w:ascii="Palatino Linotype" w:eastAsia="Palatino Linotype" w:hAnsi="Palatino Linotype" w:cs="Palatino Linotype"/>
          <w:color w:val="000000" w:themeColor="text1"/>
        </w:rPr>
        <w:t>vigente.</w:t>
      </w:r>
    </w:p>
    <w:p w14:paraId="3203D2D4" w14:textId="77777777" w:rsidR="00AD197D" w:rsidRPr="00BC07F2" w:rsidRDefault="00AD197D" w:rsidP="0094286C">
      <w:pPr>
        <w:pStyle w:val="Prrafodelista"/>
        <w:numPr>
          <w:ilvl w:val="0"/>
          <w:numId w:val="1"/>
        </w:numPr>
        <w:spacing w:before="240" w:after="240" w:line="360" w:lineRule="auto"/>
        <w:ind w:left="0" w:firstLine="0"/>
        <w:jc w:val="both"/>
        <w:rPr>
          <w:rFonts w:ascii="Palatino Linotype" w:hAnsi="Palatino Linotype" w:cs="Arial"/>
          <w:bCs/>
          <w:color w:val="000000" w:themeColor="text1"/>
        </w:rPr>
      </w:pPr>
      <w:r w:rsidRPr="00BC07F2">
        <w:rPr>
          <w:rFonts w:ascii="Palatino Linotype" w:hAnsi="Palatino Linotype" w:cs="Arial"/>
          <w:bCs/>
          <w:color w:val="000000" w:themeColor="text1"/>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7BBEB2D" w14:textId="77777777" w:rsidR="00AD197D" w:rsidRPr="00BC07F2" w:rsidRDefault="00AD197D" w:rsidP="0094286C">
      <w:pPr>
        <w:pStyle w:val="Prrafodelista"/>
        <w:ind w:left="0"/>
        <w:rPr>
          <w:rFonts w:ascii="Palatino Linotype" w:hAnsi="Palatino Linotype" w:cs="Arial"/>
          <w:color w:val="000000" w:themeColor="text1"/>
        </w:rPr>
      </w:pPr>
    </w:p>
    <w:p w14:paraId="5F3A0738" w14:textId="77777777" w:rsidR="00AD197D" w:rsidRPr="00BC07F2" w:rsidRDefault="00AD197D" w:rsidP="0094286C">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BC07F2">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5033E26F"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BC07F2">
        <w:rPr>
          <w:rFonts w:ascii="Palatino Linotype" w:hAnsi="Palatino Linotype" w:cs="Arial"/>
          <w:i/>
          <w:color w:val="000000" w:themeColor="text1"/>
        </w:rPr>
        <w:lastRenderedPageBreak/>
        <w:t>correspondiente se presente antes de iniciado ese término. De ahí que si dicho recurso se interpone antes de que inicie el plazo para hacerlo, su presentación no es extemporánea.</w:t>
      </w:r>
    </w:p>
    <w:p w14:paraId="71829629"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 1a./J. 41/2015 (10a.) </w:t>
      </w:r>
    </w:p>
    <w:p w14:paraId="39C79AEE"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398F7600"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p>
    <w:p w14:paraId="4FAEBA29"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7D28A0C4"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p>
    <w:p w14:paraId="1AAC724C"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64A98115"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p>
    <w:p w14:paraId="55C9FAAA"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40A22526"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p>
    <w:p w14:paraId="2777F108"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r w:rsidRPr="00BC07F2">
        <w:rPr>
          <w:rFonts w:ascii="Palatino Linotype" w:hAnsi="Palatino Linotype" w:cs="Arial"/>
          <w:i/>
          <w:color w:val="000000" w:themeColor="text1"/>
        </w:rPr>
        <w:t xml:space="preserve">Recurso de reclamación 1231/2014. 18 de marzo de 2015. Cinco votos de los Ministros Arturo Zaldívar Lelo de Larrea, José Ramón Cossío Díaz, Jorge Mario Pardo Rebolledo, Olga Sánchez </w:t>
      </w:r>
      <w:r w:rsidRPr="00BC07F2">
        <w:rPr>
          <w:rFonts w:ascii="Palatino Linotype" w:hAnsi="Palatino Linotype" w:cs="Arial"/>
          <w:i/>
          <w:color w:val="000000" w:themeColor="text1"/>
        </w:rPr>
        <w:lastRenderedPageBreak/>
        <w:t xml:space="preserve">Cordero de García Villegas y Alfredo Gutiérrez Ortiz Mena. Ponente: Arturo Zaldívar Lelo de Larrea. Secretario: Saúl Armando Patiño Lara. </w:t>
      </w:r>
    </w:p>
    <w:p w14:paraId="3F668BA9" w14:textId="77777777" w:rsidR="00AD197D" w:rsidRPr="00BC07F2" w:rsidRDefault="00AD197D" w:rsidP="0094286C">
      <w:pPr>
        <w:spacing w:before="240" w:after="240" w:line="360" w:lineRule="auto"/>
        <w:contextualSpacing/>
        <w:jc w:val="both"/>
        <w:rPr>
          <w:rFonts w:ascii="Palatino Linotype" w:hAnsi="Palatino Linotype" w:cs="Arial"/>
          <w:i/>
          <w:color w:val="000000" w:themeColor="text1"/>
        </w:rPr>
      </w:pPr>
    </w:p>
    <w:p w14:paraId="5C089E5F" w14:textId="77777777" w:rsidR="00AD197D" w:rsidRPr="00BC07F2" w:rsidRDefault="00AD197D" w:rsidP="0094286C">
      <w:pPr>
        <w:spacing w:before="240" w:after="240" w:line="360" w:lineRule="auto"/>
        <w:contextualSpacing/>
        <w:jc w:val="both"/>
        <w:rPr>
          <w:rFonts w:ascii="Palatino Linotype" w:hAnsi="Palatino Linotype"/>
          <w:i/>
          <w:color w:val="000000" w:themeColor="text1"/>
        </w:rPr>
      </w:pPr>
      <w:r w:rsidRPr="00BC07F2">
        <w:rPr>
          <w:rFonts w:ascii="Palatino Linotype" w:hAnsi="Palatino Linotype" w:cs="Arial"/>
          <w:i/>
          <w:color w:val="000000" w:themeColor="text1"/>
        </w:rPr>
        <w:t>Tesis de jurisprudencia 41/2015 (10a.). Aprobada por la Primera Sala de este Alto Tribunal, en sesión privada de veintisiete de mayo de dos mil quince.</w:t>
      </w:r>
    </w:p>
    <w:p w14:paraId="51B08365" w14:textId="77777777" w:rsidR="00AD197D" w:rsidRPr="00BC07F2" w:rsidRDefault="00AD197D" w:rsidP="0094286C">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BC07F2">
        <w:rPr>
          <w:rFonts w:ascii="Palatino Linotype" w:hAnsi="Palatino Linotype"/>
          <w:color w:val="000000" w:themeColor="text1"/>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BAD8E35" w14:textId="77777777" w:rsidR="00AD197D" w:rsidRPr="00BC07F2" w:rsidRDefault="00AD197D" w:rsidP="0094286C">
      <w:pPr>
        <w:pStyle w:val="Prrafodelista"/>
        <w:spacing w:before="240" w:after="240" w:line="360" w:lineRule="auto"/>
        <w:ind w:left="0"/>
        <w:jc w:val="both"/>
        <w:rPr>
          <w:rFonts w:ascii="Palatino Linotype" w:hAnsi="Palatino Linotype" w:cs="Arial"/>
          <w:i/>
          <w:color w:val="000000" w:themeColor="text1"/>
        </w:rPr>
      </w:pPr>
    </w:p>
    <w:p w14:paraId="4C358343" w14:textId="77777777" w:rsidR="00AD197D" w:rsidRPr="00BC07F2" w:rsidRDefault="00AD197D" w:rsidP="0094286C">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BC07F2">
        <w:rPr>
          <w:rFonts w:ascii="Palatino Linotype" w:hAnsi="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BF96C7E" w14:textId="77777777" w:rsidR="00AD197D" w:rsidRPr="00BC07F2" w:rsidRDefault="00AD197D" w:rsidP="0094286C">
      <w:pPr>
        <w:pStyle w:val="Prrafodelista"/>
        <w:ind w:left="0"/>
        <w:rPr>
          <w:rFonts w:ascii="Palatino Linotype" w:hAnsi="Palatino Linotype" w:cs="Arial"/>
          <w:i/>
          <w:color w:val="000000" w:themeColor="text1"/>
        </w:rPr>
      </w:pPr>
    </w:p>
    <w:p w14:paraId="6AC3FEBA" w14:textId="77777777" w:rsidR="00AD197D" w:rsidRPr="00BC07F2" w:rsidRDefault="00AD197D" w:rsidP="0094286C">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BC07F2">
        <w:rPr>
          <w:rFonts w:ascii="Palatino Linotype" w:hAnsi="Palatino Linotype"/>
          <w:color w:val="000000" w:themeColor="text1"/>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C07F2">
        <w:rPr>
          <w:rFonts w:ascii="Palatino Linotype" w:hAnsi="Palatino Linotype"/>
          <w:b/>
          <w:color w:val="000000" w:themeColor="text1"/>
        </w:rPr>
        <w:t>SUJETO OBLIGADO</w:t>
      </w:r>
      <w:r w:rsidRPr="00BC07F2">
        <w:rPr>
          <w:rFonts w:ascii="Palatino Linotype" w:hAnsi="Palatino Linotype"/>
          <w:color w:val="000000" w:themeColor="text1"/>
        </w:rPr>
        <w:t>.</w:t>
      </w:r>
    </w:p>
    <w:p w14:paraId="7C10276B" w14:textId="77777777" w:rsidR="002F46F5" w:rsidRPr="00BC07F2" w:rsidRDefault="002F46F5" w:rsidP="0094286C">
      <w:pPr>
        <w:pStyle w:val="Prrafodelista"/>
        <w:ind w:left="0"/>
        <w:rPr>
          <w:rFonts w:ascii="Palatino Linotype" w:hAnsi="Palatino Linotype" w:cs="Arial"/>
          <w:i/>
          <w:color w:val="000000" w:themeColor="text1"/>
        </w:rPr>
      </w:pPr>
    </w:p>
    <w:p w14:paraId="12C52BC2" w14:textId="77777777" w:rsidR="002F46F5" w:rsidRPr="00BC07F2" w:rsidRDefault="002F46F5" w:rsidP="0094286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BC07F2">
        <w:rPr>
          <w:rFonts w:ascii="Palatino Linotype" w:eastAsia="Calibri" w:hAnsi="Palatino Linotype" w:cs="Arial"/>
          <w:color w:val="000000" w:themeColor="text1"/>
          <w:lang w:val="es-ES_tradnl" w:eastAsia="es-ES"/>
        </w:rPr>
        <w:t xml:space="preserve">Por otra parte, de la revisión al expediente electrónico del </w:t>
      </w:r>
      <w:r w:rsidRPr="00BC07F2">
        <w:rPr>
          <w:rFonts w:ascii="Palatino Linotype" w:eastAsia="Calibri" w:hAnsi="Palatino Linotype" w:cs="Arial"/>
          <w:b/>
          <w:color w:val="000000" w:themeColor="text1"/>
          <w:lang w:val="es-ES_tradnl" w:eastAsia="es-ES"/>
        </w:rPr>
        <w:t>SAIMEX</w:t>
      </w:r>
      <w:r w:rsidRPr="00BC07F2">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w:t>
      </w:r>
      <w:r w:rsidRPr="00BC07F2">
        <w:rPr>
          <w:rFonts w:ascii="Palatino Linotype" w:eastAsia="Calibri" w:hAnsi="Palatino Linotype" w:cs="Arial"/>
          <w:color w:val="000000" w:themeColor="text1"/>
          <w:lang w:val="es-ES_tradnl" w:eastAsia="es-ES"/>
        </w:rPr>
        <w:lastRenderedPageBreak/>
        <w:t>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12C7CEE" w14:textId="77777777" w:rsidR="002F46F5" w:rsidRPr="00BC07F2" w:rsidRDefault="002F46F5" w:rsidP="0094286C">
      <w:pPr>
        <w:pStyle w:val="Prrafodelista"/>
        <w:ind w:left="0"/>
        <w:rPr>
          <w:rFonts w:ascii="Palatino Linotype" w:eastAsia="Calibri" w:hAnsi="Palatino Linotype" w:cs="Arial"/>
          <w:color w:val="000000" w:themeColor="text1"/>
          <w:lang w:val="es-ES_tradnl" w:eastAsia="es-ES"/>
        </w:rPr>
      </w:pPr>
    </w:p>
    <w:p w14:paraId="12C18CEE" w14:textId="77777777" w:rsidR="002F46F5" w:rsidRPr="00BC07F2" w:rsidRDefault="002F46F5" w:rsidP="0094286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BC07F2">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BC07F2">
        <w:rPr>
          <w:rFonts w:ascii="Palatino Linotype" w:eastAsia="Calibri" w:hAnsi="Palatino Linotype" w:cs="Arial"/>
          <w:bCs/>
          <w:color w:val="000000" w:themeColor="text1"/>
          <w:lang w:val="es-ES" w:eastAsia="es-ES"/>
        </w:rPr>
        <w:t>5, párrafos vigésimo, vigésimo primero y vigésimo segundo fracciones IV y V </w:t>
      </w:r>
      <w:r w:rsidRPr="00BC07F2">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6485177" w14:textId="77777777" w:rsidR="002F46F5" w:rsidRPr="00BC07F2" w:rsidRDefault="002F46F5" w:rsidP="0094286C">
      <w:pPr>
        <w:pStyle w:val="Prrafodelista"/>
        <w:ind w:left="0"/>
        <w:rPr>
          <w:rFonts w:ascii="Palatino Linotype" w:eastAsia="Calibri" w:hAnsi="Palatino Linotype" w:cs="Arial"/>
          <w:color w:val="000000" w:themeColor="text1"/>
          <w:lang w:val="es-ES_tradnl" w:eastAsia="es-ES"/>
        </w:rPr>
      </w:pPr>
    </w:p>
    <w:p w14:paraId="3F6A1540" w14:textId="77777777" w:rsidR="002F46F5" w:rsidRPr="00BC07F2" w:rsidRDefault="002F46F5" w:rsidP="0094286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BC07F2">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553A87" w14:textId="77777777" w:rsidR="0094286C" w:rsidRPr="00BC07F2" w:rsidRDefault="0094286C" w:rsidP="0094286C">
      <w:pPr>
        <w:spacing w:line="360" w:lineRule="auto"/>
        <w:contextualSpacing/>
        <w:jc w:val="both"/>
        <w:rPr>
          <w:rFonts w:ascii="Palatino Linotype" w:eastAsia="Calibri" w:hAnsi="Palatino Linotype" w:cs="Arial"/>
          <w:color w:val="000000" w:themeColor="text1"/>
          <w:lang w:val="es-ES_tradnl" w:eastAsia="es-ES"/>
        </w:rPr>
      </w:pPr>
    </w:p>
    <w:p w14:paraId="63BE1BFA" w14:textId="77777777" w:rsidR="002F46F5" w:rsidRPr="00BC07F2" w:rsidRDefault="002F46F5" w:rsidP="0094286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BC07F2">
        <w:rPr>
          <w:rFonts w:ascii="Palatino Linotype" w:eastAsia="Calibri" w:hAnsi="Palatino Linotype" w:cs="Arial"/>
          <w:color w:val="000000" w:themeColor="text1"/>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F443CF6" w14:textId="77777777" w:rsidR="002F46F5" w:rsidRPr="00BC07F2" w:rsidRDefault="002F46F5" w:rsidP="0094286C">
      <w:pPr>
        <w:pStyle w:val="Prrafodelista"/>
        <w:ind w:left="0"/>
        <w:rPr>
          <w:rFonts w:ascii="Palatino Linotype" w:eastAsia="Calibri" w:hAnsi="Palatino Linotype" w:cs="Arial"/>
          <w:color w:val="000000" w:themeColor="text1"/>
          <w:lang w:val="es-ES_tradnl" w:eastAsia="es-ES"/>
        </w:rPr>
      </w:pPr>
    </w:p>
    <w:p w14:paraId="47E35580" w14:textId="77777777" w:rsidR="002F46F5" w:rsidRPr="00BC07F2" w:rsidRDefault="002F46F5" w:rsidP="0094286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BC07F2">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753E8D0" w14:textId="77777777" w:rsidR="00AD197D" w:rsidRPr="00BC07F2" w:rsidRDefault="00AD197D" w:rsidP="0094286C">
      <w:pPr>
        <w:pStyle w:val="Prrafodelista"/>
        <w:ind w:left="0"/>
        <w:rPr>
          <w:rFonts w:ascii="Palatino Linotype" w:eastAsia="Palatino Linotype" w:hAnsi="Palatino Linotype" w:cs="Palatino Linotype"/>
          <w:color w:val="000000" w:themeColor="text1"/>
        </w:rPr>
      </w:pPr>
    </w:p>
    <w:p w14:paraId="6917612E" w14:textId="77777777" w:rsidR="00AD197D" w:rsidRPr="00BC07F2" w:rsidRDefault="00AD197D" w:rsidP="009428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81806" w14:textId="77777777" w:rsidR="00AD197D" w:rsidRPr="00BC07F2" w:rsidRDefault="00AD197D" w:rsidP="0094286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8BE70C1" w14:textId="77777777" w:rsidR="00AD197D" w:rsidRPr="00BC07F2" w:rsidRDefault="00AD197D" w:rsidP="0094286C">
      <w:pPr>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BC07F2">
        <w:rPr>
          <w:rFonts w:ascii="Palatino Linotype" w:eastAsia="Palatino Linotype" w:hAnsi="Palatino Linotype" w:cs="Palatino Linotype"/>
          <w:b/>
          <w:color w:val="000000" w:themeColor="text1"/>
        </w:rPr>
        <w:t>TERCERO. Planteamiento de la Litis.</w:t>
      </w:r>
    </w:p>
    <w:p w14:paraId="2E095A68" w14:textId="77777777" w:rsidR="00AD197D" w:rsidRPr="00BC07F2" w:rsidRDefault="00AD197D" w:rsidP="009428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El particular solicitó </w:t>
      </w:r>
      <w:r w:rsidR="002F46F5" w:rsidRPr="00BC07F2">
        <w:rPr>
          <w:rFonts w:ascii="Palatino Linotype" w:eastAsia="Palatino Linotype" w:hAnsi="Palatino Linotype" w:cs="Palatino Linotype"/>
          <w:color w:val="000000" w:themeColor="text1"/>
        </w:rPr>
        <w:t xml:space="preserve">el expediente con carta de postulación, currículum y programa completo de participantes de defensores de derechos humanos desde el primero de enero de dos mil veinte al veinte de enero de dos mil veinticinco. </w:t>
      </w:r>
    </w:p>
    <w:p w14:paraId="37DE1808"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 </w:t>
      </w:r>
    </w:p>
    <w:p w14:paraId="5E4CB2FC" w14:textId="77777777" w:rsidR="00AD197D" w:rsidRPr="00BC07F2" w:rsidRDefault="00AD197D" w:rsidP="009428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En respuesta, el Sujeto Obligado </w:t>
      </w:r>
      <w:r w:rsidR="002F46F5" w:rsidRPr="00BC07F2">
        <w:rPr>
          <w:rFonts w:ascii="Palatino Linotype" w:eastAsia="Palatino Linotype" w:hAnsi="Palatino Linotype" w:cs="Palatino Linotype"/>
          <w:color w:val="000000" w:themeColor="text1"/>
        </w:rPr>
        <w:t xml:space="preserve">señaló a través de la Dirección General de Administración </w:t>
      </w:r>
      <w:r w:rsidR="003D7A79" w:rsidRPr="00BC07F2">
        <w:rPr>
          <w:rFonts w:ascii="Palatino Linotype" w:eastAsia="Palatino Linotype" w:hAnsi="Palatino Linotype" w:cs="Palatino Linotype"/>
          <w:color w:val="000000" w:themeColor="text1"/>
        </w:rPr>
        <w:t xml:space="preserve">que no genera, posee o administra la información solicitada. Posteriormente, el particular se inconformó por la negativa de la información.  </w:t>
      </w:r>
      <w:r w:rsidRPr="00BC07F2">
        <w:rPr>
          <w:rFonts w:ascii="Palatino Linotype" w:eastAsia="Palatino Linotype" w:hAnsi="Palatino Linotype" w:cs="Palatino Linotype"/>
          <w:color w:val="000000" w:themeColor="text1"/>
        </w:rPr>
        <w:t xml:space="preserve">  </w:t>
      </w:r>
    </w:p>
    <w:p w14:paraId="3F7B63B6"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7BAD01C0" w14:textId="77777777" w:rsidR="00AD197D" w:rsidRPr="00BC07F2" w:rsidRDefault="00AD197D" w:rsidP="009428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lastRenderedPageBreak/>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14:paraId="37290B47"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3CA26541" w14:textId="77777777" w:rsidR="00AD197D" w:rsidRPr="00BC07F2" w:rsidRDefault="00AD197D" w:rsidP="0094286C">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BC07F2">
        <w:rPr>
          <w:rFonts w:ascii="Palatino Linotype" w:eastAsia="Palatino Linotype" w:hAnsi="Palatino Linotype" w:cs="Palatino Linotype"/>
          <w:b/>
          <w:color w:val="000000" w:themeColor="text1"/>
        </w:rPr>
        <w:t>CUARTO. Del estudio y resolución del recurso de revisión.</w:t>
      </w:r>
    </w:p>
    <w:p w14:paraId="2878F42F" w14:textId="77777777" w:rsidR="00AD197D" w:rsidRPr="00BC07F2" w:rsidRDefault="00AD197D" w:rsidP="0094286C">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BC07F2">
        <w:rPr>
          <w:rFonts w:ascii="Palatino Linotype" w:eastAsia="Palatino Linotype" w:hAnsi="Palatino Linotype" w:cs="Palatino Linotype"/>
          <w:b/>
          <w:color w:val="000000" w:themeColor="text1"/>
          <w:sz w:val="24"/>
          <w:szCs w:val="24"/>
        </w:rPr>
        <w:t>De la información solicitada y la respuesta del Sujeto Obligado.</w:t>
      </w:r>
    </w:p>
    <w:p w14:paraId="025AC1D5" w14:textId="77777777" w:rsidR="00AD197D" w:rsidRPr="00BC07F2" w:rsidRDefault="00AD197D" w:rsidP="009428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14:paraId="6ECAC42B"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73D4A3E0" w14:textId="77777777" w:rsidR="00AD197D" w:rsidRPr="00BC07F2" w:rsidRDefault="00AD197D" w:rsidP="0094286C">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8" w:name="_heading=h.1t3h5sf" w:colFirst="0" w:colLast="0"/>
      <w:bookmarkEnd w:id="8"/>
      <w:r w:rsidRPr="00BC07F2">
        <w:rPr>
          <w:rFonts w:ascii="Palatino Linotype" w:eastAsia="Palatino Linotype" w:hAnsi="Palatino Linotype" w:cs="Palatino Linotype"/>
          <w:color w:val="000000" w:themeColor="text1"/>
        </w:rPr>
        <w:t xml:space="preserve">En este caso, el particular solicitó </w:t>
      </w:r>
      <w:r w:rsidR="003D7A79" w:rsidRPr="00BC07F2">
        <w:rPr>
          <w:rFonts w:ascii="Palatino Linotype" w:eastAsia="Palatino Linotype" w:hAnsi="Palatino Linotype" w:cs="Palatino Linotype"/>
          <w:color w:val="000000" w:themeColor="text1"/>
        </w:rPr>
        <w:t>el expediente con carta de postulación, currículum y programa completo de participantes de defensores de derechos humanos desde el primero de enero de dos mil veinte al veinte de enero de dos mil veinticinco. En respuesta, el Sujeto Obligado señaló a través de la Dirección General de Administración que no genera, posee o administra la información solicitada.</w:t>
      </w:r>
    </w:p>
    <w:p w14:paraId="3F9FBBB1" w14:textId="77777777" w:rsidR="003D7A79" w:rsidRPr="00BC07F2" w:rsidRDefault="003D7A79" w:rsidP="0094286C">
      <w:pPr>
        <w:spacing w:line="360" w:lineRule="auto"/>
        <w:jc w:val="both"/>
        <w:rPr>
          <w:rFonts w:ascii="Palatino Linotype" w:eastAsia="Palatino Linotype" w:hAnsi="Palatino Linotype" w:cs="Palatino Linotype"/>
          <w:color w:val="000000" w:themeColor="text1"/>
        </w:rPr>
      </w:pPr>
    </w:p>
    <w:p w14:paraId="6DF03DC1" w14:textId="77777777" w:rsidR="003D7A79" w:rsidRPr="00BC07F2" w:rsidRDefault="003D7A79"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En ese sentido, conviene traer a contexto </w:t>
      </w:r>
      <w:r w:rsidR="004A4C13" w:rsidRPr="00BC07F2">
        <w:rPr>
          <w:rFonts w:ascii="Palatino Linotype" w:eastAsia="Palatino Linotype" w:hAnsi="Palatino Linotype" w:cs="Palatino Linotype"/>
          <w:color w:val="000000" w:themeColor="text1"/>
        </w:rPr>
        <w:t>los artículo</w:t>
      </w:r>
      <w:r w:rsidRPr="00BC07F2">
        <w:rPr>
          <w:rFonts w:ascii="Palatino Linotype" w:eastAsia="Palatino Linotype" w:hAnsi="Palatino Linotype" w:cs="Palatino Linotype"/>
          <w:color w:val="000000" w:themeColor="text1"/>
        </w:rPr>
        <w:t xml:space="preserve"> 147 A</w:t>
      </w:r>
      <w:r w:rsidR="00067844" w:rsidRPr="00BC07F2">
        <w:rPr>
          <w:rFonts w:ascii="Palatino Linotype" w:eastAsia="Palatino Linotype" w:hAnsi="Palatino Linotype" w:cs="Palatino Linotype"/>
          <w:color w:val="000000" w:themeColor="text1"/>
        </w:rPr>
        <w:t xml:space="preserve">, 147 B y 147 C, </w:t>
      </w:r>
      <w:r w:rsidR="004A4C13" w:rsidRPr="00BC07F2">
        <w:rPr>
          <w:rFonts w:ascii="Palatino Linotype" w:eastAsia="Palatino Linotype" w:hAnsi="Palatino Linotype" w:cs="Palatino Linotype"/>
          <w:color w:val="000000" w:themeColor="text1"/>
        </w:rPr>
        <w:t>que establecen que cada Municipio, a través de un acuerdo de cabildo, debe emitir una convocatoria abierta a toda la población para designar al Defensor de Derechos Huma</w:t>
      </w:r>
      <w:r w:rsidR="006C4344" w:rsidRPr="00BC07F2">
        <w:rPr>
          <w:rFonts w:ascii="Palatino Linotype" w:eastAsia="Palatino Linotype" w:hAnsi="Palatino Linotype" w:cs="Palatino Linotype"/>
          <w:color w:val="000000" w:themeColor="text1"/>
        </w:rPr>
        <w:t>nos, quien durara en su cargo</w:t>
      </w:r>
      <w:r w:rsidR="004A4C13" w:rsidRPr="00BC07F2">
        <w:rPr>
          <w:rFonts w:ascii="Palatino Linotype" w:eastAsia="Palatino Linotype" w:hAnsi="Palatino Linotype" w:cs="Palatino Linotype"/>
          <w:color w:val="000000" w:themeColor="text1"/>
        </w:rPr>
        <w:t xml:space="preserve"> tres años con posibilidad de reelección por una sola vez, esta convocatoria debe emitirse dentro de los primeros 60 días del periodo constitucional del Ayuntamiento</w:t>
      </w:r>
      <w:r w:rsidR="006C4344" w:rsidRPr="00BC07F2">
        <w:rPr>
          <w:rFonts w:ascii="Palatino Linotype" w:eastAsia="Palatino Linotype" w:hAnsi="Palatino Linotype" w:cs="Palatino Linotype"/>
          <w:color w:val="000000" w:themeColor="text1"/>
        </w:rPr>
        <w:t xml:space="preserve"> y su difusión debe permanecer por un periodo de cuando menos quince </w:t>
      </w:r>
      <w:r w:rsidR="006C4344" w:rsidRPr="00BC07F2">
        <w:rPr>
          <w:rFonts w:ascii="Palatino Linotype" w:eastAsia="Palatino Linotype" w:hAnsi="Palatino Linotype" w:cs="Palatino Linotype"/>
          <w:color w:val="000000" w:themeColor="text1"/>
        </w:rPr>
        <w:lastRenderedPageBreak/>
        <w:t xml:space="preserve">días y no mayor a veinte días naturales, en los lugares de mayor afluencia del municipio y en el periódico de mayor circulación. </w:t>
      </w:r>
    </w:p>
    <w:p w14:paraId="347E07C1" w14:textId="77777777" w:rsidR="006C4344" w:rsidRPr="00BC07F2" w:rsidRDefault="006C4344" w:rsidP="0094286C">
      <w:pPr>
        <w:pStyle w:val="Prrafodelista"/>
        <w:ind w:left="0"/>
        <w:rPr>
          <w:rFonts w:ascii="Palatino Linotype" w:eastAsia="Palatino Linotype" w:hAnsi="Palatino Linotype" w:cs="Palatino Linotype"/>
          <w:color w:val="000000" w:themeColor="text1"/>
        </w:rPr>
      </w:pPr>
    </w:p>
    <w:p w14:paraId="61FC4DA7" w14:textId="77777777" w:rsidR="00067844" w:rsidRPr="00BC07F2" w:rsidRDefault="006C4344"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Asimismo, se establece que de no ocurrir a la convocatoria más de tres aspirantes, se emitirá una segunda convocatoria y si a esta no hay suficientes aspirantes, se propondrá a personas que se distingan por su honorabilidad. La emisión de la terna corresponde a la Comisión de Derechos Humanos del Estado de México, en base a la propuesta de la Comisión Municipal de Derechos Humanos, terna que será sometida a consideración del cabildo para la designación del Defensor Municipal de Derechos Humanos. </w:t>
      </w:r>
    </w:p>
    <w:p w14:paraId="273BF801" w14:textId="77777777" w:rsidR="00067844" w:rsidRPr="00BC07F2" w:rsidRDefault="00067844" w:rsidP="0094286C">
      <w:pPr>
        <w:pStyle w:val="Prrafodelista"/>
        <w:ind w:left="0"/>
        <w:rPr>
          <w:rFonts w:ascii="Palatino Linotype" w:eastAsia="Palatino Linotype" w:hAnsi="Palatino Linotype" w:cs="Palatino Linotype"/>
          <w:color w:val="000000" w:themeColor="text1"/>
        </w:rPr>
      </w:pPr>
    </w:p>
    <w:p w14:paraId="42A60D43" w14:textId="77777777" w:rsidR="003D7A79" w:rsidRPr="00BC07F2" w:rsidRDefault="00067844"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Por su parte, los 147 E, 147 F, 147 G, 147 H, 147 de la Ley Orgánica Municipal del Estado de México establece que la Secretaría del Ayuntamiento recibirá las solicitudes y documentación de los aspirantes, quien lo hará del conocimiento de cabildo en sesión ordinaria, a fin de acordar su remisión a la Comisión Municipal de Derechos Humanos, para la declaración de la terna. Una vez recibida la documentación de los aspirantes en la Comisión Municipal de Derechos Humanos, se deberá emitir la declaratoria de terna en un término no mayor a diez días hábiles. Posteriormente, la Comisión Municipal de Derechos Humanos remitirá al cabildo la declaratoria de terna correspondiente, para que se lo comunique a los aspirantes propuestos y expongan su plan de trabajo en la siguiente sesión ordinaria del cabildo y posteriormente se designe al defensor a través del cabildo. </w:t>
      </w:r>
    </w:p>
    <w:p w14:paraId="7757A771" w14:textId="77777777" w:rsidR="003D7A79" w:rsidRPr="00BC07F2" w:rsidRDefault="003D7A79" w:rsidP="0094286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78BF8DA9" w14:textId="77777777" w:rsidR="00F265A7" w:rsidRPr="00BC07F2" w:rsidRDefault="00F265A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Como se advierte de la normatividad referida, el Sujeto Obligado, a través del cabildo, de la Defensoría Municipal de Derechos Humanos y del Secretario del Ayuntamiento, son los encargados de la emisión de la convocatoria y de la elección del defensor de derechos </w:t>
      </w:r>
      <w:r w:rsidRPr="00BC07F2">
        <w:rPr>
          <w:rFonts w:ascii="Palatino Linotype" w:eastAsia="Palatino Linotype" w:hAnsi="Palatino Linotype" w:cs="Palatino Linotype"/>
          <w:color w:val="000000" w:themeColor="text1"/>
        </w:rPr>
        <w:lastRenderedPageBreak/>
        <w:t xml:space="preserve">humanos, por lo tanto, tiene facultad para generar, poseer y administrar la información solicitada.  </w:t>
      </w:r>
    </w:p>
    <w:p w14:paraId="67AA9716" w14:textId="77777777" w:rsidR="00F265A7" w:rsidRPr="00BC07F2" w:rsidRDefault="00F265A7" w:rsidP="0094286C">
      <w:pPr>
        <w:pStyle w:val="Prrafodelista"/>
        <w:ind w:left="0"/>
        <w:rPr>
          <w:rFonts w:ascii="Palatino Linotype" w:eastAsia="Palatino Linotype" w:hAnsi="Palatino Linotype" w:cs="Palatino Linotype"/>
          <w:color w:val="000000" w:themeColor="text1"/>
        </w:rPr>
      </w:pPr>
    </w:p>
    <w:p w14:paraId="1673093A" w14:textId="77777777" w:rsidR="00F265A7" w:rsidRPr="00BC07F2" w:rsidRDefault="00F265A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Ahora bien, d</w:t>
      </w:r>
      <w:r w:rsidRPr="00BC07F2">
        <w:rPr>
          <w:rFonts w:ascii="Palatino Linotype" w:eastAsia="MS Mincho" w:hAnsi="Palatino Linotype"/>
          <w:color w:val="000000" w:themeColor="text1"/>
        </w:rPr>
        <w:t xml:space="preserve">ebemos mencionar que el acceso a la información es un derecho humano constitucional y convencionalmente reconocido y para tal efecto </w:t>
      </w:r>
      <w:r w:rsidRPr="00BC07F2">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BC07F2">
        <w:rPr>
          <w:rFonts w:ascii="Palatino Linotype" w:eastAsia="Calibri" w:hAnsi="Palatino Linotype"/>
          <w:i/>
          <w:color w:val="000000" w:themeColor="text1"/>
          <w:lang w:val="es-ES"/>
        </w:rPr>
        <w:t xml:space="preserve">en el ámbito de sus atribuciones, de promover, respetar, proteger y </w:t>
      </w:r>
      <w:r w:rsidRPr="00BC07F2">
        <w:rPr>
          <w:rFonts w:ascii="Palatino Linotype" w:eastAsia="Calibri" w:hAnsi="Palatino Linotype"/>
          <w:b/>
          <w:i/>
          <w:color w:val="000000" w:themeColor="text1"/>
          <w:lang w:val="es-ES"/>
        </w:rPr>
        <w:t>garantizar</w:t>
      </w:r>
      <w:r w:rsidRPr="00BC07F2">
        <w:rPr>
          <w:rFonts w:ascii="Palatino Linotype" w:eastAsia="Calibri" w:hAnsi="Palatino Linotype"/>
          <w:i/>
          <w:color w:val="000000" w:themeColor="text1"/>
          <w:lang w:val="es-ES"/>
        </w:rPr>
        <w:t xml:space="preserve"> los derechos humanos. </w:t>
      </w:r>
      <w:r w:rsidRPr="00BC07F2">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BC07F2">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BC07F2">
        <w:rPr>
          <w:rStyle w:val="Refdenotaalpie"/>
          <w:rFonts w:ascii="Palatino Linotype" w:hAnsi="Palatino Linotype"/>
          <w:i/>
          <w:color w:val="000000" w:themeColor="text1"/>
        </w:rPr>
        <w:footnoteReference w:id="1"/>
      </w:r>
      <w:r w:rsidRPr="00BC07F2">
        <w:rPr>
          <w:rFonts w:ascii="Palatino Linotype" w:hAnsi="Palatino Linotype"/>
          <w:i/>
          <w:color w:val="000000" w:themeColor="text1"/>
        </w:rPr>
        <w:t xml:space="preserve">, </w:t>
      </w:r>
      <w:r w:rsidRPr="00BC07F2">
        <w:rPr>
          <w:rFonts w:ascii="Palatino Linotype" w:hAnsi="Palatino Linotype"/>
          <w:color w:val="000000" w:themeColor="text1"/>
        </w:rPr>
        <w:t>asimismo establece</w:t>
      </w:r>
      <w:r w:rsidRPr="00BC07F2">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635AE91" w14:textId="77777777" w:rsidR="00F265A7" w:rsidRPr="00BC07F2" w:rsidRDefault="00F265A7" w:rsidP="0094286C">
      <w:pPr>
        <w:pStyle w:val="Prrafodelista"/>
        <w:ind w:left="0"/>
        <w:rPr>
          <w:rFonts w:ascii="Palatino Linotype" w:hAnsi="Palatino Linotype"/>
          <w:color w:val="000000" w:themeColor="text1"/>
        </w:rPr>
      </w:pPr>
    </w:p>
    <w:p w14:paraId="6476C8DD" w14:textId="77777777" w:rsidR="00F265A7" w:rsidRPr="00BC07F2" w:rsidRDefault="00F265A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hAnsi="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w:t>
      </w:r>
      <w:r w:rsidRPr="00BC07F2">
        <w:rPr>
          <w:rFonts w:ascii="Palatino Linotype" w:hAnsi="Palatino Linotype"/>
          <w:color w:val="000000" w:themeColor="text1"/>
        </w:rPr>
        <w:lastRenderedPageBreak/>
        <w:t>localizar de manera rápida los documentos que se soliciten o bien, simplemente para el desarrollo de sus facultades, competencias y atribuciones que a diario desempeñan.</w:t>
      </w:r>
    </w:p>
    <w:p w14:paraId="3C04BE78" w14:textId="77777777" w:rsidR="00F265A7" w:rsidRPr="00BC07F2" w:rsidRDefault="00F265A7" w:rsidP="0094286C">
      <w:pPr>
        <w:pStyle w:val="Prrafodelista"/>
        <w:ind w:left="0"/>
        <w:rPr>
          <w:rFonts w:ascii="Palatino Linotype" w:hAnsi="Palatino Linotype"/>
          <w:color w:val="000000" w:themeColor="text1"/>
        </w:rPr>
      </w:pPr>
    </w:p>
    <w:p w14:paraId="1D0BE8EC" w14:textId="77777777" w:rsidR="00F265A7" w:rsidRPr="00BC07F2" w:rsidRDefault="00F265A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hAnsi="Palatino Linotype"/>
          <w:color w:val="000000" w:themeColor="text1"/>
        </w:rPr>
        <w:t xml:space="preserve">Es así que, su obligación es </w:t>
      </w:r>
      <w:r w:rsidRPr="00BC07F2">
        <w:rPr>
          <w:rFonts w:ascii="Palatino Linotype" w:hAnsi="Palatino Linotype"/>
          <w:i/>
          <w:color w:val="000000" w:themeColor="text1"/>
        </w:rPr>
        <w:t>realizar, con efectividad, los trámites internos necesarios para la atención de las solicitudes de información</w:t>
      </w:r>
      <w:r w:rsidRPr="00BC07F2">
        <w:rPr>
          <w:rStyle w:val="Refdenotaalpie"/>
          <w:rFonts w:ascii="Palatino Linotype" w:hAnsi="Palatino Linotype"/>
          <w:color w:val="000000" w:themeColor="text1"/>
        </w:rPr>
        <w:footnoteReference w:id="2"/>
      </w:r>
      <w:r w:rsidRPr="00BC07F2">
        <w:rPr>
          <w:rFonts w:ascii="Palatino Linotype" w:hAnsi="Palatino Linotype"/>
          <w:color w:val="000000" w:themeColor="text1"/>
        </w:rPr>
        <w:t>, es decir, deben otorgar respuestas concisas, contundentes y sobre todo que den la certeza de los actos que realizan.</w:t>
      </w:r>
    </w:p>
    <w:p w14:paraId="6CF36BB7" w14:textId="77777777" w:rsidR="00F265A7" w:rsidRPr="00BC07F2" w:rsidRDefault="00F265A7" w:rsidP="0094286C">
      <w:pPr>
        <w:pStyle w:val="Prrafodelista"/>
        <w:ind w:left="0"/>
        <w:rPr>
          <w:rFonts w:ascii="Palatino Linotype" w:eastAsia="Palatino Linotype" w:hAnsi="Palatino Linotype" w:cs="Palatino Linotype"/>
          <w:color w:val="000000" w:themeColor="text1"/>
        </w:rPr>
      </w:pPr>
    </w:p>
    <w:p w14:paraId="51783E58" w14:textId="77777777" w:rsidR="00F265A7" w:rsidRPr="00BC07F2" w:rsidRDefault="00F265A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BC07F2">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14:paraId="52C66B9C"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i/>
          <w:iCs/>
          <w:color w:val="000000" w:themeColor="text1"/>
        </w:rPr>
        <w:t xml:space="preserve">Artículo 50. </w:t>
      </w:r>
      <w:r w:rsidRPr="00BC07F2">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14:paraId="211B13D2" w14:textId="77777777" w:rsidR="00F265A7" w:rsidRPr="00BC07F2" w:rsidRDefault="00F265A7" w:rsidP="0094286C">
      <w:pPr>
        <w:jc w:val="both"/>
        <w:rPr>
          <w:rFonts w:ascii="Palatino Linotype" w:eastAsia="Palatino Linotype" w:hAnsi="Palatino Linotype" w:cs="Palatino Linotype"/>
          <w:i/>
          <w:iCs/>
          <w:color w:val="000000" w:themeColor="text1"/>
        </w:rPr>
      </w:pPr>
    </w:p>
    <w:p w14:paraId="26D41218"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i/>
          <w:iCs/>
          <w:color w:val="000000" w:themeColor="text1"/>
        </w:rPr>
        <w:t xml:space="preserve">Artículo 53. </w:t>
      </w:r>
      <w:r w:rsidRPr="00BC07F2">
        <w:rPr>
          <w:rFonts w:ascii="Palatino Linotype" w:eastAsia="Palatino Linotype" w:hAnsi="Palatino Linotype" w:cs="Palatino Linotype"/>
          <w:i/>
          <w:iCs/>
          <w:color w:val="000000" w:themeColor="text1"/>
        </w:rPr>
        <w:t>Las Unidades de Transparencia tendrán las siguientes funciones:</w:t>
      </w:r>
    </w:p>
    <w:p w14:paraId="30C6DC0A"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i/>
          <w:iCs/>
          <w:color w:val="000000" w:themeColor="text1"/>
        </w:rPr>
        <w:t>(…)</w:t>
      </w:r>
    </w:p>
    <w:p w14:paraId="57F443BF"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bCs/>
          <w:i/>
          <w:iCs/>
          <w:color w:val="000000" w:themeColor="text1"/>
        </w:rPr>
        <w:t>II.</w:t>
      </w:r>
      <w:r w:rsidRPr="00BC07F2">
        <w:rPr>
          <w:rFonts w:ascii="Palatino Linotype" w:eastAsia="Palatino Linotype" w:hAnsi="Palatino Linotype" w:cs="Palatino Linotype"/>
          <w:i/>
          <w:iCs/>
          <w:color w:val="000000" w:themeColor="text1"/>
        </w:rPr>
        <w:t xml:space="preserve"> Recibir, tramitar y dar respuesta a las solicitudes de acceso a la información;</w:t>
      </w:r>
    </w:p>
    <w:p w14:paraId="50D7E79A"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i/>
          <w:iCs/>
          <w:color w:val="000000" w:themeColor="text1"/>
        </w:rPr>
        <w:t>(…)</w:t>
      </w:r>
    </w:p>
    <w:p w14:paraId="05DCEA65"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bCs/>
          <w:i/>
          <w:iCs/>
          <w:color w:val="000000" w:themeColor="text1"/>
        </w:rPr>
        <w:t>IV.</w:t>
      </w:r>
      <w:r w:rsidRPr="00BC07F2">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14:paraId="0718EA4E"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bCs/>
          <w:i/>
          <w:iCs/>
          <w:color w:val="000000" w:themeColor="text1"/>
        </w:rPr>
        <w:t>V.</w:t>
      </w:r>
      <w:r w:rsidRPr="00BC07F2">
        <w:rPr>
          <w:rFonts w:ascii="Palatino Linotype" w:eastAsia="Palatino Linotype" w:hAnsi="Palatino Linotype" w:cs="Palatino Linotype"/>
          <w:i/>
          <w:iCs/>
          <w:color w:val="000000" w:themeColor="text1"/>
        </w:rPr>
        <w:t xml:space="preserve"> Entregar, en su caso, a los particulares la información solicitada;</w:t>
      </w:r>
    </w:p>
    <w:p w14:paraId="61E15BFF"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i/>
          <w:iCs/>
          <w:color w:val="000000" w:themeColor="text1"/>
        </w:rPr>
        <w:t>(…)</w:t>
      </w:r>
    </w:p>
    <w:p w14:paraId="1D931F2E" w14:textId="77777777" w:rsidR="00F265A7" w:rsidRPr="00BC07F2" w:rsidRDefault="00F265A7" w:rsidP="0094286C">
      <w:pPr>
        <w:jc w:val="both"/>
        <w:rPr>
          <w:rFonts w:ascii="Palatino Linotype" w:eastAsia="Palatino Linotype" w:hAnsi="Palatino Linotype" w:cs="Palatino Linotype"/>
          <w:i/>
          <w:iCs/>
          <w:color w:val="000000" w:themeColor="text1"/>
        </w:rPr>
      </w:pPr>
    </w:p>
    <w:p w14:paraId="301FDD83"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i/>
          <w:iCs/>
          <w:color w:val="000000" w:themeColor="text1"/>
        </w:rPr>
        <w:t xml:space="preserve">Artículo 58. </w:t>
      </w:r>
      <w:r w:rsidRPr="00BC07F2">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14:paraId="5181AE19" w14:textId="77777777" w:rsidR="00F265A7" w:rsidRPr="00BC07F2" w:rsidRDefault="00F265A7" w:rsidP="0094286C">
      <w:pPr>
        <w:jc w:val="both"/>
        <w:rPr>
          <w:rFonts w:ascii="Palatino Linotype" w:eastAsia="Palatino Linotype" w:hAnsi="Palatino Linotype" w:cs="Palatino Linotype"/>
          <w:i/>
          <w:iCs/>
          <w:color w:val="000000" w:themeColor="text1"/>
        </w:rPr>
      </w:pPr>
    </w:p>
    <w:p w14:paraId="7700E82B"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i/>
          <w:iCs/>
          <w:color w:val="000000" w:themeColor="text1"/>
        </w:rPr>
        <w:t xml:space="preserve">Artículo 59. </w:t>
      </w:r>
      <w:r w:rsidRPr="00BC07F2">
        <w:rPr>
          <w:rFonts w:ascii="Palatino Linotype" w:eastAsia="Palatino Linotype" w:hAnsi="Palatino Linotype" w:cs="Palatino Linotype"/>
          <w:i/>
          <w:iCs/>
          <w:color w:val="000000" w:themeColor="text1"/>
        </w:rPr>
        <w:t>Los servidores públicos habilitados tendrán las funciones siguientes:</w:t>
      </w:r>
    </w:p>
    <w:p w14:paraId="78D7B9D2" w14:textId="77777777" w:rsidR="00F265A7" w:rsidRPr="00BC07F2" w:rsidRDefault="00F265A7" w:rsidP="0094286C">
      <w:pPr>
        <w:jc w:val="both"/>
        <w:rPr>
          <w:rFonts w:ascii="Palatino Linotype" w:eastAsia="Palatino Linotype" w:hAnsi="Palatino Linotype" w:cs="Palatino Linotype"/>
          <w:i/>
          <w:iCs/>
          <w:color w:val="000000" w:themeColor="text1"/>
        </w:rPr>
      </w:pPr>
    </w:p>
    <w:p w14:paraId="0700A567"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bCs/>
          <w:i/>
          <w:iCs/>
          <w:color w:val="000000" w:themeColor="text1"/>
        </w:rPr>
        <w:t>I.</w:t>
      </w:r>
      <w:r w:rsidRPr="00BC07F2">
        <w:rPr>
          <w:rFonts w:ascii="Palatino Linotype" w:eastAsia="Palatino Linotype" w:hAnsi="Palatino Linotype" w:cs="Palatino Linotype"/>
          <w:i/>
          <w:iCs/>
          <w:color w:val="000000" w:themeColor="text1"/>
        </w:rPr>
        <w:t xml:space="preserve"> Localizar la información que le solicite la Unidad de Transparencia;</w:t>
      </w:r>
    </w:p>
    <w:p w14:paraId="3ED61A7D"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bCs/>
          <w:i/>
          <w:iCs/>
          <w:color w:val="000000" w:themeColor="text1"/>
        </w:rPr>
        <w:t>II.</w:t>
      </w:r>
      <w:r w:rsidRPr="00BC07F2">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14:paraId="36C2FE7C"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i/>
          <w:iCs/>
          <w:color w:val="000000" w:themeColor="text1"/>
        </w:rPr>
        <w:t>(...)</w:t>
      </w:r>
    </w:p>
    <w:p w14:paraId="13E118EB" w14:textId="77777777" w:rsidR="00F265A7" w:rsidRPr="00BC07F2" w:rsidRDefault="00F265A7" w:rsidP="0094286C">
      <w:pPr>
        <w:jc w:val="both"/>
        <w:rPr>
          <w:rFonts w:ascii="Palatino Linotype" w:eastAsia="Palatino Linotype" w:hAnsi="Palatino Linotype" w:cs="Palatino Linotype"/>
          <w:i/>
          <w:iCs/>
          <w:color w:val="000000" w:themeColor="text1"/>
        </w:rPr>
      </w:pPr>
      <w:r w:rsidRPr="00BC07F2">
        <w:rPr>
          <w:rFonts w:ascii="Palatino Linotype" w:eastAsia="Palatino Linotype" w:hAnsi="Palatino Linotype" w:cs="Palatino Linotype"/>
          <w:b/>
          <w:i/>
          <w:iCs/>
          <w:color w:val="000000" w:themeColor="text1"/>
        </w:rPr>
        <w:lastRenderedPageBreak/>
        <w:t xml:space="preserve">Artículo 162. </w:t>
      </w:r>
      <w:r w:rsidRPr="00BC07F2">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D85B820" w14:textId="77777777" w:rsidR="00F265A7" w:rsidRPr="00BC07F2" w:rsidRDefault="00F265A7" w:rsidP="0094286C">
      <w:pPr>
        <w:spacing w:line="360" w:lineRule="auto"/>
        <w:jc w:val="both"/>
        <w:rPr>
          <w:rFonts w:ascii="Palatino Linotype" w:eastAsia="Palatino Linotype" w:hAnsi="Palatino Linotype" w:cs="Palatino Linotype"/>
          <w:color w:val="000000" w:themeColor="text1"/>
        </w:rPr>
      </w:pPr>
    </w:p>
    <w:p w14:paraId="4DF58BC6" w14:textId="77777777" w:rsidR="00F265A7" w:rsidRPr="00BC07F2" w:rsidRDefault="00F265A7" w:rsidP="0094286C">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BC07F2">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BC07F2">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1A4C0D" w:rsidRPr="00BC07F2">
        <w:rPr>
          <w:rFonts w:ascii="Palatino Linotype" w:eastAsia="Arial Unicode MS" w:hAnsi="Palatino Linotype" w:cs="Arial"/>
          <w:color w:val="000000" w:themeColor="text1"/>
          <w:lang w:eastAsia="en-US"/>
        </w:rPr>
        <w:t>s</w:t>
      </w:r>
      <w:r w:rsidRPr="00BC07F2">
        <w:rPr>
          <w:rFonts w:ascii="Palatino Linotype" w:eastAsia="Arial Unicode MS" w:hAnsi="Palatino Linotype" w:cs="Arial"/>
          <w:color w:val="000000" w:themeColor="text1"/>
          <w:lang w:eastAsia="en-US"/>
        </w:rPr>
        <w:t xml:space="preserve"> Unidades de Transparencia turnar a todas las áreas que se consideren competentes para que realicen una búsqueda exhaustiva y razonable de la información solicitada a fin de que ésta sea entregada a los solicitantes.</w:t>
      </w:r>
    </w:p>
    <w:p w14:paraId="60001733" w14:textId="77777777" w:rsidR="00F265A7" w:rsidRPr="00BC07F2" w:rsidRDefault="00F265A7" w:rsidP="0094286C">
      <w:pPr>
        <w:pStyle w:val="Prrafodelista"/>
        <w:spacing w:line="360" w:lineRule="auto"/>
        <w:ind w:left="0"/>
        <w:jc w:val="both"/>
        <w:rPr>
          <w:rFonts w:ascii="Palatino Linotype" w:eastAsia="Arial Unicode MS" w:hAnsi="Palatino Linotype" w:cs="Arial"/>
          <w:color w:val="000000" w:themeColor="text1"/>
          <w:lang w:eastAsia="en-US"/>
        </w:rPr>
      </w:pPr>
    </w:p>
    <w:p w14:paraId="7E86EB6C" w14:textId="77777777" w:rsidR="00F265A7" w:rsidRPr="00BC07F2" w:rsidRDefault="00F265A7" w:rsidP="0094286C">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BC07F2">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19027DA8" w14:textId="77777777" w:rsidR="00F265A7" w:rsidRPr="00BC07F2" w:rsidRDefault="00F265A7" w:rsidP="0094286C">
      <w:pPr>
        <w:pStyle w:val="Prrafodelista"/>
        <w:ind w:left="0"/>
        <w:rPr>
          <w:rFonts w:ascii="Palatino Linotype" w:eastAsia="Arial Unicode MS" w:hAnsi="Palatino Linotype" w:cs="Arial"/>
          <w:color w:val="000000" w:themeColor="text1"/>
          <w:lang w:eastAsia="en-US"/>
        </w:rPr>
      </w:pPr>
    </w:p>
    <w:p w14:paraId="0F9B4D68" w14:textId="77777777" w:rsidR="00F265A7" w:rsidRPr="00BC07F2" w:rsidRDefault="00F265A7" w:rsidP="0094286C">
      <w:pPr>
        <w:pStyle w:val="Prrafodelista"/>
        <w:numPr>
          <w:ilvl w:val="0"/>
          <w:numId w:val="1"/>
        </w:numPr>
        <w:spacing w:line="360" w:lineRule="auto"/>
        <w:ind w:left="0" w:firstLine="0"/>
        <w:jc w:val="both"/>
        <w:rPr>
          <w:rFonts w:ascii="Palatino Linotype" w:eastAsia="Arial Unicode MS" w:hAnsi="Palatino Linotype" w:cs="Arial"/>
          <w:color w:val="000000" w:themeColor="text1"/>
          <w:lang w:eastAsia="en-US"/>
        </w:rPr>
      </w:pPr>
      <w:r w:rsidRPr="00BC07F2">
        <w:rPr>
          <w:rFonts w:ascii="Palatino Linotype" w:eastAsia="Arial Unicode MS" w:hAnsi="Palatino Linotype" w:cs="Arial"/>
          <w:color w:val="000000" w:themeColor="text1"/>
          <w:lang w:eastAsia="en-US"/>
        </w:rPr>
        <w:t xml:space="preserve">En el caso que se resuelve, la solicitud fue turnada y respondida </w:t>
      </w:r>
      <w:r w:rsidR="001A4C0D" w:rsidRPr="00BC07F2">
        <w:rPr>
          <w:rFonts w:ascii="Palatino Linotype" w:eastAsia="Arial Unicode MS" w:hAnsi="Palatino Linotype" w:cs="Arial"/>
          <w:color w:val="000000" w:themeColor="text1"/>
          <w:lang w:eastAsia="en-US"/>
        </w:rPr>
        <w:t xml:space="preserve">únicamente </w:t>
      </w:r>
      <w:r w:rsidRPr="00BC07F2">
        <w:rPr>
          <w:rFonts w:ascii="Palatino Linotype" w:eastAsia="Arial Unicode MS" w:hAnsi="Palatino Linotype" w:cs="Arial"/>
          <w:color w:val="000000" w:themeColor="text1"/>
          <w:lang w:eastAsia="en-US"/>
        </w:rPr>
        <w:t xml:space="preserve">por la Dirección General de Administración, sin embargo, no se turnó a las diversas áreas </w:t>
      </w:r>
      <w:r w:rsidR="001A4C0D" w:rsidRPr="00BC07F2">
        <w:rPr>
          <w:rFonts w:ascii="Palatino Linotype" w:eastAsia="Arial Unicode MS" w:hAnsi="Palatino Linotype" w:cs="Arial"/>
          <w:color w:val="000000" w:themeColor="text1"/>
          <w:lang w:eastAsia="en-US"/>
        </w:rPr>
        <w:t xml:space="preserve">en las que pudiera obrar la información, en este caso, a la Secretaría del Ayuntamiento, quien es la encargada de la recepción de los documentos de los aspirantes a la defensoría de </w:t>
      </w:r>
      <w:r w:rsidR="001A4C0D" w:rsidRPr="00BC07F2">
        <w:rPr>
          <w:rFonts w:ascii="Palatino Linotype" w:eastAsia="Arial Unicode MS" w:hAnsi="Palatino Linotype" w:cs="Arial"/>
          <w:color w:val="000000" w:themeColor="text1"/>
          <w:lang w:eastAsia="en-US"/>
        </w:rPr>
        <w:lastRenderedPageBreak/>
        <w:t>derechos humanos, o en su caso a la misma Defensoría Municipal de Derechos Humanos</w:t>
      </w:r>
      <w:r w:rsidR="00561247" w:rsidRPr="00BC07F2">
        <w:rPr>
          <w:rFonts w:ascii="Palatino Linotype" w:eastAsia="Arial Unicode MS" w:hAnsi="Palatino Linotype" w:cs="Arial"/>
          <w:color w:val="000000" w:themeColor="text1"/>
          <w:lang w:eastAsia="en-US"/>
        </w:rPr>
        <w:t xml:space="preserve">, quien se encarga de todo el proceso de selección y elección del Defensor Municipal de Derechos Humanos. </w:t>
      </w:r>
    </w:p>
    <w:p w14:paraId="53F54B2C" w14:textId="77777777" w:rsidR="00F265A7" w:rsidRPr="00BC07F2" w:rsidRDefault="00F265A7" w:rsidP="0094286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451C043" w14:textId="77777777" w:rsidR="003D7A79" w:rsidRPr="00BC07F2" w:rsidRDefault="0056124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Es decir, que no se llevó a cabo el proceso de </w:t>
      </w:r>
      <w:r w:rsidR="00A90AFC" w:rsidRPr="00BC07F2">
        <w:rPr>
          <w:rFonts w:ascii="Palatino Linotype" w:eastAsia="Palatino Linotype" w:hAnsi="Palatino Linotype" w:cs="Palatino Linotype"/>
          <w:color w:val="000000" w:themeColor="text1"/>
        </w:rPr>
        <w:t xml:space="preserve">búsqueda establecido en la Ley de Transparencia, pues la solicitud no se turnó a todas las áreas que pudieran generar, poseer o administrar la información solicitada, razón por la cual, es procedente ordenar una nueva búsqueda exhaustiva y razonable de la información. </w:t>
      </w:r>
    </w:p>
    <w:p w14:paraId="4F4985AF" w14:textId="77777777" w:rsidR="006023E7" w:rsidRPr="00BC07F2" w:rsidRDefault="006023E7" w:rsidP="0094286C">
      <w:pPr>
        <w:pStyle w:val="Prrafodelista"/>
        <w:ind w:left="0"/>
        <w:rPr>
          <w:rFonts w:ascii="Palatino Linotype" w:eastAsia="Palatino Linotype" w:hAnsi="Palatino Linotype" w:cs="Palatino Linotype"/>
          <w:color w:val="000000" w:themeColor="text1"/>
        </w:rPr>
      </w:pPr>
    </w:p>
    <w:p w14:paraId="529A5F05" w14:textId="77777777" w:rsidR="006023E7" w:rsidRPr="00BC07F2" w:rsidRDefault="006023E7"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hAnsi="Palatino Linotype"/>
          <w:color w:val="000000" w:themeColor="text1"/>
        </w:rPr>
        <w:t xml:space="preserve">No se omite mencionar que el artículo 92, fracciones XVIII y XXXI de la Ley de Transparencia y Acceso a la información pública del Estado de México y Municipio, indica que las convocatorias a concurso para ocupar cargos públicos y sus resultados, así como las convocatorias que por cualquier motivo concluyan en asignar o permitir usar recursos públicos, debe estar disponible de manera permanente y actualizada, </w:t>
      </w:r>
      <w:r w:rsidRPr="00BC07F2">
        <w:rPr>
          <w:rFonts w:ascii="Palatino Linotype" w:hAnsi="Palatino Linotype"/>
          <w:b/>
          <w:color w:val="000000" w:themeColor="text1"/>
        </w:rPr>
        <w:t>por tanto, se trata de información de naturaleza pública.</w:t>
      </w:r>
    </w:p>
    <w:p w14:paraId="073C117F" w14:textId="77777777" w:rsidR="00A90AFC" w:rsidRPr="00BC07F2" w:rsidRDefault="00A90AFC" w:rsidP="0094286C">
      <w:pPr>
        <w:pStyle w:val="Prrafodelista"/>
        <w:ind w:left="0"/>
        <w:rPr>
          <w:rFonts w:ascii="Palatino Linotype" w:eastAsia="Palatino Linotype" w:hAnsi="Palatino Linotype" w:cs="Palatino Linotype"/>
          <w:color w:val="000000" w:themeColor="text1"/>
        </w:rPr>
      </w:pPr>
    </w:p>
    <w:p w14:paraId="2677DDF9" w14:textId="77777777" w:rsidR="00A90AFC" w:rsidRPr="00BC07F2" w:rsidRDefault="00A90AFC"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Por otro lado, recordemos que la solicitud el particular es acceder a l</w:t>
      </w:r>
      <w:r w:rsidR="006023E7" w:rsidRPr="00BC07F2">
        <w:rPr>
          <w:rFonts w:ascii="Palatino Linotype" w:eastAsia="Palatino Linotype" w:hAnsi="Palatino Linotype" w:cs="Palatino Linotype"/>
          <w:color w:val="000000" w:themeColor="text1"/>
        </w:rPr>
        <w:t>os expedientes</w:t>
      </w:r>
      <w:r w:rsidRPr="00BC07F2">
        <w:rPr>
          <w:rFonts w:ascii="Palatino Linotype" w:eastAsia="Palatino Linotype" w:hAnsi="Palatino Linotype" w:cs="Palatino Linotype"/>
          <w:color w:val="000000" w:themeColor="text1"/>
        </w:rPr>
        <w:t xml:space="preserve"> de los participantes, </w:t>
      </w:r>
      <w:r w:rsidR="006023E7" w:rsidRPr="00BC07F2">
        <w:rPr>
          <w:rFonts w:ascii="Palatino Linotype" w:eastAsia="Palatino Linotype" w:hAnsi="Palatino Linotype" w:cs="Palatino Linotype"/>
          <w:color w:val="000000" w:themeColor="text1"/>
        </w:rPr>
        <w:t xml:space="preserve">en ese sentido, conviene señalar que la convocatoria referida tiene como fin </w:t>
      </w:r>
      <w:r w:rsidRPr="00BC07F2">
        <w:rPr>
          <w:rFonts w:ascii="Palatino Linotype" w:eastAsia="Palatino Linotype" w:hAnsi="Palatino Linotype" w:cs="Palatino Linotype"/>
          <w:color w:val="000000" w:themeColor="text1"/>
        </w:rPr>
        <w:t xml:space="preserve"> </w:t>
      </w:r>
      <w:r w:rsidR="006023E7" w:rsidRPr="00BC07F2">
        <w:rPr>
          <w:rFonts w:ascii="Palatino Linotype" w:eastAsia="Palatino Linotype" w:hAnsi="Palatino Linotype" w:cs="Palatino Linotype"/>
          <w:color w:val="000000" w:themeColor="text1"/>
        </w:rPr>
        <w:t>reunir a los candidatos al cargo que se convoca y para ello, deben cumplir con ciertos requisitos y documentación que deben entregar, en este caso, al Secretario del Ayuntamiento.</w:t>
      </w:r>
      <w:r w:rsidRPr="00BC07F2">
        <w:rPr>
          <w:rFonts w:ascii="Palatino Linotype" w:eastAsia="Palatino Linotype" w:hAnsi="Palatino Linotype" w:cs="Palatino Linotype"/>
          <w:color w:val="000000" w:themeColor="text1"/>
        </w:rPr>
        <w:t xml:space="preserve"> </w:t>
      </w:r>
    </w:p>
    <w:p w14:paraId="5F8B7312" w14:textId="77777777" w:rsidR="003D7A79" w:rsidRPr="00BC07F2" w:rsidRDefault="003D7A79" w:rsidP="0094286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3CA5CAC"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Ahora bien, es procedente analizar la naturaleza de la información solicitada, puesto que, si bien dentro de las personas que participan en las convocatorias se seleccionan algunas para tener algún cargo o para recibir o hacer uso de recursos públicos, </w:t>
      </w:r>
      <w:r w:rsidRPr="00BC07F2">
        <w:rPr>
          <w:rFonts w:ascii="Palatino Linotype" w:hAnsi="Palatino Linotype"/>
          <w:color w:val="000000" w:themeColor="text1"/>
        </w:rPr>
        <w:lastRenderedPageBreak/>
        <w:t xml:space="preserve">lo cierto es que también existen participantes que no fueron seleccionados, por tanto, se debe analizar su naturaleza. </w:t>
      </w:r>
    </w:p>
    <w:p w14:paraId="0551F1E1"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33B8EB7A" w14:textId="77777777" w:rsidR="006023E7" w:rsidRPr="00BC07F2" w:rsidRDefault="006023E7" w:rsidP="0094286C">
      <w:pPr>
        <w:pStyle w:val="Prrafodelista"/>
        <w:widowControl w:val="0"/>
        <w:numPr>
          <w:ilvl w:val="0"/>
          <w:numId w:val="1"/>
        </w:numPr>
        <w:tabs>
          <w:tab w:val="center"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Lo anterior resulta así, </w:t>
      </w:r>
      <w:r w:rsidRPr="00BC07F2">
        <w:rPr>
          <w:rFonts w:ascii="Palatino Linotype" w:hAnsi="Palatino Linotype"/>
          <w:b/>
          <w:color w:val="000000" w:themeColor="text1"/>
        </w:rPr>
        <w:t>de las personas que no son seleccionadas o ganadoras, entendidas como postulantes</w:t>
      </w:r>
      <w:r w:rsidRPr="00BC07F2">
        <w:rPr>
          <w:rFonts w:ascii="Palatino Linotype" w:hAnsi="Palatino Linotype"/>
          <w:color w:val="000000" w:themeColor="text1"/>
        </w:rPr>
        <w:t>,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582E7DA3" w14:textId="77777777" w:rsidR="006023E7" w:rsidRPr="00BC07F2" w:rsidRDefault="006023E7" w:rsidP="0094286C">
      <w:pPr>
        <w:pStyle w:val="Prrafodelista"/>
        <w:widowControl w:val="0"/>
        <w:tabs>
          <w:tab w:val="center" w:pos="4522"/>
        </w:tabs>
        <w:spacing w:line="360" w:lineRule="auto"/>
        <w:ind w:left="0"/>
        <w:jc w:val="both"/>
        <w:rPr>
          <w:rFonts w:ascii="Palatino Linotype" w:hAnsi="Palatino Linotype"/>
          <w:color w:val="000000" w:themeColor="text1"/>
        </w:rPr>
      </w:pPr>
    </w:p>
    <w:p w14:paraId="0A96B9A6"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ese contexto, resulta necesario precisar que la Suprema Corte de Justicia de la Nación ha reconocido como derechos fundamentales de las personas, </w:t>
      </w:r>
      <w:r w:rsidRPr="00BC07F2">
        <w:rPr>
          <w:rFonts w:ascii="Palatino Linotype" w:hAnsi="Palatino Linotype"/>
          <w:b/>
          <w:color w:val="000000" w:themeColor="text1"/>
        </w:rPr>
        <w:t>el derecho a la intimidad y a la propia imagen</w:t>
      </w:r>
      <w:r w:rsidRPr="00BC07F2">
        <w:rPr>
          <w:rFonts w:ascii="Palatino Linotype" w:hAnsi="Palatino Linotype"/>
          <w:color w:val="000000" w:themeColor="text1"/>
        </w:rPr>
        <w:t>, en el siguiente criterio:</w:t>
      </w:r>
    </w:p>
    <w:p w14:paraId="535CCA34" w14:textId="77777777" w:rsidR="006023E7" w:rsidRPr="00BC07F2" w:rsidRDefault="006023E7" w:rsidP="0094286C">
      <w:pPr>
        <w:pStyle w:val="Prrafodelista"/>
        <w:spacing w:line="360" w:lineRule="auto"/>
        <w:ind w:left="0"/>
        <w:rPr>
          <w:rFonts w:ascii="Palatino Linotype" w:hAnsi="Palatino Linotype"/>
          <w:color w:val="000000" w:themeColor="text1"/>
        </w:rPr>
      </w:pPr>
    </w:p>
    <w:p w14:paraId="29C60FDF" w14:textId="77777777" w:rsidR="006023E7" w:rsidRPr="00BC07F2" w:rsidRDefault="006023E7" w:rsidP="0094286C">
      <w:pPr>
        <w:pStyle w:val="Prrafodelista"/>
        <w:spacing w:line="360" w:lineRule="auto"/>
        <w:ind w:left="0"/>
        <w:jc w:val="both"/>
        <w:rPr>
          <w:rFonts w:ascii="Palatino Linotype" w:hAnsi="Palatino Linotype"/>
          <w:i/>
          <w:color w:val="000000" w:themeColor="text1"/>
        </w:rPr>
      </w:pPr>
      <w:r w:rsidRPr="00BC07F2">
        <w:rPr>
          <w:rFonts w:ascii="Palatino Linotype" w:hAnsi="Palatino Linotype"/>
          <w:i/>
          <w:color w:val="000000" w:themeColor="text1"/>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w:t>
      </w:r>
      <w:r w:rsidRPr="00BC07F2">
        <w:rPr>
          <w:rFonts w:ascii="Palatino Linotype" w:hAnsi="Palatino Linotype"/>
          <w:i/>
          <w:color w:val="000000" w:themeColor="text1"/>
        </w:rPr>
        <w:lastRenderedPageBreak/>
        <w:t>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E5BB5D4" w14:textId="77777777" w:rsidR="006023E7" w:rsidRPr="00BC07F2" w:rsidRDefault="006023E7" w:rsidP="0094286C">
      <w:pPr>
        <w:pStyle w:val="Prrafodelista"/>
        <w:spacing w:line="360" w:lineRule="auto"/>
        <w:ind w:left="0"/>
        <w:rPr>
          <w:rFonts w:ascii="Palatino Linotype" w:hAnsi="Palatino Linotype"/>
          <w:color w:val="000000" w:themeColor="text1"/>
        </w:rPr>
      </w:pPr>
    </w:p>
    <w:p w14:paraId="0F5B5B5D"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ese sentido, es derecho de todo individuo a no ser conocido por otros en ciertos aspectos de su vida y, por ende, el poder de decisión sobre la publicidad o información de datos relativos a su persona </w:t>
      </w:r>
      <w:r w:rsidRPr="00BC07F2">
        <w:rPr>
          <w:rFonts w:ascii="Palatino Linotype" w:hAnsi="Palatino Linotype"/>
          <w:b/>
          <w:color w:val="000000" w:themeColor="text1"/>
        </w:rPr>
        <w:t xml:space="preserve">(derecho a la intimidad). </w:t>
      </w:r>
      <w:r w:rsidRPr="00BC07F2">
        <w:rPr>
          <w:rFonts w:ascii="Palatino Linotype" w:hAnsi="Palatino Linotype"/>
          <w:color w:val="000000" w:themeColor="text1"/>
        </w:rPr>
        <w:t xml:space="preserve">Asimismo, el </w:t>
      </w:r>
      <w:r w:rsidRPr="00BC07F2">
        <w:rPr>
          <w:rFonts w:ascii="Palatino Linotype" w:hAnsi="Palatino Linotype"/>
          <w:b/>
          <w:color w:val="000000" w:themeColor="text1"/>
        </w:rPr>
        <w:t>derecho a la propia imagen</w:t>
      </w:r>
      <w:r w:rsidRPr="00BC07F2">
        <w:rPr>
          <w:rFonts w:ascii="Palatino Linotype" w:hAnsi="Palatino Linotype"/>
          <w:color w:val="000000" w:themeColor="text1"/>
        </w:rPr>
        <w:t xml:space="preserve"> es el derecho de decidir, de forma libre, sobre la manera en que elige mostrarse frente a los demás.</w:t>
      </w:r>
    </w:p>
    <w:p w14:paraId="3ECCADFE"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4D3BAD62"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En ese sentido, el artículo 12 de la Declaración Universal de los Derechos Humanos</w:t>
      </w:r>
      <w:r w:rsidRPr="00BC07F2">
        <w:rPr>
          <w:rFonts w:ascii="Palatino Linotype" w:hAnsi="Palatino Linotype"/>
          <w:i/>
          <w:color w:val="000000" w:themeColor="text1"/>
        </w:rPr>
        <w:t xml:space="preserve"> </w:t>
      </w:r>
      <w:r w:rsidRPr="00BC07F2">
        <w:rPr>
          <w:rFonts w:ascii="Palatino Linotype" w:hAnsi="Palatino Linotype"/>
          <w:color w:val="000000" w:themeColor="text1"/>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057766B7"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50AC335A"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lastRenderedPageBreak/>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93AD85C"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618B4B5D"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37D7180F"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51C2D928"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ese contexto, se considera que dar a conocer </w:t>
      </w:r>
      <w:r w:rsidRPr="00BC07F2">
        <w:rPr>
          <w:rFonts w:ascii="Palatino Linotype" w:hAnsi="Palatino Linotype"/>
          <w:b/>
          <w:color w:val="000000" w:themeColor="text1"/>
        </w:rPr>
        <w:t>la información de los participantes que no fueron elegidos, constituye información confidencial</w:t>
      </w:r>
      <w:r w:rsidRPr="00BC07F2">
        <w:rPr>
          <w:rFonts w:ascii="Palatino Linotype" w:hAnsi="Palatino Linotype"/>
          <w:color w:val="000000" w:themeColor="text1"/>
        </w:rPr>
        <w:t xml:space="preserve"> que afecta su esfera privada, puesto que podrían generar una percepción negativa de estas, al dar a conocer las pautas y circunstancias por las cuales no ganaron, como pudiera ser la falta de cumplimiento de requisitos, falta de experiencia, conocimientos, entre otros. Por lo que, que </w:t>
      </w:r>
      <w:r w:rsidRPr="00BC07F2">
        <w:rPr>
          <w:rFonts w:ascii="Palatino Linotype" w:hAnsi="Palatino Linotype"/>
          <w:b/>
          <w:color w:val="000000" w:themeColor="text1"/>
        </w:rPr>
        <w:t>afectaría su esfera privada.</w:t>
      </w:r>
    </w:p>
    <w:p w14:paraId="3B11A7FA" w14:textId="77777777" w:rsidR="00CB5F19" w:rsidRPr="00BC07F2" w:rsidRDefault="00CB5F19" w:rsidP="0094286C">
      <w:pPr>
        <w:pStyle w:val="Prrafodelista"/>
        <w:spacing w:line="360" w:lineRule="auto"/>
        <w:ind w:left="0"/>
        <w:jc w:val="both"/>
        <w:rPr>
          <w:rFonts w:ascii="Palatino Linotype" w:hAnsi="Palatino Linotype"/>
          <w:color w:val="000000" w:themeColor="text1"/>
        </w:rPr>
      </w:pPr>
    </w:p>
    <w:p w14:paraId="2F65F07F"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8CE47DB" w14:textId="77777777" w:rsidR="006023E7" w:rsidRPr="00BC07F2" w:rsidRDefault="006023E7" w:rsidP="0094286C">
      <w:pPr>
        <w:pStyle w:val="Prrafodelista"/>
        <w:spacing w:line="360" w:lineRule="auto"/>
        <w:ind w:left="0"/>
        <w:jc w:val="both"/>
        <w:rPr>
          <w:rFonts w:ascii="Palatino Linotype" w:hAnsi="Palatino Linotype"/>
          <w:i/>
          <w:color w:val="000000" w:themeColor="text1"/>
        </w:rPr>
      </w:pPr>
      <w:r w:rsidRPr="00BC07F2">
        <w:rPr>
          <w:rFonts w:ascii="Palatino Linotype" w:hAnsi="Palatino Linotype"/>
          <w:i/>
          <w:color w:val="000000" w:themeColor="text1"/>
        </w:rPr>
        <w:lastRenderedPageBreak/>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w:t>
      </w:r>
      <w:r w:rsidRPr="00BC07F2">
        <w:rPr>
          <w:rFonts w:ascii="Palatino Linotype" w:hAnsi="Palatino Linotype"/>
          <w:i/>
          <w:color w:val="000000" w:themeColor="text1"/>
        </w:rPr>
        <w:lastRenderedPageBreak/>
        <w:t>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CA77FB0" w14:textId="77777777" w:rsidR="006023E7" w:rsidRPr="00BC07F2" w:rsidRDefault="006023E7" w:rsidP="0094286C">
      <w:pPr>
        <w:pStyle w:val="Prrafodelista"/>
        <w:spacing w:line="360" w:lineRule="auto"/>
        <w:ind w:left="0"/>
        <w:rPr>
          <w:rFonts w:ascii="Palatino Linotype" w:hAnsi="Palatino Linotype"/>
          <w:color w:val="000000" w:themeColor="text1"/>
        </w:rPr>
      </w:pPr>
    </w:p>
    <w:p w14:paraId="20DA68B1"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75EF1B66"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70FB14BC"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consecuencia, se estima que resulta procedente </w:t>
      </w:r>
      <w:r w:rsidRPr="00BC07F2">
        <w:rPr>
          <w:rFonts w:ascii="Palatino Linotype" w:hAnsi="Palatino Linotype"/>
          <w:b/>
          <w:color w:val="000000" w:themeColor="text1"/>
        </w:rPr>
        <w:t xml:space="preserve">la clasificación de los documentos entregados por las personas participantes que no fueron seleccionadas; es </w:t>
      </w:r>
      <w:r w:rsidRPr="00BC07F2">
        <w:rPr>
          <w:rFonts w:ascii="Palatino Linotype" w:hAnsi="Palatino Linotype"/>
          <w:b/>
          <w:color w:val="000000" w:themeColor="text1"/>
        </w:rPr>
        <w:lastRenderedPageBreak/>
        <w:t>decir, de las personas postulantes</w:t>
      </w:r>
      <w:r w:rsidRPr="00BC07F2">
        <w:rPr>
          <w:rFonts w:ascii="Palatino Linotype" w:hAnsi="Palatino Linotype"/>
          <w:color w:val="000000" w:themeColor="text1"/>
        </w:rPr>
        <w:t>, para formar parte del proceso de selección, en términos del artículo 143, fracción I de la Ley de Transparencia y Acceso a la Información Pública del Estado de México y Municipios.</w:t>
      </w:r>
    </w:p>
    <w:p w14:paraId="6B5753B9" w14:textId="77777777" w:rsidR="006023E7" w:rsidRPr="00BC07F2" w:rsidRDefault="006023E7" w:rsidP="0094286C">
      <w:pPr>
        <w:pStyle w:val="Prrafodelista"/>
        <w:widowControl w:val="0"/>
        <w:tabs>
          <w:tab w:val="center" w:pos="4522"/>
        </w:tabs>
        <w:spacing w:line="360" w:lineRule="auto"/>
        <w:ind w:left="0"/>
        <w:jc w:val="both"/>
        <w:rPr>
          <w:rFonts w:ascii="Palatino Linotype" w:hAnsi="Palatino Linotype"/>
          <w:color w:val="000000" w:themeColor="text1"/>
        </w:rPr>
      </w:pPr>
    </w:p>
    <w:p w14:paraId="1033E1E9"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No se omite precisar, que para el caso de los </w:t>
      </w:r>
      <w:r w:rsidRPr="00BC07F2">
        <w:rPr>
          <w:rFonts w:ascii="Palatino Linotype" w:hAnsi="Palatino Linotype"/>
          <w:b/>
          <w:color w:val="000000" w:themeColor="text1"/>
        </w:rPr>
        <w:t>participantes cuyas convocatorias establecen expresamente que la información se hará pública, entonces, dicha documentación tendrá este carácter</w:t>
      </w:r>
      <w:r w:rsidR="00CB5F19" w:rsidRPr="00BC07F2">
        <w:rPr>
          <w:rFonts w:ascii="Palatino Linotype" w:hAnsi="Palatino Linotype"/>
          <w:color w:val="000000" w:themeColor="text1"/>
        </w:rPr>
        <w:t xml:space="preserve">, situación que no ocurre en el presente caso, ya que la convocatoria emitida por el Ayuntamiento de Toluca, para la selección del Defensor Municipal de Derechos Humanos, no establece dicha situación. </w:t>
      </w:r>
    </w:p>
    <w:p w14:paraId="316E6B4E"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741769FF"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Por otra parte, cabe destacar que </w:t>
      </w:r>
      <w:r w:rsidRPr="00BC07F2">
        <w:rPr>
          <w:rFonts w:ascii="Palatino Linotype" w:hAnsi="Palatino Linotype"/>
          <w:b/>
          <w:color w:val="000000" w:themeColor="text1"/>
        </w:rPr>
        <w:t>el nombre de las personas seleccionadas como ganadoras en las convocatorias, tiene el carácter de público</w:t>
      </w:r>
      <w:r w:rsidRPr="00BC07F2">
        <w:rPr>
          <w:rFonts w:ascii="Palatino Linotype" w:hAnsi="Palatino Linotype"/>
          <w:color w:val="000000" w:themeColor="text1"/>
        </w:rPr>
        <w:t>, ello de conformidad con lo dispuesto en la artículo 92, fracción XXXI, que señala que el listado de personas físicas o jurídicas colectivas a quienes se les asigne o se les permita usar recursos públicos, deberán ser publicadas en los sitios para tales efectos, por tanto se advierte su naturaleza de información pública, además algunas de las convocatorias pueden implicar el acceder a cargos públicos, lo que implica que sus nombres tiene el carácter de información pública.</w:t>
      </w:r>
    </w:p>
    <w:p w14:paraId="414A5399"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5B75E714" w14:textId="77777777" w:rsidR="006023E7"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Sin menoscabo de lo anterior, el Sujeto Obligado para el caso de la documentación que comprende el expediente de las personas seleccionadas, en </w:t>
      </w:r>
      <w:r w:rsidRPr="00BC07F2">
        <w:rPr>
          <w:rFonts w:ascii="Palatino Linotype" w:hAnsi="Palatino Linotype"/>
          <w:b/>
          <w:color w:val="000000" w:themeColor="text1"/>
        </w:rPr>
        <w:t>todos los casos deberá proteger los datos personales</w:t>
      </w:r>
      <w:r w:rsidRPr="00BC07F2">
        <w:rPr>
          <w:rFonts w:ascii="Palatino Linotype" w:hAnsi="Palatino Linotype"/>
          <w:color w:val="000000" w:themeColor="text1"/>
        </w:rPr>
        <w:t xml:space="preserve">, por lo que la entrega de documentación que contemple expedientes personales, deberá ser en versión pública.  </w:t>
      </w:r>
    </w:p>
    <w:p w14:paraId="552EC394" w14:textId="77777777" w:rsidR="006023E7" w:rsidRPr="00BC07F2" w:rsidRDefault="006023E7" w:rsidP="0094286C">
      <w:pPr>
        <w:pStyle w:val="Prrafodelista"/>
        <w:spacing w:line="360" w:lineRule="auto"/>
        <w:ind w:left="0"/>
        <w:jc w:val="both"/>
        <w:rPr>
          <w:rFonts w:ascii="Palatino Linotype" w:hAnsi="Palatino Linotype"/>
          <w:color w:val="000000" w:themeColor="text1"/>
        </w:rPr>
      </w:pPr>
    </w:p>
    <w:p w14:paraId="7E11F262" w14:textId="77777777" w:rsidR="003D7A79" w:rsidRPr="00BC07F2" w:rsidRDefault="006023E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Para lo cual, se deberá proporcionar el Acuerdo de Clasificación donde el Comité de Transparencia, confirme la eliminación de los datos confidenciales de acuerdo con los </w:t>
      </w:r>
      <w:r w:rsidRPr="00BC07F2">
        <w:rPr>
          <w:rFonts w:ascii="Palatino Linotype" w:hAnsi="Palatino Linotype"/>
          <w:color w:val="000000" w:themeColor="text1"/>
        </w:rPr>
        <w:lastRenderedPageBreak/>
        <w:t xml:space="preserve">artículos 49, fracciones II y VIII, 132, fracción II, 143, fracción I y 149 de la Ley de Transparencia y Acceso a la Información Pública del Estado de México y Municipios. </w:t>
      </w:r>
    </w:p>
    <w:p w14:paraId="5876F6DB" w14:textId="77777777" w:rsidR="00CB5F19" w:rsidRPr="00BC07F2" w:rsidRDefault="00CB5F19" w:rsidP="0094286C">
      <w:pPr>
        <w:pStyle w:val="Prrafodelista"/>
        <w:spacing w:line="360" w:lineRule="auto"/>
        <w:ind w:left="0"/>
        <w:jc w:val="both"/>
        <w:rPr>
          <w:rFonts w:ascii="Palatino Linotype" w:hAnsi="Palatino Linotype"/>
          <w:color w:val="000000" w:themeColor="text1"/>
        </w:rPr>
      </w:pPr>
    </w:p>
    <w:p w14:paraId="66E921E6" w14:textId="77777777" w:rsidR="00AD197D" w:rsidRPr="00BC07F2" w:rsidRDefault="00AD197D" w:rsidP="0094286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BC07F2">
        <w:rPr>
          <w:rFonts w:ascii="Palatino Linotype" w:eastAsia="Palatino Linotype" w:hAnsi="Palatino Linotype" w:cs="Palatino Linotype"/>
          <w:b/>
          <w:color w:val="000000" w:themeColor="text1"/>
        </w:rPr>
        <w:t>RECURRENTE</w:t>
      </w:r>
      <w:r w:rsidRPr="00BC07F2">
        <w:rPr>
          <w:rFonts w:ascii="Palatino Linotype" w:eastAsia="Palatino Linotype" w:hAnsi="Palatino Linotype" w:cs="Palatino Linotype"/>
          <w:color w:val="000000" w:themeColor="text1"/>
        </w:rPr>
        <w:t xml:space="preserve"> dentro del recurso de revisión </w:t>
      </w:r>
      <w:r w:rsidR="00CB5F19" w:rsidRPr="00BC07F2">
        <w:rPr>
          <w:rFonts w:ascii="Palatino Linotype" w:eastAsia="Palatino Linotype" w:hAnsi="Palatino Linotype" w:cs="Palatino Linotype"/>
          <w:b/>
          <w:color w:val="000000" w:themeColor="text1"/>
        </w:rPr>
        <w:t>01118</w:t>
      </w:r>
      <w:r w:rsidRPr="00BC07F2">
        <w:rPr>
          <w:rFonts w:ascii="Palatino Linotype" w:eastAsia="Palatino Linotype" w:hAnsi="Palatino Linotype" w:cs="Palatino Linotype"/>
          <w:b/>
          <w:color w:val="000000" w:themeColor="text1"/>
        </w:rPr>
        <w:t>/INFOEM/IP/RR/2025</w:t>
      </w:r>
      <w:r w:rsidRPr="00BC07F2">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BC07F2">
        <w:rPr>
          <w:rFonts w:ascii="Palatino Linotype" w:eastAsia="Palatino Linotype" w:hAnsi="Palatino Linotype" w:cs="Palatino Linotype"/>
          <w:b/>
          <w:color w:val="000000" w:themeColor="text1"/>
        </w:rPr>
        <w:t>REVOCA</w:t>
      </w:r>
      <w:r w:rsidRPr="00BC07F2">
        <w:rPr>
          <w:rFonts w:ascii="Palatino Linotype" w:eastAsia="Palatino Linotype" w:hAnsi="Palatino Linotype" w:cs="Palatino Linotype"/>
          <w:color w:val="000000" w:themeColor="text1"/>
        </w:rPr>
        <w:t xml:space="preserve"> la respuesta a la solicitud de información número </w:t>
      </w:r>
      <w:bookmarkStart w:id="9" w:name="_heading=h.2s8eyo1" w:colFirst="0" w:colLast="0"/>
      <w:bookmarkEnd w:id="9"/>
      <w:r w:rsidR="00BB221B" w:rsidRPr="00BC07F2">
        <w:rPr>
          <w:rFonts w:ascii="Palatino Linotype" w:eastAsia="Palatino Linotype" w:hAnsi="Palatino Linotype" w:cs="Palatino Linotype"/>
          <w:b/>
          <w:bCs/>
          <w:color w:val="000000" w:themeColor="text1"/>
        </w:rPr>
        <w:t>00396/TOLUCA/IP/2025</w:t>
      </w:r>
      <w:r w:rsidR="00CB5F19" w:rsidRPr="00BC07F2">
        <w:rPr>
          <w:rFonts w:ascii="Palatino Linotype" w:eastAsia="Palatino Linotype" w:hAnsi="Palatino Linotype" w:cs="Palatino Linotype"/>
          <w:color w:val="000000" w:themeColor="text1"/>
        </w:rPr>
        <w:t xml:space="preserve"> y se ORDENA la entrega, de ser procedente en versión pública, de:</w:t>
      </w:r>
    </w:p>
    <w:p w14:paraId="18C65571" w14:textId="77777777" w:rsidR="00AD197D" w:rsidRPr="00BC07F2" w:rsidRDefault="00AD197D" w:rsidP="0094286C">
      <w:pPr>
        <w:rPr>
          <w:rFonts w:ascii="Palatino Linotype" w:eastAsia="Palatino Linotype" w:hAnsi="Palatino Linotype" w:cs="Palatino Linotype"/>
          <w:color w:val="000000" w:themeColor="text1"/>
        </w:rPr>
      </w:pPr>
    </w:p>
    <w:p w14:paraId="0BC87E36" w14:textId="77777777" w:rsidR="00C13F3A" w:rsidRPr="00BC07F2" w:rsidRDefault="00C13F3A" w:rsidP="0094286C">
      <w:pPr>
        <w:pStyle w:val="Prrafodelista"/>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BC07F2">
        <w:rPr>
          <w:rFonts w:ascii="Palatino Linotype" w:hAnsi="Palatino Linotype"/>
          <w:b/>
          <w:color w:val="000000" w:themeColor="text1"/>
        </w:rPr>
        <w:t xml:space="preserve">Expediente, con carta de postulación, currículum y programa de los participantes que hayan resultado ganadores en la convocatoria para defensor municipal de derechos humanos, del periodo correspondiente del primero de enero de dos mil veinte al veinte de enero de dos mil veinticinco. </w:t>
      </w:r>
    </w:p>
    <w:p w14:paraId="259E8CE6" w14:textId="77777777" w:rsidR="00C13F3A" w:rsidRPr="00BC07F2" w:rsidRDefault="00C13F3A" w:rsidP="0094286C">
      <w:pPr>
        <w:pStyle w:val="Prrafodelista"/>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BC07F2">
        <w:rPr>
          <w:rFonts w:ascii="Palatino Linotype" w:eastAsia="Palatino Linotype" w:hAnsi="Palatino Linotype" w:cs="Palatino Linotype"/>
          <w:b/>
          <w:color w:val="000000" w:themeColor="text1"/>
        </w:rPr>
        <w:t xml:space="preserve">Acuerdo de clasificación </w:t>
      </w:r>
      <w:r w:rsidRPr="00BC07F2">
        <w:rPr>
          <w:rFonts w:ascii="Palatino Linotype" w:hAnsi="Palatino Linotype"/>
          <w:b/>
          <w:color w:val="000000" w:themeColor="text1"/>
        </w:rPr>
        <w:t>emitido por el Comité de Transparencia en donde se clasifiquen en su totalidad como información confidencial, de acuerdo con los artículos 49, fracciones II y VIII, 132, fracción II, 143 y 149 de la Ley de Transparencia y Acceso a la Información Pública del Estado de México y Municipios, los expedientes, currículum y programa de los participantes que no ganaron en las convocatorias para defensor municipal de derechos humanos, del periodo comprendido del primero de enero de dos mil veinte al veinte de enero de dos mil veinticinco.</w:t>
      </w:r>
    </w:p>
    <w:p w14:paraId="4E901EA2" w14:textId="77777777" w:rsidR="00C13F3A" w:rsidRDefault="00C13F3A" w:rsidP="0094286C">
      <w:pPr>
        <w:rPr>
          <w:rFonts w:ascii="Palatino Linotype" w:eastAsia="Palatino Linotype" w:hAnsi="Palatino Linotype" w:cs="Palatino Linotype"/>
          <w:color w:val="000000" w:themeColor="text1"/>
        </w:rPr>
      </w:pPr>
    </w:p>
    <w:p w14:paraId="712A66F7" w14:textId="77777777" w:rsidR="00706F35" w:rsidRDefault="00706F35" w:rsidP="0094286C">
      <w:pPr>
        <w:rPr>
          <w:rFonts w:ascii="Palatino Linotype" w:eastAsia="Palatino Linotype" w:hAnsi="Palatino Linotype" w:cs="Palatino Linotype"/>
          <w:color w:val="000000" w:themeColor="text1"/>
        </w:rPr>
      </w:pPr>
    </w:p>
    <w:p w14:paraId="02BCF4D4" w14:textId="77777777" w:rsidR="00706F35" w:rsidRDefault="00706F35" w:rsidP="0094286C">
      <w:pPr>
        <w:rPr>
          <w:rFonts w:ascii="Palatino Linotype" w:eastAsia="Palatino Linotype" w:hAnsi="Palatino Linotype" w:cs="Palatino Linotype"/>
          <w:color w:val="000000" w:themeColor="text1"/>
        </w:rPr>
      </w:pPr>
    </w:p>
    <w:p w14:paraId="79F84C54" w14:textId="77777777" w:rsidR="00706F35" w:rsidRPr="00BC07F2" w:rsidRDefault="00706F35" w:rsidP="0094286C">
      <w:pPr>
        <w:rPr>
          <w:rFonts w:ascii="Palatino Linotype" w:eastAsia="Palatino Linotype" w:hAnsi="Palatino Linotype" w:cs="Palatino Linotype"/>
          <w:color w:val="000000" w:themeColor="text1"/>
        </w:rPr>
      </w:pPr>
    </w:p>
    <w:p w14:paraId="09F406D8" w14:textId="77777777" w:rsidR="00AD197D" w:rsidRPr="00BC07F2" w:rsidRDefault="00AD197D" w:rsidP="0094286C">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9350464"/>
      <w:bookmarkStart w:id="11" w:name="_Toc94119619"/>
      <w:r w:rsidRPr="00BC07F2">
        <w:rPr>
          <w:rFonts w:ascii="Palatino Linotype" w:hAnsi="Palatino Linotype"/>
          <w:b/>
          <w:bCs/>
          <w:color w:val="000000" w:themeColor="text1"/>
        </w:rPr>
        <w:lastRenderedPageBreak/>
        <w:t>QUINTO. De la versión pública.</w:t>
      </w:r>
      <w:bookmarkEnd w:id="10"/>
      <w:bookmarkEnd w:id="11"/>
    </w:p>
    <w:p w14:paraId="1EFA4EA1" w14:textId="77777777" w:rsidR="00AD197D" w:rsidRPr="00BC07F2" w:rsidRDefault="00AD197D"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Debe destacarse que, debido a la naturaleza de la información solicitada</w:t>
      </w:r>
      <w:r w:rsidRPr="00BC07F2">
        <w:rPr>
          <w:rFonts w:ascii="Palatino Linotype" w:hAnsi="Palatino Linotype"/>
          <w:b/>
          <w:color w:val="000000" w:themeColor="text1"/>
        </w:rPr>
        <w:t xml:space="preserve"> </w:t>
      </w:r>
      <w:r w:rsidRPr="00BC07F2">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3A7458B" w14:textId="77777777" w:rsidR="00AD197D" w:rsidRPr="00BC07F2" w:rsidRDefault="00AD197D" w:rsidP="0094286C">
      <w:pPr>
        <w:pStyle w:val="Prrafodelista"/>
        <w:tabs>
          <w:tab w:val="left" w:pos="426"/>
        </w:tabs>
        <w:spacing w:line="360" w:lineRule="auto"/>
        <w:ind w:left="0"/>
        <w:jc w:val="both"/>
        <w:rPr>
          <w:rFonts w:ascii="Palatino Linotype" w:hAnsi="Palatino Linotype"/>
          <w:color w:val="000000" w:themeColor="text1"/>
        </w:rPr>
      </w:pPr>
    </w:p>
    <w:p w14:paraId="43238ACF" w14:textId="77777777" w:rsidR="00AD197D" w:rsidRPr="00BC07F2" w:rsidRDefault="00AD197D"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La </w:t>
      </w:r>
      <w:r w:rsidRPr="00BC07F2">
        <w:rPr>
          <w:rFonts w:ascii="Palatino Linotype" w:eastAsia="MS Mincho" w:hAnsi="Palatino Linotype"/>
          <w:color w:val="000000" w:themeColor="text1"/>
        </w:rPr>
        <w:t>clasificación total o parcial de la información requerida, mediante solicitud de acceso a la información pública, constituye una restricción al derecho humano de acceso a la información</w:t>
      </w:r>
      <w:r w:rsidRPr="00BC07F2">
        <w:rPr>
          <w:rFonts w:ascii="Palatino Linotype" w:hAnsi="Palatino Linotype" w:cs="Arial"/>
          <w:color w:val="000000" w:themeColor="text1"/>
        </w:rPr>
        <w:t>, por lo que es menester reiterar los mismos:</w:t>
      </w:r>
    </w:p>
    <w:p w14:paraId="45911292" w14:textId="77777777" w:rsidR="00AD197D" w:rsidRPr="00BC07F2" w:rsidRDefault="00AD197D" w:rsidP="0094286C">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411A25" w:rsidRPr="00BC07F2" w14:paraId="4AFDE65D" w14:textId="77777777" w:rsidTr="00AD1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82500A" w14:textId="77777777" w:rsidR="00AD197D" w:rsidRPr="00BC07F2" w:rsidRDefault="00AD197D" w:rsidP="0094286C">
            <w:pPr>
              <w:spacing w:line="360" w:lineRule="auto"/>
              <w:rPr>
                <w:rFonts w:ascii="Palatino Linotype" w:hAnsi="Palatino Linotype"/>
              </w:rPr>
            </w:pPr>
            <w:r w:rsidRPr="00BC07F2">
              <w:rPr>
                <w:rFonts w:ascii="Palatino Linotype" w:hAnsi="Palatino Linotype" w:cstheme="majorBidi"/>
                <w:b w:val="0"/>
              </w:rPr>
              <w:t>a) Requisitos previos.</w:t>
            </w:r>
          </w:p>
        </w:tc>
        <w:tc>
          <w:tcPr>
            <w:tcW w:w="6990" w:type="dxa"/>
          </w:tcPr>
          <w:p w14:paraId="47458A24" w14:textId="77777777" w:rsidR="00AD197D" w:rsidRPr="00BC07F2" w:rsidRDefault="00AD197D" w:rsidP="0094286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Los artículos 100 y 122 de la Ley Estatal y de la Ley General, respectivamente, señalan que si los </w:t>
            </w:r>
            <w:r w:rsidRPr="00BC07F2">
              <w:rPr>
                <w:rFonts w:ascii="Palatino Linotype" w:hAnsi="Palatino Linotype" w:cs="Arial"/>
                <w:b w:val="0"/>
              </w:rPr>
              <w:t>Sujetos Obligados</w:t>
            </w:r>
            <w:r w:rsidRPr="00BC07F2">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14:paraId="51D1603E" w14:textId="77777777" w:rsidR="00AD197D" w:rsidRPr="00BC07F2" w:rsidRDefault="00AD197D" w:rsidP="0094286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Al hacerlo tienen que precisar de qué información se trata, señalando el supuesto de clasificación (confidencialidad o reserva).</w:t>
            </w:r>
          </w:p>
          <w:p w14:paraId="68660A34" w14:textId="77777777" w:rsidR="00AD197D" w:rsidRPr="00BC07F2" w:rsidRDefault="00AD197D" w:rsidP="0094286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Además, se debe señalar el procedimiento, de los tres que establecen los artículos 132 y 106 de la Ley Estatal y General, respectivamente.</w:t>
            </w:r>
          </w:p>
          <w:p w14:paraId="2DA26B5F" w14:textId="77777777" w:rsidR="00AD197D" w:rsidRPr="00BC07F2" w:rsidRDefault="00AD197D" w:rsidP="0094286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C07F2">
              <w:rPr>
                <w:rFonts w:ascii="Palatino Linotype" w:hAnsi="Palatino Linotype" w:cs="Arial"/>
              </w:rPr>
              <w:lastRenderedPageBreak/>
              <w:t xml:space="preserve">El último de estos requisitos previos consiste en que no se pueden emitir acuerdos de carácter general ni particular, esto es, </w:t>
            </w:r>
            <w:r w:rsidRPr="00BC07F2">
              <w:rPr>
                <w:rFonts w:ascii="Palatino Linotype" w:hAnsi="Palatino Linotype" w:cs="Arial"/>
                <w:b w:val="0"/>
                <w:u w:val="single"/>
              </w:rPr>
              <w:t xml:space="preserve">no se puede hacer un acuerdo para clasificar de manera general todos los documentos de un expediente o área,  </w:t>
            </w:r>
            <w:r w:rsidRPr="00BC07F2">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411A25" w:rsidRPr="00BC07F2" w14:paraId="57EDEC09" w14:textId="77777777" w:rsidTr="00AD1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7B693C" w14:textId="77777777" w:rsidR="00AD197D" w:rsidRPr="00BC07F2" w:rsidRDefault="00AD197D" w:rsidP="0094286C">
            <w:pPr>
              <w:spacing w:line="360" w:lineRule="auto"/>
              <w:rPr>
                <w:rFonts w:ascii="Palatino Linotype" w:hAnsi="Palatino Linotype"/>
              </w:rPr>
            </w:pPr>
            <w:r w:rsidRPr="00BC07F2">
              <w:rPr>
                <w:rFonts w:ascii="Palatino Linotype" w:hAnsi="Palatino Linotype" w:cstheme="majorBidi"/>
                <w:b w:val="0"/>
              </w:rPr>
              <w:lastRenderedPageBreak/>
              <w:t>b) Supuestos de clasificación.</w:t>
            </w:r>
          </w:p>
        </w:tc>
        <w:tc>
          <w:tcPr>
            <w:tcW w:w="6990" w:type="dxa"/>
          </w:tcPr>
          <w:p w14:paraId="5E80E867"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Las disposiciones constitucionales y legales en la materia establecen los dos supuestos generales para clasificar la información: por reserva y por confidencialidad.</w:t>
            </w:r>
          </w:p>
          <w:p w14:paraId="1260ADCF"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1F89161" w14:textId="77777777" w:rsidR="00AD197D" w:rsidRPr="00BC07F2" w:rsidRDefault="00AD197D" w:rsidP="0094286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C07F2">
              <w:rPr>
                <w:rFonts w:ascii="Palatino Linotype" w:hAnsi="Palatino Linotype" w:cs="Arial"/>
              </w:rPr>
              <w:t xml:space="preserve">El </w:t>
            </w:r>
            <w:r w:rsidRPr="00BC07F2">
              <w:rPr>
                <w:rFonts w:ascii="Palatino Linotype" w:hAnsi="Palatino Linotype" w:cs="Arial"/>
                <w:b/>
              </w:rPr>
              <w:t>SUJETO OBLIGADO</w:t>
            </w:r>
            <w:r w:rsidRPr="00BC07F2">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w:t>
            </w:r>
            <w:r w:rsidRPr="00BC07F2">
              <w:rPr>
                <w:rFonts w:ascii="Palatino Linotype" w:hAnsi="Palatino Linotype" w:cs="Arial"/>
              </w:rPr>
              <w:lastRenderedPageBreak/>
              <w:t>servidor público habilitado y el titular del área que administra la información.</w:t>
            </w:r>
          </w:p>
        </w:tc>
      </w:tr>
      <w:tr w:rsidR="00411A25" w:rsidRPr="00BC07F2" w14:paraId="1203D187" w14:textId="77777777" w:rsidTr="00AD197D">
        <w:tc>
          <w:tcPr>
            <w:cnfStyle w:val="001000000000" w:firstRow="0" w:lastRow="0" w:firstColumn="1" w:lastColumn="0" w:oddVBand="0" w:evenVBand="0" w:oddHBand="0" w:evenHBand="0" w:firstRowFirstColumn="0" w:firstRowLastColumn="0" w:lastRowFirstColumn="0" w:lastRowLastColumn="0"/>
            <w:tcW w:w="1838" w:type="dxa"/>
          </w:tcPr>
          <w:p w14:paraId="5D84FF24" w14:textId="77777777" w:rsidR="00AD197D" w:rsidRPr="00BC07F2" w:rsidRDefault="00AD197D" w:rsidP="0094286C">
            <w:pPr>
              <w:spacing w:line="360" w:lineRule="auto"/>
              <w:rPr>
                <w:rFonts w:ascii="Palatino Linotype" w:hAnsi="Palatino Linotype"/>
              </w:rPr>
            </w:pPr>
            <w:r w:rsidRPr="00BC07F2">
              <w:rPr>
                <w:rFonts w:ascii="Palatino Linotype" w:hAnsi="Palatino Linotype" w:cstheme="majorBidi"/>
                <w:b w:val="0"/>
              </w:rPr>
              <w:lastRenderedPageBreak/>
              <w:t>c) Formalidades para emitir el acuerdo de clasificación.</w:t>
            </w:r>
          </w:p>
        </w:tc>
        <w:tc>
          <w:tcPr>
            <w:tcW w:w="6990" w:type="dxa"/>
          </w:tcPr>
          <w:p w14:paraId="523CFB2B" w14:textId="77777777" w:rsidR="00AD197D" w:rsidRPr="00BC07F2" w:rsidRDefault="00AD197D" w:rsidP="0094286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14:paraId="087C7A77" w14:textId="77777777" w:rsidR="00AD197D" w:rsidRPr="00BC07F2" w:rsidRDefault="00AD197D" w:rsidP="0094286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Es necesario que </w:t>
            </w:r>
            <w:r w:rsidRPr="00BC07F2">
              <w:rPr>
                <w:rFonts w:ascii="Palatino Linotype" w:hAnsi="Palatino Linotype" w:cs="Arial"/>
                <w:b/>
                <w:u w:val="single"/>
              </w:rPr>
              <w:t>el acto reúna con los requisitos elementales</w:t>
            </w:r>
            <w:r w:rsidRPr="00BC07F2">
              <w:rPr>
                <w:rFonts w:ascii="Palatino Linotype" w:hAnsi="Palatino Linotype" w:cs="Arial"/>
              </w:rPr>
              <w:t>, entre ellos, que la autoridad que va a emitir el acto de autoridad sea la legalmente facultada para ello.</w:t>
            </w:r>
          </w:p>
          <w:p w14:paraId="2A72D28A" w14:textId="77777777" w:rsidR="00AD197D" w:rsidRPr="00BC07F2" w:rsidRDefault="00AD197D" w:rsidP="0094286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C07F2">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11A25" w:rsidRPr="00BC07F2" w14:paraId="0FFF873D" w14:textId="77777777" w:rsidTr="00AD1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789CFE8" w14:textId="77777777" w:rsidR="00AD197D" w:rsidRPr="00BC07F2" w:rsidRDefault="00AD197D" w:rsidP="0094286C">
            <w:pPr>
              <w:spacing w:line="360" w:lineRule="auto"/>
              <w:rPr>
                <w:rFonts w:ascii="Palatino Linotype" w:hAnsi="Palatino Linotype"/>
                <w:b w:val="0"/>
              </w:rPr>
            </w:pPr>
          </w:p>
          <w:p w14:paraId="3CF9C309" w14:textId="77777777" w:rsidR="00AD197D" w:rsidRPr="00BC07F2" w:rsidRDefault="00AD197D" w:rsidP="0094286C">
            <w:pPr>
              <w:spacing w:line="360" w:lineRule="auto"/>
              <w:jc w:val="both"/>
              <w:rPr>
                <w:rFonts w:ascii="Palatino Linotype" w:hAnsi="Palatino Linotype"/>
                <w:b w:val="0"/>
              </w:rPr>
            </w:pPr>
            <w:r w:rsidRPr="00BC07F2">
              <w:rPr>
                <w:rFonts w:ascii="Palatino Linotype" w:hAnsi="Palatino Linotype" w:cs="Arial"/>
                <w:b w:val="0"/>
              </w:rPr>
              <w:t xml:space="preserve">d) Requisitos de fondo del acuerdo de clasificación. </w:t>
            </w:r>
          </w:p>
        </w:tc>
        <w:tc>
          <w:tcPr>
            <w:tcW w:w="6990" w:type="dxa"/>
          </w:tcPr>
          <w:p w14:paraId="54BBFC3F"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C07F2">
              <w:rPr>
                <w:rFonts w:ascii="Palatino Linotype" w:hAnsi="Palatino Linotype" w:cs="Arial"/>
                <w:b/>
              </w:rPr>
              <w:lastRenderedPageBreak/>
              <w:t>Sujetos Obligados</w:t>
            </w:r>
            <w:r w:rsidRPr="00BC07F2">
              <w:rPr>
                <w:rFonts w:ascii="Palatino Linotype" w:hAnsi="Palatino Linotype" w:cs="Arial"/>
              </w:rPr>
              <w:t xml:space="preserve">, por lo que deberán fundar y motivar debidamente la clasificación. </w:t>
            </w:r>
          </w:p>
          <w:p w14:paraId="4AC8DDC5"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De lo anterior, se desprende que para una correcta </w:t>
            </w:r>
            <w:r w:rsidRPr="00BC07F2">
              <w:rPr>
                <w:rFonts w:ascii="Palatino Linotype" w:hAnsi="Palatino Linotype" w:cs="Arial"/>
                <w:b/>
              </w:rPr>
              <w:t>clasificación total o parcial</w:t>
            </w:r>
            <w:r w:rsidRPr="00BC07F2">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F0A317"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8AD58A3"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1D2E304C" w14:textId="77777777" w:rsidR="00AD197D" w:rsidRPr="00BC07F2" w:rsidRDefault="00AD197D" w:rsidP="0094286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Ahora bien, </w:t>
            </w:r>
            <w:r w:rsidRPr="00BC07F2">
              <w:rPr>
                <w:rFonts w:ascii="Palatino Linotype" w:hAnsi="Palatino Linotype" w:cs="Arial"/>
                <w:b/>
                <w:u w:val="single"/>
              </w:rPr>
              <w:t>para cada caso además de fundar y motivar</w:t>
            </w:r>
            <w:r w:rsidRPr="00BC07F2">
              <w:rPr>
                <w:rFonts w:ascii="Palatino Linotype" w:hAnsi="Palatino Linotype" w:cs="Arial"/>
              </w:rPr>
              <w:t xml:space="preserve">, se debe identificar con claridad que datos contenidos en las documentales que son susceptibles de suprimirse, por ejemplo; </w:t>
            </w:r>
            <w:r w:rsidRPr="00BC07F2">
              <w:rPr>
                <w:rFonts w:ascii="Palatino Linotype" w:hAnsi="Palatino Linotype" w:cs="Arial"/>
                <w:lang w:val="es-ES"/>
              </w:rPr>
              <w:t xml:space="preserve">Clave Única de Registro de Población (CURP), Registro Federal </w:t>
            </w:r>
            <w:r w:rsidRPr="00BC07F2">
              <w:rPr>
                <w:rFonts w:ascii="Palatino Linotype" w:hAnsi="Palatino Linotype" w:cs="Arial"/>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411A25" w:rsidRPr="00BC07F2" w14:paraId="062099B5" w14:textId="77777777" w:rsidTr="00AD197D">
        <w:tc>
          <w:tcPr>
            <w:cnfStyle w:val="001000000000" w:firstRow="0" w:lastRow="0" w:firstColumn="1" w:lastColumn="0" w:oddVBand="0" w:evenVBand="0" w:oddHBand="0" w:evenHBand="0" w:firstRowFirstColumn="0" w:firstRowLastColumn="0" w:lastRowFirstColumn="0" w:lastRowLastColumn="0"/>
            <w:tcW w:w="1838" w:type="dxa"/>
          </w:tcPr>
          <w:p w14:paraId="58F3E867" w14:textId="77777777" w:rsidR="00AD197D" w:rsidRPr="00BC07F2" w:rsidRDefault="00AD197D" w:rsidP="0094286C">
            <w:pPr>
              <w:spacing w:line="360" w:lineRule="auto"/>
              <w:jc w:val="both"/>
              <w:rPr>
                <w:rFonts w:ascii="Palatino Linotype" w:hAnsi="Palatino Linotype" w:cs="Arial"/>
              </w:rPr>
            </w:pPr>
            <w:r w:rsidRPr="00BC07F2">
              <w:rPr>
                <w:rFonts w:ascii="Palatino Linotype" w:eastAsia="MS Gothic" w:hAnsi="Palatino Linotype"/>
                <w:b w:val="0"/>
              </w:rPr>
              <w:lastRenderedPageBreak/>
              <w:t xml:space="preserve">e) Condiciones especiales de la clasificación de la información como confidencial. </w:t>
            </w:r>
          </w:p>
          <w:p w14:paraId="2027AEEE" w14:textId="77777777" w:rsidR="00AD197D" w:rsidRPr="00BC07F2" w:rsidRDefault="00AD197D" w:rsidP="0094286C">
            <w:pPr>
              <w:spacing w:line="360" w:lineRule="auto"/>
              <w:rPr>
                <w:rFonts w:ascii="Palatino Linotype" w:hAnsi="Palatino Linotype"/>
              </w:rPr>
            </w:pPr>
          </w:p>
        </w:tc>
        <w:tc>
          <w:tcPr>
            <w:tcW w:w="6990" w:type="dxa"/>
          </w:tcPr>
          <w:p w14:paraId="2D6EAF70" w14:textId="77777777" w:rsidR="00AD197D" w:rsidRPr="00BC07F2" w:rsidRDefault="00AD197D" w:rsidP="0094286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14:paraId="0A4D2066" w14:textId="77777777" w:rsidR="00AD197D" w:rsidRPr="00BC07F2" w:rsidRDefault="00AD197D" w:rsidP="0094286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BC07F2">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E0B22F" w14:textId="77777777" w:rsidR="00AD197D" w:rsidRPr="00BC07F2" w:rsidRDefault="00AD197D" w:rsidP="0094286C">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C07F2">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BB5660F"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691914DB" w14:textId="77777777" w:rsidR="00965B07" w:rsidRPr="00BC07F2" w:rsidRDefault="00965B07" w:rsidP="0094286C">
      <w:pPr>
        <w:spacing w:line="360" w:lineRule="auto"/>
        <w:rPr>
          <w:rFonts w:ascii="Palatino Linotype" w:hAnsi="Palatino Linotype"/>
          <w:b/>
          <w:color w:val="000000" w:themeColor="text1"/>
        </w:rPr>
      </w:pPr>
      <w:r w:rsidRPr="00BC07F2">
        <w:rPr>
          <w:rFonts w:ascii="Palatino Linotype" w:hAnsi="Palatino Linotype"/>
          <w:b/>
          <w:color w:val="000000" w:themeColor="text1"/>
        </w:rPr>
        <w:t>Documentos clasificados en su totalidad</w:t>
      </w:r>
    </w:p>
    <w:p w14:paraId="0241F35F" w14:textId="77777777" w:rsidR="00965B07" w:rsidRPr="00BC07F2" w:rsidRDefault="00965B07" w:rsidP="0094286C">
      <w:pPr>
        <w:spacing w:line="360" w:lineRule="auto"/>
        <w:rPr>
          <w:rFonts w:ascii="Palatino Linotype" w:hAnsi="Palatino Linotype"/>
          <w:b/>
          <w:color w:val="000000" w:themeColor="text1"/>
        </w:rPr>
      </w:pPr>
    </w:p>
    <w:p w14:paraId="372246E0" w14:textId="77777777" w:rsidR="00965B07" w:rsidRPr="00BC07F2" w:rsidRDefault="00965B07" w:rsidP="0094286C">
      <w:pPr>
        <w:numPr>
          <w:ilvl w:val="0"/>
          <w:numId w:val="8"/>
        </w:numPr>
        <w:pBdr>
          <w:top w:val="nil"/>
          <w:left w:val="nil"/>
          <w:bottom w:val="nil"/>
          <w:right w:val="nil"/>
          <w:between w:val="nil"/>
        </w:pBdr>
        <w:spacing w:line="360" w:lineRule="auto"/>
        <w:ind w:left="0"/>
        <w:jc w:val="both"/>
        <w:rPr>
          <w:rFonts w:ascii="Palatino Linotype" w:hAnsi="Palatino Linotype"/>
          <w:b/>
          <w:color w:val="000000" w:themeColor="text1"/>
        </w:rPr>
      </w:pPr>
      <w:r w:rsidRPr="00BC07F2">
        <w:rPr>
          <w:rFonts w:ascii="Palatino Linotype" w:hAnsi="Palatino Linotype"/>
          <w:b/>
          <w:color w:val="000000" w:themeColor="text1"/>
        </w:rPr>
        <w:t>Credencial para Votar</w:t>
      </w:r>
    </w:p>
    <w:p w14:paraId="2C5D4A58"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Sobre este documento, se debe señalar que la responsabilidad de formar el Padrón Electoral y expedir la credencial de elector, corresponde a la Dirección Ejecutiva del Registro Federal de Electores del Instituto Nacional Electoral, de conformidad con lo </w:t>
      </w:r>
      <w:r w:rsidRPr="00BC07F2">
        <w:rPr>
          <w:rFonts w:ascii="Palatino Linotype" w:hAnsi="Palatino Linotype"/>
          <w:color w:val="000000" w:themeColor="text1"/>
        </w:rPr>
        <w:lastRenderedPageBreak/>
        <w:t>establecido en el artículo 54, apartado 1, incisos b) y c) de la Ley General de Instituciones y Procedimientos Electorales.</w:t>
      </w:r>
    </w:p>
    <w:p w14:paraId="11F9D9D4"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392654E9"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De manera particular el artículo 156, de la Ley General de Instituciones y Procedimientos Electorales dispone que la credencial para votar deberá contener, cuando menos, los siguientes datos:</w:t>
      </w:r>
    </w:p>
    <w:p w14:paraId="685A5DFA"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a) </w:t>
      </w:r>
      <w:r w:rsidRPr="00BC07F2">
        <w:rPr>
          <w:rFonts w:ascii="Palatino Linotype" w:hAnsi="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DD43322"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b) </w:t>
      </w:r>
      <w:r w:rsidRPr="00BC07F2">
        <w:rPr>
          <w:rFonts w:ascii="Palatino Linotype" w:hAnsi="Palatino Linotype"/>
          <w:i/>
          <w:color w:val="000000" w:themeColor="text1"/>
        </w:rPr>
        <w:t xml:space="preserve">Sección electoral en donde deberá votar el ciudadano. En el caso de los ciudadanos residentes en el extranjero no será necesario incluir este requisito; </w:t>
      </w:r>
    </w:p>
    <w:p w14:paraId="00BA8E1A"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c) </w:t>
      </w:r>
      <w:r w:rsidRPr="00BC07F2">
        <w:rPr>
          <w:rFonts w:ascii="Palatino Linotype" w:hAnsi="Palatino Linotype"/>
          <w:i/>
          <w:color w:val="000000" w:themeColor="text1"/>
        </w:rPr>
        <w:t xml:space="preserve">Apellido paterno, apellido materno y nombre completo; </w:t>
      </w:r>
    </w:p>
    <w:p w14:paraId="0FEA1A8B"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d) </w:t>
      </w:r>
      <w:r w:rsidRPr="00BC07F2">
        <w:rPr>
          <w:rFonts w:ascii="Palatino Linotype" w:hAnsi="Palatino Linotype"/>
          <w:i/>
          <w:color w:val="000000" w:themeColor="text1"/>
        </w:rPr>
        <w:t xml:space="preserve">Domicilio; </w:t>
      </w:r>
    </w:p>
    <w:p w14:paraId="23090896"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e) </w:t>
      </w:r>
      <w:r w:rsidRPr="00BC07F2">
        <w:rPr>
          <w:rFonts w:ascii="Palatino Linotype" w:hAnsi="Palatino Linotype"/>
          <w:i/>
          <w:color w:val="000000" w:themeColor="text1"/>
        </w:rPr>
        <w:t xml:space="preserve">Sexo; </w:t>
      </w:r>
    </w:p>
    <w:p w14:paraId="2C9B296A"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f) </w:t>
      </w:r>
      <w:r w:rsidRPr="00BC07F2">
        <w:rPr>
          <w:rFonts w:ascii="Palatino Linotype" w:hAnsi="Palatino Linotype"/>
          <w:i/>
          <w:color w:val="000000" w:themeColor="text1"/>
        </w:rPr>
        <w:t>Edad y año de registro;</w:t>
      </w:r>
    </w:p>
    <w:p w14:paraId="57908B34"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g) </w:t>
      </w:r>
      <w:r w:rsidRPr="00BC07F2">
        <w:rPr>
          <w:rFonts w:ascii="Palatino Linotype" w:hAnsi="Palatino Linotype"/>
          <w:i/>
          <w:color w:val="000000" w:themeColor="text1"/>
        </w:rPr>
        <w:t xml:space="preserve">Firma, huella digital y fotografía del elector; </w:t>
      </w:r>
    </w:p>
    <w:p w14:paraId="5F393B38"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h) </w:t>
      </w:r>
      <w:r w:rsidRPr="00BC07F2">
        <w:rPr>
          <w:rFonts w:ascii="Palatino Linotype" w:hAnsi="Palatino Linotype"/>
          <w:i/>
          <w:color w:val="000000" w:themeColor="text1"/>
        </w:rPr>
        <w:t xml:space="preserve">Clave de registro, y </w:t>
      </w:r>
    </w:p>
    <w:p w14:paraId="31A1B61A"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i) </w:t>
      </w:r>
      <w:r w:rsidRPr="00BC07F2">
        <w:rPr>
          <w:rFonts w:ascii="Palatino Linotype" w:hAnsi="Palatino Linotype"/>
          <w:i/>
          <w:color w:val="000000" w:themeColor="text1"/>
        </w:rPr>
        <w:t xml:space="preserve">Clave Única del Registro de Población. </w:t>
      </w:r>
    </w:p>
    <w:p w14:paraId="23D3C65C" w14:textId="77777777" w:rsidR="00965B07" w:rsidRPr="00BC07F2" w:rsidRDefault="00965B07" w:rsidP="0094286C">
      <w:pPr>
        <w:spacing w:line="360" w:lineRule="auto"/>
        <w:rPr>
          <w:rFonts w:ascii="Palatino Linotype" w:hAnsi="Palatino Linotype"/>
          <w:b/>
          <w:i/>
          <w:color w:val="000000" w:themeColor="text1"/>
        </w:rPr>
      </w:pPr>
    </w:p>
    <w:p w14:paraId="0E6D72C5"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2. </w:t>
      </w:r>
      <w:r w:rsidRPr="00BC07F2">
        <w:rPr>
          <w:rFonts w:ascii="Palatino Linotype" w:hAnsi="Palatino Linotype"/>
          <w:i/>
          <w:color w:val="000000" w:themeColor="text1"/>
        </w:rPr>
        <w:t xml:space="preserve">Además tendrá: </w:t>
      </w:r>
    </w:p>
    <w:p w14:paraId="17D89DA6"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a) </w:t>
      </w:r>
      <w:r w:rsidRPr="00BC07F2">
        <w:rPr>
          <w:rFonts w:ascii="Palatino Linotype" w:hAnsi="Palatino Linotype"/>
          <w:i/>
          <w:color w:val="000000" w:themeColor="text1"/>
        </w:rPr>
        <w:t xml:space="preserve">Espacios necesarios para marcar año y elección de que se trate; </w:t>
      </w:r>
    </w:p>
    <w:p w14:paraId="6C24B7FA"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b) </w:t>
      </w:r>
      <w:r w:rsidRPr="00BC07F2">
        <w:rPr>
          <w:rFonts w:ascii="Palatino Linotype" w:hAnsi="Palatino Linotype"/>
          <w:i/>
          <w:color w:val="000000" w:themeColor="text1"/>
        </w:rPr>
        <w:t xml:space="preserve">Firma impresa del Secretario Ejecutivo del Instituto; </w:t>
      </w:r>
    </w:p>
    <w:p w14:paraId="57B2E762"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c) </w:t>
      </w:r>
      <w:r w:rsidRPr="00BC07F2">
        <w:rPr>
          <w:rFonts w:ascii="Palatino Linotype" w:hAnsi="Palatino Linotype"/>
          <w:i/>
          <w:color w:val="000000" w:themeColor="text1"/>
        </w:rPr>
        <w:t xml:space="preserve">Año de emisión; </w:t>
      </w:r>
    </w:p>
    <w:p w14:paraId="0563744B"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lastRenderedPageBreak/>
        <w:t xml:space="preserve">d) </w:t>
      </w:r>
      <w:r w:rsidRPr="00BC07F2">
        <w:rPr>
          <w:rFonts w:ascii="Palatino Linotype" w:hAnsi="Palatino Linotype"/>
          <w:i/>
          <w:color w:val="000000" w:themeColor="text1"/>
        </w:rPr>
        <w:t xml:space="preserve">Año en el que expira su vigencia, y </w:t>
      </w:r>
    </w:p>
    <w:p w14:paraId="537124FB" w14:textId="77777777" w:rsidR="00965B07" w:rsidRPr="00BC07F2" w:rsidRDefault="00965B07" w:rsidP="0094286C">
      <w:pPr>
        <w:spacing w:line="360" w:lineRule="auto"/>
        <w:rPr>
          <w:rFonts w:ascii="Palatino Linotype" w:hAnsi="Palatino Linotype"/>
          <w:i/>
          <w:color w:val="000000" w:themeColor="text1"/>
        </w:rPr>
      </w:pPr>
      <w:r w:rsidRPr="00BC07F2">
        <w:rPr>
          <w:rFonts w:ascii="Palatino Linotype" w:hAnsi="Palatino Linotype"/>
          <w:b/>
          <w:i/>
          <w:color w:val="000000" w:themeColor="text1"/>
        </w:rPr>
        <w:t xml:space="preserve">e) </w:t>
      </w:r>
      <w:r w:rsidRPr="00BC07F2">
        <w:rPr>
          <w:rFonts w:ascii="Palatino Linotype" w:hAnsi="Palatino Linotype"/>
          <w:i/>
          <w:color w:val="000000" w:themeColor="text1"/>
        </w:rPr>
        <w:t>En el caso de la que se expida al ciudadano residente en el extranjero, la leyenda “Para Votar desde el Extranjero”.</w:t>
      </w:r>
    </w:p>
    <w:p w14:paraId="36A492D1" w14:textId="77777777" w:rsidR="00965B07" w:rsidRPr="00BC07F2" w:rsidRDefault="00965B07" w:rsidP="0094286C">
      <w:pPr>
        <w:spacing w:line="360" w:lineRule="auto"/>
        <w:rPr>
          <w:rFonts w:ascii="Palatino Linotype" w:hAnsi="Palatino Linotype"/>
          <w:color w:val="000000" w:themeColor="text1"/>
        </w:rPr>
      </w:pPr>
    </w:p>
    <w:p w14:paraId="62A12966"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5BBE2736"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28F337CF"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w:t>
      </w:r>
      <w:r w:rsidR="002F2F46" w:rsidRPr="00BC07F2">
        <w:rPr>
          <w:rFonts w:ascii="Palatino Linotype" w:hAnsi="Palatino Linotype"/>
          <w:color w:val="000000" w:themeColor="text1"/>
        </w:rPr>
        <w:t>digo Civil del Estado de México.</w:t>
      </w:r>
    </w:p>
    <w:p w14:paraId="15B0B6FA" w14:textId="77777777" w:rsidR="002F2F46" w:rsidRPr="00BC07F2" w:rsidRDefault="002F2F46" w:rsidP="0094286C">
      <w:pPr>
        <w:spacing w:line="360" w:lineRule="auto"/>
        <w:jc w:val="both"/>
        <w:rPr>
          <w:rFonts w:ascii="Palatino Linotype" w:hAnsi="Palatino Linotype"/>
          <w:color w:val="000000" w:themeColor="text1"/>
        </w:rPr>
      </w:pPr>
    </w:p>
    <w:p w14:paraId="37683FD4"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w:t>
      </w:r>
      <w:r w:rsidRPr="00BC07F2">
        <w:rPr>
          <w:rFonts w:ascii="Palatino Linotype" w:hAnsi="Palatino Linotype"/>
          <w:color w:val="000000" w:themeColor="text1"/>
        </w:rPr>
        <w:lastRenderedPageBreak/>
        <w:t>actualiza la causal de clasificación, establecida en el artículo 143, fracción I, de la Ley de Transparencia y Acceso a la Información Pública del Estado de México y Municipios.</w:t>
      </w:r>
    </w:p>
    <w:p w14:paraId="35658BE5" w14:textId="77777777" w:rsidR="00965B07" w:rsidRPr="00BC07F2" w:rsidRDefault="00965B07" w:rsidP="0094286C">
      <w:pPr>
        <w:spacing w:line="360" w:lineRule="auto"/>
        <w:jc w:val="both"/>
        <w:rPr>
          <w:rFonts w:ascii="Palatino Linotype" w:hAnsi="Palatino Linotype"/>
          <w:b/>
          <w:color w:val="000000" w:themeColor="text1"/>
        </w:rPr>
      </w:pPr>
    </w:p>
    <w:p w14:paraId="13B4AEE7" w14:textId="77777777" w:rsidR="00965B07" w:rsidRPr="00BC07F2" w:rsidRDefault="00965B07" w:rsidP="0094286C">
      <w:pPr>
        <w:numPr>
          <w:ilvl w:val="0"/>
          <w:numId w:val="8"/>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Acta de Nacimiento</w:t>
      </w:r>
    </w:p>
    <w:p w14:paraId="340ED80D" w14:textId="7547D8B9"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Las actas emitidas por el Registro Civil dan cuenta de un atributo de la personalidad, tal como lo establece el artículo 2.3 del Código Civil del Estado de México. En ese orden de</w:t>
      </w:r>
      <w:r w:rsidR="00706F35">
        <w:rPr>
          <w:rFonts w:ascii="Palatino Linotype" w:hAnsi="Palatino Linotype"/>
          <w:color w:val="000000" w:themeColor="text1"/>
        </w:rPr>
        <w:t xml:space="preserve"> ideas, el artículo 3.5 del </w:t>
      </w:r>
      <w:r w:rsidRPr="00BC07F2">
        <w:rPr>
          <w:rFonts w:ascii="Palatino Linotype" w:hAnsi="Palatino Linotype"/>
          <w:color w:val="000000" w:themeColor="text1"/>
        </w:rPr>
        <w:t xml:space="preserve">citado Código Civil establece que el estado civil de las personas sólo se comprueba con las constancias relativas del Registro Civil, tal como lo es el Acta de Nacimiento. </w:t>
      </w:r>
    </w:p>
    <w:p w14:paraId="38832AF0"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1B130637"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590AED11"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Folio de Impresión.</w:t>
      </w:r>
    </w:p>
    <w:p w14:paraId="13358011"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Denominación del Documento.</w:t>
      </w:r>
    </w:p>
    <w:p w14:paraId="067ECC51"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Identificador Electrónico. </w:t>
      </w:r>
    </w:p>
    <w:p w14:paraId="4971057C"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Elementos del Registro. </w:t>
      </w:r>
    </w:p>
    <w:p w14:paraId="0FEC3985"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Datos de la Persona Registrada. </w:t>
      </w:r>
    </w:p>
    <w:p w14:paraId="74676420"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Datos de Filiación de la Persona Registrada. </w:t>
      </w:r>
    </w:p>
    <w:p w14:paraId="3D792466"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Anotaciones Marginales. </w:t>
      </w:r>
    </w:p>
    <w:p w14:paraId="6B7631CC"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Certificación. </w:t>
      </w:r>
    </w:p>
    <w:p w14:paraId="306149A9"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Código Bidimensional QR que contiene información encriptada del acta. </w:t>
      </w:r>
    </w:p>
    <w:p w14:paraId="1F539743"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Leyenda “Soy México” </w:t>
      </w:r>
    </w:p>
    <w:p w14:paraId="64DEA806"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Firma Electrónica Avanzada. </w:t>
      </w:r>
    </w:p>
    <w:p w14:paraId="4CE0E158"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lastRenderedPageBreak/>
        <w:t xml:space="preserve">Firma y datos de la autoridad emisora. </w:t>
      </w:r>
    </w:p>
    <w:p w14:paraId="6A31CDC6"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Código QR. </w:t>
      </w:r>
    </w:p>
    <w:p w14:paraId="13B018D9"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Código de Verificación.</w:t>
      </w:r>
    </w:p>
    <w:p w14:paraId="65B5F03B" w14:textId="77777777" w:rsidR="00965B07" w:rsidRPr="00BC07F2" w:rsidRDefault="00965B07" w:rsidP="0094286C">
      <w:pPr>
        <w:numPr>
          <w:ilvl w:val="0"/>
          <w:numId w:val="9"/>
        </w:numPr>
        <w:pBdr>
          <w:top w:val="nil"/>
          <w:left w:val="nil"/>
          <w:bottom w:val="nil"/>
          <w:right w:val="nil"/>
          <w:between w:val="nil"/>
        </w:pBdr>
        <w:spacing w:line="360" w:lineRule="auto"/>
        <w:ind w:left="0"/>
        <w:jc w:val="both"/>
        <w:rPr>
          <w:rFonts w:ascii="Palatino Linotype" w:hAnsi="Palatino Linotype"/>
          <w:color w:val="000000" w:themeColor="text1"/>
        </w:rPr>
      </w:pPr>
      <w:r w:rsidRPr="00BC07F2">
        <w:rPr>
          <w:rFonts w:ascii="Palatino Linotype" w:hAnsi="Palatino Linotype"/>
          <w:color w:val="000000" w:themeColor="text1"/>
        </w:rPr>
        <w:t xml:space="preserve">Leyenda de instrucciones para la verificación del documento. </w:t>
      </w:r>
    </w:p>
    <w:p w14:paraId="0FCDF881" w14:textId="77777777" w:rsidR="00965B07" w:rsidRPr="00BC07F2" w:rsidRDefault="00965B07" w:rsidP="0094286C">
      <w:pPr>
        <w:spacing w:line="360" w:lineRule="auto"/>
        <w:rPr>
          <w:rFonts w:ascii="Palatino Linotype" w:hAnsi="Palatino Linotype"/>
          <w:color w:val="000000" w:themeColor="text1"/>
        </w:rPr>
      </w:pPr>
    </w:p>
    <w:p w14:paraId="6BC32402"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384954F1"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704C70E6"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3F940F1B" w14:textId="77777777" w:rsidR="002F2F46" w:rsidRPr="00BC07F2" w:rsidRDefault="002F2F46" w:rsidP="0094286C">
      <w:pPr>
        <w:spacing w:line="360" w:lineRule="auto"/>
        <w:jc w:val="both"/>
        <w:rPr>
          <w:rFonts w:ascii="Palatino Linotype" w:hAnsi="Palatino Linotype"/>
          <w:color w:val="000000" w:themeColor="text1"/>
        </w:rPr>
      </w:pPr>
    </w:p>
    <w:p w14:paraId="2E1459D9"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F815376" w14:textId="77777777" w:rsidR="00965B07" w:rsidRPr="00BC07F2" w:rsidRDefault="00965B07" w:rsidP="0094286C">
      <w:pPr>
        <w:numPr>
          <w:ilvl w:val="0"/>
          <w:numId w:val="10"/>
        </w:numPr>
        <w:tabs>
          <w:tab w:val="left" w:pos="0"/>
        </w:tabs>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lastRenderedPageBreak/>
        <w:t>Constancia y Clave Única de Registro de Población.</w:t>
      </w:r>
    </w:p>
    <w:p w14:paraId="5068EE20"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4841D2F"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3B6092EE"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F17BCC" w14:textId="77777777" w:rsidR="002F2F46" w:rsidRPr="00BC07F2" w:rsidRDefault="002F2F46" w:rsidP="0094286C">
      <w:pPr>
        <w:pStyle w:val="Prrafodelista"/>
        <w:ind w:left="0"/>
        <w:jc w:val="both"/>
        <w:rPr>
          <w:rFonts w:ascii="Palatino Linotype" w:hAnsi="Palatino Linotype"/>
          <w:color w:val="000000" w:themeColor="text1"/>
        </w:rPr>
      </w:pPr>
    </w:p>
    <w:p w14:paraId="0526F198"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ese orden de ideas, la Secretaría de Gobernación en las direcciones </w:t>
      </w:r>
      <w:hyperlink r:id="rId9">
        <w:r w:rsidRPr="00BC07F2">
          <w:rPr>
            <w:rFonts w:ascii="Palatino Linotype" w:hAnsi="Palatino Linotype"/>
            <w:color w:val="000000" w:themeColor="text1"/>
            <w:u w:val="single"/>
          </w:rPr>
          <w:t>https://consultas.curp.gob.mx/CurpSP/html/informacionecurpPS.html</w:t>
        </w:r>
      </w:hyperlink>
      <w:r w:rsidRPr="00BC07F2">
        <w:rPr>
          <w:rFonts w:ascii="Palatino Linotype" w:hAnsi="Palatino Linotype"/>
          <w:color w:val="000000" w:themeColor="text1"/>
        </w:rPr>
        <w:t xml:space="preserve"> y </w:t>
      </w:r>
      <w:hyperlink r:id="rId10">
        <w:r w:rsidRPr="00BC07F2">
          <w:rPr>
            <w:rFonts w:ascii="Palatino Linotype" w:hAnsi="Palatino Linotype"/>
            <w:color w:val="000000" w:themeColor="text1"/>
            <w:u w:val="single"/>
          </w:rPr>
          <w:t>https://www.gob.mx/segob/renapo/acciones-y-programas/clave-unica-de-registro-de-poblacion-curp-142226</w:t>
        </w:r>
      </w:hyperlink>
      <w:r w:rsidRPr="00BC07F2">
        <w:rPr>
          <w:rFonts w:ascii="Palatino Linotype" w:hAnsi="Palatino Linotype"/>
          <w:color w:val="000000" w:themeColor="text1"/>
          <w:u w:val="single"/>
        </w:rPr>
        <w:t xml:space="preserve"> </w:t>
      </w:r>
      <w:r w:rsidRPr="00BC07F2">
        <w:rPr>
          <w:rFonts w:ascii="Palatino Linotype" w:hAnsi="Palatino Linotype"/>
          <w:color w:val="000000" w:themeColor="text1"/>
        </w:rPr>
        <w:t>(consultadas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2E6E003" w14:textId="77777777" w:rsidR="00965B07" w:rsidRPr="00BC07F2" w:rsidRDefault="00965B07" w:rsidP="0094286C">
      <w:pPr>
        <w:numPr>
          <w:ilvl w:val="0"/>
          <w:numId w:val="6"/>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El primero y segundo apellidos, así como al nombre de pila;</w:t>
      </w:r>
    </w:p>
    <w:p w14:paraId="7E2CC6B3" w14:textId="77777777" w:rsidR="00965B07" w:rsidRPr="00BC07F2" w:rsidRDefault="00965B07" w:rsidP="0094286C">
      <w:pPr>
        <w:numPr>
          <w:ilvl w:val="0"/>
          <w:numId w:val="6"/>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La fecha de nacimiento;</w:t>
      </w:r>
    </w:p>
    <w:p w14:paraId="16CFCBA6" w14:textId="77777777" w:rsidR="00965B07" w:rsidRPr="00BC07F2" w:rsidRDefault="00965B07" w:rsidP="0094286C">
      <w:pPr>
        <w:numPr>
          <w:ilvl w:val="0"/>
          <w:numId w:val="6"/>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lastRenderedPageBreak/>
        <w:t>El sexo, y</w:t>
      </w:r>
    </w:p>
    <w:p w14:paraId="3CC45448" w14:textId="77777777" w:rsidR="00965B07" w:rsidRPr="00BC07F2" w:rsidRDefault="00965B07" w:rsidP="0094286C">
      <w:pPr>
        <w:numPr>
          <w:ilvl w:val="0"/>
          <w:numId w:val="6"/>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La entidad federativa de nacimiento.</w:t>
      </w:r>
    </w:p>
    <w:p w14:paraId="52E211BE" w14:textId="77777777" w:rsidR="00965B07" w:rsidRPr="00BC07F2" w:rsidRDefault="00965B07" w:rsidP="0094286C">
      <w:pPr>
        <w:spacing w:line="360" w:lineRule="auto"/>
        <w:jc w:val="both"/>
        <w:rPr>
          <w:rFonts w:ascii="Palatino Linotype" w:hAnsi="Palatino Linotype"/>
          <w:color w:val="000000" w:themeColor="text1"/>
        </w:rPr>
      </w:pPr>
    </w:p>
    <w:p w14:paraId="45CF79B8"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Los dos últimos elementos de la Clave Única de Registro de Población evitan la duplicidad de la Clave y garantizan su correcta integración.</w:t>
      </w:r>
    </w:p>
    <w:p w14:paraId="437D5D90"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3B7B2F5C"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FD4B249" w14:textId="77777777" w:rsidR="002F2F46" w:rsidRPr="00BC07F2" w:rsidRDefault="002F2F46" w:rsidP="0094286C">
      <w:pPr>
        <w:pStyle w:val="Prrafodelista"/>
        <w:ind w:left="0"/>
        <w:jc w:val="both"/>
        <w:rPr>
          <w:rFonts w:ascii="Palatino Linotype" w:hAnsi="Palatino Linotype"/>
          <w:color w:val="000000" w:themeColor="text1"/>
        </w:rPr>
      </w:pPr>
    </w:p>
    <w:p w14:paraId="1DC8A0DE"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34D0325A" w14:textId="77777777" w:rsidR="00965B07" w:rsidRPr="00BC07F2" w:rsidRDefault="00965B07" w:rsidP="0094286C">
      <w:pPr>
        <w:spacing w:line="360" w:lineRule="auto"/>
        <w:jc w:val="both"/>
        <w:rPr>
          <w:rFonts w:ascii="Palatino Linotype" w:hAnsi="Palatino Linotype"/>
          <w:color w:val="000000" w:themeColor="text1"/>
        </w:rPr>
      </w:pPr>
    </w:p>
    <w:p w14:paraId="32286809" w14:textId="77777777" w:rsidR="00965B07" w:rsidRPr="00BC07F2" w:rsidRDefault="00965B07" w:rsidP="0094286C">
      <w:pPr>
        <w:spacing w:line="360" w:lineRule="auto"/>
        <w:jc w:val="both"/>
        <w:rPr>
          <w:rFonts w:ascii="Palatino Linotype" w:hAnsi="Palatino Linotype"/>
          <w:i/>
          <w:color w:val="000000" w:themeColor="text1"/>
        </w:rPr>
      </w:pPr>
      <w:r w:rsidRPr="00BC07F2">
        <w:rPr>
          <w:rFonts w:ascii="Palatino Linotype" w:hAnsi="Palatino Linotype"/>
          <w:b/>
          <w:i/>
          <w:color w:val="000000" w:themeColor="text1"/>
        </w:rPr>
        <w:t xml:space="preserve">“Clave Única de Registro de Población (CURP). </w:t>
      </w:r>
      <w:r w:rsidRPr="00BC07F2">
        <w:rPr>
          <w:rFonts w:ascii="Palatino Linotype" w:hAnsi="Palatino Linotype"/>
          <w:i/>
          <w:color w:val="000000" w:themeColor="text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2BE3BB" w14:textId="77777777" w:rsidR="00965B07" w:rsidRPr="00BC07F2" w:rsidRDefault="00965B07" w:rsidP="0094286C">
      <w:pPr>
        <w:spacing w:line="360" w:lineRule="auto"/>
        <w:jc w:val="both"/>
        <w:rPr>
          <w:rFonts w:ascii="Palatino Linotype" w:hAnsi="Palatino Linotype"/>
          <w:color w:val="000000" w:themeColor="text1"/>
        </w:rPr>
      </w:pPr>
    </w:p>
    <w:p w14:paraId="55CC5B31"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De acuerdo con lo anterior, resulta procedente la clasificación de la Clave Única de Registro de Población; por lo que, la constancia de dicho dato corre la misma suerte, pues </w:t>
      </w:r>
      <w:r w:rsidRPr="00BC07F2">
        <w:rPr>
          <w:rFonts w:ascii="Palatino Linotype" w:hAnsi="Palatino Linotype"/>
          <w:color w:val="000000" w:themeColor="text1"/>
        </w:rPr>
        <w:lastRenderedPageBreak/>
        <w:t xml:space="preserve">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14:paraId="1BD353F9" w14:textId="77777777" w:rsidR="00965B07" w:rsidRPr="00BC07F2" w:rsidRDefault="00965B07" w:rsidP="0094286C">
      <w:pPr>
        <w:spacing w:line="360" w:lineRule="auto"/>
        <w:jc w:val="both"/>
        <w:rPr>
          <w:rFonts w:ascii="Palatino Linotype" w:hAnsi="Palatino Linotype"/>
          <w:color w:val="000000" w:themeColor="text1"/>
        </w:rPr>
      </w:pPr>
    </w:p>
    <w:p w14:paraId="154943E3" w14:textId="77777777" w:rsidR="00965B07" w:rsidRPr="00BC07F2" w:rsidRDefault="00965B07" w:rsidP="0094286C">
      <w:pPr>
        <w:spacing w:line="360" w:lineRule="auto"/>
        <w:jc w:val="both"/>
        <w:rPr>
          <w:rFonts w:ascii="Palatino Linotype" w:hAnsi="Palatino Linotype"/>
          <w:b/>
          <w:color w:val="000000" w:themeColor="text1"/>
        </w:rPr>
      </w:pPr>
      <w:r w:rsidRPr="00BC07F2">
        <w:rPr>
          <w:rFonts w:ascii="Palatino Linotype" w:hAnsi="Palatino Linotype"/>
          <w:b/>
          <w:color w:val="000000" w:themeColor="text1"/>
        </w:rPr>
        <w:t>Documentos Clasificados de manera parcial</w:t>
      </w:r>
    </w:p>
    <w:p w14:paraId="35E2731E" w14:textId="77777777" w:rsidR="00965B07" w:rsidRPr="00BC07F2" w:rsidRDefault="00965B07" w:rsidP="0094286C">
      <w:pPr>
        <w:numPr>
          <w:ilvl w:val="0"/>
          <w:numId w:val="8"/>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Certificado o Informe de No Antecedentes Penales</w:t>
      </w:r>
    </w:p>
    <w:p w14:paraId="4DEEAAB2"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5817401C" w14:textId="77777777" w:rsidR="002F2F46" w:rsidRPr="00BC07F2" w:rsidRDefault="002F2F46" w:rsidP="0094286C">
      <w:pPr>
        <w:pStyle w:val="Prrafodelista"/>
        <w:widowControl w:val="0"/>
        <w:spacing w:line="360" w:lineRule="auto"/>
        <w:ind w:left="0"/>
        <w:jc w:val="both"/>
        <w:rPr>
          <w:rFonts w:ascii="Palatino Linotype" w:hAnsi="Palatino Linotype"/>
          <w:color w:val="000000" w:themeColor="text1"/>
        </w:rPr>
      </w:pPr>
    </w:p>
    <w:p w14:paraId="0F035D06"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0F146368" w14:textId="77777777" w:rsidR="002F2F46" w:rsidRPr="00BC07F2" w:rsidRDefault="002F2F46" w:rsidP="0094286C">
      <w:pPr>
        <w:pStyle w:val="Prrafodelista"/>
        <w:ind w:left="0"/>
        <w:jc w:val="both"/>
        <w:rPr>
          <w:rFonts w:ascii="Palatino Linotype" w:hAnsi="Palatino Linotype"/>
          <w:color w:val="000000" w:themeColor="text1"/>
        </w:rPr>
      </w:pPr>
    </w:p>
    <w:p w14:paraId="1C36576A"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w:t>
      </w:r>
      <w:r w:rsidRPr="00BC07F2">
        <w:rPr>
          <w:rFonts w:ascii="Palatino Linotype" w:hAnsi="Palatino Linotype"/>
          <w:color w:val="000000" w:themeColor="text1"/>
        </w:rPr>
        <w:lastRenderedPageBreak/>
        <w:t xml:space="preserve">No Antecedentes Penales. </w:t>
      </w:r>
    </w:p>
    <w:p w14:paraId="6BC42DAF" w14:textId="77777777" w:rsidR="002F2F46" w:rsidRPr="00BC07F2" w:rsidRDefault="002F2F46" w:rsidP="0094286C">
      <w:pPr>
        <w:pStyle w:val="Prrafodelista"/>
        <w:ind w:left="0"/>
        <w:jc w:val="both"/>
        <w:rPr>
          <w:rFonts w:ascii="Palatino Linotype" w:hAnsi="Palatino Linotype"/>
          <w:color w:val="000000" w:themeColor="text1"/>
        </w:rPr>
      </w:pPr>
    </w:p>
    <w:p w14:paraId="60198AE8"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4EF2DBB1" w14:textId="77777777" w:rsidR="002F2F46" w:rsidRPr="00BC07F2" w:rsidRDefault="002F2F46" w:rsidP="0094286C">
      <w:pPr>
        <w:pStyle w:val="Prrafodelista"/>
        <w:ind w:left="0"/>
        <w:jc w:val="both"/>
        <w:rPr>
          <w:rFonts w:ascii="Palatino Linotype" w:hAnsi="Palatino Linotype"/>
          <w:color w:val="000000" w:themeColor="text1"/>
        </w:rPr>
      </w:pPr>
    </w:p>
    <w:p w14:paraId="55E30757" w14:textId="77777777" w:rsidR="00965B07"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019D7FFB" w14:textId="77777777" w:rsidR="00965B07" w:rsidRPr="00BC07F2" w:rsidRDefault="00965B07" w:rsidP="0094286C">
      <w:pPr>
        <w:spacing w:line="360" w:lineRule="auto"/>
        <w:jc w:val="both"/>
        <w:rPr>
          <w:rFonts w:ascii="Palatino Linotype" w:hAnsi="Palatino Linotype"/>
          <w:b/>
          <w:color w:val="000000" w:themeColor="text1"/>
        </w:rPr>
      </w:pPr>
    </w:p>
    <w:p w14:paraId="12437ED4" w14:textId="77777777" w:rsidR="00965B07" w:rsidRPr="00BC07F2" w:rsidRDefault="00965B07" w:rsidP="0094286C">
      <w:pPr>
        <w:numPr>
          <w:ilvl w:val="0"/>
          <w:numId w:val="8"/>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Constancia de No Inhabilitación</w:t>
      </w:r>
    </w:p>
    <w:p w14:paraId="4040CEC7"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1149703A"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496322EF"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14:paraId="600E75CD"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lastRenderedPageBreak/>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14:paraId="25CA2958" w14:textId="77777777" w:rsidR="00965B07" w:rsidRPr="00BC07F2" w:rsidRDefault="00965B07" w:rsidP="0094286C">
      <w:pPr>
        <w:spacing w:line="360" w:lineRule="auto"/>
        <w:jc w:val="both"/>
        <w:rPr>
          <w:rFonts w:ascii="Palatino Linotype" w:hAnsi="Palatino Linotype"/>
          <w:color w:val="000000" w:themeColor="text1"/>
        </w:rPr>
      </w:pPr>
    </w:p>
    <w:p w14:paraId="57A0CFB6" w14:textId="77777777" w:rsidR="00965B07" w:rsidRPr="00BC07F2" w:rsidRDefault="00965B07" w:rsidP="0094286C">
      <w:pPr>
        <w:numPr>
          <w:ilvl w:val="0"/>
          <w:numId w:val="8"/>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Constancia de no haber sido sancionado en el desempeño de empleo, cargo o comisión en los servicios públicos federal, estatal o municipal, con motivo de alguna recomendación emitida por organismos públicos de derechos humanos</w:t>
      </w:r>
    </w:p>
    <w:p w14:paraId="66CA37C6"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En principio, la</w:t>
      </w:r>
      <w:r w:rsidRPr="00BC07F2">
        <w:rPr>
          <w:rFonts w:ascii="Palatino Linotype" w:hAnsi="Palatino Linotype"/>
          <w:b/>
          <w:color w:val="000000" w:themeColor="text1"/>
        </w:rPr>
        <w:t xml:space="preserve"> Constancia de inhabilitación, o de no inhabilitación, </w:t>
      </w:r>
      <w:r w:rsidRPr="00BC07F2">
        <w:rPr>
          <w:rFonts w:ascii="Palatino Linotype" w:hAnsi="Palatino Linotype"/>
          <w:color w:val="000000" w:themeColor="text1"/>
        </w:rPr>
        <w:t>es el documento expedido por la Secretaría de la Función Pública (SFP), a nivel federal, en el que se hace constar que una persona se encuentra o no inhabilitada, para desempeñar un empleo, cargo o comisión en el sector público.</w:t>
      </w:r>
    </w:p>
    <w:p w14:paraId="76CA997E"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556F6C8F"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Por lo que, la </w:t>
      </w:r>
      <w:r w:rsidRPr="00BC07F2">
        <w:rPr>
          <w:rFonts w:ascii="Palatino Linotype" w:hAnsi="Palatino Linotype"/>
          <w:b/>
          <w:color w:val="000000" w:themeColor="text1"/>
        </w:rPr>
        <w:t>Constancia de sanción o de no existencia de sanción</w:t>
      </w:r>
      <w:r w:rsidRPr="00BC07F2">
        <w:rPr>
          <w:rFonts w:ascii="Palatino Linotype" w:hAnsi="Palatino Linotype"/>
          <w:color w:val="000000" w:themeColor="text1"/>
        </w:rPr>
        <w:t>, es el documento expedido por la SFP, a nivel federal, en el que se señala si una persona cuenta o no con antecedentes de sanción administrativa impuesta por alguna autoridad en el ejercicio de sus funciones.</w:t>
      </w:r>
    </w:p>
    <w:p w14:paraId="2EA49878" w14:textId="77777777" w:rsidR="002F2F46" w:rsidRPr="00BC07F2" w:rsidRDefault="002F2F46" w:rsidP="0094286C">
      <w:pPr>
        <w:pStyle w:val="Prrafodelista"/>
        <w:ind w:left="0"/>
        <w:jc w:val="both"/>
        <w:rPr>
          <w:rFonts w:ascii="Palatino Linotype" w:hAnsi="Palatino Linotype"/>
          <w:color w:val="000000" w:themeColor="text1"/>
        </w:rPr>
      </w:pPr>
    </w:p>
    <w:p w14:paraId="7B7A0A5B"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lastRenderedPageBreak/>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obstante, pudiera contener datos personales como el RFC , lo cual actualiza lo previsto en el artículo 143, fracción I de la Ley en la materia, por lo que, resulta procedente su clasificación. </w:t>
      </w:r>
    </w:p>
    <w:p w14:paraId="13EC524D" w14:textId="77777777" w:rsidR="00965B07" w:rsidRPr="00BC07F2" w:rsidRDefault="00965B07" w:rsidP="0094286C">
      <w:pPr>
        <w:spacing w:line="360" w:lineRule="auto"/>
        <w:jc w:val="both"/>
        <w:rPr>
          <w:rFonts w:ascii="Palatino Linotype" w:hAnsi="Palatino Linotype"/>
          <w:color w:val="000000" w:themeColor="text1"/>
        </w:rPr>
      </w:pPr>
    </w:p>
    <w:p w14:paraId="6C1E1695" w14:textId="77777777" w:rsidR="00965B07" w:rsidRPr="00BC07F2" w:rsidRDefault="00965B07" w:rsidP="0094286C">
      <w:pPr>
        <w:numPr>
          <w:ilvl w:val="0"/>
          <w:numId w:val="8"/>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Certificado de estudios o documento de grado de estudios</w:t>
      </w:r>
    </w:p>
    <w:p w14:paraId="3644DB15"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0A9581CF" w14:textId="77777777" w:rsidR="002F2F46" w:rsidRPr="00BC07F2" w:rsidRDefault="002F2F46" w:rsidP="0094286C">
      <w:pPr>
        <w:pStyle w:val="Prrafodelista"/>
        <w:widowControl w:val="0"/>
        <w:spacing w:line="360" w:lineRule="auto"/>
        <w:ind w:left="0"/>
        <w:jc w:val="both"/>
        <w:rPr>
          <w:rFonts w:ascii="Palatino Linotype" w:hAnsi="Palatino Linotype"/>
          <w:color w:val="000000" w:themeColor="text1"/>
        </w:rPr>
      </w:pPr>
    </w:p>
    <w:p w14:paraId="24A19920"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w:t>
      </w:r>
      <w:r w:rsidRPr="00BC07F2">
        <w:rPr>
          <w:rFonts w:ascii="Palatino Linotype" w:hAnsi="Palatino Linotype"/>
          <w:color w:val="000000" w:themeColor="text1"/>
        </w:rPr>
        <w:lastRenderedPageBreak/>
        <w:t xml:space="preserve">Constitucional, Relativo al Ejercicio de las Profesiones en la Ciudad de México </w:t>
      </w:r>
    </w:p>
    <w:p w14:paraId="667C1992" w14:textId="77777777" w:rsidR="002F2F46" w:rsidRPr="00BC07F2" w:rsidRDefault="002F2F46" w:rsidP="0094286C">
      <w:pPr>
        <w:pStyle w:val="Prrafodelista"/>
        <w:ind w:left="0"/>
        <w:jc w:val="both"/>
        <w:rPr>
          <w:rFonts w:ascii="Palatino Linotype" w:hAnsi="Palatino Linotype"/>
          <w:color w:val="000000" w:themeColor="text1"/>
        </w:rPr>
      </w:pPr>
    </w:p>
    <w:p w14:paraId="41EDD1AD"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once de octubre de dos mil veintitrés, a las quince horas, en la liga </w:t>
      </w:r>
      <w:hyperlink r:id="rId11">
        <w:r w:rsidRPr="00BC07F2">
          <w:rPr>
            <w:rFonts w:ascii="Palatino Linotype" w:hAnsi="Palatino Linotype"/>
            <w:color w:val="000000" w:themeColor="text1"/>
            <w:u w:val="single"/>
          </w:rPr>
          <w:t>http://consultatucedula.mx/</w:t>
        </w:r>
      </w:hyperlink>
      <w:r w:rsidRPr="00BC07F2">
        <w:rPr>
          <w:rFonts w:ascii="Palatino Linotype" w:hAnsi="Palatino Linotype"/>
          <w:color w:val="000000" w:themeColor="text1"/>
        </w:rPr>
        <w:t>).</w:t>
      </w:r>
    </w:p>
    <w:p w14:paraId="5B91B94E" w14:textId="77777777" w:rsidR="002F2F46" w:rsidRPr="00BC07F2" w:rsidRDefault="002F2F46" w:rsidP="0094286C">
      <w:pPr>
        <w:pStyle w:val="Prrafodelista"/>
        <w:ind w:left="0"/>
        <w:jc w:val="both"/>
        <w:rPr>
          <w:rFonts w:ascii="Palatino Linotype" w:hAnsi="Palatino Linotype"/>
          <w:color w:val="000000" w:themeColor="text1"/>
        </w:rPr>
      </w:pPr>
    </w:p>
    <w:p w14:paraId="007ECEEA" w14:textId="77777777" w:rsidR="002F2F46"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1BD497DD" w14:textId="77777777" w:rsidR="002F2F46" w:rsidRPr="00BC07F2" w:rsidRDefault="002F2F46" w:rsidP="0094286C">
      <w:pPr>
        <w:pStyle w:val="Prrafodelista"/>
        <w:ind w:left="0"/>
        <w:jc w:val="both"/>
        <w:rPr>
          <w:rFonts w:ascii="Palatino Linotype" w:hAnsi="Palatino Linotype"/>
          <w:color w:val="000000" w:themeColor="text1"/>
        </w:rPr>
      </w:pPr>
    </w:p>
    <w:p w14:paraId="45D2BD3F" w14:textId="77777777" w:rsidR="00965B07" w:rsidRPr="00BC07F2" w:rsidRDefault="00965B07" w:rsidP="0094286C">
      <w:pPr>
        <w:pStyle w:val="Prrafodelista"/>
        <w:widowControl w:val="0"/>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Además, debe tenerse presente que la naturaleza del título profesional o bien, del certificado u homólogo, consiste en la de ser documentos de identificación para que a sus titulares, los acreditan como profesionales o expertos en algún área de estudio o conocimiento frente a terceros; por lo que, proporcionar dicha información </w:t>
      </w:r>
      <w:r w:rsidRPr="00BC07F2">
        <w:rPr>
          <w:rFonts w:ascii="Palatino Linotype" w:hAnsi="Palatino Linotype"/>
          <w:b/>
          <w:color w:val="000000" w:themeColor="text1"/>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0B2F590" w14:textId="77777777" w:rsidR="00965B07" w:rsidRPr="00BC07F2" w:rsidRDefault="00965B07" w:rsidP="0094286C">
      <w:pPr>
        <w:spacing w:line="360" w:lineRule="auto"/>
        <w:jc w:val="both"/>
        <w:rPr>
          <w:rFonts w:ascii="Palatino Linotype" w:hAnsi="Palatino Linotype"/>
          <w:color w:val="000000" w:themeColor="text1"/>
        </w:rPr>
      </w:pPr>
    </w:p>
    <w:p w14:paraId="2C83650A" w14:textId="77777777" w:rsidR="00965B07" w:rsidRPr="00BC07F2" w:rsidRDefault="00965B07" w:rsidP="0094286C">
      <w:pPr>
        <w:numPr>
          <w:ilvl w:val="0"/>
          <w:numId w:val="8"/>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 xml:space="preserve">Fotografía de servidores públicos </w:t>
      </w:r>
    </w:p>
    <w:p w14:paraId="5C0DC641"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Por lo que hace a las fotografías, es preciso señalar que estas dan cuenta de las características físicas de los servidores públicos; por lo que, no debe perderse de vista que </w:t>
      </w:r>
      <w:r w:rsidRPr="00BC07F2">
        <w:rPr>
          <w:rFonts w:ascii="Palatino Linotype" w:hAnsi="Palatino Linotype"/>
          <w:color w:val="000000" w:themeColor="text1"/>
        </w:rPr>
        <w:lastRenderedPageBreak/>
        <w:t>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w:t>
      </w:r>
      <w:r w:rsidR="002F2F46" w:rsidRPr="00BC07F2">
        <w:rPr>
          <w:rFonts w:ascii="Palatino Linotype" w:hAnsi="Palatino Linotype"/>
          <w:color w:val="000000" w:themeColor="text1"/>
        </w:rPr>
        <w:t>, correo electrónico o Internet.</w:t>
      </w:r>
    </w:p>
    <w:p w14:paraId="177B93FE" w14:textId="77777777" w:rsidR="002F2F46" w:rsidRPr="00BC07F2" w:rsidRDefault="002F2F46" w:rsidP="0094286C">
      <w:pPr>
        <w:pStyle w:val="Prrafodelista"/>
        <w:tabs>
          <w:tab w:val="left" w:pos="0"/>
        </w:tabs>
        <w:spacing w:line="360" w:lineRule="auto"/>
        <w:ind w:left="0"/>
        <w:jc w:val="both"/>
        <w:rPr>
          <w:rFonts w:ascii="Palatino Linotype" w:hAnsi="Palatino Linotype"/>
          <w:color w:val="000000" w:themeColor="text1"/>
        </w:rPr>
      </w:pPr>
    </w:p>
    <w:p w14:paraId="7AE92BB8"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E3F37BD" w14:textId="77777777" w:rsidR="002F2F46" w:rsidRPr="00BC07F2" w:rsidRDefault="002F2F46" w:rsidP="0094286C">
      <w:pPr>
        <w:pStyle w:val="Prrafodelista"/>
        <w:tabs>
          <w:tab w:val="left" w:pos="0"/>
        </w:tabs>
        <w:ind w:left="0"/>
        <w:jc w:val="both"/>
        <w:rPr>
          <w:rFonts w:ascii="Palatino Linotype" w:hAnsi="Palatino Linotype"/>
          <w:color w:val="000000" w:themeColor="text1"/>
        </w:rPr>
      </w:pPr>
    </w:p>
    <w:p w14:paraId="3A4A3E47"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D4403DB" w14:textId="77777777" w:rsidR="002F2F46" w:rsidRPr="00BC07F2" w:rsidRDefault="002F2F46" w:rsidP="0094286C">
      <w:pPr>
        <w:pStyle w:val="Prrafodelista"/>
        <w:tabs>
          <w:tab w:val="left" w:pos="0"/>
        </w:tabs>
        <w:ind w:left="0"/>
        <w:jc w:val="both"/>
        <w:rPr>
          <w:rFonts w:ascii="Palatino Linotype" w:hAnsi="Palatino Linotype"/>
          <w:color w:val="000000" w:themeColor="text1"/>
        </w:rPr>
      </w:pPr>
    </w:p>
    <w:p w14:paraId="4554CF23"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En este sentido, resultan aplicables por analogía, los Criterios SO/015/2017 y SO/001/2013 del Instituto Nacional de Transparencia y Acceso a la Información Pública y </w:t>
      </w:r>
      <w:r w:rsidRPr="00BC07F2">
        <w:rPr>
          <w:rFonts w:ascii="Palatino Linotype" w:hAnsi="Palatino Linotype"/>
          <w:color w:val="000000" w:themeColor="text1"/>
        </w:rPr>
        <w:lastRenderedPageBreak/>
        <w:t>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19B3EBD" w14:textId="77777777" w:rsidR="002F2F46" w:rsidRPr="00BC07F2" w:rsidRDefault="002F2F46" w:rsidP="0094286C">
      <w:pPr>
        <w:pStyle w:val="Prrafodelista"/>
        <w:tabs>
          <w:tab w:val="left" w:pos="0"/>
        </w:tabs>
        <w:ind w:left="0"/>
        <w:jc w:val="both"/>
        <w:rPr>
          <w:rFonts w:ascii="Palatino Linotype" w:hAnsi="Palatino Linotype"/>
          <w:color w:val="000000" w:themeColor="text1"/>
        </w:rPr>
      </w:pPr>
    </w:p>
    <w:p w14:paraId="1BC2CE60"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B73FA11" w14:textId="77777777" w:rsidR="002F2F46" w:rsidRPr="00BC07F2" w:rsidRDefault="002F2F46" w:rsidP="0094286C">
      <w:pPr>
        <w:pStyle w:val="Prrafodelista"/>
        <w:tabs>
          <w:tab w:val="left" w:pos="0"/>
        </w:tabs>
        <w:ind w:left="0"/>
        <w:jc w:val="both"/>
        <w:rPr>
          <w:rFonts w:ascii="Palatino Linotype" w:hAnsi="Palatino Linotype"/>
          <w:color w:val="000000" w:themeColor="text1"/>
        </w:rPr>
      </w:pPr>
    </w:p>
    <w:p w14:paraId="4B4D12B3"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6D34387" w14:textId="77777777" w:rsidR="002F2F46" w:rsidRPr="00BC07F2" w:rsidRDefault="002F2F46" w:rsidP="0094286C">
      <w:pPr>
        <w:pStyle w:val="Prrafodelista"/>
        <w:ind w:left="0"/>
        <w:jc w:val="both"/>
        <w:rPr>
          <w:rFonts w:ascii="Palatino Linotype" w:hAnsi="Palatino Linotype"/>
          <w:color w:val="000000" w:themeColor="text1"/>
        </w:rPr>
      </w:pPr>
    </w:p>
    <w:p w14:paraId="51D27E77"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De acuerdo con el argumento planteado, la determinación de esta resolución deja sin efectos el criterio adoptado anteriormente por el Pleno de este Instituto, con número </w:t>
      </w:r>
      <w:r w:rsidRPr="00BC07F2">
        <w:rPr>
          <w:rFonts w:ascii="Palatino Linotype" w:hAnsi="Palatino Linotype"/>
          <w:color w:val="000000" w:themeColor="text1"/>
        </w:rPr>
        <w:lastRenderedPageBreak/>
        <w:t>03/2019, en el que solo se consideraban como públicas las fotografías de mandos medios y/o superiores.</w:t>
      </w:r>
    </w:p>
    <w:p w14:paraId="134A6EB4" w14:textId="77777777" w:rsidR="002F2F46" w:rsidRPr="00BC07F2" w:rsidRDefault="002F2F46" w:rsidP="0094286C">
      <w:pPr>
        <w:pStyle w:val="Prrafodelista"/>
        <w:ind w:left="0"/>
        <w:jc w:val="both"/>
        <w:rPr>
          <w:rFonts w:ascii="Palatino Linotype" w:hAnsi="Palatino Linotype"/>
          <w:color w:val="000000" w:themeColor="text1"/>
        </w:rPr>
      </w:pPr>
    </w:p>
    <w:p w14:paraId="2985B035" w14:textId="77777777" w:rsidR="00965B07"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BC07F2">
        <w:rPr>
          <w:rFonts w:ascii="Palatino Linotype" w:hAnsi="Palatino Linotype"/>
          <w:b/>
          <w:color w:val="000000" w:themeColor="text1"/>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08C5994E" w14:textId="77777777" w:rsidR="00965B07" w:rsidRPr="00BC07F2" w:rsidRDefault="00965B07" w:rsidP="0094286C">
      <w:pPr>
        <w:tabs>
          <w:tab w:val="left" w:pos="4962"/>
        </w:tabs>
        <w:spacing w:line="360" w:lineRule="auto"/>
        <w:jc w:val="both"/>
        <w:rPr>
          <w:rFonts w:ascii="Palatino Linotype" w:hAnsi="Palatino Linotype"/>
          <w:b/>
          <w:color w:val="000000" w:themeColor="text1"/>
        </w:rPr>
      </w:pPr>
    </w:p>
    <w:p w14:paraId="7D109E06" w14:textId="0813EABE" w:rsidR="00965B07" w:rsidRPr="00706F35" w:rsidRDefault="00965B07" w:rsidP="0094286C">
      <w:pPr>
        <w:numPr>
          <w:ilvl w:val="0"/>
          <w:numId w:val="7"/>
        </w:numPr>
        <w:spacing w:line="360" w:lineRule="auto"/>
        <w:ind w:left="0" w:firstLine="0"/>
        <w:jc w:val="both"/>
        <w:rPr>
          <w:rFonts w:ascii="Palatino Linotype" w:hAnsi="Palatino Linotype"/>
          <w:b/>
          <w:color w:val="000000" w:themeColor="text1"/>
        </w:rPr>
      </w:pPr>
      <w:r w:rsidRPr="00BC07F2">
        <w:rPr>
          <w:rFonts w:ascii="Palatino Linotype" w:hAnsi="Palatino Linotype"/>
          <w:b/>
          <w:color w:val="000000" w:themeColor="text1"/>
        </w:rPr>
        <w:t>Firma de servidores públicos y particulares.</w:t>
      </w:r>
    </w:p>
    <w:p w14:paraId="018B57A0"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Sobre dicho dato, cabe precisar que, en el presente caso, se puede tratar de personas servidoras públicas que fueron seleccionadas para cargos públicos o bien de personas que no fueron seleccionadas, en ambos casos se consideran como un dato personal confidencial y para el caso de personas servidoras públicas únicamente será público dicho dato cuando sirva para la emisión de un acto de autoridad, en ejercicio de sus funciones.</w:t>
      </w:r>
    </w:p>
    <w:p w14:paraId="59AD49F3" w14:textId="77777777" w:rsidR="002F2F46" w:rsidRPr="00BC07F2" w:rsidRDefault="002F2F46" w:rsidP="0094286C">
      <w:pPr>
        <w:pStyle w:val="Prrafodelista"/>
        <w:tabs>
          <w:tab w:val="left" w:pos="0"/>
        </w:tabs>
        <w:spacing w:line="360" w:lineRule="auto"/>
        <w:ind w:left="0"/>
        <w:jc w:val="both"/>
        <w:rPr>
          <w:rFonts w:ascii="Palatino Linotype" w:hAnsi="Palatino Linotype"/>
          <w:color w:val="000000" w:themeColor="text1"/>
        </w:rPr>
      </w:pPr>
    </w:p>
    <w:p w14:paraId="67FACB4A" w14:textId="77777777" w:rsidR="002F2F46"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w:t>
      </w:r>
      <w:r w:rsidR="002F2F46" w:rsidRPr="00BC07F2">
        <w:rPr>
          <w:rFonts w:ascii="Palatino Linotype" w:hAnsi="Palatino Linotype"/>
          <w:color w:val="000000" w:themeColor="text1"/>
        </w:rPr>
        <w:t xml:space="preserve"> sus remuneraciones quincenales</w:t>
      </w:r>
    </w:p>
    <w:p w14:paraId="1B55BD49" w14:textId="77777777" w:rsidR="002F2F46" w:rsidRPr="00BC07F2" w:rsidRDefault="002F2F46" w:rsidP="0094286C">
      <w:pPr>
        <w:pStyle w:val="Prrafodelista"/>
        <w:ind w:left="0"/>
        <w:jc w:val="both"/>
        <w:rPr>
          <w:rFonts w:ascii="Palatino Linotype" w:hAnsi="Palatino Linotype"/>
          <w:color w:val="000000" w:themeColor="text1"/>
        </w:rPr>
      </w:pPr>
    </w:p>
    <w:p w14:paraId="434B6679" w14:textId="77777777" w:rsidR="00965B07" w:rsidRPr="00BC07F2" w:rsidRDefault="00965B07" w:rsidP="0094286C">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lastRenderedPageBreak/>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2691E6EB" w14:textId="7F21250E" w:rsidR="00965B07" w:rsidRPr="00BC07F2" w:rsidRDefault="00965B07" w:rsidP="00706F35">
      <w:pPr>
        <w:shd w:val="clear" w:color="auto" w:fill="FFFFFF"/>
        <w:spacing w:line="360" w:lineRule="auto"/>
        <w:jc w:val="both"/>
        <w:rPr>
          <w:rFonts w:ascii="Palatino Linotype" w:hAnsi="Palatino Linotype"/>
          <w:color w:val="000000" w:themeColor="text1"/>
        </w:rPr>
      </w:pPr>
      <w:r w:rsidRPr="00BC07F2">
        <w:rPr>
          <w:rFonts w:ascii="Palatino Linotype" w:hAnsi="Palatino Linotype"/>
          <w:color w:val="000000" w:themeColor="text1"/>
        </w:rPr>
        <w:t> </w:t>
      </w:r>
      <w:r w:rsidRPr="00BC07F2">
        <w:rPr>
          <w:rFonts w:ascii="Palatino Linotype" w:hAnsi="Palatino Linotype"/>
          <w:b/>
          <w:i/>
          <w:color w:val="000000" w:themeColor="text1"/>
        </w:rPr>
        <w:t>“Firma y rúbrica de servidores públicos.</w:t>
      </w:r>
      <w:r w:rsidRPr="00BC07F2">
        <w:rPr>
          <w:rFonts w:ascii="Palatino Linotype" w:hAnsi="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14:paraId="46547985" w14:textId="77777777" w:rsidR="00965B07" w:rsidRPr="00BC07F2" w:rsidRDefault="00965B07" w:rsidP="0094286C">
      <w:pPr>
        <w:tabs>
          <w:tab w:val="left" w:pos="4962"/>
        </w:tabs>
        <w:spacing w:line="360" w:lineRule="auto"/>
        <w:jc w:val="both"/>
        <w:rPr>
          <w:rFonts w:ascii="Palatino Linotype" w:hAnsi="Palatino Linotype"/>
          <w:color w:val="000000" w:themeColor="text1"/>
        </w:rPr>
      </w:pPr>
      <w:r w:rsidRPr="00BC07F2">
        <w:rPr>
          <w:rFonts w:ascii="Palatino Linotype" w:hAnsi="Palatino Linotype"/>
          <w:color w:val="000000" w:themeColor="text1"/>
        </w:rPr>
        <w:t> </w:t>
      </w:r>
    </w:p>
    <w:p w14:paraId="31C6CD57" w14:textId="77777777" w:rsidR="002F2F46"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32C05D45" w14:textId="77777777" w:rsidR="002F2F46" w:rsidRPr="00BC07F2" w:rsidRDefault="002F2F46" w:rsidP="0094286C">
      <w:pPr>
        <w:pStyle w:val="Prrafodelista"/>
        <w:spacing w:line="360" w:lineRule="auto"/>
        <w:ind w:left="0"/>
        <w:jc w:val="both"/>
        <w:rPr>
          <w:rFonts w:ascii="Palatino Linotype" w:hAnsi="Palatino Linotype"/>
          <w:color w:val="000000" w:themeColor="text1"/>
        </w:rPr>
      </w:pPr>
    </w:p>
    <w:p w14:paraId="18C6F1AB" w14:textId="77777777" w:rsidR="00965B07" w:rsidRPr="00BC07F2" w:rsidRDefault="00965B07" w:rsidP="0094286C">
      <w:pPr>
        <w:pStyle w:val="Prrafodelista"/>
        <w:numPr>
          <w:ilvl w:val="0"/>
          <w:numId w:val="1"/>
        </w:numPr>
        <w:spacing w:line="360" w:lineRule="auto"/>
        <w:ind w:left="0" w:firstLine="0"/>
        <w:jc w:val="both"/>
        <w:rPr>
          <w:rFonts w:ascii="Palatino Linotype" w:hAnsi="Palatino Linotype"/>
          <w:color w:val="000000" w:themeColor="text1"/>
        </w:rPr>
      </w:pPr>
      <w:r w:rsidRPr="00BC07F2">
        <w:rPr>
          <w:rFonts w:ascii="Palatino Linotype" w:hAnsi="Palatino Linotype"/>
          <w:color w:val="000000" w:themeColor="text1"/>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2331D92E" w14:textId="77777777" w:rsidR="00965B07" w:rsidRPr="00BC07F2" w:rsidRDefault="00965B07" w:rsidP="0094286C">
      <w:pPr>
        <w:spacing w:line="360" w:lineRule="auto"/>
        <w:jc w:val="both"/>
        <w:rPr>
          <w:rFonts w:ascii="Palatino Linotype" w:eastAsia="Palatino Linotype" w:hAnsi="Palatino Linotype" w:cs="Palatino Linotype"/>
          <w:color w:val="000000" w:themeColor="text1"/>
        </w:rPr>
      </w:pPr>
    </w:p>
    <w:p w14:paraId="4A658C0F" w14:textId="4C02CEB7" w:rsidR="00AD197D" w:rsidRPr="00BC07F2" w:rsidRDefault="00AD197D" w:rsidP="009428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 xml:space="preserve">Por lo anteriormente expuesto y fundado, este </w:t>
      </w:r>
      <w:r w:rsidRPr="00BC07F2">
        <w:rPr>
          <w:rFonts w:ascii="Palatino Linotype" w:eastAsia="Palatino Linotype" w:hAnsi="Palatino Linotype" w:cs="Palatino Linotype"/>
          <w:b/>
          <w:color w:val="000000" w:themeColor="text1"/>
        </w:rPr>
        <w:t>ÓRGANO GARANTE</w:t>
      </w:r>
      <w:r w:rsidRPr="00BC07F2">
        <w:rPr>
          <w:rFonts w:ascii="Palatino Linotype" w:eastAsia="Palatino Linotype" w:hAnsi="Palatino Linotype" w:cs="Palatino Linotype"/>
          <w:color w:val="000000" w:themeColor="text1"/>
        </w:rPr>
        <w:t xml:space="preserve"> emite los siguientes:</w:t>
      </w:r>
      <w:r w:rsidR="00706F35">
        <w:rPr>
          <w:rFonts w:ascii="Palatino Linotype" w:eastAsia="Palatino Linotype" w:hAnsi="Palatino Linotype" w:cs="Palatino Linotype"/>
          <w:color w:val="000000" w:themeColor="text1"/>
        </w:rPr>
        <w:t>--------------------------------------------------------------------------------------------------------</w:t>
      </w:r>
    </w:p>
    <w:p w14:paraId="34BAE6D4"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01362285" w14:textId="77777777" w:rsidR="00AD197D" w:rsidRPr="00BC07F2" w:rsidRDefault="00AD197D" w:rsidP="0094286C">
      <w:pPr>
        <w:keepNext/>
        <w:keepLines/>
        <w:spacing w:line="360" w:lineRule="auto"/>
        <w:jc w:val="center"/>
        <w:rPr>
          <w:rFonts w:ascii="Palatino Linotype" w:eastAsia="Palatino Linotype" w:hAnsi="Palatino Linotype" w:cs="Palatino Linotype"/>
          <w:b/>
          <w:color w:val="000000" w:themeColor="text1"/>
        </w:rPr>
      </w:pPr>
      <w:bookmarkStart w:id="12" w:name="_heading=h.17dp8vu" w:colFirst="0" w:colLast="0"/>
      <w:bookmarkEnd w:id="12"/>
      <w:r w:rsidRPr="00BC07F2">
        <w:rPr>
          <w:rFonts w:ascii="Palatino Linotype" w:eastAsia="Palatino Linotype" w:hAnsi="Palatino Linotype" w:cs="Palatino Linotype"/>
          <w:b/>
          <w:color w:val="000000" w:themeColor="text1"/>
        </w:rPr>
        <w:lastRenderedPageBreak/>
        <w:t>R E S O L U T I V O S</w:t>
      </w:r>
    </w:p>
    <w:p w14:paraId="14D6F115" w14:textId="77777777" w:rsidR="00AD197D" w:rsidRPr="00BC07F2" w:rsidRDefault="00AD197D" w:rsidP="0094286C">
      <w:pPr>
        <w:keepNext/>
        <w:keepLines/>
        <w:spacing w:line="360" w:lineRule="auto"/>
        <w:jc w:val="center"/>
        <w:rPr>
          <w:rFonts w:ascii="Palatino Linotype" w:eastAsia="Palatino Linotype" w:hAnsi="Palatino Linotype" w:cs="Palatino Linotype"/>
          <w:b/>
          <w:color w:val="000000" w:themeColor="text1"/>
        </w:rPr>
      </w:pPr>
    </w:p>
    <w:p w14:paraId="14EB5EEA"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b/>
          <w:color w:val="000000" w:themeColor="text1"/>
        </w:rPr>
        <w:t>PRIMERO</w:t>
      </w:r>
      <w:r w:rsidRPr="00BC07F2">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CB5F19" w:rsidRPr="00BC07F2">
        <w:rPr>
          <w:rFonts w:ascii="Palatino Linotype" w:eastAsia="Palatino Linotype" w:hAnsi="Palatino Linotype" w:cs="Palatino Linotype"/>
          <w:b/>
          <w:color w:val="000000" w:themeColor="text1"/>
        </w:rPr>
        <w:t>01118</w:t>
      </w:r>
      <w:r w:rsidRPr="00BC07F2">
        <w:rPr>
          <w:rFonts w:ascii="Palatino Linotype" w:eastAsia="Palatino Linotype" w:hAnsi="Palatino Linotype" w:cs="Palatino Linotype"/>
          <w:b/>
          <w:color w:val="000000" w:themeColor="text1"/>
        </w:rPr>
        <w:t>/INFOEM/IP/RR/2025</w:t>
      </w:r>
      <w:r w:rsidRPr="00BC07F2">
        <w:rPr>
          <w:rFonts w:ascii="Palatino Linotype" w:eastAsia="Palatino Linotype" w:hAnsi="Palatino Linotype" w:cs="Palatino Linotype"/>
          <w:color w:val="000000" w:themeColor="text1"/>
        </w:rPr>
        <w:t>,</w:t>
      </w:r>
      <w:r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color w:val="000000" w:themeColor="text1"/>
        </w:rPr>
        <w:t>en términos de los Considerandos</w:t>
      </w:r>
      <w:r w:rsidRPr="00BC07F2">
        <w:rPr>
          <w:rFonts w:ascii="Palatino Linotype" w:eastAsia="Palatino Linotype" w:hAnsi="Palatino Linotype" w:cs="Palatino Linotype"/>
          <w:b/>
          <w:color w:val="000000" w:themeColor="text1"/>
        </w:rPr>
        <w:t xml:space="preserve"> Cuarto y Quinto </w:t>
      </w:r>
      <w:r w:rsidRPr="00BC07F2">
        <w:rPr>
          <w:rFonts w:ascii="Palatino Linotype" w:eastAsia="Palatino Linotype" w:hAnsi="Palatino Linotype" w:cs="Palatino Linotype"/>
          <w:color w:val="000000" w:themeColor="text1"/>
        </w:rPr>
        <w:t xml:space="preserve">de la presente resolución. </w:t>
      </w:r>
    </w:p>
    <w:p w14:paraId="24A50366"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69802DB7"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bookmarkStart w:id="13" w:name="_heading=h.3rdcrjn" w:colFirst="0" w:colLast="0"/>
      <w:bookmarkEnd w:id="13"/>
      <w:r w:rsidRPr="00BC07F2">
        <w:rPr>
          <w:rFonts w:ascii="Palatino Linotype" w:eastAsia="Palatino Linotype" w:hAnsi="Palatino Linotype" w:cs="Palatino Linotype"/>
          <w:b/>
          <w:color w:val="000000" w:themeColor="text1"/>
        </w:rPr>
        <w:t xml:space="preserve">SEGUNDO. </w:t>
      </w:r>
      <w:r w:rsidRPr="00BC07F2">
        <w:rPr>
          <w:rFonts w:ascii="Palatino Linotype" w:eastAsia="Palatino Linotype" w:hAnsi="Palatino Linotype" w:cs="Palatino Linotype"/>
          <w:color w:val="000000" w:themeColor="text1"/>
        </w:rPr>
        <w:t xml:space="preserve">Se </w:t>
      </w:r>
      <w:r w:rsidRPr="00BC07F2">
        <w:rPr>
          <w:rFonts w:ascii="Palatino Linotype" w:eastAsia="Palatino Linotype" w:hAnsi="Palatino Linotype" w:cs="Palatino Linotype"/>
          <w:b/>
          <w:color w:val="000000" w:themeColor="text1"/>
        </w:rPr>
        <w:t xml:space="preserve">REVOCA </w:t>
      </w:r>
      <w:r w:rsidRPr="00BC07F2">
        <w:rPr>
          <w:rFonts w:ascii="Palatino Linotype" w:eastAsia="Palatino Linotype" w:hAnsi="Palatino Linotype" w:cs="Palatino Linotype"/>
          <w:color w:val="000000" w:themeColor="text1"/>
        </w:rPr>
        <w:t xml:space="preserve">la respuesta emitida por el </w:t>
      </w:r>
      <w:r w:rsidRPr="00BC07F2">
        <w:rPr>
          <w:rFonts w:ascii="Palatino Linotype" w:eastAsia="Palatino Linotype" w:hAnsi="Palatino Linotype" w:cs="Palatino Linotype"/>
          <w:b/>
          <w:color w:val="000000" w:themeColor="text1"/>
        </w:rPr>
        <w:t xml:space="preserve">Ayuntamiento de </w:t>
      </w:r>
      <w:r w:rsidR="00CB5F19" w:rsidRPr="00BC07F2">
        <w:rPr>
          <w:rFonts w:ascii="Palatino Linotype" w:eastAsia="Palatino Linotype" w:hAnsi="Palatino Linotype" w:cs="Palatino Linotype"/>
          <w:b/>
          <w:color w:val="000000" w:themeColor="text1"/>
        </w:rPr>
        <w:t>Toluca</w:t>
      </w:r>
      <w:r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color w:val="000000" w:themeColor="text1"/>
        </w:rPr>
        <w:t xml:space="preserve">y se </w:t>
      </w:r>
      <w:r w:rsidRPr="00BC07F2">
        <w:rPr>
          <w:rFonts w:ascii="Palatino Linotype" w:eastAsia="Palatino Linotype" w:hAnsi="Palatino Linotype" w:cs="Palatino Linotype"/>
          <w:b/>
          <w:color w:val="000000" w:themeColor="text1"/>
        </w:rPr>
        <w:t>ORDENA</w:t>
      </w:r>
      <w:r w:rsidRPr="00BC07F2">
        <w:rPr>
          <w:rFonts w:ascii="Palatino Linotype" w:eastAsia="Palatino Linotype" w:hAnsi="Palatino Linotype" w:cs="Palatino Linotype"/>
          <w:color w:val="000000" w:themeColor="text1"/>
        </w:rPr>
        <w:t xml:space="preserve"> entregar vía Sistema de Acceso a la Información Mexiquense </w:t>
      </w:r>
      <w:r w:rsidRPr="00BC07F2">
        <w:rPr>
          <w:rFonts w:ascii="Palatino Linotype" w:eastAsia="Palatino Linotype" w:hAnsi="Palatino Linotype" w:cs="Palatino Linotype"/>
          <w:b/>
          <w:color w:val="000000" w:themeColor="text1"/>
        </w:rPr>
        <w:t xml:space="preserve">(SAIMEX), </w:t>
      </w:r>
      <w:r w:rsidRPr="00BC07F2">
        <w:rPr>
          <w:rFonts w:ascii="Palatino Linotype" w:eastAsia="Palatino Linotype" w:hAnsi="Palatino Linotype" w:cs="Palatino Linotype"/>
          <w:color w:val="000000" w:themeColor="text1"/>
        </w:rPr>
        <w:t>de ser procedente en versión pública</w:t>
      </w:r>
      <w:r w:rsidRPr="00BC07F2">
        <w:rPr>
          <w:rFonts w:ascii="Palatino Linotype" w:eastAsia="Palatino Linotype" w:hAnsi="Palatino Linotype" w:cs="Palatino Linotype"/>
          <w:b/>
          <w:color w:val="000000" w:themeColor="text1"/>
        </w:rPr>
        <w:t xml:space="preserve">, </w:t>
      </w:r>
      <w:r w:rsidRPr="00BC07F2">
        <w:rPr>
          <w:rFonts w:ascii="Palatino Linotype" w:eastAsia="Palatino Linotype" w:hAnsi="Palatino Linotype" w:cs="Palatino Linotype"/>
          <w:color w:val="000000" w:themeColor="text1"/>
        </w:rPr>
        <w:t>la siguiente información:</w:t>
      </w:r>
    </w:p>
    <w:p w14:paraId="7566BCE0" w14:textId="77777777" w:rsidR="00AD197D" w:rsidRPr="00BC07F2" w:rsidRDefault="00AD197D" w:rsidP="0094286C">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14:paraId="0168DB69" w14:textId="77777777" w:rsidR="00AD197D" w:rsidRPr="00BC07F2" w:rsidRDefault="00CB5F19" w:rsidP="0094286C">
      <w:pPr>
        <w:pStyle w:val="Prrafodelista"/>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BC07F2">
        <w:rPr>
          <w:rFonts w:ascii="Palatino Linotype" w:hAnsi="Palatino Linotype"/>
          <w:b/>
          <w:color w:val="000000" w:themeColor="text1"/>
        </w:rPr>
        <w:t>Expedie</w:t>
      </w:r>
      <w:r w:rsidR="00C326D3" w:rsidRPr="00BC07F2">
        <w:rPr>
          <w:rFonts w:ascii="Palatino Linotype" w:hAnsi="Palatino Linotype"/>
          <w:b/>
          <w:color w:val="000000" w:themeColor="text1"/>
        </w:rPr>
        <w:t xml:space="preserve">nte, con carta de postulación, </w:t>
      </w:r>
      <w:r w:rsidRPr="00BC07F2">
        <w:rPr>
          <w:rFonts w:ascii="Palatino Linotype" w:hAnsi="Palatino Linotype"/>
          <w:b/>
          <w:color w:val="000000" w:themeColor="text1"/>
        </w:rPr>
        <w:t xml:space="preserve">currículum </w:t>
      </w:r>
      <w:r w:rsidR="00C326D3" w:rsidRPr="00BC07F2">
        <w:rPr>
          <w:rFonts w:ascii="Palatino Linotype" w:hAnsi="Palatino Linotype"/>
          <w:b/>
          <w:color w:val="000000" w:themeColor="text1"/>
        </w:rPr>
        <w:t xml:space="preserve">y programa de los participantes que hayan resultado ganadores en la convocatoria para defensor municipal de derechos humanos, del periodo correspondiente del primero de enero de dos mil veinte al veinte de enero de dos mil veinticinco. </w:t>
      </w:r>
    </w:p>
    <w:p w14:paraId="25B1924E" w14:textId="77777777" w:rsidR="0097281D" w:rsidRPr="00BC07F2" w:rsidRDefault="0097281D" w:rsidP="0097281D">
      <w:pPr>
        <w:pStyle w:val="Prrafodelista"/>
        <w:pBdr>
          <w:top w:val="nil"/>
          <w:left w:val="nil"/>
          <w:bottom w:val="nil"/>
          <w:right w:val="nil"/>
          <w:between w:val="nil"/>
        </w:pBdr>
        <w:tabs>
          <w:tab w:val="left" w:pos="993"/>
        </w:tabs>
        <w:spacing w:line="360" w:lineRule="auto"/>
        <w:ind w:left="0"/>
        <w:jc w:val="both"/>
        <w:rPr>
          <w:rFonts w:ascii="Palatino Linotype" w:eastAsia="Palatino Linotype" w:hAnsi="Palatino Linotype" w:cs="Palatino Linotype"/>
          <w:b/>
          <w:color w:val="000000" w:themeColor="text1"/>
        </w:rPr>
      </w:pPr>
    </w:p>
    <w:p w14:paraId="2EB5EC57" w14:textId="77777777" w:rsidR="00C326D3" w:rsidRPr="00BC07F2" w:rsidRDefault="00C326D3" w:rsidP="0094286C">
      <w:pPr>
        <w:pStyle w:val="Prrafodelista"/>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BC07F2">
        <w:rPr>
          <w:rFonts w:ascii="Palatino Linotype" w:eastAsia="Palatino Linotype" w:hAnsi="Palatino Linotype" w:cs="Palatino Linotype"/>
          <w:b/>
          <w:color w:val="000000" w:themeColor="text1"/>
        </w:rPr>
        <w:t xml:space="preserve">Acuerdo de clasificación </w:t>
      </w:r>
      <w:r w:rsidRPr="00BC07F2">
        <w:rPr>
          <w:rFonts w:ascii="Palatino Linotype" w:hAnsi="Palatino Linotype"/>
          <w:b/>
          <w:color w:val="000000" w:themeColor="text1"/>
        </w:rPr>
        <w:t>emitido por el Comité de Transparencia en donde se clasifiquen en su totalidad como información confidencial, de acuerdo con los artículos 49, fracciones II y VIII, 132, fracción II, 143 y 149 de la Ley de Transparencia y Acceso a la Información Pública del E</w:t>
      </w:r>
      <w:r w:rsidR="00965B07" w:rsidRPr="00BC07F2">
        <w:rPr>
          <w:rFonts w:ascii="Palatino Linotype" w:hAnsi="Palatino Linotype"/>
          <w:b/>
          <w:color w:val="000000" w:themeColor="text1"/>
        </w:rPr>
        <w:t>stado de México y Municipios,</w:t>
      </w:r>
      <w:r w:rsidRPr="00BC07F2">
        <w:rPr>
          <w:rFonts w:ascii="Palatino Linotype" w:hAnsi="Palatino Linotype"/>
          <w:b/>
          <w:color w:val="000000" w:themeColor="text1"/>
        </w:rPr>
        <w:t xml:space="preserve"> </w:t>
      </w:r>
      <w:r w:rsidR="0049171D" w:rsidRPr="00BC07F2">
        <w:rPr>
          <w:rFonts w:ascii="Palatino Linotype" w:hAnsi="Palatino Linotype"/>
          <w:b/>
          <w:color w:val="000000" w:themeColor="text1"/>
        </w:rPr>
        <w:t xml:space="preserve">los expedientes, currículum y programa </w:t>
      </w:r>
      <w:r w:rsidRPr="00BC07F2">
        <w:rPr>
          <w:rFonts w:ascii="Palatino Linotype" w:hAnsi="Palatino Linotype"/>
          <w:b/>
          <w:color w:val="000000" w:themeColor="text1"/>
        </w:rPr>
        <w:t>de los participantes que no ganaron en las convocatorias para defensor municipal de derechos humanos, del periodo comprendido del primero de enero de dos mil veinte al veinte de enero de dos mil veinticinco.</w:t>
      </w:r>
    </w:p>
    <w:p w14:paraId="14388AFE" w14:textId="77777777" w:rsidR="00CB5F19" w:rsidRPr="00BC07F2" w:rsidRDefault="00CB5F19" w:rsidP="0094286C">
      <w:pPr>
        <w:pStyle w:val="Prrafodelista"/>
        <w:pBdr>
          <w:top w:val="nil"/>
          <w:left w:val="nil"/>
          <w:bottom w:val="nil"/>
          <w:right w:val="nil"/>
          <w:between w:val="nil"/>
        </w:pBdr>
        <w:tabs>
          <w:tab w:val="left" w:pos="993"/>
        </w:tabs>
        <w:spacing w:line="360" w:lineRule="auto"/>
        <w:ind w:left="0"/>
        <w:jc w:val="both"/>
        <w:rPr>
          <w:rFonts w:ascii="Palatino Linotype" w:eastAsia="Palatino Linotype" w:hAnsi="Palatino Linotype" w:cs="Palatino Linotype"/>
          <w:b/>
          <w:color w:val="000000" w:themeColor="text1"/>
        </w:rPr>
      </w:pPr>
    </w:p>
    <w:p w14:paraId="5838F8E4" w14:textId="77777777" w:rsidR="00965B07" w:rsidRPr="00BC07F2" w:rsidRDefault="00965B07" w:rsidP="0094286C">
      <w:pPr>
        <w:spacing w:line="360" w:lineRule="auto"/>
        <w:jc w:val="both"/>
        <w:rPr>
          <w:rFonts w:ascii="Palatino Linotype" w:hAnsi="Palatino Linotype"/>
          <w:color w:val="000000" w:themeColor="text1"/>
        </w:rPr>
      </w:pPr>
      <w:r w:rsidRPr="00BC07F2">
        <w:rPr>
          <w:rFonts w:ascii="Palatino Linotype" w:hAnsi="Palatino Linotype"/>
          <w:color w:val="000000" w:themeColor="text1"/>
        </w:rPr>
        <w:t xml:space="preserve">Para la entrega de versiones públicas, deberá proporcionar el Acuerdo de Clasificación donde el Comité de Transparencia, confirme la eliminación de los datos o documentos </w:t>
      </w:r>
      <w:r w:rsidRPr="00BC07F2">
        <w:rPr>
          <w:rFonts w:ascii="Palatino Linotype" w:hAnsi="Palatino Linotype"/>
          <w:color w:val="000000" w:themeColor="text1"/>
        </w:rPr>
        <w:lastRenderedPageBreak/>
        <w:t xml:space="preserve">clasificados en su totalidad como confidenciales, de acuerdo con los artículos 49, fracciones II y VIII, 132, fracción II, 143, fracción I y 149 de la Ley de Transparencia y Acceso a la Información Pública del Estado de México y Municipios. </w:t>
      </w:r>
    </w:p>
    <w:p w14:paraId="1CB13762" w14:textId="77777777" w:rsidR="00AD197D" w:rsidRPr="00BC07F2" w:rsidRDefault="00AD197D" w:rsidP="0094286C">
      <w:pPr>
        <w:spacing w:line="360" w:lineRule="auto"/>
        <w:jc w:val="both"/>
        <w:rPr>
          <w:rFonts w:ascii="Palatino Linotype" w:eastAsia="Palatino Linotype" w:hAnsi="Palatino Linotype" w:cs="Palatino Linotype"/>
          <w:b/>
          <w:color w:val="000000" w:themeColor="text1"/>
        </w:rPr>
      </w:pPr>
    </w:p>
    <w:p w14:paraId="55A65FA6" w14:textId="77777777" w:rsidR="00AD197D" w:rsidRPr="00BC07F2" w:rsidRDefault="00AD197D" w:rsidP="0094286C">
      <w:pPr>
        <w:tabs>
          <w:tab w:val="left" w:pos="8080"/>
        </w:tabs>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b/>
          <w:color w:val="000000" w:themeColor="text1"/>
        </w:rPr>
        <w:t xml:space="preserve">TERCERO. Notifíquese </w:t>
      </w:r>
      <w:r w:rsidRPr="00BC07F2">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C07F2">
        <w:rPr>
          <w:rFonts w:ascii="Palatino Linotype" w:eastAsia="Palatino Linotype" w:hAnsi="Palatino Linotype" w:cs="Palatino Linotype"/>
          <w:b/>
          <w:color w:val="000000" w:themeColor="text1"/>
        </w:rPr>
        <w:t>dé cumplimiento a lo ordenado dentro del</w:t>
      </w:r>
      <w:r w:rsidRPr="00BC07F2">
        <w:rPr>
          <w:rFonts w:ascii="Palatino Linotype" w:eastAsia="Palatino Linotype" w:hAnsi="Palatino Linotype" w:cs="Palatino Linotype"/>
          <w:color w:val="000000" w:themeColor="text1"/>
        </w:rPr>
        <w:t xml:space="preserve"> </w:t>
      </w:r>
      <w:r w:rsidRPr="00BC07F2">
        <w:rPr>
          <w:rFonts w:ascii="Palatino Linotype" w:eastAsia="Palatino Linotype" w:hAnsi="Palatino Linotype" w:cs="Palatino Linotype"/>
          <w:b/>
          <w:color w:val="000000" w:themeColor="text1"/>
        </w:rPr>
        <w:t>plazo de diez días hábiles</w:t>
      </w:r>
      <w:r w:rsidRPr="00BC07F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B05438" w14:textId="77777777" w:rsidR="00AD197D" w:rsidRPr="00BC07F2" w:rsidRDefault="00AD197D" w:rsidP="0094286C">
      <w:pPr>
        <w:tabs>
          <w:tab w:val="left" w:pos="8080"/>
        </w:tabs>
        <w:spacing w:line="360" w:lineRule="auto"/>
        <w:jc w:val="both"/>
        <w:rPr>
          <w:rFonts w:ascii="Palatino Linotype" w:eastAsia="Palatino Linotype" w:hAnsi="Palatino Linotype" w:cs="Palatino Linotype"/>
          <w:color w:val="000000" w:themeColor="text1"/>
        </w:rPr>
      </w:pPr>
    </w:p>
    <w:p w14:paraId="099BDE49" w14:textId="77777777" w:rsidR="00AD197D" w:rsidRPr="00BC07F2" w:rsidRDefault="00AD197D" w:rsidP="0094286C">
      <w:pPr>
        <w:shd w:val="clear" w:color="auto" w:fill="FFFFFF"/>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b/>
          <w:color w:val="000000" w:themeColor="text1"/>
        </w:rPr>
        <w:t>CUARTO. Notifíquese al RECURRENTE</w:t>
      </w:r>
      <w:r w:rsidRPr="00BC07F2">
        <w:rPr>
          <w:rFonts w:ascii="Palatino Linotype" w:eastAsia="Palatino Linotype" w:hAnsi="Palatino Linotype" w:cs="Palatino Linotype"/>
          <w:color w:val="000000" w:themeColor="text1"/>
        </w:rPr>
        <w:t xml:space="preserve"> la presente resolución vía SAIMEX.</w:t>
      </w:r>
    </w:p>
    <w:p w14:paraId="3BAB4640" w14:textId="77777777" w:rsidR="00AD197D" w:rsidRPr="00BC07F2" w:rsidRDefault="00AD197D" w:rsidP="0094286C">
      <w:pPr>
        <w:shd w:val="clear" w:color="auto" w:fill="FFFFFF"/>
        <w:spacing w:line="360" w:lineRule="auto"/>
        <w:jc w:val="both"/>
        <w:rPr>
          <w:rFonts w:ascii="Palatino Linotype" w:eastAsia="Palatino Linotype" w:hAnsi="Palatino Linotype" w:cs="Palatino Linotype"/>
          <w:b/>
          <w:color w:val="000000" w:themeColor="text1"/>
        </w:rPr>
      </w:pPr>
    </w:p>
    <w:p w14:paraId="34B2D3C7"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b/>
          <w:color w:val="000000" w:themeColor="text1"/>
        </w:rPr>
        <w:t>QUINTO.</w:t>
      </w:r>
      <w:r w:rsidRPr="00BC07F2">
        <w:rPr>
          <w:rFonts w:ascii="Palatino Linotype" w:eastAsia="Palatino Linotype" w:hAnsi="Palatino Linotype" w:cs="Palatino Linotype"/>
          <w:color w:val="000000" w:themeColor="text1"/>
        </w:rPr>
        <w:t xml:space="preserve"> Se hace del conocimiento del </w:t>
      </w:r>
      <w:r w:rsidRPr="00BC07F2">
        <w:rPr>
          <w:rFonts w:ascii="Palatino Linotype" w:eastAsia="Palatino Linotype" w:hAnsi="Palatino Linotype" w:cs="Palatino Linotype"/>
          <w:b/>
          <w:color w:val="000000" w:themeColor="text1"/>
        </w:rPr>
        <w:t>RECURRENTE</w:t>
      </w:r>
      <w:r w:rsidRPr="00BC07F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B733A8E"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p>
    <w:p w14:paraId="1E9A3B72" w14:textId="77777777" w:rsidR="00AD197D" w:rsidRPr="00BC07F2" w:rsidRDefault="00AD197D" w:rsidP="0094286C">
      <w:pPr>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b/>
          <w:color w:val="000000" w:themeColor="text1"/>
        </w:rPr>
        <w:t xml:space="preserve">SEXTO. </w:t>
      </w:r>
      <w:r w:rsidRPr="00BC07F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C07F2">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14:paraId="75F76324" w14:textId="77777777" w:rsidR="00542E1C" w:rsidRPr="00BC07F2" w:rsidRDefault="00542E1C" w:rsidP="0094286C">
      <w:pPr>
        <w:spacing w:line="360" w:lineRule="auto"/>
        <w:jc w:val="both"/>
        <w:rPr>
          <w:rFonts w:ascii="Palatino Linotype" w:eastAsia="Palatino Linotype" w:hAnsi="Palatino Linotype" w:cs="Palatino Linotype"/>
          <w:color w:val="000000" w:themeColor="text1"/>
        </w:rPr>
      </w:pPr>
    </w:p>
    <w:p w14:paraId="4719EA6D" w14:textId="7CC4DAFF" w:rsidR="00AD197D" w:rsidRPr="00411A25" w:rsidRDefault="0097281D" w:rsidP="0097281D">
      <w:pPr>
        <w:spacing w:line="360" w:lineRule="auto"/>
        <w:jc w:val="both"/>
        <w:rPr>
          <w:rFonts w:ascii="Palatino Linotype" w:eastAsia="Palatino Linotype" w:hAnsi="Palatino Linotype" w:cs="Palatino Linotype"/>
          <w:color w:val="000000" w:themeColor="text1"/>
        </w:rPr>
      </w:pPr>
      <w:r w:rsidRPr="00BC07F2">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114DC" w:rsidRPr="00BC07F2">
        <w:rPr>
          <w:rFonts w:ascii="Palatino Linotype" w:eastAsia="Palatino Linotype" w:hAnsi="Palatino Linotype" w:cs="Palatino Linotype"/>
          <w:color w:val="000000" w:themeColor="text1"/>
        </w:rPr>
        <w:t xml:space="preserve"> </w:t>
      </w:r>
      <w:r w:rsidR="005114DC" w:rsidRPr="00BC07F2">
        <w:rPr>
          <w:rFonts w:ascii="Palatino Linotype" w:eastAsia="Palatino Linotype" w:hAnsi="Palatino Linotype" w:cs="Palatino Linotype"/>
        </w:rPr>
        <w:t>EMITIENDO VOTO PARTICULAR</w:t>
      </w:r>
      <w:r w:rsidRPr="00BC07F2">
        <w:rPr>
          <w:rFonts w:ascii="Palatino Linotype" w:eastAsia="Palatino Linotype" w:hAnsi="Palatino Linotype" w:cs="Palatino Linotype"/>
          <w:color w:val="000000" w:themeColor="text1"/>
        </w:rPr>
        <w:t>, SHARON CRISTINA MORALES MARTÍNEZ, LUIS GUSTAVO PARRA NORIEGA Y GUADALUPE RAMÍREZ PEÑA</w:t>
      </w:r>
      <w:r w:rsidR="005114DC" w:rsidRPr="00BC07F2">
        <w:rPr>
          <w:rFonts w:ascii="Palatino Linotype" w:eastAsia="Palatino Linotype" w:hAnsi="Palatino Linotype" w:cs="Palatino Linotype"/>
          <w:color w:val="000000" w:themeColor="text1"/>
        </w:rPr>
        <w:t xml:space="preserve"> </w:t>
      </w:r>
      <w:r w:rsidR="005114DC" w:rsidRPr="00BC07F2">
        <w:rPr>
          <w:rFonts w:ascii="Palatino Linotype" w:eastAsia="Palatino Linotype" w:hAnsi="Palatino Linotype" w:cs="Palatino Linotype"/>
        </w:rPr>
        <w:t>EMITIENDO VOTO PARTICULAR</w:t>
      </w:r>
      <w:r w:rsidRPr="00BC07F2">
        <w:rPr>
          <w:rFonts w:ascii="Palatino Linotype" w:eastAsia="Palatino Linotype" w:hAnsi="Palatino Linotype" w:cs="Palatino Linotype"/>
          <w:color w:val="000000" w:themeColor="text1"/>
        </w:rPr>
        <w:t>; EN LA VIGÉSIMA SESIÓN ORDINARIA, CELEBRADA EL CUATRO (04) DE JUNIO DE DOS MIL VEINTICINCO, ANTE EL SECRETARIO TÉCNICO DEL PLENO ALEXIS TAPIA RAMÍREZ.</w:t>
      </w:r>
    </w:p>
    <w:p w14:paraId="48432A2B" w14:textId="77777777" w:rsidR="00AD197D" w:rsidRPr="00411A25" w:rsidRDefault="00AD197D" w:rsidP="0094286C">
      <w:pPr>
        <w:spacing w:line="360" w:lineRule="auto"/>
        <w:rPr>
          <w:rFonts w:ascii="Palatino Linotype" w:eastAsia="Palatino Linotype" w:hAnsi="Palatino Linotype" w:cs="Palatino Linotype"/>
          <w:color w:val="000000" w:themeColor="text1"/>
        </w:rPr>
      </w:pPr>
    </w:p>
    <w:p w14:paraId="53B593E7" w14:textId="77777777" w:rsidR="00AD197D" w:rsidRPr="00411A25" w:rsidRDefault="00AD197D" w:rsidP="0094286C">
      <w:pPr>
        <w:spacing w:line="360" w:lineRule="auto"/>
        <w:rPr>
          <w:rFonts w:ascii="Palatino Linotype" w:eastAsia="Palatino Linotype" w:hAnsi="Palatino Linotype" w:cs="Palatino Linotype"/>
          <w:color w:val="000000" w:themeColor="text1"/>
        </w:rPr>
      </w:pPr>
    </w:p>
    <w:p w14:paraId="77F7EE6A" w14:textId="77777777" w:rsidR="00AD197D" w:rsidRDefault="00AD197D" w:rsidP="0094286C">
      <w:pPr>
        <w:spacing w:line="360" w:lineRule="auto"/>
        <w:rPr>
          <w:rFonts w:ascii="Palatino Linotype" w:eastAsia="Palatino Linotype" w:hAnsi="Palatino Linotype" w:cs="Palatino Linotype"/>
          <w:color w:val="000000" w:themeColor="text1"/>
        </w:rPr>
      </w:pPr>
    </w:p>
    <w:p w14:paraId="22C1211E" w14:textId="77777777" w:rsidR="00706F35" w:rsidRDefault="00706F35" w:rsidP="0094286C">
      <w:pPr>
        <w:spacing w:line="360" w:lineRule="auto"/>
        <w:rPr>
          <w:rFonts w:ascii="Palatino Linotype" w:eastAsia="Palatino Linotype" w:hAnsi="Palatino Linotype" w:cs="Palatino Linotype"/>
          <w:color w:val="000000" w:themeColor="text1"/>
        </w:rPr>
      </w:pPr>
    </w:p>
    <w:p w14:paraId="66203F2F" w14:textId="77777777" w:rsidR="00706F35" w:rsidRDefault="00706F35" w:rsidP="0094286C">
      <w:pPr>
        <w:spacing w:line="360" w:lineRule="auto"/>
        <w:rPr>
          <w:rFonts w:ascii="Palatino Linotype" w:eastAsia="Palatino Linotype" w:hAnsi="Palatino Linotype" w:cs="Palatino Linotype"/>
          <w:color w:val="000000" w:themeColor="text1"/>
        </w:rPr>
      </w:pPr>
    </w:p>
    <w:p w14:paraId="7E24CC41" w14:textId="77777777" w:rsidR="00706F35" w:rsidRDefault="00706F35" w:rsidP="0094286C">
      <w:pPr>
        <w:spacing w:line="360" w:lineRule="auto"/>
        <w:rPr>
          <w:rFonts w:ascii="Palatino Linotype" w:eastAsia="Palatino Linotype" w:hAnsi="Palatino Linotype" w:cs="Palatino Linotype"/>
          <w:color w:val="000000" w:themeColor="text1"/>
        </w:rPr>
      </w:pPr>
    </w:p>
    <w:p w14:paraId="64BCE62D" w14:textId="77777777" w:rsidR="00706F35" w:rsidRDefault="00706F35" w:rsidP="0094286C">
      <w:pPr>
        <w:spacing w:line="360" w:lineRule="auto"/>
        <w:rPr>
          <w:rFonts w:ascii="Palatino Linotype" w:eastAsia="Palatino Linotype" w:hAnsi="Palatino Linotype" w:cs="Palatino Linotype"/>
          <w:color w:val="000000" w:themeColor="text1"/>
        </w:rPr>
      </w:pPr>
    </w:p>
    <w:p w14:paraId="3DD74342" w14:textId="77777777" w:rsidR="00706F35" w:rsidRDefault="00706F35" w:rsidP="0094286C">
      <w:pPr>
        <w:spacing w:line="360" w:lineRule="auto"/>
        <w:rPr>
          <w:rFonts w:ascii="Palatino Linotype" w:eastAsia="Palatino Linotype" w:hAnsi="Palatino Linotype" w:cs="Palatino Linotype"/>
          <w:color w:val="000000" w:themeColor="text1"/>
        </w:rPr>
      </w:pPr>
    </w:p>
    <w:p w14:paraId="063C1EEF" w14:textId="77777777" w:rsidR="00706F35" w:rsidRPr="00411A25" w:rsidRDefault="00706F35" w:rsidP="0094286C">
      <w:pPr>
        <w:spacing w:line="360" w:lineRule="auto"/>
        <w:rPr>
          <w:rFonts w:ascii="Palatino Linotype" w:eastAsia="Palatino Linotype" w:hAnsi="Palatino Linotype" w:cs="Palatino Linotype"/>
          <w:color w:val="000000" w:themeColor="text1"/>
        </w:rPr>
      </w:pPr>
    </w:p>
    <w:p w14:paraId="7D824F1E" w14:textId="77777777" w:rsidR="00AD197D" w:rsidRPr="00411A25" w:rsidRDefault="00AD197D" w:rsidP="0094286C">
      <w:pPr>
        <w:spacing w:line="360" w:lineRule="auto"/>
        <w:rPr>
          <w:rFonts w:ascii="Palatino Linotype" w:eastAsia="Palatino Linotype" w:hAnsi="Palatino Linotype" w:cs="Palatino Linotype"/>
          <w:color w:val="000000" w:themeColor="text1"/>
        </w:rPr>
      </w:pPr>
    </w:p>
    <w:p w14:paraId="0B22206C" w14:textId="77777777" w:rsidR="00AD197D" w:rsidRPr="00411A25" w:rsidRDefault="00AD197D" w:rsidP="0094286C">
      <w:pPr>
        <w:spacing w:line="360" w:lineRule="auto"/>
        <w:rPr>
          <w:rFonts w:ascii="Palatino Linotype" w:eastAsia="Palatino Linotype" w:hAnsi="Palatino Linotype" w:cs="Palatino Linotype"/>
          <w:color w:val="000000" w:themeColor="text1"/>
        </w:rPr>
      </w:pPr>
    </w:p>
    <w:p w14:paraId="37427FB7" w14:textId="77777777" w:rsidR="00AD197D" w:rsidRPr="00411A25" w:rsidRDefault="00AD197D" w:rsidP="0094286C">
      <w:pPr>
        <w:spacing w:line="360" w:lineRule="auto"/>
        <w:rPr>
          <w:rFonts w:ascii="Palatino Linotype" w:eastAsia="Palatino Linotype" w:hAnsi="Palatino Linotype" w:cs="Palatino Linotype"/>
          <w:color w:val="000000" w:themeColor="text1"/>
        </w:rPr>
      </w:pPr>
    </w:p>
    <w:p w14:paraId="0D2A56F7" w14:textId="77777777" w:rsidR="00AD197D" w:rsidRPr="00411A25" w:rsidRDefault="00AD197D" w:rsidP="0094286C">
      <w:pPr>
        <w:spacing w:line="360" w:lineRule="auto"/>
        <w:rPr>
          <w:rFonts w:ascii="Palatino Linotype" w:eastAsia="Palatino Linotype" w:hAnsi="Palatino Linotype" w:cs="Palatino Linotype"/>
          <w:color w:val="000000" w:themeColor="text1"/>
        </w:rPr>
      </w:pPr>
    </w:p>
    <w:p w14:paraId="2C570026" w14:textId="77777777" w:rsidR="00AD197D" w:rsidRPr="00411A25" w:rsidRDefault="00AD197D" w:rsidP="0094286C">
      <w:pPr>
        <w:rPr>
          <w:rFonts w:ascii="Palatino Linotype" w:hAnsi="Palatino Linotype"/>
          <w:color w:val="000000" w:themeColor="text1"/>
        </w:rPr>
      </w:pPr>
    </w:p>
    <w:p w14:paraId="20AD710C" w14:textId="77777777" w:rsidR="00AD197D" w:rsidRPr="00411A25" w:rsidRDefault="00AD197D" w:rsidP="0094286C">
      <w:pPr>
        <w:rPr>
          <w:rFonts w:ascii="Palatino Linotype" w:hAnsi="Palatino Linotype"/>
          <w:color w:val="000000" w:themeColor="text1"/>
        </w:rPr>
      </w:pPr>
    </w:p>
    <w:p w14:paraId="38D69886" w14:textId="77777777" w:rsidR="00AD197D" w:rsidRPr="00411A25" w:rsidRDefault="00AD197D" w:rsidP="0094286C">
      <w:pPr>
        <w:rPr>
          <w:rFonts w:ascii="Palatino Linotype" w:hAnsi="Palatino Linotype"/>
          <w:color w:val="000000" w:themeColor="text1"/>
        </w:rPr>
      </w:pPr>
    </w:p>
    <w:p w14:paraId="1BA62B3E" w14:textId="77777777" w:rsidR="00AD197D" w:rsidRPr="00411A25" w:rsidRDefault="00AD197D" w:rsidP="0094286C">
      <w:pPr>
        <w:rPr>
          <w:rFonts w:ascii="Palatino Linotype" w:hAnsi="Palatino Linotype"/>
          <w:color w:val="000000" w:themeColor="text1"/>
        </w:rPr>
      </w:pPr>
    </w:p>
    <w:p w14:paraId="50D5A5D7" w14:textId="77777777" w:rsidR="00E378C3" w:rsidRPr="00411A25" w:rsidRDefault="00E378C3" w:rsidP="0094286C">
      <w:pPr>
        <w:rPr>
          <w:rFonts w:ascii="Palatino Linotype" w:hAnsi="Palatino Linotype"/>
          <w:color w:val="000000" w:themeColor="text1"/>
        </w:rPr>
      </w:pPr>
    </w:p>
    <w:sectPr w:rsidR="00E378C3" w:rsidRPr="00411A25" w:rsidSect="0094286C">
      <w:headerReference w:type="even" r:id="rId12"/>
      <w:headerReference w:type="default" r:id="rId13"/>
      <w:footerReference w:type="default" r:id="rId14"/>
      <w:headerReference w:type="first" r:id="rId15"/>
      <w:footerReference w:type="first" r:id="rId16"/>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82D4C" w14:textId="77777777" w:rsidR="003F5D20" w:rsidRDefault="003F5D20" w:rsidP="00AD197D">
      <w:r>
        <w:separator/>
      </w:r>
    </w:p>
  </w:endnote>
  <w:endnote w:type="continuationSeparator" w:id="0">
    <w:p w14:paraId="02DB24CD" w14:textId="77777777" w:rsidR="003F5D20" w:rsidRDefault="003F5D20" w:rsidP="00AD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34E25" w14:textId="77777777" w:rsidR="00CB5F19" w:rsidRDefault="00CB5F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06F3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06F35">
      <w:rPr>
        <w:b/>
        <w:noProof/>
        <w:color w:val="000000"/>
      </w:rPr>
      <w:t>46</w:t>
    </w:r>
    <w:r>
      <w:rPr>
        <w:b/>
        <w:color w:val="000000"/>
      </w:rPr>
      <w:fldChar w:fldCharType="end"/>
    </w:r>
  </w:p>
  <w:p w14:paraId="6E099AE9" w14:textId="77777777" w:rsidR="00CB5F19" w:rsidRDefault="00CB5F1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8A17F" w14:textId="77777777" w:rsidR="00CB5F19" w:rsidRDefault="00CB5F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06F3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06F35">
      <w:rPr>
        <w:b/>
        <w:noProof/>
        <w:color w:val="000000"/>
      </w:rPr>
      <w:t>46</w:t>
    </w:r>
    <w:r>
      <w:rPr>
        <w:b/>
        <w:color w:val="000000"/>
      </w:rPr>
      <w:fldChar w:fldCharType="end"/>
    </w:r>
  </w:p>
  <w:p w14:paraId="68686B90" w14:textId="77777777" w:rsidR="00CB5F19" w:rsidRDefault="00CB5F1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720A" w14:textId="77777777" w:rsidR="003F5D20" w:rsidRDefault="003F5D20" w:rsidP="00AD197D">
      <w:r>
        <w:separator/>
      </w:r>
    </w:p>
  </w:footnote>
  <w:footnote w:type="continuationSeparator" w:id="0">
    <w:p w14:paraId="5CC0BB1C" w14:textId="77777777" w:rsidR="003F5D20" w:rsidRDefault="003F5D20" w:rsidP="00AD197D">
      <w:r>
        <w:continuationSeparator/>
      </w:r>
    </w:p>
  </w:footnote>
  <w:footnote w:id="1">
    <w:p w14:paraId="00AF889D" w14:textId="77777777" w:rsidR="00CB5F19" w:rsidRDefault="00CB5F19" w:rsidP="00F265A7">
      <w:pPr>
        <w:pStyle w:val="Textonotapie"/>
      </w:pPr>
      <w:r>
        <w:rPr>
          <w:rStyle w:val="Refdenotaalpie"/>
        </w:rPr>
        <w:footnoteRef/>
      </w:r>
      <w:r>
        <w:t xml:space="preserve"> Artículo 150. Ley de Transparencia y Acceso a la Información Pública del Estado de México y Municipios.</w:t>
      </w:r>
    </w:p>
    <w:p w14:paraId="6918A475" w14:textId="77777777" w:rsidR="00CB5F19" w:rsidRDefault="00CB5F19" w:rsidP="00F265A7">
      <w:pPr>
        <w:pStyle w:val="Textonotapie"/>
      </w:pPr>
      <w:r>
        <w:t>Artículo 151. Ibídem.</w:t>
      </w:r>
    </w:p>
  </w:footnote>
  <w:footnote w:id="2">
    <w:p w14:paraId="716A09E6" w14:textId="77777777" w:rsidR="00CB5F19" w:rsidRDefault="00CB5F19" w:rsidP="00F265A7">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C36E0" w14:textId="77777777" w:rsidR="00CB5F19" w:rsidRDefault="003F5D20">
    <w:pPr>
      <w:pBdr>
        <w:top w:val="nil"/>
        <w:left w:val="nil"/>
        <w:bottom w:val="nil"/>
        <w:right w:val="nil"/>
        <w:between w:val="nil"/>
      </w:pBdr>
      <w:tabs>
        <w:tab w:val="center" w:pos="4419"/>
        <w:tab w:val="right" w:pos="8838"/>
      </w:tabs>
      <w:rPr>
        <w:color w:val="000000"/>
      </w:rPr>
    </w:pPr>
    <w:r>
      <w:rPr>
        <w:color w:val="000000"/>
      </w:rPr>
      <w:pict w14:anchorId="148D0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00" w:firstRow="0" w:lastRow="0" w:firstColumn="0" w:lastColumn="0" w:noHBand="0" w:noVBand="1"/>
    </w:tblPr>
    <w:tblGrid>
      <w:gridCol w:w="2268"/>
      <w:gridCol w:w="6946"/>
    </w:tblGrid>
    <w:tr w:rsidR="00CB5F19" w14:paraId="5622ED85" w14:textId="77777777">
      <w:trPr>
        <w:trHeight w:val="1435"/>
      </w:trPr>
      <w:tc>
        <w:tcPr>
          <w:tcW w:w="2268" w:type="dxa"/>
          <w:shd w:val="clear" w:color="auto" w:fill="auto"/>
        </w:tcPr>
        <w:p w14:paraId="2F8BBB7D" w14:textId="77777777" w:rsidR="00CB5F19" w:rsidRDefault="00CB5F19">
          <w:pPr>
            <w:tabs>
              <w:tab w:val="right" w:pos="4273"/>
            </w:tabs>
            <w:rPr>
              <w:rFonts w:ascii="Garamond" w:eastAsia="Garamond" w:hAnsi="Garamond" w:cs="Garamond"/>
              <w:sz w:val="16"/>
              <w:szCs w:val="16"/>
            </w:rPr>
          </w:pPr>
        </w:p>
      </w:tc>
      <w:tc>
        <w:tcPr>
          <w:tcW w:w="6946" w:type="dxa"/>
          <w:shd w:val="clear" w:color="auto" w:fill="auto"/>
        </w:tcPr>
        <w:tbl>
          <w:tblPr>
            <w:tblW w:w="7082" w:type="dxa"/>
            <w:tblInd w:w="459" w:type="dxa"/>
            <w:tblLayout w:type="fixed"/>
            <w:tblLook w:val="0400" w:firstRow="0" w:lastRow="0" w:firstColumn="0" w:lastColumn="0" w:noHBand="0" w:noVBand="1"/>
          </w:tblPr>
          <w:tblGrid>
            <w:gridCol w:w="2971"/>
            <w:gridCol w:w="4111"/>
          </w:tblGrid>
          <w:tr w:rsidR="00CB5F19" w:rsidRPr="0094286C" w14:paraId="248CFC8A" w14:textId="77777777" w:rsidTr="00706F35">
            <w:trPr>
              <w:trHeight w:val="150"/>
            </w:trPr>
            <w:tc>
              <w:tcPr>
                <w:tcW w:w="2971" w:type="dxa"/>
                <w:shd w:val="clear" w:color="auto" w:fill="auto"/>
              </w:tcPr>
              <w:p w14:paraId="258CBE4A" w14:textId="77777777" w:rsidR="00CB5F19" w:rsidRPr="0094286C" w:rsidRDefault="00CB5F19" w:rsidP="0094286C">
                <w:pPr>
                  <w:tabs>
                    <w:tab w:val="right" w:pos="8838"/>
                  </w:tabs>
                  <w:ind w:right="-105"/>
                  <w:jc w:val="right"/>
                  <w:rPr>
                    <w:rFonts w:ascii="Palatino Linotype" w:eastAsia="Palatino Linotype" w:hAnsi="Palatino Linotype" w:cs="Palatino Linotype"/>
                    <w:b/>
                  </w:rPr>
                </w:pPr>
                <w:r w:rsidRPr="0094286C">
                  <w:rPr>
                    <w:rFonts w:ascii="Palatino Linotype" w:eastAsia="Palatino Linotype" w:hAnsi="Palatino Linotype" w:cs="Palatino Linotype"/>
                    <w:b/>
                  </w:rPr>
                  <w:t>Recurso de Revisión:</w:t>
                </w:r>
              </w:p>
            </w:tc>
            <w:tc>
              <w:tcPr>
                <w:tcW w:w="4111" w:type="dxa"/>
                <w:shd w:val="clear" w:color="auto" w:fill="auto"/>
              </w:tcPr>
              <w:p w14:paraId="236CEB56" w14:textId="77777777" w:rsidR="00CB5F19" w:rsidRPr="0094286C" w:rsidRDefault="00CB5F19" w:rsidP="0070696F">
                <w:pPr>
                  <w:tabs>
                    <w:tab w:val="right" w:pos="8838"/>
                  </w:tabs>
                  <w:ind w:right="-102"/>
                  <w:jc w:val="both"/>
                  <w:rPr>
                    <w:rFonts w:ascii="Palatino Linotype" w:eastAsia="Palatino Linotype" w:hAnsi="Palatino Linotype" w:cs="Palatino Linotype"/>
                  </w:rPr>
                </w:pPr>
                <w:r w:rsidRPr="0094286C">
                  <w:rPr>
                    <w:rFonts w:ascii="Palatino Linotype" w:eastAsia="Palatino Linotype" w:hAnsi="Palatino Linotype" w:cs="Palatino Linotype"/>
                  </w:rPr>
                  <w:t>01118/INFOEM/IP/RR/2025</w:t>
                </w:r>
              </w:p>
            </w:tc>
          </w:tr>
          <w:tr w:rsidR="00CB5F19" w:rsidRPr="0094286C" w14:paraId="7FAE4AA4" w14:textId="77777777" w:rsidTr="00706F35">
            <w:trPr>
              <w:trHeight w:val="295"/>
            </w:trPr>
            <w:tc>
              <w:tcPr>
                <w:tcW w:w="2971" w:type="dxa"/>
                <w:shd w:val="clear" w:color="auto" w:fill="auto"/>
              </w:tcPr>
              <w:p w14:paraId="4FC0F9BF" w14:textId="77777777" w:rsidR="00CB5F19" w:rsidRPr="0094286C" w:rsidRDefault="00CB5F19" w:rsidP="0094286C">
                <w:pPr>
                  <w:tabs>
                    <w:tab w:val="right" w:pos="8838"/>
                  </w:tabs>
                  <w:ind w:right="-105"/>
                  <w:jc w:val="right"/>
                  <w:rPr>
                    <w:rFonts w:ascii="Palatino Linotype" w:eastAsia="Palatino Linotype" w:hAnsi="Palatino Linotype" w:cs="Palatino Linotype"/>
                    <w:b/>
                  </w:rPr>
                </w:pPr>
                <w:r w:rsidRPr="0094286C">
                  <w:rPr>
                    <w:rFonts w:ascii="Palatino Linotype" w:eastAsia="Palatino Linotype" w:hAnsi="Palatino Linotype" w:cs="Palatino Linotype"/>
                    <w:b/>
                  </w:rPr>
                  <w:t>Sujeto Obligado:</w:t>
                </w:r>
              </w:p>
            </w:tc>
            <w:tc>
              <w:tcPr>
                <w:tcW w:w="4111" w:type="dxa"/>
                <w:shd w:val="clear" w:color="auto" w:fill="auto"/>
              </w:tcPr>
              <w:p w14:paraId="3939F665" w14:textId="77777777" w:rsidR="00CB5F19" w:rsidRPr="0094286C" w:rsidRDefault="00CB5F19" w:rsidP="0070696F">
                <w:pPr>
                  <w:tabs>
                    <w:tab w:val="left" w:pos="2834"/>
                    <w:tab w:val="right" w:pos="8838"/>
                  </w:tabs>
                  <w:ind w:right="-102"/>
                  <w:jc w:val="both"/>
                  <w:rPr>
                    <w:rFonts w:ascii="Palatino Linotype" w:eastAsia="Palatino Linotype" w:hAnsi="Palatino Linotype" w:cs="Palatino Linotype"/>
                  </w:rPr>
                </w:pPr>
                <w:r w:rsidRPr="0094286C">
                  <w:rPr>
                    <w:rFonts w:ascii="Palatino Linotype" w:eastAsia="Palatino Linotype" w:hAnsi="Palatino Linotype" w:cs="Palatino Linotype"/>
                    <w:bCs/>
                  </w:rPr>
                  <w:t>Ayuntamiento de Toluca</w:t>
                </w:r>
              </w:p>
            </w:tc>
          </w:tr>
          <w:tr w:rsidR="00CB5F19" w:rsidRPr="0094286C" w14:paraId="38736949" w14:textId="77777777" w:rsidTr="00706F35">
            <w:trPr>
              <w:trHeight w:val="295"/>
            </w:trPr>
            <w:tc>
              <w:tcPr>
                <w:tcW w:w="2971" w:type="dxa"/>
                <w:shd w:val="clear" w:color="auto" w:fill="auto"/>
              </w:tcPr>
              <w:p w14:paraId="5C72807E" w14:textId="77777777" w:rsidR="00CB5F19" w:rsidRPr="0094286C" w:rsidRDefault="00CB5F19" w:rsidP="0094286C">
                <w:pPr>
                  <w:tabs>
                    <w:tab w:val="right" w:pos="8838"/>
                  </w:tabs>
                  <w:ind w:right="-105"/>
                  <w:jc w:val="right"/>
                  <w:rPr>
                    <w:rFonts w:ascii="Palatino Linotype" w:eastAsia="Palatino Linotype" w:hAnsi="Palatino Linotype" w:cs="Palatino Linotype"/>
                    <w:b/>
                  </w:rPr>
                </w:pPr>
                <w:r w:rsidRPr="0094286C">
                  <w:rPr>
                    <w:rFonts w:ascii="Palatino Linotype" w:eastAsia="Palatino Linotype" w:hAnsi="Palatino Linotype" w:cs="Palatino Linotype"/>
                    <w:b/>
                  </w:rPr>
                  <w:t>Comisionado ponente:</w:t>
                </w:r>
              </w:p>
            </w:tc>
            <w:tc>
              <w:tcPr>
                <w:tcW w:w="4111" w:type="dxa"/>
                <w:shd w:val="clear" w:color="auto" w:fill="auto"/>
              </w:tcPr>
              <w:p w14:paraId="2FB858FC" w14:textId="77777777" w:rsidR="00CB5F19" w:rsidRPr="0094286C" w:rsidRDefault="00CB5F19" w:rsidP="0070696F">
                <w:pPr>
                  <w:tabs>
                    <w:tab w:val="right" w:pos="8838"/>
                  </w:tabs>
                  <w:ind w:right="171"/>
                  <w:jc w:val="both"/>
                  <w:rPr>
                    <w:rFonts w:ascii="Palatino Linotype" w:eastAsia="Palatino Linotype" w:hAnsi="Palatino Linotype" w:cs="Palatino Linotype"/>
                  </w:rPr>
                </w:pPr>
                <w:r w:rsidRPr="0094286C">
                  <w:rPr>
                    <w:rFonts w:ascii="Palatino Linotype" w:eastAsia="Palatino Linotype" w:hAnsi="Palatino Linotype" w:cs="Palatino Linotype"/>
                  </w:rPr>
                  <w:t>María del Rosario Mejía Ayala</w:t>
                </w:r>
              </w:p>
              <w:p w14:paraId="4E3A9503" w14:textId="77777777" w:rsidR="00CB5F19" w:rsidRPr="0094286C" w:rsidRDefault="00CB5F19" w:rsidP="0070696F">
                <w:pPr>
                  <w:tabs>
                    <w:tab w:val="right" w:pos="8838"/>
                  </w:tabs>
                  <w:ind w:right="171"/>
                  <w:jc w:val="both"/>
                  <w:rPr>
                    <w:rFonts w:ascii="Palatino Linotype" w:eastAsia="Palatino Linotype" w:hAnsi="Palatino Linotype" w:cs="Palatino Linotype"/>
                  </w:rPr>
                </w:pPr>
              </w:p>
            </w:tc>
          </w:tr>
        </w:tbl>
        <w:p w14:paraId="3E9ADD27" w14:textId="77777777" w:rsidR="00CB5F19" w:rsidRDefault="00CB5F19">
          <w:pPr>
            <w:tabs>
              <w:tab w:val="right" w:pos="8838"/>
            </w:tabs>
            <w:ind w:left="-28"/>
            <w:jc w:val="both"/>
            <w:rPr>
              <w:rFonts w:ascii="Arial" w:eastAsia="Arial" w:hAnsi="Arial" w:cs="Arial"/>
              <w:b/>
              <w:sz w:val="22"/>
              <w:szCs w:val="22"/>
            </w:rPr>
          </w:pPr>
        </w:p>
      </w:tc>
    </w:tr>
  </w:tbl>
  <w:p w14:paraId="14FEE4AE" w14:textId="77777777" w:rsidR="00CB5F19" w:rsidRDefault="003F5D20">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18DC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00" w:firstRow="0" w:lastRow="0" w:firstColumn="0" w:lastColumn="0" w:noHBand="0" w:noVBand="1"/>
    </w:tblPr>
    <w:tblGrid>
      <w:gridCol w:w="2268"/>
      <w:gridCol w:w="6804"/>
    </w:tblGrid>
    <w:tr w:rsidR="00CB5F19" w14:paraId="60ECF8DE" w14:textId="77777777">
      <w:trPr>
        <w:trHeight w:val="1435"/>
      </w:trPr>
      <w:tc>
        <w:tcPr>
          <w:tcW w:w="2268" w:type="dxa"/>
          <w:shd w:val="clear" w:color="auto" w:fill="auto"/>
        </w:tcPr>
        <w:p w14:paraId="45B42495" w14:textId="77777777" w:rsidR="00CB5F19" w:rsidRDefault="00CB5F19">
          <w:pPr>
            <w:tabs>
              <w:tab w:val="right" w:pos="4273"/>
            </w:tabs>
            <w:rPr>
              <w:rFonts w:ascii="Garamond" w:eastAsia="Garamond" w:hAnsi="Garamond" w:cs="Garamond"/>
              <w:sz w:val="22"/>
              <w:szCs w:val="22"/>
            </w:rPr>
          </w:pPr>
        </w:p>
      </w:tc>
      <w:tc>
        <w:tcPr>
          <w:tcW w:w="6804" w:type="dxa"/>
          <w:shd w:val="clear" w:color="auto" w:fill="auto"/>
        </w:tcPr>
        <w:tbl>
          <w:tblPr>
            <w:tblW w:w="6905" w:type="dxa"/>
            <w:tblInd w:w="743" w:type="dxa"/>
            <w:tblLayout w:type="fixed"/>
            <w:tblLook w:val="0400" w:firstRow="0" w:lastRow="0" w:firstColumn="0" w:lastColumn="0" w:noHBand="0" w:noVBand="1"/>
          </w:tblPr>
          <w:tblGrid>
            <w:gridCol w:w="2687"/>
            <w:gridCol w:w="4218"/>
          </w:tblGrid>
          <w:tr w:rsidR="00CB5F19" w:rsidRPr="0094286C" w14:paraId="7A04B1F0" w14:textId="77777777" w:rsidTr="00706F35">
            <w:trPr>
              <w:trHeight w:val="144"/>
            </w:trPr>
            <w:tc>
              <w:tcPr>
                <w:tcW w:w="2687" w:type="dxa"/>
                <w:shd w:val="clear" w:color="auto" w:fill="auto"/>
              </w:tcPr>
              <w:p w14:paraId="41D1799D" w14:textId="77777777" w:rsidR="00CB5F19" w:rsidRPr="0094286C" w:rsidRDefault="00CB5F19" w:rsidP="0094286C">
                <w:pPr>
                  <w:tabs>
                    <w:tab w:val="right" w:pos="8838"/>
                  </w:tabs>
                  <w:ind w:left="-264" w:right="-105" w:firstLine="195"/>
                  <w:jc w:val="right"/>
                  <w:rPr>
                    <w:rFonts w:ascii="Palatino Linotype" w:eastAsia="Palatino Linotype" w:hAnsi="Palatino Linotype" w:cs="Palatino Linotype"/>
                    <w:b/>
                  </w:rPr>
                </w:pPr>
                <w:r w:rsidRPr="0094286C">
                  <w:rPr>
                    <w:rFonts w:ascii="Palatino Linotype" w:eastAsia="Palatino Linotype" w:hAnsi="Palatino Linotype" w:cs="Palatino Linotype"/>
                    <w:b/>
                  </w:rPr>
                  <w:t>Recurso de Revisión:</w:t>
                </w:r>
              </w:p>
            </w:tc>
            <w:tc>
              <w:tcPr>
                <w:tcW w:w="4218" w:type="dxa"/>
                <w:shd w:val="clear" w:color="auto" w:fill="auto"/>
              </w:tcPr>
              <w:p w14:paraId="1C33605E" w14:textId="77777777" w:rsidR="00CB5F19" w:rsidRPr="0094286C" w:rsidRDefault="00CB5F19">
                <w:pPr>
                  <w:tabs>
                    <w:tab w:val="right" w:pos="8838"/>
                  </w:tabs>
                  <w:ind w:left="-74" w:right="-105"/>
                  <w:jc w:val="both"/>
                  <w:rPr>
                    <w:rFonts w:ascii="Palatino Linotype" w:eastAsia="Palatino Linotype" w:hAnsi="Palatino Linotype" w:cs="Palatino Linotype"/>
                  </w:rPr>
                </w:pPr>
                <w:r w:rsidRPr="0094286C">
                  <w:rPr>
                    <w:rFonts w:ascii="Palatino Linotype" w:eastAsia="Palatino Linotype" w:hAnsi="Palatino Linotype" w:cs="Palatino Linotype"/>
                  </w:rPr>
                  <w:t>01118/INFOEM/IP/RR/2025</w:t>
                </w:r>
              </w:p>
            </w:tc>
          </w:tr>
          <w:tr w:rsidR="00CB5F19" w:rsidRPr="0094286C" w14:paraId="19C3321B" w14:textId="77777777" w:rsidTr="00706F35">
            <w:trPr>
              <w:trHeight w:val="144"/>
            </w:trPr>
            <w:tc>
              <w:tcPr>
                <w:tcW w:w="2687" w:type="dxa"/>
                <w:shd w:val="clear" w:color="auto" w:fill="auto"/>
              </w:tcPr>
              <w:p w14:paraId="212B4272" w14:textId="77777777" w:rsidR="00CB5F19" w:rsidRPr="0094286C" w:rsidRDefault="00CB5F19" w:rsidP="0094286C">
                <w:pPr>
                  <w:tabs>
                    <w:tab w:val="right" w:pos="8838"/>
                  </w:tabs>
                  <w:ind w:left="-74" w:right="-105"/>
                  <w:jc w:val="right"/>
                  <w:rPr>
                    <w:rFonts w:ascii="Palatino Linotype" w:eastAsia="Palatino Linotype" w:hAnsi="Palatino Linotype" w:cs="Palatino Linotype"/>
                    <w:b/>
                  </w:rPr>
                </w:pPr>
                <w:r w:rsidRPr="0094286C">
                  <w:rPr>
                    <w:rFonts w:ascii="Palatino Linotype" w:eastAsia="Palatino Linotype" w:hAnsi="Palatino Linotype" w:cs="Palatino Linotype"/>
                    <w:b/>
                  </w:rPr>
                  <w:t>Recurrente:</w:t>
                </w:r>
              </w:p>
            </w:tc>
            <w:tc>
              <w:tcPr>
                <w:tcW w:w="4218" w:type="dxa"/>
                <w:shd w:val="clear" w:color="auto" w:fill="auto"/>
              </w:tcPr>
              <w:p w14:paraId="13A0C571" w14:textId="77777777" w:rsidR="00CB5F19" w:rsidRPr="0094286C" w:rsidRDefault="00CB5F19">
                <w:pPr>
                  <w:tabs>
                    <w:tab w:val="left" w:pos="3122"/>
                    <w:tab w:val="right" w:pos="8838"/>
                  </w:tabs>
                  <w:ind w:left="-74" w:right="-105"/>
                  <w:jc w:val="both"/>
                  <w:rPr>
                    <w:rFonts w:ascii="Palatino Linotype" w:eastAsia="Palatino Linotype" w:hAnsi="Palatino Linotype" w:cs="Palatino Linotype"/>
                  </w:rPr>
                </w:pPr>
              </w:p>
            </w:tc>
          </w:tr>
          <w:tr w:rsidR="00CB5F19" w:rsidRPr="0094286C" w14:paraId="64D9C188" w14:textId="77777777" w:rsidTr="00706F35">
            <w:trPr>
              <w:trHeight w:val="283"/>
            </w:trPr>
            <w:tc>
              <w:tcPr>
                <w:tcW w:w="2687" w:type="dxa"/>
                <w:shd w:val="clear" w:color="auto" w:fill="auto"/>
              </w:tcPr>
              <w:p w14:paraId="7065F62B" w14:textId="77777777" w:rsidR="00CB5F19" w:rsidRPr="0094286C" w:rsidRDefault="00CB5F19" w:rsidP="0094286C">
                <w:pPr>
                  <w:tabs>
                    <w:tab w:val="right" w:pos="8838"/>
                  </w:tabs>
                  <w:ind w:left="-74" w:right="-105"/>
                  <w:jc w:val="right"/>
                  <w:rPr>
                    <w:rFonts w:ascii="Palatino Linotype" w:eastAsia="Palatino Linotype" w:hAnsi="Palatino Linotype" w:cs="Palatino Linotype"/>
                    <w:b/>
                  </w:rPr>
                </w:pPr>
                <w:r w:rsidRPr="0094286C">
                  <w:rPr>
                    <w:rFonts w:ascii="Palatino Linotype" w:eastAsia="Palatino Linotype" w:hAnsi="Palatino Linotype" w:cs="Palatino Linotype"/>
                    <w:b/>
                  </w:rPr>
                  <w:t>Sujeto Obligado:</w:t>
                </w:r>
              </w:p>
            </w:tc>
            <w:tc>
              <w:tcPr>
                <w:tcW w:w="4218" w:type="dxa"/>
                <w:shd w:val="clear" w:color="auto" w:fill="auto"/>
              </w:tcPr>
              <w:p w14:paraId="12A1D0F3" w14:textId="77777777" w:rsidR="00CB5F19" w:rsidRPr="0094286C" w:rsidRDefault="00CB5F19" w:rsidP="00AD197D">
                <w:pPr>
                  <w:tabs>
                    <w:tab w:val="left" w:pos="2834"/>
                    <w:tab w:val="right" w:pos="8838"/>
                  </w:tabs>
                  <w:ind w:left="-74" w:right="-105"/>
                  <w:jc w:val="both"/>
                  <w:rPr>
                    <w:rFonts w:ascii="Palatino Linotype" w:eastAsia="Palatino Linotype" w:hAnsi="Palatino Linotype" w:cs="Palatino Linotype"/>
                  </w:rPr>
                </w:pPr>
                <w:r w:rsidRPr="0094286C">
                  <w:rPr>
                    <w:rFonts w:ascii="Palatino Linotype" w:eastAsia="Palatino Linotype" w:hAnsi="Palatino Linotype" w:cs="Palatino Linotype"/>
                    <w:bCs/>
                  </w:rPr>
                  <w:t>Ayuntamiento de Toluca</w:t>
                </w:r>
              </w:p>
            </w:tc>
          </w:tr>
          <w:tr w:rsidR="00CB5F19" w:rsidRPr="0094286C" w14:paraId="1171E9AF" w14:textId="77777777" w:rsidTr="00706F35">
            <w:trPr>
              <w:trHeight w:val="283"/>
            </w:trPr>
            <w:tc>
              <w:tcPr>
                <w:tcW w:w="2687" w:type="dxa"/>
                <w:shd w:val="clear" w:color="auto" w:fill="auto"/>
              </w:tcPr>
              <w:p w14:paraId="10E274A5" w14:textId="77777777" w:rsidR="00CB5F19" w:rsidRPr="0094286C" w:rsidRDefault="00CB5F19" w:rsidP="0094286C">
                <w:pPr>
                  <w:tabs>
                    <w:tab w:val="right" w:pos="8838"/>
                  </w:tabs>
                  <w:ind w:left="-74" w:right="-105"/>
                  <w:jc w:val="right"/>
                  <w:rPr>
                    <w:rFonts w:ascii="Palatino Linotype" w:eastAsia="Palatino Linotype" w:hAnsi="Palatino Linotype" w:cs="Palatino Linotype"/>
                    <w:b/>
                  </w:rPr>
                </w:pPr>
                <w:r w:rsidRPr="0094286C">
                  <w:rPr>
                    <w:rFonts w:ascii="Palatino Linotype" w:eastAsia="Palatino Linotype" w:hAnsi="Palatino Linotype" w:cs="Palatino Linotype"/>
                    <w:b/>
                  </w:rPr>
                  <w:t>Comisionado ponente:</w:t>
                </w:r>
              </w:p>
            </w:tc>
            <w:tc>
              <w:tcPr>
                <w:tcW w:w="4218" w:type="dxa"/>
                <w:shd w:val="clear" w:color="auto" w:fill="auto"/>
              </w:tcPr>
              <w:p w14:paraId="5AA1A98B" w14:textId="77777777" w:rsidR="00CB5F19" w:rsidRPr="0094286C" w:rsidRDefault="00CB5F19">
                <w:pPr>
                  <w:tabs>
                    <w:tab w:val="right" w:pos="8838"/>
                  </w:tabs>
                  <w:ind w:left="-74" w:right="-105"/>
                  <w:jc w:val="both"/>
                  <w:rPr>
                    <w:rFonts w:ascii="Palatino Linotype" w:eastAsia="Palatino Linotype" w:hAnsi="Palatino Linotype" w:cs="Palatino Linotype"/>
                  </w:rPr>
                </w:pPr>
                <w:r w:rsidRPr="0094286C">
                  <w:rPr>
                    <w:rFonts w:ascii="Palatino Linotype" w:eastAsia="Palatino Linotype" w:hAnsi="Palatino Linotype" w:cs="Palatino Linotype"/>
                  </w:rPr>
                  <w:t>María del Rosario Mejía Ayala</w:t>
                </w:r>
              </w:p>
              <w:p w14:paraId="06F21DE7" w14:textId="77777777" w:rsidR="00CB5F19" w:rsidRPr="0094286C" w:rsidRDefault="00CB5F19">
                <w:pPr>
                  <w:tabs>
                    <w:tab w:val="right" w:pos="8838"/>
                  </w:tabs>
                  <w:ind w:left="-74" w:right="-105"/>
                  <w:jc w:val="both"/>
                  <w:rPr>
                    <w:rFonts w:ascii="Palatino Linotype" w:eastAsia="Palatino Linotype" w:hAnsi="Palatino Linotype" w:cs="Palatino Linotype"/>
                  </w:rPr>
                </w:pPr>
              </w:p>
            </w:tc>
          </w:tr>
        </w:tbl>
        <w:p w14:paraId="5A1E8BFB" w14:textId="77777777" w:rsidR="00CB5F19" w:rsidRDefault="00CB5F19">
          <w:pPr>
            <w:tabs>
              <w:tab w:val="right" w:pos="8838"/>
            </w:tabs>
            <w:ind w:left="-28"/>
            <w:jc w:val="both"/>
            <w:rPr>
              <w:rFonts w:ascii="Arial" w:eastAsia="Arial" w:hAnsi="Arial" w:cs="Arial"/>
              <w:b/>
              <w:sz w:val="22"/>
              <w:szCs w:val="22"/>
            </w:rPr>
          </w:pPr>
        </w:p>
      </w:tc>
    </w:tr>
  </w:tbl>
  <w:p w14:paraId="7E1450EF" w14:textId="77777777" w:rsidR="00CB5F19" w:rsidRDefault="003F5D20">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6C36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F2E73"/>
    <w:multiLevelType w:val="multilevel"/>
    <w:tmpl w:val="7DB2A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BD0B5E"/>
    <w:multiLevelType w:val="multilevel"/>
    <w:tmpl w:val="A80AF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5E0D20"/>
    <w:multiLevelType w:val="multilevel"/>
    <w:tmpl w:val="551C79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8005ED"/>
    <w:multiLevelType w:val="multilevel"/>
    <w:tmpl w:val="1AB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106BF"/>
    <w:multiLevelType w:val="hybridMultilevel"/>
    <w:tmpl w:val="4E78A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5C347D"/>
    <w:multiLevelType w:val="multilevel"/>
    <w:tmpl w:val="E0DA85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7C2870A4"/>
    <w:multiLevelType w:val="multilevel"/>
    <w:tmpl w:val="43EE5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590DE4"/>
    <w:multiLevelType w:val="multilevel"/>
    <w:tmpl w:val="5198ADB0"/>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6"/>
  </w:num>
  <w:num w:numId="3">
    <w:abstractNumId w:val="5"/>
  </w:num>
  <w:num w:numId="4">
    <w:abstractNumId w:val="2"/>
  </w:num>
  <w:num w:numId="5">
    <w:abstractNumId w:val="4"/>
  </w:num>
  <w:num w:numId="6">
    <w:abstractNumId w:val="8"/>
  </w:num>
  <w:num w:numId="7">
    <w:abstractNumId w:val="0"/>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7D"/>
    <w:rsid w:val="00027538"/>
    <w:rsid w:val="00067844"/>
    <w:rsid w:val="00171FF9"/>
    <w:rsid w:val="001A4C0D"/>
    <w:rsid w:val="001C13F8"/>
    <w:rsid w:val="002F2F46"/>
    <w:rsid w:val="002F46F5"/>
    <w:rsid w:val="003D7A79"/>
    <w:rsid w:val="003F5D20"/>
    <w:rsid w:val="00411A25"/>
    <w:rsid w:val="004160A8"/>
    <w:rsid w:val="0049171D"/>
    <w:rsid w:val="004A4C13"/>
    <w:rsid w:val="005114DC"/>
    <w:rsid w:val="00542E1C"/>
    <w:rsid w:val="00561247"/>
    <w:rsid w:val="00600BC7"/>
    <w:rsid w:val="006023E7"/>
    <w:rsid w:val="006C4344"/>
    <w:rsid w:val="0070696F"/>
    <w:rsid w:val="00706F35"/>
    <w:rsid w:val="00771A47"/>
    <w:rsid w:val="008825F2"/>
    <w:rsid w:val="0094286C"/>
    <w:rsid w:val="00965B07"/>
    <w:rsid w:val="0097281D"/>
    <w:rsid w:val="00A90AFC"/>
    <w:rsid w:val="00AD197D"/>
    <w:rsid w:val="00BA034C"/>
    <w:rsid w:val="00BB221B"/>
    <w:rsid w:val="00BC07F2"/>
    <w:rsid w:val="00BC22F0"/>
    <w:rsid w:val="00C13F3A"/>
    <w:rsid w:val="00C30C07"/>
    <w:rsid w:val="00C326D3"/>
    <w:rsid w:val="00C727E5"/>
    <w:rsid w:val="00CB5F19"/>
    <w:rsid w:val="00CD3B33"/>
    <w:rsid w:val="00D20985"/>
    <w:rsid w:val="00E378C3"/>
    <w:rsid w:val="00E57E15"/>
    <w:rsid w:val="00F11386"/>
    <w:rsid w:val="00F265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ED983"/>
  <w15:chartTrackingRefBased/>
  <w15:docId w15:val="{8C9C8615-F516-4FB2-865C-CD44E5BE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97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D197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197D"/>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197D"/>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AD197D"/>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D197D"/>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AD19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D197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D197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AD197D"/>
    <w:rPr>
      <w:vertAlign w:val="superscript"/>
    </w:rPr>
  </w:style>
  <w:style w:type="paragraph" w:styleId="Piedepgina">
    <w:name w:val="footer"/>
    <w:basedOn w:val="Normal"/>
    <w:link w:val="PiedepginaCar"/>
    <w:uiPriority w:val="99"/>
    <w:unhideWhenUsed/>
    <w:rsid w:val="00AD197D"/>
    <w:pPr>
      <w:tabs>
        <w:tab w:val="center" w:pos="4419"/>
        <w:tab w:val="right" w:pos="8838"/>
      </w:tabs>
    </w:pPr>
  </w:style>
  <w:style w:type="character" w:customStyle="1" w:styleId="PiedepginaCar">
    <w:name w:val="Pie de página Car"/>
    <w:basedOn w:val="Fuentedeprrafopredeter"/>
    <w:link w:val="Piedepgina"/>
    <w:uiPriority w:val="99"/>
    <w:rsid w:val="00AD197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150934">
      <w:bodyDiv w:val="1"/>
      <w:marLeft w:val="0"/>
      <w:marRight w:val="0"/>
      <w:marTop w:val="0"/>
      <w:marBottom w:val="0"/>
      <w:divBdr>
        <w:top w:val="none" w:sz="0" w:space="0" w:color="auto"/>
        <w:left w:val="none" w:sz="0" w:space="0" w:color="auto"/>
        <w:bottom w:val="none" w:sz="0" w:space="0" w:color="auto"/>
        <w:right w:val="none" w:sz="0" w:space="0" w:color="auto"/>
      </w:divBdr>
    </w:div>
    <w:div w:id="111969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399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348275.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tucedula.m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webSettings" Target="web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46</Pages>
  <Words>11359</Words>
  <Characters>62479</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18</cp:revision>
  <cp:lastPrinted>2025-06-06T16:06:00Z</cp:lastPrinted>
  <dcterms:created xsi:type="dcterms:W3CDTF">2025-05-27T23:22:00Z</dcterms:created>
  <dcterms:modified xsi:type="dcterms:W3CDTF">2025-06-10T00:02:00Z</dcterms:modified>
</cp:coreProperties>
</file>