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E39E0" w:rsidRDefault="00AE3DA7" w:rsidP="00AE39E0">
          <w:pPr>
            <w:pStyle w:val="TtuloTDC"/>
            <w:spacing w:before="0" w:line="240" w:lineRule="auto"/>
            <w:rPr>
              <w:rFonts w:ascii="Palatino Linotype" w:hAnsi="Palatino Linotype"/>
              <w:color w:val="auto"/>
              <w:sz w:val="24"/>
              <w:szCs w:val="24"/>
              <w:lang w:val="es-ES"/>
            </w:rPr>
          </w:pPr>
          <w:r w:rsidRPr="00AE39E0">
            <w:rPr>
              <w:rFonts w:ascii="Palatino Linotype" w:hAnsi="Palatino Linotype"/>
              <w:color w:val="auto"/>
              <w:sz w:val="24"/>
              <w:szCs w:val="24"/>
              <w:lang w:val="es-ES"/>
            </w:rPr>
            <w:t>Contenido</w:t>
          </w:r>
        </w:p>
        <w:p w14:paraId="3EB312A7" w14:textId="77777777" w:rsidR="00AA6EA9" w:rsidRPr="00AE39E0" w:rsidRDefault="00AA6EA9" w:rsidP="00AE39E0">
          <w:pPr>
            <w:spacing w:line="240" w:lineRule="auto"/>
            <w:rPr>
              <w:sz w:val="16"/>
              <w:szCs w:val="16"/>
              <w:lang w:val="es-ES" w:eastAsia="es-MX"/>
            </w:rPr>
          </w:pPr>
        </w:p>
        <w:p w14:paraId="7FD7658B" w14:textId="637C5117" w:rsidR="00AE39E0" w:rsidRPr="00AE39E0" w:rsidRDefault="00AE3DA7" w:rsidP="00AE39E0">
          <w:pPr>
            <w:pStyle w:val="TDC1"/>
            <w:tabs>
              <w:tab w:val="right" w:leader="dot" w:pos="9034"/>
            </w:tabs>
            <w:rPr>
              <w:rFonts w:asciiTheme="minorHAnsi" w:eastAsiaTheme="minorEastAsia" w:hAnsiTheme="minorHAnsi" w:cstheme="minorBidi"/>
              <w:noProof/>
              <w:szCs w:val="22"/>
              <w:lang w:eastAsia="es-MX"/>
            </w:rPr>
          </w:pPr>
          <w:r w:rsidRPr="00AE39E0">
            <w:rPr>
              <w:sz w:val="16"/>
              <w:szCs w:val="16"/>
            </w:rPr>
            <w:fldChar w:fldCharType="begin"/>
          </w:r>
          <w:r w:rsidRPr="00AE39E0">
            <w:rPr>
              <w:sz w:val="16"/>
              <w:szCs w:val="16"/>
            </w:rPr>
            <w:instrText xml:space="preserve"> TOC \o "1-3" \h \z \u </w:instrText>
          </w:r>
          <w:r w:rsidRPr="00AE39E0">
            <w:rPr>
              <w:sz w:val="16"/>
              <w:szCs w:val="16"/>
            </w:rPr>
            <w:fldChar w:fldCharType="separate"/>
          </w:r>
          <w:hyperlink w:anchor="_Toc201753619" w:history="1">
            <w:r w:rsidR="00AE39E0" w:rsidRPr="00AE39E0">
              <w:rPr>
                <w:rStyle w:val="Hipervnculo"/>
                <w:noProof/>
                <w:color w:val="auto"/>
              </w:rPr>
              <w:t>ANTECEDENTES</w:t>
            </w:r>
            <w:r w:rsidR="00AE39E0" w:rsidRPr="00AE39E0">
              <w:rPr>
                <w:noProof/>
                <w:webHidden/>
              </w:rPr>
              <w:tab/>
            </w:r>
            <w:r w:rsidR="00AE39E0" w:rsidRPr="00AE39E0">
              <w:rPr>
                <w:noProof/>
                <w:webHidden/>
              </w:rPr>
              <w:fldChar w:fldCharType="begin"/>
            </w:r>
            <w:r w:rsidR="00AE39E0" w:rsidRPr="00AE39E0">
              <w:rPr>
                <w:noProof/>
                <w:webHidden/>
              </w:rPr>
              <w:instrText xml:space="preserve"> PAGEREF _Toc201753619 \h </w:instrText>
            </w:r>
            <w:r w:rsidR="00AE39E0" w:rsidRPr="00AE39E0">
              <w:rPr>
                <w:noProof/>
                <w:webHidden/>
              </w:rPr>
            </w:r>
            <w:r w:rsidR="00AE39E0" w:rsidRPr="00AE39E0">
              <w:rPr>
                <w:noProof/>
                <w:webHidden/>
              </w:rPr>
              <w:fldChar w:fldCharType="separate"/>
            </w:r>
            <w:r w:rsidR="00A767E4">
              <w:rPr>
                <w:noProof/>
                <w:webHidden/>
              </w:rPr>
              <w:t>1</w:t>
            </w:r>
            <w:r w:rsidR="00AE39E0" w:rsidRPr="00AE39E0">
              <w:rPr>
                <w:noProof/>
                <w:webHidden/>
              </w:rPr>
              <w:fldChar w:fldCharType="end"/>
            </w:r>
          </w:hyperlink>
        </w:p>
        <w:p w14:paraId="055F76DE" w14:textId="50DEF139" w:rsidR="00AE39E0" w:rsidRPr="00AE39E0" w:rsidRDefault="00AE39E0" w:rsidP="00AE39E0">
          <w:pPr>
            <w:pStyle w:val="TDC2"/>
            <w:rPr>
              <w:rFonts w:asciiTheme="minorHAnsi" w:eastAsiaTheme="minorEastAsia" w:hAnsiTheme="minorHAnsi" w:cstheme="minorBidi"/>
              <w:noProof/>
              <w:szCs w:val="22"/>
              <w:lang w:eastAsia="es-MX"/>
            </w:rPr>
          </w:pPr>
          <w:hyperlink w:anchor="_Toc201753620" w:history="1">
            <w:r w:rsidRPr="00AE39E0">
              <w:rPr>
                <w:rStyle w:val="Hipervnculo"/>
                <w:noProof/>
                <w:color w:val="auto"/>
              </w:rPr>
              <w:t>DE LA SOLICITUD DE INFORMACIÓN</w:t>
            </w:r>
            <w:r w:rsidRPr="00AE39E0">
              <w:rPr>
                <w:noProof/>
                <w:webHidden/>
              </w:rPr>
              <w:tab/>
            </w:r>
            <w:r w:rsidRPr="00AE39E0">
              <w:rPr>
                <w:noProof/>
                <w:webHidden/>
              </w:rPr>
              <w:fldChar w:fldCharType="begin"/>
            </w:r>
            <w:r w:rsidRPr="00AE39E0">
              <w:rPr>
                <w:noProof/>
                <w:webHidden/>
              </w:rPr>
              <w:instrText xml:space="preserve"> PAGEREF _Toc201753620 \h </w:instrText>
            </w:r>
            <w:r w:rsidRPr="00AE39E0">
              <w:rPr>
                <w:noProof/>
                <w:webHidden/>
              </w:rPr>
            </w:r>
            <w:r w:rsidRPr="00AE39E0">
              <w:rPr>
                <w:noProof/>
                <w:webHidden/>
              </w:rPr>
              <w:fldChar w:fldCharType="separate"/>
            </w:r>
            <w:r w:rsidR="00A767E4">
              <w:rPr>
                <w:noProof/>
                <w:webHidden/>
              </w:rPr>
              <w:t>1</w:t>
            </w:r>
            <w:r w:rsidRPr="00AE39E0">
              <w:rPr>
                <w:noProof/>
                <w:webHidden/>
              </w:rPr>
              <w:fldChar w:fldCharType="end"/>
            </w:r>
          </w:hyperlink>
        </w:p>
        <w:p w14:paraId="3A5FCF62" w14:textId="06BCC242" w:rsidR="00AE39E0" w:rsidRPr="00AE39E0" w:rsidRDefault="00AE39E0" w:rsidP="00AE39E0">
          <w:pPr>
            <w:pStyle w:val="TDC3"/>
            <w:rPr>
              <w:rFonts w:asciiTheme="minorHAnsi" w:eastAsiaTheme="minorEastAsia" w:hAnsiTheme="minorHAnsi" w:cstheme="minorBidi"/>
              <w:noProof/>
              <w:szCs w:val="22"/>
              <w:lang w:eastAsia="es-MX"/>
            </w:rPr>
          </w:pPr>
          <w:hyperlink w:anchor="_Toc201753621" w:history="1">
            <w:r w:rsidRPr="00AE39E0">
              <w:rPr>
                <w:rStyle w:val="Hipervnculo"/>
                <w:noProof/>
                <w:color w:val="auto"/>
              </w:rPr>
              <w:t>a) Solicitud de información</w:t>
            </w:r>
            <w:r w:rsidRPr="00AE39E0">
              <w:rPr>
                <w:noProof/>
                <w:webHidden/>
              </w:rPr>
              <w:tab/>
            </w:r>
            <w:r w:rsidRPr="00AE39E0">
              <w:rPr>
                <w:noProof/>
                <w:webHidden/>
              </w:rPr>
              <w:fldChar w:fldCharType="begin"/>
            </w:r>
            <w:r w:rsidRPr="00AE39E0">
              <w:rPr>
                <w:noProof/>
                <w:webHidden/>
              </w:rPr>
              <w:instrText xml:space="preserve"> PAGEREF _Toc201753621 \h </w:instrText>
            </w:r>
            <w:r w:rsidRPr="00AE39E0">
              <w:rPr>
                <w:noProof/>
                <w:webHidden/>
              </w:rPr>
            </w:r>
            <w:r w:rsidRPr="00AE39E0">
              <w:rPr>
                <w:noProof/>
                <w:webHidden/>
              </w:rPr>
              <w:fldChar w:fldCharType="separate"/>
            </w:r>
            <w:r w:rsidR="00A767E4">
              <w:rPr>
                <w:noProof/>
                <w:webHidden/>
              </w:rPr>
              <w:t>1</w:t>
            </w:r>
            <w:r w:rsidRPr="00AE39E0">
              <w:rPr>
                <w:noProof/>
                <w:webHidden/>
              </w:rPr>
              <w:fldChar w:fldCharType="end"/>
            </w:r>
          </w:hyperlink>
        </w:p>
        <w:p w14:paraId="08A3A6F1" w14:textId="2E2BB7D5" w:rsidR="00AE39E0" w:rsidRPr="00AE39E0" w:rsidRDefault="00AE39E0" w:rsidP="00AE39E0">
          <w:pPr>
            <w:pStyle w:val="TDC3"/>
            <w:rPr>
              <w:rFonts w:asciiTheme="minorHAnsi" w:eastAsiaTheme="minorEastAsia" w:hAnsiTheme="minorHAnsi" w:cstheme="minorBidi"/>
              <w:noProof/>
              <w:szCs w:val="22"/>
              <w:lang w:eastAsia="es-MX"/>
            </w:rPr>
          </w:pPr>
          <w:hyperlink w:anchor="_Toc201753622" w:history="1">
            <w:r w:rsidRPr="00AE39E0">
              <w:rPr>
                <w:rStyle w:val="Hipervnculo"/>
                <w:noProof/>
                <w:color w:val="auto"/>
              </w:rPr>
              <w:t xml:space="preserve">b) </w:t>
            </w:r>
            <w:r w:rsidRPr="00AE39E0">
              <w:rPr>
                <w:rStyle w:val="Hipervnculo"/>
                <w:noProof/>
                <w:color w:val="auto"/>
                <w:lang w:val="es-ES"/>
              </w:rPr>
              <w:t xml:space="preserve">Respuesta </w:t>
            </w:r>
            <w:r w:rsidRPr="00AE39E0">
              <w:rPr>
                <w:rStyle w:val="Hipervnculo"/>
                <w:rFonts w:eastAsia="Calibri"/>
                <w:noProof/>
                <w:color w:val="auto"/>
                <w:lang w:eastAsia="en-US"/>
              </w:rPr>
              <w:t>del Sujeto Obligado</w:t>
            </w:r>
            <w:r w:rsidRPr="00AE39E0">
              <w:rPr>
                <w:noProof/>
                <w:webHidden/>
              </w:rPr>
              <w:tab/>
            </w:r>
            <w:r w:rsidRPr="00AE39E0">
              <w:rPr>
                <w:noProof/>
                <w:webHidden/>
              </w:rPr>
              <w:fldChar w:fldCharType="begin"/>
            </w:r>
            <w:r w:rsidRPr="00AE39E0">
              <w:rPr>
                <w:noProof/>
                <w:webHidden/>
              </w:rPr>
              <w:instrText xml:space="preserve"> PAGEREF _Toc201753622 \h </w:instrText>
            </w:r>
            <w:r w:rsidRPr="00AE39E0">
              <w:rPr>
                <w:noProof/>
                <w:webHidden/>
              </w:rPr>
            </w:r>
            <w:r w:rsidRPr="00AE39E0">
              <w:rPr>
                <w:noProof/>
                <w:webHidden/>
              </w:rPr>
              <w:fldChar w:fldCharType="separate"/>
            </w:r>
            <w:r w:rsidR="00A767E4">
              <w:rPr>
                <w:noProof/>
                <w:webHidden/>
              </w:rPr>
              <w:t>2</w:t>
            </w:r>
            <w:r w:rsidRPr="00AE39E0">
              <w:rPr>
                <w:noProof/>
                <w:webHidden/>
              </w:rPr>
              <w:fldChar w:fldCharType="end"/>
            </w:r>
          </w:hyperlink>
        </w:p>
        <w:p w14:paraId="094811D8" w14:textId="2FA56EC6" w:rsidR="00AE39E0" w:rsidRPr="00AE39E0" w:rsidRDefault="00AE39E0" w:rsidP="00AE39E0">
          <w:pPr>
            <w:pStyle w:val="TDC2"/>
            <w:rPr>
              <w:rFonts w:asciiTheme="minorHAnsi" w:eastAsiaTheme="minorEastAsia" w:hAnsiTheme="minorHAnsi" w:cstheme="minorBidi"/>
              <w:noProof/>
              <w:szCs w:val="22"/>
              <w:lang w:eastAsia="es-MX"/>
            </w:rPr>
          </w:pPr>
          <w:hyperlink w:anchor="_Toc201753623" w:history="1">
            <w:r w:rsidRPr="00AE39E0">
              <w:rPr>
                <w:rStyle w:val="Hipervnculo"/>
                <w:noProof/>
                <w:color w:val="auto"/>
              </w:rPr>
              <w:t>DEL RECURSO DE REVISIÓN</w:t>
            </w:r>
            <w:r w:rsidRPr="00AE39E0">
              <w:rPr>
                <w:noProof/>
                <w:webHidden/>
              </w:rPr>
              <w:tab/>
            </w:r>
            <w:r w:rsidRPr="00AE39E0">
              <w:rPr>
                <w:noProof/>
                <w:webHidden/>
              </w:rPr>
              <w:fldChar w:fldCharType="begin"/>
            </w:r>
            <w:r w:rsidRPr="00AE39E0">
              <w:rPr>
                <w:noProof/>
                <w:webHidden/>
              </w:rPr>
              <w:instrText xml:space="preserve"> PAGEREF _Toc201753623 \h </w:instrText>
            </w:r>
            <w:r w:rsidRPr="00AE39E0">
              <w:rPr>
                <w:noProof/>
                <w:webHidden/>
              </w:rPr>
            </w:r>
            <w:r w:rsidRPr="00AE39E0">
              <w:rPr>
                <w:noProof/>
                <w:webHidden/>
              </w:rPr>
              <w:fldChar w:fldCharType="separate"/>
            </w:r>
            <w:r w:rsidR="00A767E4">
              <w:rPr>
                <w:noProof/>
                <w:webHidden/>
              </w:rPr>
              <w:t>3</w:t>
            </w:r>
            <w:r w:rsidRPr="00AE39E0">
              <w:rPr>
                <w:noProof/>
                <w:webHidden/>
              </w:rPr>
              <w:fldChar w:fldCharType="end"/>
            </w:r>
          </w:hyperlink>
        </w:p>
        <w:p w14:paraId="2CE137FA" w14:textId="664BC80C" w:rsidR="00AE39E0" w:rsidRPr="00AE39E0" w:rsidRDefault="00AE39E0" w:rsidP="00AE39E0">
          <w:pPr>
            <w:pStyle w:val="TDC3"/>
            <w:rPr>
              <w:rFonts w:asciiTheme="minorHAnsi" w:eastAsiaTheme="minorEastAsia" w:hAnsiTheme="minorHAnsi" w:cstheme="minorBidi"/>
              <w:noProof/>
              <w:szCs w:val="22"/>
              <w:lang w:eastAsia="es-MX"/>
            </w:rPr>
          </w:pPr>
          <w:hyperlink w:anchor="_Toc201753624" w:history="1">
            <w:r w:rsidRPr="00AE39E0">
              <w:rPr>
                <w:rStyle w:val="Hipervnculo"/>
                <w:noProof/>
                <w:color w:val="auto"/>
              </w:rPr>
              <w:t>a) Interposición del Recurso de Revisión</w:t>
            </w:r>
            <w:r w:rsidRPr="00AE39E0">
              <w:rPr>
                <w:noProof/>
                <w:webHidden/>
              </w:rPr>
              <w:tab/>
            </w:r>
            <w:r w:rsidRPr="00AE39E0">
              <w:rPr>
                <w:noProof/>
                <w:webHidden/>
              </w:rPr>
              <w:fldChar w:fldCharType="begin"/>
            </w:r>
            <w:r w:rsidRPr="00AE39E0">
              <w:rPr>
                <w:noProof/>
                <w:webHidden/>
              </w:rPr>
              <w:instrText xml:space="preserve"> PAGEREF _Toc201753624 \h </w:instrText>
            </w:r>
            <w:r w:rsidRPr="00AE39E0">
              <w:rPr>
                <w:noProof/>
                <w:webHidden/>
              </w:rPr>
            </w:r>
            <w:r w:rsidRPr="00AE39E0">
              <w:rPr>
                <w:noProof/>
                <w:webHidden/>
              </w:rPr>
              <w:fldChar w:fldCharType="separate"/>
            </w:r>
            <w:r w:rsidR="00A767E4">
              <w:rPr>
                <w:noProof/>
                <w:webHidden/>
              </w:rPr>
              <w:t>3</w:t>
            </w:r>
            <w:r w:rsidRPr="00AE39E0">
              <w:rPr>
                <w:noProof/>
                <w:webHidden/>
              </w:rPr>
              <w:fldChar w:fldCharType="end"/>
            </w:r>
          </w:hyperlink>
        </w:p>
        <w:p w14:paraId="572D479D" w14:textId="1B072B9D" w:rsidR="00AE39E0" w:rsidRPr="00AE39E0" w:rsidRDefault="00AE39E0" w:rsidP="00AE39E0">
          <w:pPr>
            <w:pStyle w:val="TDC3"/>
            <w:rPr>
              <w:rFonts w:asciiTheme="minorHAnsi" w:eastAsiaTheme="minorEastAsia" w:hAnsiTheme="minorHAnsi" w:cstheme="minorBidi"/>
              <w:noProof/>
              <w:szCs w:val="22"/>
              <w:lang w:eastAsia="es-MX"/>
            </w:rPr>
          </w:pPr>
          <w:hyperlink w:anchor="_Toc201753625" w:history="1">
            <w:r w:rsidRPr="00AE39E0">
              <w:rPr>
                <w:rStyle w:val="Hipervnculo"/>
                <w:noProof/>
                <w:color w:val="auto"/>
              </w:rPr>
              <w:t>b) Turno del Recurso de Revisión</w:t>
            </w:r>
            <w:r w:rsidRPr="00AE39E0">
              <w:rPr>
                <w:noProof/>
                <w:webHidden/>
              </w:rPr>
              <w:tab/>
            </w:r>
            <w:r w:rsidRPr="00AE39E0">
              <w:rPr>
                <w:noProof/>
                <w:webHidden/>
              </w:rPr>
              <w:fldChar w:fldCharType="begin"/>
            </w:r>
            <w:r w:rsidRPr="00AE39E0">
              <w:rPr>
                <w:noProof/>
                <w:webHidden/>
              </w:rPr>
              <w:instrText xml:space="preserve"> PAGEREF _Toc201753625 \h </w:instrText>
            </w:r>
            <w:r w:rsidRPr="00AE39E0">
              <w:rPr>
                <w:noProof/>
                <w:webHidden/>
              </w:rPr>
            </w:r>
            <w:r w:rsidRPr="00AE39E0">
              <w:rPr>
                <w:noProof/>
                <w:webHidden/>
              </w:rPr>
              <w:fldChar w:fldCharType="separate"/>
            </w:r>
            <w:r w:rsidR="00A767E4">
              <w:rPr>
                <w:noProof/>
                <w:webHidden/>
              </w:rPr>
              <w:t>4</w:t>
            </w:r>
            <w:r w:rsidRPr="00AE39E0">
              <w:rPr>
                <w:noProof/>
                <w:webHidden/>
              </w:rPr>
              <w:fldChar w:fldCharType="end"/>
            </w:r>
          </w:hyperlink>
        </w:p>
        <w:p w14:paraId="7F212B0C" w14:textId="6FCC8DB1" w:rsidR="00AE39E0" w:rsidRPr="00AE39E0" w:rsidRDefault="00AE39E0" w:rsidP="00AE39E0">
          <w:pPr>
            <w:pStyle w:val="TDC3"/>
            <w:rPr>
              <w:rFonts w:asciiTheme="minorHAnsi" w:eastAsiaTheme="minorEastAsia" w:hAnsiTheme="minorHAnsi" w:cstheme="minorBidi"/>
              <w:noProof/>
              <w:szCs w:val="22"/>
              <w:lang w:eastAsia="es-MX"/>
            </w:rPr>
          </w:pPr>
          <w:hyperlink w:anchor="_Toc201753626" w:history="1">
            <w:r w:rsidRPr="00AE39E0">
              <w:rPr>
                <w:rStyle w:val="Hipervnculo"/>
                <w:noProof/>
                <w:color w:val="auto"/>
              </w:rPr>
              <w:t>c) Admisión del Recurso de Revisión</w:t>
            </w:r>
            <w:r w:rsidRPr="00AE39E0">
              <w:rPr>
                <w:noProof/>
                <w:webHidden/>
              </w:rPr>
              <w:tab/>
            </w:r>
            <w:r w:rsidRPr="00AE39E0">
              <w:rPr>
                <w:noProof/>
                <w:webHidden/>
              </w:rPr>
              <w:fldChar w:fldCharType="begin"/>
            </w:r>
            <w:r w:rsidRPr="00AE39E0">
              <w:rPr>
                <w:noProof/>
                <w:webHidden/>
              </w:rPr>
              <w:instrText xml:space="preserve"> PAGEREF _Toc201753626 \h </w:instrText>
            </w:r>
            <w:r w:rsidRPr="00AE39E0">
              <w:rPr>
                <w:noProof/>
                <w:webHidden/>
              </w:rPr>
            </w:r>
            <w:r w:rsidRPr="00AE39E0">
              <w:rPr>
                <w:noProof/>
                <w:webHidden/>
              </w:rPr>
              <w:fldChar w:fldCharType="separate"/>
            </w:r>
            <w:r w:rsidR="00A767E4">
              <w:rPr>
                <w:noProof/>
                <w:webHidden/>
              </w:rPr>
              <w:t>4</w:t>
            </w:r>
            <w:r w:rsidRPr="00AE39E0">
              <w:rPr>
                <w:noProof/>
                <w:webHidden/>
              </w:rPr>
              <w:fldChar w:fldCharType="end"/>
            </w:r>
          </w:hyperlink>
        </w:p>
        <w:p w14:paraId="367D6378" w14:textId="5233AAB7" w:rsidR="00AE39E0" w:rsidRPr="00AE39E0" w:rsidRDefault="00AE39E0" w:rsidP="00AE39E0">
          <w:pPr>
            <w:pStyle w:val="TDC3"/>
            <w:rPr>
              <w:rFonts w:asciiTheme="minorHAnsi" w:eastAsiaTheme="minorEastAsia" w:hAnsiTheme="minorHAnsi" w:cstheme="minorBidi"/>
              <w:noProof/>
              <w:szCs w:val="22"/>
              <w:lang w:eastAsia="es-MX"/>
            </w:rPr>
          </w:pPr>
          <w:hyperlink w:anchor="_Toc201753627" w:history="1">
            <w:r w:rsidRPr="00AE39E0">
              <w:rPr>
                <w:rStyle w:val="Hipervnculo"/>
                <w:noProof/>
                <w:color w:val="auto"/>
              </w:rPr>
              <w:t>d) Informe Justificado del Sujeto Obligado</w:t>
            </w:r>
            <w:r w:rsidRPr="00AE39E0">
              <w:rPr>
                <w:noProof/>
                <w:webHidden/>
              </w:rPr>
              <w:tab/>
            </w:r>
            <w:r w:rsidRPr="00AE39E0">
              <w:rPr>
                <w:noProof/>
                <w:webHidden/>
              </w:rPr>
              <w:fldChar w:fldCharType="begin"/>
            </w:r>
            <w:r w:rsidRPr="00AE39E0">
              <w:rPr>
                <w:noProof/>
                <w:webHidden/>
              </w:rPr>
              <w:instrText xml:space="preserve"> PAGEREF _Toc201753627 \h </w:instrText>
            </w:r>
            <w:r w:rsidRPr="00AE39E0">
              <w:rPr>
                <w:noProof/>
                <w:webHidden/>
              </w:rPr>
            </w:r>
            <w:r w:rsidRPr="00AE39E0">
              <w:rPr>
                <w:noProof/>
                <w:webHidden/>
              </w:rPr>
              <w:fldChar w:fldCharType="separate"/>
            </w:r>
            <w:r w:rsidR="00A767E4">
              <w:rPr>
                <w:noProof/>
                <w:webHidden/>
              </w:rPr>
              <w:t>4</w:t>
            </w:r>
            <w:r w:rsidRPr="00AE39E0">
              <w:rPr>
                <w:noProof/>
                <w:webHidden/>
              </w:rPr>
              <w:fldChar w:fldCharType="end"/>
            </w:r>
          </w:hyperlink>
        </w:p>
        <w:p w14:paraId="035DD308" w14:textId="7C0AF719" w:rsidR="00AE39E0" w:rsidRPr="00AE39E0" w:rsidRDefault="00AE39E0" w:rsidP="00AE39E0">
          <w:pPr>
            <w:pStyle w:val="TDC3"/>
            <w:rPr>
              <w:rFonts w:asciiTheme="minorHAnsi" w:eastAsiaTheme="minorEastAsia" w:hAnsiTheme="minorHAnsi" w:cstheme="minorBidi"/>
              <w:noProof/>
              <w:szCs w:val="22"/>
              <w:lang w:eastAsia="es-MX"/>
            </w:rPr>
          </w:pPr>
          <w:hyperlink w:anchor="_Toc201753628" w:history="1">
            <w:r w:rsidRPr="00AE39E0">
              <w:rPr>
                <w:rStyle w:val="Hipervnculo"/>
                <w:rFonts w:eastAsia="Calibri"/>
                <w:bCs/>
                <w:noProof/>
                <w:color w:val="auto"/>
                <w:lang w:eastAsia="en-US"/>
              </w:rPr>
              <w:t>e)</w:t>
            </w:r>
            <w:r w:rsidRPr="00AE39E0">
              <w:rPr>
                <w:rStyle w:val="Hipervnculo"/>
                <w:noProof/>
                <w:color w:val="auto"/>
              </w:rPr>
              <w:t xml:space="preserve"> </w:t>
            </w:r>
            <w:r w:rsidRPr="00AE39E0">
              <w:rPr>
                <w:rStyle w:val="Hipervnculo"/>
                <w:noProof/>
                <w:color w:val="auto"/>
                <w:lang w:val="es-ES"/>
              </w:rPr>
              <w:t>Manifestaciones de la Parte Recurrente</w:t>
            </w:r>
            <w:r w:rsidRPr="00AE39E0">
              <w:rPr>
                <w:noProof/>
                <w:webHidden/>
              </w:rPr>
              <w:tab/>
            </w:r>
            <w:r w:rsidRPr="00AE39E0">
              <w:rPr>
                <w:noProof/>
                <w:webHidden/>
              </w:rPr>
              <w:fldChar w:fldCharType="begin"/>
            </w:r>
            <w:r w:rsidRPr="00AE39E0">
              <w:rPr>
                <w:noProof/>
                <w:webHidden/>
              </w:rPr>
              <w:instrText xml:space="preserve"> PAGEREF _Toc201753628 \h </w:instrText>
            </w:r>
            <w:r w:rsidRPr="00AE39E0">
              <w:rPr>
                <w:noProof/>
                <w:webHidden/>
              </w:rPr>
            </w:r>
            <w:r w:rsidRPr="00AE39E0">
              <w:rPr>
                <w:noProof/>
                <w:webHidden/>
              </w:rPr>
              <w:fldChar w:fldCharType="separate"/>
            </w:r>
            <w:r w:rsidR="00A767E4">
              <w:rPr>
                <w:noProof/>
                <w:webHidden/>
              </w:rPr>
              <w:t>5</w:t>
            </w:r>
            <w:r w:rsidRPr="00AE39E0">
              <w:rPr>
                <w:noProof/>
                <w:webHidden/>
              </w:rPr>
              <w:fldChar w:fldCharType="end"/>
            </w:r>
          </w:hyperlink>
        </w:p>
        <w:p w14:paraId="4175849E" w14:textId="334FEAC0" w:rsidR="00AE39E0" w:rsidRPr="00AE39E0" w:rsidRDefault="00AE39E0" w:rsidP="00AE39E0">
          <w:pPr>
            <w:pStyle w:val="TDC3"/>
            <w:rPr>
              <w:rFonts w:asciiTheme="minorHAnsi" w:eastAsiaTheme="minorEastAsia" w:hAnsiTheme="minorHAnsi" w:cstheme="minorBidi"/>
              <w:noProof/>
              <w:szCs w:val="22"/>
              <w:lang w:eastAsia="es-MX"/>
            </w:rPr>
          </w:pPr>
          <w:hyperlink w:anchor="_Toc201753629" w:history="1">
            <w:r w:rsidRPr="00AE39E0">
              <w:rPr>
                <w:rStyle w:val="Hipervnculo"/>
                <w:rFonts w:eastAsia="Calibri"/>
                <w:noProof/>
                <w:color w:val="auto"/>
              </w:rPr>
              <w:t>f) Ampliación de Plazo para Resolver</w:t>
            </w:r>
            <w:r w:rsidRPr="00AE39E0">
              <w:rPr>
                <w:noProof/>
                <w:webHidden/>
              </w:rPr>
              <w:tab/>
            </w:r>
            <w:r w:rsidRPr="00AE39E0">
              <w:rPr>
                <w:noProof/>
                <w:webHidden/>
              </w:rPr>
              <w:fldChar w:fldCharType="begin"/>
            </w:r>
            <w:r w:rsidRPr="00AE39E0">
              <w:rPr>
                <w:noProof/>
                <w:webHidden/>
              </w:rPr>
              <w:instrText xml:space="preserve"> PAGEREF _Toc201753629 \h </w:instrText>
            </w:r>
            <w:r w:rsidRPr="00AE39E0">
              <w:rPr>
                <w:noProof/>
                <w:webHidden/>
              </w:rPr>
            </w:r>
            <w:r w:rsidRPr="00AE39E0">
              <w:rPr>
                <w:noProof/>
                <w:webHidden/>
              </w:rPr>
              <w:fldChar w:fldCharType="separate"/>
            </w:r>
            <w:r w:rsidR="00A767E4">
              <w:rPr>
                <w:noProof/>
                <w:webHidden/>
              </w:rPr>
              <w:t>6</w:t>
            </w:r>
            <w:r w:rsidRPr="00AE39E0">
              <w:rPr>
                <w:noProof/>
                <w:webHidden/>
              </w:rPr>
              <w:fldChar w:fldCharType="end"/>
            </w:r>
          </w:hyperlink>
        </w:p>
        <w:p w14:paraId="546D6967" w14:textId="073485D5" w:rsidR="00AE39E0" w:rsidRPr="00AE39E0" w:rsidRDefault="00AE39E0" w:rsidP="00AE39E0">
          <w:pPr>
            <w:pStyle w:val="TDC3"/>
            <w:rPr>
              <w:rFonts w:asciiTheme="minorHAnsi" w:eastAsiaTheme="minorEastAsia" w:hAnsiTheme="minorHAnsi" w:cstheme="minorBidi"/>
              <w:noProof/>
              <w:szCs w:val="22"/>
              <w:lang w:eastAsia="es-MX"/>
            </w:rPr>
          </w:pPr>
          <w:hyperlink w:anchor="_Toc201753630" w:history="1">
            <w:r w:rsidRPr="00AE39E0">
              <w:rPr>
                <w:rStyle w:val="Hipervnculo"/>
                <w:noProof/>
                <w:color w:val="auto"/>
                <w:lang w:val="es-ES"/>
              </w:rPr>
              <w:t>g) Requerimiento de Información Adicional</w:t>
            </w:r>
            <w:r w:rsidRPr="00AE39E0">
              <w:rPr>
                <w:noProof/>
                <w:webHidden/>
              </w:rPr>
              <w:tab/>
            </w:r>
            <w:r w:rsidRPr="00AE39E0">
              <w:rPr>
                <w:noProof/>
                <w:webHidden/>
              </w:rPr>
              <w:fldChar w:fldCharType="begin"/>
            </w:r>
            <w:r w:rsidRPr="00AE39E0">
              <w:rPr>
                <w:noProof/>
                <w:webHidden/>
              </w:rPr>
              <w:instrText xml:space="preserve"> PAGEREF _Toc201753630 \h </w:instrText>
            </w:r>
            <w:r w:rsidRPr="00AE39E0">
              <w:rPr>
                <w:noProof/>
                <w:webHidden/>
              </w:rPr>
            </w:r>
            <w:r w:rsidRPr="00AE39E0">
              <w:rPr>
                <w:noProof/>
                <w:webHidden/>
              </w:rPr>
              <w:fldChar w:fldCharType="separate"/>
            </w:r>
            <w:r w:rsidR="00A767E4">
              <w:rPr>
                <w:noProof/>
                <w:webHidden/>
              </w:rPr>
              <w:t>9</w:t>
            </w:r>
            <w:r w:rsidRPr="00AE39E0">
              <w:rPr>
                <w:noProof/>
                <w:webHidden/>
              </w:rPr>
              <w:fldChar w:fldCharType="end"/>
            </w:r>
          </w:hyperlink>
        </w:p>
        <w:p w14:paraId="0471839E" w14:textId="42DFDAC2" w:rsidR="00AE39E0" w:rsidRPr="00AE39E0" w:rsidRDefault="00AE39E0" w:rsidP="00AE39E0">
          <w:pPr>
            <w:pStyle w:val="TDC3"/>
            <w:rPr>
              <w:rFonts w:asciiTheme="minorHAnsi" w:eastAsiaTheme="minorEastAsia" w:hAnsiTheme="minorHAnsi" w:cstheme="minorBidi"/>
              <w:noProof/>
              <w:szCs w:val="22"/>
              <w:lang w:eastAsia="es-MX"/>
            </w:rPr>
          </w:pPr>
          <w:hyperlink w:anchor="_Toc201753631" w:history="1">
            <w:r w:rsidRPr="00AE39E0">
              <w:rPr>
                <w:rStyle w:val="Hipervnculo"/>
                <w:rFonts w:eastAsia="Calibri"/>
                <w:noProof/>
                <w:color w:val="auto"/>
              </w:rPr>
              <w:t xml:space="preserve">h) </w:t>
            </w:r>
            <w:r w:rsidRPr="00AE39E0">
              <w:rPr>
                <w:rStyle w:val="Hipervnculo"/>
                <w:noProof/>
                <w:color w:val="auto"/>
              </w:rPr>
              <w:t>Cierre de instrucción</w:t>
            </w:r>
            <w:r w:rsidRPr="00AE39E0">
              <w:rPr>
                <w:noProof/>
                <w:webHidden/>
              </w:rPr>
              <w:tab/>
            </w:r>
            <w:r w:rsidRPr="00AE39E0">
              <w:rPr>
                <w:noProof/>
                <w:webHidden/>
              </w:rPr>
              <w:fldChar w:fldCharType="begin"/>
            </w:r>
            <w:r w:rsidRPr="00AE39E0">
              <w:rPr>
                <w:noProof/>
                <w:webHidden/>
              </w:rPr>
              <w:instrText xml:space="preserve"> PAGEREF _Toc201753631 \h </w:instrText>
            </w:r>
            <w:r w:rsidRPr="00AE39E0">
              <w:rPr>
                <w:noProof/>
                <w:webHidden/>
              </w:rPr>
            </w:r>
            <w:r w:rsidRPr="00AE39E0">
              <w:rPr>
                <w:noProof/>
                <w:webHidden/>
              </w:rPr>
              <w:fldChar w:fldCharType="separate"/>
            </w:r>
            <w:r w:rsidR="00A767E4">
              <w:rPr>
                <w:noProof/>
                <w:webHidden/>
              </w:rPr>
              <w:t>9</w:t>
            </w:r>
            <w:r w:rsidRPr="00AE39E0">
              <w:rPr>
                <w:noProof/>
                <w:webHidden/>
              </w:rPr>
              <w:fldChar w:fldCharType="end"/>
            </w:r>
          </w:hyperlink>
        </w:p>
        <w:p w14:paraId="11D2E6CB" w14:textId="1C9D0BC8" w:rsidR="00AE39E0" w:rsidRPr="00AE39E0" w:rsidRDefault="00AE39E0" w:rsidP="00AE39E0">
          <w:pPr>
            <w:pStyle w:val="TDC1"/>
            <w:tabs>
              <w:tab w:val="right" w:leader="dot" w:pos="9034"/>
            </w:tabs>
            <w:rPr>
              <w:rFonts w:asciiTheme="minorHAnsi" w:eastAsiaTheme="minorEastAsia" w:hAnsiTheme="minorHAnsi" w:cstheme="minorBidi"/>
              <w:noProof/>
              <w:szCs w:val="22"/>
              <w:lang w:eastAsia="es-MX"/>
            </w:rPr>
          </w:pPr>
          <w:hyperlink w:anchor="_Toc201753632" w:history="1">
            <w:r w:rsidRPr="00AE39E0">
              <w:rPr>
                <w:rStyle w:val="Hipervnculo"/>
                <w:rFonts w:eastAsiaTheme="minorHAnsi"/>
                <w:noProof/>
                <w:color w:val="auto"/>
                <w:lang w:eastAsia="en-US"/>
              </w:rPr>
              <w:t>CONSIDERANDOS</w:t>
            </w:r>
            <w:r w:rsidRPr="00AE39E0">
              <w:rPr>
                <w:noProof/>
                <w:webHidden/>
              </w:rPr>
              <w:tab/>
            </w:r>
            <w:r w:rsidRPr="00AE39E0">
              <w:rPr>
                <w:noProof/>
                <w:webHidden/>
              </w:rPr>
              <w:fldChar w:fldCharType="begin"/>
            </w:r>
            <w:r w:rsidRPr="00AE39E0">
              <w:rPr>
                <w:noProof/>
                <w:webHidden/>
              </w:rPr>
              <w:instrText xml:space="preserve"> PAGEREF _Toc201753632 \h </w:instrText>
            </w:r>
            <w:r w:rsidRPr="00AE39E0">
              <w:rPr>
                <w:noProof/>
                <w:webHidden/>
              </w:rPr>
            </w:r>
            <w:r w:rsidRPr="00AE39E0">
              <w:rPr>
                <w:noProof/>
                <w:webHidden/>
              </w:rPr>
              <w:fldChar w:fldCharType="separate"/>
            </w:r>
            <w:r w:rsidR="00A767E4">
              <w:rPr>
                <w:noProof/>
                <w:webHidden/>
              </w:rPr>
              <w:t>9</w:t>
            </w:r>
            <w:r w:rsidRPr="00AE39E0">
              <w:rPr>
                <w:noProof/>
                <w:webHidden/>
              </w:rPr>
              <w:fldChar w:fldCharType="end"/>
            </w:r>
          </w:hyperlink>
        </w:p>
        <w:p w14:paraId="62ECBB88" w14:textId="7163B106" w:rsidR="00AE39E0" w:rsidRPr="00AE39E0" w:rsidRDefault="00AE39E0" w:rsidP="00AE39E0">
          <w:pPr>
            <w:pStyle w:val="TDC2"/>
            <w:rPr>
              <w:rFonts w:asciiTheme="minorHAnsi" w:eastAsiaTheme="minorEastAsia" w:hAnsiTheme="minorHAnsi" w:cstheme="minorBidi"/>
              <w:noProof/>
              <w:szCs w:val="22"/>
              <w:lang w:eastAsia="es-MX"/>
            </w:rPr>
          </w:pPr>
          <w:hyperlink w:anchor="_Toc201753633" w:history="1">
            <w:r w:rsidRPr="00AE39E0">
              <w:rPr>
                <w:rStyle w:val="Hipervnculo"/>
                <w:rFonts w:eastAsia="Batang"/>
                <w:noProof/>
                <w:color w:val="auto"/>
              </w:rPr>
              <w:t>PRIMERO. Procedibilidad</w:t>
            </w:r>
            <w:r w:rsidRPr="00AE39E0">
              <w:rPr>
                <w:noProof/>
                <w:webHidden/>
              </w:rPr>
              <w:tab/>
            </w:r>
            <w:r w:rsidRPr="00AE39E0">
              <w:rPr>
                <w:noProof/>
                <w:webHidden/>
              </w:rPr>
              <w:fldChar w:fldCharType="begin"/>
            </w:r>
            <w:r w:rsidRPr="00AE39E0">
              <w:rPr>
                <w:noProof/>
                <w:webHidden/>
              </w:rPr>
              <w:instrText xml:space="preserve"> PAGEREF _Toc201753633 \h </w:instrText>
            </w:r>
            <w:r w:rsidRPr="00AE39E0">
              <w:rPr>
                <w:noProof/>
                <w:webHidden/>
              </w:rPr>
            </w:r>
            <w:r w:rsidRPr="00AE39E0">
              <w:rPr>
                <w:noProof/>
                <w:webHidden/>
              </w:rPr>
              <w:fldChar w:fldCharType="separate"/>
            </w:r>
            <w:r w:rsidR="00A767E4">
              <w:rPr>
                <w:noProof/>
                <w:webHidden/>
              </w:rPr>
              <w:t>10</w:t>
            </w:r>
            <w:r w:rsidRPr="00AE39E0">
              <w:rPr>
                <w:noProof/>
                <w:webHidden/>
              </w:rPr>
              <w:fldChar w:fldCharType="end"/>
            </w:r>
          </w:hyperlink>
        </w:p>
        <w:p w14:paraId="2EE33CAE" w14:textId="2C39CB37" w:rsidR="00AE39E0" w:rsidRPr="00AE39E0" w:rsidRDefault="00AE39E0" w:rsidP="00AE39E0">
          <w:pPr>
            <w:pStyle w:val="TDC3"/>
            <w:rPr>
              <w:rFonts w:asciiTheme="minorHAnsi" w:eastAsiaTheme="minorEastAsia" w:hAnsiTheme="minorHAnsi" w:cstheme="minorBidi"/>
              <w:noProof/>
              <w:szCs w:val="22"/>
              <w:lang w:eastAsia="es-MX"/>
            </w:rPr>
          </w:pPr>
          <w:hyperlink w:anchor="_Toc201753634" w:history="1">
            <w:r w:rsidRPr="00AE39E0">
              <w:rPr>
                <w:rStyle w:val="Hipervnculo"/>
                <w:noProof/>
                <w:color w:val="auto"/>
              </w:rPr>
              <w:t>a) Competencia del Instituto</w:t>
            </w:r>
            <w:r w:rsidRPr="00AE39E0">
              <w:rPr>
                <w:noProof/>
                <w:webHidden/>
              </w:rPr>
              <w:tab/>
            </w:r>
            <w:r w:rsidRPr="00AE39E0">
              <w:rPr>
                <w:noProof/>
                <w:webHidden/>
              </w:rPr>
              <w:fldChar w:fldCharType="begin"/>
            </w:r>
            <w:r w:rsidRPr="00AE39E0">
              <w:rPr>
                <w:noProof/>
                <w:webHidden/>
              </w:rPr>
              <w:instrText xml:space="preserve"> PAGEREF _Toc201753634 \h </w:instrText>
            </w:r>
            <w:r w:rsidRPr="00AE39E0">
              <w:rPr>
                <w:noProof/>
                <w:webHidden/>
              </w:rPr>
            </w:r>
            <w:r w:rsidRPr="00AE39E0">
              <w:rPr>
                <w:noProof/>
                <w:webHidden/>
              </w:rPr>
              <w:fldChar w:fldCharType="separate"/>
            </w:r>
            <w:r w:rsidR="00A767E4">
              <w:rPr>
                <w:noProof/>
                <w:webHidden/>
              </w:rPr>
              <w:t>10</w:t>
            </w:r>
            <w:r w:rsidRPr="00AE39E0">
              <w:rPr>
                <w:noProof/>
                <w:webHidden/>
              </w:rPr>
              <w:fldChar w:fldCharType="end"/>
            </w:r>
          </w:hyperlink>
        </w:p>
        <w:p w14:paraId="5E9BA4BE" w14:textId="682C59C0" w:rsidR="00AE39E0" w:rsidRPr="00AE39E0" w:rsidRDefault="00AE39E0" w:rsidP="00AE39E0">
          <w:pPr>
            <w:pStyle w:val="TDC3"/>
            <w:rPr>
              <w:rFonts w:asciiTheme="minorHAnsi" w:eastAsiaTheme="minorEastAsia" w:hAnsiTheme="minorHAnsi" w:cstheme="minorBidi"/>
              <w:noProof/>
              <w:szCs w:val="22"/>
              <w:lang w:eastAsia="es-MX"/>
            </w:rPr>
          </w:pPr>
          <w:hyperlink w:anchor="_Toc201753635" w:history="1">
            <w:r w:rsidRPr="00AE39E0">
              <w:rPr>
                <w:rStyle w:val="Hipervnculo"/>
                <w:noProof/>
                <w:color w:val="auto"/>
              </w:rPr>
              <w:t>b) Legitimidad de la parte recurrente</w:t>
            </w:r>
            <w:r w:rsidRPr="00AE39E0">
              <w:rPr>
                <w:noProof/>
                <w:webHidden/>
              </w:rPr>
              <w:tab/>
            </w:r>
            <w:r w:rsidRPr="00AE39E0">
              <w:rPr>
                <w:noProof/>
                <w:webHidden/>
              </w:rPr>
              <w:fldChar w:fldCharType="begin"/>
            </w:r>
            <w:r w:rsidRPr="00AE39E0">
              <w:rPr>
                <w:noProof/>
                <w:webHidden/>
              </w:rPr>
              <w:instrText xml:space="preserve"> PAGEREF _Toc201753635 \h </w:instrText>
            </w:r>
            <w:r w:rsidRPr="00AE39E0">
              <w:rPr>
                <w:noProof/>
                <w:webHidden/>
              </w:rPr>
            </w:r>
            <w:r w:rsidRPr="00AE39E0">
              <w:rPr>
                <w:noProof/>
                <w:webHidden/>
              </w:rPr>
              <w:fldChar w:fldCharType="separate"/>
            </w:r>
            <w:r w:rsidR="00A767E4">
              <w:rPr>
                <w:noProof/>
                <w:webHidden/>
              </w:rPr>
              <w:t>10</w:t>
            </w:r>
            <w:r w:rsidRPr="00AE39E0">
              <w:rPr>
                <w:noProof/>
                <w:webHidden/>
              </w:rPr>
              <w:fldChar w:fldCharType="end"/>
            </w:r>
          </w:hyperlink>
        </w:p>
        <w:p w14:paraId="140BFC72" w14:textId="185FDFA4" w:rsidR="00AE39E0" w:rsidRPr="00AE39E0" w:rsidRDefault="00AE39E0" w:rsidP="00AE39E0">
          <w:pPr>
            <w:pStyle w:val="TDC3"/>
            <w:rPr>
              <w:rFonts w:asciiTheme="minorHAnsi" w:eastAsiaTheme="minorEastAsia" w:hAnsiTheme="minorHAnsi" w:cstheme="minorBidi"/>
              <w:noProof/>
              <w:szCs w:val="22"/>
              <w:lang w:eastAsia="es-MX"/>
            </w:rPr>
          </w:pPr>
          <w:hyperlink w:anchor="_Toc201753636" w:history="1">
            <w:r w:rsidRPr="00AE39E0">
              <w:rPr>
                <w:rStyle w:val="Hipervnculo"/>
                <w:rFonts w:eastAsia="Calibri"/>
                <w:noProof/>
                <w:color w:val="auto"/>
                <w:lang w:eastAsia="es-ES_tradnl"/>
              </w:rPr>
              <w:t>c) Plazo para interponer el recurso</w:t>
            </w:r>
            <w:r w:rsidRPr="00AE39E0">
              <w:rPr>
                <w:noProof/>
                <w:webHidden/>
              </w:rPr>
              <w:tab/>
            </w:r>
            <w:r w:rsidRPr="00AE39E0">
              <w:rPr>
                <w:noProof/>
                <w:webHidden/>
              </w:rPr>
              <w:fldChar w:fldCharType="begin"/>
            </w:r>
            <w:r w:rsidRPr="00AE39E0">
              <w:rPr>
                <w:noProof/>
                <w:webHidden/>
              </w:rPr>
              <w:instrText xml:space="preserve"> PAGEREF _Toc201753636 \h </w:instrText>
            </w:r>
            <w:r w:rsidRPr="00AE39E0">
              <w:rPr>
                <w:noProof/>
                <w:webHidden/>
              </w:rPr>
            </w:r>
            <w:r w:rsidRPr="00AE39E0">
              <w:rPr>
                <w:noProof/>
                <w:webHidden/>
              </w:rPr>
              <w:fldChar w:fldCharType="separate"/>
            </w:r>
            <w:r w:rsidR="00A767E4">
              <w:rPr>
                <w:noProof/>
                <w:webHidden/>
              </w:rPr>
              <w:t>10</w:t>
            </w:r>
            <w:r w:rsidRPr="00AE39E0">
              <w:rPr>
                <w:noProof/>
                <w:webHidden/>
              </w:rPr>
              <w:fldChar w:fldCharType="end"/>
            </w:r>
          </w:hyperlink>
        </w:p>
        <w:p w14:paraId="2AE058B6" w14:textId="4BE76E70" w:rsidR="00AE39E0" w:rsidRPr="00AE39E0" w:rsidRDefault="00AE39E0" w:rsidP="00AE39E0">
          <w:pPr>
            <w:pStyle w:val="TDC3"/>
            <w:rPr>
              <w:rFonts w:asciiTheme="minorHAnsi" w:eastAsiaTheme="minorEastAsia" w:hAnsiTheme="minorHAnsi" w:cstheme="minorBidi"/>
              <w:noProof/>
              <w:szCs w:val="22"/>
              <w:lang w:eastAsia="es-MX"/>
            </w:rPr>
          </w:pPr>
          <w:hyperlink w:anchor="_Toc201753637" w:history="1">
            <w:r w:rsidRPr="00AE39E0">
              <w:rPr>
                <w:rStyle w:val="Hipervnculo"/>
                <w:rFonts w:eastAsia="Calibri"/>
                <w:noProof/>
                <w:color w:val="auto"/>
                <w:lang w:eastAsia="es-ES_tradnl"/>
              </w:rPr>
              <w:t>d) Causal de procedencia</w:t>
            </w:r>
            <w:r w:rsidRPr="00AE39E0">
              <w:rPr>
                <w:noProof/>
                <w:webHidden/>
              </w:rPr>
              <w:tab/>
            </w:r>
            <w:r w:rsidRPr="00AE39E0">
              <w:rPr>
                <w:noProof/>
                <w:webHidden/>
              </w:rPr>
              <w:fldChar w:fldCharType="begin"/>
            </w:r>
            <w:r w:rsidRPr="00AE39E0">
              <w:rPr>
                <w:noProof/>
                <w:webHidden/>
              </w:rPr>
              <w:instrText xml:space="preserve"> PAGEREF _Toc201753637 \h </w:instrText>
            </w:r>
            <w:r w:rsidRPr="00AE39E0">
              <w:rPr>
                <w:noProof/>
                <w:webHidden/>
              </w:rPr>
            </w:r>
            <w:r w:rsidRPr="00AE39E0">
              <w:rPr>
                <w:noProof/>
                <w:webHidden/>
              </w:rPr>
              <w:fldChar w:fldCharType="separate"/>
            </w:r>
            <w:r w:rsidR="00A767E4">
              <w:rPr>
                <w:noProof/>
                <w:webHidden/>
              </w:rPr>
              <w:t>11</w:t>
            </w:r>
            <w:r w:rsidRPr="00AE39E0">
              <w:rPr>
                <w:noProof/>
                <w:webHidden/>
              </w:rPr>
              <w:fldChar w:fldCharType="end"/>
            </w:r>
          </w:hyperlink>
        </w:p>
        <w:p w14:paraId="7BB819E7" w14:textId="64128B3C" w:rsidR="00AE39E0" w:rsidRPr="00AE39E0" w:rsidRDefault="00AE39E0" w:rsidP="00AE39E0">
          <w:pPr>
            <w:pStyle w:val="TDC3"/>
            <w:rPr>
              <w:rFonts w:asciiTheme="minorHAnsi" w:eastAsiaTheme="minorEastAsia" w:hAnsiTheme="minorHAnsi" w:cstheme="minorBidi"/>
              <w:noProof/>
              <w:szCs w:val="22"/>
              <w:lang w:eastAsia="es-MX"/>
            </w:rPr>
          </w:pPr>
          <w:hyperlink w:anchor="_Toc201753638" w:history="1">
            <w:r w:rsidRPr="00AE39E0">
              <w:rPr>
                <w:rStyle w:val="Hipervnculo"/>
                <w:noProof/>
                <w:color w:val="auto"/>
              </w:rPr>
              <w:t>e) Requisitos formales para la interposición del recurso</w:t>
            </w:r>
            <w:r w:rsidRPr="00AE39E0">
              <w:rPr>
                <w:noProof/>
                <w:webHidden/>
              </w:rPr>
              <w:tab/>
            </w:r>
            <w:r w:rsidRPr="00AE39E0">
              <w:rPr>
                <w:noProof/>
                <w:webHidden/>
              </w:rPr>
              <w:fldChar w:fldCharType="begin"/>
            </w:r>
            <w:r w:rsidRPr="00AE39E0">
              <w:rPr>
                <w:noProof/>
                <w:webHidden/>
              </w:rPr>
              <w:instrText xml:space="preserve"> PAGEREF _Toc201753638 \h </w:instrText>
            </w:r>
            <w:r w:rsidRPr="00AE39E0">
              <w:rPr>
                <w:noProof/>
                <w:webHidden/>
              </w:rPr>
            </w:r>
            <w:r w:rsidRPr="00AE39E0">
              <w:rPr>
                <w:noProof/>
                <w:webHidden/>
              </w:rPr>
              <w:fldChar w:fldCharType="separate"/>
            </w:r>
            <w:r w:rsidR="00A767E4">
              <w:rPr>
                <w:noProof/>
                <w:webHidden/>
              </w:rPr>
              <w:t>11</w:t>
            </w:r>
            <w:r w:rsidRPr="00AE39E0">
              <w:rPr>
                <w:noProof/>
                <w:webHidden/>
              </w:rPr>
              <w:fldChar w:fldCharType="end"/>
            </w:r>
          </w:hyperlink>
        </w:p>
        <w:p w14:paraId="60C6A050" w14:textId="2CEC662F" w:rsidR="00AE39E0" w:rsidRPr="00AE39E0" w:rsidRDefault="00AE39E0" w:rsidP="00AE39E0">
          <w:pPr>
            <w:pStyle w:val="TDC2"/>
            <w:rPr>
              <w:rFonts w:asciiTheme="minorHAnsi" w:eastAsiaTheme="minorEastAsia" w:hAnsiTheme="minorHAnsi" w:cstheme="minorBidi"/>
              <w:noProof/>
              <w:szCs w:val="22"/>
              <w:lang w:eastAsia="es-MX"/>
            </w:rPr>
          </w:pPr>
          <w:hyperlink w:anchor="_Toc201753639" w:history="1">
            <w:r w:rsidRPr="00AE39E0">
              <w:rPr>
                <w:rStyle w:val="Hipervnculo"/>
                <w:noProof/>
                <w:color w:val="auto"/>
              </w:rPr>
              <w:t>SEGUNDO. Estudio de Fondo</w:t>
            </w:r>
            <w:r w:rsidRPr="00AE39E0">
              <w:rPr>
                <w:noProof/>
                <w:webHidden/>
              </w:rPr>
              <w:tab/>
            </w:r>
            <w:r w:rsidRPr="00AE39E0">
              <w:rPr>
                <w:noProof/>
                <w:webHidden/>
              </w:rPr>
              <w:fldChar w:fldCharType="begin"/>
            </w:r>
            <w:r w:rsidRPr="00AE39E0">
              <w:rPr>
                <w:noProof/>
                <w:webHidden/>
              </w:rPr>
              <w:instrText xml:space="preserve"> PAGEREF _Toc201753639 \h </w:instrText>
            </w:r>
            <w:r w:rsidRPr="00AE39E0">
              <w:rPr>
                <w:noProof/>
                <w:webHidden/>
              </w:rPr>
            </w:r>
            <w:r w:rsidRPr="00AE39E0">
              <w:rPr>
                <w:noProof/>
                <w:webHidden/>
              </w:rPr>
              <w:fldChar w:fldCharType="separate"/>
            </w:r>
            <w:r w:rsidR="00A767E4">
              <w:rPr>
                <w:noProof/>
                <w:webHidden/>
              </w:rPr>
              <w:t>12</w:t>
            </w:r>
            <w:r w:rsidRPr="00AE39E0">
              <w:rPr>
                <w:noProof/>
                <w:webHidden/>
              </w:rPr>
              <w:fldChar w:fldCharType="end"/>
            </w:r>
          </w:hyperlink>
        </w:p>
        <w:p w14:paraId="3F00FE65" w14:textId="4993CA8E" w:rsidR="00AE39E0" w:rsidRPr="00AE39E0" w:rsidRDefault="00AE39E0" w:rsidP="00AE39E0">
          <w:pPr>
            <w:pStyle w:val="TDC3"/>
            <w:rPr>
              <w:rFonts w:asciiTheme="minorHAnsi" w:eastAsiaTheme="minorEastAsia" w:hAnsiTheme="minorHAnsi" w:cstheme="minorBidi"/>
              <w:noProof/>
              <w:szCs w:val="22"/>
              <w:lang w:eastAsia="es-MX"/>
            </w:rPr>
          </w:pPr>
          <w:hyperlink w:anchor="_Toc201753640" w:history="1">
            <w:r w:rsidRPr="00AE39E0">
              <w:rPr>
                <w:rStyle w:val="Hipervnculo"/>
                <w:noProof/>
                <w:color w:val="auto"/>
              </w:rPr>
              <w:t>a) Mandato de transparencia y responsabilidad del Sujeto Obligado</w:t>
            </w:r>
            <w:r w:rsidRPr="00AE39E0">
              <w:rPr>
                <w:noProof/>
                <w:webHidden/>
              </w:rPr>
              <w:tab/>
            </w:r>
            <w:r w:rsidRPr="00AE39E0">
              <w:rPr>
                <w:noProof/>
                <w:webHidden/>
              </w:rPr>
              <w:fldChar w:fldCharType="begin"/>
            </w:r>
            <w:r w:rsidRPr="00AE39E0">
              <w:rPr>
                <w:noProof/>
                <w:webHidden/>
              </w:rPr>
              <w:instrText xml:space="preserve"> PAGEREF _Toc201753640 \h </w:instrText>
            </w:r>
            <w:r w:rsidRPr="00AE39E0">
              <w:rPr>
                <w:noProof/>
                <w:webHidden/>
              </w:rPr>
            </w:r>
            <w:r w:rsidRPr="00AE39E0">
              <w:rPr>
                <w:noProof/>
                <w:webHidden/>
              </w:rPr>
              <w:fldChar w:fldCharType="separate"/>
            </w:r>
            <w:r w:rsidR="00A767E4">
              <w:rPr>
                <w:noProof/>
                <w:webHidden/>
              </w:rPr>
              <w:t>12</w:t>
            </w:r>
            <w:r w:rsidRPr="00AE39E0">
              <w:rPr>
                <w:noProof/>
                <w:webHidden/>
              </w:rPr>
              <w:fldChar w:fldCharType="end"/>
            </w:r>
          </w:hyperlink>
        </w:p>
        <w:p w14:paraId="242C40A9" w14:textId="1D726B55" w:rsidR="00AE39E0" w:rsidRPr="00AE39E0" w:rsidRDefault="00AE39E0" w:rsidP="00AE39E0">
          <w:pPr>
            <w:pStyle w:val="TDC3"/>
            <w:rPr>
              <w:rFonts w:asciiTheme="minorHAnsi" w:eastAsiaTheme="minorEastAsia" w:hAnsiTheme="minorHAnsi" w:cstheme="minorBidi"/>
              <w:noProof/>
              <w:szCs w:val="22"/>
              <w:lang w:eastAsia="es-MX"/>
            </w:rPr>
          </w:pPr>
          <w:hyperlink w:anchor="_Toc201753641" w:history="1">
            <w:r w:rsidRPr="00AE39E0">
              <w:rPr>
                <w:rStyle w:val="Hipervnculo"/>
                <w:rFonts w:eastAsia="Calibri"/>
                <w:noProof/>
                <w:color w:val="auto"/>
                <w:lang w:eastAsia="es-ES_tradnl"/>
              </w:rPr>
              <w:t>b) Controversia a resolver</w:t>
            </w:r>
            <w:r w:rsidRPr="00AE39E0">
              <w:rPr>
                <w:noProof/>
                <w:webHidden/>
              </w:rPr>
              <w:tab/>
            </w:r>
            <w:r w:rsidRPr="00AE39E0">
              <w:rPr>
                <w:noProof/>
                <w:webHidden/>
              </w:rPr>
              <w:fldChar w:fldCharType="begin"/>
            </w:r>
            <w:r w:rsidRPr="00AE39E0">
              <w:rPr>
                <w:noProof/>
                <w:webHidden/>
              </w:rPr>
              <w:instrText xml:space="preserve"> PAGEREF _Toc201753641 \h </w:instrText>
            </w:r>
            <w:r w:rsidRPr="00AE39E0">
              <w:rPr>
                <w:noProof/>
                <w:webHidden/>
              </w:rPr>
            </w:r>
            <w:r w:rsidRPr="00AE39E0">
              <w:rPr>
                <w:noProof/>
                <w:webHidden/>
              </w:rPr>
              <w:fldChar w:fldCharType="separate"/>
            </w:r>
            <w:r w:rsidR="00A767E4">
              <w:rPr>
                <w:noProof/>
                <w:webHidden/>
              </w:rPr>
              <w:t>15</w:t>
            </w:r>
            <w:r w:rsidRPr="00AE39E0">
              <w:rPr>
                <w:noProof/>
                <w:webHidden/>
              </w:rPr>
              <w:fldChar w:fldCharType="end"/>
            </w:r>
          </w:hyperlink>
        </w:p>
        <w:p w14:paraId="50B9504F" w14:textId="2B9E5040" w:rsidR="00AE39E0" w:rsidRPr="00AE39E0" w:rsidRDefault="00AE39E0" w:rsidP="00AE39E0">
          <w:pPr>
            <w:pStyle w:val="TDC3"/>
            <w:rPr>
              <w:rFonts w:asciiTheme="minorHAnsi" w:eastAsiaTheme="minorEastAsia" w:hAnsiTheme="minorHAnsi" w:cstheme="minorBidi"/>
              <w:noProof/>
              <w:szCs w:val="22"/>
              <w:lang w:eastAsia="es-MX"/>
            </w:rPr>
          </w:pPr>
          <w:hyperlink w:anchor="_Toc201753642" w:history="1">
            <w:r w:rsidRPr="00AE39E0">
              <w:rPr>
                <w:rStyle w:val="Hipervnculo"/>
                <w:noProof/>
                <w:color w:val="auto"/>
              </w:rPr>
              <w:t>c) Estudio de la controversia</w:t>
            </w:r>
            <w:r w:rsidRPr="00AE39E0">
              <w:rPr>
                <w:noProof/>
                <w:webHidden/>
              </w:rPr>
              <w:tab/>
            </w:r>
            <w:r w:rsidRPr="00AE39E0">
              <w:rPr>
                <w:noProof/>
                <w:webHidden/>
              </w:rPr>
              <w:fldChar w:fldCharType="begin"/>
            </w:r>
            <w:r w:rsidRPr="00AE39E0">
              <w:rPr>
                <w:noProof/>
                <w:webHidden/>
              </w:rPr>
              <w:instrText xml:space="preserve"> PAGEREF _Toc201753642 \h </w:instrText>
            </w:r>
            <w:r w:rsidRPr="00AE39E0">
              <w:rPr>
                <w:noProof/>
                <w:webHidden/>
              </w:rPr>
            </w:r>
            <w:r w:rsidRPr="00AE39E0">
              <w:rPr>
                <w:noProof/>
                <w:webHidden/>
              </w:rPr>
              <w:fldChar w:fldCharType="separate"/>
            </w:r>
            <w:r w:rsidR="00A767E4">
              <w:rPr>
                <w:noProof/>
                <w:webHidden/>
              </w:rPr>
              <w:t>16</w:t>
            </w:r>
            <w:r w:rsidRPr="00AE39E0">
              <w:rPr>
                <w:noProof/>
                <w:webHidden/>
              </w:rPr>
              <w:fldChar w:fldCharType="end"/>
            </w:r>
          </w:hyperlink>
        </w:p>
        <w:p w14:paraId="704ADA63" w14:textId="16CD475E" w:rsidR="00AE39E0" w:rsidRPr="00AE39E0" w:rsidRDefault="00AE39E0" w:rsidP="00AE39E0">
          <w:pPr>
            <w:pStyle w:val="TDC3"/>
            <w:rPr>
              <w:rFonts w:asciiTheme="minorHAnsi" w:eastAsiaTheme="minorEastAsia" w:hAnsiTheme="minorHAnsi" w:cstheme="minorBidi"/>
              <w:noProof/>
              <w:szCs w:val="22"/>
              <w:lang w:eastAsia="es-MX"/>
            </w:rPr>
          </w:pPr>
          <w:hyperlink w:anchor="_Toc201753643" w:history="1">
            <w:r w:rsidRPr="00AE39E0">
              <w:rPr>
                <w:rStyle w:val="Hipervnculo"/>
                <w:noProof/>
                <w:color w:val="auto"/>
              </w:rPr>
              <w:t>d) Conclusión</w:t>
            </w:r>
            <w:r w:rsidRPr="00AE39E0">
              <w:rPr>
                <w:noProof/>
                <w:webHidden/>
              </w:rPr>
              <w:tab/>
            </w:r>
            <w:r w:rsidRPr="00AE39E0">
              <w:rPr>
                <w:noProof/>
                <w:webHidden/>
              </w:rPr>
              <w:fldChar w:fldCharType="begin"/>
            </w:r>
            <w:r w:rsidRPr="00AE39E0">
              <w:rPr>
                <w:noProof/>
                <w:webHidden/>
              </w:rPr>
              <w:instrText xml:space="preserve"> PAGEREF _Toc201753643 \h </w:instrText>
            </w:r>
            <w:r w:rsidRPr="00AE39E0">
              <w:rPr>
                <w:noProof/>
                <w:webHidden/>
              </w:rPr>
            </w:r>
            <w:r w:rsidRPr="00AE39E0">
              <w:rPr>
                <w:noProof/>
                <w:webHidden/>
              </w:rPr>
              <w:fldChar w:fldCharType="separate"/>
            </w:r>
            <w:r w:rsidR="00A767E4">
              <w:rPr>
                <w:noProof/>
                <w:webHidden/>
              </w:rPr>
              <w:t>31</w:t>
            </w:r>
            <w:r w:rsidRPr="00AE39E0">
              <w:rPr>
                <w:noProof/>
                <w:webHidden/>
              </w:rPr>
              <w:fldChar w:fldCharType="end"/>
            </w:r>
          </w:hyperlink>
        </w:p>
        <w:p w14:paraId="02A8F331" w14:textId="5CC33EFC" w:rsidR="00AE39E0" w:rsidRPr="00AE39E0" w:rsidRDefault="00AE39E0" w:rsidP="00AE39E0">
          <w:pPr>
            <w:pStyle w:val="TDC1"/>
            <w:tabs>
              <w:tab w:val="right" w:leader="dot" w:pos="9034"/>
            </w:tabs>
            <w:rPr>
              <w:rFonts w:asciiTheme="minorHAnsi" w:eastAsiaTheme="minorEastAsia" w:hAnsiTheme="minorHAnsi" w:cstheme="minorBidi"/>
              <w:noProof/>
              <w:szCs w:val="22"/>
              <w:lang w:eastAsia="es-MX"/>
            </w:rPr>
          </w:pPr>
          <w:hyperlink w:anchor="_Toc201753644" w:history="1">
            <w:r w:rsidRPr="00AE39E0">
              <w:rPr>
                <w:rStyle w:val="Hipervnculo"/>
                <w:noProof/>
                <w:color w:val="auto"/>
              </w:rPr>
              <w:t>RESUELVE</w:t>
            </w:r>
            <w:r w:rsidRPr="00AE39E0">
              <w:rPr>
                <w:noProof/>
                <w:webHidden/>
              </w:rPr>
              <w:tab/>
            </w:r>
            <w:r w:rsidRPr="00AE39E0">
              <w:rPr>
                <w:noProof/>
                <w:webHidden/>
              </w:rPr>
              <w:fldChar w:fldCharType="begin"/>
            </w:r>
            <w:r w:rsidRPr="00AE39E0">
              <w:rPr>
                <w:noProof/>
                <w:webHidden/>
              </w:rPr>
              <w:instrText xml:space="preserve"> PAGEREF _Toc201753644 \h </w:instrText>
            </w:r>
            <w:r w:rsidRPr="00AE39E0">
              <w:rPr>
                <w:noProof/>
                <w:webHidden/>
              </w:rPr>
            </w:r>
            <w:r w:rsidRPr="00AE39E0">
              <w:rPr>
                <w:noProof/>
                <w:webHidden/>
              </w:rPr>
              <w:fldChar w:fldCharType="separate"/>
            </w:r>
            <w:r w:rsidR="00A767E4">
              <w:rPr>
                <w:noProof/>
                <w:webHidden/>
              </w:rPr>
              <w:t>31</w:t>
            </w:r>
            <w:r w:rsidRPr="00AE39E0">
              <w:rPr>
                <w:noProof/>
                <w:webHidden/>
              </w:rPr>
              <w:fldChar w:fldCharType="end"/>
            </w:r>
          </w:hyperlink>
        </w:p>
        <w:p w14:paraId="0C82FD7A" w14:textId="3A6E7F19" w:rsidR="009B2945" w:rsidRPr="00AE39E0" w:rsidRDefault="00AE3DA7" w:rsidP="00AE39E0">
          <w:pPr>
            <w:spacing w:line="240" w:lineRule="auto"/>
            <w:rPr>
              <w:b/>
              <w:bCs/>
              <w:lang w:val="es-ES"/>
            </w:rPr>
          </w:pPr>
          <w:r w:rsidRPr="00AE39E0">
            <w:rPr>
              <w:b/>
              <w:bCs/>
              <w:sz w:val="16"/>
              <w:szCs w:val="16"/>
              <w:lang w:val="es-ES"/>
            </w:rPr>
            <w:fldChar w:fldCharType="end"/>
          </w:r>
        </w:p>
      </w:sdtContent>
    </w:sdt>
    <w:p w14:paraId="603A07E2" w14:textId="77777777" w:rsidR="00646436" w:rsidRPr="00AE39E0" w:rsidRDefault="00646436" w:rsidP="00AE39E0">
      <w:pPr>
        <w:rPr>
          <w:rFonts w:cs="Tahoma"/>
          <w:szCs w:val="22"/>
        </w:rPr>
        <w:sectPr w:rsidR="00646436" w:rsidRPr="00AE39E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6864F95" w:rsidR="00775BFC" w:rsidRPr="00AE39E0" w:rsidRDefault="00775BFC" w:rsidP="00AE39E0">
      <w:r w:rsidRPr="00AE39E0">
        <w:lastRenderedPageBreak/>
        <w:t>Resolución del Pleno del Instituto de Transparencia, Acceso a la Información Pública y Protección de Datos Personales del Estado de México y Municipios, con domicilio e</w:t>
      </w:r>
      <w:r w:rsidR="004D0573" w:rsidRPr="00AE39E0">
        <w:t>n Metepec, Estado de México, de</w:t>
      </w:r>
      <w:r w:rsidR="00AE39E0" w:rsidRPr="00AE39E0">
        <w:t>l</w:t>
      </w:r>
      <w:r w:rsidR="004D0573" w:rsidRPr="00AE39E0">
        <w:t xml:space="preserve"> </w:t>
      </w:r>
      <w:r w:rsidR="008F09D9" w:rsidRPr="00AE39E0">
        <w:rPr>
          <w:b/>
        </w:rPr>
        <w:t>veinticinco</w:t>
      </w:r>
      <w:r w:rsidR="00C819D2" w:rsidRPr="00AE39E0">
        <w:rPr>
          <w:b/>
        </w:rPr>
        <w:t xml:space="preserve"> </w:t>
      </w:r>
      <w:r w:rsidR="007612A5" w:rsidRPr="00AE39E0">
        <w:rPr>
          <w:b/>
        </w:rPr>
        <w:t xml:space="preserve">de junio </w:t>
      </w:r>
      <w:r w:rsidR="006E7E69" w:rsidRPr="00AE39E0">
        <w:rPr>
          <w:b/>
        </w:rPr>
        <w:t>de dos mil veinticinco</w:t>
      </w:r>
      <w:r w:rsidRPr="00AE39E0">
        <w:t>.</w:t>
      </w:r>
    </w:p>
    <w:p w14:paraId="0AF3AAC4" w14:textId="77777777" w:rsidR="00775BFC" w:rsidRPr="00AE39E0" w:rsidRDefault="00775BFC" w:rsidP="00AE39E0"/>
    <w:p w14:paraId="40EAE038" w14:textId="50B4BBDD" w:rsidR="00775BFC" w:rsidRPr="00AE39E0" w:rsidRDefault="00775BFC" w:rsidP="00AE39E0">
      <w:r w:rsidRPr="00AE39E0">
        <w:rPr>
          <w:b/>
        </w:rPr>
        <w:t xml:space="preserve">VISTO </w:t>
      </w:r>
      <w:r w:rsidRPr="00AE39E0">
        <w:t xml:space="preserve">el expediente formado con motivo del Recurso de Revisión </w:t>
      </w:r>
      <w:r w:rsidR="006E7E69" w:rsidRPr="00AE39E0">
        <w:rPr>
          <w:rFonts w:eastAsia="Calibri"/>
          <w:b/>
          <w:lang w:eastAsia="en-US"/>
        </w:rPr>
        <w:t>0</w:t>
      </w:r>
      <w:r w:rsidR="006C7C6D" w:rsidRPr="00AE39E0">
        <w:rPr>
          <w:rFonts w:eastAsia="Calibri"/>
          <w:b/>
          <w:lang w:eastAsia="en-US"/>
        </w:rPr>
        <w:t>2727</w:t>
      </w:r>
      <w:r w:rsidR="006E7E69" w:rsidRPr="00AE39E0">
        <w:rPr>
          <w:rFonts w:eastAsia="Calibri"/>
          <w:b/>
          <w:lang w:eastAsia="en-US"/>
        </w:rPr>
        <w:t>/INFOEM/IP/RR/2025</w:t>
      </w:r>
      <w:r w:rsidRPr="00AE39E0">
        <w:rPr>
          <w:rFonts w:eastAsia="Calibri"/>
          <w:lang w:eastAsia="en-US"/>
        </w:rPr>
        <w:t xml:space="preserve"> </w:t>
      </w:r>
      <w:r w:rsidRPr="00AE39E0">
        <w:t>interpuesto por</w:t>
      </w:r>
      <w:r w:rsidR="00AE4B12" w:rsidRPr="00AE39E0">
        <w:t xml:space="preserve"> una </w:t>
      </w:r>
      <w:r w:rsidR="00AE4B12" w:rsidRPr="00AE39E0">
        <w:rPr>
          <w:b/>
        </w:rPr>
        <w:t>persona de manera anónima</w:t>
      </w:r>
      <w:r w:rsidRPr="00AE39E0">
        <w:rPr>
          <w:rFonts w:eastAsia="Calibri"/>
          <w:b/>
          <w:lang w:eastAsia="en-US"/>
        </w:rPr>
        <w:t>,</w:t>
      </w:r>
      <w:r w:rsidRPr="00AE39E0">
        <w:t xml:space="preserve"> a quien en lo subsecuente se le denominará </w:t>
      </w:r>
      <w:r w:rsidRPr="00AE39E0">
        <w:rPr>
          <w:b/>
          <w:bCs/>
        </w:rPr>
        <w:t>LA PARTE RECURRENTE</w:t>
      </w:r>
      <w:r w:rsidRPr="00AE39E0">
        <w:t xml:space="preserve">, en contra de la </w:t>
      </w:r>
      <w:r w:rsidR="00773DD6" w:rsidRPr="00AE39E0">
        <w:t xml:space="preserve">respuesta </w:t>
      </w:r>
      <w:r w:rsidR="00BA1AB6" w:rsidRPr="00AE39E0">
        <w:t>de</w:t>
      </w:r>
      <w:r w:rsidR="005A5BF2" w:rsidRPr="00AE39E0">
        <w:t>l</w:t>
      </w:r>
      <w:r w:rsidR="00773DD6" w:rsidRPr="00AE39E0">
        <w:t xml:space="preserve"> </w:t>
      </w:r>
      <w:r w:rsidR="006C7C6D" w:rsidRPr="00AE39E0">
        <w:rPr>
          <w:rFonts w:eastAsia="Calibri"/>
          <w:b/>
          <w:bCs/>
          <w:lang w:eastAsia="en-US"/>
        </w:rPr>
        <w:t>Organismo Público Descentralizado Municipal para la Prestación de Los Servicios de Agua Potable Alcantarillado y Saneamiento de Cuautitlán Izcalli denominado OPERAGUA, O.P.D.M.</w:t>
      </w:r>
      <w:r w:rsidRPr="00AE39E0">
        <w:rPr>
          <w:b/>
          <w:bCs/>
        </w:rPr>
        <w:t>,</w:t>
      </w:r>
      <w:r w:rsidRPr="00AE39E0">
        <w:t xml:space="preserve"> en adelante </w:t>
      </w:r>
      <w:r w:rsidRPr="00AE39E0">
        <w:rPr>
          <w:b/>
          <w:bCs/>
        </w:rPr>
        <w:t>EL SUJETO OBLIGADO</w:t>
      </w:r>
      <w:r w:rsidRPr="00AE39E0">
        <w:rPr>
          <w:rFonts w:eastAsia="Calibri"/>
          <w:lang w:eastAsia="en-US"/>
        </w:rPr>
        <w:t xml:space="preserve">, </w:t>
      </w:r>
      <w:r w:rsidRPr="00AE39E0">
        <w:t>se emite la presente Resolución con base en los Antecedentes y Considerandos que se exponen a continuación:</w:t>
      </w:r>
    </w:p>
    <w:p w14:paraId="2116968C" w14:textId="77777777" w:rsidR="00775BFC" w:rsidRPr="00AE39E0" w:rsidRDefault="00775BFC" w:rsidP="00AE39E0"/>
    <w:p w14:paraId="5A444FB6" w14:textId="639D3567" w:rsidR="00664420" w:rsidRPr="00AE39E0" w:rsidRDefault="00664420" w:rsidP="00AE39E0">
      <w:pPr>
        <w:pStyle w:val="Ttulo1"/>
      </w:pPr>
      <w:bookmarkStart w:id="3" w:name="_Toc201753619"/>
      <w:r w:rsidRPr="00AE39E0">
        <w:t>ANTECEDENTES</w:t>
      </w:r>
      <w:bookmarkEnd w:id="3"/>
    </w:p>
    <w:p w14:paraId="5CB5034E" w14:textId="77777777" w:rsidR="00AC2DB8" w:rsidRPr="00AE39E0" w:rsidRDefault="00AC2DB8" w:rsidP="00AE39E0"/>
    <w:p w14:paraId="09B2D38F" w14:textId="6E49D146" w:rsidR="00664420" w:rsidRPr="00AE39E0" w:rsidRDefault="00E37A3F" w:rsidP="00AE39E0">
      <w:pPr>
        <w:pStyle w:val="Ttulo2"/>
      </w:pPr>
      <w:bookmarkStart w:id="4" w:name="_Toc201753620"/>
      <w:r w:rsidRPr="00AE39E0">
        <w:t>DE LA SOLICITUD DE INFORMACIÓN</w:t>
      </w:r>
      <w:bookmarkEnd w:id="4"/>
    </w:p>
    <w:p w14:paraId="2C6AD1A5" w14:textId="0405B3CD" w:rsidR="00664420" w:rsidRPr="00AE39E0" w:rsidRDefault="00E37A3F" w:rsidP="00AE39E0">
      <w:pPr>
        <w:pStyle w:val="Ttulo3"/>
      </w:pPr>
      <w:bookmarkStart w:id="5" w:name="_Toc201753621"/>
      <w:r w:rsidRPr="00AE39E0">
        <w:t xml:space="preserve">a) </w:t>
      </w:r>
      <w:r w:rsidR="006B10B0" w:rsidRPr="00AE39E0">
        <w:t>S</w:t>
      </w:r>
      <w:r w:rsidR="00664420" w:rsidRPr="00AE39E0">
        <w:t xml:space="preserve">olicitud de </w:t>
      </w:r>
      <w:r w:rsidR="006B10B0" w:rsidRPr="00AE39E0">
        <w:t>i</w:t>
      </w:r>
      <w:r w:rsidR="00664420" w:rsidRPr="00AE39E0">
        <w:t>nformación</w:t>
      </w:r>
      <w:bookmarkEnd w:id="5"/>
    </w:p>
    <w:p w14:paraId="6F73510B" w14:textId="18D12FA7" w:rsidR="000F32E8" w:rsidRPr="00AE39E0" w:rsidRDefault="00B169A2" w:rsidP="00AE39E0">
      <w:pPr>
        <w:pStyle w:val="Prrafodelista"/>
        <w:tabs>
          <w:tab w:val="left" w:pos="0"/>
        </w:tabs>
        <w:ind w:left="0"/>
        <w:contextualSpacing w:val="0"/>
        <w:rPr>
          <w:rFonts w:cs="Tahoma"/>
        </w:rPr>
      </w:pPr>
      <w:r w:rsidRPr="00AE39E0">
        <w:rPr>
          <w:rFonts w:cs="Tahoma"/>
        </w:rPr>
        <w:t xml:space="preserve">El </w:t>
      </w:r>
      <w:r w:rsidR="006C7C6D" w:rsidRPr="00AE39E0">
        <w:rPr>
          <w:rFonts w:cs="Tahoma"/>
          <w:b/>
          <w:bCs/>
        </w:rPr>
        <w:t xml:space="preserve">treinta y uno de enero </w:t>
      </w:r>
      <w:r w:rsidR="006E7E69" w:rsidRPr="00AE39E0">
        <w:rPr>
          <w:rFonts w:cs="Tahoma"/>
          <w:b/>
          <w:bCs/>
        </w:rPr>
        <w:t>de dos mil veinticinco</w:t>
      </w:r>
      <w:r w:rsidRPr="00AE39E0">
        <w:rPr>
          <w:rFonts w:cs="Tahoma"/>
        </w:rPr>
        <w:t xml:space="preserve">, </w:t>
      </w:r>
      <w:r w:rsidRPr="00AE39E0">
        <w:rPr>
          <w:b/>
          <w:bCs/>
        </w:rPr>
        <w:t>LA PARTE RECURRENTE</w:t>
      </w:r>
      <w:r w:rsidRPr="00AE39E0">
        <w:rPr>
          <w:rFonts w:cs="Tahoma"/>
        </w:rPr>
        <w:t xml:space="preserve"> presentó una solicitud de acceso a la información pública ante el </w:t>
      </w:r>
      <w:r w:rsidRPr="00AE39E0">
        <w:rPr>
          <w:rFonts w:cs="Tahoma"/>
          <w:b/>
          <w:bCs/>
        </w:rPr>
        <w:t>SUJETO OBLIGADO</w:t>
      </w:r>
      <w:r w:rsidRPr="00AE39E0">
        <w:rPr>
          <w:rFonts w:cs="Tahoma"/>
        </w:rPr>
        <w:t xml:space="preserve">, a través </w:t>
      </w:r>
      <w:r w:rsidR="00CC5ED7" w:rsidRPr="00AE39E0">
        <w:rPr>
          <w:rFonts w:cs="Tahoma"/>
        </w:rPr>
        <w:t xml:space="preserve">del </w:t>
      </w:r>
      <w:r w:rsidR="000F32E8" w:rsidRPr="00AE39E0">
        <w:rPr>
          <w:rFonts w:cs="Tahoma"/>
        </w:rPr>
        <w:t>Sistema de Acceso a la Información Mexiquense (</w:t>
      </w:r>
      <w:r w:rsidR="000F32E8" w:rsidRPr="00AE39E0">
        <w:rPr>
          <w:rFonts w:cs="Tahoma"/>
          <w:b/>
        </w:rPr>
        <w:t>SAIMEX</w:t>
      </w:r>
      <w:r w:rsidR="000F32E8" w:rsidRPr="00AE39E0">
        <w:rPr>
          <w:rFonts w:cs="Tahoma"/>
        </w:rPr>
        <w:t xml:space="preserve">). </w:t>
      </w:r>
      <w:r w:rsidRPr="00AE39E0">
        <w:rPr>
          <w:rFonts w:cs="Tahoma"/>
        </w:rPr>
        <w:t>Dicha solicitud quedó registrada con el número de folio</w:t>
      </w:r>
      <w:r w:rsidRPr="00AE39E0">
        <w:rPr>
          <w:rFonts w:cs="Tahoma"/>
          <w:b/>
          <w:bCs/>
        </w:rPr>
        <w:t xml:space="preserve"> </w:t>
      </w:r>
      <w:r w:rsidR="006C7C6D" w:rsidRPr="00AE39E0">
        <w:rPr>
          <w:b/>
          <w:bCs/>
        </w:rPr>
        <w:t xml:space="preserve">00019/OASCUATIZC/IP/2025 </w:t>
      </w:r>
      <w:r w:rsidRPr="00AE39E0">
        <w:rPr>
          <w:rFonts w:cs="Tahoma"/>
        </w:rPr>
        <w:t>y en ella se requirió la siguiente información:</w:t>
      </w:r>
    </w:p>
    <w:p w14:paraId="0459D6AC" w14:textId="77777777" w:rsidR="00664420" w:rsidRPr="00AE39E0" w:rsidRDefault="00664420" w:rsidP="00AE39E0">
      <w:pPr>
        <w:tabs>
          <w:tab w:val="left" w:pos="4667"/>
        </w:tabs>
        <w:ind w:left="567" w:right="567"/>
        <w:rPr>
          <w:rFonts w:cs="Tahoma"/>
          <w:b/>
          <w:bCs/>
        </w:rPr>
      </w:pPr>
    </w:p>
    <w:p w14:paraId="64B27DE3" w14:textId="45C33761" w:rsidR="00664420" w:rsidRPr="00AE39E0" w:rsidRDefault="002B1D44" w:rsidP="00AE39E0">
      <w:pPr>
        <w:pStyle w:val="Ttulo"/>
      </w:pPr>
      <w:r w:rsidRPr="00AE39E0">
        <w:t>“</w:t>
      </w:r>
      <w:r w:rsidR="006C7C6D" w:rsidRPr="00AE39E0">
        <w:t>En apego a la transparencia y rendición de cuentas y con fundamento a la normatividad aplicable en la materia, solicito lo siguiente: copia de las pólizas de diario, ingresos, egresos y cheque en versión pública, del periodo comprendido del 01 de enero de 2024 al 31 de diciembre de 2024.</w:t>
      </w:r>
      <w:r w:rsidRPr="00AE39E0">
        <w:t>”</w:t>
      </w:r>
      <w:r w:rsidR="00BA1AB6" w:rsidRPr="00AE39E0">
        <w:t xml:space="preserve"> (sic)</w:t>
      </w:r>
    </w:p>
    <w:p w14:paraId="39524FA3" w14:textId="77777777" w:rsidR="006C7C6D" w:rsidRPr="00AE39E0" w:rsidRDefault="006C7C6D" w:rsidP="00AE39E0"/>
    <w:p w14:paraId="0BD6321D" w14:textId="5D8567EA" w:rsidR="00664420" w:rsidRPr="00AE39E0" w:rsidRDefault="009A2D78" w:rsidP="00AE39E0">
      <w:pPr>
        <w:tabs>
          <w:tab w:val="left" w:pos="4667"/>
        </w:tabs>
        <w:ind w:left="567" w:right="567"/>
        <w:rPr>
          <w:rFonts w:cs="Tahoma"/>
          <w:bCs/>
          <w:szCs w:val="22"/>
        </w:rPr>
      </w:pPr>
      <w:r w:rsidRPr="00AE39E0">
        <w:rPr>
          <w:rFonts w:cs="Tahoma"/>
          <w:b/>
          <w:bCs/>
          <w:szCs w:val="22"/>
        </w:rPr>
        <w:t>Modalidad de entrega</w:t>
      </w:r>
      <w:r w:rsidRPr="00AE39E0">
        <w:rPr>
          <w:rFonts w:cs="Tahoma"/>
          <w:bCs/>
          <w:szCs w:val="22"/>
        </w:rPr>
        <w:t>: a</w:t>
      </w:r>
      <w:r w:rsidR="00664420" w:rsidRPr="00AE39E0">
        <w:rPr>
          <w:rFonts w:cs="Tahoma"/>
          <w:bCs/>
          <w:i/>
          <w:szCs w:val="22"/>
        </w:rPr>
        <w:t xml:space="preserve"> través del </w:t>
      </w:r>
      <w:r w:rsidR="00664420" w:rsidRPr="00AE39E0">
        <w:rPr>
          <w:rFonts w:cs="Tahoma"/>
          <w:b/>
          <w:bCs/>
          <w:i/>
          <w:szCs w:val="22"/>
        </w:rPr>
        <w:t>SAIMEX</w:t>
      </w:r>
      <w:r w:rsidRPr="00AE39E0">
        <w:rPr>
          <w:rFonts w:cs="Tahoma"/>
          <w:bCs/>
          <w:i/>
          <w:szCs w:val="22"/>
        </w:rPr>
        <w:t>.</w:t>
      </w:r>
    </w:p>
    <w:p w14:paraId="334D2860" w14:textId="77777777" w:rsidR="00664420" w:rsidRPr="00AE39E0" w:rsidRDefault="00664420" w:rsidP="00AE39E0">
      <w:pPr>
        <w:autoSpaceDE w:val="0"/>
        <w:autoSpaceDN w:val="0"/>
        <w:adjustRightInd w:val="0"/>
        <w:ind w:right="-28"/>
        <w:rPr>
          <w:rFonts w:cs="Tahoma"/>
          <w:bCs/>
          <w:i/>
          <w:szCs w:val="22"/>
        </w:rPr>
      </w:pPr>
    </w:p>
    <w:p w14:paraId="3212BA4D" w14:textId="60D59391" w:rsidR="00664420" w:rsidRPr="00AE39E0" w:rsidRDefault="000611E4" w:rsidP="00AE39E0">
      <w:pPr>
        <w:pStyle w:val="Ttulo3"/>
      </w:pPr>
      <w:bookmarkStart w:id="6" w:name="_Toc192675139"/>
      <w:bookmarkStart w:id="7" w:name="_Toc201753622"/>
      <w:r w:rsidRPr="00AE39E0">
        <w:t xml:space="preserve">b) </w:t>
      </w:r>
      <w:bookmarkEnd w:id="6"/>
      <w:r w:rsidR="00664420" w:rsidRPr="00AE39E0">
        <w:rPr>
          <w:lang w:val="es-ES"/>
        </w:rPr>
        <w:t xml:space="preserve">Respuesta </w:t>
      </w:r>
      <w:r w:rsidR="00664420" w:rsidRPr="00AE39E0">
        <w:rPr>
          <w:rFonts w:eastAsia="Calibri"/>
          <w:lang w:eastAsia="en-US"/>
        </w:rPr>
        <w:t>del Sujeto Obligado</w:t>
      </w:r>
      <w:bookmarkEnd w:id="7"/>
    </w:p>
    <w:p w14:paraId="2143017E" w14:textId="384D2D6C" w:rsidR="00BA1AB6" w:rsidRPr="00AE39E0" w:rsidRDefault="003B0255" w:rsidP="00AE39E0">
      <w:pPr>
        <w:rPr>
          <w:lang w:val="es-ES"/>
        </w:rPr>
      </w:pPr>
      <w:r w:rsidRPr="00AE39E0">
        <w:rPr>
          <w:lang w:val="es-ES"/>
        </w:rPr>
        <w:t xml:space="preserve">El </w:t>
      </w:r>
      <w:r w:rsidR="006C7C6D" w:rsidRPr="00AE39E0">
        <w:rPr>
          <w:b/>
          <w:bCs/>
          <w:lang w:val="es-ES"/>
        </w:rPr>
        <w:t xml:space="preserve">veinticuatro de febrero </w:t>
      </w:r>
      <w:r w:rsidRPr="00AE39E0">
        <w:rPr>
          <w:b/>
          <w:bCs/>
          <w:lang w:val="es-ES"/>
        </w:rPr>
        <w:t>de dos mil veintic</w:t>
      </w:r>
      <w:r w:rsidR="006E7E69" w:rsidRPr="00AE39E0">
        <w:rPr>
          <w:b/>
          <w:bCs/>
          <w:lang w:val="es-ES"/>
        </w:rPr>
        <w:t>inco</w:t>
      </w:r>
      <w:r w:rsidRPr="00AE39E0">
        <w:rPr>
          <w:lang w:val="es-ES"/>
        </w:rPr>
        <w:t xml:space="preserve">, el Titular de la Unidad de Transparencia del </w:t>
      </w:r>
      <w:r w:rsidRPr="00AE39E0">
        <w:rPr>
          <w:b/>
          <w:lang w:val="es-ES"/>
        </w:rPr>
        <w:t>SUJETO OBLIGADO</w:t>
      </w:r>
      <w:r w:rsidRPr="00AE39E0">
        <w:rPr>
          <w:lang w:val="es-ES"/>
        </w:rPr>
        <w:t xml:space="preserve"> notificó la siguiente respuesta a través del </w:t>
      </w:r>
      <w:r w:rsidRPr="00AE39E0">
        <w:rPr>
          <w:b/>
          <w:lang w:val="es-ES"/>
        </w:rPr>
        <w:t>SAIMEX</w:t>
      </w:r>
      <w:r w:rsidRPr="00AE39E0">
        <w:rPr>
          <w:lang w:val="es-ES"/>
        </w:rPr>
        <w:t>:</w:t>
      </w:r>
    </w:p>
    <w:p w14:paraId="64166B4B" w14:textId="77777777" w:rsidR="003B0255" w:rsidRPr="00AE39E0" w:rsidRDefault="003B0255" w:rsidP="00AE39E0"/>
    <w:p w14:paraId="49D7E626" w14:textId="77777777" w:rsidR="006C7C6D" w:rsidRPr="00AE39E0" w:rsidRDefault="003B0255" w:rsidP="00AE39E0">
      <w:pPr>
        <w:pStyle w:val="Ttulo"/>
      </w:pPr>
      <w:r w:rsidRPr="00AE39E0">
        <w:t>“</w:t>
      </w:r>
      <w:r w:rsidR="006C7C6D" w:rsidRPr="00AE39E0">
        <w:t>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se da respuesta a la solicitud de acceso información pública ingresada mediante el Sistema de Acceso a la Información Mexiquense (SAIMEX), de fecha treinta y uno de enero de dos mil veinticinco, registrada bajo el número de folio 00019/OASCUATIZC/IP/2025.</w:t>
      </w:r>
    </w:p>
    <w:p w14:paraId="53CE610A" w14:textId="77777777" w:rsidR="006C7C6D" w:rsidRPr="00AE39E0" w:rsidRDefault="006C7C6D" w:rsidP="00AE39E0"/>
    <w:p w14:paraId="7AA52182" w14:textId="77777777" w:rsidR="006C7C6D" w:rsidRPr="00AE39E0" w:rsidRDefault="006C7C6D" w:rsidP="00AE39E0">
      <w:pPr>
        <w:pStyle w:val="Ttulo"/>
      </w:pPr>
      <w:r w:rsidRPr="00AE39E0">
        <w:t>ATENTAMENTE</w:t>
      </w:r>
    </w:p>
    <w:p w14:paraId="1BA820D2" w14:textId="77777777" w:rsidR="006C7C6D" w:rsidRPr="00AE39E0" w:rsidRDefault="006C7C6D" w:rsidP="00AE39E0"/>
    <w:p w14:paraId="4A08B1BE" w14:textId="2C037309" w:rsidR="003B0255" w:rsidRPr="00AE39E0" w:rsidRDefault="006C7C6D" w:rsidP="00AE39E0">
      <w:pPr>
        <w:pStyle w:val="Ttulo"/>
      </w:pPr>
      <w:r w:rsidRPr="00AE39E0">
        <w:t>Consuelo Emily Espinoza Mendoza</w:t>
      </w:r>
      <w:r w:rsidR="003B0255" w:rsidRPr="00AE39E0">
        <w:t>” (sic)</w:t>
      </w:r>
    </w:p>
    <w:p w14:paraId="4B1F18A0" w14:textId="77777777" w:rsidR="003B0255" w:rsidRPr="00AE39E0" w:rsidRDefault="003B0255" w:rsidP="00AE39E0"/>
    <w:p w14:paraId="3AC6369C" w14:textId="77777777" w:rsidR="00CC5ED7" w:rsidRPr="00AE39E0" w:rsidRDefault="003B0255" w:rsidP="00AE39E0">
      <w:pPr>
        <w:autoSpaceDE w:val="0"/>
        <w:autoSpaceDN w:val="0"/>
        <w:adjustRightInd w:val="0"/>
        <w:ind w:right="-28"/>
        <w:rPr>
          <w:rFonts w:cs="Tahoma"/>
          <w:bCs/>
          <w:szCs w:val="22"/>
          <w:lang w:val="es-ES"/>
        </w:rPr>
      </w:pPr>
      <w:r w:rsidRPr="00AE39E0">
        <w:rPr>
          <w:rFonts w:cs="Tahoma"/>
          <w:bCs/>
          <w:szCs w:val="22"/>
          <w:lang w:val="es-ES"/>
        </w:rPr>
        <w:t xml:space="preserve">Asimismo, </w:t>
      </w:r>
      <w:r w:rsidRPr="00AE39E0">
        <w:rPr>
          <w:rFonts w:cs="Tahoma"/>
          <w:b/>
          <w:szCs w:val="22"/>
          <w:lang w:val="es-ES"/>
        </w:rPr>
        <w:t xml:space="preserve">EL SUJETO OBLIGADO </w:t>
      </w:r>
      <w:r w:rsidRPr="00AE39E0">
        <w:rPr>
          <w:rFonts w:cs="Tahoma"/>
          <w:bCs/>
          <w:szCs w:val="22"/>
          <w:lang w:val="es-ES"/>
        </w:rPr>
        <w:t xml:space="preserve">adjuntó a su respuesta </w:t>
      </w:r>
      <w:r w:rsidR="00CC5ED7" w:rsidRPr="00AE39E0">
        <w:rPr>
          <w:rFonts w:cs="Tahoma"/>
          <w:bCs/>
          <w:szCs w:val="22"/>
          <w:lang w:val="es-ES"/>
        </w:rPr>
        <w:t>los</w:t>
      </w:r>
      <w:r w:rsidR="00AE4B12" w:rsidRPr="00AE39E0">
        <w:rPr>
          <w:rFonts w:cs="Tahoma"/>
          <w:bCs/>
          <w:szCs w:val="22"/>
          <w:lang w:val="es-ES"/>
        </w:rPr>
        <w:t xml:space="preserve"> </w:t>
      </w:r>
      <w:r w:rsidR="009D1BF6" w:rsidRPr="00AE39E0">
        <w:rPr>
          <w:rFonts w:cs="Tahoma"/>
          <w:bCs/>
          <w:szCs w:val="22"/>
          <w:lang w:val="es-ES"/>
        </w:rPr>
        <w:t>archivo</w:t>
      </w:r>
      <w:r w:rsidR="00CC5ED7" w:rsidRPr="00AE39E0">
        <w:rPr>
          <w:rFonts w:cs="Tahoma"/>
          <w:bCs/>
          <w:szCs w:val="22"/>
          <w:lang w:val="es-ES"/>
        </w:rPr>
        <w:t>s</w:t>
      </w:r>
      <w:r w:rsidR="009D1BF6" w:rsidRPr="00AE39E0">
        <w:rPr>
          <w:rFonts w:cs="Tahoma"/>
          <w:bCs/>
          <w:szCs w:val="22"/>
          <w:lang w:val="es-ES"/>
        </w:rPr>
        <w:t xml:space="preserve"> electrónico</w:t>
      </w:r>
      <w:r w:rsidR="00CC5ED7" w:rsidRPr="00AE39E0">
        <w:rPr>
          <w:rFonts w:cs="Tahoma"/>
          <w:bCs/>
          <w:szCs w:val="22"/>
          <w:lang w:val="es-ES"/>
        </w:rPr>
        <w:t xml:space="preserve">s que a continuación se describen: </w:t>
      </w:r>
    </w:p>
    <w:p w14:paraId="1E77DED9" w14:textId="77777777" w:rsidR="00CC5ED7" w:rsidRPr="00AE39E0" w:rsidRDefault="00CC5ED7" w:rsidP="00AE39E0">
      <w:pPr>
        <w:autoSpaceDE w:val="0"/>
        <w:autoSpaceDN w:val="0"/>
        <w:adjustRightInd w:val="0"/>
        <w:ind w:right="-28"/>
        <w:rPr>
          <w:rFonts w:cs="Tahoma"/>
          <w:bCs/>
          <w:szCs w:val="22"/>
          <w:lang w:val="es-ES"/>
        </w:rPr>
      </w:pPr>
    </w:p>
    <w:p w14:paraId="3644D294" w14:textId="09C4CEBB" w:rsidR="006C7C6D" w:rsidRPr="00AE39E0" w:rsidRDefault="006C7C6D" w:rsidP="00AE39E0">
      <w:pPr>
        <w:pStyle w:val="Prrafodelista"/>
        <w:numPr>
          <w:ilvl w:val="0"/>
          <w:numId w:val="1"/>
        </w:numPr>
        <w:autoSpaceDE w:val="0"/>
        <w:autoSpaceDN w:val="0"/>
        <w:adjustRightInd w:val="0"/>
        <w:ind w:right="-28"/>
        <w:rPr>
          <w:rFonts w:eastAsiaTheme="majorEastAsia"/>
          <w:b/>
          <w:bCs/>
          <w:i/>
          <w:lang w:val="es-ES"/>
        </w:rPr>
      </w:pPr>
      <w:r w:rsidRPr="00AE39E0">
        <w:rPr>
          <w:rFonts w:eastAsiaTheme="majorEastAsia"/>
          <w:b/>
          <w:bCs/>
          <w:i/>
          <w:lang w:val="es-ES"/>
        </w:rPr>
        <w:t xml:space="preserve">DG_CTYA_0114_2025.pdf, </w:t>
      </w:r>
      <w:r w:rsidRPr="00AE39E0">
        <w:rPr>
          <w:rFonts w:eastAsiaTheme="majorEastAsia"/>
          <w:iCs/>
          <w:lang w:val="es-ES"/>
        </w:rPr>
        <w:t>el cual contiene el oficio número DG/</w:t>
      </w:r>
      <w:proofErr w:type="spellStart"/>
      <w:r w:rsidRPr="00AE39E0">
        <w:rPr>
          <w:rFonts w:eastAsiaTheme="majorEastAsia"/>
          <w:iCs/>
          <w:lang w:val="es-ES"/>
        </w:rPr>
        <w:t>CTyA</w:t>
      </w:r>
      <w:proofErr w:type="spellEnd"/>
      <w:r w:rsidRPr="00AE39E0">
        <w:rPr>
          <w:rFonts w:eastAsiaTheme="majorEastAsia"/>
          <w:iCs/>
          <w:lang w:val="es-ES"/>
        </w:rPr>
        <w:t xml:space="preserve">/0114/2025 del veinticuatro de febrero de dos mil veinticinco, por medio del cual el titular de la Coordinación de Transparencia y </w:t>
      </w:r>
      <w:proofErr w:type="gramStart"/>
      <w:r w:rsidRPr="00AE39E0">
        <w:rPr>
          <w:rFonts w:eastAsiaTheme="majorEastAsia"/>
          <w:iCs/>
          <w:lang w:val="es-ES"/>
        </w:rPr>
        <w:t>Archivos,</w:t>
      </w:r>
      <w:proofErr w:type="gramEnd"/>
      <w:r w:rsidRPr="00AE39E0">
        <w:rPr>
          <w:rFonts w:eastAsiaTheme="majorEastAsia"/>
          <w:iCs/>
          <w:lang w:val="es-ES"/>
        </w:rPr>
        <w:t xml:space="preserve"> refiere adjuntar respuesta del requerimiento de lo solicitado y Resolución número RES/07/CT/EXT/2ª/2025. </w:t>
      </w:r>
    </w:p>
    <w:p w14:paraId="09E3E8CB" w14:textId="445B7502" w:rsidR="006C7C6D" w:rsidRPr="00AE39E0" w:rsidRDefault="006C7C6D" w:rsidP="00AE39E0">
      <w:pPr>
        <w:pStyle w:val="Prrafodelista"/>
        <w:numPr>
          <w:ilvl w:val="0"/>
          <w:numId w:val="1"/>
        </w:numPr>
        <w:autoSpaceDE w:val="0"/>
        <w:autoSpaceDN w:val="0"/>
        <w:adjustRightInd w:val="0"/>
        <w:ind w:right="-28"/>
        <w:rPr>
          <w:rFonts w:eastAsiaTheme="majorEastAsia"/>
          <w:b/>
          <w:bCs/>
          <w:i/>
          <w:lang w:val="es-ES"/>
        </w:rPr>
      </w:pPr>
      <w:r w:rsidRPr="00AE39E0">
        <w:rPr>
          <w:rFonts w:eastAsiaTheme="majorEastAsia"/>
          <w:b/>
          <w:bCs/>
          <w:i/>
          <w:lang w:val="es-ES"/>
        </w:rPr>
        <w:lastRenderedPageBreak/>
        <w:t xml:space="preserve">DAF_191_JEQA_2025.pdf, </w:t>
      </w:r>
      <w:r w:rsidRPr="00AE39E0">
        <w:rPr>
          <w:rFonts w:eastAsiaTheme="majorEastAsia"/>
          <w:iCs/>
          <w:lang w:val="es-ES"/>
        </w:rPr>
        <w:t xml:space="preserve">el cual contiene el oficio DAF/191/JEQA/2025 del veinticuatro de febrero de dos mil veinticinco, por medio del cual el </w:t>
      </w:r>
      <w:proofErr w:type="gramStart"/>
      <w:r w:rsidRPr="00AE39E0">
        <w:rPr>
          <w:rFonts w:eastAsiaTheme="majorEastAsia"/>
          <w:iCs/>
          <w:lang w:val="es-ES"/>
        </w:rPr>
        <w:t>Director</w:t>
      </w:r>
      <w:proofErr w:type="gramEnd"/>
      <w:r w:rsidRPr="00AE39E0">
        <w:rPr>
          <w:rFonts w:eastAsiaTheme="majorEastAsia"/>
          <w:iCs/>
          <w:lang w:val="es-ES"/>
        </w:rPr>
        <w:t xml:space="preserve"> de Administración adjunta el oficio DAF/SF/035/2025 suscrito por la encargada de despacho de la Dirección de Finanzas la cual hace del conocimiento que el Comité de Transparencia aprobó el cambio de modalidad de la información requerida. </w:t>
      </w:r>
    </w:p>
    <w:p w14:paraId="4602B812" w14:textId="4E1C6462" w:rsidR="006C7C6D" w:rsidRPr="00AE39E0" w:rsidRDefault="006C7C6D" w:rsidP="00AE39E0">
      <w:pPr>
        <w:pStyle w:val="Prrafodelista"/>
        <w:numPr>
          <w:ilvl w:val="0"/>
          <w:numId w:val="1"/>
        </w:numPr>
        <w:autoSpaceDE w:val="0"/>
        <w:autoSpaceDN w:val="0"/>
        <w:adjustRightInd w:val="0"/>
        <w:ind w:right="-28"/>
        <w:rPr>
          <w:rFonts w:eastAsiaTheme="majorEastAsia"/>
          <w:b/>
          <w:bCs/>
          <w:i/>
        </w:rPr>
      </w:pPr>
      <w:r w:rsidRPr="00AE39E0">
        <w:rPr>
          <w:rFonts w:eastAsiaTheme="majorEastAsia"/>
          <w:b/>
          <w:bCs/>
          <w:i/>
        </w:rPr>
        <w:t xml:space="preserve">RES_07_CT_EXT_2a__2025.pdf, </w:t>
      </w:r>
      <w:r w:rsidRPr="00AE39E0">
        <w:rPr>
          <w:rFonts w:eastAsiaTheme="majorEastAsia"/>
          <w:iCs/>
        </w:rPr>
        <w:t xml:space="preserve">el cual contiene la </w:t>
      </w:r>
      <w:r w:rsidRPr="00AE39E0">
        <w:rPr>
          <w:rFonts w:eastAsiaTheme="majorEastAsia"/>
          <w:iCs/>
          <w:lang w:val="es-ES"/>
        </w:rPr>
        <w:t xml:space="preserve">Resolución número RES/07/CT/EXT/2ª/2025 del veintiuno de febrero de dos mil veinticinco, por medio de la cual el Comité de Transparencia aprobó el cambio de modalidad para dar respuesta a la solicitud materia de estudio. </w:t>
      </w:r>
    </w:p>
    <w:p w14:paraId="3F5B6E53" w14:textId="57F942DB" w:rsidR="006C7C6D" w:rsidRPr="00AE39E0" w:rsidRDefault="006C7C6D" w:rsidP="00AE39E0">
      <w:pPr>
        <w:pStyle w:val="Prrafodelista"/>
        <w:numPr>
          <w:ilvl w:val="0"/>
          <w:numId w:val="1"/>
        </w:numPr>
        <w:autoSpaceDE w:val="0"/>
        <w:autoSpaceDN w:val="0"/>
        <w:adjustRightInd w:val="0"/>
        <w:ind w:right="-28"/>
        <w:rPr>
          <w:rFonts w:eastAsiaTheme="majorEastAsia"/>
          <w:b/>
          <w:bCs/>
          <w:i/>
        </w:rPr>
      </w:pPr>
      <w:r w:rsidRPr="00AE39E0">
        <w:rPr>
          <w:rFonts w:eastAsiaTheme="majorEastAsia"/>
          <w:b/>
          <w:bCs/>
          <w:i/>
        </w:rPr>
        <w:t xml:space="preserve">DAF_SF_031_2025.pdf, </w:t>
      </w:r>
      <w:r w:rsidRPr="00AE39E0">
        <w:rPr>
          <w:rFonts w:eastAsiaTheme="majorEastAsia"/>
          <w:iCs/>
        </w:rPr>
        <w:t xml:space="preserve">el cual contiene el oficio DAF/031/2025 del dieciocho de febrero de dos mil veinticinco, por medio del cual la encargada del despacho de la Subdirección de Finanzas </w:t>
      </w:r>
      <w:r w:rsidRPr="00AE39E0">
        <w:rPr>
          <w:rFonts w:eastAsiaTheme="majorEastAsia"/>
          <w:iCs/>
          <w:lang w:val="es-ES"/>
        </w:rPr>
        <w:t>hace del conocimiento que el Comité de Transparencia aprobó el cambio de modalidad de la información requerida.</w:t>
      </w:r>
    </w:p>
    <w:p w14:paraId="14752DAA" w14:textId="77777777" w:rsidR="005F2A3D" w:rsidRPr="00AE39E0" w:rsidRDefault="005F2A3D" w:rsidP="00AE39E0">
      <w:pPr>
        <w:autoSpaceDE w:val="0"/>
        <w:autoSpaceDN w:val="0"/>
        <w:adjustRightInd w:val="0"/>
        <w:ind w:right="-28"/>
        <w:rPr>
          <w:rFonts w:eastAsiaTheme="majorEastAsia"/>
          <w:lang w:val="es-ES"/>
        </w:rPr>
      </w:pPr>
    </w:p>
    <w:p w14:paraId="0F24A322" w14:textId="7F9E5F9A" w:rsidR="00B137E8" w:rsidRPr="00AE39E0" w:rsidRDefault="00B137E8" w:rsidP="00AE39E0">
      <w:pPr>
        <w:pStyle w:val="Ttulo2"/>
        <w:jc w:val="left"/>
      </w:pPr>
      <w:bookmarkStart w:id="8" w:name="_Toc171527280"/>
      <w:bookmarkStart w:id="9" w:name="_Toc201753623"/>
      <w:r w:rsidRPr="00AE39E0">
        <w:t>DEL RECURSO DE REVISIÓN</w:t>
      </w:r>
      <w:bookmarkEnd w:id="8"/>
      <w:bookmarkEnd w:id="9"/>
    </w:p>
    <w:p w14:paraId="2B216813" w14:textId="61ADBB2B" w:rsidR="00664420" w:rsidRPr="00AE39E0" w:rsidRDefault="006E25BC" w:rsidP="00AE39E0">
      <w:pPr>
        <w:pStyle w:val="Ttulo3"/>
      </w:pPr>
      <w:bookmarkStart w:id="10" w:name="_Toc201753624"/>
      <w:r w:rsidRPr="00AE39E0">
        <w:rPr>
          <w:szCs w:val="32"/>
        </w:rPr>
        <w:t>a)</w:t>
      </w:r>
      <w:r w:rsidRPr="00AE39E0">
        <w:t xml:space="preserve"> </w:t>
      </w:r>
      <w:r w:rsidR="00664420" w:rsidRPr="00AE39E0">
        <w:t>Interposición del Recurso de Revisión</w:t>
      </w:r>
      <w:bookmarkEnd w:id="10"/>
    </w:p>
    <w:p w14:paraId="6279C622" w14:textId="009E3843" w:rsidR="00664420" w:rsidRPr="00AE39E0" w:rsidRDefault="00664420" w:rsidP="00AE39E0">
      <w:pPr>
        <w:autoSpaceDE w:val="0"/>
        <w:autoSpaceDN w:val="0"/>
        <w:adjustRightInd w:val="0"/>
        <w:ind w:right="-28"/>
        <w:rPr>
          <w:rFonts w:cs="Tahoma"/>
          <w:szCs w:val="22"/>
        </w:rPr>
      </w:pPr>
      <w:r w:rsidRPr="00AE39E0">
        <w:rPr>
          <w:rFonts w:cs="Tahoma"/>
          <w:szCs w:val="22"/>
        </w:rPr>
        <w:t xml:space="preserve">El </w:t>
      </w:r>
      <w:r w:rsidR="006C7C6D" w:rsidRPr="00AE39E0">
        <w:rPr>
          <w:rFonts w:cs="Tahoma"/>
          <w:b/>
          <w:bCs/>
          <w:szCs w:val="22"/>
        </w:rPr>
        <w:t xml:space="preserve">diez de </w:t>
      </w:r>
      <w:r w:rsidR="00CC5ED7" w:rsidRPr="00AE39E0">
        <w:rPr>
          <w:rFonts w:cs="Tahoma"/>
          <w:b/>
          <w:bCs/>
          <w:szCs w:val="22"/>
        </w:rPr>
        <w:t>m</w:t>
      </w:r>
      <w:r w:rsidR="00E0690A" w:rsidRPr="00AE39E0">
        <w:rPr>
          <w:rFonts w:cs="Tahoma"/>
          <w:b/>
          <w:bCs/>
          <w:szCs w:val="22"/>
        </w:rPr>
        <w:t xml:space="preserve">arzo </w:t>
      </w:r>
      <w:r w:rsidR="00475FF6" w:rsidRPr="00AE39E0">
        <w:rPr>
          <w:rFonts w:cs="Tahoma"/>
          <w:b/>
          <w:bCs/>
          <w:szCs w:val="22"/>
        </w:rPr>
        <w:t xml:space="preserve">de </w:t>
      </w:r>
      <w:r w:rsidRPr="00AE39E0">
        <w:rPr>
          <w:rFonts w:cs="Tahoma"/>
          <w:b/>
          <w:bCs/>
          <w:szCs w:val="22"/>
        </w:rPr>
        <w:t>dos mil</w:t>
      </w:r>
      <w:r w:rsidR="00F45902" w:rsidRPr="00AE39E0">
        <w:rPr>
          <w:rFonts w:cs="Tahoma"/>
          <w:b/>
          <w:bCs/>
          <w:szCs w:val="22"/>
        </w:rPr>
        <w:t xml:space="preserve"> veintic</w:t>
      </w:r>
      <w:r w:rsidR="006E7E69" w:rsidRPr="00AE39E0">
        <w:rPr>
          <w:rFonts w:cs="Tahoma"/>
          <w:b/>
          <w:bCs/>
          <w:szCs w:val="22"/>
        </w:rPr>
        <w:t>inco</w:t>
      </w:r>
      <w:r w:rsidR="00E0690A" w:rsidRPr="00AE39E0">
        <w:rPr>
          <w:rFonts w:cs="Tahoma"/>
          <w:b/>
          <w:bCs/>
          <w:szCs w:val="22"/>
        </w:rPr>
        <w:t xml:space="preserve"> </w:t>
      </w:r>
      <w:r w:rsidR="00F75D23" w:rsidRPr="00AE39E0">
        <w:rPr>
          <w:rFonts w:cs="Tahoma"/>
          <w:b/>
          <w:bCs/>
          <w:szCs w:val="22"/>
        </w:rPr>
        <w:t>LA PARTE RECURRENTE</w:t>
      </w:r>
      <w:r w:rsidR="00F75D23" w:rsidRPr="00AE39E0">
        <w:rPr>
          <w:rFonts w:cs="Tahoma"/>
          <w:szCs w:val="22"/>
        </w:rPr>
        <w:t xml:space="preserve"> interpuso el recurso de revisión en contra de la respuesta emitida por el </w:t>
      </w:r>
      <w:r w:rsidR="00F75D23" w:rsidRPr="00AE39E0">
        <w:rPr>
          <w:rFonts w:cs="Tahoma"/>
          <w:b/>
          <w:bCs/>
          <w:szCs w:val="22"/>
        </w:rPr>
        <w:t>SUJETO OBLIGADO</w:t>
      </w:r>
      <w:r w:rsidR="00953430" w:rsidRPr="00AE39E0">
        <w:rPr>
          <w:rFonts w:cs="Tahoma"/>
          <w:szCs w:val="22"/>
        </w:rPr>
        <w:t xml:space="preserve">, mismo que fue registrado en el </w:t>
      </w:r>
      <w:r w:rsidR="00953430" w:rsidRPr="00AE39E0">
        <w:rPr>
          <w:rFonts w:cs="Tahoma"/>
          <w:b/>
          <w:szCs w:val="22"/>
        </w:rPr>
        <w:t>SAIMEX</w:t>
      </w:r>
      <w:r w:rsidR="00953430" w:rsidRPr="00AE39E0">
        <w:rPr>
          <w:rFonts w:cs="Tahoma"/>
          <w:szCs w:val="22"/>
        </w:rPr>
        <w:t xml:space="preserve"> con el número de expediente </w:t>
      </w:r>
      <w:r w:rsidR="006E7E69" w:rsidRPr="00AE39E0">
        <w:rPr>
          <w:rFonts w:cs="Tahoma"/>
          <w:b/>
          <w:bCs/>
          <w:szCs w:val="22"/>
        </w:rPr>
        <w:t>0</w:t>
      </w:r>
      <w:r w:rsidR="00CC5ED7" w:rsidRPr="00AE39E0">
        <w:rPr>
          <w:rFonts w:cs="Tahoma"/>
          <w:b/>
          <w:bCs/>
          <w:szCs w:val="22"/>
        </w:rPr>
        <w:t>3737</w:t>
      </w:r>
      <w:r w:rsidR="006E7E69" w:rsidRPr="00AE39E0">
        <w:rPr>
          <w:rFonts w:cs="Tahoma"/>
          <w:b/>
          <w:bCs/>
          <w:szCs w:val="22"/>
        </w:rPr>
        <w:t>/INFOEM/IP/RR/2025</w:t>
      </w:r>
      <w:r w:rsidR="00953430" w:rsidRPr="00AE39E0">
        <w:rPr>
          <w:rFonts w:cs="Tahoma"/>
          <w:szCs w:val="22"/>
        </w:rPr>
        <w:t>, y en el cual manifiesta lo siguiente</w:t>
      </w:r>
      <w:r w:rsidRPr="00AE39E0">
        <w:rPr>
          <w:rFonts w:cs="Tahoma"/>
          <w:szCs w:val="22"/>
        </w:rPr>
        <w:t>:</w:t>
      </w:r>
    </w:p>
    <w:p w14:paraId="74B30008" w14:textId="77777777" w:rsidR="00664420" w:rsidRPr="00AE39E0" w:rsidRDefault="00664420" w:rsidP="00AE39E0">
      <w:pPr>
        <w:tabs>
          <w:tab w:val="left" w:pos="4667"/>
        </w:tabs>
        <w:ind w:right="539"/>
        <w:rPr>
          <w:rFonts w:cs="Tahoma"/>
          <w:szCs w:val="22"/>
        </w:rPr>
      </w:pPr>
    </w:p>
    <w:p w14:paraId="2780191D" w14:textId="77777777" w:rsidR="006415E5" w:rsidRPr="00AE39E0" w:rsidRDefault="00664420" w:rsidP="00AE39E0">
      <w:pPr>
        <w:tabs>
          <w:tab w:val="left" w:pos="4667"/>
        </w:tabs>
        <w:ind w:right="539"/>
        <w:rPr>
          <w:rFonts w:cs="Tahoma"/>
          <w:b/>
          <w:iCs/>
        </w:rPr>
      </w:pPr>
      <w:r w:rsidRPr="00AE39E0">
        <w:rPr>
          <w:rFonts w:cs="Tahoma"/>
          <w:b/>
          <w:iCs/>
        </w:rPr>
        <w:t>ACTO IMPUGNADO</w:t>
      </w:r>
      <w:r w:rsidR="006415E5" w:rsidRPr="00AE39E0">
        <w:rPr>
          <w:rFonts w:cs="Tahoma"/>
          <w:b/>
          <w:iCs/>
        </w:rPr>
        <w:t xml:space="preserve">: </w:t>
      </w:r>
    </w:p>
    <w:p w14:paraId="369BEFEA" w14:textId="77777777" w:rsidR="006415E5" w:rsidRPr="00AE39E0" w:rsidRDefault="006415E5" w:rsidP="00AE39E0">
      <w:pPr>
        <w:pStyle w:val="Ttulo"/>
      </w:pPr>
    </w:p>
    <w:p w14:paraId="174FC425" w14:textId="51BEA114" w:rsidR="006415E5" w:rsidRPr="00AE39E0" w:rsidRDefault="006415E5" w:rsidP="00AE39E0">
      <w:pPr>
        <w:pStyle w:val="Ttulo"/>
      </w:pPr>
      <w:r w:rsidRPr="00AE39E0">
        <w:t>“</w:t>
      </w:r>
      <w:r w:rsidR="006C7C6D" w:rsidRPr="00AE39E0">
        <w:t>Respuesta</w:t>
      </w:r>
      <w:r w:rsidRPr="00AE39E0">
        <w:t xml:space="preserve">” (sic) </w:t>
      </w:r>
    </w:p>
    <w:p w14:paraId="737EA022" w14:textId="77777777" w:rsidR="006415E5" w:rsidRPr="00AE39E0" w:rsidRDefault="006415E5" w:rsidP="00AE39E0">
      <w:pPr>
        <w:pStyle w:val="Ttulo"/>
      </w:pPr>
    </w:p>
    <w:p w14:paraId="7753408F" w14:textId="5E7CE11A" w:rsidR="0043654A" w:rsidRPr="00AE39E0" w:rsidRDefault="0086345C" w:rsidP="00AE39E0">
      <w:pPr>
        <w:tabs>
          <w:tab w:val="left" w:pos="4667"/>
        </w:tabs>
        <w:ind w:right="539"/>
        <w:rPr>
          <w:rFonts w:cs="Tahoma"/>
          <w:b/>
          <w:iCs/>
        </w:rPr>
      </w:pPr>
      <w:r w:rsidRPr="00AE39E0">
        <w:rPr>
          <w:rFonts w:cs="Tahoma"/>
          <w:b/>
          <w:iCs/>
        </w:rPr>
        <w:t xml:space="preserve">RAZONES O MOTIVOS DE INCONFORMIDAD: </w:t>
      </w:r>
    </w:p>
    <w:p w14:paraId="776C5805" w14:textId="77777777" w:rsidR="0043654A" w:rsidRPr="00AE39E0" w:rsidRDefault="0043654A" w:rsidP="00AE39E0">
      <w:pPr>
        <w:tabs>
          <w:tab w:val="left" w:pos="4667"/>
        </w:tabs>
        <w:ind w:right="539"/>
        <w:rPr>
          <w:rFonts w:cs="Tahoma"/>
          <w:b/>
          <w:iCs/>
        </w:rPr>
      </w:pPr>
    </w:p>
    <w:p w14:paraId="1279BAF2" w14:textId="3490374E" w:rsidR="0043654A" w:rsidRPr="00AE39E0" w:rsidRDefault="0043654A" w:rsidP="00AE39E0">
      <w:pPr>
        <w:pStyle w:val="Ttulo"/>
      </w:pPr>
      <w:r w:rsidRPr="00AE39E0">
        <w:t>“</w:t>
      </w:r>
      <w:r w:rsidR="006C7C6D" w:rsidRPr="00AE39E0">
        <w:t xml:space="preserve">Niegan los documentos por la vía en que fueron requeridos, son documentos que ya existen toda vez que en su momento debieron ser entregados al OSFEM en formato </w:t>
      </w:r>
      <w:proofErr w:type="spellStart"/>
      <w:r w:rsidR="006C7C6D" w:rsidRPr="00AE39E0">
        <w:t>Tiff</w:t>
      </w:r>
      <w:proofErr w:type="spellEnd"/>
      <w:r w:rsidR="006C7C6D" w:rsidRPr="00AE39E0">
        <w:t xml:space="preserve"> lo que permite entregar información legible mediante un CD y que por ende </w:t>
      </w:r>
      <w:proofErr w:type="spellStart"/>
      <w:r w:rsidR="006C7C6D" w:rsidRPr="00AE39E0">
        <w:t>tambien</w:t>
      </w:r>
      <w:proofErr w:type="spellEnd"/>
      <w:r w:rsidR="006C7C6D" w:rsidRPr="00AE39E0">
        <w:t xml:space="preserve"> puede entregarse por Sistema SAIMEX, presumen un peso excesivo de la información sin presentar pruebas al respecto.</w:t>
      </w:r>
      <w:r w:rsidRPr="00AE39E0">
        <w:t xml:space="preserve">” (sic) </w:t>
      </w:r>
    </w:p>
    <w:p w14:paraId="366F3F95" w14:textId="77777777" w:rsidR="0043654A" w:rsidRPr="00AE39E0" w:rsidRDefault="0043654A" w:rsidP="00AE39E0">
      <w:pPr>
        <w:pStyle w:val="Ttulo"/>
      </w:pPr>
    </w:p>
    <w:p w14:paraId="6804DEF1" w14:textId="1FD3227A" w:rsidR="00664420" w:rsidRPr="00AE39E0" w:rsidRDefault="006E25BC" w:rsidP="00AE39E0">
      <w:pPr>
        <w:pStyle w:val="Ttulo3"/>
      </w:pPr>
      <w:bookmarkStart w:id="11" w:name="_Toc201753625"/>
      <w:r w:rsidRPr="00AE39E0">
        <w:t>b</w:t>
      </w:r>
      <w:r w:rsidR="00664420" w:rsidRPr="00AE39E0">
        <w:t>) Turno del Recurso de Revisión</w:t>
      </w:r>
      <w:bookmarkEnd w:id="11"/>
    </w:p>
    <w:p w14:paraId="1173671B" w14:textId="7B323B8C" w:rsidR="00C72DAA" w:rsidRPr="00AE39E0" w:rsidRDefault="00C72DAA" w:rsidP="00AE39E0">
      <w:r w:rsidRPr="00AE39E0">
        <w:t>Con fundamento en el artículo 185, fracción I de la Ley de Transparencia y Acceso a la Información Pública del Estado de México y Municipios, el</w:t>
      </w:r>
      <w:r w:rsidRPr="00AE39E0">
        <w:rPr>
          <w:b/>
          <w:bCs/>
        </w:rPr>
        <w:t xml:space="preserve"> </w:t>
      </w:r>
      <w:r w:rsidR="006C7C6D" w:rsidRPr="00AE39E0">
        <w:rPr>
          <w:rFonts w:eastAsia="Palatino Linotype" w:cs="Palatino Linotype"/>
          <w:b/>
        </w:rPr>
        <w:t xml:space="preserve">diez de marzo </w:t>
      </w:r>
      <w:r w:rsidR="009A1340" w:rsidRPr="00AE39E0">
        <w:rPr>
          <w:rFonts w:eastAsia="Palatino Linotype" w:cs="Palatino Linotype"/>
          <w:b/>
        </w:rPr>
        <w:t xml:space="preserve">de dos mil veinticinco, </w:t>
      </w:r>
      <w:r w:rsidRPr="00AE39E0">
        <w:t>se turnó el recurso de revisión a través del</w:t>
      </w:r>
      <w:r w:rsidRPr="00AE39E0">
        <w:rPr>
          <w:rFonts w:eastAsia="Arial Unicode MS"/>
        </w:rPr>
        <w:t xml:space="preserve"> </w:t>
      </w:r>
      <w:r w:rsidRPr="00AE39E0">
        <w:rPr>
          <w:rFonts w:eastAsia="Arial Unicode MS"/>
          <w:b/>
          <w:bCs/>
        </w:rPr>
        <w:t>SAIMEX</w:t>
      </w:r>
      <w:r w:rsidRPr="00AE39E0">
        <w:t xml:space="preserve"> a la </w:t>
      </w:r>
      <w:r w:rsidRPr="00AE39E0">
        <w:rPr>
          <w:b/>
        </w:rPr>
        <w:t>Comisionada Sharon Cristina Morales Martínez</w:t>
      </w:r>
      <w:r w:rsidRPr="00AE39E0">
        <w:rPr>
          <w:bCs/>
        </w:rPr>
        <w:t xml:space="preserve">, </w:t>
      </w:r>
      <w:r w:rsidRPr="00AE39E0">
        <w:t xml:space="preserve">a efecto de decretar su admisión o desechamiento. </w:t>
      </w:r>
    </w:p>
    <w:p w14:paraId="18F305CB" w14:textId="77777777" w:rsidR="00664420" w:rsidRPr="00AE39E0" w:rsidRDefault="00664420" w:rsidP="00AE39E0">
      <w:pPr>
        <w:rPr>
          <w:rFonts w:eastAsia="Batang" w:cs="Tahoma"/>
          <w:bCs/>
          <w:szCs w:val="22"/>
        </w:rPr>
      </w:pPr>
    </w:p>
    <w:p w14:paraId="3E31EC2D" w14:textId="295256A1" w:rsidR="00664420" w:rsidRPr="00AE39E0" w:rsidRDefault="006E25BC" w:rsidP="00AE39E0">
      <w:pPr>
        <w:pStyle w:val="Ttulo3"/>
      </w:pPr>
      <w:bookmarkStart w:id="12" w:name="_Toc201753626"/>
      <w:r w:rsidRPr="00AE39E0">
        <w:t>c</w:t>
      </w:r>
      <w:r w:rsidR="00664420" w:rsidRPr="00AE39E0">
        <w:t>) Admisión del Recurso de Revisión</w:t>
      </w:r>
      <w:bookmarkEnd w:id="12"/>
    </w:p>
    <w:p w14:paraId="240447D5" w14:textId="5FD962C6" w:rsidR="000E09C4" w:rsidRPr="00AE39E0" w:rsidRDefault="000E09C4" w:rsidP="00AE39E0">
      <w:pPr>
        <w:rPr>
          <w:rFonts w:cs="Arial"/>
        </w:rPr>
      </w:pPr>
      <w:r w:rsidRPr="00AE39E0">
        <w:rPr>
          <w:rFonts w:cs="Arial"/>
        </w:rPr>
        <w:t xml:space="preserve">El </w:t>
      </w:r>
      <w:r w:rsidR="006C7C6D" w:rsidRPr="00AE39E0">
        <w:rPr>
          <w:rFonts w:eastAsia="Palatino Linotype" w:cs="Palatino Linotype"/>
          <w:b/>
        </w:rPr>
        <w:t xml:space="preserve">once de marzo </w:t>
      </w:r>
      <w:r w:rsidR="00CC5ED7" w:rsidRPr="00AE39E0">
        <w:rPr>
          <w:rFonts w:eastAsia="Palatino Linotype" w:cs="Palatino Linotype"/>
          <w:b/>
        </w:rPr>
        <w:t>d</w:t>
      </w:r>
      <w:r w:rsidR="00657603" w:rsidRPr="00AE39E0">
        <w:rPr>
          <w:rFonts w:eastAsia="Palatino Linotype" w:cs="Palatino Linotype"/>
          <w:b/>
        </w:rPr>
        <w:t>e dos mil veintic</w:t>
      </w:r>
      <w:r w:rsidR="009A1340" w:rsidRPr="00AE39E0">
        <w:rPr>
          <w:rFonts w:eastAsia="Palatino Linotype" w:cs="Palatino Linotype"/>
          <w:b/>
        </w:rPr>
        <w:t>inco</w:t>
      </w:r>
      <w:r w:rsidRPr="00AE39E0">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E39E0">
        <w:rPr>
          <w:rFonts w:cs="Arial"/>
        </w:rPr>
        <w:t>, fracción II</w:t>
      </w:r>
      <w:r w:rsidRPr="00AE39E0">
        <w:rPr>
          <w:rFonts w:cs="Arial"/>
        </w:rPr>
        <w:t xml:space="preserve"> de la Ley de Transparencia y Acceso a la Información Pública del Estado de México y Municipios.</w:t>
      </w:r>
    </w:p>
    <w:p w14:paraId="34EC3F86" w14:textId="77777777" w:rsidR="00D2790D" w:rsidRPr="00AE39E0" w:rsidRDefault="00D2790D" w:rsidP="00AE39E0">
      <w:pPr>
        <w:rPr>
          <w:rFonts w:cs="Arial"/>
        </w:rPr>
      </w:pPr>
    </w:p>
    <w:p w14:paraId="3B820F58" w14:textId="503F9071" w:rsidR="00865CF4" w:rsidRPr="00AE39E0" w:rsidRDefault="0075751F" w:rsidP="00AE39E0">
      <w:pPr>
        <w:pStyle w:val="Ttulo3"/>
      </w:pPr>
      <w:bookmarkStart w:id="13" w:name="_Toc201753627"/>
      <w:r w:rsidRPr="00AE39E0">
        <w:t>d</w:t>
      </w:r>
      <w:r w:rsidR="00664420" w:rsidRPr="00AE39E0">
        <w:t xml:space="preserve">) </w:t>
      </w:r>
      <w:r w:rsidR="00865CF4" w:rsidRPr="00AE39E0">
        <w:t>Informe Justificado del Sujeto Obligado</w:t>
      </w:r>
      <w:bookmarkEnd w:id="13"/>
    </w:p>
    <w:p w14:paraId="3F01754B" w14:textId="662FB21F" w:rsidR="006C7C6D" w:rsidRPr="00AE39E0" w:rsidRDefault="00E0690A" w:rsidP="00AE39E0">
      <w:pPr>
        <w:rPr>
          <w:rFonts w:cs="Tahoma"/>
          <w:b/>
          <w:i/>
          <w:iCs/>
          <w:szCs w:val="24"/>
        </w:rPr>
      </w:pPr>
      <w:r w:rsidRPr="00AE39E0">
        <w:rPr>
          <w:rFonts w:cs="Tahoma"/>
          <w:bCs/>
          <w:szCs w:val="24"/>
        </w:rPr>
        <w:t xml:space="preserve">El </w:t>
      </w:r>
      <w:r w:rsidR="006C7C6D" w:rsidRPr="00AE39E0">
        <w:rPr>
          <w:rFonts w:cs="Tahoma"/>
          <w:b/>
          <w:szCs w:val="24"/>
        </w:rPr>
        <w:t xml:space="preserve">dieciocho de marzo </w:t>
      </w:r>
      <w:r w:rsidRPr="00AE39E0">
        <w:rPr>
          <w:rFonts w:cs="Tahoma"/>
          <w:b/>
          <w:szCs w:val="24"/>
        </w:rPr>
        <w:t>de dos mil veinticinco EL SUJETO OBLIGADO</w:t>
      </w:r>
      <w:r w:rsidRPr="00AE39E0">
        <w:rPr>
          <w:rFonts w:cs="Tahoma"/>
          <w:bCs/>
          <w:szCs w:val="24"/>
        </w:rPr>
        <w:t xml:space="preserve"> rindió su informe justificado a través del </w:t>
      </w:r>
      <w:r w:rsidRPr="00AE39E0">
        <w:rPr>
          <w:rFonts w:cs="Tahoma"/>
          <w:b/>
          <w:bCs/>
          <w:szCs w:val="24"/>
        </w:rPr>
        <w:t>SAIMEX</w:t>
      </w:r>
      <w:r w:rsidRPr="00AE39E0">
        <w:rPr>
          <w:rFonts w:cs="Tahoma"/>
          <w:bCs/>
          <w:szCs w:val="24"/>
        </w:rPr>
        <w:t xml:space="preserve">, </w:t>
      </w:r>
      <w:bookmarkStart w:id="14" w:name="_Hlk165379932"/>
      <w:r w:rsidRPr="00AE39E0">
        <w:rPr>
          <w:rFonts w:cs="Tahoma"/>
          <w:bCs/>
          <w:szCs w:val="24"/>
        </w:rPr>
        <w:t xml:space="preserve">adjuntando para ello </w:t>
      </w:r>
      <w:r w:rsidR="006C7C6D" w:rsidRPr="00AE39E0">
        <w:rPr>
          <w:rFonts w:cs="Tahoma"/>
          <w:bCs/>
          <w:szCs w:val="24"/>
        </w:rPr>
        <w:t xml:space="preserve">por duplicado el </w:t>
      </w:r>
      <w:r w:rsidR="00CC5ED7" w:rsidRPr="00AE39E0">
        <w:rPr>
          <w:rFonts w:cs="Tahoma"/>
          <w:bCs/>
          <w:szCs w:val="24"/>
        </w:rPr>
        <w:t>archivo</w:t>
      </w:r>
      <w:r w:rsidR="006C7C6D" w:rsidRPr="00AE39E0">
        <w:rPr>
          <w:rFonts w:cs="Tahoma"/>
          <w:bCs/>
          <w:szCs w:val="24"/>
        </w:rPr>
        <w:t xml:space="preserve"> electrónico </w:t>
      </w:r>
      <w:r w:rsidR="006C7C6D" w:rsidRPr="00AE39E0">
        <w:rPr>
          <w:rFonts w:cs="Tahoma"/>
          <w:bCs/>
          <w:szCs w:val="24"/>
        </w:rPr>
        <w:lastRenderedPageBreak/>
        <w:t xml:space="preserve">denominado </w:t>
      </w:r>
      <w:r w:rsidR="006C7C6D" w:rsidRPr="00AE39E0">
        <w:rPr>
          <w:rFonts w:cs="Tahoma"/>
          <w:b/>
          <w:i/>
          <w:iCs/>
          <w:szCs w:val="24"/>
        </w:rPr>
        <w:t xml:space="preserve">DG-DAF-0015-2025 RESPUESTA RR02727 Y ANEXOS.pdf, </w:t>
      </w:r>
      <w:r w:rsidR="006C7C6D" w:rsidRPr="00AE39E0">
        <w:rPr>
          <w:rFonts w:cs="Tahoma"/>
          <w:bCs/>
          <w:szCs w:val="24"/>
        </w:rPr>
        <w:t>el cual contiene el oficio número DG/DAF/0015/2025 del catorce de marzo de dos mil veinticinco, por medio del cual el titular de la Dirección de Administración y finanzas adjunta el oficio DAF/CF/050/2025 signado por la titular de la Coordinación de Finanzas, por medio del cual medularmente ratifica su respuesta primigenia. Asimismo</w:t>
      </w:r>
      <w:r w:rsidR="00182E7D" w:rsidRPr="00AE39E0">
        <w:rPr>
          <w:rFonts w:cs="Tahoma"/>
          <w:bCs/>
          <w:szCs w:val="24"/>
        </w:rPr>
        <w:t>,</w:t>
      </w:r>
      <w:r w:rsidR="006C7C6D" w:rsidRPr="00AE39E0">
        <w:rPr>
          <w:rFonts w:cs="Tahoma"/>
          <w:bCs/>
          <w:szCs w:val="24"/>
        </w:rPr>
        <w:t xml:space="preserve"> adjunta oficio INFOEM/DGI/255/2025 del veinticuatro de febrero de dos mil veinticinco por medio del cual el </w:t>
      </w:r>
      <w:proofErr w:type="gramStart"/>
      <w:r w:rsidR="006C7C6D" w:rsidRPr="00AE39E0">
        <w:rPr>
          <w:rFonts w:cs="Tahoma"/>
          <w:bCs/>
          <w:szCs w:val="24"/>
        </w:rPr>
        <w:t>Director General</w:t>
      </w:r>
      <w:proofErr w:type="gramEnd"/>
      <w:r w:rsidR="006C7C6D" w:rsidRPr="00AE39E0">
        <w:rPr>
          <w:rFonts w:cs="Tahoma"/>
          <w:bCs/>
          <w:szCs w:val="24"/>
        </w:rPr>
        <w:t xml:space="preserve"> de Informática del INFOEM, comunica al titular de la Coordinación de Transparencia y Archivo el registro de la incidencia técnica en la bitácora de incidencias, toda vez que se trata de subir 200 GB lo cual sobrepasa las capacidades técnicas del SAIMEX.  </w:t>
      </w:r>
    </w:p>
    <w:p w14:paraId="64FD16EE" w14:textId="77777777" w:rsidR="00CC5ED7" w:rsidRPr="00AE39E0" w:rsidRDefault="00CC5ED7" w:rsidP="00AE39E0">
      <w:pPr>
        <w:pStyle w:val="Prrafodelista"/>
        <w:rPr>
          <w:rFonts w:cs="Tahoma"/>
          <w:bCs/>
          <w:szCs w:val="24"/>
        </w:rPr>
      </w:pPr>
    </w:p>
    <w:bookmarkEnd w:id="14"/>
    <w:p w14:paraId="5942F4CB" w14:textId="1A4B96D2" w:rsidR="00E0690A" w:rsidRPr="00AE39E0" w:rsidRDefault="00E0690A" w:rsidP="00AE39E0">
      <w:pPr>
        <w:rPr>
          <w:rFonts w:cs="Tahoma"/>
          <w:bCs/>
          <w:szCs w:val="24"/>
        </w:rPr>
      </w:pPr>
      <w:r w:rsidRPr="00AE39E0">
        <w:rPr>
          <w:rFonts w:cs="Tahoma"/>
          <w:bCs/>
          <w:szCs w:val="24"/>
        </w:rPr>
        <w:t xml:space="preserve">Esta información fue puesta a la vista de </w:t>
      </w:r>
      <w:r w:rsidRPr="00AE39E0">
        <w:rPr>
          <w:rFonts w:cs="Tahoma"/>
          <w:b/>
          <w:szCs w:val="24"/>
        </w:rPr>
        <w:t xml:space="preserve">LA PARTE RECURRENTE </w:t>
      </w:r>
      <w:r w:rsidRPr="00AE39E0">
        <w:rPr>
          <w:rFonts w:cs="Tahoma"/>
          <w:bCs/>
          <w:szCs w:val="24"/>
        </w:rPr>
        <w:t xml:space="preserve">el </w:t>
      </w:r>
      <w:r w:rsidR="006C7C6D" w:rsidRPr="00AE39E0">
        <w:rPr>
          <w:rFonts w:cs="Tahoma"/>
          <w:b/>
          <w:szCs w:val="24"/>
        </w:rPr>
        <w:t xml:space="preserve">doce de mayo de </w:t>
      </w:r>
      <w:r w:rsidRPr="00AE39E0">
        <w:rPr>
          <w:rFonts w:cs="Tahoma"/>
          <w:b/>
          <w:szCs w:val="24"/>
        </w:rPr>
        <w:t>dos mil veinticinco</w:t>
      </w:r>
      <w:r w:rsidRPr="00AE39E0">
        <w:rPr>
          <w:rFonts w:cs="Tahoma"/>
          <w:bCs/>
          <w:szCs w:val="24"/>
        </w:rPr>
        <w:t xml:space="preserve"> para que, en un plazo de tres días hábiles, manifestara lo que a su derecho conviniera, de conformidad con lo establecido en el </w:t>
      </w:r>
      <w:r w:rsidRPr="00AE39E0">
        <w:rPr>
          <w:rFonts w:cs="Arial"/>
        </w:rPr>
        <w:t>artículo 185, fracción III de la Ley de Transparencia y Acceso a la Información Pública del Estado de México y Municipios</w:t>
      </w:r>
      <w:r w:rsidRPr="00AE39E0">
        <w:rPr>
          <w:rFonts w:cs="Tahoma"/>
          <w:bCs/>
          <w:szCs w:val="24"/>
        </w:rPr>
        <w:t>.</w:t>
      </w:r>
    </w:p>
    <w:p w14:paraId="66BA6FC7" w14:textId="77777777" w:rsidR="00865CF4" w:rsidRPr="00AE39E0" w:rsidRDefault="00865CF4" w:rsidP="00AE39E0">
      <w:pPr>
        <w:rPr>
          <w:rFonts w:cs="Tahoma"/>
          <w:bCs/>
          <w:szCs w:val="24"/>
        </w:rPr>
      </w:pPr>
    </w:p>
    <w:p w14:paraId="755B7730" w14:textId="3EA3E31D" w:rsidR="00664420" w:rsidRPr="00AE39E0" w:rsidRDefault="0075751F" w:rsidP="00AE39E0">
      <w:pPr>
        <w:pStyle w:val="Ttulo3"/>
        <w:rPr>
          <w:lang w:val="es-ES"/>
        </w:rPr>
      </w:pPr>
      <w:bookmarkStart w:id="15" w:name="_Toc201753628"/>
      <w:r w:rsidRPr="00AE39E0">
        <w:rPr>
          <w:rFonts w:eastAsia="Calibri"/>
          <w:bCs/>
          <w:lang w:eastAsia="en-US"/>
        </w:rPr>
        <w:t>e</w:t>
      </w:r>
      <w:r w:rsidR="00664420" w:rsidRPr="00AE39E0">
        <w:rPr>
          <w:rFonts w:eastAsia="Calibri"/>
          <w:bCs/>
          <w:lang w:eastAsia="en-US"/>
        </w:rPr>
        <w:t>)</w:t>
      </w:r>
      <w:r w:rsidR="00664420" w:rsidRPr="00AE39E0">
        <w:t xml:space="preserve"> </w:t>
      </w:r>
      <w:r w:rsidR="00865CF4" w:rsidRPr="00AE39E0">
        <w:rPr>
          <w:lang w:val="es-ES"/>
        </w:rPr>
        <w:t>Manifestaciones de la Parte Recurrente</w:t>
      </w:r>
      <w:bookmarkEnd w:id="15"/>
    </w:p>
    <w:p w14:paraId="217A35D8" w14:textId="77777777" w:rsidR="0086345C" w:rsidRPr="00AE39E0" w:rsidRDefault="0086345C" w:rsidP="00AE39E0">
      <w:pPr>
        <w:rPr>
          <w:rFonts w:eastAsia="Arial Unicode MS" w:cs="Arial"/>
        </w:rPr>
      </w:pPr>
      <w:r w:rsidRPr="00AE39E0">
        <w:rPr>
          <w:rFonts w:cs="Tahoma"/>
          <w:b/>
          <w:szCs w:val="24"/>
        </w:rPr>
        <w:t xml:space="preserve">LA PARTE RECURRENTE </w:t>
      </w:r>
      <w:r w:rsidRPr="00AE39E0">
        <w:rPr>
          <w:rFonts w:eastAsia="Arial Unicode MS" w:cs="Arial"/>
        </w:rPr>
        <w:t>no realizó manifestación alguna dentro del término legalmente concedido para tal efecto, ni presentó pruebas o alegatos.</w:t>
      </w:r>
    </w:p>
    <w:p w14:paraId="43289D82" w14:textId="77777777" w:rsidR="00865CF4" w:rsidRPr="00AE39E0" w:rsidRDefault="00865CF4" w:rsidP="00AE39E0">
      <w:pPr>
        <w:rPr>
          <w:rFonts w:eastAsia="Arial Unicode MS" w:cs="Arial"/>
        </w:rPr>
      </w:pPr>
    </w:p>
    <w:p w14:paraId="032550BA" w14:textId="77777777" w:rsidR="006C7C6D" w:rsidRPr="00AE39E0" w:rsidRDefault="006C7C6D" w:rsidP="00AE39E0">
      <w:pPr>
        <w:rPr>
          <w:rFonts w:eastAsia="Arial Unicode MS" w:cs="Arial"/>
        </w:rPr>
      </w:pPr>
    </w:p>
    <w:p w14:paraId="247DB6DE" w14:textId="77777777" w:rsidR="00E0690A" w:rsidRPr="00AE39E0" w:rsidRDefault="00E0690A" w:rsidP="00AE39E0">
      <w:pPr>
        <w:pStyle w:val="Ttulo3"/>
        <w:rPr>
          <w:rFonts w:eastAsia="Calibri"/>
        </w:rPr>
      </w:pPr>
      <w:bookmarkStart w:id="16" w:name="_Toc171349463"/>
      <w:bookmarkStart w:id="17" w:name="_Toc194501117"/>
      <w:bookmarkStart w:id="18" w:name="_Toc196843280"/>
      <w:bookmarkStart w:id="19" w:name="_Toc197955306"/>
      <w:bookmarkStart w:id="20" w:name="_Toc198655058"/>
      <w:bookmarkStart w:id="21" w:name="_Toc201753629"/>
      <w:r w:rsidRPr="00AE39E0">
        <w:rPr>
          <w:rFonts w:eastAsia="Calibri"/>
        </w:rPr>
        <w:lastRenderedPageBreak/>
        <w:t>f) Ampliación de Plazo para Resolver</w:t>
      </w:r>
      <w:bookmarkEnd w:id="16"/>
      <w:bookmarkEnd w:id="17"/>
      <w:bookmarkEnd w:id="18"/>
      <w:bookmarkEnd w:id="19"/>
      <w:bookmarkEnd w:id="20"/>
      <w:bookmarkEnd w:id="21"/>
      <w:r w:rsidRPr="00AE39E0">
        <w:rPr>
          <w:rFonts w:eastAsia="Calibri"/>
        </w:rPr>
        <w:t xml:space="preserve"> </w:t>
      </w:r>
    </w:p>
    <w:p w14:paraId="05DD1DEC" w14:textId="3035F785" w:rsidR="00E0690A" w:rsidRPr="00AE39E0" w:rsidRDefault="00E0690A" w:rsidP="00AE39E0">
      <w:pPr>
        <w:rPr>
          <w:rFonts w:eastAsia="Palatino Linotype" w:cs="Palatino Linotype"/>
        </w:rPr>
      </w:pPr>
      <w:r w:rsidRPr="00AE39E0">
        <w:rPr>
          <w:rFonts w:eastAsia="Palatino Linotype" w:cs="Palatino Linotype"/>
        </w:rPr>
        <w:t xml:space="preserve">El </w:t>
      </w:r>
      <w:r w:rsidR="00F72289" w:rsidRPr="00AE39E0">
        <w:rPr>
          <w:rFonts w:cs="Arial"/>
          <w:b/>
        </w:rPr>
        <w:t>veint</w:t>
      </w:r>
      <w:r w:rsidR="008F09D9" w:rsidRPr="00AE39E0">
        <w:rPr>
          <w:rFonts w:cs="Arial"/>
          <w:b/>
        </w:rPr>
        <w:t>e</w:t>
      </w:r>
      <w:r w:rsidR="00F72289" w:rsidRPr="00AE39E0">
        <w:rPr>
          <w:rFonts w:cs="Arial"/>
          <w:b/>
        </w:rPr>
        <w:t xml:space="preserve"> </w:t>
      </w:r>
      <w:r w:rsidRPr="00AE39E0">
        <w:rPr>
          <w:rFonts w:eastAsia="Palatino Linotype" w:cs="Palatino Linotype"/>
          <w:b/>
        </w:rPr>
        <w:t>de mayo de dos mil veinticinco</w:t>
      </w:r>
      <w:r w:rsidRPr="00AE39E0">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8987F94" w14:textId="77777777" w:rsidR="006C7C6D" w:rsidRPr="00AE39E0" w:rsidRDefault="006C7C6D" w:rsidP="00AE39E0">
      <w:pPr>
        <w:rPr>
          <w:rFonts w:eastAsia="Palatino Linotype" w:cs="Palatino Linotype"/>
        </w:rPr>
      </w:pPr>
    </w:p>
    <w:p w14:paraId="59486A0B" w14:textId="77777777" w:rsidR="00A50077" w:rsidRPr="00AE39E0" w:rsidRDefault="00A50077" w:rsidP="00AE39E0">
      <w:pPr>
        <w:rPr>
          <w:rFonts w:cs="Arial"/>
          <w:lang w:eastAsia="es-MX"/>
        </w:rPr>
      </w:pPr>
      <w:r w:rsidRPr="00AE39E0">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A190C40" w14:textId="77777777" w:rsidR="00A50077" w:rsidRPr="00AE39E0" w:rsidRDefault="00A50077" w:rsidP="00AE39E0">
      <w:pPr>
        <w:rPr>
          <w:rFonts w:cs="Arial"/>
          <w:lang w:eastAsia="es-MX"/>
        </w:rPr>
      </w:pPr>
    </w:p>
    <w:p w14:paraId="3DF7CE70" w14:textId="77777777" w:rsidR="00A50077" w:rsidRPr="00AE39E0" w:rsidRDefault="00A50077" w:rsidP="00AE39E0">
      <w:pPr>
        <w:rPr>
          <w:rFonts w:cs="Arial"/>
          <w:lang w:eastAsia="es-MX"/>
        </w:rPr>
      </w:pPr>
      <w:r w:rsidRPr="00AE39E0">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66B77AB3" w14:textId="77777777" w:rsidR="00A50077" w:rsidRPr="00AE39E0" w:rsidRDefault="00A50077" w:rsidP="00AE39E0">
      <w:pPr>
        <w:rPr>
          <w:rFonts w:cs="Arial"/>
          <w:lang w:eastAsia="es-MX"/>
        </w:rPr>
      </w:pPr>
    </w:p>
    <w:p w14:paraId="27EB00F7" w14:textId="77777777" w:rsidR="00A50077" w:rsidRPr="00AE39E0" w:rsidRDefault="00A50077" w:rsidP="00AE39E0">
      <w:pPr>
        <w:rPr>
          <w:rFonts w:cs="Arial"/>
          <w:lang w:eastAsia="es-MX"/>
        </w:rPr>
      </w:pPr>
      <w:r w:rsidRPr="00AE39E0">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D90D8B2" w14:textId="77777777" w:rsidR="00A50077" w:rsidRPr="00AE39E0" w:rsidRDefault="00A50077" w:rsidP="00AE39E0">
      <w:pPr>
        <w:rPr>
          <w:rFonts w:cs="Arial"/>
          <w:lang w:eastAsia="es-MX"/>
        </w:rPr>
      </w:pPr>
    </w:p>
    <w:p w14:paraId="38D6241E" w14:textId="77777777" w:rsidR="00A50077" w:rsidRPr="00AE39E0" w:rsidRDefault="00A50077" w:rsidP="00AE39E0">
      <w:pPr>
        <w:rPr>
          <w:rFonts w:cs="Arial"/>
          <w:lang w:eastAsia="es-MX"/>
        </w:rPr>
      </w:pPr>
      <w:r w:rsidRPr="00AE39E0">
        <w:rPr>
          <w:rFonts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0A346BB1" w14:textId="77777777" w:rsidR="00A50077" w:rsidRPr="00AE39E0" w:rsidRDefault="00A50077" w:rsidP="00AE39E0">
      <w:pPr>
        <w:rPr>
          <w:rFonts w:cs="Arial"/>
          <w:lang w:eastAsia="es-MX"/>
        </w:rPr>
      </w:pPr>
    </w:p>
    <w:p w14:paraId="18142225" w14:textId="77777777" w:rsidR="00A50077" w:rsidRPr="00AE39E0" w:rsidRDefault="00A50077" w:rsidP="00AE39E0">
      <w:pPr>
        <w:numPr>
          <w:ilvl w:val="0"/>
          <w:numId w:val="5"/>
        </w:numPr>
        <w:spacing w:after="160" w:line="278" w:lineRule="auto"/>
        <w:jc w:val="left"/>
        <w:rPr>
          <w:rFonts w:cs="Arial"/>
          <w:lang w:eastAsia="es-MX"/>
        </w:rPr>
      </w:pPr>
      <w:r w:rsidRPr="00AE39E0">
        <w:rPr>
          <w:rFonts w:cs="Arial"/>
          <w:b/>
          <w:lang w:eastAsia="es-MX"/>
        </w:rPr>
        <w:t>Complejidad del asunto:</w:t>
      </w:r>
      <w:r w:rsidRPr="00AE39E0">
        <w:rPr>
          <w:rFonts w:cs="Arial"/>
          <w:lang w:eastAsia="es-MX"/>
        </w:rPr>
        <w:t xml:space="preserve"> La complejidad de la prueba, la pluralidad de sujetos procesales, el tiempo transcurrido, las características y contexto del recurso.</w:t>
      </w:r>
    </w:p>
    <w:p w14:paraId="576EABCC" w14:textId="77777777" w:rsidR="00A50077" w:rsidRPr="00AE39E0" w:rsidRDefault="00A50077" w:rsidP="00AE39E0">
      <w:pPr>
        <w:numPr>
          <w:ilvl w:val="0"/>
          <w:numId w:val="5"/>
        </w:numPr>
        <w:spacing w:after="160" w:line="278" w:lineRule="auto"/>
        <w:jc w:val="left"/>
        <w:rPr>
          <w:rFonts w:cs="Arial"/>
          <w:lang w:eastAsia="es-MX"/>
        </w:rPr>
      </w:pPr>
      <w:r w:rsidRPr="00AE39E0">
        <w:rPr>
          <w:rFonts w:cs="Arial"/>
          <w:b/>
          <w:lang w:eastAsia="es-MX"/>
        </w:rPr>
        <w:t>Actividad Procesal del interesado:</w:t>
      </w:r>
      <w:r w:rsidRPr="00AE39E0">
        <w:rPr>
          <w:rFonts w:cs="Arial"/>
          <w:lang w:eastAsia="es-MX"/>
        </w:rPr>
        <w:t xml:space="preserve"> Acciones u omisiones del interesado.</w:t>
      </w:r>
    </w:p>
    <w:p w14:paraId="4BC1A074" w14:textId="77777777" w:rsidR="00A50077" w:rsidRPr="00AE39E0" w:rsidRDefault="00A50077" w:rsidP="00AE39E0">
      <w:pPr>
        <w:numPr>
          <w:ilvl w:val="0"/>
          <w:numId w:val="5"/>
        </w:numPr>
        <w:spacing w:after="160" w:line="278" w:lineRule="auto"/>
        <w:jc w:val="left"/>
        <w:rPr>
          <w:rFonts w:cs="Arial"/>
          <w:lang w:eastAsia="es-MX"/>
        </w:rPr>
      </w:pPr>
      <w:r w:rsidRPr="00AE39E0">
        <w:rPr>
          <w:rFonts w:cs="Arial"/>
          <w:b/>
          <w:lang w:eastAsia="es-MX"/>
        </w:rPr>
        <w:t>Conducta de la Autoridad:</w:t>
      </w:r>
      <w:r w:rsidRPr="00AE39E0">
        <w:rPr>
          <w:rFonts w:cs="Arial"/>
          <w:lang w:eastAsia="es-MX"/>
        </w:rPr>
        <w:t xml:space="preserve"> Las Acciones u omisiones realizadas en el procedimiento. Así como si la autoridad actuó con la debida diligencia.</w:t>
      </w:r>
    </w:p>
    <w:p w14:paraId="5E3558D5" w14:textId="77777777" w:rsidR="00A50077" w:rsidRPr="00AE39E0" w:rsidRDefault="00A50077" w:rsidP="00AE39E0">
      <w:pPr>
        <w:numPr>
          <w:ilvl w:val="0"/>
          <w:numId w:val="5"/>
        </w:numPr>
        <w:spacing w:after="160" w:line="278" w:lineRule="auto"/>
        <w:jc w:val="left"/>
        <w:rPr>
          <w:rFonts w:cs="Arial"/>
          <w:lang w:eastAsia="es-MX"/>
        </w:rPr>
      </w:pPr>
      <w:r w:rsidRPr="00AE39E0">
        <w:rPr>
          <w:rFonts w:cs="Arial"/>
          <w:b/>
          <w:lang w:eastAsia="es-MX"/>
        </w:rPr>
        <w:t xml:space="preserve">La afectación generada en la situación jurídica de la persona involucrada en el proceso: </w:t>
      </w:r>
      <w:r w:rsidRPr="00AE39E0">
        <w:rPr>
          <w:rFonts w:cs="Arial"/>
          <w:lang w:eastAsia="es-MX"/>
        </w:rPr>
        <w:t>Violación a sus derechos humanos.</w:t>
      </w:r>
    </w:p>
    <w:p w14:paraId="3F9DC34A" w14:textId="77777777" w:rsidR="00A50077" w:rsidRPr="00AE39E0" w:rsidRDefault="00A50077" w:rsidP="00AE39E0">
      <w:pPr>
        <w:rPr>
          <w:rFonts w:cs="Arial"/>
          <w:lang w:eastAsia="es-MX"/>
        </w:rPr>
      </w:pPr>
    </w:p>
    <w:p w14:paraId="2259B48B" w14:textId="77777777" w:rsidR="00A50077" w:rsidRPr="00AE39E0" w:rsidRDefault="00A50077" w:rsidP="00AE39E0">
      <w:pPr>
        <w:rPr>
          <w:rFonts w:cs="Arial"/>
          <w:lang w:eastAsia="es-MX"/>
        </w:rPr>
      </w:pPr>
      <w:r w:rsidRPr="00AE39E0">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6FF6FC" w14:textId="77777777" w:rsidR="00A50077" w:rsidRPr="00AE39E0" w:rsidRDefault="00A50077" w:rsidP="00AE39E0">
      <w:pPr>
        <w:rPr>
          <w:rFonts w:cs="Arial"/>
          <w:lang w:eastAsia="es-MX"/>
        </w:rPr>
      </w:pPr>
    </w:p>
    <w:p w14:paraId="70630E1E" w14:textId="77777777" w:rsidR="00A50077" w:rsidRPr="00AE39E0" w:rsidRDefault="00A50077" w:rsidP="00AE39E0">
      <w:pPr>
        <w:rPr>
          <w:rFonts w:cs="Arial"/>
          <w:lang w:eastAsia="es-MX"/>
        </w:rPr>
      </w:pPr>
      <w:r w:rsidRPr="00AE39E0">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21764F" w14:textId="77777777" w:rsidR="00A50077" w:rsidRPr="00AE39E0" w:rsidRDefault="00A50077" w:rsidP="00AE39E0">
      <w:pPr>
        <w:rPr>
          <w:rFonts w:cs="Arial"/>
          <w:lang w:eastAsia="es-MX"/>
        </w:rPr>
      </w:pPr>
    </w:p>
    <w:p w14:paraId="55C46D45" w14:textId="77777777" w:rsidR="00A50077" w:rsidRPr="00AE39E0" w:rsidRDefault="00A50077" w:rsidP="00AE39E0">
      <w:pPr>
        <w:rPr>
          <w:rFonts w:cs="Arial"/>
          <w:lang w:eastAsia="es-MX"/>
        </w:rPr>
      </w:pPr>
      <w:r w:rsidRPr="00AE39E0">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A0CF39" w14:textId="77777777" w:rsidR="00A50077" w:rsidRPr="00AE39E0" w:rsidRDefault="00A50077" w:rsidP="00AE39E0">
      <w:pPr>
        <w:rPr>
          <w:rFonts w:cs="Arial"/>
          <w:lang w:eastAsia="es-MX"/>
        </w:rPr>
      </w:pPr>
    </w:p>
    <w:p w14:paraId="133AB1C6" w14:textId="77777777" w:rsidR="00A50077" w:rsidRPr="00AE39E0" w:rsidRDefault="00A50077" w:rsidP="00AE39E0">
      <w:pPr>
        <w:rPr>
          <w:rFonts w:cs="Arial"/>
          <w:lang w:eastAsia="es-MX"/>
        </w:rPr>
      </w:pPr>
      <w:r w:rsidRPr="00AE39E0">
        <w:rPr>
          <w:rFonts w:cs="Arial"/>
          <w:lang w:eastAsia="es-MX"/>
        </w:rPr>
        <w:t>Al respecto, también son de considerar los criterios sostenidos por el Cuarto Tribunal Colegiado en Materia Administrativa del Primer Circuito, cuyos rubros y datos de identificación son los siguientes:</w:t>
      </w:r>
    </w:p>
    <w:p w14:paraId="4DC2BA57" w14:textId="77777777" w:rsidR="00A50077" w:rsidRPr="00AE39E0" w:rsidRDefault="00A50077" w:rsidP="00AE39E0">
      <w:pPr>
        <w:rPr>
          <w:rFonts w:cs="Arial"/>
          <w:lang w:eastAsia="es-MX"/>
        </w:rPr>
      </w:pPr>
    </w:p>
    <w:p w14:paraId="42738B66" w14:textId="77777777" w:rsidR="00A50077" w:rsidRPr="00AE39E0" w:rsidRDefault="00A50077" w:rsidP="00AE39E0">
      <w:pPr>
        <w:spacing w:line="240" w:lineRule="auto"/>
        <w:ind w:left="567" w:right="567"/>
        <w:contextualSpacing/>
        <w:rPr>
          <w:i/>
          <w:kern w:val="28"/>
          <w:szCs w:val="56"/>
          <w:lang w:eastAsia="es-MX"/>
        </w:rPr>
      </w:pPr>
      <w:r w:rsidRPr="00AE39E0">
        <w:rPr>
          <w:i/>
          <w:kern w:val="28"/>
          <w:szCs w:val="56"/>
          <w:lang w:eastAsia="es-MX"/>
        </w:rPr>
        <w:t>“</w:t>
      </w:r>
      <w:r w:rsidRPr="00AE39E0">
        <w:rPr>
          <w:b/>
          <w:i/>
          <w:kern w:val="28"/>
          <w:szCs w:val="56"/>
          <w:lang w:eastAsia="es-MX"/>
        </w:rPr>
        <w:t>PLAZO RAZONABLE PARA RESOLVER. DIMENSIÓN Y EFECTOS DE ESTE CONCEPTO CUANDO SE ADUCE EXCESIVA CARGA DE TRABAJO</w:t>
      </w:r>
      <w:r w:rsidRPr="00AE39E0">
        <w:rPr>
          <w:i/>
          <w:kern w:val="28"/>
          <w:szCs w:val="56"/>
          <w:lang w:eastAsia="es-MX"/>
        </w:rPr>
        <w:t>.” consultable en el Seminario Judicial de la Federación y su gaceta, con el registro digital 2002351.</w:t>
      </w:r>
    </w:p>
    <w:p w14:paraId="65B7A231" w14:textId="77777777" w:rsidR="00A50077" w:rsidRPr="00AE39E0" w:rsidRDefault="00A50077" w:rsidP="00AE39E0">
      <w:pPr>
        <w:ind w:left="851" w:right="616"/>
        <w:rPr>
          <w:rFonts w:cs="Arial"/>
          <w:i/>
          <w:lang w:eastAsia="es-MX"/>
        </w:rPr>
      </w:pPr>
    </w:p>
    <w:p w14:paraId="50D61F58" w14:textId="77777777" w:rsidR="00A50077" w:rsidRPr="00AE39E0" w:rsidRDefault="00A50077" w:rsidP="00AE39E0">
      <w:pPr>
        <w:spacing w:line="240" w:lineRule="auto"/>
        <w:ind w:left="567" w:right="567"/>
        <w:contextualSpacing/>
        <w:rPr>
          <w:rFonts w:cs="Arial"/>
          <w:kern w:val="28"/>
          <w:szCs w:val="56"/>
          <w:lang w:eastAsia="es-MX"/>
        </w:rPr>
      </w:pPr>
      <w:r w:rsidRPr="00AE39E0">
        <w:rPr>
          <w:rFonts w:cs="Arial"/>
          <w:i/>
          <w:kern w:val="28"/>
          <w:szCs w:val="56"/>
          <w:lang w:eastAsia="es-MX"/>
        </w:rPr>
        <w:t>“</w:t>
      </w:r>
      <w:r w:rsidRPr="00AE39E0">
        <w:rPr>
          <w:rFonts w:cs="Arial"/>
          <w:b/>
          <w:i/>
          <w:kern w:val="28"/>
          <w:szCs w:val="56"/>
          <w:lang w:eastAsia="es-MX"/>
        </w:rPr>
        <w:t xml:space="preserve">PLAZO RAZONABLE </w:t>
      </w:r>
      <w:r w:rsidRPr="00AE39E0">
        <w:rPr>
          <w:b/>
          <w:i/>
          <w:kern w:val="28"/>
          <w:szCs w:val="56"/>
          <w:lang w:eastAsia="es-MX"/>
        </w:rPr>
        <w:t>PARA</w:t>
      </w:r>
      <w:r w:rsidRPr="00AE39E0">
        <w:rPr>
          <w:rFonts w:cs="Arial"/>
          <w:b/>
          <w:i/>
          <w:kern w:val="28"/>
          <w:szCs w:val="56"/>
          <w:lang w:eastAsia="es-MX"/>
        </w:rPr>
        <w:t xml:space="preserve"> RESOLVER. CONCEPTO Y ELEMENTOS QUE LO INTEGRAN A LA LUZ DEL DERECHO INTERNACIONAL DE LOS DERECHOS HUMANOS</w:t>
      </w:r>
      <w:r w:rsidRPr="00AE39E0">
        <w:rPr>
          <w:rFonts w:cs="Arial"/>
          <w:i/>
          <w:kern w:val="28"/>
          <w:szCs w:val="56"/>
          <w:lang w:eastAsia="es-MX"/>
        </w:rPr>
        <w:t>.”, visible en el Seminario Judicial de la Federación y su gaceta, con el registro digital 2002350.</w:t>
      </w:r>
    </w:p>
    <w:p w14:paraId="417D623D" w14:textId="77777777" w:rsidR="00A50077" w:rsidRPr="00AE39E0" w:rsidRDefault="00A50077" w:rsidP="00AE39E0">
      <w:pPr>
        <w:rPr>
          <w:rFonts w:cs="Arial"/>
          <w:lang w:eastAsia="es-MX"/>
        </w:rPr>
      </w:pPr>
    </w:p>
    <w:p w14:paraId="022E8DE3" w14:textId="77777777" w:rsidR="00A50077" w:rsidRPr="00AE39E0" w:rsidRDefault="00A50077" w:rsidP="00AE39E0">
      <w:pPr>
        <w:rPr>
          <w:rFonts w:cs="Arial"/>
          <w:lang w:eastAsia="es-MX"/>
        </w:rPr>
      </w:pPr>
      <w:r w:rsidRPr="00AE39E0">
        <w:rPr>
          <w:rFonts w:cs="Arial"/>
          <w:lang w:eastAsia="es-MX"/>
        </w:rPr>
        <w:lastRenderedPageBreak/>
        <w:t xml:space="preserve">Por ello, este organismo garante </w:t>
      </w:r>
      <w:r w:rsidRPr="00AE39E0">
        <w:rPr>
          <w:rFonts w:cs="Tahoma"/>
          <w:szCs w:val="22"/>
        </w:rPr>
        <w:t>comprometido</w:t>
      </w:r>
      <w:r w:rsidRPr="00AE39E0">
        <w:rPr>
          <w:rFonts w:cs="Arial"/>
          <w:lang w:eastAsia="es-MX"/>
        </w:rPr>
        <w:t xml:space="preserve"> con la tutela de los derechos humanos confiados señala que este exceso del plazo legal para resolver el asunto resulta de carácter excepcional.</w:t>
      </w:r>
    </w:p>
    <w:p w14:paraId="4F05FB21" w14:textId="77777777" w:rsidR="00A50077" w:rsidRPr="00AE39E0" w:rsidRDefault="00A50077" w:rsidP="00AE39E0">
      <w:pPr>
        <w:spacing w:after="160" w:line="278" w:lineRule="auto"/>
        <w:jc w:val="left"/>
        <w:rPr>
          <w:rFonts w:ascii="Aptos" w:eastAsia="Aptos" w:hAnsi="Aptos"/>
          <w:kern w:val="2"/>
          <w:sz w:val="24"/>
          <w:szCs w:val="24"/>
          <w:lang w:eastAsia="en-US"/>
          <w14:ligatures w14:val="standardContextual"/>
        </w:rPr>
      </w:pPr>
    </w:p>
    <w:p w14:paraId="7FA95A89" w14:textId="6D52B16A" w:rsidR="006C7C6D" w:rsidRPr="00AE39E0" w:rsidRDefault="006C7C6D" w:rsidP="00AE39E0">
      <w:pPr>
        <w:pStyle w:val="Ttulo3"/>
        <w:rPr>
          <w:lang w:val="es-ES"/>
        </w:rPr>
      </w:pPr>
      <w:bookmarkStart w:id="22" w:name="_Toc201753630"/>
      <w:r w:rsidRPr="00AE39E0">
        <w:rPr>
          <w:lang w:val="es-ES"/>
        </w:rPr>
        <w:t>g) Requerimiento de Información Adicional</w:t>
      </w:r>
      <w:bookmarkEnd w:id="22"/>
      <w:r w:rsidRPr="00AE39E0">
        <w:rPr>
          <w:lang w:val="es-ES"/>
        </w:rPr>
        <w:t xml:space="preserve"> </w:t>
      </w:r>
    </w:p>
    <w:p w14:paraId="1F0337BA" w14:textId="77777777" w:rsidR="006C7C6D" w:rsidRPr="00AE39E0" w:rsidRDefault="006C7C6D" w:rsidP="00AE39E0">
      <w:pPr>
        <w:rPr>
          <w:rFonts w:eastAsia="Arial Unicode MS" w:cs="Arial"/>
        </w:rPr>
      </w:pPr>
      <w:r w:rsidRPr="00AE39E0">
        <w:rPr>
          <w:rFonts w:eastAsia="Arial Unicode MS" w:cs="Arial"/>
        </w:rPr>
        <w:t xml:space="preserve">El </w:t>
      </w:r>
      <w:r w:rsidRPr="00AE39E0">
        <w:rPr>
          <w:rFonts w:eastAsia="Arial Unicode MS" w:cs="Arial"/>
          <w:b/>
          <w:bCs/>
        </w:rPr>
        <w:t>tres de junio de dos mil veinticinco</w:t>
      </w:r>
      <w:r w:rsidRPr="00AE39E0">
        <w:rPr>
          <w:rFonts w:eastAsia="Arial Unicode MS" w:cs="Arial"/>
        </w:rPr>
        <w:t xml:space="preserve"> este Órgano Garante realizó un requerimiento de información adicional al </w:t>
      </w:r>
      <w:r w:rsidRPr="00AE39E0">
        <w:rPr>
          <w:rFonts w:eastAsia="Arial Unicode MS" w:cs="Arial"/>
          <w:b/>
          <w:bCs/>
        </w:rPr>
        <w:t>SUJETO OBLIGADO</w:t>
      </w:r>
      <w:r w:rsidRPr="00AE39E0">
        <w:rPr>
          <w:rFonts w:eastAsia="Arial Unicode MS" w:cs="Arial"/>
        </w:rPr>
        <w:t xml:space="preserve"> en aras de allegarse de los elementos necesarios para la acreditación del cambio de modalidad, el cual una vez transcurrido y fenecido el plazo concedido, se advierte que este no fue atendido.</w:t>
      </w:r>
    </w:p>
    <w:p w14:paraId="6DFD2B94" w14:textId="77777777" w:rsidR="00E0690A" w:rsidRPr="00AE39E0" w:rsidRDefault="00E0690A" w:rsidP="00AE39E0">
      <w:pPr>
        <w:rPr>
          <w:rFonts w:eastAsia="Arial Unicode MS" w:cs="Arial"/>
        </w:rPr>
      </w:pPr>
    </w:p>
    <w:p w14:paraId="0E651988" w14:textId="58FE2BEF" w:rsidR="00664420" w:rsidRPr="00AE39E0" w:rsidRDefault="006C7C6D" w:rsidP="00AE39E0">
      <w:pPr>
        <w:pStyle w:val="Ttulo3"/>
      </w:pPr>
      <w:bookmarkStart w:id="23" w:name="_Toc201753631"/>
      <w:r w:rsidRPr="00AE39E0">
        <w:rPr>
          <w:rFonts w:eastAsia="Calibri"/>
        </w:rPr>
        <w:t>h</w:t>
      </w:r>
      <w:r w:rsidR="007517BD" w:rsidRPr="00AE39E0">
        <w:rPr>
          <w:rFonts w:eastAsia="Calibri"/>
        </w:rPr>
        <w:t xml:space="preserve">) </w:t>
      </w:r>
      <w:r w:rsidR="00664420" w:rsidRPr="00AE39E0">
        <w:t>Cierre de instrucción</w:t>
      </w:r>
      <w:bookmarkEnd w:id="23"/>
    </w:p>
    <w:p w14:paraId="79AF95DC" w14:textId="368FB4CA" w:rsidR="00664420" w:rsidRPr="00AE39E0" w:rsidRDefault="00BF091A" w:rsidP="00AE39E0">
      <w:r w:rsidRPr="00AE39E0">
        <w:rPr>
          <w:rFonts w:cs="Tahoma"/>
          <w:szCs w:val="22"/>
        </w:rPr>
        <w:t>Al no existir diligencias pendientes por desahogar</w:t>
      </w:r>
      <w:r w:rsidRPr="00AE39E0">
        <w:rPr>
          <w:rFonts w:cs="Arial"/>
        </w:rPr>
        <w:t xml:space="preserve">, el </w:t>
      </w:r>
      <w:bookmarkStart w:id="24" w:name="_Hlk104892386"/>
      <w:r w:rsidR="008F09D9" w:rsidRPr="00AE39E0">
        <w:rPr>
          <w:rFonts w:cs="Arial"/>
          <w:b/>
        </w:rPr>
        <w:t>veinticuatro</w:t>
      </w:r>
      <w:r w:rsidR="006C7C6D" w:rsidRPr="00AE39E0">
        <w:rPr>
          <w:rFonts w:cs="Arial"/>
          <w:b/>
        </w:rPr>
        <w:t xml:space="preserve"> de junio de</w:t>
      </w:r>
      <w:r w:rsidR="009A1340" w:rsidRPr="00AE39E0">
        <w:rPr>
          <w:rFonts w:cs="Arial"/>
          <w:b/>
        </w:rPr>
        <w:t xml:space="preserve"> dos mil veinticinco </w:t>
      </w:r>
      <w:bookmarkEnd w:id="24"/>
      <w:r w:rsidRPr="00AE39E0">
        <w:rPr>
          <w:rFonts w:cs="Arial"/>
        </w:rPr>
        <w:t xml:space="preserve">la </w:t>
      </w:r>
      <w:r w:rsidRPr="00AE39E0">
        <w:rPr>
          <w:rFonts w:cs="Arial"/>
          <w:b/>
          <w:bCs/>
        </w:rPr>
        <w:t xml:space="preserve">Comisionada </w:t>
      </w:r>
      <w:r w:rsidRPr="00AE39E0">
        <w:rPr>
          <w:b/>
        </w:rPr>
        <w:t xml:space="preserve">Sharon Cristina Morales Martínez </w:t>
      </w:r>
      <w:r w:rsidRPr="00AE39E0">
        <w:rPr>
          <w:rFonts w:cs="Arial"/>
        </w:rPr>
        <w:t>acordó el cierre de instrucción</w:t>
      </w:r>
      <w:r w:rsidR="0011350D" w:rsidRPr="00AE39E0">
        <w:rPr>
          <w:rFonts w:cs="Arial"/>
        </w:rPr>
        <w:t xml:space="preserve"> y</w:t>
      </w:r>
      <w:r w:rsidRPr="00AE39E0">
        <w:rPr>
          <w:rFonts w:cs="Arial"/>
        </w:rPr>
        <w:t xml:space="preserve"> </w:t>
      </w:r>
      <w:r w:rsidR="0011350D" w:rsidRPr="00AE39E0">
        <w:rPr>
          <w:rFonts w:cs="Arial"/>
        </w:rPr>
        <w:t xml:space="preserve">la </w:t>
      </w:r>
      <w:r w:rsidRPr="00AE39E0">
        <w:rPr>
          <w:rFonts w:cs="Arial"/>
        </w:rPr>
        <w:t>remisión del expediente a efecto de ser resuelto, de conformidad con lo establecido en el artículo 185 fracciones VI y VIII de la Ley de Transparencia y Acceso a la Información Pública del Estado de México y Municipios</w:t>
      </w:r>
      <w:r w:rsidRPr="00AE39E0">
        <w:t>.</w:t>
      </w:r>
      <w:r w:rsidR="0011350D" w:rsidRPr="00AE39E0">
        <w:t xml:space="preserve"> Dicho acuerdo </w:t>
      </w:r>
      <w:r w:rsidR="00664420" w:rsidRPr="00AE39E0">
        <w:rPr>
          <w:rFonts w:cs="Tahoma"/>
          <w:szCs w:val="22"/>
        </w:rPr>
        <w:t xml:space="preserve">fue notificado a las partes el mismo día a través del </w:t>
      </w:r>
      <w:r w:rsidR="00664420" w:rsidRPr="00AE39E0">
        <w:rPr>
          <w:rFonts w:cs="Tahoma"/>
          <w:b/>
          <w:szCs w:val="22"/>
          <w:lang w:val="es-ES"/>
        </w:rPr>
        <w:t>SAIMEX</w:t>
      </w:r>
      <w:r w:rsidR="00664420" w:rsidRPr="00AE39E0">
        <w:rPr>
          <w:rFonts w:cs="Tahoma"/>
          <w:szCs w:val="22"/>
        </w:rPr>
        <w:t>.</w:t>
      </w:r>
    </w:p>
    <w:p w14:paraId="741683E3" w14:textId="77777777" w:rsidR="0011350D" w:rsidRPr="00AE39E0" w:rsidRDefault="0011350D" w:rsidP="00AE39E0">
      <w:pPr>
        <w:rPr>
          <w:rFonts w:cs="Tahoma"/>
          <w:szCs w:val="22"/>
        </w:rPr>
      </w:pPr>
    </w:p>
    <w:p w14:paraId="7A9629DE" w14:textId="77777777" w:rsidR="00664420" w:rsidRPr="00AE39E0" w:rsidRDefault="00664420" w:rsidP="00AE39E0">
      <w:pPr>
        <w:pStyle w:val="Ttulo1"/>
        <w:rPr>
          <w:rFonts w:eastAsiaTheme="minorHAnsi"/>
          <w:lang w:eastAsia="en-US"/>
        </w:rPr>
      </w:pPr>
      <w:bookmarkStart w:id="25" w:name="_Toc201753632"/>
      <w:r w:rsidRPr="00AE39E0">
        <w:rPr>
          <w:rFonts w:eastAsiaTheme="minorHAnsi"/>
          <w:lang w:eastAsia="en-US"/>
        </w:rPr>
        <w:t>CONSIDERANDOS</w:t>
      </w:r>
      <w:bookmarkEnd w:id="25"/>
    </w:p>
    <w:p w14:paraId="6DD1243B" w14:textId="77777777" w:rsidR="00664420" w:rsidRPr="00AE39E0" w:rsidRDefault="00664420" w:rsidP="00AE39E0">
      <w:pPr>
        <w:contextualSpacing/>
        <w:jc w:val="center"/>
        <w:rPr>
          <w:rFonts w:eastAsiaTheme="minorHAnsi" w:cs="Tahoma"/>
          <w:b/>
          <w:szCs w:val="22"/>
          <w:lang w:eastAsia="en-US"/>
        </w:rPr>
      </w:pPr>
    </w:p>
    <w:p w14:paraId="0B67CB92" w14:textId="2E307D3B" w:rsidR="00664420" w:rsidRPr="00AE39E0" w:rsidRDefault="00664420" w:rsidP="00AE39E0">
      <w:pPr>
        <w:pStyle w:val="Ttulo2"/>
        <w:rPr>
          <w:rFonts w:eastAsia="Batang"/>
        </w:rPr>
      </w:pPr>
      <w:bookmarkStart w:id="26" w:name="_Toc201753633"/>
      <w:r w:rsidRPr="00AE39E0">
        <w:rPr>
          <w:rFonts w:eastAsia="Batang"/>
        </w:rPr>
        <w:lastRenderedPageBreak/>
        <w:t xml:space="preserve">PRIMERO. </w:t>
      </w:r>
      <w:r w:rsidR="00BA55A8" w:rsidRPr="00AE39E0">
        <w:rPr>
          <w:rFonts w:eastAsia="Batang"/>
        </w:rPr>
        <w:t>Procedibilidad</w:t>
      </w:r>
      <w:bookmarkEnd w:id="26"/>
    </w:p>
    <w:p w14:paraId="39C52BC1" w14:textId="56FCC20D" w:rsidR="00BA55A8" w:rsidRPr="00AE39E0" w:rsidRDefault="00BA55A8" w:rsidP="00AE39E0">
      <w:pPr>
        <w:pStyle w:val="Ttulo3"/>
      </w:pPr>
      <w:bookmarkStart w:id="27" w:name="_Toc201753634"/>
      <w:r w:rsidRPr="00AE39E0">
        <w:t>a) Competencia</w:t>
      </w:r>
      <w:r w:rsidR="00150C49" w:rsidRPr="00AE39E0">
        <w:t xml:space="preserve"> del Instituto</w:t>
      </w:r>
      <w:bookmarkEnd w:id="27"/>
    </w:p>
    <w:p w14:paraId="56E64942" w14:textId="37099EC3" w:rsidR="0011350D" w:rsidRPr="00AE39E0" w:rsidRDefault="0011350D" w:rsidP="00AE39E0">
      <w:pPr>
        <w:rPr>
          <w:rFonts w:cs="Arial"/>
        </w:rPr>
      </w:pPr>
      <w:r w:rsidRPr="00AE39E0">
        <w:t xml:space="preserve">Este Instituto de Transparencia, Acceso a la Información Pública y Protección de Datos Personales del Estado de México y Municipios es competente para conocer y resolver </w:t>
      </w:r>
      <w:r w:rsidR="005F65B7" w:rsidRPr="00AE39E0">
        <w:t xml:space="preserve">el </w:t>
      </w:r>
      <w:r w:rsidRPr="00AE39E0">
        <w:t xml:space="preserve">presente Recurso de Revisión, conforme a lo dispuesto en los artículos 6, Apartado A de la Constitución Política de los Estados Unidos Mexicanos; 5, </w:t>
      </w:r>
      <w:bookmarkStart w:id="28" w:name="_Hlk200540251"/>
      <w:r w:rsidR="00C876F7" w:rsidRPr="00AE39E0">
        <w:rPr>
          <w:rFonts w:cs="Tahoma"/>
          <w:bCs/>
          <w:szCs w:val="22"/>
        </w:rPr>
        <w:t xml:space="preserve">párrafos </w:t>
      </w:r>
      <w:r w:rsidR="00C876F7" w:rsidRPr="00AE39E0">
        <w:t>trigésimo séptimo, trigésimo octavo, trigésimo noveno,</w:t>
      </w:r>
      <w:bookmarkEnd w:id="28"/>
      <w:r w:rsidRPr="00AE39E0">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E39E0">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AE39E0" w:rsidRDefault="00DB1C09" w:rsidP="00AE39E0">
      <w:pPr>
        <w:rPr>
          <w:rFonts w:cs="Arial"/>
        </w:rPr>
      </w:pPr>
    </w:p>
    <w:p w14:paraId="517A2DD6" w14:textId="4169BE4D" w:rsidR="00664420" w:rsidRPr="00AE39E0" w:rsidRDefault="00BA55A8" w:rsidP="00AE39E0">
      <w:pPr>
        <w:pStyle w:val="Ttulo3"/>
      </w:pPr>
      <w:bookmarkStart w:id="29" w:name="_Toc201753635"/>
      <w:r w:rsidRPr="00AE39E0">
        <w:t>b)</w:t>
      </w:r>
      <w:r w:rsidR="00664420" w:rsidRPr="00AE39E0">
        <w:t xml:space="preserve"> </w:t>
      </w:r>
      <w:r w:rsidR="00D91CB4" w:rsidRPr="00AE39E0">
        <w:t>Legitimidad</w:t>
      </w:r>
      <w:r w:rsidRPr="00AE39E0">
        <w:t xml:space="preserve"> de la parte recurrente</w:t>
      </w:r>
      <w:bookmarkEnd w:id="29"/>
    </w:p>
    <w:p w14:paraId="26FEA382" w14:textId="0B06695C" w:rsidR="00D91CB4" w:rsidRPr="00AE39E0" w:rsidRDefault="00D91CB4" w:rsidP="00AE39E0">
      <w:pPr>
        <w:rPr>
          <w:rFonts w:cs="Arial"/>
          <w:bCs/>
        </w:rPr>
      </w:pPr>
      <w:r w:rsidRPr="00AE39E0">
        <w:rPr>
          <w:rFonts w:cs="Arial"/>
          <w:bCs/>
        </w:rPr>
        <w:t>El recurso de revisión fue interpuesto por parte legítima, ya que se presentó por la misma persona que formuló la solicitud de acceso a la Información Pública,</w:t>
      </w:r>
      <w:r w:rsidRPr="00AE39E0">
        <w:rPr>
          <w:rFonts w:cs="Arial"/>
          <w:b/>
          <w:bCs/>
        </w:rPr>
        <w:t xml:space="preserve"> </w:t>
      </w:r>
      <w:r w:rsidRPr="00AE39E0">
        <w:rPr>
          <w:rFonts w:cs="Arial"/>
        </w:rPr>
        <w:t>debido a que los datos de acceso</w:t>
      </w:r>
      <w:r w:rsidRPr="00AE39E0">
        <w:rPr>
          <w:rFonts w:cs="Arial"/>
          <w:b/>
          <w:bCs/>
        </w:rPr>
        <w:t xml:space="preserve"> </w:t>
      </w:r>
      <w:r w:rsidRPr="00AE39E0">
        <w:rPr>
          <w:rFonts w:cs="Arial"/>
          <w:b/>
        </w:rPr>
        <w:t>SAIMEX</w:t>
      </w:r>
      <w:r w:rsidRPr="00AE39E0">
        <w:rPr>
          <w:rFonts w:eastAsia="Calibri" w:cs="Arial"/>
          <w:lang w:eastAsia="en-US"/>
        </w:rPr>
        <w:t xml:space="preserve"> son personales e irrepetibles.</w:t>
      </w:r>
    </w:p>
    <w:p w14:paraId="2C367810" w14:textId="77777777" w:rsidR="00D91CB4" w:rsidRPr="00AE39E0" w:rsidRDefault="00D91CB4" w:rsidP="00AE39E0"/>
    <w:p w14:paraId="5C5FA5A8" w14:textId="77777777" w:rsidR="004565C2" w:rsidRPr="00AE39E0" w:rsidRDefault="004565C2" w:rsidP="00AE39E0">
      <w:pPr>
        <w:pStyle w:val="Ttulo3"/>
        <w:rPr>
          <w:rFonts w:eastAsia="Calibri"/>
          <w:lang w:eastAsia="es-ES_tradnl"/>
        </w:rPr>
      </w:pPr>
      <w:bookmarkStart w:id="30" w:name="_Toc170932820"/>
      <w:bookmarkStart w:id="31" w:name="_Toc201753636"/>
      <w:r w:rsidRPr="00AE39E0">
        <w:rPr>
          <w:rFonts w:eastAsia="Calibri"/>
          <w:lang w:eastAsia="es-ES_tradnl"/>
        </w:rPr>
        <w:t>c) Plazo para interponer el recurso</w:t>
      </w:r>
      <w:bookmarkEnd w:id="30"/>
      <w:bookmarkEnd w:id="31"/>
    </w:p>
    <w:p w14:paraId="5C63152A" w14:textId="2FD96755" w:rsidR="004565C2" w:rsidRPr="00AE39E0" w:rsidRDefault="004565C2" w:rsidP="00AE39E0">
      <w:pPr>
        <w:rPr>
          <w:rFonts w:eastAsiaTheme="minorEastAsia" w:cs="Arial"/>
          <w:lang w:val="es-ES_tradnl"/>
        </w:rPr>
      </w:pPr>
      <w:r w:rsidRPr="00AE39E0">
        <w:rPr>
          <w:rFonts w:cs="Arial"/>
          <w:b/>
        </w:rPr>
        <w:t>EL SUJETO OBLIGADO</w:t>
      </w:r>
      <w:r w:rsidRPr="00AE39E0">
        <w:rPr>
          <w:rFonts w:cs="Arial"/>
        </w:rPr>
        <w:t xml:space="preserve"> notificó la respuesta a la solicitud de acceso a la Información Pública el </w:t>
      </w:r>
      <w:r w:rsidR="006C7C6D" w:rsidRPr="00AE39E0">
        <w:rPr>
          <w:rFonts w:eastAsia="Palatino Linotype" w:cs="Palatino Linotype"/>
          <w:b/>
        </w:rPr>
        <w:t>veinticuatro de febrero d</w:t>
      </w:r>
      <w:r w:rsidR="009A1340" w:rsidRPr="00AE39E0">
        <w:rPr>
          <w:rFonts w:eastAsia="Palatino Linotype" w:cs="Palatino Linotype"/>
          <w:b/>
        </w:rPr>
        <w:t xml:space="preserve">e dos mil veinticinco </w:t>
      </w:r>
      <w:r w:rsidRPr="00AE39E0">
        <w:rPr>
          <w:rFonts w:cs="Arial"/>
        </w:rPr>
        <w:t xml:space="preserve">y el recurso </w:t>
      </w:r>
      <w:r w:rsidRPr="00AE39E0">
        <w:rPr>
          <w:rFonts w:eastAsia="Palatino Linotype" w:cs="Palatino Linotype"/>
        </w:rPr>
        <w:t>que nos ocupa se interpu</w:t>
      </w:r>
      <w:r w:rsidR="00E27023" w:rsidRPr="00AE39E0">
        <w:rPr>
          <w:rFonts w:eastAsia="Palatino Linotype" w:cs="Palatino Linotype"/>
        </w:rPr>
        <w:t>so</w:t>
      </w:r>
      <w:r w:rsidRPr="00AE39E0">
        <w:rPr>
          <w:rFonts w:eastAsia="Palatino Linotype" w:cs="Palatino Linotype"/>
        </w:rPr>
        <w:t xml:space="preserve"> el </w:t>
      </w:r>
      <w:r w:rsidR="006C7C6D" w:rsidRPr="00AE39E0">
        <w:rPr>
          <w:rFonts w:eastAsia="Palatino Linotype" w:cs="Palatino Linotype"/>
          <w:b/>
        </w:rPr>
        <w:t>diez</w:t>
      </w:r>
      <w:r w:rsidR="00CC5ED7" w:rsidRPr="00AE39E0">
        <w:rPr>
          <w:rFonts w:eastAsia="Palatino Linotype" w:cs="Palatino Linotype"/>
          <w:b/>
        </w:rPr>
        <w:t xml:space="preserve"> de m</w:t>
      </w:r>
      <w:r w:rsidR="00E0690A" w:rsidRPr="00AE39E0">
        <w:rPr>
          <w:rFonts w:eastAsia="Palatino Linotype" w:cs="Palatino Linotype"/>
          <w:b/>
        </w:rPr>
        <w:t xml:space="preserve">arzo </w:t>
      </w:r>
      <w:r w:rsidR="009A1340" w:rsidRPr="00AE39E0">
        <w:rPr>
          <w:rFonts w:eastAsia="Palatino Linotype" w:cs="Palatino Linotype"/>
          <w:b/>
        </w:rPr>
        <w:t>de dos mil veinticinco</w:t>
      </w:r>
      <w:r w:rsidRPr="00AE39E0">
        <w:rPr>
          <w:rFonts w:eastAsia="Palatino Linotype" w:cs="Palatino Linotype"/>
          <w:bCs/>
        </w:rPr>
        <w:t>;</w:t>
      </w:r>
      <w:r w:rsidRPr="00AE39E0">
        <w:rPr>
          <w:rFonts w:eastAsia="Palatino Linotype" w:cs="Palatino Linotype"/>
        </w:rPr>
        <w:t xml:space="preserve"> por lo tanto, éste se encuentra dentro del margen </w:t>
      </w:r>
      <w:r w:rsidRPr="00AE39E0">
        <w:rPr>
          <w:rFonts w:eastAsia="Palatino Linotype" w:cs="Palatino Linotype"/>
        </w:rPr>
        <w:lastRenderedPageBreak/>
        <w:t xml:space="preserve">temporal previsto en el artículo 178 de la </w:t>
      </w:r>
      <w:r w:rsidRPr="00AE39E0">
        <w:rPr>
          <w:rFonts w:cs="Arial"/>
        </w:rPr>
        <w:t>Ley de Transparencia y Acceso a la Información Pública del Estado de México y Municipios</w:t>
      </w:r>
      <w:r w:rsidRPr="00AE39E0">
        <w:rPr>
          <w:rFonts w:eastAsiaTheme="minorEastAsia" w:cs="Arial"/>
          <w:lang w:val="es-ES_tradnl"/>
        </w:rPr>
        <w:t>.</w:t>
      </w:r>
    </w:p>
    <w:p w14:paraId="41262D82" w14:textId="77777777" w:rsidR="00813497" w:rsidRPr="00AE39E0" w:rsidRDefault="00813497" w:rsidP="00AE39E0"/>
    <w:p w14:paraId="46C0EB3A" w14:textId="5A92AF42" w:rsidR="00A53315" w:rsidRPr="00AE39E0" w:rsidRDefault="00BA55A8" w:rsidP="00AE39E0">
      <w:pPr>
        <w:pStyle w:val="Ttulo3"/>
        <w:rPr>
          <w:rFonts w:eastAsia="Calibri"/>
          <w:lang w:eastAsia="es-ES_tradnl"/>
        </w:rPr>
      </w:pPr>
      <w:bookmarkStart w:id="32" w:name="_Toc201753637"/>
      <w:r w:rsidRPr="00AE39E0">
        <w:rPr>
          <w:rFonts w:eastAsia="Calibri"/>
          <w:lang w:eastAsia="es-ES_tradnl"/>
        </w:rPr>
        <w:t>d)</w:t>
      </w:r>
      <w:r w:rsidR="00D91CB4" w:rsidRPr="00AE39E0">
        <w:rPr>
          <w:rFonts w:eastAsia="Calibri"/>
          <w:lang w:eastAsia="es-ES_tradnl"/>
        </w:rPr>
        <w:t xml:space="preserve"> </w:t>
      </w:r>
      <w:r w:rsidR="004565C2" w:rsidRPr="00AE39E0">
        <w:rPr>
          <w:rFonts w:eastAsia="Calibri"/>
          <w:lang w:eastAsia="es-ES_tradnl"/>
        </w:rPr>
        <w:t>Causal de procedencia</w:t>
      </w:r>
      <w:bookmarkEnd w:id="32"/>
    </w:p>
    <w:p w14:paraId="190404A6" w14:textId="579C9C07" w:rsidR="00BA55A8" w:rsidRPr="00AE39E0" w:rsidRDefault="00BA55A8" w:rsidP="00AE39E0">
      <w:r w:rsidRPr="00AE39E0">
        <w:rPr>
          <w:rFonts w:cs="Arial"/>
        </w:rPr>
        <w:t xml:space="preserve">Resulta procedente la interposición del recurso de revisión, ya que </w:t>
      </w:r>
      <w:r w:rsidRPr="00AE39E0">
        <w:rPr>
          <w:rFonts w:eastAsia="Calibri" w:cs="Tahoma"/>
          <w:szCs w:val="22"/>
          <w:lang w:eastAsia="es-MX"/>
        </w:rPr>
        <w:t xml:space="preserve">se actualiza la causal de procedencia señalada en el artículo 179, fracción </w:t>
      </w:r>
      <w:r w:rsidR="006C7C6D" w:rsidRPr="00AE39E0">
        <w:rPr>
          <w:rFonts w:eastAsia="Calibri" w:cs="Tahoma"/>
          <w:szCs w:val="22"/>
          <w:lang w:eastAsia="es-MX"/>
        </w:rPr>
        <w:t>VII</w:t>
      </w:r>
      <w:r w:rsidR="00E7134A" w:rsidRPr="00AE39E0">
        <w:rPr>
          <w:rFonts w:eastAsia="Calibri" w:cs="Tahoma"/>
          <w:szCs w:val="22"/>
          <w:lang w:eastAsia="es-MX"/>
        </w:rPr>
        <w:t>I</w:t>
      </w:r>
      <w:r w:rsidRPr="00AE39E0">
        <w:rPr>
          <w:rFonts w:cs="Arial"/>
        </w:rPr>
        <w:t xml:space="preserve"> de la </w:t>
      </w:r>
      <w:r w:rsidRPr="00AE39E0">
        <w:t>Ley de Transparencia y Acceso a la Información Pública del Estado de México y Municipios.</w:t>
      </w:r>
    </w:p>
    <w:p w14:paraId="0EFF7141" w14:textId="77777777" w:rsidR="00362A11" w:rsidRPr="00AE39E0" w:rsidRDefault="00362A11" w:rsidP="00AE39E0"/>
    <w:p w14:paraId="2284D7EB" w14:textId="3EE1D036" w:rsidR="00BA55A8" w:rsidRPr="00AE39E0" w:rsidRDefault="00362A11" w:rsidP="00AE39E0">
      <w:pPr>
        <w:pStyle w:val="Ttulo3"/>
      </w:pPr>
      <w:bookmarkStart w:id="33" w:name="_Toc201753638"/>
      <w:r w:rsidRPr="00AE39E0">
        <w:t>e) Requisitos formales para la interposición del recurso</w:t>
      </w:r>
      <w:bookmarkEnd w:id="33"/>
    </w:p>
    <w:p w14:paraId="677C7009" w14:textId="77777777" w:rsidR="00185C7C" w:rsidRPr="00AE39E0" w:rsidRDefault="00185C7C" w:rsidP="00AE39E0">
      <w:pPr>
        <w:rPr>
          <w:rFonts w:cs="Arial"/>
        </w:rPr>
      </w:pPr>
      <w:r w:rsidRPr="00AE39E0">
        <w:rPr>
          <w:rFonts w:cs="Arial"/>
          <w:b/>
          <w:bCs/>
        </w:rPr>
        <w:t xml:space="preserve">LA PARTE RECURRENTE </w:t>
      </w:r>
      <w:r w:rsidRPr="00AE39E0">
        <w:rPr>
          <w:rFonts w:cs="Arial"/>
        </w:rPr>
        <w:t>acreditó todos y cada uno de los elementos formales exigidos por el artículo 180 de la misma normatividad.</w:t>
      </w:r>
    </w:p>
    <w:p w14:paraId="2BE2EBCD" w14:textId="77777777" w:rsidR="00185C7C" w:rsidRPr="00AE39E0" w:rsidRDefault="00185C7C" w:rsidP="00AE39E0">
      <w:pPr>
        <w:rPr>
          <w:rFonts w:cs="Arial"/>
        </w:rPr>
      </w:pPr>
    </w:p>
    <w:p w14:paraId="4058D262" w14:textId="77777777" w:rsidR="00CC5ED7" w:rsidRPr="00AE39E0" w:rsidRDefault="00CC5ED7" w:rsidP="00AE39E0">
      <w:pPr>
        <w:rPr>
          <w:rFonts w:cs="Arial"/>
          <w:lang w:val="es-ES"/>
        </w:rPr>
      </w:pPr>
      <w:r w:rsidRPr="00AE39E0">
        <w:rPr>
          <w:lang w:val="es-ES"/>
        </w:rPr>
        <w:t xml:space="preserve">Sin embargo, es importante mencionar que, de la revisión de los expedientes electrónicos del </w:t>
      </w:r>
      <w:r w:rsidRPr="00AE39E0">
        <w:rPr>
          <w:b/>
          <w:bCs/>
          <w:lang w:val="es-ES"/>
        </w:rPr>
        <w:t>SAIMEX</w:t>
      </w:r>
      <w:r w:rsidRPr="00AE39E0">
        <w:rPr>
          <w:bCs/>
          <w:lang w:val="es-ES"/>
        </w:rPr>
        <w:t>,</w:t>
      </w:r>
      <w:r w:rsidRPr="00AE39E0">
        <w:rPr>
          <w:lang w:val="es-ES"/>
        </w:rPr>
        <w:t xml:space="preserve"> se observa que </w:t>
      </w:r>
      <w:r w:rsidRPr="00AE39E0">
        <w:rPr>
          <w:b/>
          <w:bCs/>
          <w:lang w:val="es-ES"/>
        </w:rPr>
        <w:t>LA PARTE RECURRENTE</w:t>
      </w:r>
      <w:r w:rsidRPr="00AE39E0">
        <w:rPr>
          <w:lang w:val="es-ES"/>
        </w:rPr>
        <w:t xml:space="preserve"> no proporcionó su nombre para ser identificado, lo que en estricto sentido provoca que </w:t>
      </w:r>
      <w:r w:rsidRPr="00AE39E0">
        <w:rPr>
          <w:rFonts w:cs="Arial"/>
          <w:lang w:val="es-ES"/>
        </w:rPr>
        <w:t>no</w:t>
      </w:r>
      <w:r w:rsidRPr="00AE39E0">
        <w:rPr>
          <w:lang w:val="es-ES"/>
        </w:rPr>
        <w:t xml:space="preserve"> se colmen los requisitos establecidos en el artículo 180 de la Ley de Transparencia; sin embargo, el artículo 15 de </w:t>
      </w:r>
      <w:r w:rsidRPr="00AE39E0">
        <w:rPr>
          <w:rFonts w:cs="Arial"/>
          <w:lang w:val="es-ES" w:eastAsia="es-MX"/>
        </w:rPr>
        <w:t xml:space="preserve">Ley de Transparencia y Acceso a la </w:t>
      </w:r>
      <w:r w:rsidRPr="00AE39E0">
        <w:rPr>
          <w:rFonts w:cs="Arial"/>
          <w:lang w:val="es-ES"/>
        </w:rPr>
        <w:t>Información</w:t>
      </w:r>
      <w:r w:rsidRPr="00AE39E0">
        <w:rPr>
          <w:rFonts w:cs="Arial"/>
          <w:lang w:val="es-ES" w:eastAsia="es-MX"/>
        </w:rPr>
        <w:t xml:space="preserve"> Pública del Estado de México y Municipios </w:t>
      </w:r>
      <w:r w:rsidRPr="00AE39E0">
        <w:rPr>
          <w:rFonts w:cs="Arial"/>
          <w:iCs/>
          <w:lang w:val="es-ES"/>
        </w:rPr>
        <w:t xml:space="preserve">prevé que </w:t>
      </w:r>
      <w:r w:rsidRPr="00AE39E0">
        <w:rPr>
          <w:lang w:val="es-ES"/>
        </w:rPr>
        <w:t xml:space="preserve">toda persona tendrá acceso a la información </w:t>
      </w:r>
      <w:r w:rsidRPr="00AE39E0">
        <w:rPr>
          <w:rFonts w:cs="Arial"/>
          <w:lang w:val="es-ES"/>
        </w:rPr>
        <w:t xml:space="preserve">sin necesidad de acreditar interés alguno o justificar su utilización, de lo que se infiere que </w:t>
      </w:r>
      <w:r w:rsidRPr="00AE39E0">
        <w:rPr>
          <w:rFonts w:cs="Arial"/>
          <w:b/>
          <w:u w:val="single"/>
          <w:lang w:val="es-ES"/>
        </w:rPr>
        <w:t xml:space="preserve">el nombre no es un requisito </w:t>
      </w:r>
      <w:r w:rsidRPr="00AE39E0">
        <w:rPr>
          <w:rFonts w:cs="Arial"/>
          <w:b/>
          <w:iCs/>
          <w:u w:val="single"/>
          <w:lang w:val="es-ES"/>
        </w:rPr>
        <w:t>indispensable</w:t>
      </w:r>
      <w:r w:rsidRPr="00AE39E0">
        <w:rPr>
          <w:rFonts w:cs="Arial"/>
          <w:lang w:val="es-ES"/>
        </w:rPr>
        <w:t xml:space="preserve"> para que las y los ciudadanos ejerzan el derecho de acceso a la información pública. </w:t>
      </w:r>
    </w:p>
    <w:p w14:paraId="2A8BCC40" w14:textId="77777777" w:rsidR="00CC5ED7" w:rsidRPr="00AE39E0" w:rsidRDefault="00CC5ED7" w:rsidP="00AE39E0">
      <w:pPr>
        <w:rPr>
          <w:rFonts w:cs="Arial"/>
          <w:sz w:val="24"/>
          <w:szCs w:val="24"/>
          <w:lang w:val="es-ES"/>
        </w:rPr>
      </w:pPr>
    </w:p>
    <w:p w14:paraId="50277423" w14:textId="77777777" w:rsidR="00CC5ED7" w:rsidRPr="00AE39E0" w:rsidRDefault="00CC5ED7" w:rsidP="00AE39E0">
      <w:pPr>
        <w:rPr>
          <w:lang w:val="es-ES"/>
        </w:rPr>
      </w:pPr>
      <w:r w:rsidRPr="00AE39E0">
        <w:rPr>
          <w:lang w:val="es-ES"/>
        </w:rPr>
        <w:t xml:space="preserve">Asimismo, la Ley de la materia prevé en su artículo 155, párrafo segundo la posibilidad de que las solicitudes de información sean anónimas, al utilizar un nombre incompleto o, </w:t>
      </w:r>
      <w:r w:rsidRPr="00AE39E0">
        <w:rPr>
          <w:lang w:val="es-ES"/>
        </w:rPr>
        <w:lastRenderedPageBreak/>
        <w:t xml:space="preserve">inclusive un seudónimo. En adición a lo anterior, el propio artículo 180, en su último párrafo, establece que cuando el recurso de revisión se interponga de manera electrónica no será indispensable que contenga algunos requisitos, entre ellos, el nombre de </w:t>
      </w:r>
      <w:r w:rsidRPr="00AE39E0">
        <w:rPr>
          <w:b/>
          <w:bCs/>
          <w:lang w:val="es-ES"/>
        </w:rPr>
        <w:t>LA PARTE RECURRENTE</w:t>
      </w:r>
      <w:r w:rsidRPr="00AE39E0">
        <w:rPr>
          <w:b/>
          <w:lang w:val="es-ES"/>
        </w:rPr>
        <w:t>;</w:t>
      </w:r>
      <w:r w:rsidRPr="00AE39E0">
        <w:rPr>
          <w:lang w:val="es-ES"/>
        </w:rPr>
        <w:t xml:space="preserve"> por lo que, en el presente caso, al haber sido presentado el recurso de revisión vía </w:t>
      </w:r>
      <w:r w:rsidRPr="00AE39E0">
        <w:rPr>
          <w:b/>
          <w:bCs/>
          <w:lang w:val="es-ES"/>
        </w:rPr>
        <w:t>SAIMEX</w:t>
      </w:r>
      <w:r w:rsidRPr="00AE39E0">
        <w:rPr>
          <w:lang w:val="es-ES"/>
        </w:rPr>
        <w:t>, dicho requisito resulta innecesario.</w:t>
      </w:r>
    </w:p>
    <w:p w14:paraId="7067273A" w14:textId="77777777" w:rsidR="00CC5ED7" w:rsidRPr="00AE39E0" w:rsidRDefault="00CC5ED7" w:rsidP="00AE39E0">
      <w:pPr>
        <w:rPr>
          <w:rFonts w:cs="Arial"/>
          <w:lang w:val="es-ES"/>
        </w:rPr>
      </w:pPr>
    </w:p>
    <w:p w14:paraId="457548E9" w14:textId="3F7AF03B" w:rsidR="00C71CEF" w:rsidRPr="00AE39E0" w:rsidRDefault="00C71CEF" w:rsidP="00AE39E0">
      <w:pPr>
        <w:pStyle w:val="Ttulo2"/>
      </w:pPr>
      <w:bookmarkStart w:id="34" w:name="_Toc201753639"/>
      <w:r w:rsidRPr="00AE39E0">
        <w:t>SEGUNDO. Estudio de Fondo</w:t>
      </w:r>
      <w:bookmarkEnd w:id="34"/>
    </w:p>
    <w:p w14:paraId="2A308F59" w14:textId="0FF373F0" w:rsidR="00C049E2" w:rsidRPr="00AE39E0" w:rsidRDefault="00C71CEF" w:rsidP="00AE39E0">
      <w:pPr>
        <w:pStyle w:val="Ttulo3"/>
      </w:pPr>
      <w:bookmarkStart w:id="35" w:name="_Toc201753640"/>
      <w:r w:rsidRPr="00AE39E0">
        <w:t>a</w:t>
      </w:r>
      <w:r w:rsidR="00C049E2" w:rsidRPr="00AE39E0">
        <w:t>) Mandato de transparencia y responsabilidad del Sujeto Obligado</w:t>
      </w:r>
      <w:bookmarkEnd w:id="35"/>
    </w:p>
    <w:p w14:paraId="6901A889" w14:textId="59EEDAE1" w:rsidR="00C049E2" w:rsidRPr="00AE39E0" w:rsidRDefault="00C049E2" w:rsidP="00AE39E0">
      <w:pPr>
        <w:rPr>
          <w:rFonts w:eastAsia="Palatino Linotype"/>
        </w:rPr>
      </w:pPr>
      <w:r w:rsidRPr="00AE39E0">
        <w:rPr>
          <w:rFonts w:eastAsia="Palatino Linotype"/>
        </w:rPr>
        <w:t xml:space="preserve">El </w:t>
      </w:r>
      <w:r w:rsidR="00717E59" w:rsidRPr="00AE39E0">
        <w:rPr>
          <w:rFonts w:eastAsia="Palatino Linotype"/>
        </w:rPr>
        <w:t>d</w:t>
      </w:r>
      <w:r w:rsidRPr="00AE39E0">
        <w:rPr>
          <w:rFonts w:eastAsia="Palatino Linotype"/>
        </w:rPr>
        <w:t xml:space="preserve">erecho de </w:t>
      </w:r>
      <w:r w:rsidR="00717E59" w:rsidRPr="00AE39E0">
        <w:rPr>
          <w:rFonts w:eastAsia="Palatino Linotype"/>
        </w:rPr>
        <w:t>a</w:t>
      </w:r>
      <w:r w:rsidRPr="00AE39E0">
        <w:rPr>
          <w:rFonts w:eastAsia="Palatino Linotype"/>
        </w:rPr>
        <w:t xml:space="preserve">cceso a la </w:t>
      </w:r>
      <w:r w:rsidR="00717E59" w:rsidRPr="00AE39E0">
        <w:rPr>
          <w:rFonts w:eastAsia="Palatino Linotype"/>
        </w:rPr>
        <w:t>i</w:t>
      </w:r>
      <w:r w:rsidRPr="00AE39E0">
        <w:rPr>
          <w:rFonts w:eastAsia="Palatino Linotype"/>
        </w:rPr>
        <w:t xml:space="preserve">nformación </w:t>
      </w:r>
      <w:r w:rsidR="00717E59" w:rsidRPr="00AE39E0">
        <w:rPr>
          <w:rFonts w:eastAsia="Palatino Linotype"/>
        </w:rPr>
        <w:t>p</w:t>
      </w:r>
      <w:r w:rsidRPr="00AE39E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E39E0">
        <w:rPr>
          <w:rFonts w:eastAsia="Palatino Linotype"/>
        </w:rPr>
        <w:t>:</w:t>
      </w:r>
    </w:p>
    <w:p w14:paraId="7FAB8D32" w14:textId="77777777" w:rsidR="00C049E2" w:rsidRPr="00AE39E0" w:rsidRDefault="00C049E2" w:rsidP="00AE39E0">
      <w:pPr>
        <w:rPr>
          <w:rFonts w:eastAsia="Palatino Linotype"/>
        </w:rPr>
      </w:pPr>
    </w:p>
    <w:p w14:paraId="05320813" w14:textId="77777777" w:rsidR="00C049E2" w:rsidRPr="00AE39E0" w:rsidRDefault="00C049E2" w:rsidP="00AE39E0">
      <w:pPr>
        <w:pStyle w:val="Ttulo"/>
        <w:rPr>
          <w:rFonts w:eastAsia="Palatino Linotype"/>
          <w:b/>
        </w:rPr>
      </w:pPr>
      <w:r w:rsidRPr="00AE39E0">
        <w:rPr>
          <w:rFonts w:eastAsia="Palatino Linotype"/>
          <w:b/>
        </w:rPr>
        <w:t>Constitución Política de los Estados Unidos Mexicanos</w:t>
      </w:r>
    </w:p>
    <w:p w14:paraId="6B6C67B6" w14:textId="77777777" w:rsidR="00C049E2" w:rsidRPr="00AE39E0" w:rsidRDefault="00C049E2" w:rsidP="00AE39E0">
      <w:pPr>
        <w:pStyle w:val="Ttulo"/>
        <w:rPr>
          <w:rFonts w:eastAsia="Palatino Linotype"/>
          <w:b/>
        </w:rPr>
      </w:pPr>
      <w:r w:rsidRPr="00AE39E0">
        <w:rPr>
          <w:rFonts w:eastAsia="Palatino Linotype"/>
        </w:rPr>
        <w:t>“</w:t>
      </w:r>
      <w:r w:rsidRPr="00AE39E0">
        <w:rPr>
          <w:rFonts w:eastAsia="Palatino Linotype"/>
          <w:b/>
        </w:rPr>
        <w:t>Artículo 6.</w:t>
      </w:r>
    </w:p>
    <w:p w14:paraId="38D3B4C4" w14:textId="77777777" w:rsidR="00C049E2" w:rsidRPr="00AE39E0" w:rsidRDefault="00C049E2" w:rsidP="00AE39E0">
      <w:pPr>
        <w:pStyle w:val="Ttulo"/>
        <w:rPr>
          <w:rFonts w:eastAsia="Palatino Linotype"/>
        </w:rPr>
      </w:pPr>
      <w:r w:rsidRPr="00AE39E0">
        <w:rPr>
          <w:rFonts w:eastAsia="Palatino Linotype"/>
        </w:rPr>
        <w:t>(…)</w:t>
      </w:r>
    </w:p>
    <w:p w14:paraId="2CCAA297" w14:textId="6602827B" w:rsidR="00C049E2" w:rsidRPr="00AE39E0" w:rsidRDefault="00C049E2" w:rsidP="00AE39E0">
      <w:pPr>
        <w:pStyle w:val="Ttulo"/>
        <w:rPr>
          <w:rFonts w:eastAsia="Palatino Linotype"/>
        </w:rPr>
      </w:pPr>
      <w:r w:rsidRPr="00AE39E0">
        <w:rPr>
          <w:rFonts w:eastAsia="Palatino Linotype"/>
        </w:rPr>
        <w:t>Para efectos de lo dispuesto en el presente artículo se observará lo siguiente:</w:t>
      </w:r>
    </w:p>
    <w:p w14:paraId="74CC3718" w14:textId="77777777" w:rsidR="00C049E2" w:rsidRPr="00AE39E0" w:rsidRDefault="00C049E2" w:rsidP="00AE39E0">
      <w:pPr>
        <w:pStyle w:val="Ttulo"/>
        <w:rPr>
          <w:rFonts w:eastAsia="Palatino Linotype"/>
        </w:rPr>
      </w:pPr>
      <w:r w:rsidRPr="00AE39E0">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AE39E0" w:rsidRDefault="00C049E2" w:rsidP="00AE39E0">
      <w:pPr>
        <w:pStyle w:val="Ttulo"/>
        <w:rPr>
          <w:rFonts w:eastAsia="Palatino Linotype"/>
        </w:rPr>
      </w:pPr>
      <w:r w:rsidRPr="00AE39E0">
        <w:rPr>
          <w:rFonts w:eastAsia="Palatino Linotype"/>
        </w:rPr>
        <w:t xml:space="preserve">I. </w:t>
      </w:r>
      <w:r w:rsidRPr="00AE39E0">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AE39E0" w:rsidRDefault="00C049E2" w:rsidP="00AE39E0">
      <w:pPr>
        <w:pStyle w:val="Ttulo"/>
        <w:rPr>
          <w:rFonts w:eastAsia="Palatino Linotype"/>
        </w:rPr>
      </w:pPr>
    </w:p>
    <w:p w14:paraId="504F12DB" w14:textId="77777777" w:rsidR="00C049E2" w:rsidRPr="00AE39E0" w:rsidRDefault="00C049E2" w:rsidP="00AE39E0">
      <w:pPr>
        <w:pStyle w:val="Ttulo"/>
        <w:rPr>
          <w:rFonts w:eastAsia="Palatino Linotype"/>
          <w:b/>
        </w:rPr>
      </w:pPr>
      <w:r w:rsidRPr="00AE39E0">
        <w:rPr>
          <w:rFonts w:eastAsia="Palatino Linotype"/>
          <w:b/>
        </w:rPr>
        <w:t>Constitución Política del Estado Libre y Soberano de México</w:t>
      </w:r>
    </w:p>
    <w:p w14:paraId="04932D29" w14:textId="77777777" w:rsidR="00C049E2" w:rsidRPr="00AE39E0" w:rsidRDefault="00C049E2" w:rsidP="00AE39E0">
      <w:pPr>
        <w:pStyle w:val="Ttulo"/>
        <w:rPr>
          <w:rFonts w:eastAsia="Palatino Linotype"/>
          <w:b/>
        </w:rPr>
      </w:pPr>
      <w:r w:rsidRPr="00AE39E0">
        <w:rPr>
          <w:rFonts w:eastAsia="Palatino Linotype"/>
        </w:rPr>
        <w:t>“</w:t>
      </w:r>
      <w:r w:rsidRPr="00AE39E0">
        <w:rPr>
          <w:rFonts w:eastAsia="Palatino Linotype"/>
          <w:b/>
        </w:rPr>
        <w:t xml:space="preserve">Artículo 5.- </w:t>
      </w:r>
    </w:p>
    <w:p w14:paraId="1D3829F4" w14:textId="77777777" w:rsidR="00C049E2" w:rsidRPr="00AE39E0" w:rsidRDefault="00C049E2" w:rsidP="00AE39E0">
      <w:pPr>
        <w:pStyle w:val="Ttulo"/>
        <w:rPr>
          <w:rFonts w:eastAsia="Palatino Linotype"/>
        </w:rPr>
      </w:pPr>
      <w:r w:rsidRPr="00AE39E0">
        <w:rPr>
          <w:rFonts w:eastAsia="Palatino Linotype"/>
        </w:rPr>
        <w:t>(…)</w:t>
      </w:r>
    </w:p>
    <w:p w14:paraId="0EAE47FD" w14:textId="77777777" w:rsidR="00C049E2" w:rsidRPr="00AE39E0" w:rsidRDefault="00C049E2" w:rsidP="00AE39E0">
      <w:pPr>
        <w:pStyle w:val="Ttulo"/>
        <w:rPr>
          <w:rFonts w:eastAsia="Palatino Linotype"/>
        </w:rPr>
      </w:pPr>
      <w:r w:rsidRPr="00AE39E0">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AE39E0" w:rsidRDefault="00C049E2" w:rsidP="00AE39E0">
      <w:pPr>
        <w:pStyle w:val="Ttulo"/>
        <w:rPr>
          <w:rFonts w:eastAsia="Palatino Linotype"/>
        </w:rPr>
      </w:pPr>
      <w:r w:rsidRPr="00AE39E0">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E39E0" w:rsidRDefault="00C049E2" w:rsidP="00AE39E0">
      <w:pPr>
        <w:pStyle w:val="Ttulo"/>
        <w:rPr>
          <w:rFonts w:eastAsia="Palatino Linotype"/>
        </w:rPr>
      </w:pPr>
      <w:r w:rsidRPr="00AE39E0">
        <w:rPr>
          <w:rFonts w:eastAsia="Palatino Linotype"/>
        </w:rPr>
        <w:t>Este derecho se regirá por los principios y bases siguientes:</w:t>
      </w:r>
    </w:p>
    <w:p w14:paraId="4A3E8CBA" w14:textId="77777777" w:rsidR="00C049E2" w:rsidRPr="00AE39E0" w:rsidRDefault="00C049E2" w:rsidP="00AE39E0">
      <w:pPr>
        <w:pStyle w:val="Ttulo"/>
        <w:rPr>
          <w:rFonts w:eastAsia="Palatino Linotype"/>
        </w:rPr>
      </w:pPr>
      <w:r w:rsidRPr="00AE39E0">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AE39E0" w:rsidRDefault="00C049E2" w:rsidP="00AE39E0">
      <w:pPr>
        <w:rPr>
          <w:rFonts w:eastAsia="Palatino Linotype"/>
          <w:b/>
          <w:i/>
        </w:rPr>
      </w:pPr>
    </w:p>
    <w:p w14:paraId="6FC1BB3B" w14:textId="3BF4A33D" w:rsidR="00C049E2" w:rsidRPr="00AE39E0" w:rsidRDefault="00717E59" w:rsidP="00AE39E0">
      <w:pPr>
        <w:rPr>
          <w:rFonts w:eastAsia="Palatino Linotype"/>
          <w:i/>
        </w:rPr>
      </w:pPr>
      <w:r w:rsidRPr="00AE39E0">
        <w:rPr>
          <w:rFonts w:eastAsia="Palatino Linotype"/>
        </w:rPr>
        <w:t xml:space="preserve">Asimismo, </w:t>
      </w:r>
      <w:r w:rsidR="00C049E2" w:rsidRPr="00AE39E0">
        <w:rPr>
          <w:rFonts w:eastAsia="Palatino Linotype"/>
        </w:rPr>
        <w:t>el artículo 150 de la Ley de Transparencia y Acceso a la Información Pública del Estado de México y Municipios</w:t>
      </w:r>
      <w:r w:rsidR="00057B2D" w:rsidRPr="00AE39E0">
        <w:rPr>
          <w:rFonts w:eastAsia="Palatino Linotype"/>
        </w:rPr>
        <w:t xml:space="preserve"> </w:t>
      </w:r>
      <w:r w:rsidR="00E9335C" w:rsidRPr="00AE39E0">
        <w:rPr>
          <w:rFonts w:eastAsia="Palatino Linotype"/>
        </w:rPr>
        <w:t xml:space="preserve">indica </w:t>
      </w:r>
      <w:r w:rsidR="00057B2D" w:rsidRPr="00AE39E0">
        <w:rPr>
          <w:rFonts w:eastAsia="Palatino Linotype"/>
        </w:rPr>
        <w:t>que</w:t>
      </w:r>
      <w:r w:rsidR="00C049E2" w:rsidRPr="00AE39E0">
        <w:rPr>
          <w:rFonts w:eastAsia="Palatino Linotype"/>
        </w:rPr>
        <w:t xml:space="preserve"> la solicitud es la garantía primaria del Derecho de Acceso a la Información, además, establece que se regirá </w:t>
      </w:r>
      <w:r w:rsidR="00C049E2" w:rsidRPr="00AE39E0">
        <w:rPr>
          <w:rFonts w:eastAsia="Palatino Linotype"/>
          <w:i/>
        </w:rPr>
        <w:t>por los principios de simplicidad, rapidez</w:t>
      </w:r>
      <w:r w:rsidR="005F65B7" w:rsidRPr="00AE39E0">
        <w:rPr>
          <w:rFonts w:eastAsia="Palatino Linotype"/>
          <w:i/>
        </w:rPr>
        <w:t>,</w:t>
      </w:r>
      <w:r w:rsidR="00C049E2" w:rsidRPr="00AE39E0">
        <w:rPr>
          <w:rFonts w:eastAsia="Palatino Linotype"/>
          <w:i/>
        </w:rPr>
        <w:t xml:space="preserve"> gratuidad del procedimiento, auxilio y orientación a los particulare</w:t>
      </w:r>
      <w:r w:rsidR="001A58B3" w:rsidRPr="00AE39E0">
        <w:rPr>
          <w:rFonts w:eastAsia="Palatino Linotype"/>
          <w:i/>
        </w:rPr>
        <w:t>s.</w:t>
      </w:r>
    </w:p>
    <w:p w14:paraId="033466A6" w14:textId="77777777" w:rsidR="001A58B3" w:rsidRPr="00AE39E0" w:rsidRDefault="001A58B3" w:rsidP="00AE39E0">
      <w:pPr>
        <w:rPr>
          <w:rFonts w:eastAsia="Palatino Linotype"/>
          <w:i/>
        </w:rPr>
      </w:pPr>
    </w:p>
    <w:p w14:paraId="04ADA10B" w14:textId="574A944A" w:rsidR="001A58B3" w:rsidRPr="00AE39E0" w:rsidRDefault="00233F17" w:rsidP="00AE39E0">
      <w:pPr>
        <w:rPr>
          <w:rFonts w:eastAsia="Palatino Linotype" w:cs="Palatino Linotype"/>
          <w:i/>
          <w:szCs w:val="22"/>
        </w:rPr>
      </w:pPr>
      <w:r w:rsidRPr="00AE39E0">
        <w:rPr>
          <w:rFonts w:eastAsia="Palatino Linotype" w:cs="Palatino Linotype"/>
        </w:rPr>
        <w:t xml:space="preserve">Por su parte, el artículo 4 de </w:t>
      </w:r>
      <w:r w:rsidR="001A58B3" w:rsidRPr="00AE39E0">
        <w:rPr>
          <w:rFonts w:eastAsia="Palatino Linotype" w:cs="Palatino Linotype"/>
        </w:rPr>
        <w:t xml:space="preserve">la Ley de Transparencia y Acceso a la Información Pública del Estado de México y Municipios refiere que toda la información generada, obtenida, adquirida, </w:t>
      </w:r>
      <w:r w:rsidR="001A58B3" w:rsidRPr="00AE39E0">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AE39E0">
        <w:rPr>
          <w:rFonts w:eastAsia="Palatino Linotype" w:cs="Palatino Linotype"/>
        </w:rPr>
        <w:t>.</w:t>
      </w:r>
    </w:p>
    <w:p w14:paraId="1407DBB8" w14:textId="77777777" w:rsidR="001A58B3" w:rsidRPr="00AE39E0" w:rsidRDefault="001A58B3" w:rsidP="00AE39E0">
      <w:pPr>
        <w:rPr>
          <w:rFonts w:eastAsia="Palatino Linotype" w:cs="Palatino Linotype"/>
        </w:rPr>
      </w:pPr>
    </w:p>
    <w:p w14:paraId="7552AA79" w14:textId="5C52E4A4" w:rsidR="001A58B3" w:rsidRPr="00AE39E0" w:rsidRDefault="001A58B3" w:rsidP="00AE39E0">
      <w:pPr>
        <w:rPr>
          <w:rFonts w:eastAsia="Palatino Linotype" w:cs="Palatino Linotype"/>
        </w:rPr>
      </w:pPr>
      <w:r w:rsidRPr="00AE39E0">
        <w:rPr>
          <w:rFonts w:eastAsia="Palatino Linotype" w:cs="Palatino Linotype"/>
        </w:rPr>
        <w:t xml:space="preserve">Esto es, que los Sujetos Obligados </w:t>
      </w:r>
      <w:r w:rsidR="00FA5957" w:rsidRPr="00AE39E0">
        <w:rPr>
          <w:rFonts w:eastAsia="Palatino Linotype" w:cs="Palatino Linotype"/>
        </w:rPr>
        <w:t>deben</w:t>
      </w:r>
      <w:r w:rsidRPr="00AE39E0">
        <w:rPr>
          <w:rFonts w:eastAsia="Palatino Linotype" w:cs="Palatino Linotype"/>
        </w:rPr>
        <w:t xml:space="preserve"> atender las solicitudes de acceso a la información pública que se les </w:t>
      </w:r>
      <w:r w:rsidR="00FA5957" w:rsidRPr="00AE39E0">
        <w:rPr>
          <w:rFonts w:eastAsia="Palatino Linotype" w:cs="Palatino Linotype"/>
        </w:rPr>
        <w:t>sean realizadas,</w:t>
      </w:r>
      <w:r w:rsidRPr="00AE39E0">
        <w:rPr>
          <w:rFonts w:eastAsia="Palatino Linotype" w:cs="Palatino Linotype"/>
        </w:rPr>
        <w:t xml:space="preserve"> y proporcionar la información pública que obre en su poder</w:t>
      </w:r>
      <w:r w:rsidR="00FA5957" w:rsidRPr="00AE39E0">
        <w:rPr>
          <w:rFonts w:eastAsia="Palatino Linotype" w:cs="Palatino Linotype"/>
        </w:rPr>
        <w:t>,</w:t>
      </w:r>
      <w:r w:rsidRPr="00AE39E0">
        <w:rPr>
          <w:rFonts w:eastAsia="Palatino Linotype" w:cs="Palatino Linotype"/>
        </w:rPr>
        <w:t xml:space="preserve"> conforme </w:t>
      </w:r>
      <w:r w:rsidR="00FA5957" w:rsidRPr="00AE39E0">
        <w:rPr>
          <w:rFonts w:eastAsia="Palatino Linotype" w:cs="Palatino Linotype"/>
        </w:rPr>
        <w:t>a</w:t>
      </w:r>
      <w:r w:rsidRPr="00AE39E0">
        <w:rPr>
          <w:rFonts w:eastAsia="Palatino Linotype" w:cs="Palatino Linotype"/>
        </w:rPr>
        <w:t xml:space="preserve">l estado </w:t>
      </w:r>
      <w:r w:rsidR="00FA5957" w:rsidRPr="00AE39E0">
        <w:rPr>
          <w:rFonts w:eastAsia="Palatino Linotype" w:cs="Palatino Linotype"/>
        </w:rPr>
        <w:t xml:space="preserve">en </w:t>
      </w:r>
      <w:r w:rsidRPr="00AE39E0">
        <w:rPr>
          <w:rFonts w:eastAsia="Palatino Linotype" w:cs="Palatino Linotype"/>
        </w:rPr>
        <w:t>que se encuentr</w:t>
      </w:r>
      <w:r w:rsidR="00FA5957" w:rsidRPr="00AE39E0">
        <w:rPr>
          <w:rFonts w:eastAsia="Palatino Linotype" w:cs="Palatino Linotype"/>
        </w:rPr>
        <w:t>e, sin que sea necesario</w:t>
      </w:r>
      <w:r w:rsidRPr="00AE39E0">
        <w:rPr>
          <w:rFonts w:eastAsia="Palatino Linotype" w:cs="Palatino Linotype"/>
        </w:rPr>
        <w:t xml:space="preserve"> </w:t>
      </w:r>
      <w:r w:rsidR="00FA5957" w:rsidRPr="00AE39E0">
        <w:rPr>
          <w:rFonts w:eastAsia="Palatino Linotype" w:cs="Palatino Linotype"/>
        </w:rPr>
        <w:t>procesar</w:t>
      </w:r>
      <w:r w:rsidRPr="00AE39E0">
        <w:rPr>
          <w:rFonts w:eastAsia="Palatino Linotype" w:cs="Palatino Linotype"/>
        </w:rPr>
        <w:t xml:space="preserve"> la misma, ni presentarla conforme al interés del solicitante; </w:t>
      </w:r>
      <w:r w:rsidR="00FA5957" w:rsidRPr="00AE39E0">
        <w:rPr>
          <w:rFonts w:eastAsia="Palatino Linotype" w:cs="Palatino Linotype"/>
        </w:rPr>
        <w:t>tal y como</w:t>
      </w:r>
      <w:r w:rsidRPr="00AE39E0">
        <w:rPr>
          <w:rFonts w:eastAsia="Palatino Linotype" w:cs="Palatino Linotype"/>
        </w:rPr>
        <w:t xml:space="preserve"> lo establece el artículo 12 de la Ley de Transparencia y Acceso a la Información Pública del Estado de México y Municipios</w:t>
      </w:r>
      <w:r w:rsidR="00970EB3" w:rsidRPr="00AE39E0">
        <w:rPr>
          <w:rFonts w:eastAsia="Palatino Linotype" w:cs="Palatino Linotype"/>
        </w:rPr>
        <w:t>.</w:t>
      </w:r>
    </w:p>
    <w:p w14:paraId="73245195" w14:textId="77777777" w:rsidR="00970EB3" w:rsidRPr="00AE39E0" w:rsidRDefault="00970EB3" w:rsidP="00AE39E0">
      <w:pPr>
        <w:rPr>
          <w:rFonts w:eastAsia="Palatino Linotype" w:cs="Palatino Linotype"/>
        </w:rPr>
      </w:pPr>
    </w:p>
    <w:p w14:paraId="7F62D4DF" w14:textId="775730E1" w:rsidR="001A58B3" w:rsidRPr="00AE39E0" w:rsidRDefault="001A58B3" w:rsidP="00AE39E0">
      <w:pPr>
        <w:rPr>
          <w:rFonts w:eastAsia="Palatino Linotype" w:cs="Palatino Linotype"/>
        </w:rPr>
      </w:pPr>
      <w:r w:rsidRPr="00AE39E0">
        <w:rPr>
          <w:rFonts w:eastAsia="Palatino Linotype" w:cs="Palatino Linotype"/>
        </w:rPr>
        <w:t>Es decir, que todo sujeto obligado que genere, recopile, administre, procese, archive, posea o conserven, son responsables de la misma</w:t>
      </w:r>
      <w:r w:rsidR="00970EB3" w:rsidRPr="00AE39E0">
        <w:rPr>
          <w:rFonts w:eastAsia="Palatino Linotype" w:cs="Palatino Linotype"/>
        </w:rPr>
        <w:t>,</w:t>
      </w:r>
      <w:r w:rsidRPr="00AE39E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E39E0">
        <w:rPr>
          <w:rFonts w:eastAsia="Palatino Linotype" w:cs="Palatino Linotype"/>
        </w:rPr>
        <w:t>o</w:t>
      </w:r>
      <w:r w:rsidRPr="00AE39E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E39E0" w:rsidRDefault="001A58B3" w:rsidP="00AE39E0">
      <w:pPr>
        <w:rPr>
          <w:rFonts w:eastAsia="Palatino Linotype" w:cs="Palatino Linotype"/>
        </w:rPr>
      </w:pPr>
    </w:p>
    <w:p w14:paraId="04E42DFE" w14:textId="573F1198" w:rsidR="001A58B3" w:rsidRPr="00AE39E0" w:rsidRDefault="001A58B3" w:rsidP="00AE39E0">
      <w:pPr>
        <w:rPr>
          <w:rFonts w:eastAsia="Palatino Linotype" w:cs="Palatino Linotype"/>
        </w:rPr>
      </w:pPr>
      <w:r w:rsidRPr="00AE39E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E39E0">
        <w:rPr>
          <w:rFonts w:eastAsia="Palatino Linotype" w:cs="Palatino Linotype"/>
        </w:rPr>
        <w:t>, s</w:t>
      </w:r>
      <w:r w:rsidRPr="00AE39E0">
        <w:rPr>
          <w:rFonts w:eastAsia="Palatino Linotype" w:cs="Palatino Linotype"/>
        </w:rPr>
        <w:t xml:space="preserve">iempre y cuando no se trate de información reservada o </w:t>
      </w:r>
      <w:r w:rsidR="00331F35" w:rsidRPr="00AE39E0">
        <w:rPr>
          <w:rFonts w:eastAsia="Palatino Linotype" w:cs="Palatino Linotype"/>
        </w:rPr>
        <w:t>confidencial.</w:t>
      </w:r>
    </w:p>
    <w:p w14:paraId="40C5219F" w14:textId="77777777" w:rsidR="001A58B3" w:rsidRPr="00AE39E0" w:rsidRDefault="001A58B3" w:rsidP="00AE39E0">
      <w:pPr>
        <w:rPr>
          <w:rFonts w:eastAsia="Palatino Linotype" w:cs="Palatino Linotype"/>
        </w:rPr>
      </w:pPr>
    </w:p>
    <w:p w14:paraId="2E629608" w14:textId="01727E15" w:rsidR="00C049E2" w:rsidRPr="00AE39E0" w:rsidRDefault="006067C7" w:rsidP="00AE39E0">
      <w:pPr>
        <w:rPr>
          <w:rFonts w:eastAsia="Palatino Linotype"/>
        </w:rPr>
      </w:pPr>
      <w:bookmarkStart w:id="36" w:name="_heading=h.2s8eyo1" w:colFirst="0" w:colLast="0"/>
      <w:bookmarkEnd w:id="36"/>
      <w:r w:rsidRPr="00AE39E0">
        <w:rPr>
          <w:rFonts w:eastAsia="Palatino Linotype"/>
        </w:rPr>
        <w:lastRenderedPageBreak/>
        <w:t>Con base en lo anterior</w:t>
      </w:r>
      <w:r w:rsidR="00B22A80" w:rsidRPr="00AE39E0">
        <w:rPr>
          <w:rFonts w:eastAsia="Palatino Linotype"/>
        </w:rPr>
        <w:t>, se considera que</w:t>
      </w:r>
      <w:r w:rsidR="00C049E2" w:rsidRPr="00AE39E0">
        <w:rPr>
          <w:rFonts w:eastAsia="Palatino Linotype"/>
        </w:rPr>
        <w:t xml:space="preserve"> </w:t>
      </w:r>
      <w:r w:rsidR="00B22A80" w:rsidRPr="00AE39E0">
        <w:rPr>
          <w:rFonts w:eastAsia="Palatino Linotype"/>
          <w:b/>
          <w:bCs/>
        </w:rPr>
        <w:t>EL</w:t>
      </w:r>
      <w:r w:rsidR="00C049E2" w:rsidRPr="00AE39E0">
        <w:rPr>
          <w:rFonts w:eastAsia="Palatino Linotype"/>
        </w:rPr>
        <w:t xml:space="preserve"> </w:t>
      </w:r>
      <w:r w:rsidR="00C049E2" w:rsidRPr="00AE39E0">
        <w:rPr>
          <w:rFonts w:eastAsia="Palatino Linotype"/>
          <w:b/>
        </w:rPr>
        <w:t>SUJETO OBLIGADO</w:t>
      </w:r>
      <w:r w:rsidR="00C049E2" w:rsidRPr="00AE39E0">
        <w:rPr>
          <w:rFonts w:eastAsia="Palatino Linotype"/>
        </w:rPr>
        <w:t xml:space="preserve"> </w:t>
      </w:r>
      <w:r w:rsidR="00B22A80" w:rsidRPr="00AE39E0">
        <w:rPr>
          <w:rFonts w:eastAsia="Palatino Linotype"/>
        </w:rPr>
        <w:t xml:space="preserve">se </w:t>
      </w:r>
      <w:r w:rsidR="00717E59" w:rsidRPr="00AE39E0">
        <w:rPr>
          <w:rFonts w:eastAsia="Palatino Linotype"/>
        </w:rPr>
        <w:t>encontraba</w:t>
      </w:r>
      <w:r w:rsidR="00B22A80" w:rsidRPr="00AE39E0">
        <w:rPr>
          <w:rFonts w:eastAsia="Palatino Linotype"/>
        </w:rPr>
        <w:t xml:space="preserve"> compelido a</w:t>
      </w:r>
      <w:r w:rsidR="00C049E2" w:rsidRPr="00AE39E0">
        <w:rPr>
          <w:rFonts w:eastAsia="Palatino Linotype"/>
        </w:rPr>
        <w:t xml:space="preserve"> atender la solicitud de acceso a la información </w:t>
      </w:r>
      <w:r w:rsidR="00B22A80" w:rsidRPr="00AE39E0">
        <w:rPr>
          <w:rFonts w:eastAsia="Palatino Linotype"/>
        </w:rPr>
        <w:t xml:space="preserve">realizada por </w:t>
      </w:r>
      <w:r w:rsidR="00B22A80" w:rsidRPr="00AE39E0">
        <w:rPr>
          <w:rFonts w:eastAsia="Palatino Linotype"/>
          <w:b/>
          <w:bCs/>
        </w:rPr>
        <w:t>LA PARTE RECURRENTE</w:t>
      </w:r>
      <w:r w:rsidR="00331F35" w:rsidRPr="00AE39E0">
        <w:rPr>
          <w:rFonts w:eastAsia="Palatino Linotype"/>
        </w:rPr>
        <w:t>.</w:t>
      </w:r>
    </w:p>
    <w:p w14:paraId="1611F147" w14:textId="77777777" w:rsidR="00BD5A7C" w:rsidRPr="00AE39E0" w:rsidRDefault="00BD5A7C" w:rsidP="00AE39E0">
      <w:pPr>
        <w:rPr>
          <w:rFonts w:eastAsia="Palatino Linotype"/>
        </w:rPr>
      </w:pPr>
    </w:p>
    <w:p w14:paraId="1461D2C3" w14:textId="77777777" w:rsidR="00EA5EE8" w:rsidRPr="00AE39E0" w:rsidRDefault="00EA5EE8" w:rsidP="00AE39E0">
      <w:pPr>
        <w:pStyle w:val="Ttulo3"/>
        <w:rPr>
          <w:rFonts w:eastAsia="Calibri"/>
          <w:lang w:eastAsia="es-ES_tradnl"/>
        </w:rPr>
      </w:pPr>
      <w:bookmarkStart w:id="37" w:name="_Toc193371695"/>
      <w:bookmarkStart w:id="38" w:name="_Toc201753641"/>
      <w:r w:rsidRPr="00AE39E0">
        <w:rPr>
          <w:rFonts w:eastAsia="Calibri"/>
          <w:lang w:eastAsia="es-ES_tradnl"/>
        </w:rPr>
        <w:t>b) Controversia a resolver</w:t>
      </w:r>
      <w:bookmarkEnd w:id="37"/>
      <w:bookmarkEnd w:id="38"/>
    </w:p>
    <w:p w14:paraId="1A030587" w14:textId="3988691B" w:rsidR="00CC5ED7" w:rsidRPr="00AE39E0" w:rsidRDefault="00EA5EE8" w:rsidP="00AE39E0">
      <w:pPr>
        <w:rPr>
          <w:rFonts w:eastAsia="Calibri"/>
          <w:lang w:eastAsia="es-ES_tradnl"/>
        </w:rPr>
      </w:pPr>
      <w:r w:rsidRPr="00AE39E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AE39E0">
        <w:rPr>
          <w:rFonts w:eastAsia="Calibri"/>
          <w:b/>
          <w:bCs/>
          <w:lang w:eastAsia="es-ES_tradnl"/>
        </w:rPr>
        <w:t>LA PARTE RECURRENTE</w:t>
      </w:r>
      <w:r w:rsidRPr="00AE39E0">
        <w:rPr>
          <w:rFonts w:eastAsia="Calibri"/>
          <w:lang w:eastAsia="es-ES_tradnl"/>
        </w:rPr>
        <w:t xml:space="preserve"> solicitó </w:t>
      </w:r>
      <w:r w:rsidR="006C7C6D" w:rsidRPr="00AE39E0">
        <w:rPr>
          <w:rFonts w:eastAsia="Calibri"/>
          <w:lang w:eastAsia="es-ES_tradnl"/>
        </w:rPr>
        <w:t xml:space="preserve">las pólizas de diario, ingresos, egresos y cheque del año dos mil veinticuatro. </w:t>
      </w:r>
    </w:p>
    <w:p w14:paraId="052FA8E3" w14:textId="77777777" w:rsidR="006C7C6D" w:rsidRPr="00AE39E0" w:rsidRDefault="006C7C6D" w:rsidP="00AE39E0">
      <w:pPr>
        <w:rPr>
          <w:rFonts w:eastAsia="Calibri"/>
          <w:lang w:eastAsia="es-ES_tradnl"/>
        </w:rPr>
      </w:pPr>
    </w:p>
    <w:p w14:paraId="604E1560" w14:textId="161471DC" w:rsidR="00227087" w:rsidRPr="00AE39E0" w:rsidRDefault="00EA5EE8" w:rsidP="00AE39E0">
      <w:pPr>
        <w:tabs>
          <w:tab w:val="left" w:pos="4962"/>
        </w:tabs>
        <w:contextualSpacing/>
        <w:rPr>
          <w:rFonts w:eastAsiaTheme="majorEastAsia"/>
          <w:iCs/>
          <w:lang w:val="es-ES"/>
        </w:rPr>
      </w:pPr>
      <w:r w:rsidRPr="00AE39E0">
        <w:rPr>
          <w:rFonts w:eastAsiaTheme="minorHAnsi" w:cs="Tahoma"/>
          <w:bCs/>
          <w:iCs/>
          <w:szCs w:val="22"/>
          <w:lang w:eastAsia="en-US"/>
        </w:rPr>
        <w:t xml:space="preserve">En respuesta, </w:t>
      </w:r>
      <w:r w:rsidRPr="00AE39E0">
        <w:rPr>
          <w:rFonts w:eastAsiaTheme="minorHAnsi" w:cs="Tahoma"/>
          <w:b/>
          <w:iCs/>
          <w:szCs w:val="22"/>
          <w:lang w:eastAsia="en-US"/>
        </w:rPr>
        <w:t xml:space="preserve">EL SUJETO OBLIGADO </w:t>
      </w:r>
      <w:r w:rsidR="006C7C6D" w:rsidRPr="00AE39E0">
        <w:rPr>
          <w:rFonts w:eastAsiaTheme="majorEastAsia"/>
          <w:lang w:val="es-ES"/>
        </w:rPr>
        <w:t>hizo del conocimiento que fue aprobado</w:t>
      </w:r>
      <w:r w:rsidR="00227087" w:rsidRPr="00AE39E0">
        <w:rPr>
          <w:rFonts w:eastAsiaTheme="majorEastAsia"/>
          <w:lang w:val="es-ES"/>
        </w:rPr>
        <w:t xml:space="preserve"> por el Comité de Transparencia </w:t>
      </w:r>
      <w:r w:rsidR="006C7C6D" w:rsidRPr="00AE39E0">
        <w:rPr>
          <w:rFonts w:eastAsiaTheme="majorEastAsia"/>
          <w:lang w:val="es-ES"/>
        </w:rPr>
        <w:t xml:space="preserve">el </w:t>
      </w:r>
      <w:r w:rsidR="006C7C6D" w:rsidRPr="00AE39E0">
        <w:rPr>
          <w:rFonts w:eastAsiaTheme="majorEastAsia"/>
          <w:iCs/>
          <w:lang w:val="es-ES"/>
        </w:rPr>
        <w:t>cambio de modalidad para dar respuesta a la solicitud materia de estudio.</w:t>
      </w:r>
    </w:p>
    <w:p w14:paraId="4F50A89C" w14:textId="2FB8D19C" w:rsidR="006C7C6D" w:rsidRPr="00AE39E0" w:rsidRDefault="006C7C6D" w:rsidP="00AE39E0">
      <w:pPr>
        <w:tabs>
          <w:tab w:val="left" w:pos="4962"/>
        </w:tabs>
        <w:contextualSpacing/>
        <w:rPr>
          <w:rFonts w:eastAsiaTheme="majorEastAsia"/>
          <w:b/>
          <w:bCs/>
          <w:i/>
        </w:rPr>
      </w:pPr>
      <w:r w:rsidRPr="00AE39E0">
        <w:rPr>
          <w:rFonts w:eastAsiaTheme="majorEastAsia"/>
          <w:iCs/>
          <w:lang w:val="es-ES"/>
        </w:rPr>
        <w:t xml:space="preserve"> </w:t>
      </w:r>
    </w:p>
    <w:p w14:paraId="43D60525" w14:textId="2E53845A" w:rsidR="00EA5EE8" w:rsidRPr="00AE39E0" w:rsidRDefault="00EA5EE8" w:rsidP="00AE39E0">
      <w:pPr>
        <w:autoSpaceDE w:val="0"/>
        <w:autoSpaceDN w:val="0"/>
        <w:adjustRightInd w:val="0"/>
        <w:ind w:right="-28"/>
        <w:rPr>
          <w:rFonts w:eastAsiaTheme="minorHAnsi" w:cs="Tahoma"/>
          <w:bCs/>
          <w:iCs/>
          <w:szCs w:val="22"/>
          <w:lang w:eastAsia="en-US"/>
        </w:rPr>
      </w:pPr>
      <w:r w:rsidRPr="00AE39E0">
        <w:rPr>
          <w:rFonts w:eastAsiaTheme="minorHAnsi" w:cs="Tahoma"/>
          <w:bCs/>
          <w:iCs/>
          <w:szCs w:val="22"/>
          <w:lang w:eastAsia="en-US"/>
        </w:rPr>
        <w:t xml:space="preserve">Ahora bien, en la interposición del presente recurso </w:t>
      </w:r>
      <w:r w:rsidRPr="00AE39E0">
        <w:rPr>
          <w:rFonts w:eastAsiaTheme="minorHAnsi" w:cs="Tahoma"/>
          <w:b/>
          <w:iCs/>
          <w:szCs w:val="22"/>
          <w:lang w:eastAsia="en-US"/>
        </w:rPr>
        <w:t>LA PARTE RECURRENTE</w:t>
      </w:r>
      <w:r w:rsidRPr="00AE39E0">
        <w:rPr>
          <w:rFonts w:eastAsiaTheme="minorHAnsi" w:cs="Tahoma"/>
          <w:bCs/>
          <w:iCs/>
          <w:szCs w:val="22"/>
          <w:lang w:eastAsia="en-US"/>
        </w:rPr>
        <w:t xml:space="preserve"> se inconformó medularmente por</w:t>
      </w:r>
      <w:r w:rsidR="00E32E50" w:rsidRPr="00AE39E0">
        <w:rPr>
          <w:rFonts w:eastAsiaTheme="minorHAnsi" w:cs="Tahoma"/>
          <w:bCs/>
          <w:iCs/>
          <w:szCs w:val="22"/>
          <w:lang w:eastAsia="en-US"/>
        </w:rPr>
        <w:t xml:space="preserve">que </w:t>
      </w:r>
      <w:r w:rsidR="00227087" w:rsidRPr="00AE39E0">
        <w:rPr>
          <w:rFonts w:eastAsiaTheme="minorHAnsi" w:cs="Tahoma"/>
          <w:bCs/>
          <w:iCs/>
          <w:szCs w:val="22"/>
          <w:lang w:eastAsia="en-US"/>
        </w:rPr>
        <w:t>no le fueron entregados los documentos mediante SAIMEX</w:t>
      </w:r>
      <w:r w:rsidRPr="00AE39E0">
        <w:rPr>
          <w:rFonts w:eastAsiaTheme="minorHAnsi" w:cs="Tahoma"/>
          <w:bCs/>
          <w:iCs/>
          <w:szCs w:val="22"/>
          <w:lang w:eastAsia="en-US"/>
        </w:rPr>
        <w:t xml:space="preserve">.  </w:t>
      </w:r>
    </w:p>
    <w:p w14:paraId="0490226E" w14:textId="77777777" w:rsidR="00EA5EE8" w:rsidRPr="00AE39E0" w:rsidRDefault="00EA5EE8" w:rsidP="00AE39E0">
      <w:pPr>
        <w:tabs>
          <w:tab w:val="left" w:pos="4962"/>
        </w:tabs>
        <w:contextualSpacing/>
        <w:rPr>
          <w:rFonts w:eastAsiaTheme="minorHAnsi" w:cs="Tahoma"/>
          <w:bCs/>
          <w:iCs/>
          <w:szCs w:val="22"/>
          <w:lang w:eastAsia="en-US"/>
        </w:rPr>
      </w:pPr>
    </w:p>
    <w:p w14:paraId="6590792F" w14:textId="413B2682" w:rsidR="00EA5EE8" w:rsidRPr="00AE39E0" w:rsidRDefault="00EA5EE8" w:rsidP="00AE39E0">
      <w:pPr>
        <w:pStyle w:val="Prrafodelista"/>
        <w:widowControl w:val="0"/>
        <w:autoSpaceDE w:val="0"/>
        <w:autoSpaceDN w:val="0"/>
        <w:adjustRightInd w:val="0"/>
        <w:ind w:left="0"/>
      </w:pPr>
      <w:bookmarkStart w:id="39" w:name="_Toc193371696"/>
      <w:r w:rsidRPr="00AE39E0">
        <w:rPr>
          <w:rFonts w:eastAsiaTheme="minorHAnsi" w:cs="Tahoma"/>
          <w:bCs/>
          <w:iCs/>
          <w:szCs w:val="22"/>
          <w:lang w:eastAsia="en-US"/>
        </w:rPr>
        <w:t>Asimismo</w:t>
      </w:r>
      <w:r w:rsidRPr="00AE39E0">
        <w:t xml:space="preserve">, es importante señalar que </w:t>
      </w:r>
      <w:r w:rsidRPr="00AE39E0">
        <w:rPr>
          <w:b/>
          <w:iCs/>
        </w:rPr>
        <w:t>LA PARTE RECURRENTE</w:t>
      </w:r>
      <w:r w:rsidRPr="00AE39E0">
        <w:rPr>
          <w:bCs/>
          <w:iCs/>
        </w:rPr>
        <w:t xml:space="preserve"> </w:t>
      </w:r>
      <w:r w:rsidRPr="00AE39E0">
        <w:t xml:space="preserve">no realizó manifestaciones, alegatos o pruebas y por su parte </w:t>
      </w:r>
      <w:r w:rsidRPr="00AE39E0">
        <w:rPr>
          <w:b/>
        </w:rPr>
        <w:t>EL SUJETO OBLIGADO</w:t>
      </w:r>
      <w:r w:rsidRPr="00AE39E0">
        <w:rPr>
          <w:rFonts w:cs="Arial"/>
        </w:rPr>
        <w:t xml:space="preserve"> </w:t>
      </w:r>
      <w:r w:rsidR="00E0690A" w:rsidRPr="00AE39E0">
        <w:rPr>
          <w:rFonts w:cs="Arial"/>
        </w:rPr>
        <w:t xml:space="preserve">mediante </w:t>
      </w:r>
      <w:r w:rsidRPr="00AE39E0">
        <w:t>Informe Justificado</w:t>
      </w:r>
      <w:r w:rsidR="00E0690A" w:rsidRPr="00AE39E0">
        <w:t xml:space="preserve"> medularmente </w:t>
      </w:r>
      <w:r w:rsidR="00CC5ED7" w:rsidRPr="00AE39E0">
        <w:t xml:space="preserve">reiteró </w:t>
      </w:r>
      <w:r w:rsidR="00E0690A" w:rsidRPr="00AE39E0">
        <w:t>su respuesta.</w:t>
      </w:r>
      <w:r w:rsidRPr="00AE39E0">
        <w:t xml:space="preserve"> </w:t>
      </w:r>
    </w:p>
    <w:p w14:paraId="7285DD5B" w14:textId="77777777" w:rsidR="00EA5EE8" w:rsidRPr="00AE39E0" w:rsidRDefault="00EA5EE8" w:rsidP="00AE39E0">
      <w:pPr>
        <w:pStyle w:val="Prrafodelista"/>
        <w:widowControl w:val="0"/>
        <w:autoSpaceDE w:val="0"/>
        <w:autoSpaceDN w:val="0"/>
        <w:adjustRightInd w:val="0"/>
        <w:ind w:left="0"/>
      </w:pPr>
    </w:p>
    <w:p w14:paraId="75FD781B" w14:textId="51432C55" w:rsidR="00EA5EE8" w:rsidRPr="00AE39E0" w:rsidRDefault="00227087" w:rsidP="00AE39E0">
      <w:pPr>
        <w:tabs>
          <w:tab w:val="left" w:pos="4962"/>
        </w:tabs>
        <w:contextualSpacing/>
        <w:rPr>
          <w:rFonts w:eastAsiaTheme="minorHAnsi" w:cs="Tahoma"/>
          <w:bCs/>
          <w:iCs/>
          <w:szCs w:val="22"/>
          <w:lang w:eastAsia="en-US"/>
        </w:rPr>
      </w:pPr>
      <w:r w:rsidRPr="00AE39E0">
        <w:rPr>
          <w:rFonts w:eastAsiaTheme="minorHAnsi" w:cs="Tahoma"/>
          <w:bCs/>
          <w:iCs/>
          <w:szCs w:val="22"/>
          <w:lang w:eastAsia="en-US"/>
        </w:rPr>
        <w:t xml:space="preserve">Bajo las premisas anteriores, se concluye que la controversia a dilucidar en el presente medio de impugnación será verificar la procedencia de la modalidad de entrega referida por </w:t>
      </w:r>
      <w:r w:rsidRPr="00AE39E0">
        <w:rPr>
          <w:rFonts w:eastAsiaTheme="minorHAnsi" w:cs="Tahoma"/>
          <w:b/>
          <w:iCs/>
          <w:szCs w:val="22"/>
          <w:lang w:eastAsia="en-US"/>
        </w:rPr>
        <w:t>EL SUJETO OBLIGADO</w:t>
      </w:r>
      <w:r w:rsidRPr="00AE39E0">
        <w:rPr>
          <w:rFonts w:eastAsiaTheme="minorHAnsi" w:cs="Tahoma"/>
          <w:bCs/>
          <w:iCs/>
          <w:szCs w:val="22"/>
          <w:lang w:eastAsia="en-US"/>
        </w:rPr>
        <w:t xml:space="preserve"> para tener por satisfecho el derecho de acceso a la información pública de </w:t>
      </w:r>
      <w:r w:rsidRPr="00AE39E0">
        <w:rPr>
          <w:rFonts w:eastAsiaTheme="minorHAnsi" w:cs="Tahoma"/>
          <w:b/>
          <w:iCs/>
          <w:szCs w:val="22"/>
          <w:lang w:eastAsia="en-US"/>
        </w:rPr>
        <w:t>LA PARTE RECURRENTE</w:t>
      </w:r>
      <w:r w:rsidRPr="00AE39E0">
        <w:rPr>
          <w:rFonts w:eastAsiaTheme="minorHAnsi" w:cs="Tahoma"/>
          <w:bCs/>
          <w:iCs/>
          <w:szCs w:val="22"/>
          <w:lang w:eastAsia="en-US"/>
        </w:rPr>
        <w:t>, o en su caso, ordenar la entrega de la información que corresponda.</w:t>
      </w:r>
    </w:p>
    <w:p w14:paraId="3ECF384D" w14:textId="77777777" w:rsidR="00227087" w:rsidRPr="00AE39E0" w:rsidRDefault="00227087" w:rsidP="00AE39E0">
      <w:pPr>
        <w:tabs>
          <w:tab w:val="left" w:pos="4962"/>
        </w:tabs>
        <w:contextualSpacing/>
        <w:rPr>
          <w:rFonts w:eastAsiaTheme="minorHAnsi" w:cs="Tahoma"/>
          <w:bCs/>
          <w:iCs/>
          <w:szCs w:val="22"/>
          <w:lang w:eastAsia="en-US"/>
        </w:rPr>
      </w:pPr>
    </w:p>
    <w:p w14:paraId="39CFD374" w14:textId="77777777" w:rsidR="00EA5EE8" w:rsidRPr="00AE39E0" w:rsidRDefault="00EA5EE8" w:rsidP="00AE39E0">
      <w:pPr>
        <w:pStyle w:val="Ttulo3"/>
      </w:pPr>
      <w:bookmarkStart w:id="40" w:name="_Toc201753642"/>
      <w:r w:rsidRPr="00AE39E0">
        <w:t>c) Estudio de la controversia</w:t>
      </w:r>
      <w:bookmarkEnd w:id="39"/>
      <w:bookmarkEnd w:id="40"/>
    </w:p>
    <w:p w14:paraId="1ECDE8B7" w14:textId="6C698ADD" w:rsidR="003A095F" w:rsidRPr="00AE39E0" w:rsidRDefault="003A095F" w:rsidP="00AE39E0">
      <w:r w:rsidRPr="00AE39E0">
        <w:t>Primero, se considera necesario precisar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5C657A50" w14:textId="77777777" w:rsidR="003A095F" w:rsidRPr="00AE39E0" w:rsidRDefault="003A095F" w:rsidP="00AE39E0">
      <w:pPr>
        <w:rPr>
          <w:rFonts w:cs="Arial"/>
        </w:rPr>
      </w:pPr>
    </w:p>
    <w:p w14:paraId="3C1233FE" w14:textId="77777777" w:rsidR="003A095F" w:rsidRPr="00AE39E0" w:rsidRDefault="003A095F" w:rsidP="00AE39E0">
      <w:pPr>
        <w:spacing w:line="240" w:lineRule="auto"/>
        <w:ind w:left="567" w:right="567"/>
        <w:contextualSpacing/>
        <w:rPr>
          <w:rFonts w:eastAsia="Arial Unicode MS"/>
          <w:i/>
          <w:kern w:val="28"/>
          <w:szCs w:val="56"/>
        </w:rPr>
      </w:pPr>
      <w:r w:rsidRPr="00AE39E0">
        <w:rPr>
          <w:rFonts w:eastAsia="Arial Unicode MS"/>
          <w:i/>
          <w:kern w:val="28"/>
          <w:szCs w:val="56"/>
        </w:rPr>
        <w:t>“</w:t>
      </w:r>
      <w:r w:rsidRPr="00AE39E0">
        <w:rPr>
          <w:rFonts w:eastAsia="Arial Unicode MS"/>
          <w:b/>
          <w:i/>
          <w:kern w:val="28"/>
          <w:szCs w:val="56"/>
        </w:rPr>
        <w:t>Artículo 342.-</w:t>
      </w:r>
      <w:r w:rsidRPr="00AE39E0">
        <w:rPr>
          <w:rFonts w:eastAsia="Arial Unicode MS"/>
          <w:i/>
          <w:kern w:val="28"/>
          <w:szCs w:val="56"/>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1616474" w14:textId="77777777" w:rsidR="003A095F" w:rsidRPr="00AE39E0" w:rsidRDefault="003A095F" w:rsidP="00AE39E0">
      <w:pPr>
        <w:rPr>
          <w:rFonts w:eastAsia="Arial Unicode MS"/>
        </w:rPr>
      </w:pPr>
    </w:p>
    <w:p w14:paraId="30576D10" w14:textId="77777777" w:rsidR="003A095F" w:rsidRPr="00AE39E0" w:rsidRDefault="003A095F" w:rsidP="00AE39E0">
      <w:pPr>
        <w:spacing w:line="240" w:lineRule="auto"/>
        <w:ind w:left="567" w:right="567"/>
        <w:contextualSpacing/>
        <w:rPr>
          <w:rFonts w:eastAsia="Arial Unicode MS"/>
          <w:b/>
          <w:i/>
          <w:kern w:val="28"/>
          <w:szCs w:val="56"/>
        </w:rPr>
      </w:pPr>
      <w:r w:rsidRPr="00AE39E0">
        <w:rPr>
          <w:rFonts w:eastAsia="Arial Unicode MS"/>
          <w:b/>
          <w:i/>
          <w:kern w:val="28"/>
          <w:szCs w:val="56"/>
        </w:rPr>
        <w:t xml:space="preserve">En el caso de los municipios, el registro a que se refiere el párrafo </w:t>
      </w:r>
      <w:proofErr w:type="gramStart"/>
      <w:r w:rsidRPr="00AE39E0">
        <w:rPr>
          <w:rFonts w:eastAsia="Arial Unicode MS"/>
          <w:b/>
          <w:i/>
          <w:kern w:val="28"/>
          <w:szCs w:val="56"/>
        </w:rPr>
        <w:t>anterior,</w:t>
      </w:r>
      <w:proofErr w:type="gramEnd"/>
      <w:r w:rsidRPr="00AE39E0">
        <w:rPr>
          <w:rFonts w:eastAsia="Arial Unicode MS"/>
          <w:b/>
          <w:i/>
          <w:kern w:val="28"/>
          <w:szCs w:val="56"/>
        </w:rPr>
        <w:t xml:space="preserve"> se realizará conforme al sistema y a las disposiciones en materia de planeación, programación, presupuestación, evaluación y contabilidad gubernamental, que se aprueben en el marco del Sistema de Coordinación Hacendaria del Estado de México. </w:t>
      </w:r>
    </w:p>
    <w:p w14:paraId="24FFDE20" w14:textId="77777777" w:rsidR="003A095F" w:rsidRPr="00AE39E0" w:rsidRDefault="003A095F" w:rsidP="00AE39E0">
      <w:pPr>
        <w:ind w:left="851" w:right="901"/>
        <w:rPr>
          <w:rFonts w:eastAsia="Arial Unicode MS" w:cs="Arial"/>
          <w:b/>
          <w:i/>
        </w:rPr>
      </w:pPr>
    </w:p>
    <w:p w14:paraId="06F926E7" w14:textId="77777777" w:rsidR="003A095F" w:rsidRPr="00AE39E0" w:rsidRDefault="003A095F" w:rsidP="00AE39E0">
      <w:pPr>
        <w:spacing w:line="240" w:lineRule="auto"/>
        <w:ind w:left="567" w:right="567"/>
        <w:contextualSpacing/>
        <w:rPr>
          <w:i/>
          <w:kern w:val="28"/>
          <w:szCs w:val="56"/>
        </w:rPr>
      </w:pPr>
      <w:r w:rsidRPr="00AE39E0">
        <w:rPr>
          <w:b/>
          <w:i/>
          <w:kern w:val="28"/>
          <w:szCs w:val="56"/>
        </w:rPr>
        <w:t>Artículo 343.-</w:t>
      </w:r>
      <w:r w:rsidRPr="00AE39E0">
        <w:rPr>
          <w:i/>
          <w:kern w:val="28"/>
          <w:szCs w:val="56"/>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F562504" w14:textId="77777777" w:rsidR="003A095F" w:rsidRPr="00AE39E0" w:rsidRDefault="003A095F" w:rsidP="00AE39E0">
      <w:pPr>
        <w:spacing w:line="240" w:lineRule="auto"/>
        <w:ind w:left="567" w:right="567"/>
        <w:contextualSpacing/>
        <w:rPr>
          <w:rFonts w:eastAsia="Arial Unicode MS" w:cs="Arial"/>
          <w:b/>
          <w:i/>
          <w:kern w:val="28"/>
          <w:szCs w:val="56"/>
        </w:rPr>
      </w:pPr>
      <w:r w:rsidRPr="00AE39E0">
        <w:rPr>
          <w:i/>
          <w:kern w:val="28"/>
          <w:szCs w:val="56"/>
        </w:rPr>
        <w:t xml:space="preserve">El sistema de contabilidad sobre base acumulativa </w:t>
      </w:r>
      <w:proofErr w:type="gramStart"/>
      <w:r w:rsidRPr="00AE39E0">
        <w:rPr>
          <w:i/>
          <w:kern w:val="28"/>
          <w:szCs w:val="56"/>
        </w:rPr>
        <w:t>total,</w:t>
      </w:r>
      <w:proofErr w:type="gramEnd"/>
      <w:r w:rsidRPr="00AE39E0">
        <w:rPr>
          <w:i/>
          <w:kern w:val="28"/>
          <w:szCs w:val="56"/>
        </w:rPr>
        <w:t xml:space="preserve"> se sustentará en las normas emitidas por el Consejo Nacional de Armonización Contable.</w:t>
      </w:r>
    </w:p>
    <w:p w14:paraId="46D6CDAA" w14:textId="77777777" w:rsidR="003A095F" w:rsidRPr="00AE39E0" w:rsidRDefault="003A095F" w:rsidP="00AE39E0">
      <w:pPr>
        <w:spacing w:line="240" w:lineRule="auto"/>
        <w:ind w:left="567" w:right="567"/>
        <w:contextualSpacing/>
        <w:rPr>
          <w:b/>
          <w:i/>
          <w:kern w:val="28"/>
          <w:szCs w:val="56"/>
        </w:rPr>
      </w:pPr>
    </w:p>
    <w:p w14:paraId="399CC9FA" w14:textId="77777777" w:rsidR="003A095F" w:rsidRPr="00AE39E0" w:rsidRDefault="003A095F" w:rsidP="00AE39E0">
      <w:pPr>
        <w:spacing w:line="240" w:lineRule="auto"/>
        <w:ind w:left="567" w:right="567"/>
        <w:contextualSpacing/>
        <w:rPr>
          <w:i/>
          <w:kern w:val="28"/>
          <w:szCs w:val="56"/>
        </w:rPr>
      </w:pPr>
      <w:r w:rsidRPr="00AE39E0">
        <w:rPr>
          <w:b/>
          <w:i/>
          <w:kern w:val="28"/>
          <w:szCs w:val="56"/>
        </w:rPr>
        <w:t>Artículo 344.-</w:t>
      </w:r>
      <w:r w:rsidRPr="00AE39E0">
        <w:rPr>
          <w:i/>
          <w:kern w:val="28"/>
          <w:szCs w:val="56"/>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w:t>
      </w:r>
      <w:r w:rsidRPr="00AE39E0">
        <w:rPr>
          <w:i/>
          <w:kern w:val="28"/>
          <w:szCs w:val="56"/>
        </w:rPr>
        <w:lastRenderedPageBreak/>
        <w:t xml:space="preserve">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4EFD3FC8" w14:textId="77777777" w:rsidR="003A095F" w:rsidRPr="00AE39E0" w:rsidRDefault="003A095F" w:rsidP="00AE39E0">
      <w:pPr>
        <w:spacing w:line="240" w:lineRule="auto"/>
        <w:ind w:left="567" w:right="567"/>
        <w:contextualSpacing/>
        <w:rPr>
          <w:rFonts w:eastAsia="Arial Unicode MS" w:cs="Arial"/>
          <w:i/>
          <w:kern w:val="28"/>
          <w:szCs w:val="56"/>
        </w:rPr>
      </w:pPr>
      <w:r w:rsidRPr="00AE39E0">
        <w:rPr>
          <w:i/>
          <w:kern w:val="28"/>
          <w:szCs w:val="56"/>
        </w:rPr>
        <w:t xml:space="preserve">En el caso de los Municipios, dicha obligación corresponderá a la </w:t>
      </w:r>
      <w:proofErr w:type="spellStart"/>
      <w:r w:rsidRPr="00AE39E0">
        <w:rPr>
          <w:i/>
          <w:kern w:val="28"/>
          <w:szCs w:val="56"/>
        </w:rPr>
        <w:t>Tesorería.</w:t>
      </w:r>
      <w:r w:rsidRPr="00AE39E0">
        <w:rPr>
          <w:rFonts w:eastAsia="Arial Unicode MS" w:cs="Arial"/>
          <w:i/>
          <w:kern w:val="28"/>
          <w:szCs w:val="56"/>
        </w:rPr>
        <w:t>Tratándose</w:t>
      </w:r>
      <w:proofErr w:type="spellEnd"/>
      <w:r w:rsidRPr="00AE39E0">
        <w:rPr>
          <w:rFonts w:eastAsia="Arial Unicode MS" w:cs="Arial"/>
          <w:i/>
          <w:kern w:val="28"/>
          <w:szCs w:val="56"/>
        </w:rPr>
        <w:t xml:space="preserve"> de documentos de carácter histórico, se estará a lo dispuesto por la legislación de la materia. </w:t>
      </w:r>
    </w:p>
    <w:p w14:paraId="6484ABD4" w14:textId="77777777" w:rsidR="003A095F" w:rsidRPr="00AE39E0" w:rsidRDefault="003A095F" w:rsidP="00AE39E0">
      <w:pPr>
        <w:ind w:left="851" w:right="901"/>
        <w:rPr>
          <w:rFonts w:eastAsia="Arial Unicode MS" w:cs="Arial"/>
          <w:b/>
          <w:i/>
        </w:rPr>
      </w:pPr>
    </w:p>
    <w:p w14:paraId="50C0CB7E" w14:textId="77777777" w:rsidR="003A095F" w:rsidRPr="00AE39E0" w:rsidRDefault="003A095F" w:rsidP="00AE39E0">
      <w:pPr>
        <w:spacing w:line="240" w:lineRule="auto"/>
        <w:ind w:left="567" w:right="567"/>
        <w:contextualSpacing/>
        <w:rPr>
          <w:i/>
          <w:kern w:val="28"/>
          <w:szCs w:val="56"/>
        </w:rPr>
      </w:pPr>
      <w:r w:rsidRPr="00AE39E0">
        <w:rPr>
          <w:b/>
          <w:i/>
          <w:kern w:val="28"/>
          <w:szCs w:val="56"/>
        </w:rPr>
        <w:t>Artículo 345.-</w:t>
      </w:r>
      <w:r w:rsidRPr="00AE39E0">
        <w:rPr>
          <w:i/>
          <w:kern w:val="28"/>
          <w:szCs w:val="56"/>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0F4B74B2" w14:textId="77777777" w:rsidR="003A095F" w:rsidRPr="00AE39E0" w:rsidRDefault="003A095F" w:rsidP="00AE39E0"/>
    <w:p w14:paraId="5CC894EC" w14:textId="77777777" w:rsidR="003A095F" w:rsidRPr="00AE39E0" w:rsidRDefault="003A095F" w:rsidP="00AE39E0">
      <w:pPr>
        <w:spacing w:line="240" w:lineRule="auto"/>
        <w:ind w:left="567" w:right="567"/>
        <w:contextualSpacing/>
        <w:rPr>
          <w:rFonts w:eastAsia="Arial Unicode MS"/>
          <w:i/>
          <w:kern w:val="28"/>
          <w:szCs w:val="56"/>
        </w:rPr>
      </w:pPr>
      <w:r w:rsidRPr="00AE39E0">
        <w:rPr>
          <w:i/>
          <w:kern w:val="28"/>
          <w:szCs w:val="56"/>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AE39E0">
        <w:rPr>
          <w:rFonts w:eastAsia="Arial Unicode MS"/>
          <w:i/>
          <w:kern w:val="28"/>
          <w:szCs w:val="56"/>
        </w:rPr>
        <w:t xml:space="preserve"> (Énfasis añadido)</w:t>
      </w:r>
    </w:p>
    <w:p w14:paraId="16060DC9" w14:textId="77777777" w:rsidR="003A095F" w:rsidRPr="00AE39E0" w:rsidRDefault="003A095F" w:rsidP="00AE39E0">
      <w:pPr>
        <w:ind w:left="709"/>
        <w:rPr>
          <w:rFonts w:eastAsia="Arial Unicode MS" w:cs="Arial"/>
          <w:i/>
        </w:rPr>
      </w:pPr>
    </w:p>
    <w:p w14:paraId="014B88A7" w14:textId="77777777" w:rsidR="003A095F" w:rsidRPr="00AE39E0" w:rsidRDefault="003A095F" w:rsidP="00AE39E0">
      <w:pPr>
        <w:rPr>
          <w:rFonts w:cs="Arial"/>
        </w:rPr>
      </w:pPr>
      <w:r w:rsidRPr="00AE39E0">
        <w:rPr>
          <w:rFonts w:cs="Arial"/>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49C61DB9" w14:textId="77777777" w:rsidR="003A095F" w:rsidRPr="00AE39E0" w:rsidRDefault="003A095F" w:rsidP="00AE39E0">
      <w:pPr>
        <w:rPr>
          <w:rFonts w:cs="Arial"/>
        </w:rPr>
      </w:pPr>
    </w:p>
    <w:p w14:paraId="506F1EBE" w14:textId="77777777" w:rsidR="003A095F" w:rsidRPr="00AE39E0" w:rsidRDefault="003A095F" w:rsidP="00AE39E0">
      <w:pPr>
        <w:rPr>
          <w:rFonts w:cs="Arial"/>
        </w:rPr>
      </w:pPr>
      <w:r w:rsidRPr="00AE39E0">
        <w:rPr>
          <w:rFonts w:cs="Arial"/>
        </w:rPr>
        <w:lastRenderedPageBreak/>
        <w:t>Asimismo, se establece que el sistema de contabilidad sobre base acumulativa total se sustentará en las normas emitidas por el Consejo Nacional de Armonización Contable.</w:t>
      </w:r>
    </w:p>
    <w:p w14:paraId="51FB50D7" w14:textId="77777777" w:rsidR="003A095F" w:rsidRPr="00AE39E0" w:rsidRDefault="003A095F" w:rsidP="00AE39E0">
      <w:pPr>
        <w:rPr>
          <w:rFonts w:cs="Arial"/>
        </w:rPr>
      </w:pPr>
    </w:p>
    <w:p w14:paraId="31591E93" w14:textId="77777777" w:rsidR="003A095F" w:rsidRPr="00AE39E0" w:rsidRDefault="003A095F" w:rsidP="00AE39E0">
      <w:pPr>
        <w:rPr>
          <w:rFonts w:cs="Arial"/>
          <w:b/>
        </w:rPr>
      </w:pPr>
      <w:r w:rsidRPr="00AE39E0">
        <w:rPr>
          <w:rFonts w:cs="Arial"/>
        </w:rPr>
        <w:t xml:space="preserve">Igualmente, los preceptos legales citados señalan que en el caso de los Municipios es la </w:t>
      </w:r>
      <w:r w:rsidRPr="00AE39E0">
        <w:rPr>
          <w:rFonts w:cs="Arial"/>
          <w:b/>
        </w:rPr>
        <w:t>Tesorería Municipal</w:t>
      </w:r>
      <w:r w:rsidRPr="00AE39E0">
        <w:rPr>
          <w:rFonts w:cs="Arial"/>
        </w:rPr>
        <w:t xml:space="preserve"> la unidad administrativa que registra contablemente el efecto patrimonial y presupuestal de las operaciones financieras que realizan, en </w:t>
      </w:r>
      <w:r w:rsidRPr="00AE39E0">
        <w:rPr>
          <w:rFonts w:cs="Arial"/>
          <w:b/>
        </w:rPr>
        <w:t>el momento en que ocurran, con base en el sistema y políticas de registro establecidas</w:t>
      </w:r>
      <w:r w:rsidRPr="00AE39E0">
        <w:rPr>
          <w:rFonts w:cs="Arial"/>
        </w:rPr>
        <w:t>.</w:t>
      </w:r>
    </w:p>
    <w:p w14:paraId="42F6B868" w14:textId="77777777" w:rsidR="003A095F" w:rsidRPr="00AE39E0" w:rsidRDefault="003A095F" w:rsidP="00AE39E0">
      <w:pPr>
        <w:rPr>
          <w:rFonts w:cs="Arial"/>
        </w:rPr>
      </w:pPr>
    </w:p>
    <w:p w14:paraId="0E0D40CE" w14:textId="77777777" w:rsidR="003A095F" w:rsidRPr="00AE39E0" w:rsidRDefault="003A095F" w:rsidP="00AE39E0">
      <w:pPr>
        <w:rPr>
          <w:rFonts w:cs="Arial"/>
        </w:rPr>
      </w:pPr>
      <w:r w:rsidRPr="00AE39E0">
        <w:rPr>
          <w:rFonts w:cs="Arial"/>
        </w:rPr>
        <w:t xml:space="preserve">Cabe destacar, que el ordenamiento legal en cita establece que todo registro contable y presupuestal deberá estar soportado con los </w:t>
      </w:r>
      <w:r w:rsidRPr="00AE39E0">
        <w:rPr>
          <w:rFonts w:cs="Arial"/>
          <w:b/>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AE39E0">
        <w:rPr>
          <w:rFonts w:cs="Arial"/>
        </w:rPr>
        <w:t xml:space="preserve">, en el caso de los municipios, y a disposición del Órgano Superior de Fiscalización del Estado de México y de los Órganos de Control Interno, por un término de </w:t>
      </w:r>
      <w:r w:rsidRPr="00AE39E0">
        <w:rPr>
          <w:rFonts w:cs="Arial"/>
          <w:b/>
        </w:rPr>
        <w:t>seis años</w:t>
      </w:r>
      <w:r w:rsidRPr="00AE39E0">
        <w:rPr>
          <w:rFonts w:cs="Arial"/>
        </w:rPr>
        <w:t xml:space="preserve"> contados a partir del ejercicio presupuestal siguiente al que corresponda.</w:t>
      </w:r>
    </w:p>
    <w:p w14:paraId="2D7BDC34" w14:textId="77777777" w:rsidR="003A095F" w:rsidRPr="00AE39E0" w:rsidRDefault="003A095F" w:rsidP="00AE39E0"/>
    <w:p w14:paraId="03BB87AB" w14:textId="77777777" w:rsidR="003A095F" w:rsidRPr="00AE39E0" w:rsidRDefault="003A095F" w:rsidP="00AE39E0">
      <w:pPr>
        <w:rPr>
          <w:rFonts w:cs="Arial"/>
          <w:lang w:eastAsia="es-MX"/>
        </w:rPr>
      </w:pPr>
      <w:r w:rsidRPr="00AE39E0">
        <w:rPr>
          <w:rFonts w:cs="Arial"/>
          <w:lang w:eastAsia="es-MX"/>
        </w:rPr>
        <w:t xml:space="preserve">Respecto al tema materia de la solicitud, es de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w:t>
      </w:r>
      <w:r w:rsidRPr="00AE39E0">
        <w:rPr>
          <w:rFonts w:cs="Arial"/>
          <w:lang w:eastAsia="es-MX"/>
        </w:rPr>
        <w:lastRenderedPageBreak/>
        <w:t xml:space="preserve">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C505741" w14:textId="77777777" w:rsidR="003A095F" w:rsidRPr="00AE39E0" w:rsidRDefault="003A095F" w:rsidP="00AE39E0">
      <w:pPr>
        <w:rPr>
          <w:rFonts w:cs="Arial"/>
          <w:lang w:eastAsia="es-MX"/>
        </w:rPr>
      </w:pPr>
    </w:p>
    <w:p w14:paraId="413031EE" w14:textId="77777777" w:rsidR="003A095F" w:rsidRPr="00AE39E0" w:rsidRDefault="003A095F" w:rsidP="00AE39E0">
      <w:pPr>
        <w:spacing w:line="240" w:lineRule="auto"/>
        <w:ind w:left="567" w:right="567"/>
        <w:contextualSpacing/>
        <w:rPr>
          <w:rFonts w:eastAsia="Arial Unicode MS"/>
          <w:i/>
          <w:kern w:val="28"/>
          <w:szCs w:val="56"/>
        </w:rPr>
      </w:pPr>
      <w:r w:rsidRPr="00AE39E0">
        <w:rPr>
          <w:rFonts w:eastAsia="Arial Unicode MS"/>
          <w:i/>
          <w:kern w:val="28"/>
          <w:szCs w:val="56"/>
        </w:rPr>
        <w:t>“</w:t>
      </w:r>
      <w:r w:rsidRPr="00AE39E0">
        <w:rPr>
          <w:rFonts w:eastAsia="Arial Unicode MS"/>
          <w:b/>
          <w:i/>
          <w:kern w:val="28"/>
          <w:szCs w:val="56"/>
        </w:rPr>
        <w:t>REGISTRO CONTABLE</w:t>
      </w:r>
      <w:r w:rsidRPr="00AE39E0">
        <w:rPr>
          <w:rFonts w:eastAsia="Arial Unicode MS"/>
          <w:i/>
          <w:kern w:val="28"/>
          <w:szCs w:val="56"/>
        </w:rPr>
        <w:t xml:space="preserve"> </w:t>
      </w:r>
    </w:p>
    <w:p w14:paraId="70F83EB7" w14:textId="77777777" w:rsidR="003A095F" w:rsidRPr="00AE39E0" w:rsidRDefault="003A095F" w:rsidP="00AE39E0">
      <w:pPr>
        <w:spacing w:line="240" w:lineRule="auto"/>
        <w:ind w:left="567" w:right="567"/>
        <w:contextualSpacing/>
        <w:rPr>
          <w:rFonts w:eastAsia="Arial Unicode MS"/>
          <w:i/>
          <w:kern w:val="28"/>
          <w:szCs w:val="56"/>
        </w:rPr>
      </w:pPr>
      <w:r w:rsidRPr="00AE39E0">
        <w:rPr>
          <w:rFonts w:eastAsia="Arial Unicode MS"/>
          <w:i/>
          <w:kern w:val="28"/>
          <w:szCs w:val="56"/>
        </w:rPr>
        <w:t>Asiento que se realiza en los libros de contabilidad de las actividades relacionadas con el ingreso y egresos de un ente económico.”</w:t>
      </w:r>
    </w:p>
    <w:p w14:paraId="7E8AE8B7" w14:textId="77777777" w:rsidR="003A095F" w:rsidRPr="00AE39E0" w:rsidRDefault="003A095F" w:rsidP="00AE39E0">
      <w:pPr>
        <w:spacing w:line="240" w:lineRule="auto"/>
        <w:ind w:left="567" w:right="567"/>
        <w:contextualSpacing/>
        <w:rPr>
          <w:rFonts w:eastAsia="Arial Unicode MS"/>
          <w:i/>
          <w:kern w:val="28"/>
          <w:szCs w:val="56"/>
        </w:rPr>
      </w:pPr>
      <w:r w:rsidRPr="00AE39E0">
        <w:rPr>
          <w:rFonts w:eastAsia="Arial Unicode MS"/>
          <w:i/>
          <w:kern w:val="28"/>
          <w:szCs w:val="56"/>
        </w:rPr>
        <w:t>“</w:t>
      </w:r>
      <w:r w:rsidRPr="00AE39E0">
        <w:rPr>
          <w:rFonts w:eastAsia="Arial Unicode MS"/>
          <w:b/>
          <w:i/>
          <w:kern w:val="28"/>
          <w:szCs w:val="56"/>
        </w:rPr>
        <w:t>REGISTRO PRESUPUESTARIO</w:t>
      </w:r>
    </w:p>
    <w:p w14:paraId="320EA699" w14:textId="77777777" w:rsidR="003A095F" w:rsidRPr="00AE39E0" w:rsidRDefault="003A095F" w:rsidP="00AE39E0">
      <w:pPr>
        <w:spacing w:line="240" w:lineRule="auto"/>
        <w:ind w:left="567" w:right="567"/>
        <w:contextualSpacing/>
        <w:rPr>
          <w:rFonts w:eastAsia="Arial Unicode MS"/>
          <w:i/>
          <w:kern w:val="28"/>
          <w:szCs w:val="56"/>
        </w:rPr>
      </w:pPr>
      <w:r w:rsidRPr="00AE39E0">
        <w:rPr>
          <w:rFonts w:eastAsia="Arial Unicode MS"/>
          <w:i/>
          <w:kern w:val="28"/>
          <w:szCs w:val="56"/>
        </w:rPr>
        <w:t>Asiento contable de las erogaciones realizadas por las dependencias y entidades con relación a la asignación, modificación y ejercicio de los recursos presupuestarios que se les hayan autorizado.”</w:t>
      </w:r>
    </w:p>
    <w:p w14:paraId="771A07A2" w14:textId="77777777" w:rsidR="003A095F" w:rsidRPr="00AE39E0" w:rsidRDefault="003A095F" w:rsidP="00AE39E0">
      <w:pPr>
        <w:ind w:left="851" w:right="901"/>
        <w:rPr>
          <w:rFonts w:eastAsia="Arial Unicode MS" w:cs="Arial"/>
          <w:i/>
        </w:rPr>
      </w:pPr>
    </w:p>
    <w:p w14:paraId="3CA3B9B4" w14:textId="77777777" w:rsidR="003A095F" w:rsidRPr="00AE39E0" w:rsidRDefault="003A095F" w:rsidP="00AE39E0">
      <w:pPr>
        <w:rPr>
          <w:rFonts w:cs="Arial"/>
          <w:lang w:eastAsia="es-MX"/>
        </w:rPr>
      </w:pPr>
      <w:r w:rsidRPr="00AE39E0">
        <w:rPr>
          <w:rFonts w:cs="Arial"/>
          <w:lang w:eastAsia="es-MX"/>
        </w:rPr>
        <w:t>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14:paraId="7017FEF0" w14:textId="77777777" w:rsidR="003A095F" w:rsidRPr="00AE39E0" w:rsidRDefault="003A095F" w:rsidP="00AE39E0">
      <w:pPr>
        <w:rPr>
          <w:rFonts w:cs="Arial"/>
          <w:lang w:eastAsia="es-MX"/>
        </w:rPr>
      </w:pPr>
    </w:p>
    <w:p w14:paraId="639C2124" w14:textId="77777777" w:rsidR="003A095F" w:rsidRPr="00AE39E0" w:rsidRDefault="003A095F" w:rsidP="00AE39E0">
      <w:pPr>
        <w:spacing w:line="240" w:lineRule="auto"/>
        <w:ind w:left="567" w:right="567"/>
        <w:contextualSpacing/>
        <w:rPr>
          <w:rFonts w:eastAsia="Arial Unicode MS"/>
          <w:b/>
          <w:i/>
          <w:kern w:val="28"/>
          <w:szCs w:val="56"/>
        </w:rPr>
      </w:pPr>
      <w:r w:rsidRPr="00AE39E0">
        <w:rPr>
          <w:rFonts w:eastAsia="Arial Unicode MS"/>
          <w:i/>
          <w:kern w:val="28"/>
          <w:szCs w:val="56"/>
        </w:rPr>
        <w:t>“</w:t>
      </w:r>
      <w:r w:rsidRPr="00AE39E0">
        <w:rPr>
          <w:rFonts w:eastAsia="Arial Unicode MS"/>
          <w:b/>
          <w:i/>
          <w:kern w:val="28"/>
          <w:szCs w:val="56"/>
        </w:rPr>
        <w:t>PÓLIZA CONTABLE</w:t>
      </w:r>
    </w:p>
    <w:p w14:paraId="77B047E7" w14:textId="77777777" w:rsidR="003A095F" w:rsidRPr="00AE39E0" w:rsidRDefault="003A095F" w:rsidP="00AE39E0">
      <w:pPr>
        <w:spacing w:line="240" w:lineRule="auto"/>
        <w:ind w:left="567" w:right="567"/>
        <w:contextualSpacing/>
        <w:rPr>
          <w:rFonts w:eastAsia="Arial Unicode MS"/>
          <w:i/>
          <w:kern w:val="28"/>
          <w:szCs w:val="56"/>
        </w:rPr>
      </w:pPr>
      <w:r w:rsidRPr="00AE39E0">
        <w:rPr>
          <w:rFonts w:eastAsia="Arial Unicode MS"/>
          <w:i/>
          <w:kern w:val="28"/>
          <w:szCs w:val="56"/>
        </w:rPr>
        <w:t>Documento en el cual se asientan en forma individual todas y cada una de las operaciones desarrolladas por una institución, así como la información necesaria para la identificación necesaria para la identificación de dichas operaciones.”</w:t>
      </w:r>
    </w:p>
    <w:p w14:paraId="40C3635A" w14:textId="77777777" w:rsidR="003A095F" w:rsidRPr="00AE39E0" w:rsidRDefault="003A095F" w:rsidP="00AE39E0">
      <w:pPr>
        <w:ind w:left="851" w:right="901"/>
        <w:rPr>
          <w:rFonts w:eastAsia="Arial Unicode MS" w:cs="Arial"/>
          <w:i/>
        </w:rPr>
      </w:pPr>
    </w:p>
    <w:p w14:paraId="22C7460B" w14:textId="77777777" w:rsidR="003A095F" w:rsidRPr="00AE39E0" w:rsidRDefault="003A095F" w:rsidP="00AE39E0">
      <w:pPr>
        <w:rPr>
          <w:rFonts w:cs="Arial"/>
          <w:lang w:eastAsia="es-MX"/>
        </w:rPr>
      </w:pPr>
      <w:r w:rsidRPr="00AE39E0">
        <w:rPr>
          <w:rFonts w:cs="Arial"/>
          <w:lang w:eastAsia="es-MX"/>
        </w:rPr>
        <w:lastRenderedPageBreak/>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5B65215F" w14:textId="77777777" w:rsidR="003A095F" w:rsidRPr="00AE39E0" w:rsidRDefault="003A095F" w:rsidP="00AE39E0"/>
    <w:p w14:paraId="04278530" w14:textId="633A2418" w:rsidR="003A095F" w:rsidRPr="00AE39E0" w:rsidRDefault="003A095F" w:rsidP="00AE39E0">
      <w:pPr>
        <w:rPr>
          <w:rFonts w:eastAsia="Calibri" w:cs="Tahoma"/>
          <w:szCs w:val="22"/>
          <w:lang w:eastAsia="en-US"/>
        </w:rPr>
      </w:pPr>
      <w:r w:rsidRPr="00AE39E0">
        <w:t xml:space="preserve">En este orden de ideas, el Reglamento Interno del </w:t>
      </w:r>
      <w:r w:rsidRPr="00AE39E0">
        <w:rPr>
          <w:rFonts w:eastAsia="Calibri" w:cs="Tahoma"/>
          <w:szCs w:val="22"/>
          <w:lang w:eastAsia="en-US"/>
        </w:rPr>
        <w:t>Organismo Público Descentralizado Municipal para la Prestación de Los Servicios de Agua Potable Alcantarillado y Saneamiento de Cuautitlán Izcalli denominado OPERAGUA IZCALLI O.P.D.M. 2025-2027</w:t>
      </w:r>
      <w:r w:rsidRPr="00AE39E0">
        <w:rPr>
          <w:rStyle w:val="Refdenotaalpie"/>
        </w:rPr>
        <w:footnoteReference w:id="1"/>
      </w:r>
      <w:r w:rsidRPr="00AE39E0">
        <w:rPr>
          <w:rFonts w:eastAsia="Calibri" w:cs="Tahoma"/>
          <w:szCs w:val="22"/>
          <w:lang w:eastAsia="en-US"/>
        </w:rPr>
        <w:t>, dispone que a la Dirección de Administración y Finanzas le corresponde conducir la programación, presupuestación, administración y control de los recursos humanos, materiales y financieros, así como de los servicios generales que se requieran para el funcionamiento de las Unidades Administrativas del Organismo, así como, supervisar la elaboración de los estados financieros del Organismo y el registro de la contabilidad patrimonial y presupuestaria</w:t>
      </w:r>
      <w:r w:rsidR="00C26E92" w:rsidRPr="00AE39E0">
        <w:rPr>
          <w:rFonts w:eastAsia="Calibri" w:cs="Tahoma"/>
          <w:szCs w:val="22"/>
          <w:lang w:eastAsia="en-US"/>
        </w:rPr>
        <w:t xml:space="preserve">. </w:t>
      </w:r>
    </w:p>
    <w:p w14:paraId="12252EEB" w14:textId="77777777" w:rsidR="00C26E92" w:rsidRPr="00AE39E0" w:rsidRDefault="00C26E92" w:rsidP="00AE39E0">
      <w:pPr>
        <w:rPr>
          <w:rFonts w:eastAsia="Calibri" w:cs="Tahoma"/>
          <w:szCs w:val="22"/>
          <w:lang w:eastAsia="en-US"/>
        </w:rPr>
      </w:pPr>
    </w:p>
    <w:p w14:paraId="0AB9E22F" w14:textId="58D63FDA" w:rsidR="00C26E92" w:rsidRPr="00AE39E0" w:rsidRDefault="00C26E92" w:rsidP="00AE39E0">
      <w:r w:rsidRPr="00AE39E0">
        <w:t>Es así, que del análisis realizado a las documentales que integran la respuesta se advierte pronunciamiento por parte del servidor público habilitado del área competente</w:t>
      </w:r>
      <w:r w:rsidRPr="00AE39E0">
        <w:rPr>
          <w:rFonts w:cs="Tahoma"/>
          <w:szCs w:val="22"/>
          <w:lang w:val="es-ES"/>
        </w:rPr>
        <w:t>,</w:t>
      </w:r>
      <w:r w:rsidRPr="00AE39E0">
        <w:t xml:space="preserve"> agotando así la búsqueda exhaustiva y razonable por parte del </w:t>
      </w:r>
      <w:r w:rsidRPr="00AE39E0">
        <w:rPr>
          <w:b/>
        </w:rPr>
        <w:t>SUJETO OBLIGADO</w:t>
      </w:r>
      <w:r w:rsidRPr="00AE39E0">
        <w:t>, que para tal efecto dispone el artículo 162, de la Ley de Transparencia y Acceso a la Información Pública del Estado de México y Municipios, que índica:</w:t>
      </w:r>
    </w:p>
    <w:p w14:paraId="1826D33C" w14:textId="77777777" w:rsidR="00C26E92" w:rsidRPr="00AE39E0" w:rsidRDefault="00C26E92" w:rsidP="00AE39E0"/>
    <w:p w14:paraId="24826B12" w14:textId="77777777" w:rsidR="00C26E92" w:rsidRPr="00AE39E0" w:rsidRDefault="00C26E92" w:rsidP="00AE39E0">
      <w:pPr>
        <w:spacing w:line="240" w:lineRule="auto"/>
        <w:ind w:left="567" w:right="567"/>
        <w:contextualSpacing/>
        <w:rPr>
          <w:i/>
          <w:kern w:val="28"/>
          <w:szCs w:val="56"/>
        </w:rPr>
      </w:pPr>
      <w:r w:rsidRPr="00AE39E0">
        <w:rPr>
          <w:i/>
          <w:kern w:val="28"/>
          <w:szCs w:val="56"/>
        </w:rPr>
        <w:t>“</w:t>
      </w:r>
      <w:r w:rsidRPr="00AE39E0">
        <w:rPr>
          <w:b/>
          <w:i/>
          <w:kern w:val="28"/>
          <w:szCs w:val="56"/>
        </w:rPr>
        <w:t xml:space="preserve">Artículo 162. </w:t>
      </w:r>
      <w:r w:rsidRPr="00AE39E0">
        <w:rPr>
          <w:i/>
          <w:kern w:val="28"/>
          <w:szCs w:val="56"/>
        </w:rPr>
        <w:t xml:space="preserve">Las unidades de transparencia deberán garantizar que las solicitudes se turnen a todas las Áreas competentes que cuenten con la información o deban tenerla </w:t>
      </w:r>
      <w:proofErr w:type="gramStart"/>
      <w:r w:rsidRPr="00AE39E0">
        <w:rPr>
          <w:i/>
          <w:kern w:val="28"/>
          <w:szCs w:val="56"/>
        </w:rPr>
        <w:t xml:space="preserve">de </w:t>
      </w:r>
      <w:r w:rsidRPr="00AE39E0">
        <w:rPr>
          <w:i/>
          <w:kern w:val="28"/>
          <w:szCs w:val="56"/>
        </w:rPr>
        <w:lastRenderedPageBreak/>
        <w:t>acuerdo a</w:t>
      </w:r>
      <w:proofErr w:type="gramEnd"/>
      <w:r w:rsidRPr="00AE39E0">
        <w:rPr>
          <w:i/>
          <w:kern w:val="28"/>
          <w:szCs w:val="56"/>
        </w:rPr>
        <w:t xml:space="preserve"> sus facultades, competencias y funciones, con el objeto de que realicen una búsqueda exhaustiva y razonable de la información solicitada.” Sic.</w:t>
      </w:r>
    </w:p>
    <w:p w14:paraId="1CD4725E" w14:textId="77777777" w:rsidR="00C26E92" w:rsidRPr="00AE39E0" w:rsidRDefault="00C26E92" w:rsidP="00AE39E0">
      <w:pPr>
        <w:rPr>
          <w:rFonts w:eastAsia="Calibri" w:cs="Tahoma"/>
          <w:szCs w:val="22"/>
          <w:lang w:eastAsia="en-US"/>
        </w:rPr>
      </w:pPr>
    </w:p>
    <w:p w14:paraId="5644DBCC" w14:textId="2C274C2F" w:rsidR="00F5677A" w:rsidRPr="00AE39E0" w:rsidRDefault="00A50077" w:rsidP="00AE39E0">
      <w:r w:rsidRPr="00AE39E0">
        <w:t>U</w:t>
      </w:r>
      <w:r w:rsidR="00F5677A" w:rsidRPr="00AE39E0">
        <w:t xml:space="preserve">na vez precisado lo anterior, es de señalar que del análisis realizado a la </w:t>
      </w:r>
      <w:proofErr w:type="gramStart"/>
      <w:r w:rsidR="00F5677A" w:rsidRPr="00AE39E0">
        <w:t>respuestas emitida</w:t>
      </w:r>
      <w:proofErr w:type="gramEnd"/>
      <w:r w:rsidR="00F5677A" w:rsidRPr="00AE39E0">
        <w:t xml:space="preserve"> por </w:t>
      </w:r>
      <w:r w:rsidR="00F5677A" w:rsidRPr="00AE39E0">
        <w:rPr>
          <w:b/>
        </w:rPr>
        <w:t xml:space="preserve">EL SUJETO OBLIGADO </w:t>
      </w:r>
      <w:r w:rsidR="00F5677A" w:rsidRPr="00AE39E0">
        <w:t xml:space="preserve">se advierte que cambio de modalidad de entrega mediante consulta directa (in situ), dada la naturaleza y cantidad de la información </w:t>
      </w:r>
      <w:r w:rsidR="00182E7D" w:rsidRPr="00AE39E0">
        <w:t xml:space="preserve">que tiene un preso aproximad de 200 GB extraídos directamente del escáner utilizando una resolución de 150 </w:t>
      </w:r>
      <w:proofErr w:type="spellStart"/>
      <w:r w:rsidR="00182E7D" w:rsidRPr="00AE39E0">
        <w:t>dpis</w:t>
      </w:r>
      <w:proofErr w:type="spellEnd"/>
      <w:r w:rsidR="00182E7D" w:rsidRPr="00AE39E0">
        <w:t>.</w:t>
      </w:r>
      <w:r w:rsidR="00F5677A" w:rsidRPr="00AE39E0">
        <w:t xml:space="preserve"> </w:t>
      </w:r>
    </w:p>
    <w:p w14:paraId="2AB0F315" w14:textId="77777777" w:rsidR="00F5677A" w:rsidRPr="00AE39E0" w:rsidRDefault="00F5677A" w:rsidP="00AE39E0"/>
    <w:p w14:paraId="616A3B87" w14:textId="77777777" w:rsidR="00F5677A" w:rsidRPr="00AE39E0" w:rsidRDefault="00F5677A" w:rsidP="00AE39E0">
      <w:r w:rsidRPr="00AE39E0">
        <w:t>Derivado de lo anterior, es importante referir el contenido de los artículos 155, fracción V y 164, de la Ley de Transparencia y Acceso a la Información Pública del Estado de México y Municipios, disponen lo siguiente:</w:t>
      </w:r>
    </w:p>
    <w:p w14:paraId="437A8E26" w14:textId="77777777" w:rsidR="00F5677A" w:rsidRPr="00AE39E0" w:rsidRDefault="00F5677A" w:rsidP="00AE39E0"/>
    <w:p w14:paraId="4FAC150E" w14:textId="77777777" w:rsidR="00F5677A" w:rsidRPr="00AE39E0" w:rsidRDefault="00F5677A" w:rsidP="00AE39E0">
      <w:pPr>
        <w:pStyle w:val="Ttulo"/>
        <w:rPr>
          <w:b/>
        </w:rPr>
      </w:pPr>
      <w:r w:rsidRPr="00AE39E0">
        <w:t>“</w:t>
      </w:r>
      <w:r w:rsidRPr="00AE39E0">
        <w:rPr>
          <w:b/>
        </w:rPr>
        <w:t xml:space="preserve">Artículo 155. Para presentar una solicitud por escrito, no se podrán exigir mayores requisitos que los siguientes: </w:t>
      </w:r>
    </w:p>
    <w:p w14:paraId="17B09E58" w14:textId="77777777" w:rsidR="00F5677A" w:rsidRPr="00AE39E0" w:rsidRDefault="00F5677A" w:rsidP="00AE39E0">
      <w:pPr>
        <w:pStyle w:val="Ttulo"/>
      </w:pPr>
      <w:r w:rsidRPr="00AE39E0">
        <w:t>[…]</w:t>
      </w:r>
    </w:p>
    <w:p w14:paraId="6DB74ACA" w14:textId="77777777" w:rsidR="00F5677A" w:rsidRPr="00AE39E0" w:rsidRDefault="00F5677A" w:rsidP="00AE39E0">
      <w:pPr>
        <w:pStyle w:val="Ttulo"/>
        <w:rPr>
          <w:b/>
        </w:rPr>
      </w:pPr>
      <w:r w:rsidRPr="00AE39E0">
        <w:t xml:space="preserve">V. </w:t>
      </w:r>
      <w:r w:rsidRPr="00AE39E0">
        <w:rPr>
          <w:b/>
        </w:rPr>
        <w:t>La modalidad en la que prefiere se otorgue el acceso a la información</w:t>
      </w:r>
      <w:r w:rsidRPr="00AE39E0">
        <w:t xml:space="preserve">, la cual podrá ser verbal, siempre y cuando sea para fines de orientación, mediante consulta directa, mediante la expedición de copias simples o certificadas o la </w:t>
      </w:r>
      <w:r w:rsidRPr="00AE39E0">
        <w:rPr>
          <w:b/>
        </w:rPr>
        <w:t xml:space="preserve">reproducción en cualquier otro medio, incluidos los electrónicos. </w:t>
      </w:r>
    </w:p>
    <w:p w14:paraId="2BBD29C2" w14:textId="77777777" w:rsidR="00F5677A" w:rsidRPr="00AE39E0" w:rsidRDefault="00F5677A" w:rsidP="00AE39E0">
      <w:pPr>
        <w:pStyle w:val="Ttulo"/>
      </w:pPr>
      <w:r w:rsidRPr="00AE39E0">
        <w:rPr>
          <w:b/>
        </w:rPr>
        <w:t xml:space="preserve">Artículo 164. </w:t>
      </w:r>
      <w:r w:rsidRPr="00AE39E0">
        <w:rPr>
          <w:b/>
          <w:u w:val="single"/>
        </w:rPr>
        <w:t>El acceso se dará en la modalidad de entrega</w:t>
      </w:r>
      <w:r w:rsidRPr="00AE39E0">
        <w:t xml:space="preserve"> y, en su caso, de envío </w:t>
      </w:r>
      <w:r w:rsidRPr="00AE39E0">
        <w:rPr>
          <w:b/>
          <w:u w:val="single"/>
        </w:rPr>
        <w:t>elegidos por el solicitante</w:t>
      </w:r>
      <w:r w:rsidRPr="00AE39E0">
        <w:t xml:space="preserve">. Cuando la información no pueda entregarse o enviarse en la modalidad solicitada, el sujeto obligado deberá ofrecer otra u otras modalidades de entrega. </w:t>
      </w:r>
    </w:p>
    <w:p w14:paraId="12F7D36B" w14:textId="77777777" w:rsidR="00F5677A" w:rsidRPr="00AE39E0" w:rsidRDefault="00F5677A" w:rsidP="00AE39E0">
      <w:pPr>
        <w:pStyle w:val="Ttulo"/>
      </w:pPr>
      <w:r w:rsidRPr="00AE39E0">
        <w:t xml:space="preserve">En cualquier caso, se deberá fundar y motivar la necesidad de ofrecer otras modalidades.” </w:t>
      </w:r>
    </w:p>
    <w:p w14:paraId="48765E7A" w14:textId="77777777" w:rsidR="00F5677A" w:rsidRPr="00AE39E0" w:rsidRDefault="00F5677A" w:rsidP="00AE39E0">
      <w:pPr>
        <w:pStyle w:val="Ttulo"/>
      </w:pPr>
      <w:r w:rsidRPr="00AE39E0">
        <w:t>(Énfasis añadido)</w:t>
      </w:r>
    </w:p>
    <w:p w14:paraId="0013476A" w14:textId="77777777" w:rsidR="00F5677A" w:rsidRPr="00AE39E0" w:rsidRDefault="00F5677A" w:rsidP="00AE39E0">
      <w:pPr>
        <w:ind w:left="709" w:right="709"/>
        <w:rPr>
          <w:i/>
        </w:rPr>
      </w:pPr>
    </w:p>
    <w:p w14:paraId="7EA75FDB" w14:textId="243AA561" w:rsidR="00F5677A" w:rsidRPr="00AE39E0" w:rsidRDefault="00F5677A" w:rsidP="00AE39E0">
      <w:pPr>
        <w:rPr>
          <w:sz w:val="24"/>
          <w:szCs w:val="24"/>
        </w:rPr>
      </w:pPr>
      <w:r w:rsidRPr="00AE39E0">
        <w:t xml:space="preserve">En ese sentido, a efecto de dar cumplimiento al derecho de acceso a la Información Pública, los particulares tienen la posibilidad de elegir la modalidad de entrega que prefieran, entre </w:t>
      </w:r>
      <w:r w:rsidRPr="00AE39E0">
        <w:lastRenderedPageBreak/>
        <w:t xml:space="preserve">ellas, vía </w:t>
      </w:r>
      <w:r w:rsidRPr="00AE39E0">
        <w:rPr>
          <w:b/>
        </w:rPr>
        <w:t>SAIMEX</w:t>
      </w:r>
      <w:r w:rsidRPr="00AE39E0">
        <w:t xml:space="preserve">, como lo realizó el particular en la solicitud materia de estudio, para mayor referencia se inserta la siguiente imagen: </w:t>
      </w:r>
    </w:p>
    <w:p w14:paraId="76155728" w14:textId="77777777" w:rsidR="00F5677A" w:rsidRPr="00AE39E0" w:rsidRDefault="00F5677A" w:rsidP="00AE39E0"/>
    <w:p w14:paraId="21B3A60C" w14:textId="2FEC69AD" w:rsidR="00182E7D" w:rsidRPr="00AE39E0" w:rsidRDefault="00182E7D" w:rsidP="00AE39E0">
      <w:r w:rsidRPr="00AE39E0">
        <w:rPr>
          <w:noProof/>
          <w:lang w:eastAsia="es-MX"/>
        </w:rPr>
        <w:drawing>
          <wp:inline distT="0" distB="0" distL="0" distR="0" wp14:anchorId="1B9ED908" wp14:editId="295BB5E6">
            <wp:extent cx="5742940" cy="1472541"/>
            <wp:effectExtent l="0" t="0" r="0" b="0"/>
            <wp:docPr id="750735359" name="Imagen 1"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35359" name="Imagen 1" descr="Aplicación&#10;&#10;El contenido generado por IA puede ser incorrecto."/>
                    <pic:cNvPicPr/>
                  </pic:nvPicPr>
                  <pic:blipFill>
                    <a:blip r:embed="rId14"/>
                    <a:stretch>
                      <a:fillRect/>
                    </a:stretch>
                  </pic:blipFill>
                  <pic:spPr>
                    <a:xfrm>
                      <a:off x="0" y="0"/>
                      <a:ext cx="5749237" cy="1474156"/>
                    </a:xfrm>
                    <a:prstGeom prst="rect">
                      <a:avLst/>
                    </a:prstGeom>
                  </pic:spPr>
                </pic:pic>
              </a:graphicData>
            </a:graphic>
          </wp:inline>
        </w:drawing>
      </w:r>
    </w:p>
    <w:p w14:paraId="2E7880DD" w14:textId="77777777" w:rsidR="00182E7D" w:rsidRPr="00AE39E0" w:rsidRDefault="00182E7D" w:rsidP="00AE39E0"/>
    <w:p w14:paraId="4453D53E" w14:textId="76E3FBC8" w:rsidR="005E170C" w:rsidRPr="00AE39E0" w:rsidRDefault="00182E7D" w:rsidP="00AE39E0">
      <w:pPr>
        <w:rPr>
          <w:rFonts w:eastAsia="Palatino Linotype" w:cs="Palatino Linotype"/>
          <w:szCs w:val="22"/>
        </w:rPr>
      </w:pPr>
      <w:r w:rsidRPr="00AE39E0">
        <w:rPr>
          <w:szCs w:val="22"/>
        </w:rPr>
        <w:t xml:space="preserve">Por consiguiente, tanto la modalidad de entrega como la forma de envío de la información se harán preferentemente como haya señalado </w:t>
      </w:r>
      <w:r w:rsidRPr="00AE39E0">
        <w:rPr>
          <w:b/>
          <w:bCs/>
          <w:szCs w:val="22"/>
        </w:rPr>
        <w:t>LA PARTE RECURRENTE</w:t>
      </w:r>
      <w:r w:rsidRPr="00AE39E0">
        <w:rPr>
          <w:szCs w:val="22"/>
        </w:rPr>
        <w:t xml:space="preserve">. En los casos en que esto no sea posible, </w:t>
      </w:r>
      <w:r w:rsidRPr="00AE39E0">
        <w:rPr>
          <w:b/>
          <w:szCs w:val="22"/>
        </w:rPr>
        <w:t xml:space="preserve">EL SUJETO OBLIGADO </w:t>
      </w:r>
      <w:r w:rsidR="005E170C" w:rsidRPr="00AE39E0">
        <w:rPr>
          <w:szCs w:val="22"/>
        </w:rPr>
        <w:t xml:space="preserve">debe ofrecer </w:t>
      </w:r>
      <w:r w:rsidR="005E170C" w:rsidRPr="00AE39E0">
        <w:rPr>
          <w:rFonts w:eastAsia="Palatino Linotype" w:cs="Palatino Linotype"/>
          <w:szCs w:val="22"/>
        </w:rPr>
        <w:t>otra u otras modalidades de entrega debiendo fundar y motivar adecuadamente el cambio de modalidad en la entrega de la información</w:t>
      </w:r>
      <w:r w:rsidR="005E170C" w:rsidRPr="00AE39E0">
        <w:rPr>
          <w:rFonts w:eastAsia="Palatino Linotype" w:cs="Palatino Linotype"/>
          <w:szCs w:val="22"/>
          <w:vertAlign w:val="superscript"/>
        </w:rPr>
        <w:footnoteReference w:id="2"/>
      </w:r>
      <w:r w:rsidR="005E170C" w:rsidRPr="00AE39E0">
        <w:rPr>
          <w:rFonts w:eastAsia="Palatino Linotype" w:cs="Palatino Linotype"/>
          <w:szCs w:val="22"/>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6A0443FA" w14:textId="77777777" w:rsidR="00FB4124" w:rsidRPr="00AE39E0" w:rsidRDefault="00FB4124" w:rsidP="00AE39E0">
      <w:pPr>
        <w:rPr>
          <w:rFonts w:eastAsia="Palatino Linotype" w:cs="Palatino Linotype"/>
          <w:szCs w:val="22"/>
        </w:rPr>
      </w:pPr>
    </w:p>
    <w:p w14:paraId="5F2888F5" w14:textId="77777777" w:rsidR="005E170C" w:rsidRPr="00AE39E0" w:rsidRDefault="005E170C" w:rsidP="00AE39E0">
      <w:pPr>
        <w:pStyle w:val="Ttulo"/>
      </w:pPr>
      <w:r w:rsidRPr="00AE39E0">
        <w:rPr>
          <w:b/>
        </w:rPr>
        <w:lastRenderedPageBreak/>
        <w:t>“FUNDAMENTACIÓN Y MOTIVACIÓN DE LOS ACTOS ADMINISTRATIVOS</w:t>
      </w:r>
      <w:r w:rsidRPr="00AE39E0">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AE39E0">
        <w:t>subincisos</w:t>
      </w:r>
      <w:proofErr w:type="spellEnd"/>
      <w:r w:rsidRPr="00AE39E0">
        <w:t>, fracciones y preceptos aplicable, y b).- Los cuerpos legales y preceptos que otorgan competencia o facultades a las autoridades para emitir el acto en agravio del gobernado.”</w:t>
      </w:r>
    </w:p>
    <w:p w14:paraId="3119C4AF" w14:textId="77777777" w:rsidR="005E170C" w:rsidRPr="00AE39E0" w:rsidRDefault="005E170C" w:rsidP="00AE39E0">
      <w:pPr>
        <w:rPr>
          <w:rFonts w:eastAsia="Palatino Linotype"/>
        </w:rPr>
      </w:pPr>
    </w:p>
    <w:p w14:paraId="311B0C40" w14:textId="77777777" w:rsidR="005E170C" w:rsidRPr="00AE39E0" w:rsidRDefault="005E170C" w:rsidP="00AE39E0">
      <w:pPr>
        <w:rPr>
          <w:rFonts w:eastAsia="Palatino Linotype"/>
        </w:rPr>
      </w:pPr>
      <w:r w:rsidRPr="00AE39E0">
        <w:rPr>
          <w:rFonts w:eastAsia="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4392AC53" w14:textId="77777777" w:rsidR="005E170C" w:rsidRPr="00AE39E0" w:rsidRDefault="005E170C" w:rsidP="00AE39E0">
      <w:pPr>
        <w:rPr>
          <w:rFonts w:eastAsia="Palatino Linotype"/>
          <w:lang w:eastAsia="es-MX"/>
        </w:rPr>
      </w:pPr>
    </w:p>
    <w:p w14:paraId="75B1C6A4" w14:textId="77777777" w:rsidR="005E170C" w:rsidRPr="00AE39E0" w:rsidRDefault="005E170C" w:rsidP="00AE39E0">
      <w:pPr>
        <w:pStyle w:val="Ttulo"/>
      </w:pPr>
      <w:r w:rsidRPr="00AE39E0">
        <w:rPr>
          <w:sz w:val="24"/>
          <w:szCs w:val="24"/>
        </w:rPr>
        <w:t>“</w:t>
      </w:r>
      <w:r w:rsidRPr="00AE39E0">
        <w:rPr>
          <w:b/>
        </w:rPr>
        <w:t>Artículo 160.</w:t>
      </w:r>
      <w:r w:rsidRPr="00AE39E0">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49B4444" w14:textId="77777777" w:rsidR="005E170C" w:rsidRPr="00AE39E0" w:rsidRDefault="005E170C" w:rsidP="00AE39E0">
      <w:pPr>
        <w:rPr>
          <w:rFonts w:eastAsia="Palatino Linotype"/>
        </w:rPr>
      </w:pPr>
    </w:p>
    <w:p w14:paraId="401E8826" w14:textId="77777777" w:rsidR="005E170C" w:rsidRPr="00AE39E0" w:rsidRDefault="005E170C" w:rsidP="00AE39E0">
      <w:pPr>
        <w:pStyle w:val="Ttulo"/>
      </w:pPr>
      <w:r w:rsidRPr="00AE39E0">
        <w:rPr>
          <w:b/>
        </w:rPr>
        <w:t>Artículo 164.</w:t>
      </w:r>
      <w:r w:rsidRPr="00AE39E0">
        <w:t xml:space="preserve"> El acceso se dará en la modalidad de entrega y, en su caso, de envío elegidos por el solicitante. Cuando la información no pueda entregarse o enviarse en la modalidad solicitada, </w:t>
      </w:r>
      <w:r w:rsidRPr="00AE39E0">
        <w:rPr>
          <w:b/>
        </w:rPr>
        <w:t>el sujeto obligado deberá ofrecer otra u otras modalidades de entrega</w:t>
      </w:r>
      <w:r w:rsidRPr="00AE39E0">
        <w:rPr>
          <w:u w:val="single"/>
        </w:rPr>
        <w:t>.</w:t>
      </w:r>
      <w:r w:rsidRPr="00AE39E0">
        <w:t xml:space="preserve"> En cualquier caso, se deberá fundar y motivar la necesidad de ofrecer otras modalidades.”</w:t>
      </w:r>
    </w:p>
    <w:p w14:paraId="5E33E2B3" w14:textId="77777777" w:rsidR="005E170C" w:rsidRPr="00AE39E0" w:rsidRDefault="005E170C" w:rsidP="00AE39E0">
      <w:pPr>
        <w:rPr>
          <w:rFonts w:eastAsia="Palatino Linotype"/>
        </w:rPr>
      </w:pPr>
    </w:p>
    <w:p w14:paraId="6E59FC55" w14:textId="77777777" w:rsidR="005E170C" w:rsidRPr="00AE39E0" w:rsidRDefault="005E170C" w:rsidP="00AE39E0">
      <w:pPr>
        <w:rPr>
          <w:rFonts w:eastAsia="Palatino Linotype"/>
        </w:rPr>
      </w:pPr>
      <w:r w:rsidRPr="00AE39E0">
        <w:rPr>
          <w:rFonts w:eastAsia="Palatino Linotype"/>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078CE750" w14:textId="77777777" w:rsidR="005E170C" w:rsidRPr="00AE39E0" w:rsidRDefault="005E170C" w:rsidP="00AE39E0">
      <w:pPr>
        <w:rPr>
          <w:rFonts w:eastAsia="Palatino Linotype"/>
          <w:lang w:eastAsia="es-MX"/>
        </w:rPr>
      </w:pPr>
    </w:p>
    <w:p w14:paraId="0D32439D" w14:textId="761B0F5E" w:rsidR="005E170C" w:rsidRPr="00AE39E0" w:rsidRDefault="005E170C" w:rsidP="00AE39E0">
      <w:pPr>
        <w:rPr>
          <w:rFonts w:eastAsia="Palatino Linotype"/>
        </w:rPr>
      </w:pPr>
      <w:r w:rsidRPr="00AE39E0">
        <w:rPr>
          <w:rFonts w:eastAsia="Palatino Linotype"/>
        </w:rPr>
        <w:t xml:space="preserve">Asimismo, es necesario destacar que 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E39E0">
        <w:rPr>
          <w:rFonts w:eastAsia="Palatino Linotype"/>
          <w:b/>
        </w:rPr>
        <w:t>en la medida de lo posible, en la forma solicitada por el interesado, salvo que exista un impedimento justificado para atenderla</w:t>
      </w:r>
      <w:r w:rsidRPr="00AE39E0">
        <w:rPr>
          <w:rFonts w:eastAsia="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AE39E0">
        <w:rPr>
          <w:rFonts w:eastAsia="Palatino Linotype"/>
          <w:b/>
        </w:rPr>
        <w:t>sólo procede, en caso de que se acredite la imposibilidad de atenderla.</w:t>
      </w:r>
      <w:r w:rsidRPr="00AE39E0">
        <w:rPr>
          <w:rFonts w:eastAsia="Palatino Linotype"/>
        </w:rPr>
        <w:t xml:space="preserve"> </w:t>
      </w:r>
    </w:p>
    <w:p w14:paraId="07298083" w14:textId="77777777" w:rsidR="005E170C" w:rsidRPr="00AE39E0" w:rsidRDefault="005E170C" w:rsidP="00AE39E0">
      <w:pPr>
        <w:rPr>
          <w:rFonts w:eastAsia="Palatino Linotype"/>
        </w:rPr>
      </w:pPr>
    </w:p>
    <w:p w14:paraId="5C58A5E4" w14:textId="77777777" w:rsidR="005E170C" w:rsidRPr="00AE39E0" w:rsidRDefault="005E170C" w:rsidP="00AE39E0">
      <w:pPr>
        <w:rPr>
          <w:rFonts w:eastAsia="Palatino Linotype"/>
        </w:rPr>
      </w:pPr>
      <w:r w:rsidRPr="00AE39E0">
        <w:rPr>
          <w:rFonts w:eastAsia="Palatino Linotype"/>
        </w:rPr>
        <w:t xml:space="preserve">Así, cuando se justifique el impedimento, </w:t>
      </w:r>
      <w:r w:rsidRPr="00AE39E0">
        <w:rPr>
          <w:rFonts w:eastAsia="Palatino Linotype"/>
          <w:b/>
        </w:rPr>
        <w:t>los Sujetos Obligados deberán ofrecer al particular otras modalidades de entrega que permita la información</w:t>
      </w:r>
      <w:r w:rsidRPr="00AE39E0">
        <w:rPr>
          <w:rFonts w:eastAsia="Palatino Linotype"/>
        </w:rPr>
        <w:t xml:space="preserve">, como consulta directa en las oficinas de la Unidad de Transparencia, la expedición de copias simples o certificadas, o la reproducción en cualquier otro medio, incluidos los electrónicos, lo que se robustece con el </w:t>
      </w:r>
      <w:r w:rsidRPr="00AE39E0">
        <w:rPr>
          <w:rFonts w:eastAsia="Palatino Linotype"/>
        </w:rPr>
        <w:lastRenderedPageBreak/>
        <w:t>criterio 08/17, emitido por el Pleno del Instituto Nacional de Transparencia, Acceso a la Información y Protección de Datos Personales, el cual establece lo siguiente:</w:t>
      </w:r>
    </w:p>
    <w:p w14:paraId="4FE0FD16" w14:textId="77777777" w:rsidR="005E170C" w:rsidRPr="00AE39E0" w:rsidRDefault="005E170C" w:rsidP="00AE39E0">
      <w:pPr>
        <w:spacing w:before="120" w:after="120" w:line="240" w:lineRule="auto"/>
        <w:ind w:left="851" w:right="851"/>
        <w:rPr>
          <w:rFonts w:eastAsia="Palatino Linotype" w:cs="Palatino Linotype"/>
          <w:b/>
          <w:i/>
          <w:szCs w:val="22"/>
          <w:u w:val="single"/>
        </w:rPr>
      </w:pPr>
      <w:r w:rsidRPr="00AE39E0">
        <w:rPr>
          <w:rFonts w:eastAsia="Palatino Linotype" w:cs="Palatino Linotype"/>
          <w:b/>
          <w:i/>
          <w:szCs w:val="22"/>
        </w:rPr>
        <w:t>“Modalidad de entrega. Procedencia de proporcionar la información solicitada en una diversa a la elegida por el solicitante.</w:t>
      </w:r>
      <w:r w:rsidRPr="00AE39E0">
        <w:rPr>
          <w:rFonts w:eastAsia="Palatino Linotype" w:cs="Palatino Linotype"/>
          <w:i/>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AE39E0">
        <w:rPr>
          <w:rFonts w:eastAsia="Palatino Linotype" w:cs="Palatino Linotype"/>
          <w:b/>
          <w:i/>
          <w:szCs w:val="22"/>
          <w:u w:val="single"/>
        </w:rPr>
        <w:t>en todas las modalidades que permita el documento de que se trate, procurando reducir, en todo momento, los costos de entrega</w:t>
      </w:r>
      <w:r w:rsidRPr="00AE39E0">
        <w:rPr>
          <w:rFonts w:eastAsia="Palatino Linotype" w:cs="Palatino Linotype"/>
          <w:b/>
          <w:i/>
          <w:szCs w:val="22"/>
        </w:rPr>
        <w:t>.”</w:t>
      </w:r>
    </w:p>
    <w:p w14:paraId="055A05FE" w14:textId="77777777" w:rsidR="005E170C" w:rsidRPr="00AE39E0" w:rsidRDefault="005E170C" w:rsidP="00AE39E0">
      <w:pPr>
        <w:spacing w:before="240" w:after="240"/>
        <w:rPr>
          <w:rFonts w:eastAsia="Palatino Linotype" w:cs="Palatino Linotype"/>
          <w:b/>
          <w:sz w:val="24"/>
          <w:szCs w:val="24"/>
        </w:rPr>
      </w:pPr>
      <w:r w:rsidRPr="00AE39E0">
        <w:rPr>
          <w:rFonts w:eastAsia="Palatino Linotype" w:cs="Palatino Linotype"/>
          <w:sz w:val="24"/>
          <w:szCs w:val="24"/>
        </w:rPr>
        <w:t>Del citado criterio, se desprende que cuando</w:t>
      </w:r>
      <w:r w:rsidRPr="00AE39E0">
        <w:rPr>
          <w:rFonts w:eastAsia="Palatino Linotype" w:cs="Palatino Linotype"/>
          <w:b/>
          <w:sz w:val="24"/>
          <w:szCs w:val="24"/>
        </w:rPr>
        <w:t xml:space="preserve"> la información no pueda entregarse o enviarse en la modalidad elegida, </w:t>
      </w:r>
      <w:r w:rsidRPr="00AE39E0">
        <w:rPr>
          <w:rFonts w:eastAsia="Palatino Linotype" w:cs="Palatino Linotype"/>
          <w:sz w:val="24"/>
          <w:szCs w:val="24"/>
        </w:rPr>
        <w:t xml:space="preserve">para que la obligación de acceso a la información se tenga por cumplida, </w:t>
      </w:r>
      <w:r w:rsidRPr="00AE39E0">
        <w:rPr>
          <w:rFonts w:eastAsia="Palatino Linotype" w:cs="Palatino Linotype"/>
          <w:b/>
          <w:sz w:val="24"/>
          <w:szCs w:val="24"/>
        </w:rPr>
        <w:t>EL SUJETO OBLIGADO deberá ofrecer otra u otras modalidades de entrega.</w:t>
      </w:r>
      <w:r w:rsidRPr="00AE39E0">
        <w:rPr>
          <w:rFonts w:eastAsia="Palatino Linotype" w:cs="Palatino Linotype"/>
          <w:sz w:val="24"/>
          <w:szCs w:val="24"/>
        </w:rPr>
        <w:t xml:space="preserve"> En cualquier caso, </w:t>
      </w:r>
      <w:r w:rsidRPr="00AE39E0">
        <w:rPr>
          <w:rFonts w:eastAsia="Palatino Linotype" w:cs="Palatino Linotype"/>
          <w:b/>
          <w:sz w:val="24"/>
          <w:szCs w:val="24"/>
        </w:rPr>
        <w:t>se deberá fundar y motivar la necesidad de ofrecer otras modalidades</w:t>
      </w:r>
      <w:r w:rsidRPr="00AE39E0">
        <w:rPr>
          <w:rFonts w:eastAsia="Palatino Linotype" w:cs="Palatino Linotype"/>
          <w:sz w:val="24"/>
          <w:szCs w:val="24"/>
        </w:rPr>
        <w:t xml:space="preserve"> que lo permitan, </w:t>
      </w:r>
      <w:r w:rsidRPr="00AE39E0">
        <w:rPr>
          <w:rFonts w:eastAsia="Palatino Linotype" w:cs="Palatino Linotype"/>
          <w:b/>
          <w:sz w:val="24"/>
          <w:szCs w:val="24"/>
        </w:rPr>
        <w:t>procurando reducir los costos de entrega.</w:t>
      </w:r>
    </w:p>
    <w:p w14:paraId="0E0DDB79" w14:textId="4EC42188" w:rsidR="00FB4124" w:rsidRPr="00AE39E0" w:rsidRDefault="005E170C" w:rsidP="00AE39E0">
      <w:pPr>
        <w:spacing w:before="240" w:after="360"/>
      </w:pPr>
      <w:r w:rsidRPr="00AE39E0">
        <w:rPr>
          <w:rFonts w:cs="Arial"/>
          <w:sz w:val="24"/>
          <w:szCs w:val="24"/>
          <w:lang w:val="es-ES"/>
        </w:rPr>
        <w:t xml:space="preserve">En el presente asunto, </w:t>
      </w:r>
      <w:r w:rsidR="00FB4124" w:rsidRPr="00AE39E0">
        <w:rPr>
          <w:rFonts w:cs="Arial"/>
          <w:sz w:val="24"/>
          <w:szCs w:val="24"/>
          <w:lang w:val="es-ES"/>
        </w:rPr>
        <w:t xml:space="preserve">en </w:t>
      </w:r>
      <w:r w:rsidRPr="00AE39E0">
        <w:rPr>
          <w:rFonts w:cs="Arial"/>
          <w:sz w:val="24"/>
          <w:szCs w:val="24"/>
          <w:lang w:val="es-ES"/>
        </w:rPr>
        <w:t xml:space="preserve">respuesta </w:t>
      </w:r>
      <w:r w:rsidRPr="00AE39E0">
        <w:rPr>
          <w:rFonts w:cs="Arial"/>
          <w:b/>
          <w:sz w:val="24"/>
          <w:szCs w:val="24"/>
          <w:lang w:val="es-ES"/>
        </w:rPr>
        <w:t xml:space="preserve">EL </w:t>
      </w:r>
      <w:r w:rsidRPr="00AE39E0">
        <w:rPr>
          <w:rFonts w:eastAsia="Palatino Linotype" w:cs="Palatino Linotype"/>
          <w:b/>
          <w:sz w:val="24"/>
          <w:szCs w:val="24"/>
        </w:rPr>
        <w:t>SUJETO OBLIGADO</w:t>
      </w:r>
      <w:r w:rsidRPr="00AE39E0">
        <w:rPr>
          <w:rFonts w:eastAsia="Palatino Linotype" w:cs="Palatino Linotype"/>
          <w:sz w:val="24"/>
          <w:szCs w:val="24"/>
        </w:rPr>
        <w:t xml:space="preserve"> </w:t>
      </w:r>
      <w:r w:rsidR="00FB4124" w:rsidRPr="00AE39E0">
        <w:rPr>
          <w:rFonts w:eastAsia="Palatino Linotype" w:cs="Palatino Linotype"/>
          <w:sz w:val="24"/>
          <w:szCs w:val="24"/>
        </w:rPr>
        <w:t>adjuntó el Acta por medio del cual e</w:t>
      </w:r>
      <w:r w:rsidR="00FB4124" w:rsidRPr="00AE39E0">
        <w:rPr>
          <w:rFonts w:eastAsiaTheme="majorEastAsia"/>
          <w:lang w:val="es-ES"/>
        </w:rPr>
        <w:t xml:space="preserve">l Comité de Transparencia aprobó el </w:t>
      </w:r>
      <w:r w:rsidR="00FB4124" w:rsidRPr="00AE39E0">
        <w:rPr>
          <w:rFonts w:eastAsiaTheme="majorEastAsia"/>
          <w:iCs/>
          <w:lang w:val="es-ES"/>
        </w:rPr>
        <w:t xml:space="preserve">cambio de modalidad para dar respuesta a la solicitud materia de estudio, </w:t>
      </w:r>
      <w:r w:rsidR="003C5FDC" w:rsidRPr="00AE39E0">
        <w:rPr>
          <w:rFonts w:eastAsiaTheme="majorEastAsia"/>
          <w:iCs/>
          <w:lang w:val="es-ES"/>
        </w:rPr>
        <w:t xml:space="preserve">dada la </w:t>
      </w:r>
      <w:r w:rsidR="003C5FDC" w:rsidRPr="00AE39E0">
        <w:t xml:space="preserve">cantidad de la información sobrepasa las capacidades técnicas del </w:t>
      </w:r>
      <w:r w:rsidR="003C5FDC" w:rsidRPr="00AE39E0">
        <w:rPr>
          <w:b/>
        </w:rPr>
        <w:t xml:space="preserve">SAIMEX </w:t>
      </w:r>
      <w:r w:rsidR="003C5FDC" w:rsidRPr="00AE39E0">
        <w:t xml:space="preserve">al tratarse de un preso aproximado de 200 GB extraídos directamente del escáner utilizando una resolución de 150 </w:t>
      </w:r>
      <w:proofErr w:type="spellStart"/>
      <w:r w:rsidR="003C5FDC" w:rsidRPr="00AE39E0">
        <w:t>dpis</w:t>
      </w:r>
      <w:proofErr w:type="spellEnd"/>
      <w:r w:rsidR="003C5FDC" w:rsidRPr="00AE39E0">
        <w:t xml:space="preserve">; asimismo, ofrece modalidades de entrega con costo y sin costo para el particular en caso de que proporcione dispositivo de almacenamiento USB, disco, disco externo con capacidad suficiente. </w:t>
      </w:r>
    </w:p>
    <w:p w14:paraId="5BAF80BB" w14:textId="77777777" w:rsidR="005D01D8" w:rsidRPr="00AE39E0" w:rsidRDefault="005D01D8" w:rsidP="00AE39E0">
      <w:pPr>
        <w:spacing w:before="240" w:after="360"/>
      </w:pPr>
    </w:p>
    <w:p w14:paraId="0BD25D3C" w14:textId="204F83B7" w:rsidR="005D01D8" w:rsidRPr="00AE39E0" w:rsidRDefault="005D01D8" w:rsidP="00AE39E0">
      <w:pPr>
        <w:spacing w:before="240" w:after="360"/>
      </w:pPr>
      <w:r w:rsidRPr="00AE39E0">
        <w:t xml:space="preserve">De igual manera, es necesario destacar que dicha Acta por medio de la cual el Comité de Transparencia aprobó el cambio de modalidad, precisa el tiempo que estaría disponible la información; así como, la manera de obtener la información como domicilio de la Unidad de Transparencia, días y horarios de atención, así como el nombre del servidor público que le atenderá. Asimismo, mediante Informe Justificado adjuntó </w:t>
      </w:r>
      <w:r w:rsidRPr="00AE39E0">
        <w:rPr>
          <w:rFonts w:cs="Tahoma"/>
          <w:bCs/>
          <w:szCs w:val="24"/>
        </w:rPr>
        <w:t xml:space="preserve">oficio INFOEM/DGI/255/2025 del veinticuatro de febrero de dos mil veinticinco, por medio del cual el </w:t>
      </w:r>
      <w:proofErr w:type="gramStart"/>
      <w:r w:rsidRPr="00AE39E0">
        <w:rPr>
          <w:rFonts w:cs="Tahoma"/>
          <w:bCs/>
          <w:szCs w:val="24"/>
        </w:rPr>
        <w:t>Director General</w:t>
      </w:r>
      <w:proofErr w:type="gramEnd"/>
      <w:r w:rsidRPr="00AE39E0">
        <w:rPr>
          <w:rFonts w:cs="Tahoma"/>
          <w:bCs/>
          <w:szCs w:val="24"/>
        </w:rPr>
        <w:t xml:space="preserve"> de Informática del INFOEM, comunica al titular de la Coordinación de Transparencia y Archivo el registro de la incidencia técnica en la bitácora de incidencias, toda vez que se trata de subir 200 GB lo cual sobrepasa las capacidades técnicas del </w:t>
      </w:r>
      <w:r w:rsidRPr="00AE39E0">
        <w:rPr>
          <w:rFonts w:cs="Tahoma"/>
          <w:b/>
          <w:szCs w:val="24"/>
        </w:rPr>
        <w:t>SAIMEX</w:t>
      </w:r>
      <w:r w:rsidRPr="00AE39E0">
        <w:rPr>
          <w:rFonts w:cs="Tahoma"/>
          <w:bCs/>
          <w:szCs w:val="24"/>
        </w:rPr>
        <w:t>.</w:t>
      </w:r>
    </w:p>
    <w:p w14:paraId="74F7E41C" w14:textId="77777777" w:rsidR="004476AD" w:rsidRPr="00AE39E0" w:rsidRDefault="005D01D8" w:rsidP="00AE39E0">
      <w:pPr>
        <w:spacing w:before="240" w:after="360"/>
      </w:pPr>
      <w:r w:rsidRPr="00AE39E0">
        <w:t xml:space="preserve">Sin embargo, </w:t>
      </w:r>
      <w:r w:rsidR="004476AD" w:rsidRPr="00AE39E0">
        <w:t xml:space="preserve">este Órgano Garante con la finalidad de allegarse de mayores elementos que permitan dirimir la controversia, realizó un requerimiento de información adicional al </w:t>
      </w:r>
      <w:r w:rsidR="004476AD" w:rsidRPr="00AE39E0">
        <w:rPr>
          <w:b/>
          <w:bCs/>
        </w:rPr>
        <w:t>SUJETO OBLIGADO</w:t>
      </w:r>
      <w:r w:rsidR="004476AD" w:rsidRPr="00AE39E0">
        <w:t xml:space="preserve"> a fin de que le precisara el número total de las hojas que pretendía cargar en </w:t>
      </w:r>
      <w:r w:rsidR="004476AD" w:rsidRPr="00AE39E0">
        <w:rPr>
          <w:b/>
          <w:bCs/>
        </w:rPr>
        <w:t>SAIMEX</w:t>
      </w:r>
      <w:r w:rsidR="004476AD" w:rsidRPr="00AE39E0">
        <w:t xml:space="preserve">. A lo que el </w:t>
      </w:r>
      <w:r w:rsidR="004476AD" w:rsidRPr="00AE39E0">
        <w:rPr>
          <w:b/>
        </w:rPr>
        <w:t xml:space="preserve">SUJETO OBLIGADO </w:t>
      </w:r>
      <w:r w:rsidR="004476AD" w:rsidRPr="00AE39E0">
        <w:t xml:space="preserve">precisó las mismas como se advierte a continuación: </w:t>
      </w:r>
    </w:p>
    <w:p w14:paraId="74631B1E" w14:textId="7088EDE2" w:rsidR="004476AD" w:rsidRPr="00AE39E0" w:rsidRDefault="004476AD" w:rsidP="00AE39E0">
      <w:pPr>
        <w:spacing w:before="240" w:after="360"/>
      </w:pPr>
      <w:r w:rsidRPr="00AE39E0">
        <w:rPr>
          <w:noProof/>
          <w:lang w:eastAsia="es-MX"/>
          <w14:ligatures w14:val="standardContextual"/>
        </w:rPr>
        <w:drawing>
          <wp:inline distT="0" distB="0" distL="0" distR="0" wp14:anchorId="501AFB20" wp14:editId="2621F299">
            <wp:extent cx="5466080" cy="1573306"/>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95174" cy="1581680"/>
                    </a:xfrm>
                    <a:prstGeom prst="rect">
                      <a:avLst/>
                    </a:prstGeom>
                  </pic:spPr>
                </pic:pic>
              </a:graphicData>
            </a:graphic>
          </wp:inline>
        </w:drawing>
      </w:r>
    </w:p>
    <w:p w14:paraId="19144BC8" w14:textId="70C17679" w:rsidR="004476AD" w:rsidRPr="00AE39E0" w:rsidRDefault="004476AD" w:rsidP="00AE39E0">
      <w:pPr>
        <w:spacing w:before="240" w:after="360"/>
      </w:pPr>
      <w:r w:rsidRPr="00AE39E0">
        <w:rPr>
          <w:noProof/>
          <w:lang w:eastAsia="es-MX"/>
          <w14:ligatures w14:val="standardContextual"/>
        </w:rPr>
        <w:lastRenderedPageBreak/>
        <w:drawing>
          <wp:inline distT="0" distB="0" distL="0" distR="0" wp14:anchorId="48EAEE7A" wp14:editId="77CB9529">
            <wp:extent cx="5591175" cy="2647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1175" cy="2647950"/>
                    </a:xfrm>
                    <a:prstGeom prst="rect">
                      <a:avLst/>
                    </a:prstGeom>
                  </pic:spPr>
                </pic:pic>
              </a:graphicData>
            </a:graphic>
          </wp:inline>
        </w:drawing>
      </w:r>
    </w:p>
    <w:p w14:paraId="0DEB7409" w14:textId="542A5F99" w:rsidR="004476AD" w:rsidRPr="00AE39E0" w:rsidRDefault="004476AD" w:rsidP="00AE39E0">
      <w:pPr>
        <w:spacing w:before="100" w:beforeAutospacing="1" w:after="100" w:afterAutospacing="1"/>
        <w:rPr>
          <w:rFonts w:cs="Arial"/>
          <w:lang w:val="es-ES"/>
        </w:rPr>
      </w:pPr>
      <w:r w:rsidRPr="00AE39E0">
        <w:rPr>
          <w:rFonts w:cs="Arial"/>
          <w:lang w:val="es-ES"/>
        </w:rPr>
        <w:t xml:space="preserve">De la sumatoria del número de hojas señalado por </w:t>
      </w:r>
      <w:r w:rsidRPr="00AE39E0">
        <w:rPr>
          <w:rFonts w:cs="Arial"/>
          <w:b/>
          <w:lang w:val="es-ES"/>
        </w:rPr>
        <w:t xml:space="preserve">EL SUJETO OBLIGADO </w:t>
      </w:r>
      <w:r w:rsidRPr="00AE39E0">
        <w:rPr>
          <w:rFonts w:cs="Arial"/>
          <w:lang w:val="es-ES"/>
        </w:rPr>
        <w:t xml:space="preserve">se obtiene como resultado un total de </w:t>
      </w:r>
      <w:r w:rsidRPr="00AE39E0">
        <w:rPr>
          <w:rFonts w:cs="Arial"/>
          <w:b/>
          <w:lang w:val="es-ES"/>
        </w:rPr>
        <w:t>241,423 hojas</w:t>
      </w:r>
      <w:r w:rsidRPr="00AE39E0">
        <w:rPr>
          <w:rFonts w:cs="Arial"/>
          <w:lang w:val="es-ES"/>
        </w:rPr>
        <w:t>.</w:t>
      </w:r>
    </w:p>
    <w:p w14:paraId="5D28D023" w14:textId="77777777" w:rsidR="000471ED" w:rsidRPr="00AE39E0" w:rsidRDefault="004476AD" w:rsidP="00AE39E0">
      <w:pPr>
        <w:rPr>
          <w:rFonts w:eastAsia="Palatino Linotype"/>
        </w:rPr>
      </w:pPr>
      <w:r w:rsidRPr="00AE39E0">
        <w:rPr>
          <w:rFonts w:eastAsia="Palatino Linotype"/>
        </w:rPr>
        <w:t xml:space="preserve">Al respecto, es de referir que </w:t>
      </w:r>
      <w:r w:rsidRPr="00AE39E0">
        <w:rPr>
          <w:rFonts w:eastAsia="Palatino Linotype"/>
          <w:b/>
        </w:rPr>
        <w:t>EL</w:t>
      </w:r>
      <w:r w:rsidRPr="00AE39E0">
        <w:rPr>
          <w:rFonts w:eastAsia="Palatino Linotype"/>
        </w:rPr>
        <w:t xml:space="preserve"> </w:t>
      </w:r>
      <w:r w:rsidRPr="00AE39E0">
        <w:rPr>
          <w:rFonts w:eastAsia="Palatino Linotype"/>
          <w:b/>
        </w:rPr>
        <w:t>SAIMEX</w:t>
      </w:r>
      <w:r w:rsidRPr="00AE39E0">
        <w:rPr>
          <w:rFonts w:eastAsia="Palatino Linotype"/>
        </w:rPr>
        <w:t xml:space="preserve">, según lo ha referido la Dirección General de Informática en diversas solicitudes de reportes de incidencia, derivado de la sustanciación de diversos recursos de revisión, tiene el soporte tecnológico para que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BBFA922" w14:textId="77777777" w:rsidR="000471ED" w:rsidRPr="00AE39E0" w:rsidRDefault="000471ED" w:rsidP="00AE39E0">
      <w:pPr>
        <w:rPr>
          <w:rFonts w:eastAsia="Palatino Linotype"/>
        </w:rPr>
      </w:pPr>
    </w:p>
    <w:p w14:paraId="134C7A3F" w14:textId="4081DE90" w:rsidR="000471ED" w:rsidRPr="00AE39E0" w:rsidRDefault="000471ED" w:rsidP="00AE39E0">
      <w:r w:rsidRPr="00AE39E0">
        <w:t xml:space="preserve">En atención a lo anterior, se puede advertir que </w:t>
      </w:r>
      <w:r w:rsidRPr="00AE39E0">
        <w:rPr>
          <w:rFonts w:eastAsiaTheme="majorEastAsia"/>
        </w:rPr>
        <w:t>el Sujeto Obligado justificó adecuadamente el cambio de modalidad</w:t>
      </w:r>
      <w:r w:rsidRPr="00AE39E0">
        <w:t>, toda vez que f</w:t>
      </w:r>
      <w:r w:rsidRPr="00AE39E0">
        <w:rPr>
          <w:rFonts w:eastAsiaTheme="majorEastAsia"/>
        </w:rPr>
        <w:t>undó y motivó su actuación</w:t>
      </w:r>
      <w:r w:rsidRPr="00AE39E0">
        <w:t xml:space="preserve"> con base en lo dispuesto por los preceptos legales multicitados, mismos que exigen que todo acto de autoridad esté </w:t>
      </w:r>
      <w:r w:rsidRPr="00AE39E0">
        <w:lastRenderedPageBreak/>
        <w:t xml:space="preserve">debidamente fundado (es decir, basado en disposiciones normativas aplicables) y motivado (esto es, sustentado en las circunstancias particulares del caso). </w:t>
      </w:r>
    </w:p>
    <w:p w14:paraId="41763545" w14:textId="77777777" w:rsidR="001D3275" w:rsidRPr="00AE39E0" w:rsidRDefault="001D3275" w:rsidP="00AE39E0">
      <w:pPr>
        <w:rPr>
          <w:rFonts w:eastAsia="Palatino Linotype" w:cs="Palatino Linotype"/>
        </w:rPr>
      </w:pPr>
    </w:p>
    <w:p w14:paraId="2664C29B" w14:textId="4A64DA44" w:rsidR="001D3275" w:rsidRPr="00AE39E0" w:rsidRDefault="001D3275" w:rsidP="00AE39E0">
      <w:r w:rsidRPr="00AE39E0">
        <w:rPr>
          <w:rFonts w:eastAsia="Palatino Linotype" w:cs="Palatino Linotype"/>
        </w:rPr>
        <w:t xml:space="preserve">En consecuencia, el Pleno de este Instituto considera que la información entregada por </w:t>
      </w:r>
      <w:r w:rsidRPr="00AE39E0">
        <w:rPr>
          <w:rFonts w:eastAsia="Palatino Linotype" w:cs="Palatino Linotype"/>
          <w:b/>
        </w:rPr>
        <w:t xml:space="preserve">EL SUJETO OBLIGADO </w:t>
      </w:r>
      <w:r w:rsidRPr="00AE39E0">
        <w:rPr>
          <w:rFonts w:eastAsia="Palatino Linotype" w:cs="Palatino Linotype"/>
        </w:rPr>
        <w:t xml:space="preserve">mediante requerimiento de información se acredita la imposibilidad técnica para hacer la entrega de la información vía </w:t>
      </w:r>
      <w:r w:rsidRPr="00AE39E0">
        <w:rPr>
          <w:rFonts w:eastAsia="Palatino Linotype" w:cs="Palatino Linotype"/>
          <w:b/>
        </w:rPr>
        <w:t xml:space="preserve">SAIMEX, </w:t>
      </w:r>
      <w:r w:rsidRPr="00AE39E0">
        <w:t xml:space="preserve">al tratarse de un preso aproximado de 200 GB extraídos directamente del escáner utilizando una resolución de 150 </w:t>
      </w:r>
      <w:proofErr w:type="spellStart"/>
      <w:r w:rsidRPr="00AE39E0">
        <w:t>dpis</w:t>
      </w:r>
      <w:proofErr w:type="spellEnd"/>
      <w:r w:rsidRPr="00AE39E0">
        <w:t xml:space="preserve">, </w:t>
      </w:r>
      <w:r w:rsidRPr="00AE39E0">
        <w:rPr>
          <w:rFonts w:cs="Arial"/>
          <w:lang w:val="es-ES"/>
        </w:rPr>
        <w:t xml:space="preserve">resultado un total de </w:t>
      </w:r>
      <w:r w:rsidRPr="00AE39E0">
        <w:rPr>
          <w:rFonts w:cs="Arial"/>
          <w:b/>
          <w:lang w:val="es-ES"/>
        </w:rPr>
        <w:t>241,423 hojas</w:t>
      </w:r>
      <w:r w:rsidRPr="00AE39E0">
        <w:rPr>
          <w:rFonts w:cs="Arial"/>
          <w:lang w:val="es-ES"/>
        </w:rPr>
        <w:t>.</w:t>
      </w:r>
    </w:p>
    <w:p w14:paraId="7B32BBDE" w14:textId="77777777" w:rsidR="001D3275" w:rsidRPr="00AE39E0" w:rsidRDefault="001D3275" w:rsidP="00AE39E0"/>
    <w:p w14:paraId="6D15614C" w14:textId="4DA4F0FC" w:rsidR="001D3275" w:rsidRPr="00AE39E0" w:rsidRDefault="002C3408" w:rsidP="00AE39E0">
      <w:pPr>
        <w:tabs>
          <w:tab w:val="left" w:pos="709"/>
        </w:tabs>
        <w:contextualSpacing/>
      </w:pPr>
      <w:r w:rsidRPr="00AE39E0">
        <w:t>Por todo lo expuesto, se concluye que el Sujeto Obligado actuó en cumplimiento del marco normativo aplicable, y que su determinación de modificar la modalidad de entrega resulta legal, proporcional, debidamente motivada y técnicamente fundada.</w:t>
      </w:r>
    </w:p>
    <w:p w14:paraId="29E4E7FF" w14:textId="77777777" w:rsidR="002C3408" w:rsidRPr="00AE39E0" w:rsidRDefault="002C3408" w:rsidP="00AE39E0">
      <w:pPr>
        <w:tabs>
          <w:tab w:val="left" w:pos="709"/>
        </w:tabs>
        <w:contextualSpacing/>
      </w:pPr>
    </w:p>
    <w:p w14:paraId="68429173" w14:textId="507A26B1" w:rsidR="001D3275" w:rsidRPr="00AE39E0" w:rsidRDefault="001D3275" w:rsidP="00AE39E0">
      <w:pPr>
        <w:rPr>
          <w:rFonts w:eastAsia="Palatino Linotype" w:cs="Palatino Linotype"/>
        </w:rPr>
      </w:pPr>
      <w:r w:rsidRPr="00AE39E0">
        <w:rPr>
          <w:rFonts w:eastAsia="Palatino Linotype" w:cs="Palatino Linotype"/>
        </w:rPr>
        <w:t xml:space="preserve">En consecuencia, el Pleno de este Instituto considera que la información entregada en por </w:t>
      </w:r>
      <w:r w:rsidRPr="00AE39E0">
        <w:rPr>
          <w:rFonts w:eastAsia="Palatino Linotype" w:cs="Palatino Linotype"/>
          <w:b/>
        </w:rPr>
        <w:t xml:space="preserve">EL SUJETO OBLIGADO </w:t>
      </w:r>
      <w:r w:rsidRPr="00AE39E0">
        <w:rPr>
          <w:rFonts w:eastAsia="Palatino Linotype" w:cs="Palatino Linotype"/>
        </w:rPr>
        <w:t xml:space="preserve">mediante informe justificado </w:t>
      </w:r>
      <w:r w:rsidRPr="00AE39E0">
        <w:rPr>
          <w:rFonts w:eastAsia="Palatino Linotype" w:cs="Palatino Linotype"/>
          <w:b/>
        </w:rPr>
        <w:t>atiende el derecho de acceso a la información pública</w:t>
      </w:r>
      <w:r w:rsidRPr="00AE39E0">
        <w:rPr>
          <w:rFonts w:eastAsia="Palatino Linotype" w:cs="Palatino Linotype"/>
        </w:rPr>
        <w:t xml:space="preserve">. </w:t>
      </w:r>
    </w:p>
    <w:p w14:paraId="5CD2E588" w14:textId="77777777" w:rsidR="001D3275" w:rsidRPr="00AE39E0" w:rsidRDefault="001D3275" w:rsidP="00AE39E0">
      <w:pPr>
        <w:tabs>
          <w:tab w:val="left" w:pos="709"/>
        </w:tabs>
        <w:contextualSpacing/>
        <w:rPr>
          <w:rFonts w:cs="Arial"/>
        </w:rPr>
      </w:pPr>
    </w:p>
    <w:p w14:paraId="21BC7CCE" w14:textId="77777777" w:rsidR="001D3275" w:rsidRPr="00AE39E0" w:rsidRDefault="001D3275" w:rsidP="00AE39E0">
      <w:pPr>
        <w:rPr>
          <w:rFonts w:cs="Arial"/>
          <w:lang w:val="es-ES_tradnl"/>
        </w:rPr>
      </w:pPr>
      <w:proofErr w:type="gramStart"/>
      <w:r w:rsidRPr="00AE39E0">
        <w:rPr>
          <w:rFonts w:cs="Arial"/>
          <w:lang w:val="es-ES_tradnl"/>
        </w:rPr>
        <w:t>En razón de</w:t>
      </w:r>
      <w:proofErr w:type="gramEnd"/>
      <w:r w:rsidRPr="00AE39E0">
        <w:rPr>
          <w:rFonts w:cs="Arial"/>
          <w:lang w:val="es-ES_tradnl"/>
        </w:rPr>
        <w:t xml:space="preserv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570CC1FA" w14:textId="77777777" w:rsidR="001D3275" w:rsidRPr="00AE39E0" w:rsidRDefault="001D3275" w:rsidP="00AE39E0">
      <w:pPr>
        <w:rPr>
          <w:rFonts w:eastAsia="Palatino Linotype" w:cs="Palatino Linotype"/>
          <w:sz w:val="24"/>
          <w:szCs w:val="24"/>
        </w:rPr>
      </w:pPr>
    </w:p>
    <w:p w14:paraId="1F7A772D" w14:textId="77777777" w:rsidR="001D3275" w:rsidRPr="00AE39E0" w:rsidRDefault="001D3275" w:rsidP="00AE39E0">
      <w:pPr>
        <w:spacing w:line="240" w:lineRule="auto"/>
        <w:ind w:left="567" w:right="567"/>
        <w:contextualSpacing/>
        <w:rPr>
          <w:i/>
          <w:kern w:val="28"/>
          <w:szCs w:val="56"/>
        </w:rPr>
      </w:pPr>
      <w:r w:rsidRPr="00AE39E0">
        <w:rPr>
          <w:rFonts w:eastAsia="Palatino Linotype"/>
          <w:i/>
          <w:kern w:val="28"/>
          <w:szCs w:val="56"/>
        </w:rPr>
        <w:t>a) Cuando el sujeto obligado modifique el acto impugnado y;</w:t>
      </w:r>
    </w:p>
    <w:p w14:paraId="383ACDA5" w14:textId="77777777" w:rsidR="001D3275" w:rsidRPr="00AE39E0" w:rsidRDefault="001D3275" w:rsidP="00AE39E0">
      <w:pPr>
        <w:spacing w:line="240" w:lineRule="auto"/>
        <w:ind w:left="567" w:right="567"/>
        <w:contextualSpacing/>
        <w:rPr>
          <w:i/>
          <w:kern w:val="28"/>
          <w:szCs w:val="56"/>
        </w:rPr>
      </w:pPr>
      <w:r w:rsidRPr="00AE39E0">
        <w:rPr>
          <w:rFonts w:eastAsia="Palatino Linotype"/>
          <w:i/>
          <w:kern w:val="28"/>
          <w:szCs w:val="56"/>
        </w:rPr>
        <w:t>b) Cuando el sujeto obligado revoque el acto impugnado.</w:t>
      </w:r>
    </w:p>
    <w:p w14:paraId="42EFF3AE" w14:textId="77777777" w:rsidR="001D3275" w:rsidRPr="00AE39E0" w:rsidRDefault="001D3275" w:rsidP="00AE39E0">
      <w:pPr>
        <w:rPr>
          <w:rFonts w:eastAsia="Palatino Linotype" w:cs="Palatino Linotype"/>
          <w:sz w:val="24"/>
          <w:szCs w:val="24"/>
        </w:rPr>
      </w:pPr>
    </w:p>
    <w:p w14:paraId="0A6431A8" w14:textId="77777777" w:rsidR="001D3275" w:rsidRPr="00AE39E0" w:rsidRDefault="001D3275" w:rsidP="00AE39E0">
      <w:pPr>
        <w:rPr>
          <w:rFonts w:eastAsia="Palatino Linotype"/>
        </w:rPr>
      </w:pPr>
      <w:r w:rsidRPr="00AE39E0">
        <w:rPr>
          <w:rFonts w:eastAsia="Palatino Linotype"/>
        </w:rPr>
        <w:lastRenderedPageBreak/>
        <w:t>Quedando en ambos casos el acto combatido sin materia o sin efectos.</w:t>
      </w:r>
    </w:p>
    <w:p w14:paraId="40D1AC88" w14:textId="77777777" w:rsidR="001D3275" w:rsidRPr="00AE39E0" w:rsidRDefault="001D3275" w:rsidP="00AE39E0">
      <w:pPr>
        <w:rPr>
          <w:rFonts w:eastAsia="Palatino Linotype"/>
        </w:rPr>
      </w:pPr>
    </w:p>
    <w:p w14:paraId="46D4C794" w14:textId="77777777" w:rsidR="001D3275" w:rsidRPr="00AE39E0" w:rsidRDefault="001D3275" w:rsidP="00AE39E0">
      <w:pPr>
        <w:rPr>
          <w:rFonts w:eastAsia="Palatino Linotype"/>
        </w:rPr>
      </w:pPr>
      <w:r w:rsidRPr="00AE39E0">
        <w:rPr>
          <w:rFonts w:eastAsia="Palatino Linotype"/>
        </w:rPr>
        <w:t xml:space="preserve">Como se observa de lo anterior, un acto impugnado es </w:t>
      </w:r>
      <w:r w:rsidRPr="00AE39E0">
        <w:rPr>
          <w:rFonts w:eastAsia="Palatino Linotype"/>
          <w:b/>
        </w:rPr>
        <w:t>modificado</w:t>
      </w:r>
      <w:r w:rsidRPr="00AE39E0">
        <w:rPr>
          <w:rFonts w:eastAsia="Palatino Linotype"/>
        </w:rPr>
        <w:t xml:space="preserve"> en aquellos casos en los que el sujeto obligado </w:t>
      </w:r>
      <w:r w:rsidRPr="00AE39E0">
        <w:rPr>
          <w:rFonts w:eastAsia="Palatino Linotype"/>
          <w:bCs/>
        </w:rPr>
        <w:t>subsana las deficiencias que hubiera tenido en primer momento</w:t>
      </w:r>
      <w:r w:rsidRPr="00AE39E0">
        <w:rPr>
          <w:rFonts w:eastAsia="Palatino Linotype"/>
          <w:b/>
        </w:rPr>
        <w:t>,</w:t>
      </w:r>
      <w:r w:rsidRPr="00AE39E0">
        <w:rPr>
          <w:rFonts w:eastAsia="Palatino Linotype"/>
        </w:rPr>
        <w:t xml:space="preserve"> quedando satisfecho el derecho subjetivo accionado por la parte recurrente. </w:t>
      </w:r>
    </w:p>
    <w:p w14:paraId="6BF9615D" w14:textId="77777777" w:rsidR="001D3275" w:rsidRPr="00AE39E0" w:rsidRDefault="001D3275" w:rsidP="00AE39E0">
      <w:pPr>
        <w:rPr>
          <w:rFonts w:eastAsia="Palatino Linotype"/>
        </w:rPr>
      </w:pPr>
    </w:p>
    <w:p w14:paraId="59191C81" w14:textId="77777777" w:rsidR="001D3275" w:rsidRPr="00AE39E0" w:rsidRDefault="001D3275" w:rsidP="00AE39E0">
      <w:pPr>
        <w:rPr>
          <w:rFonts w:eastAsia="Palatino Linotype"/>
        </w:rPr>
      </w:pPr>
      <w:r w:rsidRPr="00AE39E0">
        <w:rPr>
          <w:rFonts w:eastAsia="Palatino Linotype"/>
        </w:rPr>
        <w:t>Por lo que hace a la</w:t>
      </w:r>
      <w:r w:rsidRPr="00AE39E0">
        <w:rPr>
          <w:rFonts w:eastAsia="Palatino Linotype"/>
          <w:b/>
        </w:rPr>
        <w:t xml:space="preserve"> revocación</w:t>
      </w:r>
      <w:r w:rsidRPr="00AE39E0">
        <w:rPr>
          <w:rFonts w:eastAsia="Palatino Linotype"/>
        </w:rPr>
        <w:t>, esta se actualiza cuando el sujeto obligado</w:t>
      </w:r>
      <w:r w:rsidRPr="00AE39E0">
        <w:rPr>
          <w:rFonts w:eastAsia="Palatino Linotype"/>
          <w:b/>
        </w:rPr>
        <w:t xml:space="preserve"> </w:t>
      </w:r>
      <w:r w:rsidRPr="00AE39E0">
        <w:rPr>
          <w:rFonts w:eastAsia="Palatino Linotype"/>
        </w:rPr>
        <w:t>deja sin efectos su actuar y en su lugar emite otra con las características y cualidades suficientes para dejar satisfecho el ejercicio del derecho al acceso a la información pública.</w:t>
      </w:r>
    </w:p>
    <w:p w14:paraId="3367541C" w14:textId="77777777" w:rsidR="001D3275" w:rsidRPr="00AE39E0" w:rsidRDefault="001D3275" w:rsidP="00AE39E0">
      <w:pPr>
        <w:rPr>
          <w:rFonts w:eastAsia="Palatino Linotype"/>
        </w:rPr>
      </w:pPr>
    </w:p>
    <w:p w14:paraId="1E128872" w14:textId="77777777" w:rsidR="001D3275" w:rsidRPr="00AE39E0" w:rsidRDefault="001D3275" w:rsidP="00AE39E0">
      <w:pPr>
        <w:rPr>
          <w:rFonts w:eastAsia="Palatino Linotype"/>
        </w:rPr>
      </w:pPr>
      <w:r w:rsidRPr="00AE39E0">
        <w:rPr>
          <w:rFonts w:eastAsia="Palatino Linotype"/>
        </w:rPr>
        <w:t>En ese tenor, un acto impugnado queda sin efectos, cuando aun existiendo jurídicamente ya no genera ninguna consecuencia legal.</w:t>
      </w:r>
    </w:p>
    <w:p w14:paraId="480941D3" w14:textId="77777777" w:rsidR="001D3275" w:rsidRPr="00AE39E0" w:rsidRDefault="001D3275" w:rsidP="00AE39E0">
      <w:pPr>
        <w:rPr>
          <w:rFonts w:eastAsia="Palatino Linotype"/>
        </w:rPr>
      </w:pPr>
    </w:p>
    <w:p w14:paraId="262F0F46" w14:textId="620AB389" w:rsidR="001D3275" w:rsidRPr="00AE39E0" w:rsidRDefault="001D3275" w:rsidP="00AE39E0">
      <w:pPr>
        <w:rPr>
          <w:rFonts w:eastAsia="Palatino Linotype"/>
        </w:rPr>
      </w:pPr>
      <w:r w:rsidRPr="00AE39E0">
        <w:rPr>
          <w:rFonts w:eastAsia="Palatino Linotype"/>
        </w:rPr>
        <w:t xml:space="preserve">En tanto, en el presente caso, toda vez que, </w:t>
      </w:r>
      <w:r w:rsidRPr="00AE39E0">
        <w:rPr>
          <w:rFonts w:eastAsia="Palatino Linotype"/>
          <w:b/>
        </w:rPr>
        <w:t>EL SUJETO OBLIGADO</w:t>
      </w:r>
      <w:r w:rsidRPr="00AE39E0">
        <w:rPr>
          <w:rFonts w:eastAsia="Palatino Linotype"/>
        </w:rPr>
        <w:t xml:space="preserve"> mediante requerimiento de información adicionar precisó el n</w:t>
      </w:r>
      <w:r w:rsidR="00AC3A61" w:rsidRPr="00AE39E0">
        <w:rPr>
          <w:rFonts w:eastAsia="Palatino Linotype"/>
        </w:rPr>
        <w:t xml:space="preserve">úmero de fojas que conforman las documentales con las cuales dará atención al requerimiento realizado por </w:t>
      </w:r>
      <w:r w:rsidR="00AC3A61" w:rsidRPr="00AE39E0">
        <w:rPr>
          <w:rFonts w:eastAsia="Palatino Linotype"/>
          <w:b/>
        </w:rPr>
        <w:t>LA PARTE RECURRENTE</w:t>
      </w:r>
      <w:r w:rsidRPr="00AE39E0">
        <w:rPr>
          <w:rFonts w:eastAsia="Palatino Linotype"/>
        </w:rPr>
        <w:t xml:space="preserve">; </w:t>
      </w:r>
      <w:r w:rsidR="00AC3A61" w:rsidRPr="00AE39E0">
        <w:rPr>
          <w:rFonts w:eastAsia="Palatino Linotype"/>
        </w:rPr>
        <w:t xml:space="preserve">dejando </w:t>
      </w:r>
      <w:r w:rsidRPr="00AE39E0">
        <w:rPr>
          <w:rFonts w:eastAsia="Palatino Linotype"/>
        </w:rPr>
        <w:t xml:space="preserve">sin materia el presente recurso de revisión, actualizándose entonces la causal prevista en la fracción III del artículo 192 de la Ley de la Materia vigente en la Entidad. </w:t>
      </w:r>
    </w:p>
    <w:p w14:paraId="7669BF2D" w14:textId="77777777" w:rsidR="001D3275" w:rsidRPr="00AE39E0" w:rsidRDefault="001D3275" w:rsidP="00AE39E0">
      <w:pPr>
        <w:rPr>
          <w:rFonts w:eastAsia="Palatino Linotype"/>
        </w:rPr>
      </w:pPr>
    </w:p>
    <w:p w14:paraId="51D81DE1" w14:textId="77777777" w:rsidR="001D3275" w:rsidRPr="00AE39E0" w:rsidRDefault="001D3275" w:rsidP="00AE39E0">
      <w:pPr>
        <w:rPr>
          <w:lang w:val="es-ES_tradnl"/>
        </w:rPr>
      </w:pPr>
      <w:r w:rsidRPr="00AE39E0">
        <w:rPr>
          <w:rFonts w:cs="Arial"/>
          <w:bCs/>
        </w:rPr>
        <w:t xml:space="preserve">Finalmente, no se omite comentar que, respecto a los documentos proporcionados por </w:t>
      </w:r>
      <w:r w:rsidRPr="00AE39E0">
        <w:rPr>
          <w:rFonts w:cs="Arial"/>
          <w:b/>
          <w:bCs/>
        </w:rPr>
        <w:t xml:space="preserve">EL SUJETO OBLIGADO </w:t>
      </w:r>
      <w:r w:rsidRPr="00AE39E0">
        <w:rPr>
          <w:rFonts w:cs="Arial"/>
          <w:bCs/>
        </w:rPr>
        <w:t xml:space="preserve">a fin de dar respuesta a la solicitud planteada, este Órgano Garante no </w:t>
      </w:r>
      <w:r w:rsidRPr="00AE39E0">
        <w:rPr>
          <w:lang w:val="es-ES_tradnl"/>
        </w:rPr>
        <w:t xml:space="preserve">está facultado para manifestarse sobre la veracidad de la información proporcionada. </w:t>
      </w:r>
    </w:p>
    <w:p w14:paraId="6AFF1661" w14:textId="77777777" w:rsidR="001D3275" w:rsidRPr="00AE39E0" w:rsidRDefault="001D3275" w:rsidP="00AE39E0">
      <w:pPr>
        <w:rPr>
          <w:lang w:val="es-ES_tradnl"/>
        </w:rPr>
      </w:pPr>
    </w:p>
    <w:p w14:paraId="570A78AE" w14:textId="77777777" w:rsidR="001D3275" w:rsidRPr="00AE39E0" w:rsidRDefault="001D3275" w:rsidP="00AE39E0">
      <w:pPr>
        <w:rPr>
          <w:rFonts w:cs="Arial"/>
          <w:lang w:val="es-ES_tradnl"/>
        </w:rPr>
      </w:pPr>
      <w:r w:rsidRPr="00AE39E0">
        <w:rPr>
          <w:rFonts w:cs="Arial"/>
          <w:lang w:val="es-ES_tradnl"/>
        </w:rPr>
        <w:lastRenderedPageBreak/>
        <w:t xml:space="preserve">Sirve de sustento a lo anterior, el criterio 31/10 emitido por el entonces Instituto Federal de Acceso a la Información y Protección de Datos, el cual refiere: </w:t>
      </w:r>
    </w:p>
    <w:p w14:paraId="47C48559" w14:textId="77777777" w:rsidR="001D3275" w:rsidRPr="00AE39E0" w:rsidRDefault="001D3275" w:rsidP="00AE39E0">
      <w:pPr>
        <w:rPr>
          <w:rFonts w:cs="Arial"/>
          <w:sz w:val="20"/>
          <w:lang w:val="es-ES_tradnl"/>
        </w:rPr>
      </w:pPr>
    </w:p>
    <w:p w14:paraId="593C94E0" w14:textId="77777777" w:rsidR="001D3275" w:rsidRPr="00AE39E0" w:rsidRDefault="001D3275" w:rsidP="00AE39E0">
      <w:pPr>
        <w:spacing w:line="240" w:lineRule="auto"/>
        <w:ind w:left="567" w:right="567"/>
        <w:contextualSpacing/>
        <w:rPr>
          <w:i/>
          <w:kern w:val="28"/>
          <w:szCs w:val="56"/>
          <w:lang w:val="es-ES_tradnl"/>
        </w:rPr>
      </w:pPr>
      <w:r w:rsidRPr="00AE39E0">
        <w:rPr>
          <w:i/>
          <w:kern w:val="28"/>
          <w:szCs w:val="56"/>
          <w:lang w:val="es-ES_tradnl"/>
        </w:rPr>
        <w:t>“</w:t>
      </w:r>
      <w:r w:rsidRPr="00AE39E0">
        <w:rPr>
          <w:b/>
          <w:i/>
          <w:kern w:val="28"/>
          <w:szCs w:val="56"/>
          <w:lang w:val="es-ES_tradnl"/>
        </w:rPr>
        <w:t>El Instituto Federal de Acceso a la Información y Protección de Datos no cuenta con facultades para pronunciarse respecto de la veracidad de los documentos proporcionados por los sujetos obligados</w:t>
      </w:r>
      <w:r w:rsidRPr="00AE39E0">
        <w:rPr>
          <w:i/>
          <w:kern w:val="28"/>
          <w:szCs w:val="56"/>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042844A6" w14:textId="77777777" w:rsidR="001D3275" w:rsidRPr="00AE39E0" w:rsidRDefault="001D3275" w:rsidP="00AE39E0">
      <w:pPr>
        <w:rPr>
          <w:rFonts w:eastAsia="Palatino Linotype" w:cs="Palatino Linotype"/>
          <w:bCs/>
        </w:rPr>
      </w:pPr>
    </w:p>
    <w:p w14:paraId="5F38B2E4" w14:textId="1B8E5356" w:rsidR="002C3408" w:rsidRPr="00AE39E0" w:rsidRDefault="002C3408" w:rsidP="00AE39E0">
      <w:r w:rsidRPr="00AE39E0">
        <w:t xml:space="preserve">Finalmente, es menester precisar que </w:t>
      </w:r>
      <w:r w:rsidR="00562A32" w:rsidRPr="00AE39E0">
        <w:rPr>
          <w:b/>
        </w:rPr>
        <w:t>EL SUJETO OBLIGADO</w:t>
      </w:r>
      <w:r w:rsidR="00562A32" w:rsidRPr="00AE39E0">
        <w:t xml:space="preserve"> </w:t>
      </w:r>
      <w:r w:rsidRPr="00AE39E0">
        <w:t xml:space="preserve">deberá poner la información a disposición de </w:t>
      </w:r>
      <w:r w:rsidRPr="00AE39E0">
        <w:rPr>
          <w:b/>
        </w:rPr>
        <w:t>LA PARTE RECUURENTE</w:t>
      </w:r>
      <w:r w:rsidRPr="00AE39E0">
        <w:t xml:space="preserve"> por un plazo mínimo de sesenta días naturales a partir de la fecha de notificación de la presente resolución, en términos del segundo párrafo del artículo 166 de la Ley de Transparencia y Acceso a la Información Pública del Estado de México y Municipios. Destacando que, si dentro del transcurso del término señalado en el párrafo anterior, </w:t>
      </w:r>
      <w:r w:rsidR="00562A32" w:rsidRPr="00AE39E0">
        <w:rPr>
          <w:b/>
        </w:rPr>
        <w:t>LA PARTE RECURRENTE</w:t>
      </w:r>
      <w:r w:rsidRPr="00AE39E0">
        <w:t xml:space="preserve"> acude por la información, </w:t>
      </w:r>
      <w:r w:rsidR="00562A32" w:rsidRPr="00AE39E0">
        <w:rPr>
          <w:b/>
        </w:rPr>
        <w:t>EL SUJETO OBLIGADO</w:t>
      </w:r>
      <w:r w:rsidR="00562A32" w:rsidRPr="00AE39E0">
        <w:t xml:space="preserve"> </w:t>
      </w:r>
      <w:r w:rsidRPr="00AE39E0">
        <w:t xml:space="preserve">levantará un acta de hechos misma que debe ser remitida a este Instituto, por conducto de la Secretaría Técnica del Pleno, junto con el acuse de recibo de la información; sin embargo, si una vez fenecido el plazo, el solicitante no acudiera por los documentos ordenados, </w:t>
      </w:r>
      <w:r w:rsidR="001607BF" w:rsidRPr="00AE39E0">
        <w:rPr>
          <w:b/>
        </w:rPr>
        <w:t>EL SUJETO OBLIGADO</w:t>
      </w:r>
      <w:r w:rsidRPr="00AE39E0">
        <w:t>, mediante acuerdo dará por concluida la solicitud, situación que también deberá informar a este Instituto, por el mismo conducto.</w:t>
      </w:r>
    </w:p>
    <w:p w14:paraId="34DD5C96" w14:textId="77777777" w:rsidR="002C3408" w:rsidRPr="00AE39E0" w:rsidRDefault="002C3408" w:rsidP="00AE39E0">
      <w:pPr>
        <w:rPr>
          <w:rFonts w:eastAsia="Palatino Linotype" w:cs="Palatino Linotype"/>
          <w:bCs/>
        </w:rPr>
      </w:pPr>
    </w:p>
    <w:p w14:paraId="17DE3DAB" w14:textId="77777777" w:rsidR="001D3275" w:rsidRPr="00AE39E0" w:rsidRDefault="001D3275" w:rsidP="00AE39E0">
      <w:pPr>
        <w:pStyle w:val="Ttulo3"/>
      </w:pPr>
      <w:bookmarkStart w:id="41" w:name="_Toc199946353"/>
      <w:bookmarkStart w:id="42" w:name="_Toc201753643"/>
      <w:r w:rsidRPr="00AE39E0">
        <w:t>d) Conclusión</w:t>
      </w:r>
      <w:bookmarkEnd w:id="41"/>
      <w:bookmarkEnd w:id="42"/>
    </w:p>
    <w:p w14:paraId="43F086CA" w14:textId="77777777" w:rsidR="001D3275" w:rsidRPr="00AE39E0" w:rsidRDefault="001D3275" w:rsidP="00AE39E0">
      <w:pPr>
        <w:rPr>
          <w:rFonts w:cs="Arial"/>
          <w:szCs w:val="28"/>
          <w:lang w:val="es-ES"/>
        </w:rPr>
      </w:pPr>
      <w:r w:rsidRPr="00AE39E0">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AE39E0">
        <w:rPr>
          <w:rFonts w:cs="Arial"/>
          <w:b/>
          <w:szCs w:val="28"/>
          <w:lang w:val="es-ES"/>
        </w:rPr>
        <w:t xml:space="preserve">EL SUJETO OBLIGADO </w:t>
      </w:r>
      <w:r w:rsidRPr="00AE39E0">
        <w:rPr>
          <w:rFonts w:cs="Arial"/>
          <w:szCs w:val="28"/>
          <w:lang w:val="es-ES"/>
        </w:rPr>
        <w:t xml:space="preserve">la respuesta mediante Informe Justificado, el Recurso de Revisión quedó sin materia. </w:t>
      </w:r>
    </w:p>
    <w:p w14:paraId="7D6FB9AA" w14:textId="77777777" w:rsidR="001D3275" w:rsidRPr="00AE39E0" w:rsidRDefault="001D3275" w:rsidP="00AE39E0">
      <w:pPr>
        <w:rPr>
          <w:rFonts w:cs="Arial"/>
        </w:rPr>
      </w:pPr>
    </w:p>
    <w:p w14:paraId="42329722" w14:textId="77777777" w:rsidR="001D3275" w:rsidRPr="00AE39E0" w:rsidRDefault="001D3275" w:rsidP="00AE39E0">
      <w:pPr>
        <w:widowControl w:val="0"/>
        <w:autoSpaceDE w:val="0"/>
        <w:autoSpaceDN w:val="0"/>
        <w:adjustRightInd w:val="0"/>
        <w:rPr>
          <w:rFonts w:eastAsia="Calibri" w:cs="Arial"/>
        </w:rPr>
      </w:pPr>
      <w:r w:rsidRPr="00AE39E0">
        <w:t xml:space="preserve">En consecuencia, se </w:t>
      </w:r>
      <w:r w:rsidRPr="00AE39E0">
        <w:rPr>
          <w:rFonts w:cs="Arial"/>
          <w:lang w:val="es-ES_tradnl"/>
        </w:rPr>
        <w:t xml:space="preserve">determina </w:t>
      </w:r>
      <w:r w:rsidRPr="00AE39E0">
        <w:rPr>
          <w:rFonts w:cs="Arial"/>
          <w:b/>
          <w:lang w:val="es-ES_tradnl"/>
        </w:rPr>
        <w:t>SOBRESEER</w:t>
      </w:r>
      <w:r w:rsidRPr="00AE39E0">
        <w:rPr>
          <w:rFonts w:cs="Arial"/>
          <w:lang w:val="es-ES_tradnl"/>
        </w:rPr>
        <w:t xml:space="preserve"> el presente Recurso de Revisión, en </w:t>
      </w:r>
      <w:r w:rsidRPr="00AE39E0">
        <w:rPr>
          <w:bCs/>
        </w:rPr>
        <w:t>términos</w:t>
      </w:r>
      <w:r w:rsidRPr="00AE39E0">
        <w:rPr>
          <w:rFonts w:cs="Arial"/>
          <w:lang w:val="es-ES_tradnl"/>
        </w:rPr>
        <w:t xml:space="preserve"> del artículo 186, fracción I, de la </w:t>
      </w:r>
      <w:r w:rsidRPr="00AE39E0">
        <w:rPr>
          <w:rFonts w:eastAsia="Calibri" w:cs="Arial"/>
        </w:rPr>
        <w:t>Ley de Transparencia y Acceso a la Información Pública del Estado de México y Municipios:</w:t>
      </w:r>
    </w:p>
    <w:p w14:paraId="29DCCE3E" w14:textId="77777777" w:rsidR="001D3275" w:rsidRPr="00AE39E0" w:rsidRDefault="001D3275" w:rsidP="00AE39E0">
      <w:pPr>
        <w:widowControl w:val="0"/>
        <w:autoSpaceDE w:val="0"/>
        <w:autoSpaceDN w:val="0"/>
        <w:adjustRightInd w:val="0"/>
        <w:rPr>
          <w:rFonts w:eastAsia="Calibri" w:cs="Arial"/>
        </w:rPr>
      </w:pPr>
    </w:p>
    <w:p w14:paraId="16E0E0AA" w14:textId="77777777" w:rsidR="001D3275" w:rsidRPr="00AE39E0" w:rsidRDefault="001D3275" w:rsidP="00AE39E0">
      <w:pPr>
        <w:pStyle w:val="Ttulo"/>
        <w:rPr>
          <w:b/>
        </w:rPr>
      </w:pPr>
      <w:r w:rsidRPr="00AE39E0">
        <w:t>“</w:t>
      </w:r>
      <w:r w:rsidRPr="00AE39E0">
        <w:rPr>
          <w:b/>
        </w:rPr>
        <w:t xml:space="preserve">Artículo 186. Las resoluciones del Instituto podrán: </w:t>
      </w:r>
    </w:p>
    <w:p w14:paraId="4C179FD1" w14:textId="77777777" w:rsidR="001D3275" w:rsidRPr="00AE39E0" w:rsidRDefault="001D3275" w:rsidP="00AE39E0">
      <w:pPr>
        <w:pStyle w:val="Ttulo"/>
      </w:pPr>
      <w:r w:rsidRPr="00AE39E0">
        <w:t xml:space="preserve">I. Desechar o </w:t>
      </w:r>
      <w:r w:rsidRPr="00AE39E0">
        <w:rPr>
          <w:b/>
        </w:rPr>
        <w:t>sobreseer el recurso;”</w:t>
      </w:r>
      <w:r w:rsidRPr="00AE39E0">
        <w:t xml:space="preserve"> </w:t>
      </w:r>
    </w:p>
    <w:p w14:paraId="415AE865" w14:textId="77777777" w:rsidR="001D3275" w:rsidRPr="00AE39E0" w:rsidRDefault="001D3275" w:rsidP="00AE39E0">
      <w:pPr>
        <w:pStyle w:val="Ttulo"/>
      </w:pPr>
      <w:r w:rsidRPr="00AE39E0">
        <w:t>(Énfasis añadido)</w:t>
      </w:r>
    </w:p>
    <w:p w14:paraId="579251DE" w14:textId="77777777" w:rsidR="001D3275" w:rsidRPr="00AE39E0" w:rsidRDefault="001D3275" w:rsidP="00AE39E0">
      <w:pPr>
        <w:ind w:right="-93"/>
        <w:rPr>
          <w:rFonts w:cs="Tahoma"/>
          <w:bCs/>
          <w:szCs w:val="22"/>
        </w:rPr>
      </w:pPr>
    </w:p>
    <w:p w14:paraId="0AB26432" w14:textId="2025FB13" w:rsidR="001D3275" w:rsidRPr="00A767E4" w:rsidRDefault="001D3275" w:rsidP="00A767E4">
      <w:pPr>
        <w:ind w:right="-93"/>
        <w:rPr>
          <w:rFonts w:cs="Tahoma"/>
          <w:bCs/>
          <w:szCs w:val="22"/>
        </w:rPr>
      </w:pPr>
      <w:r w:rsidRPr="00AE39E0">
        <w:rPr>
          <w:rFonts w:cs="Tahoma"/>
          <w:bCs/>
          <w:szCs w:val="22"/>
        </w:rPr>
        <w:t xml:space="preserve">Así, con fundamento en lo establecido en los artículos 5, </w:t>
      </w:r>
      <w:proofErr w:type="gramStart"/>
      <w:r w:rsidRPr="00AE39E0">
        <w:rPr>
          <w:rFonts w:cs="Tahoma"/>
          <w:bCs/>
          <w:szCs w:val="22"/>
        </w:rPr>
        <w:t xml:space="preserve">párrafos </w:t>
      </w:r>
      <w:r w:rsidRPr="00AE39E0">
        <w:t>trigésimo séptimo</w:t>
      </w:r>
      <w:proofErr w:type="gramEnd"/>
      <w:r w:rsidRPr="00AE39E0">
        <w:t>, trigésimo octavo, trigésimo noveno, fracciones IV y V</w:t>
      </w:r>
      <w:r w:rsidRPr="00AE39E0">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8BA9658" w14:textId="77777777" w:rsidR="001D3275" w:rsidRPr="00AE39E0" w:rsidRDefault="001D3275" w:rsidP="00AE39E0">
      <w:pPr>
        <w:pStyle w:val="Ttulo1"/>
      </w:pPr>
      <w:bookmarkStart w:id="43" w:name="_Toc199946354"/>
      <w:bookmarkStart w:id="44" w:name="_Toc201753644"/>
      <w:r w:rsidRPr="00AE39E0">
        <w:t>RESUELVE</w:t>
      </w:r>
      <w:bookmarkEnd w:id="43"/>
      <w:bookmarkEnd w:id="44"/>
    </w:p>
    <w:p w14:paraId="2926B969" w14:textId="77777777" w:rsidR="001D3275" w:rsidRPr="00AE39E0" w:rsidRDefault="001D3275" w:rsidP="00AE39E0">
      <w:pPr>
        <w:ind w:right="113"/>
        <w:rPr>
          <w:rFonts w:cs="Arial"/>
          <w:b/>
          <w:szCs w:val="22"/>
        </w:rPr>
      </w:pPr>
    </w:p>
    <w:p w14:paraId="4DA3CC55" w14:textId="38FBCB08" w:rsidR="001D3275" w:rsidRPr="00AE39E0" w:rsidRDefault="001D3275" w:rsidP="00AE39E0">
      <w:pPr>
        <w:widowControl w:val="0"/>
        <w:rPr>
          <w:rFonts w:cs="Arial"/>
          <w:b/>
          <w:szCs w:val="22"/>
        </w:rPr>
      </w:pPr>
      <w:r w:rsidRPr="00AE39E0">
        <w:rPr>
          <w:b/>
          <w:bCs/>
          <w:szCs w:val="22"/>
        </w:rPr>
        <w:t>PRIMERO</w:t>
      </w:r>
      <w:r w:rsidRPr="00AE39E0">
        <w:rPr>
          <w:rFonts w:cs="Arial"/>
          <w:b/>
          <w:szCs w:val="22"/>
        </w:rPr>
        <w:t xml:space="preserve">. </w:t>
      </w:r>
      <w:r w:rsidRPr="00AE39E0">
        <w:rPr>
          <w:rFonts w:cs="Arial"/>
          <w:szCs w:val="22"/>
        </w:rPr>
        <w:t xml:space="preserve">Se </w:t>
      </w:r>
      <w:r w:rsidRPr="00AE39E0">
        <w:rPr>
          <w:rFonts w:cs="Arial"/>
          <w:b/>
          <w:szCs w:val="22"/>
        </w:rPr>
        <w:t>SOBRESEE</w:t>
      </w:r>
      <w:r w:rsidRPr="00AE39E0">
        <w:rPr>
          <w:rFonts w:cs="Arial"/>
          <w:szCs w:val="22"/>
        </w:rPr>
        <w:t xml:space="preserve"> el Recurso de Revisión número </w:t>
      </w:r>
      <w:r w:rsidRPr="00AE39E0">
        <w:rPr>
          <w:rFonts w:cs="Arial"/>
          <w:b/>
          <w:szCs w:val="22"/>
        </w:rPr>
        <w:t>0</w:t>
      </w:r>
      <w:r w:rsidR="00AC3A61" w:rsidRPr="00AE39E0">
        <w:rPr>
          <w:rFonts w:cs="Arial"/>
          <w:b/>
          <w:szCs w:val="22"/>
        </w:rPr>
        <w:t>2727</w:t>
      </w:r>
      <w:r w:rsidRPr="00AE39E0">
        <w:rPr>
          <w:rFonts w:cs="Arial"/>
          <w:b/>
          <w:szCs w:val="22"/>
        </w:rPr>
        <w:t>/INFOEM/IP/RR/2025</w:t>
      </w:r>
      <w:r w:rsidRPr="00AE39E0">
        <w:rPr>
          <w:b/>
          <w:szCs w:val="22"/>
        </w:rPr>
        <w:t xml:space="preserve"> </w:t>
      </w:r>
      <w:r w:rsidRPr="00AE39E0">
        <w:rPr>
          <w:rFonts w:cs="Arial"/>
          <w:szCs w:val="22"/>
          <w:lang w:val="es-ES"/>
        </w:rPr>
        <w:t xml:space="preserve">por actualizarse la causal establecida en el artículo 192 fracción III de la </w:t>
      </w:r>
      <w:r w:rsidRPr="00AE39E0">
        <w:rPr>
          <w:szCs w:val="22"/>
          <w:lang w:eastAsia="es-ES_tradnl"/>
        </w:rPr>
        <w:t xml:space="preserve">Ley de Transparencia y </w:t>
      </w:r>
      <w:r w:rsidRPr="00AE39E0">
        <w:rPr>
          <w:szCs w:val="22"/>
          <w:lang w:eastAsia="es-ES_tradnl"/>
        </w:rPr>
        <w:lastRenderedPageBreak/>
        <w:t>Acceso a la Información Pública del Estado de México y Municipios</w:t>
      </w:r>
      <w:r w:rsidRPr="00AE39E0">
        <w:rPr>
          <w:rFonts w:cs="Arial"/>
          <w:szCs w:val="22"/>
          <w:lang w:val="es-ES"/>
        </w:rPr>
        <w:t xml:space="preserve">, ya que al </w:t>
      </w:r>
      <w:r w:rsidRPr="00AE39E0">
        <w:rPr>
          <w:rFonts w:cs="Arial"/>
          <w:b/>
          <w:szCs w:val="22"/>
          <w:lang w:val="es-ES"/>
        </w:rPr>
        <w:t>modificar el Sujeto Obligado la respuesta, el Recurso de Revisión quedó sin materia</w:t>
      </w:r>
      <w:r w:rsidRPr="00AE39E0">
        <w:rPr>
          <w:rFonts w:cs="Arial"/>
          <w:szCs w:val="22"/>
          <w:lang w:val="es-ES"/>
        </w:rPr>
        <w:t xml:space="preserve">, en términos del Considerando </w:t>
      </w:r>
      <w:r w:rsidRPr="00AE39E0">
        <w:rPr>
          <w:rFonts w:cs="Arial"/>
          <w:b/>
          <w:szCs w:val="22"/>
          <w:lang w:val="es-ES"/>
        </w:rPr>
        <w:t>SEGUNDO</w:t>
      </w:r>
      <w:r w:rsidRPr="00AE39E0">
        <w:rPr>
          <w:rFonts w:cs="Arial"/>
          <w:szCs w:val="22"/>
          <w:lang w:val="es-ES"/>
        </w:rPr>
        <w:t xml:space="preserve"> de la presente resolución.</w:t>
      </w:r>
    </w:p>
    <w:p w14:paraId="1FE2B4E5" w14:textId="77777777" w:rsidR="001D3275" w:rsidRPr="00AE39E0" w:rsidRDefault="001D3275" w:rsidP="00AE39E0">
      <w:pPr>
        <w:pStyle w:val="Prrafodelista"/>
        <w:ind w:left="0"/>
        <w:rPr>
          <w:rFonts w:cs="Arial"/>
          <w:szCs w:val="22"/>
        </w:rPr>
      </w:pPr>
    </w:p>
    <w:p w14:paraId="57426AC4" w14:textId="77777777" w:rsidR="001D3275" w:rsidRPr="00AE39E0" w:rsidRDefault="001D3275" w:rsidP="00AE39E0">
      <w:pPr>
        <w:ind w:right="113"/>
        <w:rPr>
          <w:rFonts w:cs="Arial"/>
          <w:bCs/>
          <w:szCs w:val="22"/>
        </w:rPr>
      </w:pPr>
      <w:r w:rsidRPr="00AE39E0">
        <w:rPr>
          <w:rFonts w:cs="Arial"/>
          <w:b/>
          <w:bCs/>
          <w:szCs w:val="22"/>
        </w:rPr>
        <w:t>SEGUNDO. Notifíquese vía SAIMEX</w:t>
      </w:r>
      <w:r w:rsidRPr="00AE39E0">
        <w:rPr>
          <w:rFonts w:cs="Arial"/>
          <w:bCs/>
          <w:szCs w:val="22"/>
        </w:rPr>
        <w:t xml:space="preserve"> la presente resolución al Titular de la Unidad de Transparencia del </w:t>
      </w:r>
      <w:r w:rsidRPr="00AE39E0">
        <w:rPr>
          <w:rFonts w:cs="Arial"/>
          <w:b/>
          <w:bCs/>
          <w:szCs w:val="22"/>
        </w:rPr>
        <w:t>SUJETO OBLIGADO</w:t>
      </w:r>
      <w:r w:rsidRPr="00AE39E0">
        <w:rPr>
          <w:rFonts w:cs="Arial"/>
          <w:bCs/>
          <w:szCs w:val="22"/>
        </w:rPr>
        <w:t xml:space="preserve"> para su conocimiento.</w:t>
      </w:r>
    </w:p>
    <w:p w14:paraId="2A06B62C" w14:textId="77777777" w:rsidR="001D3275" w:rsidRPr="00AE39E0" w:rsidRDefault="001D3275" w:rsidP="00AE39E0">
      <w:pPr>
        <w:widowControl w:val="0"/>
        <w:autoSpaceDE w:val="0"/>
        <w:autoSpaceDN w:val="0"/>
        <w:adjustRightInd w:val="0"/>
        <w:rPr>
          <w:rFonts w:cs="Arial"/>
          <w:szCs w:val="22"/>
        </w:rPr>
      </w:pPr>
    </w:p>
    <w:p w14:paraId="5E878F13" w14:textId="77777777" w:rsidR="001D3275" w:rsidRPr="00AE39E0" w:rsidRDefault="001D3275" w:rsidP="00AE39E0">
      <w:pPr>
        <w:pStyle w:val="Prrafodelista"/>
        <w:ind w:left="0"/>
        <w:rPr>
          <w:rFonts w:cs="Arial"/>
          <w:szCs w:val="22"/>
        </w:rPr>
      </w:pPr>
      <w:r w:rsidRPr="00AE39E0">
        <w:rPr>
          <w:rFonts w:cs="Arial"/>
          <w:b/>
          <w:szCs w:val="22"/>
        </w:rPr>
        <w:t xml:space="preserve">TERCERO. </w:t>
      </w:r>
      <w:r w:rsidRPr="00AE39E0">
        <w:rPr>
          <w:b/>
          <w:szCs w:val="22"/>
          <w:lang w:eastAsia="es-ES_tradnl"/>
        </w:rPr>
        <w:t>Notifíquese</w:t>
      </w:r>
      <w:r w:rsidRPr="00AE39E0">
        <w:rPr>
          <w:szCs w:val="22"/>
          <w:lang w:eastAsia="es-ES_tradnl"/>
        </w:rPr>
        <w:t xml:space="preserve"> a </w:t>
      </w:r>
      <w:r w:rsidRPr="00AE39E0">
        <w:rPr>
          <w:rFonts w:eastAsiaTheme="minorHAnsi" w:cs="Tahoma"/>
          <w:b/>
          <w:iCs/>
          <w:szCs w:val="22"/>
          <w:lang w:eastAsia="en-US"/>
        </w:rPr>
        <w:t>LA PARTE RECURRENTE</w:t>
      </w:r>
      <w:r w:rsidRPr="00AE39E0">
        <w:rPr>
          <w:rFonts w:eastAsiaTheme="minorHAnsi" w:cs="Tahoma"/>
          <w:bCs/>
          <w:iCs/>
          <w:szCs w:val="22"/>
          <w:lang w:eastAsia="en-US"/>
        </w:rPr>
        <w:t xml:space="preserve"> </w:t>
      </w:r>
      <w:r w:rsidRPr="00AE39E0">
        <w:rPr>
          <w:szCs w:val="22"/>
          <w:lang w:eastAsia="es-ES_tradnl"/>
        </w:rPr>
        <w:t xml:space="preserve">la presente resolución vía </w:t>
      </w:r>
      <w:r w:rsidRPr="00AE39E0">
        <w:rPr>
          <w:rFonts w:cs="Arial"/>
          <w:szCs w:val="22"/>
        </w:rPr>
        <w:t xml:space="preserve">Sistema de Acceso a la Información Mexiquense </w:t>
      </w:r>
      <w:r w:rsidRPr="00AE39E0">
        <w:rPr>
          <w:rFonts w:cs="Arial"/>
          <w:b/>
          <w:bCs/>
          <w:szCs w:val="22"/>
        </w:rPr>
        <w:t>SAIMEX</w:t>
      </w:r>
      <w:r w:rsidRPr="00AE39E0">
        <w:rPr>
          <w:rFonts w:cs="Arial"/>
          <w:szCs w:val="22"/>
        </w:rPr>
        <w:t>.</w:t>
      </w:r>
    </w:p>
    <w:p w14:paraId="1188A49F" w14:textId="77777777" w:rsidR="001D3275" w:rsidRPr="00AE39E0" w:rsidRDefault="001D3275" w:rsidP="00AE39E0">
      <w:pPr>
        <w:pStyle w:val="Prrafodelista"/>
        <w:ind w:left="0"/>
        <w:rPr>
          <w:b/>
          <w:szCs w:val="22"/>
          <w:lang w:eastAsia="es-ES_tradnl"/>
        </w:rPr>
      </w:pPr>
    </w:p>
    <w:p w14:paraId="42201DA3" w14:textId="77777777" w:rsidR="001D3275" w:rsidRPr="00AE39E0" w:rsidRDefault="001D3275" w:rsidP="00AE39E0">
      <w:pPr>
        <w:pStyle w:val="Prrafodelista"/>
        <w:ind w:left="0"/>
        <w:rPr>
          <w:rFonts w:cs="Arial"/>
          <w:szCs w:val="22"/>
        </w:rPr>
      </w:pPr>
      <w:r w:rsidRPr="00AE39E0">
        <w:rPr>
          <w:rFonts w:cs="Arial"/>
          <w:b/>
          <w:szCs w:val="22"/>
        </w:rPr>
        <w:t xml:space="preserve">CUARTO. </w:t>
      </w:r>
      <w:r w:rsidRPr="00AE39E0">
        <w:rPr>
          <w:b/>
          <w:szCs w:val="22"/>
          <w:lang w:eastAsia="es-ES_tradnl"/>
        </w:rPr>
        <w:t>Hágase</w:t>
      </w:r>
      <w:r w:rsidRPr="00AE39E0">
        <w:rPr>
          <w:szCs w:val="22"/>
          <w:lang w:eastAsia="es-ES_tradnl"/>
        </w:rPr>
        <w:t xml:space="preserve"> </w:t>
      </w:r>
      <w:r w:rsidRPr="00AE39E0">
        <w:rPr>
          <w:b/>
          <w:szCs w:val="22"/>
          <w:lang w:eastAsia="es-ES_tradnl"/>
        </w:rPr>
        <w:t xml:space="preserve">del </w:t>
      </w:r>
      <w:r w:rsidRPr="00AE39E0">
        <w:rPr>
          <w:b/>
          <w:szCs w:val="22"/>
        </w:rPr>
        <w:t>conocimiento</w:t>
      </w:r>
      <w:r w:rsidRPr="00AE39E0">
        <w:rPr>
          <w:b/>
          <w:szCs w:val="22"/>
          <w:lang w:eastAsia="es-ES_tradnl"/>
        </w:rPr>
        <w:t xml:space="preserve"> </w:t>
      </w:r>
      <w:r w:rsidRPr="00AE39E0">
        <w:rPr>
          <w:szCs w:val="22"/>
          <w:lang w:eastAsia="es-ES_tradnl"/>
        </w:rPr>
        <w:t xml:space="preserve">de </w:t>
      </w:r>
      <w:r w:rsidRPr="00AE39E0">
        <w:rPr>
          <w:rFonts w:eastAsiaTheme="minorHAnsi" w:cs="Tahoma"/>
          <w:b/>
          <w:iCs/>
          <w:szCs w:val="22"/>
          <w:lang w:eastAsia="en-US"/>
        </w:rPr>
        <w:t>LA PARTE RECURRENTE</w:t>
      </w:r>
      <w:r w:rsidRPr="00AE39E0">
        <w:rPr>
          <w:szCs w:val="22"/>
          <w:lang w:eastAsia="es-ES_tradnl"/>
        </w:rPr>
        <w:t xml:space="preserve">, que de </w:t>
      </w:r>
      <w:r w:rsidRPr="00AE39E0">
        <w:rPr>
          <w:szCs w:val="22"/>
        </w:rPr>
        <w:t>conformidad</w:t>
      </w:r>
      <w:r w:rsidRPr="00AE39E0">
        <w:rPr>
          <w:szCs w:val="22"/>
          <w:lang w:eastAsia="es-ES_tradnl"/>
        </w:rPr>
        <w:t xml:space="preserve"> </w:t>
      </w:r>
      <w:r w:rsidRPr="00AE39E0">
        <w:rPr>
          <w:rFonts w:cs="Arial"/>
          <w:szCs w:val="22"/>
        </w:rPr>
        <w:t>con</w:t>
      </w:r>
      <w:r w:rsidRPr="00AE39E0">
        <w:rPr>
          <w:szCs w:val="22"/>
          <w:lang w:eastAsia="es-ES_tradnl"/>
        </w:rPr>
        <w:t xml:space="preserve"> lo </w:t>
      </w:r>
      <w:r w:rsidRPr="00AE39E0">
        <w:rPr>
          <w:rFonts w:cs="Arial"/>
          <w:szCs w:val="22"/>
        </w:rPr>
        <w:t>establecido</w:t>
      </w:r>
      <w:r w:rsidRPr="00AE39E0">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651DC0B1" w14:textId="77777777" w:rsidR="001D3275" w:rsidRDefault="001D3275" w:rsidP="00A767E4">
      <w:pPr>
        <w:spacing w:line="240" w:lineRule="auto"/>
        <w:rPr>
          <w:rFonts w:cs="Arial"/>
        </w:rPr>
      </w:pPr>
    </w:p>
    <w:p w14:paraId="33F19080" w14:textId="5C31D992" w:rsidR="00182E7D" w:rsidRPr="00AE39E0" w:rsidRDefault="00AE39E0" w:rsidP="00A767E4">
      <w:pPr>
        <w:spacing w:line="276" w:lineRule="auto"/>
        <w:ind w:right="-93"/>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EN LA VIGÉSIMA TERCERA SESIÓN ORDINARIA, CELEBRADA EL VEINTICINCO DE JUNIO DE DOS MIL VEINTICINCO, ANTE EL SECRETARIO TÉCNICO DEL PLENO, ALEXIS TAPIA RAMÍREZ.</w:t>
      </w:r>
    </w:p>
    <w:p w14:paraId="77886163" w14:textId="77777777" w:rsidR="00C876F7" w:rsidRPr="00AE39E0" w:rsidRDefault="00C876F7" w:rsidP="00A767E4">
      <w:pPr>
        <w:spacing w:line="276" w:lineRule="auto"/>
        <w:ind w:right="-93"/>
        <w:rPr>
          <w:rFonts w:eastAsia="Palatino Linotype" w:cs="Palatino Linotype"/>
          <w:sz w:val="20"/>
        </w:rPr>
      </w:pPr>
      <w:r w:rsidRPr="00AE39E0">
        <w:rPr>
          <w:rFonts w:eastAsia="Palatino Linotype" w:cs="Palatino Linotype"/>
          <w:sz w:val="20"/>
        </w:rPr>
        <w:t>SCMM/AGZ/DEMF/RPG</w:t>
      </w:r>
    </w:p>
    <w:p w14:paraId="460D1B69" w14:textId="77777777" w:rsidR="00C876F7" w:rsidRPr="00AE39E0" w:rsidRDefault="00C876F7" w:rsidP="00AE39E0">
      <w:pPr>
        <w:ind w:right="-93"/>
        <w:rPr>
          <w:szCs w:val="22"/>
        </w:rPr>
      </w:pPr>
    </w:p>
    <w:p w14:paraId="64E59AFC" w14:textId="265E91C9" w:rsidR="00D85CEA" w:rsidRPr="00AE39E0" w:rsidRDefault="00D85CEA" w:rsidP="00AE39E0">
      <w:pPr>
        <w:ind w:right="-93"/>
        <w:rPr>
          <w:rFonts w:eastAsia="Palatino Linotype" w:cs="Palatino Linotype"/>
          <w:sz w:val="20"/>
        </w:rPr>
      </w:pPr>
    </w:p>
    <w:p w14:paraId="671CB0C5" w14:textId="0299C99D" w:rsidR="00664420" w:rsidRPr="00A767E4" w:rsidRDefault="00D85CEA" w:rsidP="00A767E4">
      <w:pPr>
        <w:spacing w:after="160" w:line="259" w:lineRule="auto"/>
        <w:jc w:val="left"/>
        <w:rPr>
          <w:rFonts w:eastAsia="Palatino Linotype" w:cs="Palatino Linotype"/>
          <w:sz w:val="20"/>
        </w:rPr>
      </w:pPr>
      <w:r w:rsidRPr="00AE39E0">
        <w:rPr>
          <w:rFonts w:eastAsia="Palatino Linotype" w:cs="Palatino Linotype"/>
          <w:sz w:val="20"/>
        </w:rPr>
        <w:lastRenderedPageBreak/>
        <w:br w:type="page"/>
      </w:r>
    </w:p>
    <w:p w14:paraId="6FDF3D7E" w14:textId="77777777" w:rsidR="00664420" w:rsidRPr="00AE39E0" w:rsidRDefault="00664420" w:rsidP="00AE39E0">
      <w:pPr>
        <w:tabs>
          <w:tab w:val="center" w:pos="4568"/>
        </w:tabs>
        <w:ind w:right="-93"/>
        <w:rPr>
          <w:rFonts w:eastAsia="Calibri" w:cs="Tahoma"/>
          <w:bCs/>
          <w:szCs w:val="22"/>
          <w:lang w:eastAsia="en-US"/>
        </w:rPr>
      </w:pPr>
    </w:p>
    <w:p w14:paraId="6246F818" w14:textId="77777777" w:rsidR="00664420" w:rsidRPr="00AE39E0" w:rsidRDefault="00664420" w:rsidP="00AE39E0">
      <w:pPr>
        <w:tabs>
          <w:tab w:val="center" w:pos="4568"/>
        </w:tabs>
        <w:ind w:right="-93"/>
        <w:rPr>
          <w:rFonts w:eastAsia="Calibri" w:cs="Tahoma"/>
          <w:bCs/>
          <w:szCs w:val="22"/>
          <w:lang w:eastAsia="en-US"/>
        </w:rPr>
      </w:pPr>
    </w:p>
    <w:p w14:paraId="57A88B28" w14:textId="77777777" w:rsidR="00664420" w:rsidRPr="00AE39E0" w:rsidRDefault="00664420" w:rsidP="00AE39E0">
      <w:pPr>
        <w:tabs>
          <w:tab w:val="center" w:pos="4568"/>
        </w:tabs>
        <w:ind w:right="-93"/>
        <w:rPr>
          <w:rFonts w:eastAsia="Calibri" w:cs="Tahoma"/>
          <w:bCs/>
          <w:szCs w:val="22"/>
          <w:lang w:eastAsia="en-US"/>
        </w:rPr>
      </w:pPr>
    </w:p>
    <w:p w14:paraId="77EF6095" w14:textId="77777777" w:rsidR="00664420" w:rsidRPr="00AE39E0" w:rsidRDefault="00664420" w:rsidP="00AE39E0">
      <w:pPr>
        <w:tabs>
          <w:tab w:val="center" w:pos="4568"/>
        </w:tabs>
        <w:ind w:right="-93"/>
        <w:rPr>
          <w:rFonts w:eastAsia="Calibri" w:cs="Tahoma"/>
          <w:bCs/>
          <w:szCs w:val="22"/>
          <w:lang w:eastAsia="en-US"/>
        </w:rPr>
      </w:pPr>
    </w:p>
    <w:p w14:paraId="35593947" w14:textId="77777777" w:rsidR="00664420" w:rsidRPr="00AE39E0" w:rsidRDefault="00664420" w:rsidP="00AE39E0">
      <w:pPr>
        <w:tabs>
          <w:tab w:val="center" w:pos="4568"/>
        </w:tabs>
        <w:ind w:right="-93"/>
        <w:rPr>
          <w:rFonts w:eastAsia="Calibri" w:cs="Tahoma"/>
          <w:bCs/>
          <w:szCs w:val="22"/>
          <w:lang w:eastAsia="en-US"/>
        </w:rPr>
      </w:pPr>
    </w:p>
    <w:p w14:paraId="3AF72A17" w14:textId="77777777" w:rsidR="00664420" w:rsidRPr="00AE39E0" w:rsidRDefault="00664420" w:rsidP="00AE39E0">
      <w:pPr>
        <w:tabs>
          <w:tab w:val="center" w:pos="4568"/>
        </w:tabs>
        <w:ind w:right="-93"/>
        <w:rPr>
          <w:rFonts w:eastAsia="Calibri" w:cs="Tahoma"/>
          <w:bCs/>
          <w:szCs w:val="22"/>
          <w:lang w:eastAsia="en-US"/>
        </w:rPr>
      </w:pPr>
    </w:p>
    <w:p w14:paraId="37169144" w14:textId="77777777" w:rsidR="00664420" w:rsidRPr="00AE39E0" w:rsidRDefault="00664420" w:rsidP="00AE39E0">
      <w:pPr>
        <w:tabs>
          <w:tab w:val="center" w:pos="4568"/>
        </w:tabs>
        <w:ind w:right="-93"/>
        <w:rPr>
          <w:rFonts w:eastAsia="Calibri" w:cs="Tahoma"/>
          <w:bCs/>
          <w:szCs w:val="22"/>
          <w:lang w:eastAsia="en-US"/>
        </w:rPr>
      </w:pPr>
    </w:p>
    <w:p w14:paraId="77CFC088" w14:textId="77777777" w:rsidR="00664420" w:rsidRPr="00AE39E0" w:rsidRDefault="00664420" w:rsidP="00AE39E0">
      <w:pPr>
        <w:tabs>
          <w:tab w:val="center" w:pos="4568"/>
        </w:tabs>
        <w:ind w:right="-93"/>
        <w:rPr>
          <w:rFonts w:eastAsia="Calibri" w:cs="Tahoma"/>
          <w:bCs/>
          <w:szCs w:val="22"/>
          <w:lang w:eastAsia="en-US"/>
        </w:rPr>
      </w:pPr>
    </w:p>
    <w:p w14:paraId="781A11A5" w14:textId="77777777" w:rsidR="00664420" w:rsidRPr="00AE39E0" w:rsidRDefault="00664420" w:rsidP="00AE39E0">
      <w:pPr>
        <w:tabs>
          <w:tab w:val="center" w:pos="4568"/>
        </w:tabs>
        <w:ind w:right="-93"/>
        <w:rPr>
          <w:rFonts w:eastAsia="Calibri" w:cs="Tahoma"/>
          <w:bCs/>
          <w:szCs w:val="22"/>
          <w:lang w:eastAsia="en-US"/>
        </w:rPr>
      </w:pPr>
    </w:p>
    <w:bookmarkEnd w:id="0"/>
    <w:p w14:paraId="5B4ADFF3" w14:textId="77777777" w:rsidR="00A131AC" w:rsidRPr="00AE39E0" w:rsidRDefault="00A131AC" w:rsidP="00AE39E0"/>
    <w:sectPr w:rsidR="00A131AC" w:rsidRPr="00AE39E0"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D7FC" w14:textId="77777777" w:rsidR="0018261E" w:rsidRDefault="0018261E" w:rsidP="00664420">
      <w:pPr>
        <w:spacing w:line="240" w:lineRule="auto"/>
      </w:pPr>
      <w:r>
        <w:separator/>
      </w:r>
    </w:p>
  </w:endnote>
  <w:endnote w:type="continuationSeparator" w:id="0">
    <w:p w14:paraId="566183F6" w14:textId="77777777" w:rsidR="0018261E" w:rsidRDefault="0018261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A50077" w:rsidRDefault="00A50077">
    <w:pPr>
      <w:tabs>
        <w:tab w:val="center" w:pos="4550"/>
        <w:tab w:val="left" w:pos="5818"/>
      </w:tabs>
      <w:ind w:right="260"/>
      <w:jc w:val="right"/>
      <w:rPr>
        <w:color w:val="071320" w:themeColor="text2" w:themeShade="80"/>
        <w:sz w:val="24"/>
        <w:szCs w:val="24"/>
      </w:rPr>
    </w:pPr>
  </w:p>
  <w:p w14:paraId="1BCA7F23" w14:textId="77777777" w:rsidR="00A50077" w:rsidRDefault="00A500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7777777" w:rsidR="00A50077" w:rsidRDefault="00A5007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E39E0" w:rsidRPr="00AE39E0">
      <w:rPr>
        <w:noProof/>
        <w:color w:val="0A1D30" w:themeColor="text2" w:themeShade="BF"/>
        <w:sz w:val="24"/>
        <w:szCs w:val="24"/>
        <w:lang w:val="es-ES"/>
      </w:rPr>
      <w:t>34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E39E0" w:rsidRPr="00AE39E0">
      <w:rPr>
        <w:noProof/>
        <w:color w:val="0A1D30" w:themeColor="text2" w:themeShade="BF"/>
        <w:sz w:val="24"/>
        <w:szCs w:val="24"/>
        <w:lang w:val="es-ES"/>
      </w:rPr>
      <w:t>36</w:t>
    </w:r>
    <w:r>
      <w:rPr>
        <w:color w:val="0A1D30" w:themeColor="text2" w:themeShade="BF"/>
        <w:sz w:val="24"/>
        <w:szCs w:val="24"/>
      </w:rPr>
      <w:fldChar w:fldCharType="end"/>
    </w:r>
  </w:p>
  <w:p w14:paraId="310E15C0" w14:textId="77777777" w:rsidR="00A50077" w:rsidRDefault="00A500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6C49" w14:textId="77777777" w:rsidR="0018261E" w:rsidRDefault="0018261E" w:rsidP="00664420">
      <w:pPr>
        <w:spacing w:line="240" w:lineRule="auto"/>
      </w:pPr>
      <w:r>
        <w:separator/>
      </w:r>
    </w:p>
  </w:footnote>
  <w:footnote w:type="continuationSeparator" w:id="0">
    <w:p w14:paraId="3B264234" w14:textId="77777777" w:rsidR="0018261E" w:rsidRDefault="0018261E" w:rsidP="00664420">
      <w:pPr>
        <w:spacing w:line="240" w:lineRule="auto"/>
      </w:pPr>
      <w:r>
        <w:continuationSeparator/>
      </w:r>
    </w:p>
  </w:footnote>
  <w:footnote w:id="1">
    <w:p w14:paraId="3F83B12C" w14:textId="6790BF46" w:rsidR="00A50077" w:rsidRPr="003A095F" w:rsidRDefault="00A50077">
      <w:pPr>
        <w:pStyle w:val="Textonotapie"/>
        <w:rPr>
          <w:i/>
          <w:iCs/>
          <w:sz w:val="18"/>
          <w:szCs w:val="18"/>
        </w:rPr>
      </w:pPr>
      <w:r>
        <w:rPr>
          <w:rStyle w:val="Refdenotaalpie"/>
        </w:rPr>
        <w:footnoteRef/>
      </w:r>
      <w:r>
        <w:t xml:space="preserve"> </w:t>
      </w:r>
      <w:r w:rsidRPr="003A095F">
        <w:rPr>
          <w:i/>
          <w:iCs/>
          <w:sz w:val="18"/>
          <w:szCs w:val="18"/>
        </w:rPr>
        <w:t>https://operaguaci.gob.mx/wp-content/uploads/OperaguaPrincipal/Repos/A92/F20A/mar061d.pdf</w:t>
      </w:r>
    </w:p>
  </w:footnote>
  <w:footnote w:id="2">
    <w:p w14:paraId="6BF3A403" w14:textId="77777777" w:rsidR="005E170C" w:rsidRPr="005E170C" w:rsidRDefault="005E170C" w:rsidP="005E170C">
      <w:pPr>
        <w:spacing w:line="240" w:lineRule="auto"/>
        <w:rPr>
          <w:rFonts w:eastAsia="Palatino Linotype" w:cs="Palatino Linotype"/>
          <w:i/>
          <w:color w:val="000000"/>
          <w:sz w:val="18"/>
          <w:szCs w:val="16"/>
        </w:rPr>
      </w:pPr>
      <w:r>
        <w:rPr>
          <w:vertAlign w:val="superscript"/>
        </w:rPr>
        <w:footnoteRef/>
      </w:r>
      <w:r>
        <w:rPr>
          <w:rFonts w:eastAsia="Palatino Linotype" w:cs="Palatino Linotype"/>
          <w:color w:val="000000"/>
          <w:sz w:val="16"/>
          <w:szCs w:val="16"/>
        </w:rPr>
        <w:t xml:space="preserve"> </w:t>
      </w:r>
      <w:r w:rsidRPr="005E170C">
        <w:rPr>
          <w:rFonts w:eastAsia="Palatino Linotype" w:cs="Palatino Linotype"/>
          <w:i/>
          <w:color w:val="000000"/>
          <w:sz w:val="18"/>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577"/>
    </w:tblGrid>
    <w:tr w:rsidR="00A50077" w:rsidRPr="00330DA7" w14:paraId="070A4B18" w14:textId="77777777" w:rsidTr="002F7126">
      <w:trPr>
        <w:trHeight w:val="144"/>
        <w:jc w:val="right"/>
      </w:trPr>
      <w:tc>
        <w:tcPr>
          <w:tcW w:w="2552" w:type="dxa"/>
        </w:tcPr>
        <w:p w14:paraId="62B7493A" w14:textId="77777777" w:rsidR="00A50077" w:rsidRPr="00330DA7" w:rsidRDefault="00A5007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577" w:type="dxa"/>
        </w:tcPr>
        <w:p w14:paraId="2C8124F7" w14:textId="4830E3E6" w:rsidR="00A50077" w:rsidRPr="00A90C72" w:rsidRDefault="00A50077"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2727</w:t>
          </w:r>
          <w:r w:rsidRPr="006E7E69">
            <w:rPr>
              <w:rFonts w:eastAsia="Calibri" w:cs="Tahoma"/>
              <w:szCs w:val="22"/>
              <w:lang w:eastAsia="en-US"/>
            </w:rPr>
            <w:t>/INFOEM/IP/RR/2025</w:t>
          </w:r>
        </w:p>
      </w:tc>
    </w:tr>
    <w:tr w:rsidR="00A50077" w:rsidRPr="00330DA7" w14:paraId="4521E058" w14:textId="77777777" w:rsidTr="002F7126">
      <w:trPr>
        <w:trHeight w:val="283"/>
        <w:jc w:val="right"/>
      </w:trPr>
      <w:tc>
        <w:tcPr>
          <w:tcW w:w="2552" w:type="dxa"/>
        </w:tcPr>
        <w:p w14:paraId="0B68C086" w14:textId="77777777" w:rsidR="00A50077" w:rsidRPr="00330DA7" w:rsidRDefault="00A5007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77" w:type="dxa"/>
        </w:tcPr>
        <w:p w14:paraId="4CAE8ADA" w14:textId="463428E3" w:rsidR="00A50077" w:rsidRPr="009233A1" w:rsidRDefault="00A50077" w:rsidP="006E7E69">
          <w:pPr>
            <w:tabs>
              <w:tab w:val="right" w:pos="8838"/>
            </w:tabs>
            <w:spacing w:line="240" w:lineRule="auto"/>
            <w:ind w:left="-74" w:right="-105"/>
            <w:rPr>
              <w:rFonts w:eastAsia="Calibri" w:cs="Tahoma"/>
              <w:szCs w:val="22"/>
              <w:lang w:val="es-MX" w:eastAsia="en-US"/>
            </w:rPr>
          </w:pPr>
          <w:r w:rsidRPr="002F7126">
            <w:rPr>
              <w:rFonts w:eastAsia="Calibri" w:cs="Tahoma"/>
              <w:szCs w:val="22"/>
              <w:lang w:eastAsia="en-US"/>
            </w:rPr>
            <w:t>Organismo Público Descentralizado Municipal para la Prestación de Los Servicios de Agua Potable Alcantarillado y Saneamiento de Cuautitlán Izcalli denominado OPERAGUA, O.P.D.M.</w:t>
          </w:r>
        </w:p>
      </w:tc>
    </w:tr>
    <w:tr w:rsidR="00A50077" w:rsidRPr="00330DA7" w14:paraId="6331D9B6" w14:textId="77777777" w:rsidTr="002F7126">
      <w:trPr>
        <w:trHeight w:val="283"/>
        <w:jc w:val="right"/>
      </w:trPr>
      <w:tc>
        <w:tcPr>
          <w:tcW w:w="2552" w:type="dxa"/>
        </w:tcPr>
        <w:p w14:paraId="3FA86BAE" w14:textId="6568823B" w:rsidR="00A50077" w:rsidRPr="00330DA7" w:rsidRDefault="00A5007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77" w:type="dxa"/>
        </w:tcPr>
        <w:p w14:paraId="3B37D8A3" w14:textId="77777777" w:rsidR="00A50077" w:rsidRPr="00EA66FC" w:rsidRDefault="00A5007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50077" w:rsidRPr="00443C6B" w:rsidRDefault="00A5007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A50077" w:rsidRPr="00330DA7" w14:paraId="29CFF901" w14:textId="77777777" w:rsidTr="004D0573">
      <w:trPr>
        <w:trHeight w:val="1435"/>
      </w:trPr>
      <w:tc>
        <w:tcPr>
          <w:tcW w:w="283" w:type="dxa"/>
          <w:shd w:val="clear" w:color="auto" w:fill="auto"/>
        </w:tcPr>
        <w:p w14:paraId="046B9F8F" w14:textId="77777777" w:rsidR="00A50077" w:rsidRPr="00330DA7" w:rsidRDefault="00A50077"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1"/>
            <w:gridCol w:w="3678"/>
            <w:gridCol w:w="3402"/>
          </w:tblGrid>
          <w:tr w:rsidR="00A50077" w:rsidRPr="00330DA7" w14:paraId="04F272D2" w14:textId="77777777" w:rsidTr="002F7126">
            <w:trPr>
              <w:trHeight w:val="144"/>
            </w:trPr>
            <w:tc>
              <w:tcPr>
                <w:tcW w:w="2451" w:type="dxa"/>
              </w:tcPr>
              <w:p w14:paraId="2FD4DBF6" w14:textId="77777777" w:rsidR="00A50077" w:rsidRPr="00330DA7" w:rsidRDefault="00A50077"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78" w:type="dxa"/>
              </w:tcPr>
              <w:p w14:paraId="140729E3" w14:textId="68A90768" w:rsidR="00A50077" w:rsidRPr="004D0573" w:rsidRDefault="00A50077"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2727</w:t>
                </w:r>
                <w:r w:rsidRPr="006E7E69">
                  <w:rPr>
                    <w:rFonts w:eastAsia="Calibri" w:cs="Tahoma"/>
                    <w:szCs w:val="22"/>
                    <w:lang w:eastAsia="en-US"/>
                  </w:rPr>
                  <w:t>/INFOEM/IP/RR/2025</w:t>
                </w:r>
              </w:p>
            </w:tc>
            <w:tc>
              <w:tcPr>
                <w:tcW w:w="3402" w:type="dxa"/>
              </w:tcPr>
              <w:p w14:paraId="71DEA1CF" w14:textId="77777777" w:rsidR="00A50077" w:rsidRDefault="00A50077" w:rsidP="004D0573">
                <w:pPr>
                  <w:tabs>
                    <w:tab w:val="right" w:pos="8838"/>
                  </w:tabs>
                  <w:spacing w:line="240" w:lineRule="auto"/>
                  <w:ind w:left="-74" w:right="-105"/>
                  <w:rPr>
                    <w:rFonts w:eastAsia="Calibri" w:cs="Tahoma"/>
                    <w:szCs w:val="22"/>
                    <w:lang w:eastAsia="en-US"/>
                  </w:rPr>
                </w:pPr>
              </w:p>
            </w:tc>
          </w:tr>
          <w:tr w:rsidR="00A50077" w:rsidRPr="00330DA7" w14:paraId="05C58951" w14:textId="77777777" w:rsidTr="002F7126">
            <w:trPr>
              <w:trHeight w:val="144"/>
            </w:trPr>
            <w:tc>
              <w:tcPr>
                <w:tcW w:w="2451" w:type="dxa"/>
              </w:tcPr>
              <w:p w14:paraId="642B9610" w14:textId="77777777" w:rsidR="00A50077" w:rsidRPr="00330DA7" w:rsidRDefault="00A50077"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78" w:type="dxa"/>
              </w:tcPr>
              <w:p w14:paraId="7728D15B" w14:textId="28458A96" w:rsidR="00A50077" w:rsidRPr="0086345C" w:rsidRDefault="00A50077"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A50077" w:rsidRPr="005F19B1" w:rsidRDefault="00A50077" w:rsidP="004D0573">
                <w:pPr>
                  <w:tabs>
                    <w:tab w:val="left" w:pos="3122"/>
                    <w:tab w:val="right" w:pos="8838"/>
                  </w:tabs>
                  <w:spacing w:line="240" w:lineRule="auto"/>
                  <w:ind w:left="-105" w:right="-105"/>
                  <w:rPr>
                    <w:rFonts w:eastAsia="Calibri" w:cs="Tahoma"/>
                    <w:szCs w:val="22"/>
                    <w:lang w:eastAsia="en-US"/>
                  </w:rPr>
                </w:pPr>
              </w:p>
            </w:tc>
          </w:tr>
          <w:bookmarkEnd w:id="2"/>
          <w:tr w:rsidR="00A50077" w:rsidRPr="00330DA7" w14:paraId="00E6CDC1" w14:textId="77777777" w:rsidTr="002F7126">
            <w:trPr>
              <w:trHeight w:val="283"/>
            </w:trPr>
            <w:tc>
              <w:tcPr>
                <w:tcW w:w="2451" w:type="dxa"/>
              </w:tcPr>
              <w:p w14:paraId="0631AD24" w14:textId="77777777" w:rsidR="00A50077" w:rsidRPr="00330DA7" w:rsidRDefault="00A5007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78" w:type="dxa"/>
              </w:tcPr>
              <w:p w14:paraId="3ACBE0D8" w14:textId="319013CF" w:rsidR="00A50077" w:rsidRPr="004D0573" w:rsidRDefault="00A50077" w:rsidP="006E7E69">
                <w:pPr>
                  <w:tabs>
                    <w:tab w:val="right" w:pos="8838"/>
                  </w:tabs>
                  <w:spacing w:line="240" w:lineRule="auto"/>
                  <w:ind w:left="-74" w:right="-105"/>
                  <w:rPr>
                    <w:rFonts w:eastAsia="Calibri" w:cs="Tahoma"/>
                    <w:szCs w:val="22"/>
                    <w:lang w:eastAsia="en-US"/>
                  </w:rPr>
                </w:pPr>
                <w:r w:rsidRPr="002F7126">
                  <w:rPr>
                    <w:rFonts w:eastAsia="Calibri" w:cs="Tahoma"/>
                    <w:szCs w:val="22"/>
                    <w:lang w:eastAsia="en-US"/>
                  </w:rPr>
                  <w:t>Organismo Público Descentralizado Municipal para la Prestación de Los Servicios de Agua Potable Alcantarillado y Saneamiento de Cuautitlán Izcalli denominado OPERAGUA, O.P.D.M.</w:t>
                </w:r>
              </w:p>
            </w:tc>
            <w:tc>
              <w:tcPr>
                <w:tcW w:w="3402" w:type="dxa"/>
              </w:tcPr>
              <w:p w14:paraId="3A7DA319" w14:textId="77777777" w:rsidR="00A50077" w:rsidRPr="00A90C72" w:rsidRDefault="00A50077" w:rsidP="004D0573">
                <w:pPr>
                  <w:tabs>
                    <w:tab w:val="left" w:pos="2834"/>
                    <w:tab w:val="right" w:pos="8838"/>
                  </w:tabs>
                  <w:spacing w:line="240" w:lineRule="auto"/>
                  <w:ind w:left="-108" w:right="-105"/>
                  <w:rPr>
                    <w:rFonts w:eastAsia="Calibri" w:cs="Tahoma"/>
                    <w:szCs w:val="22"/>
                    <w:lang w:eastAsia="en-US"/>
                  </w:rPr>
                </w:pPr>
              </w:p>
            </w:tc>
          </w:tr>
          <w:tr w:rsidR="00A50077" w:rsidRPr="00330DA7" w14:paraId="0F6CD8D2" w14:textId="77777777" w:rsidTr="002F7126">
            <w:trPr>
              <w:trHeight w:val="283"/>
            </w:trPr>
            <w:tc>
              <w:tcPr>
                <w:tcW w:w="2451" w:type="dxa"/>
              </w:tcPr>
              <w:p w14:paraId="31700628" w14:textId="0565A62A" w:rsidR="00A50077" w:rsidRPr="00330DA7" w:rsidRDefault="00A5007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78" w:type="dxa"/>
              </w:tcPr>
              <w:p w14:paraId="31A90A58" w14:textId="75878977" w:rsidR="00A50077" w:rsidRPr="00EA66FC" w:rsidRDefault="00A5007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50077" w:rsidRPr="00330DA7" w:rsidRDefault="00A50077" w:rsidP="004D0573">
                <w:pPr>
                  <w:tabs>
                    <w:tab w:val="right" w:pos="8838"/>
                  </w:tabs>
                  <w:spacing w:line="240" w:lineRule="auto"/>
                  <w:ind w:left="-108" w:right="-105"/>
                  <w:rPr>
                    <w:rFonts w:eastAsia="Calibri" w:cs="Tahoma"/>
                    <w:szCs w:val="22"/>
                    <w:lang w:eastAsia="en-US"/>
                  </w:rPr>
                </w:pPr>
              </w:p>
            </w:tc>
          </w:tr>
        </w:tbl>
        <w:p w14:paraId="5DC6AC61" w14:textId="77777777" w:rsidR="00A50077" w:rsidRPr="00330DA7" w:rsidRDefault="00A50077" w:rsidP="004D0573">
          <w:pPr>
            <w:tabs>
              <w:tab w:val="right" w:pos="8838"/>
            </w:tabs>
            <w:ind w:left="-28"/>
            <w:rPr>
              <w:rFonts w:ascii="Arial" w:eastAsia="Calibri" w:hAnsi="Arial" w:cs="Arial"/>
              <w:b/>
              <w:szCs w:val="22"/>
              <w:lang w:eastAsia="en-US"/>
            </w:rPr>
          </w:pPr>
        </w:p>
      </w:tc>
    </w:tr>
  </w:tbl>
  <w:p w14:paraId="2A906731" w14:textId="77777777" w:rsidR="00A50077" w:rsidRPr="00765661" w:rsidRDefault="00A767E4"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523580"/>
    <w:multiLevelType w:val="multilevel"/>
    <w:tmpl w:val="7F0EC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417F85"/>
    <w:multiLevelType w:val="hybridMultilevel"/>
    <w:tmpl w:val="BD004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71692262">
    <w:abstractNumId w:val="2"/>
  </w:num>
  <w:num w:numId="2" w16cid:durableId="1084034250">
    <w:abstractNumId w:val="1"/>
  </w:num>
  <w:num w:numId="3" w16cid:durableId="1183931412">
    <w:abstractNumId w:val="3"/>
  </w:num>
  <w:num w:numId="4" w16cid:durableId="82533874">
    <w:abstractNumId w:val="4"/>
  </w:num>
  <w:num w:numId="5" w16cid:durableId="19373270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471ED"/>
    <w:rsid w:val="00057B2D"/>
    <w:rsid w:val="000611E4"/>
    <w:rsid w:val="00065518"/>
    <w:rsid w:val="00072D1A"/>
    <w:rsid w:val="000777E2"/>
    <w:rsid w:val="00080071"/>
    <w:rsid w:val="000A03B3"/>
    <w:rsid w:val="000A0798"/>
    <w:rsid w:val="000C3BBA"/>
    <w:rsid w:val="000D0D67"/>
    <w:rsid w:val="000E09C4"/>
    <w:rsid w:val="000E23B9"/>
    <w:rsid w:val="000F32E8"/>
    <w:rsid w:val="000F46F7"/>
    <w:rsid w:val="00103C8A"/>
    <w:rsid w:val="00107F71"/>
    <w:rsid w:val="001117BD"/>
    <w:rsid w:val="0011350D"/>
    <w:rsid w:val="001144FB"/>
    <w:rsid w:val="00117DDB"/>
    <w:rsid w:val="00127130"/>
    <w:rsid w:val="00135056"/>
    <w:rsid w:val="0014040A"/>
    <w:rsid w:val="00141876"/>
    <w:rsid w:val="0014207B"/>
    <w:rsid w:val="00150C49"/>
    <w:rsid w:val="001607BF"/>
    <w:rsid w:val="001734D5"/>
    <w:rsid w:val="0018261E"/>
    <w:rsid w:val="00182E7D"/>
    <w:rsid w:val="00185C7C"/>
    <w:rsid w:val="001878E5"/>
    <w:rsid w:val="001A3532"/>
    <w:rsid w:val="001A58B3"/>
    <w:rsid w:val="001A6A2C"/>
    <w:rsid w:val="001C555C"/>
    <w:rsid w:val="001C6BE2"/>
    <w:rsid w:val="001C7688"/>
    <w:rsid w:val="001D0BF3"/>
    <w:rsid w:val="001D2464"/>
    <w:rsid w:val="001D3275"/>
    <w:rsid w:val="001D5BAD"/>
    <w:rsid w:val="001E007D"/>
    <w:rsid w:val="001E0CFD"/>
    <w:rsid w:val="001F329F"/>
    <w:rsid w:val="001F3515"/>
    <w:rsid w:val="002015AE"/>
    <w:rsid w:val="00211F42"/>
    <w:rsid w:val="00222145"/>
    <w:rsid w:val="00227087"/>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A6D78"/>
    <w:rsid w:val="002B0D19"/>
    <w:rsid w:val="002B1D44"/>
    <w:rsid w:val="002B4ED6"/>
    <w:rsid w:val="002B7C6F"/>
    <w:rsid w:val="002C3408"/>
    <w:rsid w:val="002D111C"/>
    <w:rsid w:val="002E18F0"/>
    <w:rsid w:val="002F6393"/>
    <w:rsid w:val="002F7126"/>
    <w:rsid w:val="00302476"/>
    <w:rsid w:val="00304C8C"/>
    <w:rsid w:val="00306C07"/>
    <w:rsid w:val="0031433B"/>
    <w:rsid w:val="00327203"/>
    <w:rsid w:val="00331F35"/>
    <w:rsid w:val="00335CDF"/>
    <w:rsid w:val="00341E94"/>
    <w:rsid w:val="00346BC2"/>
    <w:rsid w:val="00361984"/>
    <w:rsid w:val="00362A11"/>
    <w:rsid w:val="00365A82"/>
    <w:rsid w:val="00386CD1"/>
    <w:rsid w:val="003872A2"/>
    <w:rsid w:val="003A095F"/>
    <w:rsid w:val="003A0B8F"/>
    <w:rsid w:val="003A3A7E"/>
    <w:rsid w:val="003A40C1"/>
    <w:rsid w:val="003A67CC"/>
    <w:rsid w:val="003B0255"/>
    <w:rsid w:val="003B0AEC"/>
    <w:rsid w:val="003B2486"/>
    <w:rsid w:val="003B5D3E"/>
    <w:rsid w:val="003B60E4"/>
    <w:rsid w:val="003C5FDC"/>
    <w:rsid w:val="003F28CD"/>
    <w:rsid w:val="003F35FD"/>
    <w:rsid w:val="003F4455"/>
    <w:rsid w:val="0041385B"/>
    <w:rsid w:val="00416357"/>
    <w:rsid w:val="00430170"/>
    <w:rsid w:val="00432522"/>
    <w:rsid w:val="0043654A"/>
    <w:rsid w:val="00441BFA"/>
    <w:rsid w:val="00446958"/>
    <w:rsid w:val="004476AD"/>
    <w:rsid w:val="00454FBD"/>
    <w:rsid w:val="004565C2"/>
    <w:rsid w:val="00462338"/>
    <w:rsid w:val="0046490C"/>
    <w:rsid w:val="00475FF6"/>
    <w:rsid w:val="004A4241"/>
    <w:rsid w:val="004B001B"/>
    <w:rsid w:val="004C1963"/>
    <w:rsid w:val="004C2786"/>
    <w:rsid w:val="004C43D3"/>
    <w:rsid w:val="004D0573"/>
    <w:rsid w:val="004D7CD8"/>
    <w:rsid w:val="004E2939"/>
    <w:rsid w:val="004E5068"/>
    <w:rsid w:val="004F7A00"/>
    <w:rsid w:val="005122DD"/>
    <w:rsid w:val="00517CB9"/>
    <w:rsid w:val="00522385"/>
    <w:rsid w:val="00523E60"/>
    <w:rsid w:val="00523F48"/>
    <w:rsid w:val="005267CD"/>
    <w:rsid w:val="005365FA"/>
    <w:rsid w:val="00536C50"/>
    <w:rsid w:val="005432B1"/>
    <w:rsid w:val="00547C26"/>
    <w:rsid w:val="00550AB5"/>
    <w:rsid w:val="0055624C"/>
    <w:rsid w:val="005605A7"/>
    <w:rsid w:val="00562A32"/>
    <w:rsid w:val="005723CB"/>
    <w:rsid w:val="00575400"/>
    <w:rsid w:val="00576D31"/>
    <w:rsid w:val="00591A20"/>
    <w:rsid w:val="005A468E"/>
    <w:rsid w:val="005A5BF2"/>
    <w:rsid w:val="005B18AF"/>
    <w:rsid w:val="005B45A1"/>
    <w:rsid w:val="005B5464"/>
    <w:rsid w:val="005D01D8"/>
    <w:rsid w:val="005D57B7"/>
    <w:rsid w:val="005D5A50"/>
    <w:rsid w:val="005E170C"/>
    <w:rsid w:val="005F2A3D"/>
    <w:rsid w:val="005F5301"/>
    <w:rsid w:val="005F65B7"/>
    <w:rsid w:val="006067C7"/>
    <w:rsid w:val="00615195"/>
    <w:rsid w:val="006159AD"/>
    <w:rsid w:val="00635CB1"/>
    <w:rsid w:val="006415E5"/>
    <w:rsid w:val="006448CC"/>
    <w:rsid w:val="00646436"/>
    <w:rsid w:val="00657603"/>
    <w:rsid w:val="00664420"/>
    <w:rsid w:val="006A21FC"/>
    <w:rsid w:val="006A646A"/>
    <w:rsid w:val="006B10B0"/>
    <w:rsid w:val="006C7C6D"/>
    <w:rsid w:val="006D3237"/>
    <w:rsid w:val="006E13CF"/>
    <w:rsid w:val="006E25BC"/>
    <w:rsid w:val="006E6BBC"/>
    <w:rsid w:val="006E7E4C"/>
    <w:rsid w:val="006E7E69"/>
    <w:rsid w:val="006F7768"/>
    <w:rsid w:val="00717E59"/>
    <w:rsid w:val="00724F22"/>
    <w:rsid w:val="00725C8B"/>
    <w:rsid w:val="007517BD"/>
    <w:rsid w:val="00751837"/>
    <w:rsid w:val="0075751F"/>
    <w:rsid w:val="007612A5"/>
    <w:rsid w:val="0076337C"/>
    <w:rsid w:val="00767D5A"/>
    <w:rsid w:val="00773DD6"/>
    <w:rsid w:val="00773EAB"/>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7F7C35"/>
    <w:rsid w:val="00805A6E"/>
    <w:rsid w:val="00811211"/>
    <w:rsid w:val="00811F75"/>
    <w:rsid w:val="00813497"/>
    <w:rsid w:val="00823BA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E1316"/>
    <w:rsid w:val="008E1593"/>
    <w:rsid w:val="008E6224"/>
    <w:rsid w:val="008E6A11"/>
    <w:rsid w:val="008F09D9"/>
    <w:rsid w:val="008F28F9"/>
    <w:rsid w:val="00903DBE"/>
    <w:rsid w:val="00910FD2"/>
    <w:rsid w:val="00911079"/>
    <w:rsid w:val="00915F66"/>
    <w:rsid w:val="00916B9B"/>
    <w:rsid w:val="009176E8"/>
    <w:rsid w:val="009233A1"/>
    <w:rsid w:val="009246CF"/>
    <w:rsid w:val="00931437"/>
    <w:rsid w:val="00936B5A"/>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3CF2"/>
    <w:rsid w:val="009D41AC"/>
    <w:rsid w:val="009D78BC"/>
    <w:rsid w:val="009E0652"/>
    <w:rsid w:val="009E2DEE"/>
    <w:rsid w:val="009E45F2"/>
    <w:rsid w:val="009E4644"/>
    <w:rsid w:val="009F797C"/>
    <w:rsid w:val="00A048C7"/>
    <w:rsid w:val="00A12AFA"/>
    <w:rsid w:val="00A131AC"/>
    <w:rsid w:val="00A16D85"/>
    <w:rsid w:val="00A21A20"/>
    <w:rsid w:val="00A35DA7"/>
    <w:rsid w:val="00A36A99"/>
    <w:rsid w:val="00A41792"/>
    <w:rsid w:val="00A50077"/>
    <w:rsid w:val="00A53315"/>
    <w:rsid w:val="00A6091A"/>
    <w:rsid w:val="00A63966"/>
    <w:rsid w:val="00A6415E"/>
    <w:rsid w:val="00A70EF0"/>
    <w:rsid w:val="00A76102"/>
    <w:rsid w:val="00A767E4"/>
    <w:rsid w:val="00A815EA"/>
    <w:rsid w:val="00A9208D"/>
    <w:rsid w:val="00A964CC"/>
    <w:rsid w:val="00AA3AE9"/>
    <w:rsid w:val="00AA6EA9"/>
    <w:rsid w:val="00AC2DB8"/>
    <w:rsid w:val="00AC3A61"/>
    <w:rsid w:val="00AC3CA0"/>
    <w:rsid w:val="00AD4855"/>
    <w:rsid w:val="00AE39E0"/>
    <w:rsid w:val="00AE3DA7"/>
    <w:rsid w:val="00AE4B12"/>
    <w:rsid w:val="00AE5AEF"/>
    <w:rsid w:val="00AF03C4"/>
    <w:rsid w:val="00B137E8"/>
    <w:rsid w:val="00B169A2"/>
    <w:rsid w:val="00B22A80"/>
    <w:rsid w:val="00B36848"/>
    <w:rsid w:val="00B373AF"/>
    <w:rsid w:val="00B61BCE"/>
    <w:rsid w:val="00B65555"/>
    <w:rsid w:val="00B71D39"/>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26E92"/>
    <w:rsid w:val="00C30616"/>
    <w:rsid w:val="00C351EC"/>
    <w:rsid w:val="00C36795"/>
    <w:rsid w:val="00C42CA7"/>
    <w:rsid w:val="00C461EC"/>
    <w:rsid w:val="00C507D4"/>
    <w:rsid w:val="00C63D2B"/>
    <w:rsid w:val="00C71CEF"/>
    <w:rsid w:val="00C72DAA"/>
    <w:rsid w:val="00C73A98"/>
    <w:rsid w:val="00C7571D"/>
    <w:rsid w:val="00C80B14"/>
    <w:rsid w:val="00C819D2"/>
    <w:rsid w:val="00C876F7"/>
    <w:rsid w:val="00C93BC8"/>
    <w:rsid w:val="00CA50B3"/>
    <w:rsid w:val="00CA64AF"/>
    <w:rsid w:val="00CB4F52"/>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31DFB"/>
    <w:rsid w:val="00D44B43"/>
    <w:rsid w:val="00D51ECD"/>
    <w:rsid w:val="00D53CE6"/>
    <w:rsid w:val="00D5461D"/>
    <w:rsid w:val="00D55FDA"/>
    <w:rsid w:val="00D6170E"/>
    <w:rsid w:val="00D85CEA"/>
    <w:rsid w:val="00D91CB4"/>
    <w:rsid w:val="00DA54C1"/>
    <w:rsid w:val="00DB1C09"/>
    <w:rsid w:val="00DC008C"/>
    <w:rsid w:val="00DC30FA"/>
    <w:rsid w:val="00DE1133"/>
    <w:rsid w:val="00DE78A1"/>
    <w:rsid w:val="00DF4A41"/>
    <w:rsid w:val="00E0690A"/>
    <w:rsid w:val="00E11AA0"/>
    <w:rsid w:val="00E16BF5"/>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E2AF2"/>
    <w:rsid w:val="00EE7028"/>
    <w:rsid w:val="00EE77E9"/>
    <w:rsid w:val="00EF6D46"/>
    <w:rsid w:val="00F07EE6"/>
    <w:rsid w:val="00F25F41"/>
    <w:rsid w:val="00F32348"/>
    <w:rsid w:val="00F33CC8"/>
    <w:rsid w:val="00F4481C"/>
    <w:rsid w:val="00F45902"/>
    <w:rsid w:val="00F52005"/>
    <w:rsid w:val="00F52089"/>
    <w:rsid w:val="00F5677A"/>
    <w:rsid w:val="00F714BF"/>
    <w:rsid w:val="00F72289"/>
    <w:rsid w:val="00F73861"/>
    <w:rsid w:val="00F75D23"/>
    <w:rsid w:val="00F8365A"/>
    <w:rsid w:val="00F8547A"/>
    <w:rsid w:val="00F86DF5"/>
    <w:rsid w:val="00F93742"/>
    <w:rsid w:val="00FA5957"/>
    <w:rsid w:val="00FB0A56"/>
    <w:rsid w:val="00FB4124"/>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46683585">
      <w:bodyDiv w:val="1"/>
      <w:marLeft w:val="0"/>
      <w:marRight w:val="0"/>
      <w:marTop w:val="0"/>
      <w:marBottom w:val="0"/>
      <w:divBdr>
        <w:top w:val="none" w:sz="0" w:space="0" w:color="auto"/>
        <w:left w:val="none" w:sz="0" w:space="0" w:color="auto"/>
        <w:bottom w:val="none" w:sz="0" w:space="0" w:color="auto"/>
        <w:right w:val="none" w:sz="0" w:space="0" w:color="auto"/>
      </w:divBdr>
    </w:div>
    <w:div w:id="50160682">
      <w:bodyDiv w:val="1"/>
      <w:marLeft w:val="0"/>
      <w:marRight w:val="0"/>
      <w:marTop w:val="0"/>
      <w:marBottom w:val="0"/>
      <w:divBdr>
        <w:top w:val="none" w:sz="0" w:space="0" w:color="auto"/>
        <w:left w:val="none" w:sz="0" w:space="0" w:color="auto"/>
        <w:bottom w:val="none" w:sz="0" w:space="0" w:color="auto"/>
        <w:right w:val="none" w:sz="0" w:space="0" w:color="auto"/>
      </w:divBdr>
    </w:div>
    <w:div w:id="52966410">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132646854">
      <w:bodyDiv w:val="1"/>
      <w:marLeft w:val="0"/>
      <w:marRight w:val="0"/>
      <w:marTop w:val="0"/>
      <w:marBottom w:val="0"/>
      <w:divBdr>
        <w:top w:val="none" w:sz="0" w:space="0" w:color="auto"/>
        <w:left w:val="none" w:sz="0" w:space="0" w:color="auto"/>
        <w:bottom w:val="none" w:sz="0" w:space="0" w:color="auto"/>
        <w:right w:val="none" w:sz="0" w:space="0" w:color="auto"/>
      </w:divBdr>
    </w:div>
    <w:div w:id="136381167">
      <w:bodyDiv w:val="1"/>
      <w:marLeft w:val="0"/>
      <w:marRight w:val="0"/>
      <w:marTop w:val="0"/>
      <w:marBottom w:val="0"/>
      <w:divBdr>
        <w:top w:val="none" w:sz="0" w:space="0" w:color="auto"/>
        <w:left w:val="none" w:sz="0" w:space="0" w:color="auto"/>
        <w:bottom w:val="none" w:sz="0" w:space="0" w:color="auto"/>
        <w:right w:val="none" w:sz="0" w:space="0" w:color="auto"/>
      </w:divBdr>
    </w:div>
    <w:div w:id="310140181">
      <w:bodyDiv w:val="1"/>
      <w:marLeft w:val="0"/>
      <w:marRight w:val="0"/>
      <w:marTop w:val="0"/>
      <w:marBottom w:val="0"/>
      <w:divBdr>
        <w:top w:val="none" w:sz="0" w:space="0" w:color="auto"/>
        <w:left w:val="none" w:sz="0" w:space="0" w:color="auto"/>
        <w:bottom w:val="none" w:sz="0" w:space="0" w:color="auto"/>
        <w:right w:val="none" w:sz="0" w:space="0" w:color="auto"/>
      </w:divBdr>
    </w:div>
    <w:div w:id="314459211">
      <w:bodyDiv w:val="1"/>
      <w:marLeft w:val="0"/>
      <w:marRight w:val="0"/>
      <w:marTop w:val="0"/>
      <w:marBottom w:val="0"/>
      <w:divBdr>
        <w:top w:val="none" w:sz="0" w:space="0" w:color="auto"/>
        <w:left w:val="none" w:sz="0" w:space="0" w:color="auto"/>
        <w:bottom w:val="none" w:sz="0" w:space="0" w:color="auto"/>
        <w:right w:val="none" w:sz="0" w:space="0" w:color="auto"/>
      </w:divBdr>
    </w:div>
    <w:div w:id="342099278">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97633533">
      <w:bodyDiv w:val="1"/>
      <w:marLeft w:val="0"/>
      <w:marRight w:val="0"/>
      <w:marTop w:val="0"/>
      <w:marBottom w:val="0"/>
      <w:divBdr>
        <w:top w:val="none" w:sz="0" w:space="0" w:color="auto"/>
        <w:left w:val="none" w:sz="0" w:space="0" w:color="auto"/>
        <w:bottom w:val="none" w:sz="0" w:space="0" w:color="auto"/>
        <w:right w:val="none" w:sz="0" w:space="0" w:color="auto"/>
      </w:divBdr>
    </w:div>
    <w:div w:id="398405729">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78809768">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61011290">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3640671">
      <w:bodyDiv w:val="1"/>
      <w:marLeft w:val="0"/>
      <w:marRight w:val="0"/>
      <w:marTop w:val="0"/>
      <w:marBottom w:val="0"/>
      <w:divBdr>
        <w:top w:val="none" w:sz="0" w:space="0" w:color="auto"/>
        <w:left w:val="none" w:sz="0" w:space="0" w:color="auto"/>
        <w:bottom w:val="none" w:sz="0" w:space="0" w:color="auto"/>
        <w:right w:val="none" w:sz="0" w:space="0" w:color="auto"/>
      </w:divBdr>
    </w:div>
    <w:div w:id="1025986958">
      <w:bodyDiv w:val="1"/>
      <w:marLeft w:val="0"/>
      <w:marRight w:val="0"/>
      <w:marTop w:val="0"/>
      <w:marBottom w:val="0"/>
      <w:divBdr>
        <w:top w:val="none" w:sz="0" w:space="0" w:color="auto"/>
        <w:left w:val="none" w:sz="0" w:space="0" w:color="auto"/>
        <w:bottom w:val="none" w:sz="0" w:space="0" w:color="auto"/>
        <w:right w:val="none" w:sz="0" w:space="0" w:color="auto"/>
      </w:divBdr>
    </w:div>
    <w:div w:id="1109543077">
      <w:bodyDiv w:val="1"/>
      <w:marLeft w:val="0"/>
      <w:marRight w:val="0"/>
      <w:marTop w:val="0"/>
      <w:marBottom w:val="0"/>
      <w:divBdr>
        <w:top w:val="none" w:sz="0" w:space="0" w:color="auto"/>
        <w:left w:val="none" w:sz="0" w:space="0" w:color="auto"/>
        <w:bottom w:val="none" w:sz="0" w:space="0" w:color="auto"/>
        <w:right w:val="none" w:sz="0" w:space="0" w:color="auto"/>
      </w:divBdr>
    </w:div>
    <w:div w:id="1153260097">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1817515">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41660781">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44111660">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65212439">
      <w:bodyDiv w:val="1"/>
      <w:marLeft w:val="0"/>
      <w:marRight w:val="0"/>
      <w:marTop w:val="0"/>
      <w:marBottom w:val="0"/>
      <w:divBdr>
        <w:top w:val="none" w:sz="0" w:space="0" w:color="auto"/>
        <w:left w:val="none" w:sz="0" w:space="0" w:color="auto"/>
        <w:bottom w:val="none" w:sz="0" w:space="0" w:color="auto"/>
        <w:right w:val="none" w:sz="0" w:space="0" w:color="auto"/>
      </w:divBdr>
    </w:div>
    <w:div w:id="1567759605">
      <w:bodyDiv w:val="1"/>
      <w:marLeft w:val="0"/>
      <w:marRight w:val="0"/>
      <w:marTop w:val="0"/>
      <w:marBottom w:val="0"/>
      <w:divBdr>
        <w:top w:val="none" w:sz="0" w:space="0" w:color="auto"/>
        <w:left w:val="none" w:sz="0" w:space="0" w:color="auto"/>
        <w:bottom w:val="none" w:sz="0" w:space="0" w:color="auto"/>
        <w:right w:val="none" w:sz="0" w:space="0" w:color="auto"/>
      </w:divBdr>
    </w:div>
    <w:div w:id="1597206940">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0519566">
      <w:bodyDiv w:val="1"/>
      <w:marLeft w:val="0"/>
      <w:marRight w:val="0"/>
      <w:marTop w:val="0"/>
      <w:marBottom w:val="0"/>
      <w:divBdr>
        <w:top w:val="none" w:sz="0" w:space="0" w:color="auto"/>
        <w:left w:val="none" w:sz="0" w:space="0" w:color="auto"/>
        <w:bottom w:val="none" w:sz="0" w:space="0" w:color="auto"/>
        <w:right w:val="none" w:sz="0" w:space="0" w:color="auto"/>
      </w:divBdr>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10647654">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70080319">
      <w:bodyDiv w:val="1"/>
      <w:marLeft w:val="0"/>
      <w:marRight w:val="0"/>
      <w:marTop w:val="0"/>
      <w:marBottom w:val="0"/>
      <w:divBdr>
        <w:top w:val="none" w:sz="0" w:space="0" w:color="auto"/>
        <w:left w:val="none" w:sz="0" w:space="0" w:color="auto"/>
        <w:bottom w:val="none" w:sz="0" w:space="0" w:color="auto"/>
        <w:right w:val="none" w:sz="0" w:space="0" w:color="auto"/>
      </w:divBdr>
    </w:div>
    <w:div w:id="1772703693">
      <w:bodyDiv w:val="1"/>
      <w:marLeft w:val="0"/>
      <w:marRight w:val="0"/>
      <w:marTop w:val="0"/>
      <w:marBottom w:val="0"/>
      <w:divBdr>
        <w:top w:val="none" w:sz="0" w:space="0" w:color="auto"/>
        <w:left w:val="none" w:sz="0" w:space="0" w:color="auto"/>
        <w:bottom w:val="none" w:sz="0" w:space="0" w:color="auto"/>
        <w:right w:val="none" w:sz="0" w:space="0" w:color="auto"/>
      </w:divBdr>
    </w:div>
    <w:div w:id="1809473762">
      <w:bodyDiv w:val="1"/>
      <w:marLeft w:val="0"/>
      <w:marRight w:val="0"/>
      <w:marTop w:val="0"/>
      <w:marBottom w:val="0"/>
      <w:divBdr>
        <w:top w:val="none" w:sz="0" w:space="0" w:color="auto"/>
        <w:left w:val="none" w:sz="0" w:space="0" w:color="auto"/>
        <w:bottom w:val="none" w:sz="0" w:space="0" w:color="auto"/>
        <w:right w:val="none" w:sz="0" w:space="0" w:color="auto"/>
      </w:divBdr>
    </w:div>
    <w:div w:id="1809735543">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9610015">
      <w:bodyDiv w:val="1"/>
      <w:marLeft w:val="0"/>
      <w:marRight w:val="0"/>
      <w:marTop w:val="0"/>
      <w:marBottom w:val="0"/>
      <w:divBdr>
        <w:top w:val="none" w:sz="0" w:space="0" w:color="auto"/>
        <w:left w:val="none" w:sz="0" w:space="0" w:color="auto"/>
        <w:bottom w:val="none" w:sz="0" w:space="0" w:color="auto"/>
        <w:right w:val="none" w:sz="0" w:space="0" w:color="auto"/>
      </w:divBdr>
    </w:div>
    <w:div w:id="1889028026">
      <w:bodyDiv w:val="1"/>
      <w:marLeft w:val="0"/>
      <w:marRight w:val="0"/>
      <w:marTop w:val="0"/>
      <w:marBottom w:val="0"/>
      <w:divBdr>
        <w:top w:val="none" w:sz="0" w:space="0" w:color="auto"/>
        <w:left w:val="none" w:sz="0" w:space="0" w:color="auto"/>
        <w:bottom w:val="none" w:sz="0" w:space="0" w:color="auto"/>
        <w:right w:val="none" w:sz="0" w:space="0" w:color="auto"/>
      </w:divBdr>
    </w:div>
    <w:div w:id="1959793729">
      <w:bodyDiv w:val="1"/>
      <w:marLeft w:val="0"/>
      <w:marRight w:val="0"/>
      <w:marTop w:val="0"/>
      <w:marBottom w:val="0"/>
      <w:divBdr>
        <w:top w:val="none" w:sz="0" w:space="0" w:color="auto"/>
        <w:left w:val="none" w:sz="0" w:space="0" w:color="auto"/>
        <w:bottom w:val="none" w:sz="0" w:space="0" w:color="auto"/>
        <w:right w:val="none" w:sz="0" w:space="0" w:color="auto"/>
      </w:divBdr>
    </w:div>
    <w:div w:id="1997301583">
      <w:bodyDiv w:val="1"/>
      <w:marLeft w:val="0"/>
      <w:marRight w:val="0"/>
      <w:marTop w:val="0"/>
      <w:marBottom w:val="0"/>
      <w:divBdr>
        <w:top w:val="none" w:sz="0" w:space="0" w:color="auto"/>
        <w:left w:val="none" w:sz="0" w:space="0" w:color="auto"/>
        <w:bottom w:val="none" w:sz="0" w:space="0" w:color="auto"/>
        <w:right w:val="none" w:sz="0" w:space="0" w:color="auto"/>
      </w:divBdr>
    </w:div>
    <w:div w:id="2073694795">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716B6-7C3C-4DB9-86EC-BE2A42CAEE6C}">
  <ds:schemaRefs>
    <ds:schemaRef ds:uri="http://schemas.openxmlformats.org/officeDocument/2006/bibliography"/>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8211</Words>
  <Characters>45162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6</cp:revision>
  <cp:lastPrinted>2025-06-26T19:08:00Z</cp:lastPrinted>
  <dcterms:created xsi:type="dcterms:W3CDTF">2025-06-19T01:20:00Z</dcterms:created>
  <dcterms:modified xsi:type="dcterms:W3CDTF">2025-06-26T19:08:00Z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