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53" w:rsidRPr="008A486A" w:rsidRDefault="00CF6853" w:rsidP="008A486A">
      <w:pPr>
        <w:tabs>
          <w:tab w:val="left" w:pos="0"/>
        </w:tabs>
        <w:spacing w:line="360" w:lineRule="auto"/>
        <w:jc w:val="both"/>
        <w:rPr>
          <w:rFonts w:ascii="Palatino Linotype" w:hAnsi="Palatino Linotype"/>
          <w:color w:val="000000" w:themeColor="text1"/>
        </w:rPr>
      </w:pPr>
      <w:bookmarkStart w:id="0" w:name="_GoBack"/>
      <w:bookmarkEnd w:id="0"/>
      <w:r w:rsidRPr="008A486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C4F96">
        <w:rPr>
          <w:rFonts w:ascii="Palatino Linotype" w:hAnsi="Palatino Linotype"/>
          <w:b/>
          <w:color w:val="000000" w:themeColor="text1"/>
        </w:rPr>
        <w:t>de fecha</w:t>
      </w:r>
      <w:r w:rsidRPr="008A486A">
        <w:rPr>
          <w:rFonts w:ascii="Palatino Linotype" w:hAnsi="Palatino Linotype"/>
          <w:b/>
          <w:color w:val="000000" w:themeColor="text1"/>
        </w:rPr>
        <w:t xml:space="preserve"> quince </w:t>
      </w:r>
      <w:r w:rsidR="00DC4F96">
        <w:rPr>
          <w:rFonts w:ascii="Palatino Linotype" w:hAnsi="Palatino Linotype"/>
          <w:b/>
          <w:color w:val="000000" w:themeColor="text1"/>
        </w:rPr>
        <w:t xml:space="preserve">(15) </w:t>
      </w:r>
      <w:r w:rsidRPr="008A486A">
        <w:rPr>
          <w:rFonts w:ascii="Palatino Linotype" w:hAnsi="Palatino Linotype"/>
          <w:b/>
          <w:color w:val="000000" w:themeColor="text1"/>
        </w:rPr>
        <w:t>de octubre de dos mil veinticinco.</w:t>
      </w:r>
      <w:r w:rsidRPr="008A486A">
        <w:rPr>
          <w:rFonts w:ascii="Palatino Linotype" w:hAnsi="Palatino Linotype"/>
          <w:color w:val="000000" w:themeColor="text1"/>
        </w:rPr>
        <w:t xml:space="preserve"> </w:t>
      </w:r>
    </w:p>
    <w:p w:rsidR="00CF6853" w:rsidRPr="008A486A" w:rsidRDefault="00CF6853" w:rsidP="008A486A">
      <w:pPr>
        <w:tabs>
          <w:tab w:val="left" w:pos="0"/>
        </w:tabs>
        <w:spacing w:line="360" w:lineRule="auto"/>
        <w:jc w:val="both"/>
        <w:rPr>
          <w:rFonts w:ascii="Palatino Linotype" w:hAnsi="Palatino Linotype"/>
          <w:color w:val="000000" w:themeColor="text1"/>
        </w:rPr>
      </w:pPr>
    </w:p>
    <w:p w:rsidR="00CF6853" w:rsidRPr="008A486A" w:rsidRDefault="00CF6853" w:rsidP="008A486A">
      <w:pPr>
        <w:tabs>
          <w:tab w:val="left" w:pos="0"/>
        </w:tabs>
        <w:spacing w:line="360" w:lineRule="auto"/>
        <w:jc w:val="both"/>
        <w:rPr>
          <w:rFonts w:ascii="Palatino Linotype" w:hAnsi="Palatino Linotype"/>
          <w:color w:val="000000" w:themeColor="text1"/>
        </w:rPr>
      </w:pPr>
      <w:r w:rsidRPr="008A486A">
        <w:rPr>
          <w:rFonts w:ascii="Palatino Linotype" w:hAnsi="Palatino Linotype"/>
          <w:b/>
          <w:color w:val="000000" w:themeColor="text1"/>
        </w:rPr>
        <w:t>VISTO</w:t>
      </w:r>
      <w:r w:rsidRPr="008A486A">
        <w:rPr>
          <w:rFonts w:ascii="Palatino Linotype" w:hAnsi="Palatino Linotype"/>
          <w:color w:val="000000" w:themeColor="text1"/>
        </w:rPr>
        <w:t xml:space="preserve"> el expediente electrónico formado con motivo del recurso de revisión </w:t>
      </w:r>
      <w:r w:rsidRPr="008A486A">
        <w:rPr>
          <w:rFonts w:ascii="Palatino Linotype" w:hAnsi="Palatino Linotype" w:cs="Arial"/>
          <w:b/>
          <w:bCs/>
          <w:color w:val="000000" w:themeColor="text1"/>
        </w:rPr>
        <w:t xml:space="preserve">10318/INFOEM/IP/RR/2025, </w:t>
      </w:r>
      <w:r w:rsidRPr="008A486A">
        <w:rPr>
          <w:rFonts w:ascii="Palatino Linotype" w:hAnsi="Palatino Linotype"/>
          <w:color w:val="000000" w:themeColor="text1"/>
        </w:rPr>
        <w:t xml:space="preserve">promovido por </w:t>
      </w:r>
      <w:r w:rsidRPr="008A486A">
        <w:rPr>
          <w:rFonts w:ascii="Palatino Linotype" w:hAnsi="Palatino Linotype"/>
          <w:b/>
          <w:bCs/>
          <w:color w:val="000000" w:themeColor="text1"/>
        </w:rPr>
        <w:t>un usuario que no proporcionó nombre</w:t>
      </w:r>
      <w:r w:rsidRPr="008A486A">
        <w:rPr>
          <w:rFonts w:ascii="Palatino Linotype" w:hAnsi="Palatino Linotype"/>
          <w:color w:val="000000" w:themeColor="text1"/>
        </w:rPr>
        <w:t xml:space="preserve">, </w:t>
      </w:r>
      <w:r w:rsidR="00DC4F96">
        <w:rPr>
          <w:rFonts w:ascii="Palatino Linotype" w:hAnsi="Palatino Linotype"/>
          <w:color w:val="000000" w:themeColor="text1"/>
        </w:rPr>
        <w:t xml:space="preserve">a </w:t>
      </w:r>
      <w:r w:rsidRPr="008A486A">
        <w:rPr>
          <w:rFonts w:ascii="Palatino Linotype" w:hAnsi="Palatino Linotype"/>
          <w:color w:val="000000" w:themeColor="text1"/>
        </w:rPr>
        <w:t xml:space="preserve">quien en lo sucesivo se le identificara como </w:t>
      </w:r>
      <w:r w:rsidRPr="008A486A">
        <w:rPr>
          <w:rFonts w:ascii="Palatino Linotype" w:hAnsi="Palatino Linotype"/>
          <w:b/>
          <w:color w:val="000000" w:themeColor="text1"/>
        </w:rPr>
        <w:t>RECURRENTE</w:t>
      </w:r>
      <w:r w:rsidRPr="008A486A">
        <w:rPr>
          <w:rFonts w:ascii="Palatino Linotype" w:hAnsi="Palatino Linotype"/>
          <w:color w:val="000000" w:themeColor="text1"/>
        </w:rPr>
        <w:t>, en contra de la</w:t>
      </w:r>
      <w:r w:rsidRPr="008A486A">
        <w:rPr>
          <w:rFonts w:ascii="Palatino Linotype" w:hAnsi="Palatino Linotype" w:cs="Arial"/>
          <w:color w:val="000000" w:themeColor="text1"/>
        </w:rPr>
        <w:t xml:space="preserve"> respuesta del </w:t>
      </w:r>
      <w:r w:rsidRPr="008A486A">
        <w:rPr>
          <w:rFonts w:ascii="Palatino Linotype" w:eastAsia="Calibri" w:hAnsi="Palatino Linotype" w:cs="Tahoma"/>
          <w:b/>
          <w:bCs/>
          <w:color w:val="000000" w:themeColor="text1"/>
          <w:lang w:eastAsia="en-US"/>
        </w:rPr>
        <w:t>Ayuntamiento de Aculco,</w:t>
      </w:r>
      <w:r w:rsidRPr="008A486A">
        <w:rPr>
          <w:rFonts w:ascii="Palatino Linotype" w:hAnsi="Palatino Linotype" w:cs="Arial"/>
          <w:b/>
          <w:color w:val="000000" w:themeColor="text1"/>
        </w:rPr>
        <w:t xml:space="preserve"> </w:t>
      </w:r>
      <w:r w:rsidRPr="008A486A">
        <w:rPr>
          <w:rFonts w:ascii="Palatino Linotype" w:hAnsi="Palatino Linotype"/>
          <w:color w:val="000000" w:themeColor="text1"/>
        </w:rPr>
        <w:t xml:space="preserve">en </w:t>
      </w:r>
      <w:r w:rsidR="00DC4F96">
        <w:rPr>
          <w:rFonts w:ascii="Palatino Linotype" w:hAnsi="Palatino Linotype"/>
          <w:color w:val="000000" w:themeColor="text1"/>
        </w:rPr>
        <w:t>adelante</w:t>
      </w:r>
      <w:r w:rsidRPr="008A486A">
        <w:rPr>
          <w:rFonts w:ascii="Palatino Linotype" w:hAnsi="Palatino Linotype"/>
          <w:color w:val="000000" w:themeColor="text1"/>
        </w:rPr>
        <w:t xml:space="preserve"> el</w:t>
      </w:r>
      <w:r w:rsidRPr="008A486A">
        <w:rPr>
          <w:rFonts w:ascii="Palatino Linotype" w:hAnsi="Palatino Linotype"/>
          <w:b/>
          <w:color w:val="000000" w:themeColor="text1"/>
        </w:rPr>
        <w:t xml:space="preserve"> SUJETO OBLIGADO, </w:t>
      </w:r>
      <w:r w:rsidRPr="008A486A">
        <w:rPr>
          <w:rFonts w:ascii="Palatino Linotype" w:hAnsi="Palatino Linotype"/>
          <w:color w:val="000000" w:themeColor="text1"/>
        </w:rPr>
        <w:t xml:space="preserve">se procede a dictar la presente resolución, con base en los siguientes: </w:t>
      </w:r>
    </w:p>
    <w:p w:rsidR="00CF6853" w:rsidRPr="008A486A" w:rsidRDefault="00CF6853" w:rsidP="008A486A">
      <w:pPr>
        <w:tabs>
          <w:tab w:val="left" w:pos="0"/>
        </w:tabs>
        <w:spacing w:line="360" w:lineRule="auto"/>
        <w:jc w:val="both"/>
        <w:rPr>
          <w:rFonts w:ascii="Palatino Linotype" w:hAnsi="Palatino Linotype"/>
          <w:color w:val="000000" w:themeColor="text1"/>
        </w:rPr>
      </w:pPr>
    </w:p>
    <w:p w:rsidR="00CF6853" w:rsidRPr="008A486A" w:rsidRDefault="00CF6853" w:rsidP="008A486A">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8A486A">
        <w:rPr>
          <w:rFonts w:ascii="Palatino Linotype" w:hAnsi="Palatino Linotype"/>
          <w:b/>
          <w:color w:val="000000" w:themeColor="text1"/>
          <w:lang w:eastAsia="en-US"/>
        </w:rPr>
        <w:t>A</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N</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T</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E</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C</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E</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D</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E</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N</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T</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E</w:t>
      </w:r>
      <w:r w:rsidR="00DC4F96">
        <w:rPr>
          <w:rFonts w:ascii="Palatino Linotype" w:hAnsi="Palatino Linotype"/>
          <w:b/>
          <w:color w:val="000000" w:themeColor="text1"/>
          <w:lang w:eastAsia="en-US"/>
        </w:rPr>
        <w:t xml:space="preserve"> </w:t>
      </w:r>
      <w:r w:rsidRPr="008A486A">
        <w:rPr>
          <w:rFonts w:ascii="Palatino Linotype" w:hAnsi="Palatino Linotype"/>
          <w:b/>
          <w:color w:val="000000" w:themeColor="text1"/>
          <w:lang w:eastAsia="en-US"/>
        </w:rPr>
        <w:t>S</w:t>
      </w:r>
      <w:bookmarkEnd w:id="1"/>
      <w:bookmarkEnd w:id="2"/>
      <w:bookmarkEnd w:id="3"/>
      <w:bookmarkEnd w:id="4"/>
    </w:p>
    <w:p w:rsidR="00CF6853" w:rsidRPr="008A486A" w:rsidRDefault="00CF6853" w:rsidP="008A486A">
      <w:pPr>
        <w:keepNext/>
        <w:keepLines/>
        <w:tabs>
          <w:tab w:val="left" w:pos="0"/>
        </w:tabs>
        <w:spacing w:line="360" w:lineRule="auto"/>
        <w:jc w:val="center"/>
        <w:outlineLvl w:val="0"/>
        <w:rPr>
          <w:rFonts w:ascii="Palatino Linotype" w:hAnsi="Palatino Linotype"/>
          <w:b/>
          <w:color w:val="000000" w:themeColor="text1"/>
          <w:lang w:eastAsia="en-US"/>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8A486A">
        <w:rPr>
          <w:rFonts w:ascii="Palatino Linotype" w:eastAsia="Calibri" w:hAnsi="Palatino Linotype" w:cs="Arial"/>
          <w:color w:val="000000" w:themeColor="text1"/>
          <w:lang w:val="es-ES"/>
        </w:rPr>
        <w:t xml:space="preserve">El </w:t>
      </w:r>
      <w:r w:rsidRPr="008A486A">
        <w:rPr>
          <w:rFonts w:ascii="Palatino Linotype" w:eastAsia="Calibri" w:hAnsi="Palatino Linotype" w:cs="Arial"/>
          <w:b/>
          <w:color w:val="000000" w:themeColor="text1"/>
          <w:lang w:val="es-ES"/>
        </w:rPr>
        <w:t>dieciséis de julio de dos mil veinticinco</w:t>
      </w:r>
      <w:r w:rsidRPr="008A486A">
        <w:rPr>
          <w:rFonts w:ascii="Palatino Linotype" w:eastAsia="Calibri" w:hAnsi="Palatino Linotype" w:cs="Arial"/>
          <w:color w:val="000000" w:themeColor="text1"/>
          <w:lang w:val="es-ES"/>
        </w:rPr>
        <w:t>,</w:t>
      </w:r>
      <w:r w:rsidRPr="008A486A">
        <w:rPr>
          <w:rFonts w:ascii="Palatino Linotype" w:eastAsia="Calibri" w:hAnsi="Palatino Linotype"/>
          <w:color w:val="000000" w:themeColor="text1"/>
          <w:lang w:val="es-ES"/>
        </w:rPr>
        <w:t xml:space="preserve"> </w:t>
      </w:r>
      <w:r w:rsidRPr="008A486A">
        <w:rPr>
          <w:rFonts w:ascii="Palatino Linotype" w:hAnsi="Palatino Linotype"/>
          <w:color w:val="000000" w:themeColor="text1"/>
        </w:rPr>
        <w:t>el</w:t>
      </w:r>
      <w:r w:rsidRPr="008A486A">
        <w:rPr>
          <w:rFonts w:ascii="Palatino Linotype" w:hAnsi="Palatino Linotype"/>
          <w:b/>
          <w:color w:val="000000" w:themeColor="text1"/>
        </w:rPr>
        <w:t xml:space="preserve"> </w:t>
      </w:r>
      <w:r w:rsidRPr="008A486A">
        <w:rPr>
          <w:rFonts w:ascii="Palatino Linotype" w:hAnsi="Palatino Linotype"/>
          <w:color w:val="000000" w:themeColor="text1"/>
        </w:rPr>
        <w:t>solicitante</w:t>
      </w:r>
      <w:r w:rsidRPr="008A486A">
        <w:rPr>
          <w:rFonts w:ascii="Palatino Linotype" w:hAnsi="Palatino Linotype"/>
          <w:b/>
          <w:color w:val="000000" w:themeColor="text1"/>
        </w:rPr>
        <w:t xml:space="preserve">  </w:t>
      </w:r>
      <w:r w:rsidRPr="008A486A">
        <w:rPr>
          <w:rFonts w:ascii="Palatino Linotype" w:hAnsi="Palatino Linotype"/>
          <w:color w:val="000000" w:themeColor="text1"/>
        </w:rPr>
        <w:t>presentó</w:t>
      </w:r>
      <w:r w:rsidRPr="008A486A">
        <w:rPr>
          <w:rFonts w:ascii="Palatino Linotype" w:hAnsi="Palatino Linotype"/>
          <w:b/>
          <w:color w:val="000000" w:themeColor="text1"/>
        </w:rPr>
        <w:t xml:space="preserve"> </w:t>
      </w:r>
      <w:r w:rsidRPr="008A486A">
        <w:rPr>
          <w:rFonts w:ascii="Palatino Linotype" w:eastAsia="Calibri" w:hAnsi="Palatino Linotype" w:cs="Arial"/>
          <w:color w:val="000000" w:themeColor="text1"/>
          <w:lang w:val="es-ES"/>
        </w:rPr>
        <w:t xml:space="preserve">ante el </w:t>
      </w:r>
      <w:r w:rsidRPr="008A486A">
        <w:rPr>
          <w:rFonts w:ascii="Palatino Linotype" w:eastAsia="Calibri" w:hAnsi="Palatino Linotype" w:cs="Arial"/>
          <w:b/>
          <w:color w:val="000000" w:themeColor="text1"/>
          <w:lang w:val="es-ES"/>
        </w:rPr>
        <w:t>SUJETO OBLIGADO,</w:t>
      </w:r>
      <w:r w:rsidRPr="008A486A">
        <w:rPr>
          <w:rFonts w:ascii="Palatino Linotype" w:eastAsia="Calibri" w:hAnsi="Palatino Linotype" w:cs="Arial"/>
          <w:color w:val="000000" w:themeColor="text1"/>
        </w:rPr>
        <w:t xml:space="preserve"> a través del Sistema de Acceso a la Información Mexiquense (SAIMEX),</w:t>
      </w:r>
      <w:r w:rsidRPr="008A486A">
        <w:rPr>
          <w:rFonts w:ascii="Palatino Linotype" w:eastAsia="Calibri" w:hAnsi="Palatino Linotype" w:cs="Arial"/>
          <w:color w:val="000000" w:themeColor="text1"/>
          <w:lang w:val="es-ES"/>
        </w:rPr>
        <w:t xml:space="preserve"> la solicitud de información pública registrada con el número </w:t>
      </w:r>
      <w:r w:rsidRPr="008A486A">
        <w:rPr>
          <w:rFonts w:ascii="Palatino Linotype" w:hAnsi="Palatino Linotype"/>
          <w:b/>
          <w:bCs/>
          <w:color w:val="000000" w:themeColor="text1"/>
        </w:rPr>
        <w:t> 00142/ACULCO/IP/2025</w:t>
      </w:r>
      <w:r w:rsidRPr="008A486A">
        <w:rPr>
          <w:rFonts w:ascii="Palatino Linotype" w:eastAsia="Calibri" w:hAnsi="Palatino Linotype" w:cs="Arial"/>
          <w:color w:val="000000" w:themeColor="text1"/>
          <w:lang w:val="es-ES"/>
        </w:rPr>
        <w:t xml:space="preserve">, </w:t>
      </w:r>
      <w:r w:rsidR="00DC4F96">
        <w:rPr>
          <w:rFonts w:ascii="Palatino Linotype" w:eastAsia="Calibri" w:hAnsi="Palatino Linotype" w:cs="Arial"/>
          <w:color w:val="000000" w:themeColor="text1"/>
          <w:lang w:val="es-ES"/>
        </w:rPr>
        <w:t>en la que</w:t>
      </w:r>
      <w:r w:rsidRPr="008A486A">
        <w:rPr>
          <w:rFonts w:ascii="Palatino Linotype" w:eastAsia="Calibri" w:hAnsi="Palatino Linotype" w:cs="Arial"/>
          <w:color w:val="000000" w:themeColor="text1"/>
          <w:lang w:val="es-ES"/>
        </w:rPr>
        <w:t xml:space="preserve"> se solicitó:</w:t>
      </w:r>
    </w:p>
    <w:p w:rsidR="00CF6853" w:rsidRPr="008A486A" w:rsidRDefault="00CF6853" w:rsidP="008A486A">
      <w:pPr>
        <w:tabs>
          <w:tab w:val="left" w:pos="0"/>
        </w:tabs>
        <w:spacing w:line="360" w:lineRule="auto"/>
        <w:ind w:left="360"/>
        <w:contextualSpacing/>
        <w:jc w:val="both"/>
        <w:rPr>
          <w:rFonts w:ascii="Palatino Linotype" w:eastAsia="Calibri" w:hAnsi="Palatino Linotype" w:cs="Arial"/>
          <w:color w:val="000000" w:themeColor="text1"/>
          <w:lang w:val="es-ES"/>
        </w:rPr>
      </w:pPr>
    </w:p>
    <w:p w:rsidR="00CF6853" w:rsidRPr="008A486A" w:rsidRDefault="00CF6853" w:rsidP="008A486A">
      <w:pPr>
        <w:tabs>
          <w:tab w:val="left" w:pos="0"/>
        </w:tabs>
        <w:spacing w:line="360" w:lineRule="auto"/>
        <w:ind w:left="567"/>
        <w:contextualSpacing/>
        <w:jc w:val="both"/>
        <w:rPr>
          <w:rFonts w:ascii="Palatino Linotype" w:hAnsi="Palatino Linotype" w:cs="Arial"/>
          <w:i/>
          <w:color w:val="000000" w:themeColor="text1"/>
          <w:lang w:val="es-ES"/>
        </w:rPr>
      </w:pPr>
      <w:r w:rsidRPr="008A486A">
        <w:rPr>
          <w:rFonts w:ascii="Palatino Linotype" w:hAnsi="Palatino Linotype" w:cs="Arial"/>
          <w:i/>
          <w:color w:val="000000" w:themeColor="text1"/>
          <w:lang w:val="es-ES"/>
        </w:rPr>
        <w:t>“</w:t>
      </w:r>
      <w:r w:rsidRPr="008A486A">
        <w:rPr>
          <w:rFonts w:ascii="Palatino Linotype" w:hAnsi="Palatino Linotype"/>
          <w:i/>
          <w:color w:val="000000" w:themeColor="text1"/>
        </w:rPr>
        <w:t>Solicito la nómina completa del Ayuntamiento de Aculco, incluyendo el cabildo, correspondiente al mes de junio de 2025 Especificamente con los siguientes rubros: 1. Nombre completo del servidor público. 2. Cargo que ocupa. 3. Sueldo bruto y neto 4. Compensaciones, bonos, estímulos o cualquier ingreso adicional. 5. Tipo de contratación (base, honorarios, confianza, etc.). 6. Fecha de ingreso. El archivo deberá ser entregado en formato digital Excel.</w:t>
      </w:r>
      <w:r w:rsidRPr="008A486A">
        <w:rPr>
          <w:rFonts w:ascii="Palatino Linotype" w:hAnsi="Palatino Linotype" w:cs="Arial"/>
          <w:i/>
          <w:color w:val="000000" w:themeColor="text1"/>
          <w:lang w:val="es-ES"/>
        </w:rPr>
        <w:t>” (Sic)</w:t>
      </w:r>
    </w:p>
    <w:p w:rsidR="00CF6853" w:rsidRPr="008A486A" w:rsidRDefault="00CF6853" w:rsidP="008A486A">
      <w:pPr>
        <w:tabs>
          <w:tab w:val="left" w:pos="0"/>
        </w:tabs>
        <w:spacing w:line="360" w:lineRule="auto"/>
        <w:jc w:val="both"/>
        <w:rPr>
          <w:rFonts w:ascii="Palatino Linotype" w:hAnsi="Palatino Linotype" w:cs="Arial"/>
          <w:color w:val="000000" w:themeColor="text1"/>
          <w:lang w:val="es-ES"/>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lastRenderedPageBreak/>
        <w:t>Se hace constar que se señaló como modalidad de entrega de la información a través de SAIMEX.</w:t>
      </w:r>
    </w:p>
    <w:p w:rsidR="00CF6853" w:rsidRPr="008A486A" w:rsidRDefault="00CF6853" w:rsidP="008A486A">
      <w:pPr>
        <w:pStyle w:val="Prrafodelista"/>
        <w:tabs>
          <w:tab w:val="left" w:pos="0"/>
        </w:tabs>
        <w:spacing w:line="360" w:lineRule="auto"/>
        <w:ind w:left="0"/>
        <w:jc w:val="both"/>
        <w:rPr>
          <w:rFonts w:ascii="Palatino Linotype" w:hAnsi="Palatino Linotype" w:cs="Arial"/>
          <w:i/>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t xml:space="preserve">El </w:t>
      </w:r>
      <w:r w:rsidRPr="008A486A">
        <w:rPr>
          <w:rFonts w:ascii="Palatino Linotype" w:hAnsi="Palatino Linotype" w:cs="Arial"/>
          <w:b/>
          <w:color w:val="000000" w:themeColor="text1"/>
          <w:sz w:val="24"/>
        </w:rPr>
        <w:t>dieciocho de julio de dos mil veinticinco</w:t>
      </w:r>
      <w:r w:rsidRPr="008A486A">
        <w:rPr>
          <w:rFonts w:ascii="Palatino Linotype" w:hAnsi="Palatino Linotype" w:cs="Arial"/>
          <w:color w:val="000000" w:themeColor="text1"/>
          <w:sz w:val="24"/>
        </w:rPr>
        <w:t xml:space="preserve">, se realizó un requerimiento de información al servidor público habilitado. </w:t>
      </w:r>
    </w:p>
    <w:p w:rsidR="00CF6853" w:rsidRPr="008A486A" w:rsidRDefault="00CF6853" w:rsidP="008A486A">
      <w:pPr>
        <w:pStyle w:val="Prrafodelista"/>
        <w:tabs>
          <w:tab w:val="left" w:pos="0"/>
        </w:tabs>
        <w:rPr>
          <w:rFonts w:ascii="Palatino Linotype" w:hAnsi="Palatino Linotype" w:cs="Arial"/>
          <w:i/>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t xml:space="preserve">El </w:t>
      </w:r>
      <w:r w:rsidRPr="008A486A">
        <w:rPr>
          <w:rFonts w:ascii="Palatino Linotype" w:hAnsi="Palatino Linotype" w:cs="Arial"/>
          <w:b/>
          <w:color w:val="000000" w:themeColor="text1"/>
          <w:sz w:val="24"/>
        </w:rPr>
        <w:t>diecinueve de agosto de dos mil veinticinco</w:t>
      </w:r>
      <w:r w:rsidRPr="008A486A">
        <w:rPr>
          <w:rFonts w:ascii="Palatino Linotype" w:hAnsi="Palatino Linotype" w:cs="Arial"/>
          <w:color w:val="000000" w:themeColor="text1"/>
          <w:sz w:val="24"/>
        </w:rPr>
        <w:t>, se notificó una prórroga para emitir respuesta en el siguiente sentido:</w:t>
      </w:r>
    </w:p>
    <w:p w:rsidR="00CF6853" w:rsidRPr="008A486A" w:rsidRDefault="00CF6853" w:rsidP="008A486A">
      <w:pPr>
        <w:pStyle w:val="Prrafodelista"/>
        <w:tabs>
          <w:tab w:val="left" w:pos="0"/>
        </w:tabs>
        <w:rPr>
          <w:rFonts w:ascii="Palatino Linotype" w:hAnsi="Palatino Linotype" w:cs="Arial"/>
          <w:i/>
          <w:color w:val="000000" w:themeColor="text1"/>
          <w:sz w:val="24"/>
        </w:rPr>
      </w:pPr>
    </w:p>
    <w:tbl>
      <w:tblPr>
        <w:tblW w:w="7575" w:type="dxa"/>
        <w:jc w:val="center"/>
        <w:tblCellSpacing w:w="0" w:type="dxa"/>
        <w:tblCellMar>
          <w:left w:w="0" w:type="dxa"/>
          <w:right w:w="0" w:type="dxa"/>
        </w:tblCellMar>
        <w:tblLook w:val="04A0" w:firstRow="1" w:lastRow="0" w:firstColumn="1" w:lastColumn="0" w:noHBand="0" w:noVBand="1"/>
      </w:tblPr>
      <w:tblGrid>
        <w:gridCol w:w="7575"/>
      </w:tblGrid>
      <w:tr w:rsidR="008A486A" w:rsidRPr="008A486A" w:rsidTr="00CF6853">
        <w:trPr>
          <w:trHeight w:val="310"/>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t>Aculco, México a 19 de Agosto de 2025</w:t>
            </w:r>
          </w:p>
        </w:tc>
      </w:tr>
      <w:tr w:rsidR="008A486A" w:rsidRPr="008A486A" w:rsidTr="00CF6853">
        <w:trPr>
          <w:trHeight w:val="310"/>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t>Nombre del solicitante: C. Solicitante</w:t>
            </w:r>
          </w:p>
        </w:tc>
      </w:tr>
      <w:tr w:rsidR="008A486A" w:rsidRPr="008A486A" w:rsidTr="00CF6853">
        <w:trPr>
          <w:trHeight w:val="310"/>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t>Folio de la solicitud: 00142/ACULCO/IP/2025</w:t>
            </w:r>
          </w:p>
        </w:tc>
      </w:tr>
      <w:tr w:rsidR="008A486A" w:rsidRPr="008A486A" w:rsidTr="00CF6853">
        <w:trPr>
          <w:trHeight w:val="465"/>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p>
        </w:tc>
      </w:tr>
      <w:tr w:rsidR="008A486A" w:rsidRPr="008A486A" w:rsidTr="00CF6853">
        <w:trPr>
          <w:trHeight w:val="155"/>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8A486A" w:rsidRPr="008A486A" w:rsidTr="00CF6853">
        <w:trPr>
          <w:trHeight w:val="387"/>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p>
        </w:tc>
      </w:tr>
      <w:tr w:rsidR="008A486A" w:rsidRPr="008A486A" w:rsidTr="00CF6853">
        <w:trPr>
          <w:trHeight w:val="155"/>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Derivado de la carga excesiva de trabajo administrativo en la Dirección, se aprueba prórroga.</w:t>
            </w:r>
          </w:p>
        </w:tc>
      </w:tr>
      <w:tr w:rsidR="008A486A" w:rsidRPr="008A486A" w:rsidTr="00CF6853">
        <w:trPr>
          <w:trHeight w:val="387"/>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p>
        </w:tc>
      </w:tr>
      <w:tr w:rsidR="008A486A" w:rsidRPr="008A486A" w:rsidTr="00CF6853">
        <w:trPr>
          <w:trHeight w:val="155"/>
          <w:tblCellSpacing w:w="0" w:type="dxa"/>
          <w:jc w:val="center"/>
        </w:trPr>
        <w:tc>
          <w:tcPr>
            <w:tcW w:w="0" w:type="auto"/>
            <w:vAlign w:val="center"/>
            <w:hideMark/>
          </w:tcPr>
          <w:p w:rsidR="00CF6853" w:rsidRPr="008A486A" w:rsidRDefault="00CF6853" w:rsidP="008A486A">
            <w:pPr>
              <w:tabs>
                <w:tab w:val="left" w:pos="0"/>
              </w:tabs>
              <w:jc w:val="center"/>
              <w:rPr>
                <w:rFonts w:ascii="Palatino Linotype" w:hAnsi="Palatino Linotype"/>
                <w:i/>
                <w:color w:val="000000" w:themeColor="text1"/>
              </w:rPr>
            </w:pPr>
          </w:p>
        </w:tc>
      </w:tr>
      <w:tr w:rsidR="008A486A" w:rsidRPr="008A486A" w:rsidTr="00CF6853">
        <w:trPr>
          <w:trHeight w:val="155"/>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Ing. Brenda Crisanta Vilchis Rivera</w:t>
            </w:r>
          </w:p>
        </w:tc>
      </w:tr>
      <w:tr w:rsidR="00CF6853" w:rsidRPr="008A486A" w:rsidTr="00CF6853">
        <w:trPr>
          <w:trHeight w:val="155"/>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b/>
                <w:bCs/>
                <w:i/>
                <w:color w:val="000000" w:themeColor="text1"/>
              </w:rPr>
              <w:t>Responsable de la Unidad de Transparencia</w:t>
            </w:r>
          </w:p>
        </w:tc>
      </w:tr>
    </w:tbl>
    <w:p w:rsidR="00CF6853" w:rsidRDefault="00CF6853" w:rsidP="008A486A">
      <w:pPr>
        <w:tabs>
          <w:tab w:val="left" w:pos="0"/>
        </w:tabs>
        <w:spacing w:line="360" w:lineRule="auto"/>
        <w:rPr>
          <w:rFonts w:ascii="Palatino Linotype" w:hAnsi="Palatino Linotype" w:cs="Arial"/>
          <w:color w:val="000000" w:themeColor="text1"/>
          <w:lang w:val="es-ES"/>
        </w:rPr>
      </w:pPr>
    </w:p>
    <w:p w:rsidR="00DC4F96" w:rsidRPr="008A486A" w:rsidRDefault="00DC4F96" w:rsidP="008A486A">
      <w:pPr>
        <w:tabs>
          <w:tab w:val="left" w:pos="0"/>
        </w:tabs>
        <w:spacing w:line="360" w:lineRule="auto"/>
        <w:rPr>
          <w:rFonts w:ascii="Palatino Linotype" w:hAnsi="Palatino Linotype" w:cs="Arial"/>
          <w:color w:val="000000" w:themeColor="text1"/>
          <w:lang w:val="es-ES"/>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8A486A">
        <w:rPr>
          <w:rFonts w:ascii="Palatino Linotype" w:hAnsi="Palatino Linotype" w:cs="Arial"/>
          <w:color w:val="000000" w:themeColor="text1"/>
          <w:lang w:val="es-ES"/>
        </w:rPr>
        <w:t xml:space="preserve">El </w:t>
      </w:r>
      <w:r w:rsidRPr="008A486A">
        <w:rPr>
          <w:rFonts w:ascii="Palatino Linotype" w:hAnsi="Palatino Linotype" w:cs="Arial"/>
          <w:b/>
          <w:color w:val="000000" w:themeColor="text1"/>
          <w:lang w:val="es-ES"/>
        </w:rPr>
        <w:t>veintinueve de agosto de dos mil veinticinco</w:t>
      </w:r>
      <w:r w:rsidRPr="008A486A">
        <w:rPr>
          <w:rFonts w:ascii="Palatino Linotype" w:hAnsi="Palatino Linotype" w:cs="Arial"/>
          <w:color w:val="000000" w:themeColor="text1"/>
          <w:lang w:val="es-ES"/>
        </w:rPr>
        <w:t>, el Sujeto Obligado dio respuesta a la solicitud de información en el siguiente sentido:</w:t>
      </w:r>
    </w:p>
    <w:p w:rsidR="00CF6853" w:rsidRPr="008A486A" w:rsidRDefault="00CF6853" w:rsidP="008A486A">
      <w:pPr>
        <w:tabs>
          <w:tab w:val="left" w:pos="0"/>
        </w:tabs>
        <w:spacing w:line="360" w:lineRule="auto"/>
        <w:contextualSpacing/>
        <w:jc w:val="both"/>
        <w:rPr>
          <w:rFonts w:ascii="Palatino Linotype" w:hAnsi="Palatino Linotype" w:cs="Arial"/>
          <w:color w:val="000000" w:themeColor="text1"/>
          <w:lang w:val="es-ES"/>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8A486A" w:rsidRPr="008A486A" w:rsidTr="00CF6853">
        <w:trPr>
          <w:trHeight w:val="588"/>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lastRenderedPageBreak/>
              <w:br/>
              <w:t>Aculco, México a 29 de Agosto de 2025</w:t>
            </w:r>
          </w:p>
        </w:tc>
      </w:tr>
      <w:tr w:rsidR="008A486A" w:rsidRPr="008A486A" w:rsidTr="00CF6853">
        <w:trPr>
          <w:trHeight w:val="588"/>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t>Nombre del solicitante: C. Solicitante</w:t>
            </w:r>
          </w:p>
        </w:tc>
      </w:tr>
      <w:tr w:rsidR="008A486A" w:rsidRPr="008A486A" w:rsidTr="00CF6853">
        <w:trPr>
          <w:trHeight w:val="588"/>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r w:rsidRPr="008A486A">
              <w:rPr>
                <w:rFonts w:ascii="Palatino Linotype" w:hAnsi="Palatino Linotype"/>
                <w:i/>
                <w:color w:val="000000" w:themeColor="text1"/>
              </w:rPr>
              <w:t>Folio de la solicitud: 00142/ACULCO/IP/2025</w:t>
            </w:r>
          </w:p>
        </w:tc>
      </w:tr>
      <w:tr w:rsidR="008A486A" w:rsidRPr="008A486A" w:rsidTr="00CF6853">
        <w:trPr>
          <w:trHeight w:val="883"/>
          <w:tblCellSpacing w:w="0" w:type="dxa"/>
          <w:jc w:val="center"/>
        </w:trPr>
        <w:tc>
          <w:tcPr>
            <w:tcW w:w="0" w:type="auto"/>
            <w:vAlign w:val="center"/>
            <w:hideMark/>
          </w:tcPr>
          <w:p w:rsidR="00CF6853" w:rsidRPr="008A486A" w:rsidRDefault="00CF6853" w:rsidP="008A486A">
            <w:pPr>
              <w:tabs>
                <w:tab w:val="left" w:pos="0"/>
              </w:tabs>
              <w:jc w:val="right"/>
              <w:rPr>
                <w:rFonts w:ascii="Palatino Linotype" w:hAnsi="Palatino Linotype"/>
                <w:i/>
                <w:color w:val="000000" w:themeColor="text1"/>
              </w:rPr>
            </w:pPr>
          </w:p>
        </w:tc>
      </w:tr>
      <w:tr w:rsidR="008A486A"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A486A"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se adjunta</w:t>
            </w:r>
          </w:p>
        </w:tc>
      </w:tr>
      <w:tr w:rsidR="008A486A"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jc w:val="center"/>
              <w:rPr>
                <w:rFonts w:ascii="Palatino Linotype" w:hAnsi="Palatino Linotype"/>
                <w:i/>
                <w:color w:val="000000" w:themeColor="text1"/>
              </w:rPr>
            </w:pPr>
          </w:p>
        </w:tc>
      </w:tr>
      <w:tr w:rsidR="008A486A"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p>
        </w:tc>
      </w:tr>
      <w:tr w:rsidR="008A486A"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ATENTAMENTE</w:t>
            </w:r>
          </w:p>
        </w:tc>
      </w:tr>
      <w:tr w:rsidR="00CF6853" w:rsidRPr="008A486A" w:rsidTr="00CF6853">
        <w:trPr>
          <w:trHeight w:val="294"/>
          <w:tblCellSpacing w:w="0" w:type="dxa"/>
          <w:jc w:val="center"/>
        </w:trPr>
        <w:tc>
          <w:tcPr>
            <w:tcW w:w="0" w:type="auto"/>
            <w:vAlign w:val="center"/>
            <w:hideMark/>
          </w:tcPr>
          <w:p w:rsidR="00CF6853" w:rsidRPr="008A486A" w:rsidRDefault="00CF6853" w:rsidP="008A486A">
            <w:pPr>
              <w:tabs>
                <w:tab w:val="left" w:pos="0"/>
              </w:tabs>
              <w:rPr>
                <w:rFonts w:ascii="Palatino Linotype" w:hAnsi="Palatino Linotype"/>
                <w:i/>
                <w:color w:val="000000" w:themeColor="text1"/>
              </w:rPr>
            </w:pPr>
            <w:r w:rsidRPr="008A486A">
              <w:rPr>
                <w:rFonts w:ascii="Palatino Linotype" w:hAnsi="Palatino Linotype"/>
                <w:i/>
                <w:color w:val="000000" w:themeColor="text1"/>
              </w:rPr>
              <w:t>Ing. Brenda Crisanta Vilchis Rivera</w:t>
            </w:r>
          </w:p>
        </w:tc>
      </w:tr>
    </w:tbl>
    <w:p w:rsidR="00CF6853" w:rsidRPr="008A486A" w:rsidRDefault="00CF6853" w:rsidP="008A486A">
      <w:pPr>
        <w:tabs>
          <w:tab w:val="left" w:pos="0"/>
        </w:tabs>
        <w:spacing w:line="360" w:lineRule="auto"/>
        <w:contextualSpacing/>
        <w:jc w:val="both"/>
        <w:rPr>
          <w:rFonts w:ascii="Palatino Linotype" w:hAnsi="Palatino Linotype" w:cs="Arial"/>
          <w:color w:val="000000" w:themeColor="text1"/>
          <w:lang w:val="es-ES"/>
        </w:rPr>
      </w:pPr>
    </w:p>
    <w:p w:rsidR="00CF6853" w:rsidRPr="008A486A" w:rsidRDefault="00CF6853" w:rsidP="008A486A">
      <w:pPr>
        <w:pStyle w:val="Prrafodelista"/>
        <w:numPr>
          <w:ilvl w:val="0"/>
          <w:numId w:val="3"/>
        </w:numPr>
        <w:tabs>
          <w:tab w:val="left" w:pos="0"/>
        </w:tabs>
        <w:spacing w:line="360" w:lineRule="auto"/>
        <w:ind w:firstLine="0"/>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8A486A">
        <w:rPr>
          <w:rFonts w:ascii="Palatino Linotype" w:eastAsia="Calibri" w:hAnsi="Palatino Linotype" w:cs="Arial"/>
          <w:color w:val="000000" w:themeColor="text1"/>
          <w:sz w:val="24"/>
          <w:lang w:val="es-AR"/>
        </w:rPr>
        <w:t xml:space="preserve">A la respuesta se adjuntó el archivo denominado </w:t>
      </w:r>
      <w:hyperlink r:id="rId7" w:tgtFrame="_blank" w:history="1">
        <w:r w:rsidRPr="008A486A">
          <w:rPr>
            <w:rStyle w:val="Hipervnculo"/>
            <w:rFonts w:ascii="Palatino Linotype" w:eastAsia="Calibri" w:hAnsi="Palatino Linotype" w:cs="Arial"/>
            <w:b/>
            <w:bCs/>
            <w:color w:val="000000" w:themeColor="text1"/>
            <w:sz w:val="24"/>
          </w:rPr>
          <w:t>SOLICITUD 0142.pdf</w:t>
        </w:r>
      </w:hyperlink>
      <w:r w:rsidRPr="008A486A">
        <w:rPr>
          <w:rFonts w:ascii="Palatino Linotype" w:eastAsia="Calibri" w:hAnsi="Palatino Linotype" w:cs="Arial"/>
          <w:color w:val="000000" w:themeColor="text1"/>
          <w:sz w:val="24"/>
          <w:lang w:val="es-AR"/>
        </w:rPr>
        <w:t xml:space="preserve">, en el que se advierte el oficio número PMA/DA/149/08/2025, de fecha veintiocho de agosto de dos mil veinticinco, suscrito por la Directora de Administración quien señaló una liga electrónica que no se encuentra en datos abiertos y en la que señaló se encontraba la información referente a las percepciones de los servidores públicos que laboran actualmente en el Ayuntamiento. </w:t>
      </w:r>
    </w:p>
    <w:p w:rsidR="00CF6853" w:rsidRDefault="00CF6853" w:rsidP="008A486A">
      <w:pPr>
        <w:pStyle w:val="Prrafodelista"/>
        <w:tabs>
          <w:tab w:val="left" w:pos="0"/>
        </w:tabs>
        <w:spacing w:line="360" w:lineRule="auto"/>
        <w:jc w:val="both"/>
        <w:rPr>
          <w:rFonts w:ascii="Palatino Linotype" w:hAnsi="Palatino Linotype" w:cs="Arial"/>
          <w:color w:val="000000" w:themeColor="text1"/>
          <w:sz w:val="24"/>
          <w:lang w:val="es-ES"/>
        </w:rPr>
      </w:pPr>
    </w:p>
    <w:p w:rsidR="00DC4F96" w:rsidRPr="008A486A" w:rsidRDefault="00DC4F96" w:rsidP="008A486A">
      <w:pPr>
        <w:pStyle w:val="Prrafodelista"/>
        <w:tabs>
          <w:tab w:val="left" w:pos="0"/>
        </w:tabs>
        <w:spacing w:line="360" w:lineRule="auto"/>
        <w:jc w:val="both"/>
        <w:rPr>
          <w:rFonts w:ascii="Palatino Linotype" w:hAnsi="Palatino Linotype" w:cs="Arial"/>
          <w:color w:val="000000" w:themeColor="text1"/>
          <w:sz w:val="24"/>
          <w:lang w:val="es-ES"/>
        </w:rPr>
      </w:pPr>
    </w:p>
    <w:p w:rsidR="00CF6853" w:rsidRPr="00DC4F96"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8A486A">
        <w:rPr>
          <w:rFonts w:ascii="Palatino Linotype" w:hAnsi="Palatino Linotype" w:cs="Arial"/>
          <w:color w:val="000000" w:themeColor="text1"/>
          <w:sz w:val="24"/>
          <w:lang w:val="es-ES"/>
        </w:rPr>
        <w:t xml:space="preserve">En lo sucesivo el </w:t>
      </w:r>
      <w:r w:rsidRPr="008A486A">
        <w:rPr>
          <w:rFonts w:ascii="Palatino Linotype" w:hAnsi="Palatino Linotype" w:cs="Arial"/>
          <w:b/>
          <w:color w:val="000000" w:themeColor="text1"/>
          <w:sz w:val="24"/>
          <w:lang w:val="es-ES"/>
        </w:rPr>
        <w:t>primero de septiembre de dos mil veinticinco,</w:t>
      </w:r>
      <w:r w:rsidRPr="008A486A">
        <w:rPr>
          <w:rFonts w:ascii="Palatino Linotype" w:hAnsi="Palatino Linotype" w:cs="Arial"/>
          <w:color w:val="000000" w:themeColor="text1"/>
          <w:sz w:val="24"/>
          <w:lang w:val="es-ES"/>
        </w:rPr>
        <w:t xml:space="preserve"> </w:t>
      </w:r>
      <w:r w:rsidRPr="008A486A">
        <w:rPr>
          <w:rFonts w:ascii="Palatino Linotype" w:hAnsi="Palatino Linotype" w:cs="Arial"/>
          <w:b/>
          <w:color w:val="000000" w:themeColor="text1"/>
          <w:sz w:val="24"/>
          <w:lang w:val="es-ES"/>
        </w:rPr>
        <w:t xml:space="preserve"> </w:t>
      </w:r>
      <w:r w:rsidRPr="008A486A">
        <w:rPr>
          <w:rFonts w:ascii="Palatino Linotype" w:hAnsi="Palatino Linotype" w:cs="Arial"/>
          <w:color w:val="000000" w:themeColor="text1"/>
          <w:sz w:val="24"/>
          <w:lang w:val="es-ES"/>
        </w:rPr>
        <w:t>el solicitante interpuso el recurso de revisión, señalando como:</w:t>
      </w:r>
    </w:p>
    <w:p w:rsidR="00DC4F96" w:rsidRPr="008A486A" w:rsidRDefault="00DC4F96" w:rsidP="00DC4F96">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CF6853" w:rsidRPr="00DC4F96" w:rsidRDefault="00CF6853" w:rsidP="00DC4F96">
      <w:pPr>
        <w:pStyle w:val="Prrafodelista"/>
        <w:numPr>
          <w:ilvl w:val="0"/>
          <w:numId w:val="3"/>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DC4F96">
        <w:rPr>
          <w:rFonts w:ascii="Palatino Linotype" w:eastAsia="Calibri" w:hAnsi="Palatino Linotype" w:cs="Arial"/>
          <w:b/>
          <w:color w:val="000000" w:themeColor="text1"/>
          <w:sz w:val="24"/>
          <w:lang w:val="es-ES"/>
        </w:rPr>
        <w:lastRenderedPageBreak/>
        <w:t>Acto impugnado:</w:t>
      </w:r>
      <w:r w:rsidRPr="00DC4F96">
        <w:rPr>
          <w:rFonts w:ascii="Palatino Linotype" w:eastAsia="Calibri" w:hAnsi="Palatino Linotype" w:cs="Arial"/>
          <w:i/>
          <w:color w:val="000000" w:themeColor="text1"/>
          <w:sz w:val="24"/>
          <w:lang w:val="es-ES"/>
        </w:rPr>
        <w:t xml:space="preserve"> </w:t>
      </w:r>
      <w:r w:rsidRPr="00DC4F96">
        <w:rPr>
          <w:rFonts w:ascii="Palatino Linotype" w:eastAsia="Calibri" w:hAnsi="Palatino Linotype" w:cs="Arial"/>
          <w:color w:val="000000" w:themeColor="text1"/>
          <w:sz w:val="24"/>
          <w:lang w:val="es-ES"/>
        </w:rPr>
        <w:t>“</w:t>
      </w:r>
      <w:r w:rsidRPr="00DC4F96">
        <w:rPr>
          <w:rFonts w:ascii="Palatino Linotype" w:hAnsi="Palatino Linotype"/>
          <w:i/>
          <w:color w:val="000000" w:themeColor="text1"/>
          <w:sz w:val="24"/>
        </w:rPr>
        <w:t>Respuesta a la solicitud de información 000142/ACULCO/IP/2025, comunicada mediante el oficio PMA/DA/131/08/2025, por parte del Ayuntamiento de Aculco.”</w:t>
      </w:r>
      <w:r w:rsidRPr="00DC4F96">
        <w:rPr>
          <w:rFonts w:ascii="Palatino Linotype" w:eastAsia="Calibri" w:hAnsi="Palatino Linotype" w:cs="Arial"/>
          <w:i/>
          <w:color w:val="000000" w:themeColor="text1"/>
          <w:sz w:val="24"/>
          <w:lang w:val="es-ES"/>
        </w:rPr>
        <w:t xml:space="preserve"> (Sic) </w:t>
      </w:r>
    </w:p>
    <w:p w:rsidR="00DC4F96" w:rsidRPr="00DC4F96" w:rsidRDefault="00DC4F96" w:rsidP="00DC4F96">
      <w:pPr>
        <w:pStyle w:val="Prrafodelista"/>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p>
    <w:p w:rsidR="00CF6853" w:rsidRPr="00DC4F96" w:rsidRDefault="00CF6853" w:rsidP="00DC4F96">
      <w:pPr>
        <w:pStyle w:val="Prrafodelista"/>
        <w:numPr>
          <w:ilvl w:val="0"/>
          <w:numId w:val="3"/>
        </w:numPr>
        <w:tabs>
          <w:tab w:val="left" w:pos="0"/>
          <w:tab w:val="left" w:pos="851"/>
        </w:tabs>
        <w:spacing w:line="360" w:lineRule="auto"/>
        <w:jc w:val="both"/>
        <w:rPr>
          <w:rFonts w:ascii="Palatino Linotype" w:eastAsia="MS Gothic" w:hAnsi="Palatino Linotype"/>
          <w:i/>
          <w:color w:val="000000" w:themeColor="text1"/>
          <w:sz w:val="24"/>
        </w:rPr>
      </w:pPr>
      <w:r w:rsidRPr="00DC4F96">
        <w:rPr>
          <w:rFonts w:ascii="Palatino Linotype" w:eastAsia="MS Gothic" w:hAnsi="Palatino Linotype"/>
          <w:b/>
          <w:color w:val="000000" w:themeColor="text1"/>
          <w:sz w:val="24"/>
          <w:lang w:val="es-ES"/>
        </w:rPr>
        <w:t>Razones o Motivos de inconformidad: “</w:t>
      </w:r>
      <w:r w:rsidRPr="00DC4F96">
        <w:rPr>
          <w:rFonts w:ascii="Palatino Linotype" w:eastAsia="MS Gothic" w:hAnsi="Palatino Linotype"/>
          <w:i/>
          <w:color w:val="000000" w:themeColor="text1"/>
          <w:sz w:val="24"/>
        </w:rPr>
        <w:t>La respuesta del Ayuntamiento de Aculco es una negativa simulada que viola mi derecho de acceso a la información. En lugar de entregar la nómina solicitada, el sujeto obligado se limita a remitirme a un portal genérico con información incompleta, lo cual impugno por las siguientes razones: 1. VIOLACIÓN DIRECTA AL FORMATO SOLICITADO: Solicité expresamente la nómina completa en formato digital Excel. El Ayuntamiento violó el Artículo 160 de la Ley de Transparencia al negarse a proporcionar el archivo en el formato requerido y entregar en su lugar un simple hipervínculo, a pesar de tener la capacidad técnica para cumplir. 2. ENTREGA DE INFORMACIÓN INCOMPLETA Y ENGAÑOSA: El sujeto obligado pretende cumplir remitiéndome a la información de oficio de IPOMEX. Sin embargo, dicha información es genérica y NO CONTIENE todos los rubros que solicité, tales como el desglose de compensaciones y bonos, el tipo de contratación y la fecha de ingreso de cada servidor público. Por lo tanto, la respuesta es sustancialmente incompleta. 3. APLICACIÓN INDEBIDA DE LA LEY: La remisión al portal IPOMEX bajo el amparo del Artículo 161 es improcedente, ya que la información disponible en dicha fuente no es la misma que la solicitada. El Ayuntamiento utiliza este artículo como un pretexto para no entregar la información completa que obra en sus archivos y para transferir ilegalmente la carga de la búsqueda al ciudadano. Por lo expuesto, la respuesta es una evasiva inaceptable. Solicito a este Instituto que revoque este acto y ORDENE al Ayuntamiento de Aculco a que entregue la nómina completa del mes de junio de 2025, con TODOS los rubros solicitados y en el formato EXCEL requerido, sin más dilaciones ni pretextos.” (sic)</w:t>
      </w: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8A486A">
        <w:rPr>
          <w:rFonts w:ascii="Palatino Linotype" w:hAnsi="Palatino Linotype" w:cs="Arial"/>
          <w:color w:val="000000" w:themeColor="text1"/>
          <w:lang w:val="es-ES"/>
        </w:rPr>
        <w:lastRenderedPageBreak/>
        <w:t xml:space="preserve">Se registró el recurso de revisión bajo el número de expediente </w:t>
      </w:r>
      <w:r w:rsidRPr="008A486A">
        <w:rPr>
          <w:rFonts w:ascii="Palatino Linotype" w:eastAsia="MS Mincho" w:hAnsi="Palatino Linotype" w:cs="Arial"/>
          <w:bCs/>
          <w:color w:val="000000" w:themeColor="text1"/>
        </w:rPr>
        <w:t xml:space="preserve">al rubro indicado, asimismo con fundamento en lo dispuesto por el </w:t>
      </w:r>
      <w:r w:rsidRPr="008A486A">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8A486A">
        <w:rPr>
          <w:rFonts w:ascii="Palatino Linotype" w:hAnsi="Palatino Linotype" w:cs="Arial"/>
          <w:color w:val="000000" w:themeColor="text1"/>
          <w:lang w:val="es-ES"/>
        </w:rPr>
        <w:t xml:space="preserve">se turnó a la </w:t>
      </w:r>
      <w:r w:rsidRPr="008A486A">
        <w:rPr>
          <w:rFonts w:ascii="Palatino Linotype" w:hAnsi="Palatino Linotype" w:cs="Arial"/>
          <w:b/>
          <w:color w:val="000000" w:themeColor="text1"/>
          <w:lang w:val="es-ES"/>
        </w:rPr>
        <w:t>Comisionada María del Rosario Mejía Ayala</w:t>
      </w:r>
      <w:r w:rsidR="00DC4F96">
        <w:rPr>
          <w:rFonts w:ascii="Palatino Linotype" w:hAnsi="Palatino Linotype" w:cs="Arial"/>
          <w:b/>
          <w:color w:val="000000" w:themeColor="text1"/>
          <w:lang w:val="es-ES"/>
        </w:rPr>
        <w:t>,</w:t>
      </w:r>
      <w:r w:rsidRPr="008A486A">
        <w:rPr>
          <w:rFonts w:ascii="Palatino Linotype" w:hAnsi="Palatino Linotype" w:cs="Arial"/>
          <w:color w:val="000000" w:themeColor="text1"/>
          <w:lang w:val="es-ES"/>
        </w:rPr>
        <w:t xml:space="preserve"> </w:t>
      </w:r>
      <w:r w:rsidR="00DC4F96">
        <w:rPr>
          <w:rFonts w:ascii="Palatino Linotype" w:hAnsi="Palatino Linotype" w:cs="Arial"/>
          <w:color w:val="000000" w:themeColor="text1"/>
          <w:lang w:val="es-ES"/>
        </w:rPr>
        <w:t>para</w:t>
      </w:r>
      <w:r w:rsidRPr="008A486A">
        <w:rPr>
          <w:rFonts w:ascii="Palatino Linotype" w:hAnsi="Palatino Linotype" w:cs="Arial"/>
          <w:color w:val="000000" w:themeColor="text1"/>
          <w:lang w:val="es-ES"/>
        </w:rPr>
        <w:t xml:space="preserve"> </w:t>
      </w:r>
      <w:r w:rsidRPr="008A486A">
        <w:rPr>
          <w:rFonts w:ascii="Palatino Linotype" w:hAnsi="Palatino Linotype" w:cs="Arial"/>
          <w:color w:val="000000" w:themeColor="text1"/>
        </w:rPr>
        <w:t>su análisis.</w:t>
      </w:r>
    </w:p>
    <w:p w:rsidR="00CF6853" w:rsidRPr="008A486A" w:rsidRDefault="00CF6853" w:rsidP="008A486A">
      <w:pPr>
        <w:tabs>
          <w:tab w:val="left" w:pos="0"/>
        </w:tabs>
        <w:spacing w:line="360" w:lineRule="auto"/>
        <w:contextualSpacing/>
        <w:jc w:val="both"/>
        <w:rPr>
          <w:rFonts w:ascii="Palatino Linotype" w:eastAsia="MS Mincho" w:hAnsi="Palatino Linotype"/>
          <w:i/>
          <w:color w:val="000000" w:themeColor="text1"/>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8A486A">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Pr="008A486A">
        <w:rPr>
          <w:rFonts w:ascii="Palatino Linotype" w:eastAsia="Calibri" w:hAnsi="Palatino Linotype" w:cs="Arial"/>
          <w:b/>
          <w:color w:val="000000" w:themeColor="text1"/>
          <w:lang w:val="es-ES"/>
        </w:rPr>
        <w:t>cuatro de septiembre de dos mil veinticinco</w:t>
      </w:r>
      <w:r w:rsidRPr="008A486A">
        <w:rPr>
          <w:rFonts w:ascii="Palatino Linotype" w:eastAsia="Calibri" w:hAnsi="Palatino Linotype" w:cs="Arial"/>
          <w:color w:val="000000" w:themeColor="text1"/>
          <w:lang w:val="es-ES"/>
        </w:rPr>
        <w:t xml:space="preserve">, puso a disposición de las partes el expediente electrónico </w:t>
      </w:r>
      <w:r w:rsidRPr="008A486A">
        <w:rPr>
          <w:rFonts w:ascii="Palatino Linotype" w:eastAsia="Calibri" w:hAnsi="Palatino Linotype" w:cs="Arial"/>
          <w:color w:val="000000" w:themeColor="text1"/>
        </w:rPr>
        <w:t xml:space="preserve">vía </w:t>
      </w:r>
      <w:r w:rsidRPr="008A486A">
        <w:rPr>
          <w:rFonts w:ascii="Palatino Linotype" w:eastAsia="Calibri" w:hAnsi="Palatino Linotype" w:cs="Arial"/>
          <w:color w:val="000000" w:themeColor="text1"/>
          <w:lang w:val="es-ES"/>
        </w:rPr>
        <w:t xml:space="preserve">Sistema de Acceso a la Información Mexiquense </w:t>
      </w:r>
      <w:r w:rsidRPr="008A486A">
        <w:rPr>
          <w:rFonts w:ascii="Palatino Linotype" w:eastAsia="Calibri" w:hAnsi="Palatino Linotype" w:cs="Arial"/>
          <w:b/>
          <w:color w:val="000000" w:themeColor="text1"/>
          <w:lang w:val="es-ES"/>
        </w:rPr>
        <w:t xml:space="preserve">(SAIMEX) </w:t>
      </w:r>
      <w:r w:rsidRPr="008A486A">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8A486A">
        <w:rPr>
          <w:rFonts w:ascii="Palatino Linotype" w:eastAsia="Calibri" w:hAnsi="Palatino Linotype" w:cs="Arial"/>
          <w:b/>
          <w:color w:val="000000" w:themeColor="text1"/>
          <w:lang w:val="es-ES"/>
        </w:rPr>
        <w:t>SUJETO OBLIGADO</w:t>
      </w:r>
      <w:r w:rsidRPr="008A486A">
        <w:rPr>
          <w:rFonts w:ascii="Palatino Linotype" w:eastAsia="Calibri" w:hAnsi="Palatino Linotype" w:cs="Arial"/>
          <w:color w:val="000000" w:themeColor="text1"/>
          <w:lang w:val="es-ES"/>
        </w:rPr>
        <w:t xml:space="preserve"> presentara el Informe Justificado procedente.  </w:t>
      </w:r>
    </w:p>
    <w:p w:rsidR="00CF6853" w:rsidRPr="008A486A" w:rsidRDefault="00CF6853" w:rsidP="008A486A">
      <w:pPr>
        <w:pStyle w:val="Prrafodelista"/>
        <w:tabs>
          <w:tab w:val="left" w:pos="0"/>
        </w:tabs>
        <w:spacing w:line="360" w:lineRule="auto"/>
        <w:rPr>
          <w:rFonts w:ascii="Palatino Linotype" w:eastAsia="Calibri" w:hAnsi="Palatino Linotype" w:cs="Arial"/>
          <w:color w:val="000000" w:themeColor="text1"/>
          <w:sz w:val="24"/>
          <w:lang w:val="es-ES"/>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8A486A">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w:t>
      </w:r>
      <w:r w:rsidR="00F46616" w:rsidRPr="008A486A">
        <w:rPr>
          <w:rFonts w:ascii="Palatino Linotype" w:eastAsia="Calibri" w:hAnsi="Palatino Linotype" w:cs="Arial"/>
          <w:color w:val="000000" w:themeColor="text1"/>
          <w:lang w:val="es-ES"/>
        </w:rPr>
        <w:t xml:space="preserve">no entregó informe justificado. </w:t>
      </w:r>
    </w:p>
    <w:p w:rsidR="00CF6853" w:rsidRPr="008A486A" w:rsidRDefault="00CF6853" w:rsidP="008A486A">
      <w:pPr>
        <w:tabs>
          <w:tab w:val="left" w:pos="0"/>
        </w:tabs>
        <w:spacing w:line="360" w:lineRule="auto"/>
        <w:contextualSpacing/>
        <w:jc w:val="both"/>
        <w:rPr>
          <w:rFonts w:ascii="Palatino Linotype" w:eastAsia="MS Mincho" w:hAnsi="Palatino Linotype"/>
          <w:i/>
          <w:color w:val="000000" w:themeColor="text1"/>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8A486A">
        <w:rPr>
          <w:rFonts w:ascii="Palatino Linotype" w:eastAsia="MS Mincho" w:hAnsi="Palatino Linotype"/>
          <w:color w:val="000000" w:themeColor="text1"/>
        </w:rPr>
        <w:t xml:space="preserve">El </w:t>
      </w:r>
      <w:r w:rsidR="00F46616" w:rsidRPr="008A486A">
        <w:rPr>
          <w:rFonts w:ascii="Palatino Linotype" w:eastAsia="MS Mincho" w:hAnsi="Palatino Linotype"/>
          <w:b/>
          <w:color w:val="000000" w:themeColor="text1"/>
        </w:rPr>
        <w:t>nueve de octubre</w:t>
      </w:r>
      <w:r w:rsidRPr="008A486A">
        <w:rPr>
          <w:rFonts w:ascii="Palatino Linotype" w:eastAsia="MS Mincho" w:hAnsi="Palatino Linotype"/>
          <w:b/>
          <w:color w:val="000000" w:themeColor="text1"/>
        </w:rPr>
        <w:t xml:space="preserve"> de dos mil veinticinco,</w:t>
      </w:r>
      <w:r w:rsidRPr="008A486A">
        <w:rPr>
          <w:rFonts w:ascii="Palatino Linotype" w:eastAsia="MS Mincho" w:hAnsi="Palatino Linotype"/>
          <w:color w:val="000000" w:themeColor="text1"/>
        </w:rPr>
        <w:t xml:space="preserve"> se notificó acuerdo mediante el cual se decretó el cierre de instrucción. </w:t>
      </w:r>
      <w:r w:rsidR="00DC4F96">
        <w:rPr>
          <w:rFonts w:ascii="Palatino Linotype" w:eastAsia="MS Mincho" w:hAnsi="Palatino Linotype"/>
          <w:color w:val="000000" w:themeColor="text1"/>
        </w:rPr>
        <w:t>------------------------------------------------------------------------------</w:t>
      </w:r>
    </w:p>
    <w:p w:rsidR="00CF6853" w:rsidRPr="008A486A" w:rsidRDefault="00CF6853" w:rsidP="008A486A">
      <w:pPr>
        <w:tabs>
          <w:tab w:val="left" w:pos="0"/>
        </w:tabs>
        <w:spacing w:line="360" w:lineRule="auto"/>
        <w:contextualSpacing/>
        <w:jc w:val="both"/>
        <w:rPr>
          <w:rFonts w:ascii="Palatino Linotype" w:eastAsia="MS Mincho" w:hAnsi="Palatino Linotype"/>
          <w:b/>
          <w:color w:val="000000" w:themeColor="text1"/>
        </w:rPr>
      </w:pPr>
    </w:p>
    <w:p w:rsidR="00CF6853" w:rsidRDefault="00CF6853" w:rsidP="008A486A">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8A486A">
        <w:rPr>
          <w:rFonts w:ascii="Palatino Linotype" w:eastAsia="MS Gothic" w:hAnsi="Palatino Linotype"/>
          <w:b/>
          <w:color w:val="000000" w:themeColor="text1"/>
          <w:lang w:eastAsia="en-US"/>
        </w:rPr>
        <w:lastRenderedPageBreak/>
        <w:t>C</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O</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N</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S</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I</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D</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E</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R</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A</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N</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D</w:t>
      </w:r>
      <w:r w:rsidR="00CA5E52">
        <w:rPr>
          <w:rFonts w:ascii="Palatino Linotype" w:eastAsia="MS Gothic" w:hAnsi="Palatino Linotype"/>
          <w:b/>
          <w:color w:val="000000" w:themeColor="text1"/>
          <w:lang w:eastAsia="en-US"/>
        </w:rPr>
        <w:t xml:space="preserve"> </w:t>
      </w:r>
      <w:r w:rsidRPr="008A486A">
        <w:rPr>
          <w:rFonts w:ascii="Palatino Linotype" w:eastAsia="MS Gothic" w:hAnsi="Palatino Linotype"/>
          <w:b/>
          <w:color w:val="000000" w:themeColor="text1"/>
          <w:lang w:eastAsia="en-US"/>
        </w:rPr>
        <w:t>O</w:t>
      </w:r>
      <w:bookmarkEnd w:id="8"/>
      <w:bookmarkEnd w:id="9"/>
      <w:bookmarkEnd w:id="10"/>
    </w:p>
    <w:p w:rsidR="00DC4F96" w:rsidRPr="008A486A" w:rsidRDefault="00DC4F96" w:rsidP="008A486A">
      <w:pPr>
        <w:keepNext/>
        <w:keepLines/>
        <w:tabs>
          <w:tab w:val="left" w:pos="0"/>
        </w:tabs>
        <w:spacing w:line="360" w:lineRule="auto"/>
        <w:jc w:val="center"/>
        <w:outlineLvl w:val="0"/>
        <w:rPr>
          <w:rFonts w:ascii="Palatino Linotype" w:eastAsia="MS Gothic" w:hAnsi="Palatino Linotype"/>
          <w:b/>
          <w:color w:val="000000" w:themeColor="text1"/>
          <w:lang w:eastAsia="en-US"/>
        </w:rPr>
      </w:pPr>
    </w:p>
    <w:p w:rsidR="00CF6853" w:rsidRPr="008A486A" w:rsidRDefault="00CF6853" w:rsidP="008A486A">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8A486A">
        <w:rPr>
          <w:rFonts w:ascii="Palatino Linotype" w:eastAsia="MS Gothic" w:hAnsi="Palatino Linotype"/>
          <w:b/>
          <w:color w:val="000000" w:themeColor="text1"/>
          <w:lang w:eastAsia="en-US"/>
        </w:rPr>
        <w:t>PRIMERO. De la competencia</w:t>
      </w:r>
      <w:bookmarkEnd w:id="11"/>
      <w:bookmarkEnd w:id="12"/>
      <w:r w:rsidRPr="008A486A">
        <w:rPr>
          <w:rFonts w:ascii="Palatino Linotype" w:eastAsia="MS Gothic" w:hAnsi="Palatino Linotype"/>
          <w:b/>
          <w:color w:val="000000" w:themeColor="text1"/>
          <w:lang w:eastAsia="en-US"/>
        </w:rPr>
        <w:t>.</w:t>
      </w:r>
      <w:bookmarkEnd w:id="13"/>
    </w:p>
    <w:p w:rsidR="00CF6853" w:rsidRPr="00CA5E52" w:rsidRDefault="00CF6853" w:rsidP="008A486A">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8A486A">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486A">
        <w:rPr>
          <w:rFonts w:ascii="Palatino Linotype" w:hAnsi="Palatino Linotype"/>
          <w:b/>
          <w:color w:val="000000" w:themeColor="text1"/>
          <w:sz w:val="24"/>
        </w:rPr>
        <w:t>Constitución Política de los Estados Unidos Mexicanos</w:t>
      </w:r>
      <w:r w:rsidRPr="008A486A">
        <w:rPr>
          <w:rFonts w:ascii="Palatino Linotype" w:hAnsi="Palatino Linotype"/>
          <w:color w:val="000000" w:themeColor="text1"/>
          <w:sz w:val="24"/>
        </w:rPr>
        <w:t xml:space="preserve">; 5, párrafos trigésimo noveno, </w:t>
      </w:r>
      <w:r w:rsidR="00F46616" w:rsidRPr="008A486A">
        <w:rPr>
          <w:rFonts w:ascii="Palatino Linotype" w:hAnsi="Palatino Linotype"/>
          <w:color w:val="000000" w:themeColor="text1"/>
          <w:sz w:val="24"/>
        </w:rPr>
        <w:t xml:space="preserve">cuadragésimo y cuadragésimo primero </w:t>
      </w:r>
      <w:r w:rsidRPr="008A486A">
        <w:rPr>
          <w:rFonts w:ascii="Palatino Linotype" w:hAnsi="Palatino Linotype"/>
          <w:color w:val="000000" w:themeColor="text1"/>
          <w:sz w:val="24"/>
        </w:rPr>
        <w:t xml:space="preserve">fracciones IV y V, de la </w:t>
      </w:r>
      <w:r w:rsidRPr="008A486A">
        <w:rPr>
          <w:rFonts w:ascii="Palatino Linotype" w:hAnsi="Palatino Linotype"/>
          <w:b/>
          <w:color w:val="000000" w:themeColor="text1"/>
          <w:sz w:val="24"/>
        </w:rPr>
        <w:t>Constitución Política del Estado Libre y Soberano de México</w:t>
      </w:r>
      <w:r w:rsidRPr="008A486A">
        <w:rPr>
          <w:rFonts w:ascii="Palatino Linotype" w:hAnsi="Palatino Linotype"/>
          <w:color w:val="000000" w:themeColor="text1"/>
          <w:sz w:val="24"/>
        </w:rPr>
        <w:t xml:space="preserve">; artículos 1, 2 fracción II, 13, 29, 36 fracciones I y II, 176, 178, 179, 181 párrafo tercero y 185 de la </w:t>
      </w:r>
      <w:r w:rsidRPr="008A486A">
        <w:rPr>
          <w:rFonts w:ascii="Palatino Linotype" w:hAnsi="Palatino Linotype"/>
          <w:b/>
          <w:color w:val="000000" w:themeColor="text1"/>
          <w:sz w:val="24"/>
        </w:rPr>
        <w:t>Ley de Transparencia y Acceso a la Información Pública del Estado de México y Municipios</w:t>
      </w:r>
      <w:r w:rsidRPr="008A486A">
        <w:rPr>
          <w:rFonts w:ascii="Palatino Linotype" w:hAnsi="Palatino Linotype"/>
          <w:color w:val="000000" w:themeColor="text1"/>
          <w:sz w:val="24"/>
        </w:rPr>
        <w:t xml:space="preserve">; y 7, 9 fracciones I y XXIII, y 11 del </w:t>
      </w:r>
      <w:r w:rsidRPr="008A486A">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CA5E52" w:rsidRPr="008A486A" w:rsidRDefault="00CA5E52" w:rsidP="00CA5E52">
      <w:pPr>
        <w:pStyle w:val="Prrafodelista"/>
        <w:tabs>
          <w:tab w:val="left" w:pos="0"/>
        </w:tabs>
        <w:spacing w:before="240" w:after="240" w:line="360" w:lineRule="auto"/>
        <w:ind w:left="0"/>
        <w:jc w:val="both"/>
        <w:rPr>
          <w:rFonts w:ascii="Palatino Linotype" w:hAnsi="Palatino Linotype"/>
          <w:color w:val="000000" w:themeColor="text1"/>
          <w:sz w:val="24"/>
        </w:rPr>
      </w:pPr>
    </w:p>
    <w:p w:rsidR="00CF6853" w:rsidRPr="008A486A" w:rsidRDefault="00CF6853" w:rsidP="008A486A">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8A486A">
        <w:rPr>
          <w:rFonts w:ascii="Palatino Linotype" w:eastAsia="MS Gothic" w:hAnsi="Palatino Linotype"/>
          <w:b/>
          <w:color w:val="000000" w:themeColor="text1"/>
          <w:lang w:eastAsia="en-US"/>
        </w:rPr>
        <w:t>SEGUNDO. De la oportunidad y procedencia.</w:t>
      </w:r>
      <w:bookmarkEnd w:id="14"/>
      <w:bookmarkEnd w:id="15"/>
      <w:bookmarkEnd w:id="16"/>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8A486A">
        <w:rPr>
          <w:rFonts w:ascii="Palatino Linotype" w:eastAsia="Calibri" w:hAnsi="Palatino Linotype" w:cs="Arial"/>
          <w:color w:val="000000" w:themeColor="text1"/>
          <w:lang w:val="es-ES_tradnl" w:eastAsia="es-ES"/>
        </w:rPr>
        <w:t xml:space="preserve">El medio de impugnación fue presentado a través del </w:t>
      </w:r>
      <w:r w:rsidRPr="008A486A">
        <w:rPr>
          <w:rFonts w:ascii="Palatino Linotype" w:eastAsia="Calibri" w:hAnsi="Palatino Linotype" w:cs="Arial"/>
          <w:b/>
          <w:color w:val="000000" w:themeColor="text1"/>
          <w:lang w:val="es-ES_tradnl" w:eastAsia="es-ES"/>
        </w:rPr>
        <w:t>SAIMEX,</w:t>
      </w:r>
      <w:r w:rsidRPr="008A486A">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8A486A">
        <w:rPr>
          <w:rFonts w:ascii="Palatino Linotype" w:eastAsia="Calibri" w:hAnsi="Palatino Linotype" w:cs="Arial"/>
          <w:b/>
          <w:color w:val="000000" w:themeColor="text1"/>
          <w:lang w:val="es-ES_tradnl" w:eastAsia="es-ES"/>
        </w:rPr>
        <w:t>SUJETO OBLIGADO</w:t>
      </w:r>
      <w:r w:rsidRPr="008A486A">
        <w:rPr>
          <w:rFonts w:ascii="Palatino Linotype" w:eastAsia="Calibri" w:hAnsi="Palatino Linotype" w:cs="Arial"/>
          <w:color w:val="000000" w:themeColor="text1"/>
          <w:lang w:val="es-ES_tradnl" w:eastAsia="es-ES"/>
        </w:rPr>
        <w:t xml:space="preserve"> entregó respuesta el día </w:t>
      </w:r>
      <w:r w:rsidR="00F46616" w:rsidRPr="008A486A">
        <w:rPr>
          <w:rFonts w:ascii="Palatino Linotype" w:eastAsia="Calibri" w:hAnsi="Palatino Linotype" w:cs="Arial"/>
          <w:b/>
          <w:color w:val="000000" w:themeColor="text1"/>
          <w:lang w:val="es-ES_tradnl" w:eastAsia="es-ES"/>
        </w:rPr>
        <w:t>veintinueve de agosto</w:t>
      </w:r>
      <w:r w:rsidRPr="008A486A">
        <w:rPr>
          <w:rFonts w:ascii="Palatino Linotype" w:eastAsia="Calibri" w:hAnsi="Palatino Linotype" w:cs="Arial"/>
          <w:b/>
          <w:color w:val="000000" w:themeColor="text1"/>
          <w:lang w:val="es-ES_tradnl" w:eastAsia="es-ES"/>
        </w:rPr>
        <w:t xml:space="preserve"> de dos mil veinticinco</w:t>
      </w:r>
      <w:r w:rsidRPr="008A486A">
        <w:rPr>
          <w:rFonts w:ascii="Palatino Linotype" w:eastAsia="Calibri" w:hAnsi="Palatino Linotype" w:cs="Arial"/>
          <w:color w:val="000000" w:themeColor="text1"/>
          <w:lang w:val="es-ES_tradnl" w:eastAsia="es-ES"/>
        </w:rPr>
        <w:t xml:space="preserve">, </w:t>
      </w:r>
      <w:r w:rsidRPr="008A486A">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F46616" w:rsidRPr="008A486A">
        <w:rPr>
          <w:rFonts w:ascii="Palatino Linotype" w:eastAsiaTheme="minorEastAsia" w:hAnsi="Palatino Linotype" w:cs="Arial"/>
          <w:b/>
          <w:color w:val="000000" w:themeColor="text1"/>
          <w:lang w:val="es-ES_tradnl" w:eastAsia="es-ES"/>
        </w:rPr>
        <w:t>primero al veintidós de septiembre</w:t>
      </w:r>
      <w:r w:rsidRPr="008A486A">
        <w:rPr>
          <w:rFonts w:ascii="Palatino Linotype" w:eastAsiaTheme="minorEastAsia" w:hAnsi="Palatino Linotype" w:cs="Arial"/>
          <w:b/>
          <w:color w:val="000000" w:themeColor="text1"/>
          <w:lang w:val="es-ES_tradnl" w:eastAsia="es-ES"/>
        </w:rPr>
        <w:t xml:space="preserve"> de dos mil veinticinco</w:t>
      </w:r>
      <w:r w:rsidRPr="008A486A">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F46616" w:rsidRPr="008A486A">
        <w:rPr>
          <w:rFonts w:ascii="Palatino Linotype" w:eastAsiaTheme="minorEastAsia" w:hAnsi="Palatino Linotype" w:cs="Arial"/>
          <w:b/>
          <w:color w:val="000000" w:themeColor="text1"/>
          <w:lang w:val="es-ES_tradnl" w:eastAsia="es-ES"/>
        </w:rPr>
        <w:t>primero de septiembre</w:t>
      </w:r>
      <w:r w:rsidRPr="008A486A">
        <w:rPr>
          <w:rFonts w:ascii="Palatino Linotype" w:eastAsiaTheme="minorEastAsia" w:hAnsi="Palatino Linotype" w:cs="Arial"/>
          <w:b/>
          <w:color w:val="000000" w:themeColor="text1"/>
          <w:lang w:val="es-ES_tradnl" w:eastAsia="es-ES"/>
        </w:rPr>
        <w:t xml:space="preserve"> de dos mil veinticinco</w:t>
      </w:r>
      <w:r w:rsidRPr="008A486A">
        <w:rPr>
          <w:rFonts w:ascii="Palatino Linotype" w:eastAsiaTheme="minorEastAsia" w:hAnsi="Palatino Linotype" w:cs="Arial"/>
          <w:color w:val="000000" w:themeColor="text1"/>
          <w:lang w:val="es-ES_tradnl" w:eastAsia="es-ES"/>
        </w:rPr>
        <w:t xml:space="preserve">, se encuentra dentro de los márgenes </w:t>
      </w:r>
      <w:r w:rsidRPr="008A486A">
        <w:rPr>
          <w:rFonts w:ascii="Palatino Linotype" w:eastAsiaTheme="minorEastAsia" w:hAnsi="Palatino Linotype" w:cs="Arial"/>
          <w:color w:val="000000" w:themeColor="text1"/>
          <w:lang w:val="es-ES_tradnl" w:eastAsia="es-ES"/>
        </w:rPr>
        <w:lastRenderedPageBreak/>
        <w:t xml:space="preserve">temporales previstos en el artículo 178 de la </w:t>
      </w:r>
      <w:r w:rsidRPr="008A486A">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8A486A">
        <w:rPr>
          <w:rFonts w:ascii="Palatino Linotype" w:eastAsiaTheme="minorEastAsia" w:hAnsi="Palatino Linotype" w:cs="Arial"/>
          <w:color w:val="000000" w:themeColor="text1"/>
          <w:lang w:val="es-ES_tradnl" w:eastAsia="es-ES"/>
        </w:rPr>
        <w:t>vigente.</w:t>
      </w:r>
    </w:p>
    <w:p w:rsidR="00F46616" w:rsidRPr="008A486A" w:rsidRDefault="00F46616" w:rsidP="008A486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F46616" w:rsidRPr="008A486A" w:rsidRDefault="00F46616"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8A486A">
        <w:rPr>
          <w:rFonts w:ascii="Palatino Linotype" w:eastAsia="Calibri" w:hAnsi="Palatino Linotype" w:cs="Arial"/>
          <w:color w:val="000000" w:themeColor="text1"/>
          <w:lang w:val="es-ES_tradnl" w:eastAsia="es-ES"/>
        </w:rPr>
        <w:t xml:space="preserve">Por otra parte, de la revisión al expediente electrónico del </w:t>
      </w:r>
      <w:r w:rsidRPr="008A486A">
        <w:rPr>
          <w:rFonts w:ascii="Palatino Linotype" w:eastAsia="Calibri" w:hAnsi="Palatino Linotype" w:cs="Arial"/>
          <w:b/>
          <w:color w:val="000000" w:themeColor="text1"/>
          <w:lang w:val="es-ES_tradnl" w:eastAsia="es-ES"/>
        </w:rPr>
        <w:t>SAIMEX</w:t>
      </w:r>
      <w:r w:rsidRPr="008A486A">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46616" w:rsidRPr="008A486A" w:rsidRDefault="00F46616" w:rsidP="008A486A">
      <w:pPr>
        <w:pStyle w:val="Prrafodelista"/>
        <w:tabs>
          <w:tab w:val="left" w:pos="0"/>
        </w:tabs>
        <w:ind w:left="0"/>
        <w:rPr>
          <w:rFonts w:ascii="Palatino Linotype" w:eastAsia="Calibri" w:hAnsi="Palatino Linotype" w:cs="Arial"/>
          <w:color w:val="000000" w:themeColor="text1"/>
          <w:sz w:val="24"/>
          <w:lang w:val="es-ES_tradnl" w:eastAsia="es-ES"/>
        </w:rPr>
      </w:pPr>
    </w:p>
    <w:p w:rsidR="00F46616" w:rsidRPr="008A486A" w:rsidRDefault="00F46616"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8A486A">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8A486A">
        <w:rPr>
          <w:rFonts w:ascii="Palatino Linotype" w:eastAsia="Calibri" w:hAnsi="Palatino Linotype" w:cs="Arial"/>
          <w:bCs/>
          <w:color w:val="000000" w:themeColor="text1"/>
          <w:lang w:val="es-ES" w:eastAsia="es-ES"/>
        </w:rPr>
        <w:t>5, párrafos vigésimo, vigésimo primero y vigésimo segundo fracciones IV y V </w:t>
      </w:r>
      <w:r w:rsidRPr="008A486A">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46616" w:rsidRPr="008A486A" w:rsidRDefault="00F46616" w:rsidP="008A486A">
      <w:pPr>
        <w:pStyle w:val="Prrafodelista"/>
        <w:tabs>
          <w:tab w:val="left" w:pos="0"/>
        </w:tabs>
        <w:ind w:left="0"/>
        <w:rPr>
          <w:rFonts w:ascii="Palatino Linotype" w:eastAsia="Calibri" w:hAnsi="Palatino Linotype" w:cs="Arial"/>
          <w:color w:val="000000" w:themeColor="text1"/>
          <w:sz w:val="24"/>
          <w:lang w:val="es-ES_tradnl" w:eastAsia="es-ES"/>
        </w:rPr>
      </w:pPr>
    </w:p>
    <w:p w:rsidR="00F46616" w:rsidRPr="008A486A" w:rsidRDefault="00F46616"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8A486A">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w:t>
      </w:r>
      <w:r w:rsidRPr="008A486A">
        <w:rPr>
          <w:rFonts w:ascii="Palatino Linotype" w:eastAsia="Calibri" w:hAnsi="Palatino Linotype" w:cs="Arial"/>
          <w:color w:val="000000" w:themeColor="text1"/>
          <w:lang w:val="es-ES_tradnl" w:eastAsia="es-ES"/>
        </w:rPr>
        <w:lastRenderedPageBreak/>
        <w:t>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46616" w:rsidRPr="008A486A" w:rsidRDefault="00F46616" w:rsidP="008A486A">
      <w:pPr>
        <w:pStyle w:val="Prrafodelista"/>
        <w:tabs>
          <w:tab w:val="left" w:pos="0"/>
        </w:tabs>
        <w:ind w:left="0"/>
        <w:rPr>
          <w:rFonts w:ascii="Palatino Linotype" w:eastAsia="Calibri" w:hAnsi="Palatino Linotype" w:cs="Arial"/>
          <w:color w:val="000000" w:themeColor="text1"/>
          <w:sz w:val="24"/>
          <w:lang w:val="es-ES_tradnl" w:eastAsia="es-ES"/>
        </w:rPr>
      </w:pPr>
    </w:p>
    <w:p w:rsidR="00F46616" w:rsidRPr="008A486A" w:rsidRDefault="00F46616"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8A486A">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46616" w:rsidRPr="008A486A" w:rsidRDefault="00F46616" w:rsidP="008A486A">
      <w:pPr>
        <w:pStyle w:val="Prrafodelista"/>
        <w:tabs>
          <w:tab w:val="left" w:pos="0"/>
        </w:tabs>
        <w:ind w:left="0"/>
        <w:rPr>
          <w:rFonts w:ascii="Palatino Linotype" w:eastAsia="Calibri" w:hAnsi="Palatino Linotype" w:cs="Arial"/>
          <w:color w:val="000000" w:themeColor="text1"/>
          <w:sz w:val="24"/>
          <w:lang w:val="es-ES_tradnl" w:eastAsia="es-ES"/>
        </w:rPr>
      </w:pPr>
    </w:p>
    <w:p w:rsidR="00F46616" w:rsidRPr="008A486A" w:rsidRDefault="00F46616" w:rsidP="008A486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8A486A">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46616" w:rsidRPr="008A486A" w:rsidRDefault="00F46616" w:rsidP="008A486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CF6853" w:rsidRPr="008A486A" w:rsidRDefault="00CF6853" w:rsidP="008A486A">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8A486A">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6853" w:rsidRPr="008A486A" w:rsidRDefault="00CF6853" w:rsidP="008A486A">
      <w:pPr>
        <w:tabs>
          <w:tab w:val="left" w:pos="0"/>
        </w:tabs>
        <w:spacing w:line="360" w:lineRule="auto"/>
        <w:contextualSpacing/>
        <w:jc w:val="both"/>
        <w:rPr>
          <w:rFonts w:ascii="Palatino Linotype" w:eastAsia="Calibri" w:hAnsi="Palatino Linotype" w:cs="Arial"/>
          <w:b/>
          <w:color w:val="000000" w:themeColor="text1"/>
        </w:rPr>
      </w:pPr>
    </w:p>
    <w:p w:rsidR="00CF6853" w:rsidRPr="008A486A" w:rsidRDefault="00CF6853" w:rsidP="008A486A">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8A486A">
        <w:rPr>
          <w:rFonts w:ascii="Palatino Linotype" w:eastAsia="MS Mincho" w:hAnsi="Palatino Linotype" w:cstheme="majorBidi"/>
          <w:b/>
          <w:color w:val="000000" w:themeColor="text1"/>
          <w:lang w:val="es-ES_tradnl" w:eastAsia="es-ES"/>
        </w:rPr>
        <w:t>TERCERO. Planteamiento de la Litis</w:t>
      </w:r>
      <w:r w:rsidRPr="008A486A">
        <w:rPr>
          <w:rFonts w:ascii="Palatino Linotype" w:eastAsia="MS Gothic" w:hAnsi="Palatino Linotype"/>
          <w:b/>
          <w:color w:val="000000" w:themeColor="text1"/>
        </w:rPr>
        <w:t>.</w:t>
      </w:r>
      <w:bookmarkEnd w:id="17"/>
      <w:bookmarkEnd w:id="18"/>
    </w:p>
    <w:p w:rsidR="00F46616" w:rsidRPr="008A486A" w:rsidRDefault="00CF6853" w:rsidP="008A486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t xml:space="preserve">El particular solicitó, la nómina </w:t>
      </w:r>
      <w:r w:rsidR="00F46616" w:rsidRPr="008A486A">
        <w:rPr>
          <w:rFonts w:ascii="Palatino Linotype" w:hAnsi="Palatino Linotype" w:cs="Arial"/>
          <w:color w:val="000000" w:themeColor="text1"/>
          <w:sz w:val="24"/>
        </w:rPr>
        <w:t xml:space="preserve">completa correspondiente al mes de junio de dos mil veinticinco, en donde conste el nombre completo de los servidores públicos, cargo, sueldo bruto y neto, compensaciones, bonos, estímulos o cualquier ingreso adicional, tipo de contratación y fecha de ingreso en formato Excel. </w:t>
      </w:r>
    </w:p>
    <w:p w:rsidR="00CF6853" w:rsidRPr="008A486A" w:rsidRDefault="00F46616" w:rsidP="008A486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lastRenderedPageBreak/>
        <w:t xml:space="preserve">En respuesta, el Sujeto obligado entregó una liga electrónica en la que señaló que se podían consultar las percepciones de los actuales servidores públicos que conforman el Ayuntamiento. Posteriormente, el Recurrente interpuso recurso de revisión en el que se señaló su inconformidad, de forma medular, por la negativa de la información. </w:t>
      </w:r>
    </w:p>
    <w:p w:rsidR="00F46616" w:rsidRPr="008A486A" w:rsidRDefault="00F46616" w:rsidP="008A486A">
      <w:pPr>
        <w:pStyle w:val="Prrafodelista"/>
        <w:tabs>
          <w:tab w:val="left" w:pos="0"/>
        </w:tabs>
        <w:spacing w:line="360" w:lineRule="auto"/>
        <w:ind w:left="0"/>
        <w:jc w:val="both"/>
        <w:rPr>
          <w:rFonts w:ascii="Palatino Linotype" w:hAnsi="Palatino Linotype" w:cs="Arial"/>
          <w:i/>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8A486A">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8A486A">
        <w:rPr>
          <w:rFonts w:ascii="Palatino Linotype" w:hAnsi="Palatino Linotype"/>
          <w:color w:val="000000" w:themeColor="text1"/>
          <w:sz w:val="24"/>
        </w:rPr>
        <w:t>en el artículo 179, fracci</w:t>
      </w:r>
      <w:r w:rsidR="00F46616" w:rsidRPr="008A486A">
        <w:rPr>
          <w:rFonts w:ascii="Palatino Linotype" w:hAnsi="Palatino Linotype"/>
          <w:color w:val="000000" w:themeColor="text1"/>
          <w:sz w:val="24"/>
        </w:rPr>
        <w:t>ón I</w:t>
      </w:r>
      <w:r w:rsidRPr="008A486A">
        <w:rPr>
          <w:rFonts w:ascii="Palatino Linotype" w:hAnsi="Palatino Linotype"/>
          <w:color w:val="000000" w:themeColor="text1"/>
          <w:sz w:val="24"/>
        </w:rPr>
        <w:t xml:space="preserve"> de la Ley de Transparencia y Acceso a la Información Pública del Estado de México y Municipios; que establece la </w:t>
      </w:r>
      <w:r w:rsidR="00F46616" w:rsidRPr="008A486A">
        <w:rPr>
          <w:rFonts w:ascii="Palatino Linotype" w:hAnsi="Palatino Linotype"/>
          <w:color w:val="000000" w:themeColor="text1"/>
          <w:sz w:val="24"/>
        </w:rPr>
        <w:t xml:space="preserve">negativa de la información. </w:t>
      </w:r>
      <w:r w:rsidRPr="008A486A">
        <w:rPr>
          <w:rFonts w:ascii="Palatino Linotype" w:hAnsi="Palatino Linotype"/>
          <w:color w:val="000000" w:themeColor="text1"/>
          <w:sz w:val="24"/>
        </w:rPr>
        <w:t xml:space="preserve">  </w:t>
      </w:r>
    </w:p>
    <w:p w:rsidR="00CF6853" w:rsidRPr="008A486A" w:rsidRDefault="00CF6853" w:rsidP="008A486A">
      <w:pPr>
        <w:pStyle w:val="Prrafodelista"/>
        <w:tabs>
          <w:tab w:val="left" w:pos="0"/>
        </w:tabs>
        <w:spacing w:line="360" w:lineRule="auto"/>
        <w:ind w:left="0"/>
        <w:jc w:val="both"/>
        <w:rPr>
          <w:rFonts w:ascii="Palatino Linotype" w:eastAsia="MS Gothic" w:hAnsi="Palatino Linotype"/>
          <w:color w:val="000000" w:themeColor="text1"/>
          <w:sz w:val="24"/>
        </w:rPr>
      </w:pPr>
    </w:p>
    <w:p w:rsidR="00CF6853" w:rsidRPr="008A486A" w:rsidRDefault="00CF6853" w:rsidP="008A486A">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8A486A">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rsidR="00CF6853" w:rsidRPr="008A486A" w:rsidRDefault="00CF6853" w:rsidP="008A486A">
      <w:pPr>
        <w:pStyle w:val="Ttulo1"/>
        <w:tabs>
          <w:tab w:val="left" w:pos="0"/>
        </w:tabs>
        <w:spacing w:before="0" w:line="360" w:lineRule="auto"/>
        <w:rPr>
          <w:rFonts w:ascii="Palatino Linotype" w:hAnsi="Palatino Linotype"/>
          <w:b/>
          <w:color w:val="000000" w:themeColor="text1"/>
          <w:sz w:val="24"/>
          <w:szCs w:val="24"/>
        </w:rPr>
      </w:pPr>
      <w:bookmarkStart w:id="21" w:name="_Toc80812777"/>
      <w:bookmarkStart w:id="22" w:name="_Toc83301641"/>
      <w:bookmarkStart w:id="23" w:name="_Toc94119617"/>
      <w:r w:rsidRPr="008A486A">
        <w:rPr>
          <w:rFonts w:ascii="Palatino Linotype" w:hAnsi="Palatino Linotype"/>
          <w:b/>
          <w:color w:val="000000" w:themeColor="text1"/>
          <w:sz w:val="24"/>
          <w:szCs w:val="24"/>
        </w:rPr>
        <w:t>De la información solicitada</w:t>
      </w:r>
      <w:bookmarkEnd w:id="21"/>
      <w:bookmarkEnd w:id="22"/>
      <w:r w:rsidRPr="008A486A">
        <w:rPr>
          <w:rFonts w:ascii="Palatino Linotype" w:hAnsi="Palatino Linotype"/>
          <w:b/>
          <w:color w:val="000000" w:themeColor="text1"/>
          <w:sz w:val="24"/>
          <w:szCs w:val="24"/>
        </w:rPr>
        <w:t xml:space="preserve"> y la respuesta del Sujeto Obligado</w:t>
      </w:r>
      <w:bookmarkEnd w:id="23"/>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8A486A">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F6853" w:rsidRPr="008A486A" w:rsidRDefault="00CF6853" w:rsidP="008A486A">
      <w:pPr>
        <w:pStyle w:val="Prrafodelista"/>
        <w:tabs>
          <w:tab w:val="left" w:pos="0"/>
        </w:tabs>
        <w:spacing w:line="360" w:lineRule="auto"/>
        <w:ind w:left="0"/>
        <w:jc w:val="both"/>
        <w:rPr>
          <w:rFonts w:ascii="Palatino Linotype" w:eastAsia="Calibri" w:hAnsi="Palatino Linotype" w:cs="Arial"/>
          <w:color w:val="000000" w:themeColor="text1"/>
          <w:sz w:val="24"/>
        </w:rPr>
      </w:pPr>
    </w:p>
    <w:p w:rsidR="00F46616" w:rsidRPr="008A486A"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8A486A">
        <w:rPr>
          <w:rFonts w:ascii="Palatino Linotype" w:eastAsia="Calibri" w:hAnsi="Palatino Linotype" w:cs="Arial"/>
          <w:color w:val="000000" w:themeColor="text1"/>
          <w:sz w:val="24"/>
        </w:rPr>
        <w:t xml:space="preserve">Primeramente, debemos recapitular que el particular </w:t>
      </w:r>
      <w:r w:rsidRPr="008A486A">
        <w:rPr>
          <w:rFonts w:ascii="Palatino Linotype" w:hAnsi="Palatino Linotype" w:cs="Arial"/>
          <w:color w:val="000000" w:themeColor="text1"/>
          <w:sz w:val="24"/>
        </w:rPr>
        <w:t>solicitó</w:t>
      </w:r>
      <w:r w:rsidRPr="008A486A">
        <w:rPr>
          <w:rFonts w:ascii="Palatino Linotype" w:hAnsi="Palatino Linotype"/>
          <w:i/>
          <w:color w:val="000000" w:themeColor="text1"/>
          <w:sz w:val="24"/>
          <w:lang w:val="es-ES"/>
        </w:rPr>
        <w:t xml:space="preserve"> </w:t>
      </w:r>
      <w:r w:rsidR="00F46616" w:rsidRPr="008A486A">
        <w:rPr>
          <w:rFonts w:ascii="Palatino Linotype" w:hAnsi="Palatino Linotype" w:cs="Arial"/>
          <w:color w:val="000000" w:themeColor="text1"/>
          <w:sz w:val="24"/>
        </w:rPr>
        <w:t>la nómina completa correspondiente al mes de junio de dos mil veinticinco, en donde conste el nombre completo de los servidores públicos, cargo, sueldo bruto y neto, compensaciones, bonos, estímulos o cualquier ingreso adicional, tipo de contratación y fecha de ingreso en formato Excel.</w:t>
      </w:r>
    </w:p>
    <w:p w:rsidR="00CF6853" w:rsidRPr="008A486A" w:rsidRDefault="00CF6853" w:rsidP="008A486A">
      <w:pPr>
        <w:pStyle w:val="Prrafodelista"/>
        <w:tabs>
          <w:tab w:val="left" w:pos="0"/>
        </w:tabs>
        <w:rPr>
          <w:rFonts w:ascii="Palatino Linotype" w:hAnsi="Palatino Linotype" w:cs="Arial"/>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8A486A">
        <w:rPr>
          <w:rFonts w:ascii="Palatino Linotype" w:hAnsi="Palatino Linotype" w:cs="Arial"/>
          <w:color w:val="000000" w:themeColor="text1"/>
          <w:sz w:val="24"/>
        </w:rPr>
        <w:lastRenderedPageBreak/>
        <w:t xml:space="preserve">Ahora bien, para determinar la naturaleza de la información solicitada, es menester señalar </w:t>
      </w:r>
      <w:r w:rsidRPr="008A486A">
        <w:rPr>
          <w:rFonts w:ascii="Palatino Linotype" w:eastAsia="Palatino Linotype" w:hAnsi="Palatino Linotype" w:cs="Palatino Linotype"/>
          <w:color w:val="000000" w:themeColor="text1"/>
          <w:sz w:val="24"/>
        </w:rPr>
        <w:t xml:space="preserve">el artículo 350 del Código Financiero del Estado de México y Municipios, establece que establece que, de manera trimestral, dentro de los primeros veinte días hábiles posteriores al término del trimestre que se informa, se enviarán para su análisis y evaluación al Órgano Superior de Fiscalización del Estado de México, la información Patrimonial, Presupuestal, de la Obra Pública y </w:t>
      </w:r>
      <w:r w:rsidRPr="008A486A">
        <w:rPr>
          <w:rFonts w:ascii="Palatino Linotype" w:eastAsia="Palatino Linotype" w:hAnsi="Palatino Linotype" w:cs="Palatino Linotype"/>
          <w:b/>
          <w:color w:val="000000" w:themeColor="text1"/>
          <w:sz w:val="24"/>
        </w:rPr>
        <w:t>de Nómina.</w:t>
      </w:r>
    </w:p>
    <w:p w:rsidR="00CF6853" w:rsidRPr="008A486A" w:rsidRDefault="00CF6853" w:rsidP="008A486A">
      <w:pPr>
        <w:pStyle w:val="Prrafodelista"/>
        <w:tabs>
          <w:tab w:val="left" w:pos="0"/>
        </w:tabs>
        <w:rPr>
          <w:rFonts w:ascii="Palatino Linotype" w:eastAsia="Palatino Linotype" w:hAnsi="Palatino Linotype" w:cs="Palatino Linotype"/>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8A486A">
        <w:rPr>
          <w:rFonts w:ascii="Palatino Linotype" w:eastAsia="Palatino Linotype" w:hAnsi="Palatino Linotype" w:cs="Palatino Linotype"/>
          <w:color w:val="000000" w:themeColor="text1"/>
          <w:sz w:val="24"/>
        </w:rPr>
        <w:t xml:space="preserve">En ese sentido, los Lineamientos para la Integración del Informe Trimestral de los Sujetos de Fiscalización Municipales, para los ejercicios fiscales dos mil veintidós y veintidós, se advierte que el </w:t>
      </w:r>
      <w:r w:rsidRPr="008A486A">
        <w:rPr>
          <w:rFonts w:ascii="Palatino Linotype" w:eastAsia="Palatino Linotype" w:hAnsi="Palatino Linotype" w:cs="Palatino Linotype"/>
          <w:b/>
          <w:color w:val="000000" w:themeColor="text1"/>
          <w:sz w:val="24"/>
        </w:rPr>
        <w:t>Módulo 4</w:t>
      </w:r>
      <w:r w:rsidRPr="008A486A">
        <w:rPr>
          <w:rFonts w:ascii="Palatino Linotype" w:eastAsia="Palatino Linotype" w:hAnsi="Palatino Linotype" w:cs="Palatino Linotype"/>
          <w:color w:val="000000" w:themeColor="text1"/>
          <w:sz w:val="24"/>
        </w:rPr>
        <w:t xml:space="preserve">, se integra por diversos documentos, entre los que se encuentra </w:t>
      </w:r>
      <w:r w:rsidRPr="008A486A">
        <w:rPr>
          <w:rFonts w:ascii="Palatino Linotype" w:eastAsia="Palatino Linotype" w:hAnsi="Palatino Linotype" w:cs="Palatino Linotype"/>
          <w:b/>
          <w:color w:val="000000" w:themeColor="text1"/>
          <w:sz w:val="24"/>
        </w:rPr>
        <w:t>la Conciliación de la Nómina,</w:t>
      </w:r>
      <w:r w:rsidRPr="008A486A">
        <w:rPr>
          <w:rFonts w:ascii="Palatino Linotype" w:eastAsia="Palatino Linotype" w:hAnsi="Palatino Linotype" w:cs="Palatino Linotype"/>
          <w:color w:val="000000" w:themeColor="text1"/>
          <w:sz w:val="24"/>
        </w:rPr>
        <w:t xml:space="preserve"> mismo que serán entregados al Órgano Superior de Fiscalización del Estado de México, tal como se muestra a continuación:</w:t>
      </w:r>
    </w:p>
    <w:p w:rsidR="00CF6853" w:rsidRPr="008A486A" w:rsidRDefault="00CF6853" w:rsidP="008A486A">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8A486A">
        <w:rPr>
          <w:rFonts w:ascii="Palatino Linotype" w:hAnsi="Palatino Linotype" w:cs="Arial"/>
          <w:i/>
          <w:noProof/>
          <w:color w:val="000000" w:themeColor="text1"/>
          <w:sz w:val="24"/>
        </w:rPr>
        <w:drawing>
          <wp:inline distT="0" distB="0" distL="0" distR="0" wp14:anchorId="15DA30BC" wp14:editId="6E8C649A">
            <wp:extent cx="5612130" cy="25660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566035"/>
                    </a:xfrm>
                    <a:prstGeom prst="rect">
                      <a:avLst/>
                    </a:prstGeom>
                  </pic:spPr>
                </pic:pic>
              </a:graphicData>
            </a:graphic>
          </wp:inline>
        </w:drawing>
      </w:r>
    </w:p>
    <w:p w:rsidR="00CF6853" w:rsidRPr="008A486A" w:rsidRDefault="00CF6853" w:rsidP="008A486A">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8A486A">
        <w:rPr>
          <w:rFonts w:ascii="Palatino Linotype" w:hAnsi="Palatino Linotype" w:cs="Arial"/>
          <w:i/>
          <w:noProof/>
          <w:color w:val="000000" w:themeColor="text1"/>
          <w:sz w:val="24"/>
        </w:rPr>
        <w:drawing>
          <wp:inline distT="0" distB="0" distL="0" distR="0" wp14:anchorId="1AFC4CA7" wp14:editId="5C155AF0">
            <wp:extent cx="5612130" cy="12825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5278" cy="1287825"/>
                    </a:xfrm>
                    <a:prstGeom prst="rect">
                      <a:avLst/>
                    </a:prstGeom>
                  </pic:spPr>
                </pic:pic>
              </a:graphicData>
            </a:graphic>
          </wp:inline>
        </w:drawing>
      </w:r>
    </w:p>
    <w:p w:rsidR="00CF6853" w:rsidRPr="008A486A" w:rsidRDefault="00CF6853" w:rsidP="008A486A">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8A486A">
        <w:rPr>
          <w:rFonts w:ascii="Palatino Linotype" w:hAnsi="Palatino Linotype" w:cs="Arial"/>
          <w:i/>
          <w:noProof/>
          <w:color w:val="000000" w:themeColor="text1"/>
          <w:sz w:val="24"/>
        </w:rPr>
        <w:lastRenderedPageBreak/>
        <w:drawing>
          <wp:inline distT="0" distB="0" distL="0" distR="0" wp14:anchorId="3A4E92D6" wp14:editId="7363F9ED">
            <wp:extent cx="5067300" cy="5664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7159" cy="5675550"/>
                    </a:xfrm>
                    <a:prstGeom prst="rect">
                      <a:avLst/>
                    </a:prstGeom>
                  </pic:spPr>
                </pic:pic>
              </a:graphicData>
            </a:graphic>
          </wp:inline>
        </w:drawing>
      </w:r>
    </w:p>
    <w:p w:rsidR="00CF6853" w:rsidRPr="008A486A" w:rsidRDefault="00CF6853" w:rsidP="008A486A">
      <w:pPr>
        <w:pStyle w:val="Prrafodelista"/>
        <w:tabs>
          <w:tab w:val="left" w:pos="0"/>
        </w:tabs>
        <w:rPr>
          <w:rFonts w:ascii="Palatino Linotype" w:hAnsi="Palatino Linotype" w:cs="Arial"/>
          <w:color w:val="000000" w:themeColor="text1"/>
          <w:sz w:val="24"/>
        </w:rPr>
      </w:pPr>
    </w:p>
    <w:p w:rsidR="00CF6853" w:rsidRPr="008A486A" w:rsidRDefault="00CF6853" w:rsidP="008A486A">
      <w:pPr>
        <w:pStyle w:val="Prrafodelista"/>
        <w:numPr>
          <w:ilvl w:val="0"/>
          <w:numId w:val="1"/>
        </w:numPr>
        <w:tabs>
          <w:tab w:val="left" w:pos="0"/>
          <w:tab w:val="left" w:pos="426"/>
        </w:tabs>
        <w:spacing w:before="240" w:after="360" w:line="360" w:lineRule="auto"/>
        <w:ind w:left="0" w:firstLine="0"/>
        <w:jc w:val="both"/>
        <w:rPr>
          <w:rFonts w:ascii="Palatino Linotype" w:hAnsi="Palatino Linotype" w:cs="Arial"/>
          <w:i/>
          <w:color w:val="000000" w:themeColor="text1"/>
          <w:sz w:val="24"/>
        </w:rPr>
      </w:pPr>
      <w:r w:rsidRPr="008A486A">
        <w:rPr>
          <w:rFonts w:ascii="Palatino Linotype" w:hAnsi="Palatino Linotype" w:cs="Arial"/>
          <w:color w:val="000000" w:themeColor="text1"/>
          <w:sz w:val="24"/>
        </w:rPr>
        <w:t xml:space="preserve">En ese sentido, se advierte que el Sujeto Obligado debió entregar al Órgano Superior de Fiscalización del Estado de México, el concentrado de la información correspondiente a la Conciliación de Nómina para su respectiva revisión y fiscalización, siendo este el documentos que contiene los sueldos y salarios de los servidores públicos, por lo tanto, con </w:t>
      </w:r>
      <w:r w:rsidRPr="008A486A">
        <w:rPr>
          <w:rFonts w:ascii="Palatino Linotype" w:hAnsi="Palatino Linotype" w:cs="Arial"/>
          <w:color w:val="000000" w:themeColor="text1"/>
          <w:sz w:val="24"/>
        </w:rPr>
        <w:lastRenderedPageBreak/>
        <w:t xml:space="preserve">la entrega de ese documento, el Sujeto Obligado puede colmar el derecho de acceso a la información del particular. </w:t>
      </w:r>
    </w:p>
    <w:p w:rsidR="00CF6853" w:rsidRPr="008A486A" w:rsidRDefault="00CF6853"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CF6853" w:rsidRPr="008A486A" w:rsidRDefault="00CF6853" w:rsidP="008A486A">
      <w:pPr>
        <w:tabs>
          <w:tab w:val="left" w:pos="0"/>
        </w:tabs>
        <w:ind w:left="851"/>
        <w:jc w:val="both"/>
        <w:rPr>
          <w:rFonts w:ascii="Palatino Linotype" w:eastAsia="Palatino Linotype" w:hAnsi="Palatino Linotype" w:cs="Palatino Linotype"/>
          <w:i/>
          <w:color w:val="000000" w:themeColor="text1"/>
          <w:u w:val="single"/>
        </w:rPr>
      </w:pPr>
      <w:r w:rsidRPr="008A486A">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8A486A">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8A486A">
        <w:rPr>
          <w:rFonts w:ascii="Palatino Linotype" w:eastAsia="Palatino Linotype" w:hAnsi="Palatino Linotype" w:cs="Palatino Linotype"/>
          <w:b/>
          <w:i/>
          <w:color w:val="000000" w:themeColor="text1"/>
          <w:u w:val="single"/>
        </w:rPr>
        <w:t>que reciba y ejerza recursos públicos</w:t>
      </w:r>
      <w:r w:rsidRPr="008A486A">
        <w:rPr>
          <w:rFonts w:ascii="Palatino Linotype" w:eastAsia="Palatino Linotype" w:hAnsi="Palatino Linotype" w:cs="Palatino Linotype"/>
          <w:i/>
          <w:color w:val="000000" w:themeColor="text1"/>
        </w:rPr>
        <w:t xml:space="preserve"> o realice actos de autoridad </w:t>
      </w:r>
      <w:r w:rsidRPr="008A486A">
        <w:rPr>
          <w:rFonts w:ascii="Palatino Linotype" w:eastAsia="Palatino Linotype" w:hAnsi="Palatino Linotype" w:cs="Palatino Linotype"/>
          <w:b/>
          <w:i/>
          <w:color w:val="000000" w:themeColor="text1"/>
          <w:u w:val="single"/>
        </w:rPr>
        <w:t>en el ámbito de competencia del Estado de México y sus municipios</w:t>
      </w:r>
      <w:r w:rsidRPr="008A486A">
        <w:rPr>
          <w:rFonts w:ascii="Palatino Linotype" w:eastAsia="Palatino Linotype" w:hAnsi="Palatino Linotype" w:cs="Palatino Linotype"/>
          <w:i/>
          <w:color w:val="000000" w:themeColor="text1"/>
          <w:u w:val="single"/>
        </w:rPr>
        <w:t>.</w:t>
      </w:r>
    </w:p>
    <w:p w:rsidR="00CF6853" w:rsidRPr="008A486A" w:rsidRDefault="00CF6853" w:rsidP="008A486A">
      <w:pPr>
        <w:tabs>
          <w:tab w:val="left" w:pos="0"/>
        </w:tabs>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Artículo 23. Son sujetos obligados a transparentar y permitir el acceso a su información y proteger los datos personales que obren en su poder:</w:t>
      </w:r>
    </w:p>
    <w:p w:rsidR="00CF6853" w:rsidRPr="008A486A" w:rsidRDefault="00CF6853" w:rsidP="008A486A">
      <w:pPr>
        <w:tabs>
          <w:tab w:val="left" w:pos="0"/>
        </w:tabs>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b/>
          <w:i/>
          <w:color w:val="000000" w:themeColor="text1"/>
          <w:u w:val="single"/>
        </w:rPr>
      </w:pPr>
      <w:r w:rsidRPr="008A486A">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rsidR="00CF6853" w:rsidRPr="008A486A" w:rsidRDefault="00CF6853" w:rsidP="008A486A">
      <w:pPr>
        <w:tabs>
          <w:tab w:val="left" w:pos="0"/>
        </w:tabs>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b/>
          <w:i/>
          <w:color w:val="000000" w:themeColor="text1"/>
          <w:u w:val="single"/>
        </w:rPr>
      </w:pPr>
      <w:r w:rsidRPr="008A486A">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F6853" w:rsidRPr="008A486A" w:rsidRDefault="00CF6853" w:rsidP="008A486A">
      <w:pPr>
        <w:tabs>
          <w:tab w:val="left" w:pos="0"/>
        </w:tabs>
        <w:ind w:left="851"/>
        <w:jc w:val="both"/>
        <w:rPr>
          <w:rFonts w:ascii="Palatino Linotype" w:eastAsia="Palatino Linotype" w:hAnsi="Palatino Linotype" w:cs="Palatino Linotype"/>
          <w:b/>
          <w:i/>
          <w:color w:val="000000" w:themeColor="text1"/>
        </w:rPr>
      </w:pPr>
      <w:r w:rsidRPr="008A486A">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8A486A">
        <w:rPr>
          <w:rFonts w:ascii="Palatino Linotype" w:eastAsia="Palatino Linotype" w:hAnsi="Palatino Linotype" w:cs="Palatino Linotype"/>
          <w:b/>
          <w:i/>
          <w:color w:val="000000" w:themeColor="text1"/>
        </w:rPr>
        <w:t xml:space="preserve"> [Sic]</w:t>
      </w:r>
    </w:p>
    <w:p w:rsidR="00CF6853" w:rsidRPr="008A486A" w:rsidRDefault="00CF6853"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lastRenderedPageBreak/>
        <w:t xml:space="preserve">Sirve de sustento por analogía, para justificar la publicidad sobre los datos relativos a los montos por concepto de pago de las remuneraciones, los criterios </w:t>
      </w:r>
      <w:r w:rsidRPr="008A486A">
        <w:rPr>
          <w:rFonts w:ascii="Palatino Linotype" w:eastAsia="Palatino Linotype" w:hAnsi="Palatino Linotype" w:cs="Palatino Linotype"/>
          <w:b/>
          <w:color w:val="000000" w:themeColor="text1"/>
        </w:rPr>
        <w:t>01/2003</w:t>
      </w:r>
      <w:r w:rsidRPr="008A486A">
        <w:rPr>
          <w:rFonts w:ascii="Palatino Linotype" w:eastAsia="Palatino Linotype" w:hAnsi="Palatino Linotype" w:cs="Palatino Linotype"/>
          <w:color w:val="000000" w:themeColor="text1"/>
        </w:rPr>
        <w:t xml:space="preserve"> y </w:t>
      </w:r>
      <w:r w:rsidRPr="008A486A">
        <w:rPr>
          <w:rFonts w:ascii="Palatino Linotype" w:eastAsia="Palatino Linotype" w:hAnsi="Palatino Linotype" w:cs="Palatino Linotype"/>
          <w:b/>
          <w:color w:val="000000" w:themeColor="text1"/>
        </w:rPr>
        <w:t>02/2003</w:t>
      </w:r>
      <w:r w:rsidRPr="008A486A">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rsidR="00CF6853" w:rsidRPr="008A486A" w:rsidRDefault="00CF6853" w:rsidP="008A486A">
      <w:pPr>
        <w:tabs>
          <w:tab w:val="left" w:pos="0"/>
        </w:tabs>
        <w:spacing w:line="276" w:lineRule="auto"/>
        <w:ind w:left="851"/>
        <w:rPr>
          <w:rFonts w:ascii="Palatino Linotype" w:eastAsia="Palatino Linotype" w:hAnsi="Palatino Linotype" w:cs="Palatino Linotype"/>
          <w:b/>
          <w:i/>
          <w:color w:val="000000" w:themeColor="text1"/>
        </w:rPr>
      </w:pPr>
      <w:r w:rsidRPr="008A486A">
        <w:rPr>
          <w:rFonts w:ascii="Palatino Linotype" w:eastAsia="Palatino Linotype" w:hAnsi="Palatino Linotype" w:cs="Palatino Linotype"/>
          <w:b/>
          <w:i/>
          <w:color w:val="000000" w:themeColor="text1"/>
        </w:rPr>
        <w:t>“Criterio 01/2003.</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8A486A">
        <w:rPr>
          <w:rFonts w:ascii="Palatino Linotype" w:eastAsia="Palatino Linotype" w:hAnsi="Palatino Linotype" w:cs="Palatino Linotype"/>
          <w:i/>
          <w:color w:val="000000" w:themeColor="text1"/>
        </w:rPr>
        <w:t xml:space="preserve"> </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u w:val="single"/>
        </w:rPr>
      </w:pPr>
      <w:r w:rsidRPr="008A486A">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A486A">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A486A">
        <w:rPr>
          <w:rFonts w:ascii="Palatino Linotype" w:eastAsia="Palatino Linotype" w:hAnsi="Palatino Linotype" w:cs="Palatino Linotype"/>
          <w:i/>
          <w:color w:val="000000" w:themeColor="text1"/>
          <w:u w:val="single"/>
        </w:rPr>
        <w:t>…”</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p>
    <w:p w:rsidR="00CF6853" w:rsidRPr="008A486A" w:rsidRDefault="00CF6853" w:rsidP="008A486A">
      <w:pPr>
        <w:tabs>
          <w:tab w:val="left" w:pos="0"/>
        </w:tabs>
        <w:spacing w:line="276" w:lineRule="auto"/>
        <w:ind w:left="851"/>
        <w:rPr>
          <w:rFonts w:ascii="Palatino Linotype" w:eastAsia="Palatino Linotype" w:hAnsi="Palatino Linotype" w:cs="Palatino Linotype"/>
          <w:b/>
          <w:i/>
          <w:color w:val="000000" w:themeColor="text1"/>
        </w:rPr>
      </w:pPr>
      <w:r w:rsidRPr="008A486A">
        <w:rPr>
          <w:rFonts w:ascii="Palatino Linotype" w:eastAsia="Palatino Linotype" w:hAnsi="Palatino Linotype" w:cs="Palatino Linotype"/>
          <w:b/>
          <w:i/>
          <w:color w:val="000000" w:themeColor="text1"/>
        </w:rPr>
        <w:t>“Criterio 02/2003.</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8A486A">
        <w:rPr>
          <w:rFonts w:ascii="Palatino Linotype" w:eastAsia="Palatino Linotype" w:hAnsi="Palatino Linotype" w:cs="Palatino Linotype"/>
          <w:i/>
          <w:color w:val="000000" w:themeColor="text1"/>
        </w:rPr>
        <w:t xml:space="preserve"> </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b/>
          <w:i/>
          <w:color w:val="000000" w:themeColor="text1"/>
        </w:rPr>
      </w:pPr>
      <w:r w:rsidRPr="008A486A">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w:t>
      </w:r>
      <w:r w:rsidRPr="008A486A">
        <w:rPr>
          <w:rFonts w:ascii="Palatino Linotype" w:eastAsia="Palatino Linotype" w:hAnsi="Palatino Linotype" w:cs="Palatino Linotype"/>
          <w:i/>
          <w:color w:val="000000" w:themeColor="text1"/>
        </w:rPr>
        <w:lastRenderedPageBreak/>
        <w:t xml:space="preserve">relativos a su patrimonio, para su difusión no se requiere consentimiento de aquellos, </w:t>
      </w:r>
      <w:r w:rsidRPr="008A486A">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A486A">
        <w:rPr>
          <w:rFonts w:ascii="Palatino Linotype" w:eastAsia="Palatino Linotype" w:hAnsi="Palatino Linotype" w:cs="Palatino Linotype"/>
          <w:i/>
          <w:color w:val="000000" w:themeColor="text1"/>
        </w:rPr>
        <w:t xml:space="preserve"> el sistema de compensación…” </w:t>
      </w:r>
      <w:r w:rsidRPr="008A486A">
        <w:rPr>
          <w:rFonts w:ascii="Palatino Linotype" w:eastAsia="Palatino Linotype" w:hAnsi="Palatino Linotype" w:cs="Palatino Linotype"/>
          <w:b/>
          <w:i/>
          <w:color w:val="000000" w:themeColor="text1"/>
        </w:rPr>
        <w:t>[Sic]</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b/>
          <w:i/>
          <w:color w:val="000000" w:themeColor="text1"/>
        </w:rPr>
      </w:pPr>
    </w:p>
    <w:p w:rsidR="00CF6853" w:rsidRPr="008A486A" w:rsidRDefault="00CF6853"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Máxime, que se trata de una obligación de transparencia en términos de lo señalado por el artículo 92 fracción  de la Ley de Transparencia y Acceso a la Información Pública del Estado de México y Municipios vigente, que señala:</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w:t>
      </w:r>
    </w:p>
    <w:p w:rsidR="00CF6853" w:rsidRPr="008A486A" w:rsidRDefault="00CF6853" w:rsidP="008A486A">
      <w:pPr>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 xml:space="preserve">VIII. </w:t>
      </w:r>
      <w:r w:rsidRPr="008A486A">
        <w:rPr>
          <w:rFonts w:ascii="Palatino Linotype" w:eastAsia="Palatino Linotype" w:hAnsi="Palatino Linotype" w:cs="Palatino Linotype"/>
          <w:i/>
          <w:color w:val="000000" w:themeColor="text1"/>
          <w:u w:val="single"/>
        </w:rPr>
        <w:t>La remuneración bruta y neta de todos los servidores públicos de base o de confianza, de todas las percepciones, incluyendo sueldos, prestaciones, gratificaciones, primas, comisiones, dietas, bonos, estímulos, ingresos y sistemas de compensación</w:t>
      </w:r>
      <w:r w:rsidRPr="008A486A">
        <w:rPr>
          <w:rFonts w:ascii="Palatino Linotype" w:eastAsia="Palatino Linotype" w:hAnsi="Palatino Linotype" w:cs="Palatino Linotype"/>
          <w:i/>
          <w:color w:val="000000" w:themeColor="text1"/>
        </w:rPr>
        <w:t>, señalando la periodicidad de dicha remuneración;</w:t>
      </w:r>
    </w:p>
    <w:p w:rsidR="00CF6853" w:rsidRPr="008A486A" w:rsidRDefault="00CF6853" w:rsidP="008A486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F46616" w:rsidRPr="008A486A" w:rsidRDefault="00F46616" w:rsidP="008A486A">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8A486A">
        <w:rPr>
          <w:rFonts w:ascii="Palatino Linotype" w:eastAsia="MS Mincho" w:hAnsi="Palatino Linotype" w:cs="Arial"/>
          <w:color w:val="000000" w:themeColor="text1"/>
          <w:sz w:val="24"/>
          <w:lang w:val="es-ES_tradnl" w:eastAsia="es-ES"/>
        </w:rPr>
        <w:t xml:space="preserve">En ese sentido, se puede advertir que de manera enunciativa, la información que puede dar cuenta de lo solicitado es la conciliación de nómina, que contiene toda la información requerida por el Recurrente. </w:t>
      </w:r>
    </w:p>
    <w:p w:rsidR="00F46616" w:rsidRPr="008A486A" w:rsidRDefault="00F46616" w:rsidP="008A486A">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8A486A">
        <w:rPr>
          <w:rFonts w:ascii="Palatino Linotype" w:eastAsia="MS Mincho" w:hAnsi="Palatino Linotype"/>
          <w:color w:val="000000" w:themeColor="text1"/>
          <w:sz w:val="24"/>
        </w:rPr>
        <w:t xml:space="preserve">Ahora bien,  debemos mencionar que el acceso a la información es un derecho humano constitucional y convencionalmente reconocido y para tal efecto </w:t>
      </w:r>
      <w:r w:rsidRPr="008A486A">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8A486A">
        <w:rPr>
          <w:rFonts w:ascii="Palatino Linotype" w:eastAsia="Calibri" w:hAnsi="Palatino Linotype"/>
          <w:i/>
          <w:color w:val="000000" w:themeColor="text1"/>
          <w:sz w:val="24"/>
          <w:lang w:val="es-ES"/>
        </w:rPr>
        <w:t xml:space="preserve">en el ámbito de sus atribuciones, de promover, respetar, </w:t>
      </w:r>
      <w:r w:rsidRPr="008A486A">
        <w:rPr>
          <w:rFonts w:ascii="Palatino Linotype" w:eastAsia="Calibri" w:hAnsi="Palatino Linotype"/>
          <w:i/>
          <w:color w:val="000000" w:themeColor="text1"/>
          <w:sz w:val="24"/>
          <w:lang w:val="es-ES"/>
        </w:rPr>
        <w:lastRenderedPageBreak/>
        <w:t xml:space="preserve">proteger y </w:t>
      </w:r>
      <w:r w:rsidRPr="008A486A">
        <w:rPr>
          <w:rFonts w:ascii="Palatino Linotype" w:eastAsia="Calibri" w:hAnsi="Palatino Linotype"/>
          <w:b/>
          <w:i/>
          <w:color w:val="000000" w:themeColor="text1"/>
          <w:sz w:val="24"/>
          <w:lang w:val="es-ES"/>
        </w:rPr>
        <w:t>garantizar</w:t>
      </w:r>
      <w:r w:rsidRPr="008A486A">
        <w:rPr>
          <w:rFonts w:ascii="Palatino Linotype" w:eastAsia="Calibri" w:hAnsi="Palatino Linotype"/>
          <w:i/>
          <w:color w:val="000000" w:themeColor="text1"/>
          <w:sz w:val="24"/>
          <w:lang w:val="es-ES"/>
        </w:rPr>
        <w:t xml:space="preserve"> los derechos humanos. </w:t>
      </w:r>
      <w:r w:rsidRPr="008A486A">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8A486A">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8A486A">
        <w:rPr>
          <w:rStyle w:val="Refdenotaalpie"/>
          <w:rFonts w:ascii="Palatino Linotype" w:hAnsi="Palatino Linotype"/>
          <w:i/>
          <w:color w:val="000000" w:themeColor="text1"/>
          <w:sz w:val="24"/>
        </w:rPr>
        <w:footnoteReference w:id="1"/>
      </w:r>
      <w:r w:rsidRPr="008A486A">
        <w:rPr>
          <w:rFonts w:ascii="Palatino Linotype" w:hAnsi="Palatino Linotype"/>
          <w:i/>
          <w:color w:val="000000" w:themeColor="text1"/>
          <w:sz w:val="24"/>
        </w:rPr>
        <w:t xml:space="preserve">, </w:t>
      </w:r>
      <w:r w:rsidRPr="008A486A">
        <w:rPr>
          <w:rFonts w:ascii="Palatino Linotype" w:hAnsi="Palatino Linotype"/>
          <w:color w:val="000000" w:themeColor="text1"/>
          <w:sz w:val="24"/>
        </w:rPr>
        <w:t>asimismo establece</w:t>
      </w:r>
      <w:r w:rsidRPr="008A486A">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F6853" w:rsidRPr="008A486A" w:rsidRDefault="00CF6853" w:rsidP="008A486A">
      <w:pPr>
        <w:pStyle w:val="Prrafodelista"/>
        <w:tabs>
          <w:tab w:val="left" w:pos="0"/>
        </w:tabs>
        <w:rPr>
          <w:rFonts w:ascii="Palatino Linotype" w:eastAsia="Calibri" w:hAnsi="Palatino Linotype" w:cs="Arial"/>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8A486A">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F6853" w:rsidRPr="008A486A" w:rsidRDefault="00CF6853" w:rsidP="008A486A">
      <w:pPr>
        <w:pStyle w:val="Prrafodelista"/>
        <w:tabs>
          <w:tab w:val="left" w:pos="0"/>
        </w:tabs>
        <w:ind w:left="0"/>
        <w:rPr>
          <w:rFonts w:ascii="Palatino Linotype" w:hAnsi="Palatino Linotype"/>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8A486A">
        <w:rPr>
          <w:rFonts w:ascii="Palatino Linotype" w:hAnsi="Palatino Linotype"/>
          <w:color w:val="000000" w:themeColor="text1"/>
          <w:sz w:val="24"/>
        </w:rPr>
        <w:t xml:space="preserve">Es así que, su obligación es </w:t>
      </w:r>
      <w:r w:rsidRPr="008A486A">
        <w:rPr>
          <w:rFonts w:ascii="Palatino Linotype" w:hAnsi="Palatino Linotype"/>
          <w:i/>
          <w:color w:val="000000" w:themeColor="text1"/>
          <w:sz w:val="24"/>
        </w:rPr>
        <w:t>realizar, con efectividad, los trámites internos necesarios para la atención de las solicitudes de información</w:t>
      </w:r>
      <w:r w:rsidRPr="008A486A">
        <w:rPr>
          <w:rStyle w:val="Refdenotaalpie"/>
          <w:rFonts w:ascii="Palatino Linotype" w:hAnsi="Palatino Linotype"/>
          <w:color w:val="000000" w:themeColor="text1"/>
          <w:sz w:val="24"/>
        </w:rPr>
        <w:footnoteReference w:id="2"/>
      </w:r>
      <w:r w:rsidRPr="008A486A">
        <w:rPr>
          <w:rFonts w:ascii="Palatino Linotype" w:hAnsi="Palatino Linotype"/>
          <w:color w:val="000000" w:themeColor="text1"/>
          <w:sz w:val="24"/>
        </w:rPr>
        <w:t>, es decir, deben otorgar respuestas concisas, contundentes y sobre todo que den la certeza de los actos que realizan.</w:t>
      </w:r>
    </w:p>
    <w:p w:rsidR="00CF6853" w:rsidRPr="008A486A" w:rsidRDefault="00CF6853" w:rsidP="008A486A">
      <w:pPr>
        <w:pStyle w:val="Prrafodelista"/>
        <w:tabs>
          <w:tab w:val="left" w:pos="0"/>
        </w:tabs>
        <w:ind w:left="0"/>
        <w:rPr>
          <w:rFonts w:ascii="Palatino Linotype" w:eastAsia="Calibri" w:hAnsi="Palatino Linotype" w:cs="Arial"/>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8A486A">
        <w:rPr>
          <w:rFonts w:ascii="Palatino Linotype" w:eastAsia="Palatino Linotype" w:hAnsi="Palatino Linotype" w:cs="Palatino Linotype"/>
          <w:color w:val="000000" w:themeColor="text1"/>
          <w:sz w:val="24"/>
        </w:rPr>
        <w:lastRenderedPageBreak/>
        <w:t xml:space="preserve">Al respecto, es menester hacer referencia a lo establecido en los artículos 50, 53 fracciones II, IV y V, 58, 59 fracciones I y II, y 162 </w:t>
      </w:r>
      <w:r w:rsidRPr="008A486A">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i/>
          <w:iCs/>
          <w:color w:val="000000" w:themeColor="text1"/>
        </w:rPr>
        <w:t xml:space="preserve">Artículo 50. </w:t>
      </w:r>
      <w:r w:rsidRPr="008A486A">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i/>
          <w:iCs/>
          <w:color w:val="000000" w:themeColor="text1"/>
        </w:rPr>
        <w:t xml:space="preserve">Artículo 53. </w:t>
      </w:r>
      <w:r w:rsidRPr="008A486A">
        <w:rPr>
          <w:rFonts w:ascii="Palatino Linotype" w:eastAsia="Palatino Linotype" w:hAnsi="Palatino Linotype" w:cs="Palatino Linotype"/>
          <w:i/>
          <w:iCs/>
          <w:color w:val="000000" w:themeColor="text1"/>
        </w:rPr>
        <w:t>Las Unidades de Transparencia tendrán las siguientes funciones:</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i/>
          <w:iCs/>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bCs/>
          <w:i/>
          <w:iCs/>
          <w:color w:val="000000" w:themeColor="text1"/>
        </w:rPr>
        <w:t>II.</w:t>
      </w:r>
      <w:r w:rsidRPr="008A486A">
        <w:rPr>
          <w:rFonts w:ascii="Palatino Linotype" w:eastAsia="Palatino Linotype" w:hAnsi="Palatino Linotype" w:cs="Palatino Linotype"/>
          <w:i/>
          <w:iCs/>
          <w:color w:val="000000" w:themeColor="text1"/>
        </w:rPr>
        <w:t xml:space="preserve"> Recibir, tramitar y dar respuesta a las solicitudes de acceso a la información;</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i/>
          <w:iCs/>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bCs/>
          <w:i/>
          <w:iCs/>
          <w:color w:val="000000" w:themeColor="text1"/>
        </w:rPr>
        <w:t>IV.</w:t>
      </w:r>
      <w:r w:rsidRPr="008A486A">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bCs/>
          <w:i/>
          <w:iCs/>
          <w:color w:val="000000" w:themeColor="text1"/>
        </w:rPr>
        <w:t>V.</w:t>
      </w:r>
      <w:r w:rsidRPr="008A486A">
        <w:rPr>
          <w:rFonts w:ascii="Palatino Linotype" w:eastAsia="Palatino Linotype" w:hAnsi="Palatino Linotype" w:cs="Palatino Linotype"/>
          <w:i/>
          <w:iCs/>
          <w:color w:val="000000" w:themeColor="text1"/>
        </w:rPr>
        <w:t xml:space="preserve"> Entregar, en su caso, a los particulares la información solicitada;</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i/>
          <w:iCs/>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i/>
          <w:iCs/>
          <w:color w:val="000000" w:themeColor="text1"/>
        </w:rPr>
        <w:t xml:space="preserve">Artículo 58. </w:t>
      </w:r>
      <w:r w:rsidRPr="008A486A">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i/>
          <w:iCs/>
          <w:color w:val="000000" w:themeColor="text1"/>
        </w:rPr>
        <w:t xml:space="preserve">Artículo 59. </w:t>
      </w:r>
      <w:r w:rsidRPr="008A486A">
        <w:rPr>
          <w:rFonts w:ascii="Palatino Linotype" w:eastAsia="Palatino Linotype" w:hAnsi="Palatino Linotype" w:cs="Palatino Linotype"/>
          <w:i/>
          <w:iCs/>
          <w:color w:val="000000" w:themeColor="text1"/>
        </w:rPr>
        <w:t>Los servidores públicos habilitados tendrán las funciones siguientes:</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bCs/>
          <w:i/>
          <w:iCs/>
          <w:color w:val="000000" w:themeColor="text1"/>
        </w:rPr>
        <w:t>I.</w:t>
      </w:r>
      <w:r w:rsidRPr="008A486A">
        <w:rPr>
          <w:rFonts w:ascii="Palatino Linotype" w:eastAsia="Palatino Linotype" w:hAnsi="Palatino Linotype" w:cs="Palatino Linotype"/>
          <w:i/>
          <w:iCs/>
          <w:color w:val="000000" w:themeColor="text1"/>
        </w:rPr>
        <w:t xml:space="preserve"> Localizar la información que le solicite la Unidad de Transparencia;</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bCs/>
          <w:i/>
          <w:iCs/>
          <w:color w:val="000000" w:themeColor="text1"/>
        </w:rPr>
        <w:t>II.</w:t>
      </w:r>
      <w:r w:rsidRPr="008A486A">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i/>
          <w:iCs/>
          <w:color w:val="000000" w:themeColor="text1"/>
        </w:rPr>
        <w:t>(...)</w:t>
      </w: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p>
    <w:p w:rsidR="00CF6853" w:rsidRPr="008A486A" w:rsidRDefault="00CF6853" w:rsidP="008A486A">
      <w:pPr>
        <w:tabs>
          <w:tab w:val="left" w:pos="0"/>
        </w:tabs>
        <w:ind w:left="851"/>
        <w:jc w:val="both"/>
        <w:rPr>
          <w:rFonts w:ascii="Palatino Linotype" w:eastAsia="Palatino Linotype" w:hAnsi="Palatino Linotype" w:cs="Palatino Linotype"/>
          <w:i/>
          <w:iCs/>
          <w:color w:val="000000" w:themeColor="text1"/>
        </w:rPr>
      </w:pPr>
      <w:r w:rsidRPr="008A486A">
        <w:rPr>
          <w:rFonts w:ascii="Palatino Linotype" w:eastAsia="Palatino Linotype" w:hAnsi="Palatino Linotype" w:cs="Palatino Linotype"/>
          <w:b/>
          <w:i/>
          <w:iCs/>
          <w:color w:val="000000" w:themeColor="text1"/>
        </w:rPr>
        <w:t xml:space="preserve">Artículo 162. </w:t>
      </w:r>
      <w:r w:rsidRPr="008A486A">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8A486A">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8A486A">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w:t>
      </w:r>
      <w:r w:rsidRPr="008A486A">
        <w:rPr>
          <w:rFonts w:ascii="Palatino Linotype" w:eastAsia="Arial Unicode MS" w:hAnsi="Palatino Linotype" w:cs="Arial"/>
          <w:color w:val="000000" w:themeColor="text1"/>
          <w:sz w:val="24"/>
          <w:lang w:eastAsia="en-US"/>
        </w:rPr>
        <w:lastRenderedPageBreak/>
        <w:t>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F6853" w:rsidRPr="008A486A" w:rsidRDefault="00CF6853" w:rsidP="008A486A">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8A486A">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r w:rsidR="0034628D" w:rsidRPr="008A486A">
        <w:rPr>
          <w:rFonts w:ascii="Palatino Linotype" w:eastAsia="Arial Unicode MS" w:hAnsi="Palatino Linotype" w:cs="Arial"/>
          <w:color w:val="000000" w:themeColor="text1"/>
          <w:sz w:val="24"/>
          <w:lang w:eastAsia="en-US"/>
        </w:rPr>
        <w:t xml:space="preserve"> </w:t>
      </w:r>
      <w:r w:rsidRPr="008A486A">
        <w:rPr>
          <w:rFonts w:ascii="Palatino Linotype" w:eastAsia="Arial Unicode MS" w:hAnsi="Palatino Linotype" w:cs="Arial"/>
          <w:color w:val="000000" w:themeColor="text1"/>
          <w:sz w:val="24"/>
          <w:lang w:eastAsia="en-US"/>
        </w:rPr>
        <w:t xml:space="preserve">En el caso que se resuelve, la respuesta fue emitida la Directora de Administración, </w:t>
      </w:r>
      <w:r w:rsidR="0034628D" w:rsidRPr="008A486A">
        <w:rPr>
          <w:rFonts w:ascii="Palatino Linotype" w:eastAsia="Arial Unicode MS" w:hAnsi="Palatino Linotype" w:cs="Arial"/>
          <w:color w:val="000000" w:themeColor="text1"/>
          <w:sz w:val="24"/>
          <w:lang w:eastAsia="en-US"/>
        </w:rPr>
        <w:t xml:space="preserve">área administrativa del Ayuntamiento con facultades para generar, poseer y administrar la información solicitada. </w:t>
      </w:r>
    </w:p>
    <w:p w:rsidR="00CF6853" w:rsidRPr="008A486A" w:rsidRDefault="00CF6853" w:rsidP="008A486A">
      <w:pPr>
        <w:pStyle w:val="Prrafodelista"/>
        <w:tabs>
          <w:tab w:val="left" w:pos="0"/>
        </w:tabs>
        <w:rPr>
          <w:rFonts w:ascii="Palatino Linotype" w:eastAsia="Arial Unicode MS" w:hAnsi="Palatino Linotype" w:cs="Arial"/>
          <w:color w:val="000000" w:themeColor="text1"/>
          <w:sz w:val="24"/>
          <w:lang w:eastAsia="en-US"/>
        </w:rPr>
      </w:pPr>
    </w:p>
    <w:p w:rsidR="00F52C13" w:rsidRPr="008A486A" w:rsidRDefault="00CF6853" w:rsidP="008A486A">
      <w:pPr>
        <w:pStyle w:val="Prrafodelista"/>
        <w:numPr>
          <w:ilvl w:val="0"/>
          <w:numId w:val="1"/>
        </w:numPr>
        <w:shd w:val="clear" w:color="auto" w:fill="FFFFFF"/>
        <w:tabs>
          <w:tab w:val="left" w:pos="0"/>
        </w:tabs>
        <w:spacing w:before="240" w:after="240" w:line="360" w:lineRule="auto"/>
        <w:ind w:left="0" w:firstLine="0"/>
        <w:jc w:val="both"/>
        <w:rPr>
          <w:rFonts w:ascii="Palatino Linotype" w:eastAsia="MS Mincho" w:hAnsi="Palatino Linotype" w:cstheme="majorBidi"/>
          <w:color w:val="000000" w:themeColor="text1"/>
          <w:sz w:val="24"/>
          <w:lang w:val="es-ES"/>
        </w:rPr>
      </w:pPr>
      <w:r w:rsidRPr="008A486A">
        <w:rPr>
          <w:rFonts w:ascii="Palatino Linotype" w:eastAsia="Arial Unicode MS" w:hAnsi="Palatino Linotype" w:cs="Arial"/>
          <w:color w:val="000000" w:themeColor="text1"/>
          <w:sz w:val="24"/>
          <w:lang w:eastAsia="en-US"/>
        </w:rPr>
        <w:t xml:space="preserve">Ahora bien, recordemos que el Sujeto Obligado entregó </w:t>
      </w:r>
      <w:r w:rsidR="0034628D" w:rsidRPr="008A486A">
        <w:rPr>
          <w:rFonts w:ascii="Palatino Linotype" w:eastAsia="Arial Unicode MS" w:hAnsi="Palatino Linotype" w:cs="Arial"/>
          <w:color w:val="000000" w:themeColor="text1"/>
          <w:sz w:val="24"/>
          <w:lang w:eastAsia="en-US"/>
        </w:rPr>
        <w:t xml:space="preserve">en respuesta una liga electrónica, la cual </w:t>
      </w:r>
      <w:r w:rsidR="00F52C13" w:rsidRPr="008A486A">
        <w:rPr>
          <w:rFonts w:ascii="Palatino Linotype" w:eastAsia="Arial Unicode MS" w:hAnsi="Palatino Linotype" w:cs="Arial"/>
          <w:color w:val="000000" w:themeColor="text1"/>
          <w:sz w:val="24"/>
          <w:lang w:eastAsia="en-US"/>
        </w:rPr>
        <w:t>no se encuentra en datos abiertos, es decir, que para acceder a la información se debe transcribir, e</w:t>
      </w:r>
      <w:r w:rsidR="00F52C13" w:rsidRPr="008A486A">
        <w:rPr>
          <w:rFonts w:ascii="Palatino Linotype" w:eastAsia="Palatino Linotype" w:hAnsi="Palatino Linotype" w:cs="Palatino Linotype"/>
          <w:color w:val="000000" w:themeColor="text1"/>
          <w:sz w:val="24"/>
        </w:rPr>
        <w:t>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b/>
          <w:i/>
          <w:color w:val="000000" w:themeColor="text1"/>
        </w:rPr>
        <w:lastRenderedPageBreak/>
        <w:t>“VIII. Datos abiertos: Los datos digitales de carácter público que son accesibles en línea que pueden ser usados, reutilizados y redistribuidos por cualquier interesado y que tienen las siguientes características:</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a) Accesibles: Los datos están disponibles para la gama más amplia de usuarios, para cualquier propósito;</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b) Integrales: Contienen el tema que describen a detalle y con los metadatos necesarios;</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c) Gratuitos: Se obtienen sin entregar a cambio contraprestación alguna;</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d) No discriminatorios: Los datos están disponibles para cualquier persona, sin necesidad de registro;</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e) Oportunos: Son actualizados, periódicamente, conforme se generen;</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g) Primarios: Provienen de la fuente de origen con el máximo nivel de desagregación posible;</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b/>
          <w:i/>
          <w:color w:val="000000" w:themeColor="text1"/>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8A486A">
        <w:rPr>
          <w:rFonts w:ascii="Palatino Linotype" w:eastAsia="Palatino Linotype" w:hAnsi="Palatino Linotype" w:cs="Palatino Linotype"/>
          <w:i/>
          <w:color w:val="000000" w:themeColor="text1"/>
        </w:rPr>
        <w:t>; y</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i/>
          <w:color w:val="000000" w:themeColor="text1"/>
        </w:rPr>
        <w:t>j) De libre uso: Citan la fuente de origen como único requerimiento para ser utilizados libremente.</w:t>
      </w:r>
    </w:p>
    <w:p w:rsidR="00F52C13" w:rsidRPr="008A486A" w:rsidRDefault="00F52C13" w:rsidP="008A486A">
      <w:pPr>
        <w:pBdr>
          <w:top w:val="nil"/>
          <w:left w:val="nil"/>
          <w:bottom w:val="nil"/>
          <w:right w:val="nil"/>
          <w:between w:val="nil"/>
        </w:pBdr>
        <w:shd w:val="clear" w:color="auto" w:fill="FFFFFF"/>
        <w:tabs>
          <w:tab w:val="left" w:pos="0"/>
        </w:tabs>
        <w:spacing w:line="276" w:lineRule="auto"/>
        <w:ind w:left="851"/>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i/>
          <w:color w:val="000000" w:themeColor="text1"/>
        </w:rPr>
        <w:t>(Énfasis añadido)</w:t>
      </w:r>
    </w:p>
    <w:p w:rsidR="00F52C13" w:rsidRPr="008A486A" w:rsidRDefault="00F52C13" w:rsidP="008A486A">
      <w:pPr>
        <w:pBdr>
          <w:top w:val="nil"/>
          <w:left w:val="nil"/>
          <w:bottom w:val="nil"/>
          <w:right w:val="nil"/>
          <w:between w:val="nil"/>
        </w:pBdr>
        <w:shd w:val="clear" w:color="auto" w:fill="FFFFFF"/>
        <w:tabs>
          <w:tab w:val="left" w:pos="0"/>
        </w:tabs>
        <w:ind w:left="360"/>
        <w:jc w:val="both"/>
        <w:rPr>
          <w:rFonts w:ascii="Palatino Linotype" w:eastAsia="Palatino Linotype" w:hAnsi="Palatino Linotype" w:cs="Palatino Linotype"/>
          <w:color w:val="000000" w:themeColor="text1"/>
        </w:rPr>
      </w:pPr>
    </w:p>
    <w:p w:rsidR="00F52C13" w:rsidRPr="008A486A" w:rsidRDefault="00F52C13" w:rsidP="008A486A">
      <w:pPr>
        <w:pBdr>
          <w:top w:val="nil"/>
          <w:left w:val="nil"/>
          <w:bottom w:val="nil"/>
          <w:right w:val="nil"/>
          <w:between w:val="nil"/>
        </w:pBdr>
        <w:shd w:val="clear" w:color="auto" w:fill="FFFFFF"/>
        <w:tabs>
          <w:tab w:val="left" w:pos="0"/>
        </w:tabs>
        <w:ind w:left="360"/>
        <w:jc w:val="both"/>
        <w:rPr>
          <w:rFonts w:ascii="Palatino Linotype" w:eastAsia="Palatino Linotype" w:hAnsi="Palatino Linotype" w:cs="Palatino Linotype"/>
          <w:color w:val="000000" w:themeColor="text1"/>
        </w:rPr>
      </w:pPr>
    </w:p>
    <w:p w:rsidR="00F52C13" w:rsidRPr="008A486A" w:rsidRDefault="00F52C13" w:rsidP="008A486A">
      <w:pPr>
        <w:numPr>
          <w:ilvl w:val="0"/>
          <w:numId w:val="1"/>
        </w:numPr>
        <w:pBdr>
          <w:top w:val="nil"/>
          <w:left w:val="nil"/>
          <w:bottom w:val="nil"/>
          <w:right w:val="nil"/>
          <w:between w:val="nil"/>
        </w:pBdr>
        <w:shd w:val="clear" w:color="auto" w:fill="FFFFFF"/>
        <w:tabs>
          <w:tab w:val="left" w:pos="0"/>
        </w:tabs>
        <w:spacing w:line="360" w:lineRule="auto"/>
        <w:ind w:left="0" w:firstLine="0"/>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8A486A">
        <w:rPr>
          <w:rFonts w:ascii="Palatino Linotype" w:eastAsia="Palatino Linotype" w:hAnsi="Palatino Linotype" w:cs="Palatino Linotype"/>
          <w:b/>
          <w:color w:val="000000" w:themeColor="text1"/>
        </w:rPr>
        <w:t>Sujeto Obligado, en caso de tener la información en formatos abiertos </w:t>
      </w:r>
      <w:r w:rsidRPr="008A486A">
        <w:rPr>
          <w:rFonts w:ascii="Palatino Linotype" w:eastAsia="Palatino Linotype" w:hAnsi="Palatino Linotype" w:cs="Palatino Linotype"/>
          <w:color w:val="000000" w:themeColor="text1"/>
        </w:rPr>
        <w:t xml:space="preserve">entregar la misma en el formato solicitado. En ese contexto, con las ligas electrónicas que el Sujeto Obligado entregó </w:t>
      </w:r>
      <w:r w:rsidRPr="008A486A">
        <w:rPr>
          <w:rFonts w:ascii="Palatino Linotype" w:eastAsia="Palatino Linotype" w:hAnsi="Palatino Linotype" w:cs="Palatino Linotype"/>
          <w:color w:val="000000" w:themeColor="text1"/>
        </w:rPr>
        <w:lastRenderedPageBreak/>
        <w:t>en respuesta, no se puede tener por colmado el derecho de acceso a la información pública del Recurrente.</w:t>
      </w:r>
    </w:p>
    <w:p w:rsidR="00F52C13" w:rsidRPr="008A486A" w:rsidRDefault="00F52C13" w:rsidP="008A486A">
      <w:pPr>
        <w:pStyle w:val="Prrafodelista"/>
        <w:numPr>
          <w:ilvl w:val="0"/>
          <w:numId w:val="1"/>
        </w:numPr>
        <w:shd w:val="clear" w:color="auto" w:fill="FFFFFF"/>
        <w:tabs>
          <w:tab w:val="left" w:pos="0"/>
        </w:tabs>
        <w:spacing w:before="240" w:after="240" w:line="360" w:lineRule="auto"/>
        <w:ind w:left="0" w:firstLine="0"/>
        <w:jc w:val="both"/>
        <w:rPr>
          <w:rFonts w:ascii="Palatino Linotype" w:eastAsia="MS Mincho" w:hAnsi="Palatino Linotype" w:cstheme="majorBidi"/>
          <w:color w:val="000000" w:themeColor="text1"/>
          <w:sz w:val="24"/>
          <w:lang w:val="es-ES"/>
        </w:rPr>
      </w:pPr>
      <w:r w:rsidRPr="008A486A">
        <w:rPr>
          <w:rFonts w:ascii="Palatino Linotype" w:eastAsia="MS Mincho" w:hAnsi="Palatino Linotype" w:cstheme="majorBidi"/>
          <w:color w:val="000000" w:themeColor="text1"/>
          <w:sz w:val="24"/>
          <w:lang w:val="es-ES"/>
        </w:rPr>
        <w:t xml:space="preserve">Ahora bien, recordemos que el Recurrente manifestó en sus motivos de inconformidad </w:t>
      </w:r>
      <w:r w:rsidR="001B40DC" w:rsidRPr="008A486A">
        <w:rPr>
          <w:rFonts w:ascii="Palatino Linotype" w:eastAsia="MS Mincho" w:hAnsi="Palatino Linotype" w:cstheme="majorBidi"/>
          <w:color w:val="000000" w:themeColor="text1"/>
          <w:sz w:val="24"/>
          <w:lang w:val="es-ES"/>
        </w:rPr>
        <w:t xml:space="preserve">la negativa de la información, sin embargo, también señaló que la liga electrónica no contiene la información completa, es decir, que se puede advierte que el Recurrente si puso acceder a la liga electrónica aunque esta no se encontraba en datos abiertos. </w:t>
      </w:r>
    </w:p>
    <w:p w:rsidR="001B40DC" w:rsidRPr="008A486A" w:rsidRDefault="001B40DC"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color w:val="000000" w:themeColor="text1"/>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8A486A">
        <w:rPr>
          <w:rFonts w:ascii="Palatino Linotype" w:eastAsia="Palatino Linotype" w:hAnsi="Palatino Linotype" w:cs="Palatino Linotype"/>
          <w:b/>
          <w:color w:val="000000" w:themeColor="text1"/>
        </w:rPr>
        <w:t>sencilla</w:t>
      </w:r>
      <w:r w:rsidRPr="008A486A">
        <w:rPr>
          <w:rFonts w:ascii="Palatino Linotype" w:eastAsia="Palatino Linotype" w:hAnsi="Palatino Linotype" w:cs="Palatino Linotype"/>
          <w:color w:val="000000" w:themeColor="text1"/>
        </w:rPr>
        <w:t xml:space="preserve">, expeditos, </w:t>
      </w:r>
      <w:r w:rsidRPr="008A486A">
        <w:rPr>
          <w:rFonts w:ascii="Palatino Linotype" w:eastAsia="Palatino Linotype" w:hAnsi="Palatino Linotype" w:cs="Palatino Linotype"/>
          <w:b/>
          <w:color w:val="000000" w:themeColor="text1"/>
        </w:rPr>
        <w:t>oportunos</w:t>
      </w:r>
      <w:r w:rsidRPr="008A486A">
        <w:rPr>
          <w:rFonts w:ascii="Palatino Linotype" w:eastAsia="Palatino Linotype" w:hAnsi="Palatino Linotype" w:cs="Palatino Linotype"/>
          <w:color w:val="000000" w:themeColor="text1"/>
        </w:rPr>
        <w:t xml:space="preserve"> y gratuitos, y con ello contribuir a la mejora de procedimientos y mecanismos que permitan transparentar la gestión pública y mejora la toma decisiones, a través de la difusión de la información que obra en poder de los sujeto obligados.</w:t>
      </w:r>
    </w:p>
    <w:p w:rsidR="001B40DC" w:rsidRPr="008A486A" w:rsidRDefault="001B40DC" w:rsidP="008A486A">
      <w:pPr>
        <w:tabs>
          <w:tab w:val="left" w:pos="0"/>
        </w:tabs>
        <w:spacing w:line="360" w:lineRule="auto"/>
        <w:jc w:val="both"/>
        <w:rPr>
          <w:rFonts w:ascii="Palatino Linotype" w:eastAsia="Palatino Linotype" w:hAnsi="Palatino Linotype" w:cs="Palatino Linotype"/>
          <w:color w:val="000000" w:themeColor="text1"/>
        </w:rPr>
      </w:pPr>
    </w:p>
    <w:p w:rsidR="001B40DC" w:rsidRPr="008A486A" w:rsidRDefault="001B40DC"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8A486A">
        <w:rPr>
          <w:rFonts w:ascii="Palatino Linotype" w:eastAsia="Palatino Linotype" w:hAnsi="Palatino Linotype" w:cs="Palatino Linotype"/>
          <w:b/>
          <w:color w:val="000000" w:themeColor="text1"/>
        </w:rPr>
        <w:t xml:space="preserve"> </w:t>
      </w:r>
      <w:r w:rsidRPr="008A486A">
        <w:rPr>
          <w:rFonts w:ascii="Palatino Linotype" w:eastAsia="Palatino Linotype" w:hAnsi="Palatino Linotype" w:cs="Palatino Linotype"/>
          <w:color w:val="000000" w:themeColor="text1"/>
        </w:rPr>
        <w:t>a la Información Pública del Estado de México y Municipios establece dos puntos importantes que impactan sobre la modalidad de entrega de la información.</w:t>
      </w:r>
    </w:p>
    <w:p w:rsidR="001B40DC" w:rsidRPr="008A486A" w:rsidRDefault="001B40DC" w:rsidP="008A486A">
      <w:pPr>
        <w:pBdr>
          <w:top w:val="nil"/>
          <w:left w:val="nil"/>
          <w:bottom w:val="nil"/>
          <w:right w:val="nil"/>
          <w:between w:val="nil"/>
        </w:pBdr>
        <w:tabs>
          <w:tab w:val="left" w:pos="0"/>
          <w:tab w:val="left" w:pos="851"/>
        </w:tabs>
        <w:spacing w:line="360" w:lineRule="auto"/>
        <w:jc w:val="both"/>
        <w:rPr>
          <w:rFonts w:ascii="Palatino Linotype" w:eastAsia="Palatino Linotype" w:hAnsi="Palatino Linotype" w:cs="Palatino Linotype"/>
          <w:color w:val="000000" w:themeColor="text1"/>
        </w:rPr>
      </w:pPr>
    </w:p>
    <w:p w:rsidR="001B40DC" w:rsidRPr="008A486A" w:rsidRDefault="001B40DC" w:rsidP="008A486A">
      <w:pPr>
        <w:numPr>
          <w:ilvl w:val="0"/>
          <w:numId w:val="1"/>
        </w:numPr>
        <w:pBdr>
          <w:top w:val="nil"/>
          <w:left w:val="nil"/>
          <w:bottom w:val="nil"/>
          <w:right w:val="nil"/>
          <w:between w:val="nil"/>
        </w:pBd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El primer punto a analizar es que la ley en materia contempla </w:t>
      </w:r>
      <w:r w:rsidRPr="008A486A">
        <w:rPr>
          <w:rFonts w:ascii="Palatino Linotype" w:eastAsia="Palatino Linotype" w:hAnsi="Palatino Linotype" w:cs="Palatino Linotype"/>
          <w:b/>
          <w:color w:val="000000" w:themeColor="text1"/>
        </w:rPr>
        <w:t>información pública de oficio</w:t>
      </w:r>
      <w:r w:rsidRPr="008A486A">
        <w:rPr>
          <w:rFonts w:ascii="Palatino Linotype" w:eastAsia="Palatino Linotype" w:hAnsi="Palatino Linotype" w:cs="Palatino Linotype"/>
          <w:color w:val="000000" w:themeColor="text1"/>
        </w:rPr>
        <w:t xml:space="preserve"> que los Sujetos Obligados deben poner a disposición del público de manera </w:t>
      </w:r>
      <w:r w:rsidRPr="008A486A">
        <w:rPr>
          <w:rFonts w:ascii="Palatino Linotype" w:eastAsia="Palatino Linotype" w:hAnsi="Palatino Linotype" w:cs="Palatino Linotype"/>
          <w:color w:val="000000" w:themeColor="text1"/>
        </w:rPr>
        <w:lastRenderedPageBreak/>
        <w:t>permanente y actualizada de forma sencilla, precisa y entendible, en los respectivos medios electrónicos la información pública que generen, administren o posean.</w:t>
      </w:r>
    </w:p>
    <w:p w:rsidR="001B40DC" w:rsidRPr="008A486A" w:rsidRDefault="001B40DC" w:rsidP="008A486A">
      <w:pPr>
        <w:pBdr>
          <w:top w:val="nil"/>
          <w:left w:val="nil"/>
          <w:bottom w:val="nil"/>
          <w:right w:val="nil"/>
          <w:between w:val="nil"/>
        </w:pBdr>
        <w:tabs>
          <w:tab w:val="left" w:pos="0"/>
          <w:tab w:val="left" w:pos="851"/>
        </w:tabs>
        <w:spacing w:line="360" w:lineRule="auto"/>
        <w:jc w:val="both"/>
        <w:rPr>
          <w:rFonts w:ascii="Palatino Linotype" w:eastAsia="Palatino Linotype" w:hAnsi="Palatino Linotype" w:cs="Palatino Linotype"/>
          <w:color w:val="000000" w:themeColor="text1"/>
        </w:rPr>
      </w:pPr>
    </w:p>
    <w:p w:rsidR="001B40DC" w:rsidRPr="008A486A" w:rsidRDefault="001B40DC" w:rsidP="008A486A">
      <w:pPr>
        <w:numPr>
          <w:ilvl w:val="0"/>
          <w:numId w:val="1"/>
        </w:numPr>
        <w:pBdr>
          <w:top w:val="nil"/>
          <w:left w:val="nil"/>
          <w:bottom w:val="nil"/>
          <w:right w:val="nil"/>
          <w:between w:val="nil"/>
        </w:pBd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El segundo punto a analizar y que guarda estricta relación con el punto anterior, se encuentra en el artículo 161 de la citada Ley de Transparencia Local:</w:t>
      </w:r>
    </w:p>
    <w:p w:rsidR="001B40DC" w:rsidRPr="008A486A" w:rsidRDefault="001B40DC" w:rsidP="008A486A">
      <w:pPr>
        <w:tabs>
          <w:tab w:val="left" w:pos="0"/>
        </w:tabs>
        <w:spacing w:line="360" w:lineRule="auto"/>
        <w:ind w:left="567"/>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b/>
          <w:i/>
          <w:color w:val="000000" w:themeColor="text1"/>
        </w:rPr>
        <w:t>Artículo 161. Cuando la información requerida por el solicitante ya esté disponible</w:t>
      </w:r>
      <w:r w:rsidRPr="008A486A">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8A486A">
        <w:rPr>
          <w:rFonts w:ascii="Palatino Linotype" w:eastAsia="Palatino Linotype" w:hAnsi="Palatino Linotype" w:cs="Palatino Linotype"/>
          <w:b/>
          <w:i/>
          <w:color w:val="000000" w:themeColor="text1"/>
        </w:rPr>
        <w:t xml:space="preserve">en formatos electrónicos disponibles en Internet </w:t>
      </w:r>
      <w:r w:rsidRPr="008A486A">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8A486A">
        <w:rPr>
          <w:rFonts w:ascii="Palatino Linotype" w:eastAsia="Palatino Linotype" w:hAnsi="Palatino Linotype" w:cs="Palatino Linotype"/>
          <w:b/>
          <w:i/>
          <w:color w:val="000000" w:themeColor="text1"/>
        </w:rPr>
        <w:t>en un plazo no mayor a cinco días hábiles</w:t>
      </w:r>
      <w:r w:rsidRPr="008A486A">
        <w:rPr>
          <w:rFonts w:ascii="Palatino Linotype" w:eastAsia="Palatino Linotype" w:hAnsi="Palatino Linotype" w:cs="Palatino Linotype"/>
          <w:i/>
          <w:color w:val="000000" w:themeColor="text1"/>
        </w:rPr>
        <w:t xml:space="preserve">. </w:t>
      </w:r>
      <w:r w:rsidRPr="008A486A">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8A486A">
        <w:rPr>
          <w:rFonts w:ascii="Palatino Linotype" w:eastAsia="Palatino Linotype" w:hAnsi="Palatino Linotype" w:cs="Palatino Linotype"/>
          <w:i/>
          <w:color w:val="000000" w:themeColor="text1"/>
        </w:rPr>
        <w:t>.</w:t>
      </w:r>
    </w:p>
    <w:p w:rsidR="001B40DC" w:rsidRPr="008A486A" w:rsidRDefault="001B40DC" w:rsidP="008A486A">
      <w:pPr>
        <w:numPr>
          <w:ilvl w:val="0"/>
          <w:numId w:val="1"/>
        </w:numPr>
        <w:pBdr>
          <w:top w:val="nil"/>
          <w:left w:val="nil"/>
          <w:bottom w:val="nil"/>
          <w:right w:val="nil"/>
          <w:between w:val="nil"/>
        </w:pBdr>
        <w:tabs>
          <w:tab w:val="left" w:pos="0"/>
          <w:tab w:val="left" w:pos="851"/>
        </w:tabs>
        <w:spacing w:before="240" w:line="360" w:lineRule="auto"/>
        <w:ind w:left="0" w:firstLine="0"/>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color w:val="000000" w:themeColor="text1"/>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1B40DC" w:rsidRPr="008A486A" w:rsidRDefault="001B40DC" w:rsidP="008A486A">
      <w:pPr>
        <w:pBdr>
          <w:top w:val="nil"/>
          <w:left w:val="nil"/>
          <w:bottom w:val="nil"/>
          <w:right w:val="nil"/>
          <w:between w:val="nil"/>
        </w:pBdr>
        <w:tabs>
          <w:tab w:val="left" w:pos="0"/>
          <w:tab w:val="left" w:pos="851"/>
        </w:tabs>
        <w:spacing w:line="360" w:lineRule="auto"/>
        <w:jc w:val="both"/>
        <w:rPr>
          <w:rFonts w:ascii="Palatino Linotype" w:eastAsia="Palatino Linotype" w:hAnsi="Palatino Linotype" w:cs="Palatino Linotype"/>
          <w:i/>
          <w:color w:val="000000" w:themeColor="text1"/>
        </w:rPr>
      </w:pPr>
    </w:p>
    <w:p w:rsidR="001B40DC" w:rsidRPr="008A486A" w:rsidRDefault="001B40DC" w:rsidP="008A486A">
      <w:pPr>
        <w:numPr>
          <w:ilvl w:val="0"/>
          <w:numId w:val="1"/>
        </w:numPr>
        <w:pBdr>
          <w:top w:val="nil"/>
          <w:left w:val="nil"/>
          <w:bottom w:val="nil"/>
          <w:right w:val="nil"/>
          <w:between w:val="nil"/>
        </w:pBdr>
        <w:tabs>
          <w:tab w:val="left" w:pos="0"/>
          <w:tab w:val="left" w:pos="851"/>
        </w:tabs>
        <w:spacing w:line="360" w:lineRule="auto"/>
        <w:ind w:left="0" w:firstLine="0"/>
        <w:jc w:val="both"/>
        <w:rPr>
          <w:rFonts w:ascii="Palatino Linotype" w:eastAsia="Palatino Linotype" w:hAnsi="Palatino Linotype" w:cs="Palatino Linotype"/>
          <w:i/>
          <w:color w:val="000000" w:themeColor="text1"/>
        </w:rPr>
      </w:pPr>
      <w:r w:rsidRPr="008A486A">
        <w:rPr>
          <w:rFonts w:ascii="Palatino Linotype" w:eastAsia="Palatino Linotype" w:hAnsi="Palatino Linotype" w:cs="Palatino Linotype"/>
          <w:b/>
          <w:color w:val="000000" w:themeColor="text1"/>
        </w:rPr>
        <w:t>La orientación</w:t>
      </w:r>
      <w:r w:rsidRPr="008A486A">
        <w:rPr>
          <w:rFonts w:ascii="Palatino Linotype" w:eastAsia="Palatino Linotype" w:hAnsi="Palatino Linotype" w:cs="Palatino Linotype"/>
          <w:color w:val="000000" w:themeColor="text1"/>
        </w:rPr>
        <w:t xml:space="preserve"> que realicen los Sujetos Obligados a los sitios electrónicos para la consulta de la información debe cumplir con las características de tiempo y forma, situación </w:t>
      </w:r>
      <w:r w:rsidRPr="008A486A">
        <w:rPr>
          <w:rFonts w:ascii="Palatino Linotype" w:eastAsia="Palatino Linotype" w:hAnsi="Palatino Linotype" w:cs="Palatino Linotype"/>
          <w:color w:val="000000" w:themeColor="text1"/>
        </w:rPr>
        <w:lastRenderedPageBreak/>
        <w:t>que no ocurrió en el presente caso, ya que solo se entregó la liga electrónica sin que el Sujeto Obligado señalara el procedimiento para acceder a la información.</w:t>
      </w:r>
      <w:r w:rsidRPr="008A486A">
        <w:rPr>
          <w:rFonts w:ascii="Palatino Linotype" w:eastAsia="Palatino Linotype" w:hAnsi="Palatino Linotype" w:cs="Palatino Linotype"/>
          <w:b/>
          <w:color w:val="000000" w:themeColor="text1"/>
        </w:rPr>
        <w:t xml:space="preserve"> </w:t>
      </w:r>
    </w:p>
    <w:p w:rsidR="001B40DC" w:rsidRPr="008A486A" w:rsidRDefault="001B40DC" w:rsidP="008A486A">
      <w:pPr>
        <w:pStyle w:val="Prrafodelista"/>
        <w:tabs>
          <w:tab w:val="left" w:pos="0"/>
        </w:tabs>
        <w:rPr>
          <w:rFonts w:ascii="Palatino Linotype" w:eastAsia="Palatino Linotype" w:hAnsi="Palatino Linotype" w:cs="Palatino Linotype"/>
          <w:i/>
          <w:color w:val="000000" w:themeColor="text1"/>
          <w:sz w:val="24"/>
        </w:rPr>
      </w:pPr>
    </w:p>
    <w:p w:rsidR="001B40DC" w:rsidRPr="008A486A" w:rsidRDefault="001B40DC"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8A486A">
        <w:rPr>
          <w:rFonts w:ascii="Palatino Linotype" w:eastAsia="Palatino Linotype" w:hAnsi="Palatino Linotype" w:cs="Palatino Linotype"/>
          <w:b/>
          <w:color w:val="000000" w:themeColor="text1"/>
        </w:rPr>
        <w:t xml:space="preserve">REVOCAR </w:t>
      </w:r>
      <w:r w:rsidRPr="008A486A">
        <w:rPr>
          <w:rFonts w:ascii="Palatino Linotype" w:eastAsia="Palatino Linotype" w:hAnsi="Palatino Linotype" w:cs="Palatino Linotype"/>
          <w:color w:val="000000" w:themeColor="text1"/>
        </w:rPr>
        <w:t xml:space="preserve">la respuesta otorgada por el Sujeto Obligado, y determina que es dable </w:t>
      </w:r>
      <w:r w:rsidRPr="008A486A">
        <w:rPr>
          <w:rFonts w:ascii="Palatino Linotype" w:eastAsia="Palatino Linotype" w:hAnsi="Palatino Linotype" w:cs="Palatino Linotype"/>
          <w:b/>
          <w:color w:val="000000" w:themeColor="text1"/>
        </w:rPr>
        <w:t>ORDENAR</w:t>
      </w:r>
      <w:r w:rsidRPr="008A486A">
        <w:rPr>
          <w:rFonts w:ascii="Palatino Linotype" w:eastAsia="Palatino Linotype" w:hAnsi="Palatino Linotype" w:cs="Palatino Linotype"/>
          <w:color w:val="000000" w:themeColor="text1"/>
        </w:rPr>
        <w:t>, en versión pública, en formato Excel, la siguiente información:</w:t>
      </w:r>
      <w:r w:rsidRPr="008A486A">
        <w:rPr>
          <w:rFonts w:ascii="Palatino Linotype" w:eastAsia="Palatino Linotype" w:hAnsi="Palatino Linotype" w:cs="Palatino Linotype"/>
          <w:b/>
          <w:color w:val="000000" w:themeColor="text1"/>
        </w:rPr>
        <w:t xml:space="preserve"> </w:t>
      </w:r>
    </w:p>
    <w:p w:rsidR="001B40DC" w:rsidRPr="008A486A" w:rsidRDefault="001B40DC" w:rsidP="008A486A">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sz w:val="24"/>
        </w:rPr>
      </w:pPr>
      <w:r w:rsidRPr="008A486A">
        <w:rPr>
          <w:rFonts w:ascii="Palatino Linotype" w:eastAsia="Palatino Linotype" w:hAnsi="Palatino Linotype" w:cs="Palatino Linotype"/>
          <w:b/>
          <w:color w:val="000000" w:themeColor="text1"/>
          <w:sz w:val="24"/>
        </w:rPr>
        <w:t xml:space="preserve">Conciliación de nómina de los servidores públicos adscritos al Ayuntamiento de Aculco, correspondiente al mes de junio de dos mil veinticinco. </w:t>
      </w:r>
    </w:p>
    <w:p w:rsidR="00CF6853" w:rsidRDefault="00CF6853" w:rsidP="008A486A">
      <w:pPr>
        <w:pStyle w:val="Prrafodelista"/>
        <w:tabs>
          <w:tab w:val="left" w:pos="0"/>
        </w:tabs>
        <w:rPr>
          <w:rFonts w:ascii="Palatino Linotype" w:eastAsiaTheme="minorEastAsia" w:hAnsi="Palatino Linotype"/>
          <w:color w:val="000000" w:themeColor="text1"/>
          <w:sz w:val="24"/>
          <w:lang w:val="es-ES_tradnl" w:eastAsia="es-ES"/>
        </w:rPr>
      </w:pPr>
    </w:p>
    <w:p w:rsidR="00CA5E52" w:rsidRPr="008A486A" w:rsidRDefault="00CA5E52" w:rsidP="008A486A">
      <w:pPr>
        <w:pStyle w:val="Prrafodelista"/>
        <w:tabs>
          <w:tab w:val="left" w:pos="0"/>
        </w:tabs>
        <w:rPr>
          <w:rFonts w:ascii="Palatino Linotype" w:eastAsiaTheme="minorEastAsia" w:hAnsi="Palatino Linotype"/>
          <w:color w:val="000000" w:themeColor="text1"/>
          <w:sz w:val="24"/>
          <w:lang w:val="es-ES_tradnl" w:eastAsia="es-ES"/>
        </w:rPr>
      </w:pPr>
    </w:p>
    <w:p w:rsidR="00CF6853" w:rsidRPr="008A486A" w:rsidRDefault="00CF6853" w:rsidP="008A486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b/>
          <w:color w:val="000000" w:themeColor="text1"/>
        </w:rPr>
        <w:t>QUINTO. De la versión pública.</w:t>
      </w:r>
    </w:p>
    <w:p w:rsidR="00CF6853" w:rsidRPr="008A486A" w:rsidRDefault="00CF6853"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Debe destacarse que, debido a la naturaleza de la información solicitada</w:t>
      </w:r>
      <w:r w:rsidRPr="008A486A">
        <w:rPr>
          <w:rFonts w:ascii="Palatino Linotype" w:eastAsia="Palatino Linotype" w:hAnsi="Palatino Linotype" w:cs="Palatino Linotype"/>
          <w:b/>
          <w:color w:val="000000" w:themeColor="text1"/>
        </w:rPr>
        <w:t xml:space="preserve"> </w:t>
      </w:r>
      <w:r w:rsidRPr="008A486A">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F6853" w:rsidRPr="008A486A" w:rsidRDefault="00CF6853" w:rsidP="008A486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CF6853" w:rsidRPr="008A486A" w:rsidRDefault="00CF6853" w:rsidP="008A486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CF6853" w:rsidRPr="008A486A" w:rsidRDefault="00CF6853" w:rsidP="008A486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8A486A" w:rsidRPr="008A486A" w:rsidTr="00CF6853">
        <w:tc>
          <w:tcPr>
            <w:tcW w:w="2565" w:type="dxa"/>
          </w:tcPr>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lastRenderedPageBreak/>
              <w:t>a) Requisitos previos.</w:t>
            </w:r>
          </w:p>
        </w:tc>
        <w:tc>
          <w:tcPr>
            <w:tcW w:w="697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A486A">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8A486A">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8A486A" w:rsidRPr="008A486A" w:rsidTr="00CF6853">
        <w:tc>
          <w:tcPr>
            <w:tcW w:w="2565" w:type="dxa"/>
          </w:tcPr>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b) Supuestos de clasificación.</w:t>
            </w:r>
          </w:p>
        </w:tc>
        <w:tc>
          <w:tcPr>
            <w:tcW w:w="697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8A486A">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A486A" w:rsidRPr="008A486A" w:rsidTr="00CF6853">
        <w:tc>
          <w:tcPr>
            <w:tcW w:w="2565" w:type="dxa"/>
          </w:tcPr>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lastRenderedPageBreak/>
              <w:t>c) Formalidades para emitir el acuerdo de clasificación.</w:t>
            </w:r>
          </w:p>
        </w:tc>
        <w:tc>
          <w:tcPr>
            <w:tcW w:w="697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Es necesario que </w:t>
            </w:r>
            <w:r w:rsidRPr="008A486A">
              <w:rPr>
                <w:rFonts w:ascii="Palatino Linotype" w:eastAsia="Palatino Linotype" w:hAnsi="Palatino Linotype" w:cs="Palatino Linotype"/>
                <w:color w:val="000000" w:themeColor="text1"/>
                <w:u w:val="single"/>
              </w:rPr>
              <w:t>el acto reúna con los requisitos elementales</w:t>
            </w:r>
            <w:r w:rsidRPr="008A486A">
              <w:rPr>
                <w:rFonts w:ascii="Palatino Linotype" w:eastAsia="Palatino Linotype" w:hAnsi="Palatino Linotype" w:cs="Palatino Linotype"/>
                <w:color w:val="000000" w:themeColor="text1"/>
              </w:rPr>
              <w:t>, entre ellos, que la autoridad que va a emitir el acto de autoridad sea la legalmente facultada para ello.</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8A486A">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8A486A" w:rsidRPr="008A486A" w:rsidTr="00CF6853">
        <w:tc>
          <w:tcPr>
            <w:tcW w:w="2565" w:type="dxa"/>
          </w:tcPr>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w:t>
            </w:r>
            <w:r w:rsidRPr="008A486A">
              <w:rPr>
                <w:rFonts w:ascii="Palatino Linotype" w:eastAsia="Palatino Linotype" w:hAnsi="Palatino Linotype" w:cs="Palatino Linotype"/>
                <w:color w:val="000000" w:themeColor="text1"/>
              </w:rPr>
              <w:lastRenderedPageBreak/>
              <w:t>la persona que se sienta afectada pueda impugnar la decisión, permitiéndole una real y auténtica defensa.</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Ahora bien, </w:t>
            </w:r>
            <w:r w:rsidRPr="008A486A">
              <w:rPr>
                <w:rFonts w:ascii="Palatino Linotype" w:eastAsia="Palatino Linotype" w:hAnsi="Palatino Linotype" w:cs="Palatino Linotype"/>
                <w:color w:val="000000" w:themeColor="text1"/>
                <w:u w:val="single"/>
              </w:rPr>
              <w:t>para cada caso además de fundar y motivar</w:t>
            </w:r>
            <w:r w:rsidRPr="008A486A">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A486A" w:rsidRPr="008A486A" w:rsidTr="00CF6853">
        <w:tc>
          <w:tcPr>
            <w:tcW w:w="256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p>
        </w:tc>
        <w:tc>
          <w:tcPr>
            <w:tcW w:w="6975" w:type="dxa"/>
          </w:tcPr>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F6853" w:rsidRPr="008A486A" w:rsidRDefault="00CF6853" w:rsidP="008A486A">
            <w:pPr>
              <w:tabs>
                <w:tab w:val="left" w:pos="0"/>
              </w:tabs>
              <w:spacing w:line="360" w:lineRule="auto"/>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A5E52" w:rsidRDefault="00CA5E52" w:rsidP="00CA5E52">
      <w:pPr>
        <w:pStyle w:val="Prrafodelista"/>
        <w:shd w:val="clear" w:color="auto" w:fill="FFFFFF"/>
        <w:tabs>
          <w:tab w:val="left" w:pos="0"/>
        </w:tabs>
        <w:spacing w:before="240" w:after="240" w:line="360" w:lineRule="auto"/>
        <w:ind w:left="0"/>
        <w:jc w:val="both"/>
        <w:rPr>
          <w:rFonts w:ascii="Palatino Linotype" w:hAnsi="Palatino Linotype"/>
          <w:color w:val="000000" w:themeColor="text1"/>
          <w:sz w:val="24"/>
        </w:rPr>
      </w:pPr>
    </w:p>
    <w:p w:rsidR="00CF6853" w:rsidRPr="008A486A" w:rsidRDefault="00CF6853" w:rsidP="008A486A">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8A486A">
        <w:rPr>
          <w:rFonts w:ascii="Palatino Linotype" w:hAnsi="Palatino Linotype"/>
          <w:color w:val="000000" w:themeColor="text1"/>
          <w:sz w:val="24"/>
        </w:rPr>
        <w:t>Por otro lado, de manera enunciativa mas no limitativas, dentro de los elementos que integran los recibos de nómina se pueden encontrar los siguientes:</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Clave Única de Registro de Población (CURP);</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Número de ISSEMyM;</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Número de empleado;</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Registro Federal de Contribuyentes (RFC);</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Número de Serie del CSD del SAT;</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Número de Serie del CDS del emisor;</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Serie y folio;</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Firma;</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Código QR;</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Sello Digital del Contribuyente; y</w:t>
      </w:r>
    </w:p>
    <w:p w:rsidR="00CF6853" w:rsidRPr="008A486A" w:rsidRDefault="00CF6853" w:rsidP="008A486A">
      <w:pPr>
        <w:pStyle w:val="Prrafodelista"/>
        <w:numPr>
          <w:ilvl w:val="0"/>
          <w:numId w:val="6"/>
        </w:numPr>
        <w:pBdr>
          <w:top w:val="nil"/>
          <w:left w:val="nil"/>
          <w:bottom w:val="nil"/>
          <w:right w:val="nil"/>
          <w:between w:val="nil"/>
        </w:pBdr>
        <w:tabs>
          <w:tab w:val="left" w:pos="0"/>
          <w:tab w:val="left" w:pos="567"/>
        </w:tabs>
        <w:spacing w:line="360" w:lineRule="auto"/>
        <w:ind w:firstLine="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color w:val="000000" w:themeColor="text1"/>
          <w:sz w:val="24"/>
        </w:rPr>
        <w:t>Sello Digital del SAT.</w:t>
      </w:r>
    </w:p>
    <w:p w:rsidR="00CF6853" w:rsidRDefault="00CF6853" w:rsidP="008A486A">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CA5E52" w:rsidRDefault="00CA5E52" w:rsidP="008A486A">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CA5E52" w:rsidRDefault="00CA5E52" w:rsidP="008A486A">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CA5E52" w:rsidRPr="008A486A" w:rsidRDefault="00CA5E52" w:rsidP="008A486A">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CF6853" w:rsidRPr="008A486A" w:rsidRDefault="00CF6853" w:rsidP="008A486A">
      <w:pPr>
        <w:pStyle w:val="Ttulo3"/>
        <w:numPr>
          <w:ilvl w:val="0"/>
          <w:numId w:val="6"/>
        </w:numPr>
        <w:tabs>
          <w:tab w:val="left" w:pos="0"/>
        </w:tabs>
        <w:ind w:firstLine="0"/>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b/>
          <w:color w:val="000000" w:themeColor="text1"/>
        </w:rPr>
        <w:lastRenderedPageBreak/>
        <w:t>Clave Única de Registro de Población (CURP).</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CF6853" w:rsidRPr="008A486A" w:rsidRDefault="00CF6853" w:rsidP="008A486A">
      <w:pPr>
        <w:shd w:val="clear" w:color="auto" w:fill="FFFFFF"/>
        <w:tabs>
          <w:tab w:val="left" w:pos="0"/>
        </w:tabs>
        <w:spacing w:before="240" w:after="240" w:line="360" w:lineRule="auto"/>
        <w:jc w:val="center"/>
        <w:rPr>
          <w:rFonts w:ascii="Palatino Linotype" w:hAnsi="Palatino Linotype"/>
          <w:color w:val="000000" w:themeColor="text1"/>
        </w:rPr>
      </w:pPr>
      <w:r w:rsidRPr="008A486A">
        <w:rPr>
          <w:rFonts w:ascii="Palatino Linotype" w:hAnsi="Palatino Linotype"/>
          <w:noProof/>
          <w:color w:val="000000" w:themeColor="text1"/>
        </w:rPr>
        <w:drawing>
          <wp:inline distT="0" distB="0" distL="0" distR="0" wp14:anchorId="5D77DF4C" wp14:editId="5ABE5D85">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5748" t="8269" r="41254" b="18081"/>
                    <a:stretch>
                      <a:fillRect/>
                    </a:stretch>
                  </pic:blipFill>
                  <pic:spPr>
                    <a:xfrm>
                      <a:off x="0" y="0"/>
                      <a:ext cx="5305425" cy="4676775"/>
                    </a:xfrm>
                    <a:prstGeom prst="rect">
                      <a:avLst/>
                    </a:prstGeom>
                    <a:ln/>
                  </pic:spPr>
                </pic:pic>
              </a:graphicData>
            </a:graphic>
          </wp:inline>
        </w:drawing>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w:t>
      </w:r>
      <w:r w:rsidRPr="008A486A">
        <w:rPr>
          <w:rFonts w:ascii="Palatino Linotype" w:eastAsia="Palatino Linotype" w:hAnsi="Palatino Linotype" w:cs="Palatino Linotype"/>
          <w:color w:val="000000" w:themeColor="text1"/>
        </w:rPr>
        <w:lastRenderedPageBreak/>
        <w:t xml:space="preserve">que se genera la CURP, la cual tiene la particularidad de asegurar una correspondencia entre claves y personas. </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Entre las características de la CURP, se encuentra: </w:t>
      </w:r>
    </w:p>
    <w:p w:rsidR="00CF6853" w:rsidRPr="008A486A" w:rsidRDefault="00CF6853" w:rsidP="008A486A">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b/>
          <w:color w:val="000000" w:themeColor="text1"/>
          <w:sz w:val="24"/>
        </w:rPr>
        <w:t xml:space="preserve">Composición. </w:t>
      </w:r>
      <w:r w:rsidRPr="008A486A">
        <w:rPr>
          <w:rFonts w:ascii="Palatino Linotype" w:eastAsia="Palatino Linotype" w:hAnsi="Palatino Linotype" w:cs="Palatino Linotype"/>
          <w:color w:val="000000" w:themeColor="text1"/>
          <w:sz w:val="24"/>
        </w:rPr>
        <w:t>Alfanumérica.</w:t>
      </w:r>
    </w:p>
    <w:p w:rsidR="00CF6853" w:rsidRPr="008A486A" w:rsidRDefault="00CF6853" w:rsidP="008A486A">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b/>
          <w:color w:val="000000" w:themeColor="text1"/>
          <w:sz w:val="24"/>
        </w:rPr>
        <w:t xml:space="preserve">Longitud. </w:t>
      </w:r>
      <w:r w:rsidRPr="008A486A">
        <w:rPr>
          <w:rFonts w:ascii="Palatino Linotype" w:eastAsia="Palatino Linotype" w:hAnsi="Palatino Linotype" w:cs="Palatino Linotype"/>
          <w:color w:val="000000" w:themeColor="text1"/>
          <w:sz w:val="24"/>
        </w:rPr>
        <w:t xml:space="preserve"> 18 caracteres.</w:t>
      </w:r>
    </w:p>
    <w:p w:rsidR="00CF6853" w:rsidRPr="008A486A" w:rsidRDefault="00CF6853" w:rsidP="008A486A">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b/>
          <w:color w:val="000000" w:themeColor="text1"/>
          <w:sz w:val="24"/>
        </w:rPr>
        <w:t xml:space="preserve">Naturaleza. </w:t>
      </w:r>
      <w:r w:rsidRPr="008A486A">
        <w:rPr>
          <w:rFonts w:ascii="Palatino Linotype" w:eastAsia="Palatino Linotype" w:hAnsi="Palatino Linotype" w:cs="Palatino Linotype"/>
          <w:color w:val="000000" w:themeColor="text1"/>
          <w:sz w:val="24"/>
        </w:rPr>
        <w:t>Biunívoca.</w:t>
      </w:r>
    </w:p>
    <w:p w:rsidR="00CF6853" w:rsidRPr="008A486A" w:rsidRDefault="00CF6853" w:rsidP="008A486A">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b/>
          <w:color w:val="000000" w:themeColor="text1"/>
          <w:sz w:val="24"/>
        </w:rPr>
        <w:t xml:space="preserve">Universalidad. </w:t>
      </w:r>
      <w:r w:rsidRPr="008A486A">
        <w:rPr>
          <w:rFonts w:ascii="Palatino Linotype" w:eastAsia="Palatino Linotype" w:hAnsi="Palatino Linotype" w:cs="Palatino Linotype"/>
          <w:color w:val="000000" w:themeColor="text1"/>
          <w:sz w:val="24"/>
        </w:rPr>
        <w:t>Se asigna a todas las personas que conforman la población.</w:t>
      </w:r>
    </w:p>
    <w:p w:rsidR="00CF6853" w:rsidRPr="008A486A" w:rsidRDefault="00CF6853" w:rsidP="008A486A">
      <w:pPr>
        <w:pStyle w:val="Prrafodelista"/>
        <w:tabs>
          <w:tab w:val="left" w:pos="0"/>
          <w:tab w:val="left" w:pos="426"/>
          <w:tab w:val="left" w:pos="567"/>
        </w:tabs>
        <w:spacing w:line="360" w:lineRule="auto"/>
        <w:ind w:left="851"/>
        <w:jc w:val="both"/>
        <w:rPr>
          <w:rFonts w:ascii="Palatino Linotype" w:eastAsia="Palatino Linotype" w:hAnsi="Palatino Linotype" w:cs="Palatino Linotype"/>
          <w:b/>
          <w:color w:val="000000" w:themeColor="text1"/>
          <w:sz w:val="24"/>
        </w:rPr>
      </w:pPr>
      <w:r w:rsidRPr="008A486A">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lastRenderedPageBreak/>
        <w:t xml:space="preserve">Ante ello, resulta aplicable el Criterio 18/17 emitido por el Instituto Nacional de Transparencia, Acceso a la Información y Protección de Datos Personales, que a la literalidad señala: </w:t>
      </w:r>
    </w:p>
    <w:p w:rsidR="00CF6853" w:rsidRPr="008A486A" w:rsidRDefault="00CF6853" w:rsidP="008A486A">
      <w:pPr>
        <w:pStyle w:val="Prrafodelista"/>
        <w:pBdr>
          <w:top w:val="nil"/>
          <w:left w:val="nil"/>
          <w:bottom w:val="nil"/>
          <w:right w:val="nil"/>
          <w:between w:val="nil"/>
        </w:pBdr>
        <w:tabs>
          <w:tab w:val="left" w:pos="0"/>
          <w:tab w:val="left" w:pos="567"/>
        </w:tabs>
        <w:spacing w:line="360" w:lineRule="auto"/>
        <w:ind w:left="360"/>
        <w:jc w:val="both"/>
        <w:rPr>
          <w:rFonts w:ascii="Palatino Linotype" w:eastAsia="Palatino Linotype" w:hAnsi="Palatino Linotype" w:cs="Palatino Linotype"/>
          <w:color w:val="000000" w:themeColor="text1"/>
          <w:sz w:val="24"/>
        </w:rPr>
      </w:pPr>
      <w:r w:rsidRPr="008A486A">
        <w:rPr>
          <w:rFonts w:ascii="Palatino Linotype" w:eastAsia="Palatino Linotype" w:hAnsi="Palatino Linotype" w:cs="Palatino Linotype"/>
          <w:i/>
          <w:color w:val="000000" w:themeColor="text1"/>
          <w:sz w:val="24"/>
        </w:rPr>
        <w:t>“</w:t>
      </w:r>
      <w:r w:rsidRPr="008A486A">
        <w:rPr>
          <w:rFonts w:ascii="Palatino Linotype" w:eastAsia="Palatino Linotype" w:hAnsi="Palatino Linotype" w:cs="Palatino Linotype"/>
          <w:b/>
          <w:i/>
          <w:color w:val="000000" w:themeColor="text1"/>
          <w:sz w:val="24"/>
        </w:rPr>
        <w:t xml:space="preserve">Clave Única de Registro de Población (CURP). </w:t>
      </w:r>
      <w:r w:rsidRPr="008A486A">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CF6853" w:rsidRPr="008A486A" w:rsidRDefault="00CF6853" w:rsidP="008A486A">
      <w:pPr>
        <w:pStyle w:val="Prrafodelista"/>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sz w:val="24"/>
        </w:rPr>
      </w:pPr>
    </w:p>
    <w:p w:rsidR="00CF6853" w:rsidRPr="008A486A" w:rsidRDefault="00CF6853" w:rsidP="008A486A">
      <w:pPr>
        <w:pStyle w:val="Ttulo3"/>
        <w:numPr>
          <w:ilvl w:val="0"/>
          <w:numId w:val="7"/>
        </w:numPr>
        <w:tabs>
          <w:tab w:val="left" w:pos="0"/>
        </w:tabs>
        <w:ind w:firstLine="0"/>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b/>
          <w:color w:val="000000" w:themeColor="text1"/>
        </w:rPr>
        <w:t>Clave ISSEMyM</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w:t>
      </w:r>
      <w:r w:rsidRPr="008A486A">
        <w:rPr>
          <w:rFonts w:ascii="Palatino Linotype" w:eastAsia="Palatino Linotype" w:hAnsi="Palatino Linotype" w:cs="Palatino Linotype"/>
          <w:color w:val="000000" w:themeColor="text1"/>
        </w:rPr>
        <w:lastRenderedPageBreak/>
        <w:t>identificable al trabajador con el objetivo de poder proporcionar los servicios que brinda el Instituto de Seguridad Social del Estado de México y Municipios.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CF6853" w:rsidRPr="008A486A" w:rsidRDefault="00CF6853" w:rsidP="008A486A">
      <w:pPr>
        <w:pStyle w:val="Ttulo3"/>
        <w:numPr>
          <w:ilvl w:val="0"/>
          <w:numId w:val="7"/>
        </w:numPr>
        <w:tabs>
          <w:tab w:val="left" w:pos="0"/>
        </w:tabs>
        <w:ind w:left="0" w:firstLine="0"/>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b/>
          <w:color w:val="000000" w:themeColor="text1"/>
        </w:rPr>
        <w:t>Número de empleado.</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CF6853" w:rsidRPr="008A486A" w:rsidRDefault="00CF6853" w:rsidP="008A486A">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sz w:val="24"/>
        </w:rPr>
      </w:pPr>
      <w:r w:rsidRPr="008A486A">
        <w:rPr>
          <w:rFonts w:ascii="Palatino Linotype" w:eastAsia="Palatino Linotype" w:hAnsi="Palatino Linotype" w:cs="Palatino Linotype"/>
          <w:b/>
          <w:i/>
          <w:color w:val="000000" w:themeColor="text1"/>
          <w:sz w:val="24"/>
        </w:rPr>
        <w:t>Número de empleado.</w:t>
      </w:r>
      <w:r w:rsidRPr="008A486A">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lastRenderedPageBreak/>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CF6853" w:rsidRPr="008A486A" w:rsidRDefault="00CF6853" w:rsidP="008A486A">
      <w:pPr>
        <w:pStyle w:val="Prrafodelista"/>
        <w:numPr>
          <w:ilvl w:val="0"/>
          <w:numId w:val="7"/>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8A486A">
        <w:rPr>
          <w:rFonts w:ascii="Palatino Linotype" w:eastAsia="Palatino Linotype" w:hAnsi="Palatino Linotype" w:cs="Palatino Linotype"/>
          <w:b/>
          <w:color w:val="000000" w:themeColor="text1"/>
          <w:sz w:val="24"/>
        </w:rPr>
        <w:t>Registro Federal de Contribuyentes (RFC)</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w:t>
      </w:r>
      <w:r w:rsidRPr="008A486A">
        <w:rPr>
          <w:rFonts w:ascii="Palatino Linotype" w:eastAsia="Palatino Linotype" w:hAnsi="Palatino Linotype" w:cs="Palatino Linotype"/>
          <w:color w:val="000000" w:themeColor="text1"/>
        </w:rPr>
        <w:lastRenderedPageBreak/>
        <w:t>Contribuyentes únicamente sirve para efectos fiscales y pago de contribuciones, por lo que se trata de un dato relevante únicamente para las personas involucradas, en el pago de estos.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CF6853" w:rsidRPr="008A486A" w:rsidRDefault="00CF6853" w:rsidP="008A486A">
      <w:pPr>
        <w:pStyle w:val="Prrafodelista"/>
        <w:tabs>
          <w:tab w:val="left" w:pos="0"/>
        </w:tabs>
        <w:spacing w:line="360" w:lineRule="auto"/>
        <w:ind w:left="851"/>
        <w:jc w:val="both"/>
        <w:rPr>
          <w:rFonts w:ascii="Palatino Linotype" w:eastAsia="Palatino Linotype" w:hAnsi="Palatino Linotype" w:cs="Palatino Linotype"/>
          <w:b/>
          <w:i/>
          <w:color w:val="000000" w:themeColor="text1"/>
          <w:sz w:val="24"/>
        </w:rPr>
      </w:pPr>
      <w:r w:rsidRPr="008A486A">
        <w:rPr>
          <w:rFonts w:ascii="Palatino Linotype" w:eastAsia="Palatino Linotype" w:hAnsi="Palatino Linotype" w:cs="Palatino Linotype"/>
          <w:b/>
          <w:i/>
          <w:color w:val="000000" w:themeColor="text1"/>
          <w:sz w:val="24"/>
        </w:rPr>
        <w:t xml:space="preserve">Registro Federal de Contribuyentes (RFC) de personas físicas. </w:t>
      </w:r>
    </w:p>
    <w:p w:rsidR="00CF6853" w:rsidRPr="008A486A" w:rsidRDefault="00CF6853" w:rsidP="008A486A">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sz w:val="24"/>
        </w:rPr>
      </w:pPr>
      <w:r w:rsidRPr="008A486A">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CF6853" w:rsidRPr="008A486A" w:rsidRDefault="00CF6853" w:rsidP="008A486A">
      <w:pPr>
        <w:shd w:val="clear" w:color="auto" w:fill="FFFFFF"/>
        <w:tabs>
          <w:tab w:val="left" w:pos="0"/>
        </w:tabs>
        <w:spacing w:before="240" w:after="240" w:line="360" w:lineRule="auto"/>
        <w:jc w:val="both"/>
        <w:rPr>
          <w:rFonts w:ascii="Palatino Linotype" w:hAnsi="Palatino Linotype"/>
          <w:color w:val="000000" w:themeColor="text1"/>
        </w:rPr>
      </w:pP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8A486A">
        <w:rPr>
          <w:rFonts w:ascii="Palatino Linotype" w:eastAsia="Palatino Linotype" w:hAnsi="Palatino Linotype" w:cs="Palatino Linotype"/>
          <w:color w:val="000000" w:themeColor="text1"/>
        </w:rPr>
        <w:t>, así como tampoco con el desempeño laboral que pueda tener una persona.</w:t>
      </w:r>
      <w:bookmarkStart w:id="24" w:name="_heading=h.35nkun2" w:colFirst="0" w:colLast="0"/>
      <w:bookmarkEnd w:id="24"/>
    </w:p>
    <w:p w:rsidR="00CF6853" w:rsidRPr="008A486A" w:rsidRDefault="00CF6853" w:rsidP="008A486A">
      <w:pPr>
        <w:pStyle w:val="Ttulo3"/>
        <w:numPr>
          <w:ilvl w:val="0"/>
          <w:numId w:val="7"/>
        </w:numPr>
        <w:tabs>
          <w:tab w:val="left" w:pos="0"/>
        </w:tabs>
        <w:ind w:left="0" w:firstLine="0"/>
        <w:rPr>
          <w:rFonts w:ascii="Palatino Linotype" w:eastAsia="Palatino Linotype" w:hAnsi="Palatino Linotype" w:cs="Palatino Linotype"/>
          <w:b/>
          <w:color w:val="000000" w:themeColor="text1"/>
        </w:rPr>
      </w:pPr>
      <w:r w:rsidRPr="008A486A">
        <w:rPr>
          <w:rFonts w:ascii="Palatino Linotype" w:eastAsia="Palatino Linotype" w:hAnsi="Palatino Linotype" w:cs="Palatino Linotype"/>
          <w:b/>
          <w:color w:val="000000" w:themeColor="text1"/>
        </w:rPr>
        <w:t>Deducciones personales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8A486A">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8A486A">
        <w:rPr>
          <w:rFonts w:ascii="Palatino Linotype" w:eastAsia="Palatino Linotype" w:hAnsi="Palatino Linotype" w:cs="Palatino Linotype"/>
          <w:color w:val="000000" w:themeColor="text1"/>
        </w:rPr>
        <w:t>, seguro de vida, accidentes y enfermedades.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CA5E52" w:rsidRPr="00CA5E52" w:rsidRDefault="00CF6853" w:rsidP="00CA5E52">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25" w:name="_heading=h.1ksv4uv" w:colFirst="0" w:colLast="0"/>
      <w:bookmarkEnd w:id="25"/>
    </w:p>
    <w:p w:rsidR="00CF6853" w:rsidRPr="008A486A" w:rsidRDefault="00CF6853" w:rsidP="008A486A">
      <w:pPr>
        <w:pStyle w:val="Prrafodelista"/>
        <w:numPr>
          <w:ilvl w:val="0"/>
          <w:numId w:val="8"/>
        </w:numPr>
        <w:tabs>
          <w:tab w:val="left" w:pos="0"/>
        </w:tabs>
        <w:spacing w:line="360" w:lineRule="auto"/>
        <w:ind w:left="0" w:firstLine="0"/>
        <w:jc w:val="both"/>
        <w:rPr>
          <w:rFonts w:ascii="Palatino Linotype" w:hAnsi="Palatino Linotype" w:cs="Arial"/>
          <w:b/>
          <w:color w:val="000000" w:themeColor="text1"/>
          <w:sz w:val="24"/>
        </w:rPr>
      </w:pPr>
      <w:r w:rsidRPr="008A486A">
        <w:rPr>
          <w:rFonts w:ascii="Palatino Linotype" w:hAnsi="Palatino Linotype" w:cs="Arial"/>
          <w:b/>
          <w:color w:val="000000" w:themeColor="text1"/>
          <w:sz w:val="24"/>
        </w:rPr>
        <w:t>Deducciones que no son personales.</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hAnsi="Palatino Linotype" w:cs="Arial"/>
          <w:color w:val="000000" w:themeColor="text1"/>
        </w:rPr>
        <w:t>La Ley del Trabajo de los Servidores Públicos del Estado y Municipios</w:t>
      </w:r>
      <w:r w:rsidRPr="008A486A">
        <w:rPr>
          <w:rStyle w:val="Refdenotaalpie"/>
          <w:rFonts w:ascii="Palatino Linotype" w:hAnsi="Palatino Linotype" w:cs="Arial"/>
          <w:color w:val="000000" w:themeColor="text1"/>
        </w:rPr>
        <w:footnoteReference w:id="3"/>
      </w:r>
      <w:r w:rsidRPr="008A486A">
        <w:rPr>
          <w:rFonts w:ascii="Palatino Linotype" w:hAnsi="Palatino Linotype" w:cs="Arial"/>
          <w:color w:val="000000" w:themeColor="text1"/>
        </w:rPr>
        <w:t xml:space="preserve"> en el artículo 84 establece lo siguiente:</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CF6853" w:rsidRPr="008A486A" w:rsidRDefault="00CF6853" w:rsidP="008A486A">
      <w:pPr>
        <w:pStyle w:val="Prrafodelista"/>
        <w:tabs>
          <w:tab w:val="left" w:pos="0"/>
        </w:tabs>
        <w:spacing w:line="360" w:lineRule="auto"/>
        <w:ind w:left="851"/>
        <w:jc w:val="both"/>
        <w:rPr>
          <w:rFonts w:ascii="Palatino Linotype" w:hAnsi="Palatino Linotype"/>
          <w:b/>
          <w:i/>
          <w:color w:val="000000" w:themeColor="text1"/>
          <w:sz w:val="24"/>
        </w:rPr>
      </w:pPr>
      <w:r w:rsidRPr="008A486A">
        <w:rPr>
          <w:rFonts w:ascii="Palatino Linotype" w:hAnsi="Palatino Linotype"/>
          <w:b/>
          <w:i/>
          <w:color w:val="000000" w:themeColor="text1"/>
          <w:sz w:val="24"/>
        </w:rPr>
        <w:t>I. Gravámenes fiscales relacionados con el sueldo;</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II. Deudas contraídas con las instituciones públicas o dependencias por concepto de anticipos de sueldo, pagos hechos con exceso, errores o pérdidas debidamente comprobados; </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III. Cuotas sindicales; </w:t>
      </w:r>
    </w:p>
    <w:p w:rsidR="00CF6853" w:rsidRPr="008A486A" w:rsidRDefault="00CF6853" w:rsidP="008A486A">
      <w:pPr>
        <w:pStyle w:val="Prrafodelista"/>
        <w:tabs>
          <w:tab w:val="left" w:pos="0"/>
        </w:tabs>
        <w:spacing w:line="360" w:lineRule="auto"/>
        <w:ind w:left="851"/>
        <w:jc w:val="both"/>
        <w:rPr>
          <w:rFonts w:ascii="Palatino Linotype" w:hAnsi="Palatino Linotype"/>
          <w:b/>
          <w:i/>
          <w:color w:val="000000" w:themeColor="text1"/>
          <w:sz w:val="24"/>
        </w:rPr>
      </w:pPr>
      <w:r w:rsidRPr="008A486A">
        <w:rPr>
          <w:rFonts w:ascii="Palatino Linotype" w:hAnsi="Palatino Linotype"/>
          <w:b/>
          <w:i/>
          <w:color w:val="000000" w:themeColor="text1"/>
          <w:sz w:val="24"/>
        </w:rPr>
        <w:t xml:space="preserve">IV. Cuotas de aportación a fondos para la constitución de cooperativas y de cajas de ahorro, siempre que el servidor público hubiese manifestado previamente, de manera expresa, su conformidad; </w:t>
      </w:r>
    </w:p>
    <w:p w:rsidR="00CF6853" w:rsidRPr="008A486A" w:rsidRDefault="00CF6853" w:rsidP="008A486A">
      <w:pPr>
        <w:pStyle w:val="Prrafodelista"/>
        <w:tabs>
          <w:tab w:val="left" w:pos="0"/>
        </w:tabs>
        <w:spacing w:line="360" w:lineRule="auto"/>
        <w:ind w:left="851"/>
        <w:jc w:val="both"/>
        <w:rPr>
          <w:rFonts w:ascii="Palatino Linotype" w:hAnsi="Palatino Linotype"/>
          <w:b/>
          <w:i/>
          <w:color w:val="000000" w:themeColor="text1"/>
          <w:sz w:val="24"/>
        </w:rPr>
      </w:pPr>
      <w:r w:rsidRPr="008A486A">
        <w:rPr>
          <w:rFonts w:ascii="Palatino Linotype" w:hAnsi="Palatino Linotype"/>
          <w:b/>
          <w:i/>
          <w:color w:val="000000" w:themeColor="text1"/>
          <w:sz w:val="24"/>
        </w:rPr>
        <w:lastRenderedPageBreak/>
        <w:t xml:space="preserve">V. Descuentos ordenados por el Instituto de Seguridad Social del Estado de México y Municipios, con motivo de cuotas y obligaciones contraídas con éste por los servidores públicos; </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VII. Faltas de puntualidad o de asistencia injustificadas; </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 xml:space="preserve">VIII. Pensiones alimenticias ordenadas por la autoridad judicial; o </w:t>
      </w:r>
    </w:p>
    <w:p w:rsidR="00CF6853" w:rsidRPr="008A486A" w:rsidRDefault="00CF6853" w:rsidP="008A486A">
      <w:pPr>
        <w:pStyle w:val="Prrafodelista"/>
        <w:tabs>
          <w:tab w:val="left" w:pos="0"/>
        </w:tabs>
        <w:spacing w:line="360" w:lineRule="auto"/>
        <w:ind w:left="851"/>
        <w:jc w:val="both"/>
        <w:rPr>
          <w:rFonts w:ascii="Palatino Linotype" w:hAnsi="Palatino Linotype"/>
          <w:i/>
          <w:color w:val="000000" w:themeColor="text1"/>
          <w:sz w:val="24"/>
        </w:rPr>
      </w:pPr>
      <w:r w:rsidRPr="008A486A">
        <w:rPr>
          <w:rFonts w:ascii="Palatino Linotype" w:hAnsi="Palatino Linotype"/>
          <w:i/>
          <w:color w:val="000000" w:themeColor="text1"/>
          <w:sz w:val="24"/>
        </w:rPr>
        <w:t>IX. Cualquier otro convenido con instituciones de servicios y aceptado por el servidor público.</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CF6853" w:rsidRPr="008A486A" w:rsidRDefault="00CF6853" w:rsidP="008A486A">
      <w:pPr>
        <w:pStyle w:val="Prrafodelista"/>
        <w:numPr>
          <w:ilvl w:val="0"/>
          <w:numId w:val="8"/>
        </w:numPr>
        <w:tabs>
          <w:tab w:val="left" w:pos="0"/>
        </w:tabs>
        <w:spacing w:line="360" w:lineRule="auto"/>
        <w:ind w:left="0" w:firstLine="0"/>
        <w:jc w:val="both"/>
        <w:rPr>
          <w:rFonts w:ascii="Palatino Linotype" w:hAnsi="Palatino Linotype" w:cs="Arial"/>
          <w:color w:val="000000" w:themeColor="text1"/>
          <w:sz w:val="24"/>
        </w:rPr>
      </w:pPr>
      <w:r w:rsidRPr="008A486A">
        <w:rPr>
          <w:rFonts w:ascii="Palatino Linotype" w:hAnsi="Palatino Linotype" w:cs="Arial"/>
          <w:b/>
          <w:color w:val="000000" w:themeColor="text1"/>
          <w:sz w:val="24"/>
        </w:rPr>
        <w:t>Seguro de Capitalización Individualizado.</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CF6853" w:rsidRPr="008A486A" w:rsidRDefault="00CF6853" w:rsidP="008A486A">
      <w:pPr>
        <w:pStyle w:val="Prrafodelista"/>
        <w:tabs>
          <w:tab w:val="left" w:pos="0"/>
        </w:tabs>
        <w:spacing w:line="360" w:lineRule="auto"/>
        <w:jc w:val="both"/>
        <w:rPr>
          <w:rFonts w:ascii="Palatino Linotype" w:hAnsi="Palatino Linotype" w:cs="Arial"/>
          <w:color w:val="000000" w:themeColor="text1"/>
          <w:sz w:val="24"/>
        </w:rPr>
      </w:pPr>
      <w:r w:rsidRPr="008A486A">
        <w:rPr>
          <w:rFonts w:ascii="Palatino Linotype" w:hAnsi="Palatino Linotype" w:cs="Arial"/>
          <w:color w:val="000000" w:themeColor="text1"/>
          <w:sz w:val="24"/>
        </w:rPr>
        <w:t>•</w:t>
      </w:r>
      <w:r w:rsidRPr="008A486A">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CF6853" w:rsidRPr="008A486A" w:rsidRDefault="00CF6853" w:rsidP="008A486A">
      <w:pPr>
        <w:pStyle w:val="Prrafodelista"/>
        <w:tabs>
          <w:tab w:val="left" w:pos="0"/>
        </w:tabs>
        <w:spacing w:line="360" w:lineRule="auto"/>
        <w:jc w:val="both"/>
        <w:rPr>
          <w:rFonts w:ascii="Palatino Linotype" w:hAnsi="Palatino Linotype" w:cs="Arial"/>
          <w:color w:val="000000" w:themeColor="text1"/>
          <w:sz w:val="24"/>
        </w:rPr>
      </w:pPr>
      <w:r w:rsidRPr="008A486A">
        <w:rPr>
          <w:rFonts w:ascii="Palatino Linotype" w:hAnsi="Palatino Linotype" w:cs="Arial"/>
          <w:color w:val="000000" w:themeColor="text1"/>
          <w:sz w:val="24"/>
        </w:rPr>
        <w:lastRenderedPageBreak/>
        <w:t>•</w:t>
      </w:r>
      <w:r w:rsidRPr="008A486A">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CF6853" w:rsidRPr="008A486A" w:rsidRDefault="00CF6853" w:rsidP="008A486A">
      <w:pPr>
        <w:pStyle w:val="Prrafodelista"/>
        <w:tabs>
          <w:tab w:val="left" w:pos="0"/>
        </w:tabs>
        <w:spacing w:line="360" w:lineRule="auto"/>
        <w:jc w:val="both"/>
        <w:rPr>
          <w:rFonts w:ascii="Palatino Linotype" w:hAnsi="Palatino Linotype" w:cs="Arial"/>
          <w:color w:val="000000" w:themeColor="text1"/>
          <w:sz w:val="24"/>
        </w:rPr>
      </w:pPr>
      <w:r w:rsidRPr="008A486A">
        <w:rPr>
          <w:rFonts w:ascii="Palatino Linotype" w:hAnsi="Palatino Linotype" w:cs="Arial"/>
          <w:color w:val="000000" w:themeColor="text1"/>
          <w:sz w:val="24"/>
        </w:rPr>
        <w:t>•</w:t>
      </w:r>
      <w:r w:rsidRPr="008A486A">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CF6853" w:rsidRPr="008A486A"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CF6853" w:rsidRPr="008A486A" w:rsidRDefault="00CF6853" w:rsidP="008A486A">
      <w:pPr>
        <w:pStyle w:val="Prrafodelista"/>
        <w:tabs>
          <w:tab w:val="left" w:pos="0"/>
        </w:tabs>
        <w:spacing w:line="360" w:lineRule="auto"/>
        <w:ind w:left="567"/>
        <w:jc w:val="both"/>
        <w:rPr>
          <w:rFonts w:ascii="Palatino Linotype" w:hAnsi="Palatino Linotype" w:cs="Arial"/>
          <w:i/>
          <w:color w:val="000000" w:themeColor="text1"/>
          <w:sz w:val="24"/>
        </w:rPr>
      </w:pPr>
      <w:r w:rsidRPr="008A486A">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w:t>
      </w:r>
      <w:r w:rsidRPr="008A486A">
        <w:rPr>
          <w:rFonts w:ascii="Palatino Linotype" w:hAnsi="Palatino Linotype" w:cs="Arial"/>
          <w:i/>
          <w:color w:val="000000" w:themeColor="text1"/>
          <w:sz w:val="24"/>
        </w:rPr>
        <w:lastRenderedPageBreak/>
        <w:t>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8A486A">
        <w:rPr>
          <w:rFonts w:ascii="Palatino Linotype" w:hAnsi="Palatino Linotype" w:cs="Arial"/>
          <w:color w:val="000000" w:themeColor="text1"/>
          <w:sz w:val="24"/>
        </w:rPr>
        <w:t xml:space="preserve"> </w:t>
      </w:r>
    </w:p>
    <w:p w:rsidR="00CF6853" w:rsidRPr="00CA5E52" w:rsidRDefault="00CF6853" w:rsidP="008A486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A486A">
        <w:rPr>
          <w:rFonts w:ascii="Palatino Linotype" w:hAnsi="Palatino Linotype" w:cs="Arial"/>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CA5E52" w:rsidRPr="008A486A" w:rsidRDefault="00CA5E52" w:rsidP="00CA5E52">
      <w:pPr>
        <w:shd w:val="clear" w:color="auto" w:fill="FFFFFF"/>
        <w:tabs>
          <w:tab w:val="left" w:pos="0"/>
        </w:tabs>
        <w:spacing w:before="240" w:after="240" w:line="360" w:lineRule="auto"/>
        <w:jc w:val="both"/>
        <w:rPr>
          <w:rFonts w:ascii="Palatino Linotype" w:hAnsi="Palatino Linotype"/>
          <w:color w:val="000000" w:themeColor="text1"/>
        </w:rPr>
      </w:pPr>
    </w:p>
    <w:p w:rsidR="00AE37CC" w:rsidRPr="005C19D3" w:rsidRDefault="00AE37CC" w:rsidP="008A486A">
      <w:pPr>
        <w:pStyle w:val="Prrafodelista"/>
        <w:keepNext/>
        <w:keepLines/>
        <w:numPr>
          <w:ilvl w:val="0"/>
          <w:numId w:val="8"/>
        </w:numPr>
        <w:tabs>
          <w:tab w:val="left" w:pos="0"/>
        </w:tabs>
        <w:spacing w:before="240" w:line="259" w:lineRule="auto"/>
        <w:ind w:firstLine="0"/>
        <w:outlineLvl w:val="0"/>
        <w:rPr>
          <w:rFonts w:ascii="Palatino Linotype" w:eastAsia="MS Gothic" w:hAnsi="Palatino Linotype"/>
          <w:b/>
          <w:color w:val="000000" w:themeColor="text1"/>
          <w:sz w:val="24"/>
        </w:rPr>
      </w:pPr>
      <w:r w:rsidRPr="005C19D3">
        <w:rPr>
          <w:rFonts w:ascii="Palatino Linotype" w:eastAsia="MS Gothic" w:hAnsi="Palatino Linotype"/>
          <w:b/>
          <w:color w:val="000000" w:themeColor="text1"/>
          <w:sz w:val="24"/>
        </w:rPr>
        <w:lastRenderedPageBreak/>
        <w:t xml:space="preserve">Del nombre de policías. </w:t>
      </w:r>
    </w:p>
    <w:p w:rsidR="00AE37CC" w:rsidRPr="00CA5E52" w:rsidRDefault="00AE37CC" w:rsidP="00CA5E52">
      <w:pPr>
        <w:pStyle w:val="Prrafodelista"/>
        <w:numPr>
          <w:ilvl w:val="0"/>
          <w:numId w:val="1"/>
        </w:numPr>
        <w:spacing w:after="160" w:line="259" w:lineRule="auto"/>
        <w:ind w:left="0" w:firstLine="0"/>
        <w:rPr>
          <w:rFonts w:ascii="Palatino Linotype" w:eastAsia="Calibri" w:hAnsi="Palatino Linotype"/>
          <w:color w:val="000000" w:themeColor="text1"/>
        </w:rPr>
      </w:pPr>
      <w:r w:rsidRPr="00CA5E52">
        <w:rPr>
          <w:rFonts w:ascii="Palatino Linotype" w:eastAsia="Calibri" w:hAnsi="Palatino Linotype"/>
          <w:color w:val="000000" w:themeColor="text1"/>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AE37CC" w:rsidRPr="005C19D3" w:rsidRDefault="00AE37CC" w:rsidP="008A486A">
      <w:pPr>
        <w:tabs>
          <w:tab w:val="left" w:pos="0"/>
        </w:tabs>
        <w:spacing w:before="240" w:after="240" w:line="360" w:lineRule="auto"/>
        <w:contextualSpacing/>
        <w:jc w:val="both"/>
        <w:rPr>
          <w:rFonts w:ascii="Palatino Linotype" w:eastAsia="Calibri" w:hAnsi="Palatino Linotype"/>
          <w:color w:val="000000" w:themeColor="text1"/>
        </w:rPr>
      </w:pPr>
    </w:p>
    <w:p w:rsidR="00AE37CC" w:rsidRPr="005C19D3" w:rsidRDefault="00AE37CC" w:rsidP="008A486A">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5C19D3">
        <w:rPr>
          <w:rFonts w:ascii="Palatino Linotype" w:eastAsia="Calibri" w:hAnsi="Palatino Linotype"/>
          <w:color w:val="000000" w:themeColor="text1"/>
        </w:rPr>
        <w:t>En efecto</w:t>
      </w:r>
      <w:r w:rsidRPr="005C19D3">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AE37CC" w:rsidRPr="005C19D3" w:rsidRDefault="00AE37CC" w:rsidP="008A486A">
      <w:pPr>
        <w:tabs>
          <w:tab w:val="left" w:pos="0"/>
        </w:tabs>
        <w:spacing w:before="240" w:after="240" w:line="360" w:lineRule="auto"/>
        <w:ind w:left="567"/>
        <w:contextualSpacing/>
        <w:jc w:val="both"/>
        <w:rPr>
          <w:rFonts w:ascii="Palatino Linotype" w:hAnsi="Palatino Linotype"/>
          <w:i/>
          <w:color w:val="000000" w:themeColor="text1"/>
        </w:rPr>
      </w:pPr>
      <w:r w:rsidRPr="005C19D3">
        <w:rPr>
          <w:rFonts w:ascii="Palatino Linotype" w:hAnsi="Palatino Linotype"/>
          <w:b/>
          <w:i/>
          <w:color w:val="000000" w:themeColor="text1"/>
        </w:rPr>
        <w:t>“Artículo 140.</w:t>
      </w:r>
      <w:r w:rsidRPr="005C19D3">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AE37CC" w:rsidRPr="005C19D3" w:rsidRDefault="00AE37CC" w:rsidP="008A486A">
      <w:pPr>
        <w:tabs>
          <w:tab w:val="left" w:pos="0"/>
        </w:tabs>
        <w:spacing w:before="240" w:after="240" w:line="360" w:lineRule="auto"/>
        <w:ind w:left="567"/>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 Comprometa la seguridad pública y cuente con un propósito genuino y un efecto demostrable; </w:t>
      </w:r>
    </w:p>
    <w:p w:rsidR="00AE37CC" w:rsidRPr="005C19D3" w:rsidRDefault="00AE37CC" w:rsidP="008A486A">
      <w:pPr>
        <w:tabs>
          <w:tab w:val="left" w:pos="0"/>
        </w:tabs>
        <w:spacing w:before="240" w:after="240" w:line="360" w:lineRule="auto"/>
        <w:ind w:left="567"/>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 Pueda menoscabar la conducción de las negociaciones y relaciones internacionales; </w:t>
      </w:r>
    </w:p>
    <w:p w:rsidR="00AE37CC" w:rsidRPr="005C19D3" w:rsidRDefault="00AE37CC" w:rsidP="008A486A">
      <w:pPr>
        <w:tabs>
          <w:tab w:val="left" w:pos="0"/>
        </w:tabs>
        <w:spacing w:before="240" w:after="240" w:line="360" w:lineRule="auto"/>
        <w:ind w:left="567"/>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AE37CC" w:rsidRPr="005C19D3" w:rsidRDefault="00AE37CC" w:rsidP="008A486A">
      <w:pPr>
        <w:tabs>
          <w:tab w:val="left" w:pos="0"/>
        </w:tabs>
        <w:spacing w:before="240" w:after="240" w:line="360" w:lineRule="auto"/>
        <w:ind w:left="567"/>
        <w:contextualSpacing/>
        <w:jc w:val="both"/>
        <w:rPr>
          <w:rFonts w:ascii="Palatino Linotype" w:hAnsi="Palatino Linotype"/>
          <w:b/>
          <w:i/>
          <w:color w:val="000000" w:themeColor="text1"/>
        </w:rPr>
      </w:pPr>
      <w:r w:rsidRPr="005C19D3">
        <w:rPr>
          <w:rFonts w:ascii="Palatino Linotype" w:hAnsi="Palatino Linotype"/>
          <w:b/>
          <w:i/>
          <w:color w:val="000000" w:themeColor="text1"/>
        </w:rPr>
        <w:t>IV. Ponga en riesgo la vida, la seguridad o la salud de una persona física;</w:t>
      </w:r>
    </w:p>
    <w:p w:rsidR="00AE37CC" w:rsidRPr="005C19D3" w:rsidRDefault="00AE37CC" w:rsidP="008A486A">
      <w:pPr>
        <w:tabs>
          <w:tab w:val="left" w:pos="0"/>
        </w:tabs>
        <w:spacing w:before="240" w:after="240" w:line="360" w:lineRule="auto"/>
        <w:ind w:left="567"/>
        <w:contextualSpacing/>
        <w:jc w:val="both"/>
        <w:rPr>
          <w:rFonts w:ascii="Palatino Linotype" w:eastAsia="Calibri" w:hAnsi="Palatino Linotype"/>
          <w:i/>
          <w:color w:val="000000" w:themeColor="text1"/>
        </w:rPr>
      </w:pPr>
      <w:r w:rsidRPr="005C19D3">
        <w:rPr>
          <w:rFonts w:ascii="Palatino Linotype" w:hAnsi="Palatino Linotype"/>
          <w:i/>
          <w:color w:val="000000" w:themeColor="text1"/>
        </w:rPr>
        <w:t xml:space="preserve"> (…)” (Sic)</w:t>
      </w:r>
    </w:p>
    <w:p w:rsidR="00AE37CC" w:rsidRPr="005C19D3" w:rsidRDefault="00AE37CC" w:rsidP="008A486A">
      <w:pPr>
        <w:tabs>
          <w:tab w:val="left" w:pos="0"/>
        </w:tabs>
        <w:spacing w:before="240" w:after="240" w:line="360" w:lineRule="auto"/>
        <w:contextualSpacing/>
        <w:jc w:val="both"/>
        <w:rPr>
          <w:rFonts w:ascii="Palatino Linotype" w:eastAsia="Calibri" w:hAnsi="Palatino Linotype"/>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hAnsi="Palatino Linotype"/>
          <w:color w:val="000000" w:themeColor="text1"/>
        </w:rPr>
      </w:pPr>
      <w:r w:rsidRPr="005C19D3">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5C19D3">
        <w:rPr>
          <w:rFonts w:ascii="Palatino Linotype" w:hAnsi="Palatino Linotype" w:cs="Tahoma"/>
          <w:bCs/>
          <w:color w:val="000000" w:themeColor="text1"/>
        </w:rPr>
        <w:t xml:space="preserve">; así, dicha información puede ser utilizada para </w:t>
      </w:r>
      <w:r w:rsidRPr="005C19D3">
        <w:rPr>
          <w:rFonts w:ascii="Palatino Linotype" w:hAnsi="Palatino Linotype" w:cs="Tahoma"/>
          <w:b/>
          <w:bCs/>
          <w:color w:val="000000" w:themeColor="text1"/>
        </w:rPr>
        <w:t xml:space="preserve">vulnerar la vida, seguridad o salud de dichos elementos, incluso la de sus familias o entorno social, </w:t>
      </w:r>
      <w:r w:rsidRPr="005C19D3">
        <w:rPr>
          <w:rFonts w:ascii="Palatino Linotype" w:hAnsi="Palatino Linotype" w:cs="Tahoma"/>
          <w:bCs/>
          <w:color w:val="000000" w:themeColor="text1"/>
        </w:rPr>
        <w:t xml:space="preserve">demás, de que aumenta el riesgo de </w:t>
      </w:r>
      <w:r w:rsidRPr="005C19D3">
        <w:rPr>
          <w:rFonts w:ascii="Palatino Linotype" w:hAnsi="Palatino Linotype" w:cs="Tahoma"/>
          <w:bCs/>
          <w:color w:val="000000" w:themeColor="text1"/>
        </w:rPr>
        <w:lastRenderedPageBreak/>
        <w:t>que personas ajenas a los intereses institucionales e intenten realizar actos tendientes a inhibir o entrometerse en las funciones de los policías municipales, lo cual causaría una vulneración a la seguridad municipal.</w:t>
      </w:r>
    </w:p>
    <w:p w:rsidR="00AE37CC" w:rsidRPr="005C19D3" w:rsidRDefault="00AE37CC" w:rsidP="008A486A">
      <w:pPr>
        <w:tabs>
          <w:tab w:val="left" w:pos="0"/>
        </w:tabs>
        <w:spacing w:line="360" w:lineRule="auto"/>
        <w:contextualSpacing/>
        <w:jc w:val="both"/>
        <w:rPr>
          <w:rFonts w:ascii="Palatino Linotype" w:hAnsi="Palatino Linotype"/>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En ese sentido, el proporcionar el nombre de los elementos policiales operativos en la nómina general, pone en riesgo de manera directa la vida y la seguridad de dicho servidor, siendo obligación de la Institución protegerla en todo momento para salvaguarda de sus integrantes. </w:t>
      </w:r>
    </w:p>
    <w:p w:rsidR="00AE37CC" w:rsidRPr="005C19D3" w:rsidRDefault="00AE37CC" w:rsidP="008A486A">
      <w:pPr>
        <w:tabs>
          <w:tab w:val="left" w:pos="0"/>
        </w:tabs>
        <w:spacing w:line="360" w:lineRule="auto"/>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5C19D3">
        <w:rPr>
          <w:rFonts w:ascii="Palatino Linotype" w:eastAsia="Calibri" w:hAnsi="Palatino Linotype" w:cs="Tahoma"/>
          <w:b/>
          <w:bCs/>
          <w:color w:val="000000" w:themeColor="text1"/>
        </w:rPr>
        <w:t xml:space="preserve"> SUJETO OBLIGADO</w:t>
      </w:r>
      <w:r w:rsidRPr="005C19D3">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w:t>
      </w:r>
      <w:r w:rsidRPr="005C19D3">
        <w:rPr>
          <w:rFonts w:ascii="Palatino Linotype" w:eastAsia="Calibri" w:hAnsi="Palatino Linotype" w:cs="Tahoma"/>
          <w:bCs/>
          <w:color w:val="000000" w:themeColor="text1"/>
        </w:rPr>
        <w:lastRenderedPageBreak/>
        <w:t xml:space="preserve">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El dar el nombre de los servidores públicos operativos pone en riesgo sus vidas y seguridad, ya que pueden ser identificarles, provocando que se utilice la información para amenazar, intimidar o extorsionar al integrante.  </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w:t>
      </w:r>
      <w:r w:rsidRPr="005C19D3">
        <w:rPr>
          <w:rFonts w:ascii="Palatino Linotype" w:eastAsia="Calibri" w:hAnsi="Palatino Linotype" w:cs="Tahoma"/>
          <w:bCs/>
          <w:color w:val="000000" w:themeColor="text1"/>
        </w:rPr>
        <w:lastRenderedPageBreak/>
        <w:t>de todo Estado democrático; dicho derecho permite a las personas tener una participación activa en la toma de decisiones de los gobernantes y a su vez, funciona como un ejercicio de fiscalización para supervisar las actividades que realiza eh Estado.</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5C19D3">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AE37CC" w:rsidRPr="005C19D3" w:rsidRDefault="00AE37CC" w:rsidP="008A486A">
      <w:pPr>
        <w:tabs>
          <w:tab w:val="left" w:pos="0"/>
        </w:tabs>
        <w:spacing w:line="360" w:lineRule="auto"/>
        <w:contextualSpacing/>
        <w:jc w:val="both"/>
        <w:rPr>
          <w:rFonts w:ascii="Palatino Linotype" w:eastAsia="Calibri" w:hAnsi="Palatino Linotype" w:cs="Tahoma"/>
          <w:bCs/>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5C19D3">
        <w:rPr>
          <w:rFonts w:ascii="Palatino Linotype" w:eastAsia="MS Mincho" w:hAnsi="Palatino Linotype" w:cs="Arial"/>
          <w:color w:val="000000" w:themeColor="text1"/>
          <w:lang w:val="es-ES_tradnl"/>
        </w:rPr>
        <w:t xml:space="preserve">Al respecto, cabe hacer mención que el artículo 81 fracción III de la Ley de Seguridad del Estado de México, establece lo siguiente: </w:t>
      </w:r>
    </w:p>
    <w:p w:rsidR="00AE37CC" w:rsidRPr="005C19D3" w:rsidRDefault="00AE37CC" w:rsidP="008A486A">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5C19D3">
        <w:rPr>
          <w:rFonts w:ascii="Palatino Linotype" w:eastAsia="MS Mincho" w:hAnsi="Palatino Linotype" w:cs="Arial"/>
          <w:i/>
          <w:color w:val="000000" w:themeColor="text1"/>
          <w:lang w:val="es-ES_tradnl"/>
        </w:rPr>
        <w:t>“</w:t>
      </w:r>
      <w:r w:rsidRPr="005C19D3">
        <w:rPr>
          <w:rFonts w:ascii="Palatino Linotype" w:eastAsia="MS Mincho" w:hAnsi="Palatino Linotype" w:cs="Arial"/>
          <w:b/>
          <w:i/>
          <w:color w:val="000000" w:themeColor="text1"/>
          <w:lang w:val="es-ES_tradnl"/>
        </w:rPr>
        <w:t>Artículo 81.-</w:t>
      </w:r>
      <w:r w:rsidRPr="005C19D3">
        <w:rPr>
          <w:rFonts w:ascii="Palatino Linotype" w:eastAsia="MS Mincho" w:hAnsi="Palatino Linotype" w:cs="Arial"/>
          <w:i/>
          <w:color w:val="000000" w:themeColor="text1"/>
          <w:lang w:val="es-ES_tradnl"/>
        </w:rPr>
        <w:t xml:space="preserve"> </w:t>
      </w:r>
      <w:r w:rsidRPr="005C19D3">
        <w:rPr>
          <w:rFonts w:ascii="Palatino Linotype" w:eastAsia="MS Mincho" w:hAnsi="Palatino Linotype" w:cs="Arial"/>
          <w:b/>
          <w:i/>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C19D3">
        <w:rPr>
          <w:rFonts w:ascii="Palatino Linotype" w:eastAsia="MS Mincho" w:hAnsi="Palatino Linotype" w:cs="Arial"/>
          <w:i/>
          <w:color w:val="000000" w:themeColor="text1"/>
          <w:lang w:val="es-ES_tradnl"/>
        </w:rPr>
        <w:t xml:space="preserve"> en los casos siguientes:</w:t>
      </w:r>
    </w:p>
    <w:p w:rsidR="00AE37CC" w:rsidRPr="005C19D3" w:rsidRDefault="00AE37CC" w:rsidP="008A486A">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5C19D3">
        <w:rPr>
          <w:rFonts w:ascii="Palatino Linotype" w:eastAsia="MS Mincho" w:hAnsi="Palatino Linotype" w:cs="Arial"/>
          <w:i/>
          <w:color w:val="000000" w:themeColor="text1"/>
          <w:lang w:val="es-ES_tradnl"/>
        </w:rPr>
        <w:t>…</w:t>
      </w:r>
    </w:p>
    <w:p w:rsidR="00AE37CC" w:rsidRPr="005C19D3" w:rsidRDefault="00AE37CC" w:rsidP="008A486A">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5C19D3">
        <w:rPr>
          <w:rFonts w:ascii="Palatino Linotype" w:eastAsia="MS Mincho" w:hAnsi="Palatino Linotype" w:cs="Arial"/>
          <w:b/>
          <w:i/>
          <w:color w:val="000000" w:themeColor="text1"/>
          <w:lang w:val="es-ES_tradnl"/>
        </w:rPr>
        <w:t>III.</w:t>
      </w:r>
      <w:r w:rsidRPr="005C19D3">
        <w:rPr>
          <w:rFonts w:ascii="Palatino Linotype" w:eastAsia="MS Mincho" w:hAnsi="Palatino Linotype" w:cs="Arial"/>
          <w:i/>
          <w:color w:val="000000" w:themeColor="text1"/>
          <w:lang w:val="es-ES_tradnl"/>
        </w:rPr>
        <w:t xml:space="preserve"> </w:t>
      </w:r>
      <w:r w:rsidRPr="005C19D3">
        <w:rPr>
          <w:rFonts w:ascii="Palatino Linotype" w:eastAsia="MS Mincho" w:hAnsi="Palatino Linotype" w:cs="Arial"/>
          <w:b/>
          <w:i/>
          <w:color w:val="000000" w:themeColor="text1"/>
          <w:lang w:val="es-ES_tradnl"/>
        </w:rPr>
        <w:t>La relativa a servidores públicos miembros de las instituciones de seguridad pública, cuya revelación pueda poner en riesgo su vida e integridad física con motivo de sus funciones;</w:t>
      </w:r>
      <w:r w:rsidRPr="005C19D3">
        <w:rPr>
          <w:rFonts w:ascii="Palatino Linotype" w:eastAsia="MS Mincho" w:hAnsi="Palatino Linotype" w:cs="Arial"/>
          <w:i/>
          <w:color w:val="000000" w:themeColor="text1"/>
          <w:lang w:val="es-ES_tradnl"/>
        </w:rPr>
        <w:t>”</w:t>
      </w:r>
    </w:p>
    <w:p w:rsidR="00AE37CC" w:rsidRPr="005C19D3" w:rsidRDefault="00AE37CC" w:rsidP="008A486A">
      <w:pPr>
        <w:tabs>
          <w:tab w:val="left" w:pos="0"/>
        </w:tabs>
        <w:spacing w:line="360" w:lineRule="auto"/>
        <w:ind w:left="720"/>
        <w:contextualSpacing/>
        <w:jc w:val="both"/>
        <w:rPr>
          <w:rFonts w:ascii="Palatino Linotype" w:eastAsia="MS Mincho" w:hAnsi="Palatino Linotype" w:cs="Arial"/>
          <w:color w:val="000000" w:themeColor="text1"/>
          <w:lang w:val="es-ES_tradnl"/>
        </w:rPr>
      </w:pPr>
      <w:r w:rsidRPr="005C19D3">
        <w:rPr>
          <w:rFonts w:ascii="Palatino Linotype" w:eastAsia="MS Mincho" w:hAnsi="Palatino Linotype" w:cs="Arial"/>
          <w:color w:val="000000" w:themeColor="text1"/>
          <w:lang w:val="es-ES_tradnl"/>
        </w:rPr>
        <w:t>(Énfasis añadido)</w:t>
      </w:r>
    </w:p>
    <w:p w:rsidR="00AE37CC" w:rsidRPr="005C19D3" w:rsidRDefault="00AE37CC" w:rsidP="008A486A">
      <w:pPr>
        <w:tabs>
          <w:tab w:val="left" w:pos="0"/>
        </w:tabs>
        <w:spacing w:line="360" w:lineRule="auto"/>
        <w:contextualSpacing/>
        <w:jc w:val="both"/>
        <w:rPr>
          <w:rFonts w:ascii="Palatino Linotype" w:eastAsia="MS Mincho" w:hAnsi="Palatino Linotype" w:cs="Arial"/>
          <w:color w:val="000000" w:themeColor="text1"/>
        </w:rPr>
      </w:pPr>
    </w:p>
    <w:p w:rsidR="00AE37CC" w:rsidRPr="005C19D3" w:rsidRDefault="00AE37CC" w:rsidP="008A486A">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5C19D3">
        <w:rPr>
          <w:rFonts w:ascii="Palatino Linotype" w:hAnsi="Palatino Linotype" w:cs="Arial"/>
          <w:color w:val="000000" w:themeColor="text1"/>
        </w:rPr>
        <w:t>Argumento que se fortalece con lo estipulado en el criterio número 6-09, del Instituto Nacional de Transparencia, Acceso a la Información y Protección de Datos Personales, antes (INAI)</w:t>
      </w:r>
      <w:r w:rsidRPr="005C19D3">
        <w:rPr>
          <w:rFonts w:ascii="Palatino Linotype" w:hAnsi="Palatino Linotype" w:cs="Arial"/>
          <w:b/>
          <w:bCs/>
          <w:color w:val="000000" w:themeColor="text1"/>
        </w:rPr>
        <w:t xml:space="preserve">, </w:t>
      </w:r>
      <w:r w:rsidRPr="005C19D3">
        <w:rPr>
          <w:rFonts w:ascii="Palatino Linotype" w:hAnsi="Palatino Linotype" w:cs="Arial"/>
          <w:color w:val="000000" w:themeColor="text1"/>
        </w:rPr>
        <w:t xml:space="preserve">el cual refiere: </w:t>
      </w:r>
    </w:p>
    <w:p w:rsidR="00AE37CC" w:rsidRPr="005C19D3" w:rsidRDefault="00AE37CC" w:rsidP="008A486A">
      <w:pPr>
        <w:tabs>
          <w:tab w:val="left" w:pos="0"/>
        </w:tabs>
        <w:autoSpaceDE w:val="0"/>
        <w:autoSpaceDN w:val="0"/>
        <w:adjustRightInd w:val="0"/>
        <w:spacing w:line="360" w:lineRule="auto"/>
        <w:ind w:left="720"/>
        <w:contextualSpacing/>
        <w:jc w:val="center"/>
        <w:rPr>
          <w:rFonts w:ascii="Palatino Linotype" w:hAnsi="Palatino Linotype" w:cs="Arial"/>
          <w:i/>
          <w:color w:val="000000" w:themeColor="text1"/>
        </w:rPr>
      </w:pPr>
      <w:r w:rsidRPr="005C19D3">
        <w:rPr>
          <w:rFonts w:ascii="Palatino Linotype" w:hAnsi="Palatino Linotype" w:cs="Arial"/>
          <w:b/>
          <w:bCs/>
          <w:i/>
          <w:color w:val="000000" w:themeColor="text1"/>
        </w:rPr>
        <w:lastRenderedPageBreak/>
        <w:t>“Criterio 6-09</w:t>
      </w:r>
    </w:p>
    <w:p w:rsidR="00AE37CC" w:rsidRPr="005C19D3" w:rsidRDefault="00AE37CC" w:rsidP="008A486A">
      <w:pPr>
        <w:tabs>
          <w:tab w:val="left" w:pos="0"/>
        </w:tabs>
        <w:autoSpaceDE w:val="0"/>
        <w:autoSpaceDN w:val="0"/>
        <w:adjustRightInd w:val="0"/>
        <w:spacing w:line="360" w:lineRule="auto"/>
        <w:ind w:left="720"/>
        <w:contextualSpacing/>
        <w:jc w:val="both"/>
        <w:rPr>
          <w:rFonts w:ascii="Palatino Linotype" w:hAnsi="Palatino Linotype" w:cs="Arial"/>
          <w:i/>
          <w:color w:val="000000" w:themeColor="text1"/>
        </w:rPr>
      </w:pPr>
      <w:r w:rsidRPr="005C19D3">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5C19D3">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5C19D3">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C19D3">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C19D3">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5C19D3">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C19D3">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5C19D3">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5C19D3">
        <w:rPr>
          <w:rFonts w:ascii="Palatino Linotype" w:hAnsi="Palatino Linotype" w:cs="Arial"/>
          <w:i/>
          <w:color w:val="000000" w:themeColor="text1"/>
        </w:rPr>
        <w:t>” (Sic)</w:t>
      </w:r>
    </w:p>
    <w:p w:rsidR="00AE37CC" w:rsidRPr="005C19D3" w:rsidRDefault="00AE37CC" w:rsidP="008A486A">
      <w:pPr>
        <w:tabs>
          <w:tab w:val="left" w:pos="0"/>
          <w:tab w:val="left" w:pos="3583"/>
        </w:tabs>
        <w:autoSpaceDE w:val="0"/>
        <w:autoSpaceDN w:val="0"/>
        <w:adjustRightInd w:val="0"/>
        <w:spacing w:line="360" w:lineRule="auto"/>
        <w:ind w:left="720"/>
        <w:contextualSpacing/>
        <w:jc w:val="both"/>
        <w:rPr>
          <w:rFonts w:ascii="Palatino Linotype" w:hAnsi="Palatino Linotype" w:cs="Arial"/>
          <w:color w:val="000000" w:themeColor="text1"/>
        </w:rPr>
      </w:pPr>
      <w:r w:rsidRPr="005C19D3">
        <w:rPr>
          <w:rFonts w:ascii="Palatino Linotype" w:hAnsi="Palatino Linotype" w:cs="Arial"/>
          <w:color w:val="000000" w:themeColor="text1"/>
        </w:rPr>
        <w:t>(Énfasis añadido).</w:t>
      </w:r>
    </w:p>
    <w:p w:rsidR="00AE37CC" w:rsidRPr="005C19D3" w:rsidRDefault="00AE37CC" w:rsidP="008A486A">
      <w:pPr>
        <w:tabs>
          <w:tab w:val="left" w:pos="0"/>
        </w:tabs>
        <w:spacing w:before="240" w:after="240" w:line="360" w:lineRule="auto"/>
        <w:contextualSpacing/>
        <w:jc w:val="both"/>
        <w:rPr>
          <w:rFonts w:ascii="Palatino Linotype" w:eastAsia="Calibri" w:hAnsi="Palatino Linotype"/>
          <w:color w:val="000000" w:themeColor="text1"/>
        </w:rPr>
      </w:pPr>
    </w:p>
    <w:p w:rsidR="00AE37CC" w:rsidRPr="005C19D3" w:rsidRDefault="00AE37CC" w:rsidP="008A486A">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5C19D3">
        <w:rPr>
          <w:rFonts w:ascii="Palatino Linotype" w:hAnsi="Palatino Linotype"/>
          <w:color w:val="000000" w:themeColor="text1"/>
        </w:rPr>
        <w:lastRenderedPageBreak/>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5C19D3">
        <w:rPr>
          <w:rFonts w:ascii="Palatino Linotype" w:hAnsi="Palatino Linotype"/>
          <w:b/>
          <w:color w:val="000000" w:themeColor="text1"/>
        </w:rPr>
        <w:t>SUJETO OBLIGADO</w:t>
      </w:r>
      <w:r w:rsidRPr="005C19D3">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“Artículo 49</w:t>
      </w:r>
      <w:r w:rsidRPr="005C19D3">
        <w:rPr>
          <w:rFonts w:ascii="Palatino Linotype" w:hAnsi="Palatino Linotype"/>
          <w:i/>
          <w:color w:val="000000" w:themeColor="text1"/>
        </w:rPr>
        <w:t xml:space="preserve">. Los Comités de Transparencia tendrán las siguientes atribuciones: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VIII. Aprobar, modificar o revocar la clasificación de la información;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Artículo 132</w:t>
      </w:r>
      <w:r w:rsidRPr="005C19D3">
        <w:rPr>
          <w:rFonts w:ascii="Palatino Linotype" w:hAnsi="Palatino Linotype"/>
          <w:i/>
          <w:color w:val="000000" w:themeColor="text1"/>
        </w:rPr>
        <w:t xml:space="preserve">. La clasificación de la información se llevará a cabo en el momento en que: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 Se reciba una solicitud de acceso a la información;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 Se determine mediante resolución de autoridad competente; o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III. Se generen versiones públicas para dar cumplimiento a las obligaciones de transparencia previstas en esta Ley.”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Cuarto.</w:t>
      </w:r>
      <w:r w:rsidRPr="005C19D3">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w:t>
      </w:r>
      <w:r w:rsidRPr="005C19D3">
        <w:rPr>
          <w:rFonts w:ascii="Palatino Linotype" w:hAnsi="Palatino Linotype"/>
          <w:i/>
          <w:color w:val="000000" w:themeColor="text1"/>
        </w:rPr>
        <w:lastRenderedPageBreak/>
        <w:t xml:space="preserve">General. Los Sujetos Obligados deberán aplicar, de manera estricta, las excepciones al derecho de acceso a la información y sólo podrán invocarlas cuando acrediten su procedencia.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Quinto.</w:t>
      </w:r>
      <w:r w:rsidRPr="005C19D3">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Sexto.</w:t>
      </w:r>
      <w:r w:rsidRPr="005C19D3">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La clasificación de información se realizará conforme a un análisis caso por caso, mediante la aplicación de la prueba de daño y de interés público.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Séptimo.</w:t>
      </w:r>
      <w:r w:rsidRPr="005C19D3">
        <w:rPr>
          <w:rFonts w:ascii="Palatino Linotype" w:hAnsi="Palatino Linotype"/>
          <w:i/>
          <w:color w:val="000000" w:themeColor="text1"/>
        </w:rPr>
        <w:t xml:space="preserve"> La clasificación de la información se llevará a cabo en el momento en que: I. Se reciba una solicitud de acceso a la información;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 Se determine mediante resolución de autoridad competente, o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lastRenderedPageBreak/>
        <w:t xml:space="preserve">Los titulares de las áreas deberán revisar la clasificación al momento de la recepción de una solicitud de acceso a la información, para verificar si encuadra en una causal de reserva o de confidencialidad.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Octavo.</w:t>
      </w:r>
      <w:r w:rsidRPr="005C19D3">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lastRenderedPageBreak/>
        <w:t>Décimo</w:t>
      </w:r>
      <w:r w:rsidRPr="005C19D3">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r w:rsidRPr="005C19D3">
        <w:rPr>
          <w:rFonts w:ascii="Palatino Linotype" w:hAnsi="Palatino Linotype"/>
          <w:b/>
          <w:i/>
          <w:color w:val="000000" w:themeColor="text1"/>
        </w:rPr>
        <w:t>Décimo primero</w:t>
      </w:r>
      <w:r w:rsidRPr="005C19D3">
        <w:rPr>
          <w:rFonts w:ascii="Palatino Linotype" w:hAnsi="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AE37CC" w:rsidRPr="005C19D3" w:rsidRDefault="00AE37CC" w:rsidP="008A486A">
      <w:pPr>
        <w:tabs>
          <w:tab w:val="left" w:pos="0"/>
        </w:tabs>
        <w:spacing w:line="360" w:lineRule="auto"/>
        <w:ind w:left="720"/>
        <w:contextualSpacing/>
        <w:jc w:val="both"/>
        <w:rPr>
          <w:rFonts w:ascii="Palatino Linotype" w:hAnsi="Palatino Linotype"/>
          <w:i/>
          <w:color w:val="000000" w:themeColor="text1"/>
        </w:rPr>
      </w:pPr>
    </w:p>
    <w:p w:rsidR="00AE37CC" w:rsidRPr="005C19D3" w:rsidRDefault="00AE37CC" w:rsidP="008A486A">
      <w:pPr>
        <w:pStyle w:val="Prrafodelista"/>
        <w:numPr>
          <w:ilvl w:val="0"/>
          <w:numId w:val="1"/>
        </w:numPr>
        <w:tabs>
          <w:tab w:val="left" w:pos="0"/>
        </w:tabs>
        <w:spacing w:line="360" w:lineRule="auto"/>
        <w:ind w:left="0" w:firstLine="0"/>
        <w:jc w:val="both"/>
        <w:rPr>
          <w:rFonts w:ascii="Palatino Linotype" w:hAnsi="Palatino Linotype"/>
          <w:i/>
          <w:color w:val="000000" w:themeColor="text1"/>
          <w:sz w:val="24"/>
        </w:rPr>
      </w:pPr>
      <w:r w:rsidRPr="005C19D3">
        <w:rPr>
          <w:rFonts w:ascii="Palatino Linotype" w:hAnsi="Palatino Linotype"/>
          <w:color w:val="000000" w:themeColor="text1"/>
          <w:sz w:val="24"/>
        </w:rPr>
        <w:t xml:space="preserve">En tal contexto se deberá proceder a la clasificación de los nombres de los elementos de policía que realicen actividades operativas en campo. </w:t>
      </w:r>
    </w:p>
    <w:p w:rsidR="00AE37CC" w:rsidRPr="008A486A" w:rsidRDefault="00AE37CC" w:rsidP="008A486A">
      <w:pPr>
        <w:pStyle w:val="Prrafodelista"/>
        <w:tabs>
          <w:tab w:val="left" w:pos="0"/>
        </w:tabs>
        <w:spacing w:line="360" w:lineRule="auto"/>
        <w:ind w:left="360"/>
        <w:jc w:val="both"/>
        <w:rPr>
          <w:rFonts w:ascii="Palatino Linotype" w:hAnsi="Palatino Linotype"/>
          <w:i/>
          <w:color w:val="000000" w:themeColor="text1"/>
          <w:sz w:val="24"/>
        </w:rPr>
      </w:pPr>
    </w:p>
    <w:p w:rsidR="00CF6853" w:rsidRPr="008A486A" w:rsidRDefault="00CF6853" w:rsidP="008A486A">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8A486A">
        <w:rPr>
          <w:rFonts w:ascii="Palatino Linotype" w:hAnsi="Palatino Linotype"/>
          <w:color w:val="000000" w:themeColor="text1"/>
          <w:sz w:val="24"/>
          <w:lang w:val="es-ES"/>
        </w:rPr>
        <w:t xml:space="preserve">Por lo anteriormente expuesto y fundado, este </w:t>
      </w:r>
      <w:r w:rsidRPr="008A486A">
        <w:rPr>
          <w:rFonts w:ascii="Palatino Linotype" w:hAnsi="Palatino Linotype"/>
          <w:b/>
          <w:bCs/>
          <w:color w:val="000000" w:themeColor="text1"/>
          <w:sz w:val="24"/>
          <w:lang w:val="es-ES"/>
        </w:rPr>
        <w:t>ÓRGANO GARANTE</w:t>
      </w:r>
      <w:r w:rsidRPr="008A486A">
        <w:rPr>
          <w:rFonts w:ascii="Palatino Linotype" w:hAnsi="Palatino Linotype"/>
          <w:color w:val="000000" w:themeColor="text1"/>
          <w:sz w:val="24"/>
          <w:lang w:val="es-ES"/>
        </w:rPr>
        <w:t xml:space="preserve"> emite los siguientes:</w:t>
      </w:r>
      <w:r w:rsidR="00657360">
        <w:rPr>
          <w:rFonts w:ascii="Palatino Linotype" w:hAnsi="Palatino Linotype"/>
          <w:color w:val="000000" w:themeColor="text1"/>
          <w:sz w:val="24"/>
          <w:lang w:val="es-ES"/>
        </w:rPr>
        <w:t xml:space="preserve"> ---------------------------------------------------------------------------------------------------------</w:t>
      </w:r>
    </w:p>
    <w:p w:rsidR="00CF6853" w:rsidRPr="008A486A" w:rsidRDefault="00CF6853" w:rsidP="008A486A">
      <w:pPr>
        <w:pStyle w:val="Prrafodelista"/>
        <w:tabs>
          <w:tab w:val="left" w:pos="0"/>
        </w:tabs>
        <w:spacing w:line="360" w:lineRule="auto"/>
        <w:ind w:left="0"/>
        <w:jc w:val="both"/>
        <w:rPr>
          <w:rFonts w:ascii="Palatino Linotype" w:hAnsi="Palatino Linotype" w:cs="Arial"/>
          <w:color w:val="000000" w:themeColor="text1"/>
          <w:sz w:val="24"/>
        </w:rPr>
      </w:pPr>
    </w:p>
    <w:p w:rsidR="00CF6853" w:rsidRPr="008A486A" w:rsidRDefault="00CF6853" w:rsidP="008A486A">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94119621"/>
      <w:r w:rsidRPr="008A486A">
        <w:rPr>
          <w:rFonts w:ascii="Palatino Linotype" w:eastAsiaTheme="majorEastAsia" w:hAnsi="Palatino Linotype" w:cstheme="majorBidi"/>
          <w:b/>
          <w:color w:val="000000" w:themeColor="text1"/>
          <w:lang w:eastAsia="en-US"/>
        </w:rPr>
        <w:lastRenderedPageBreak/>
        <w:t>R E S O L U T I V O S</w:t>
      </w:r>
      <w:bookmarkEnd w:id="26"/>
      <w:bookmarkEnd w:id="27"/>
    </w:p>
    <w:p w:rsidR="00CF6853" w:rsidRPr="008A486A" w:rsidRDefault="00CF6853" w:rsidP="008A486A">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CF6853" w:rsidRPr="008A486A" w:rsidRDefault="00CF6853" w:rsidP="008A486A">
      <w:pPr>
        <w:tabs>
          <w:tab w:val="left" w:pos="0"/>
        </w:tabs>
        <w:spacing w:line="360" w:lineRule="auto"/>
        <w:jc w:val="both"/>
        <w:rPr>
          <w:rFonts w:ascii="Palatino Linotype" w:hAnsi="Palatino Linotype" w:cs="Arial"/>
          <w:bCs/>
          <w:color w:val="000000" w:themeColor="text1"/>
          <w:lang w:eastAsia="es-ES"/>
        </w:rPr>
      </w:pPr>
      <w:r w:rsidRPr="008A486A">
        <w:rPr>
          <w:rFonts w:ascii="Palatino Linotype" w:hAnsi="Palatino Linotype" w:cs="Arial"/>
          <w:b/>
          <w:color w:val="000000" w:themeColor="text1"/>
          <w:lang w:eastAsia="es-ES"/>
        </w:rPr>
        <w:t xml:space="preserve">PRIMERO. </w:t>
      </w:r>
      <w:r w:rsidRPr="008A486A">
        <w:rPr>
          <w:rFonts w:ascii="Palatino Linotype" w:hAnsi="Palatino Linotype" w:cs="Arial"/>
          <w:color w:val="000000" w:themeColor="text1"/>
          <w:lang w:eastAsia="es-ES"/>
        </w:rPr>
        <w:t>Resultan parcialmente fundadas las</w:t>
      </w:r>
      <w:r w:rsidRPr="008A486A">
        <w:rPr>
          <w:rFonts w:ascii="Palatino Linotype" w:hAnsi="Palatino Linotype" w:cs="Arial"/>
          <w:b/>
          <w:color w:val="000000" w:themeColor="text1"/>
          <w:lang w:eastAsia="es-ES"/>
        </w:rPr>
        <w:t xml:space="preserve"> </w:t>
      </w:r>
      <w:r w:rsidRPr="008A486A">
        <w:rPr>
          <w:rFonts w:ascii="Palatino Linotype" w:hAnsi="Palatino Linotype" w:cs="Arial"/>
          <w:color w:val="000000" w:themeColor="text1"/>
          <w:lang w:val="es-ES" w:eastAsia="es-ES"/>
        </w:rPr>
        <w:t xml:space="preserve">razones o motivos de inconformidad hechos valer </w:t>
      </w:r>
      <w:r w:rsidRPr="008A486A">
        <w:rPr>
          <w:rFonts w:ascii="Palatino Linotype" w:eastAsia="Calibri" w:hAnsi="Palatino Linotype" w:cs="Arial"/>
          <w:color w:val="000000" w:themeColor="text1"/>
          <w:lang w:val="es-ES" w:eastAsia="es-ES"/>
        </w:rPr>
        <w:t xml:space="preserve">en el recurso de revisión </w:t>
      </w:r>
      <w:r w:rsidR="001B40DC" w:rsidRPr="008A486A">
        <w:rPr>
          <w:rFonts w:ascii="Palatino Linotype" w:hAnsi="Palatino Linotype" w:cs="Arial"/>
          <w:b/>
          <w:bCs/>
          <w:color w:val="000000" w:themeColor="text1"/>
          <w:lang w:eastAsia="es-ES"/>
        </w:rPr>
        <w:t>10318</w:t>
      </w:r>
      <w:r w:rsidRPr="008A486A">
        <w:rPr>
          <w:rFonts w:ascii="Palatino Linotype" w:hAnsi="Palatino Linotype" w:cs="Arial"/>
          <w:b/>
          <w:bCs/>
          <w:color w:val="000000" w:themeColor="text1"/>
          <w:lang w:eastAsia="es-ES"/>
        </w:rPr>
        <w:t xml:space="preserve">/INFOEM/IP/RR/2025, </w:t>
      </w:r>
      <w:r w:rsidRPr="008A486A">
        <w:rPr>
          <w:rFonts w:ascii="Palatino Linotype" w:hAnsi="Palatino Linotype" w:cs="Arial"/>
          <w:bCs/>
          <w:color w:val="000000" w:themeColor="text1"/>
          <w:lang w:eastAsia="es-ES"/>
        </w:rPr>
        <w:t xml:space="preserve">en términos del </w:t>
      </w:r>
      <w:r w:rsidRPr="008A486A">
        <w:rPr>
          <w:rFonts w:ascii="Palatino Linotype" w:hAnsi="Palatino Linotype" w:cs="Arial"/>
          <w:b/>
          <w:bCs/>
          <w:color w:val="000000" w:themeColor="text1"/>
          <w:lang w:eastAsia="es-ES"/>
        </w:rPr>
        <w:t>Considerando</w:t>
      </w:r>
      <w:r w:rsidRPr="008A486A">
        <w:rPr>
          <w:rFonts w:ascii="Palatino Linotype" w:hAnsi="Palatino Linotype" w:cs="Arial"/>
          <w:bCs/>
          <w:color w:val="000000" w:themeColor="text1"/>
          <w:lang w:eastAsia="es-ES"/>
        </w:rPr>
        <w:t xml:space="preserve"> </w:t>
      </w:r>
      <w:r w:rsidRPr="008A486A">
        <w:rPr>
          <w:rFonts w:ascii="Palatino Linotype" w:hAnsi="Palatino Linotype" w:cs="Arial"/>
          <w:b/>
          <w:bCs/>
          <w:color w:val="000000" w:themeColor="text1"/>
          <w:lang w:eastAsia="es-ES"/>
        </w:rPr>
        <w:t>CUARTO y QUINTO de</w:t>
      </w:r>
      <w:r w:rsidRPr="008A486A">
        <w:rPr>
          <w:rFonts w:ascii="Palatino Linotype" w:hAnsi="Palatino Linotype" w:cs="Arial"/>
          <w:bCs/>
          <w:color w:val="000000" w:themeColor="text1"/>
          <w:lang w:eastAsia="es-ES"/>
        </w:rPr>
        <w:t xml:space="preserve"> la presente resolución.</w:t>
      </w:r>
    </w:p>
    <w:p w:rsidR="00CF6853" w:rsidRPr="008A486A" w:rsidRDefault="00CF6853" w:rsidP="008A486A">
      <w:pPr>
        <w:tabs>
          <w:tab w:val="left" w:pos="0"/>
        </w:tabs>
        <w:spacing w:line="360" w:lineRule="auto"/>
        <w:jc w:val="both"/>
        <w:rPr>
          <w:rFonts w:ascii="Palatino Linotype" w:hAnsi="Palatino Linotype" w:cs="Arial"/>
          <w:bCs/>
          <w:color w:val="000000" w:themeColor="text1"/>
          <w:lang w:eastAsia="es-ES"/>
        </w:rPr>
      </w:pPr>
    </w:p>
    <w:p w:rsidR="00CF6853" w:rsidRPr="008A486A" w:rsidRDefault="00CF6853" w:rsidP="008A486A">
      <w:pPr>
        <w:tabs>
          <w:tab w:val="left" w:pos="0"/>
        </w:tabs>
        <w:spacing w:line="360" w:lineRule="auto"/>
        <w:jc w:val="both"/>
        <w:rPr>
          <w:rFonts w:ascii="Palatino Linotype" w:hAnsi="Palatino Linotype" w:cs="Arial"/>
          <w:bCs/>
          <w:color w:val="000000" w:themeColor="text1"/>
          <w:lang w:eastAsia="es-E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8A486A">
        <w:rPr>
          <w:rFonts w:ascii="Palatino Linotype" w:hAnsi="Palatino Linotype"/>
          <w:b/>
          <w:color w:val="000000" w:themeColor="text1"/>
          <w:lang w:eastAsia="es-ES"/>
        </w:rPr>
        <w:t>SEGUNDO.</w:t>
      </w:r>
      <w:r w:rsidRPr="008A486A">
        <w:rPr>
          <w:rFonts w:ascii="Palatino Linotype" w:eastAsia="等线 Light" w:hAnsi="Palatino Linotype"/>
          <w:color w:val="000000" w:themeColor="text1"/>
          <w:lang w:eastAsia="es-ES"/>
        </w:rPr>
        <w:t xml:space="preserve"> </w:t>
      </w:r>
      <w:bookmarkEnd w:id="28"/>
      <w:bookmarkEnd w:id="29"/>
      <w:bookmarkEnd w:id="30"/>
      <w:bookmarkEnd w:id="31"/>
      <w:bookmarkEnd w:id="32"/>
      <w:bookmarkEnd w:id="33"/>
      <w:bookmarkEnd w:id="34"/>
      <w:r w:rsidRPr="008A486A">
        <w:rPr>
          <w:rFonts w:ascii="Palatino Linotype" w:eastAsia="Calibri" w:hAnsi="Palatino Linotype" w:cs="Arial"/>
          <w:color w:val="000000" w:themeColor="text1"/>
          <w:lang w:val="es-ES" w:eastAsia="es-ES"/>
        </w:rPr>
        <w:t>Se</w:t>
      </w:r>
      <w:r w:rsidR="001B40DC" w:rsidRPr="008A486A">
        <w:rPr>
          <w:rFonts w:ascii="Palatino Linotype" w:eastAsia="Calibri" w:hAnsi="Palatino Linotype" w:cs="Arial"/>
          <w:b/>
          <w:color w:val="000000" w:themeColor="text1"/>
          <w:lang w:val="es-ES" w:eastAsia="es-ES"/>
        </w:rPr>
        <w:t xml:space="preserve"> REVOCA </w:t>
      </w:r>
      <w:r w:rsidRPr="008A486A">
        <w:rPr>
          <w:rFonts w:ascii="Palatino Linotype" w:eastAsia="Calibri" w:hAnsi="Palatino Linotype" w:cs="Arial"/>
          <w:color w:val="000000" w:themeColor="text1"/>
          <w:lang w:val="es-ES" w:eastAsia="es-ES"/>
        </w:rPr>
        <w:t xml:space="preserve">la respuesta emitida por el </w:t>
      </w:r>
      <w:r w:rsidR="001B40DC" w:rsidRPr="008A486A">
        <w:rPr>
          <w:rFonts w:ascii="Palatino Linotype" w:eastAsia="Calibri" w:hAnsi="Palatino Linotype" w:cs="Tahoma"/>
          <w:b/>
          <w:bCs/>
          <w:color w:val="000000" w:themeColor="text1"/>
          <w:lang w:eastAsia="en-US"/>
        </w:rPr>
        <w:t>Ayuntamiento de Aculco</w:t>
      </w:r>
      <w:r w:rsidRPr="008A486A">
        <w:rPr>
          <w:rFonts w:ascii="Palatino Linotype" w:eastAsia="Calibri" w:hAnsi="Palatino Linotype" w:cs="Tahoma"/>
          <w:b/>
          <w:color w:val="000000" w:themeColor="text1"/>
          <w:lang w:val="es-ES" w:eastAsia="en-US"/>
        </w:rPr>
        <w:t xml:space="preserve"> </w:t>
      </w:r>
      <w:r w:rsidRPr="008A486A">
        <w:rPr>
          <w:rFonts w:ascii="Palatino Linotype" w:eastAsia="Calibri" w:hAnsi="Palatino Linotype" w:cs="Arial"/>
          <w:color w:val="000000" w:themeColor="text1"/>
          <w:lang w:val="es-ES" w:eastAsia="es-ES"/>
        </w:rPr>
        <w:t>y se</w:t>
      </w:r>
      <w:r w:rsidRPr="008A486A">
        <w:rPr>
          <w:rFonts w:ascii="Palatino Linotype" w:eastAsia="Calibri" w:hAnsi="Palatino Linotype" w:cs="Arial"/>
          <w:b/>
          <w:color w:val="000000" w:themeColor="text1"/>
          <w:lang w:val="es-ES" w:eastAsia="es-ES"/>
        </w:rPr>
        <w:t xml:space="preserve"> ORDENA </w:t>
      </w:r>
      <w:r w:rsidRPr="008A486A">
        <w:rPr>
          <w:rFonts w:ascii="Palatino Linotype" w:hAnsi="Palatino Linotype" w:cs="Arial"/>
          <w:color w:val="000000" w:themeColor="text1"/>
          <w:lang w:val="es-ES" w:eastAsia="es-ES"/>
        </w:rPr>
        <w:t>entregar vía Sistema de Accesos a la Información Mexiquense (SAIMEX), en versión pública,</w:t>
      </w:r>
      <w:r w:rsidR="001B40DC" w:rsidRPr="008A486A">
        <w:rPr>
          <w:rFonts w:ascii="Palatino Linotype" w:hAnsi="Palatino Linotype" w:cs="Arial"/>
          <w:color w:val="000000" w:themeColor="text1"/>
          <w:lang w:val="es-ES" w:eastAsia="es-ES"/>
        </w:rPr>
        <w:t xml:space="preserve"> en formato Excel, </w:t>
      </w:r>
      <w:r w:rsidRPr="008A486A">
        <w:rPr>
          <w:rFonts w:ascii="Palatino Linotype" w:hAnsi="Palatino Linotype" w:cs="Arial"/>
          <w:color w:val="000000" w:themeColor="text1"/>
          <w:lang w:val="es-ES" w:eastAsia="es-ES"/>
        </w:rPr>
        <w:t xml:space="preserve"> la siguiente información</w:t>
      </w:r>
      <w:r w:rsidRPr="008A486A">
        <w:rPr>
          <w:rFonts w:ascii="Palatino Linotype" w:hAnsi="Palatino Linotype" w:cs="Arial"/>
          <w:bCs/>
          <w:color w:val="000000" w:themeColor="text1"/>
          <w:lang w:eastAsia="es-ES"/>
        </w:rPr>
        <w:t>:</w:t>
      </w:r>
    </w:p>
    <w:p w:rsidR="00CF6853" w:rsidRPr="008A486A" w:rsidRDefault="00CF6853" w:rsidP="008A486A">
      <w:pPr>
        <w:tabs>
          <w:tab w:val="left" w:pos="0"/>
        </w:tabs>
        <w:spacing w:line="360" w:lineRule="auto"/>
        <w:jc w:val="both"/>
        <w:rPr>
          <w:rFonts w:ascii="Palatino Linotype" w:hAnsi="Palatino Linotype" w:cs="Arial"/>
          <w:bCs/>
          <w:color w:val="000000" w:themeColor="text1"/>
          <w:lang w:eastAsia="es-ES"/>
        </w:rPr>
      </w:pPr>
    </w:p>
    <w:p w:rsidR="00CF6853" w:rsidRPr="008A486A" w:rsidRDefault="00CF6853" w:rsidP="008A486A">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8A486A">
        <w:rPr>
          <w:rFonts w:ascii="Palatino Linotype" w:hAnsi="Palatino Linotype"/>
          <w:b/>
          <w:bCs/>
          <w:color w:val="000000" w:themeColor="text1"/>
          <w:sz w:val="24"/>
        </w:rPr>
        <w:t xml:space="preserve">Conciliación </w:t>
      </w:r>
      <w:r w:rsidRPr="008A486A">
        <w:rPr>
          <w:rFonts w:ascii="Palatino Linotype" w:eastAsia="MS Mincho" w:hAnsi="Palatino Linotype" w:cstheme="majorBidi"/>
          <w:b/>
          <w:color w:val="000000" w:themeColor="text1"/>
          <w:sz w:val="24"/>
          <w:lang w:val="es-ES"/>
        </w:rPr>
        <w:t>de nómina de los servidores públicos adscrit</w:t>
      </w:r>
      <w:r w:rsidR="001B40DC" w:rsidRPr="008A486A">
        <w:rPr>
          <w:rFonts w:ascii="Palatino Linotype" w:eastAsia="MS Mincho" w:hAnsi="Palatino Linotype" w:cstheme="majorBidi"/>
          <w:b/>
          <w:color w:val="000000" w:themeColor="text1"/>
          <w:sz w:val="24"/>
          <w:lang w:val="es-ES"/>
        </w:rPr>
        <w:t>os al Ayuntamiento de Aculco</w:t>
      </w:r>
      <w:r w:rsidRPr="008A486A">
        <w:rPr>
          <w:rFonts w:ascii="Palatino Linotype" w:eastAsia="MS Mincho" w:hAnsi="Palatino Linotype" w:cstheme="majorBidi"/>
          <w:b/>
          <w:color w:val="000000" w:themeColor="text1"/>
          <w:sz w:val="24"/>
          <w:lang w:val="es-ES"/>
        </w:rPr>
        <w:t xml:space="preserve">, </w:t>
      </w:r>
      <w:r w:rsidR="001B40DC" w:rsidRPr="008A486A">
        <w:rPr>
          <w:rFonts w:ascii="Palatino Linotype" w:eastAsia="MS Mincho" w:hAnsi="Palatino Linotype" w:cstheme="majorBidi"/>
          <w:b/>
          <w:color w:val="000000" w:themeColor="text1"/>
          <w:sz w:val="24"/>
          <w:lang w:val="es-ES"/>
        </w:rPr>
        <w:t>correspondiente al mes de junio de dos mil veinticinco</w:t>
      </w:r>
      <w:r w:rsidRPr="008A486A">
        <w:rPr>
          <w:rFonts w:ascii="Palatino Linotype" w:eastAsia="MS Mincho" w:hAnsi="Palatino Linotype" w:cstheme="majorBidi"/>
          <w:b/>
          <w:color w:val="000000" w:themeColor="text1"/>
          <w:sz w:val="24"/>
          <w:lang w:val="es-ES"/>
        </w:rPr>
        <w:t xml:space="preserve">. </w:t>
      </w:r>
    </w:p>
    <w:p w:rsidR="00CF6853" w:rsidRPr="008A486A" w:rsidRDefault="00CF6853" w:rsidP="008A486A">
      <w:pPr>
        <w:pStyle w:val="Prrafodelista"/>
        <w:tabs>
          <w:tab w:val="left" w:pos="0"/>
        </w:tabs>
        <w:spacing w:line="360" w:lineRule="auto"/>
        <w:ind w:left="851"/>
        <w:jc w:val="both"/>
        <w:rPr>
          <w:rFonts w:ascii="Palatino Linotype" w:hAnsi="Palatino Linotype"/>
          <w:b/>
          <w:bCs/>
          <w:color w:val="000000" w:themeColor="text1"/>
          <w:sz w:val="24"/>
        </w:rPr>
      </w:pPr>
    </w:p>
    <w:p w:rsidR="00CF6853" w:rsidRPr="008A486A" w:rsidRDefault="00CF6853" w:rsidP="008A486A">
      <w:pPr>
        <w:tabs>
          <w:tab w:val="left" w:pos="0"/>
        </w:tabs>
        <w:spacing w:line="360" w:lineRule="auto"/>
        <w:jc w:val="both"/>
        <w:rPr>
          <w:rFonts w:ascii="Palatino Linotype" w:eastAsia="Palatino Linotype" w:hAnsi="Palatino Linotype" w:cs="Palatino Linotype"/>
          <w:color w:val="000000" w:themeColor="text1"/>
        </w:rPr>
      </w:pPr>
      <w:r w:rsidRPr="008A486A">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CF6853" w:rsidRPr="008A486A" w:rsidRDefault="00CF6853" w:rsidP="008A486A">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CF6853" w:rsidRPr="008A486A" w:rsidRDefault="00CF6853" w:rsidP="008A486A">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8A486A">
        <w:rPr>
          <w:rFonts w:ascii="Palatino Linotype" w:eastAsia="Palatino Linotype" w:hAnsi="Palatino Linotype" w:cs="Palatino Linotype"/>
          <w:b/>
          <w:color w:val="000000" w:themeColor="text1"/>
        </w:rPr>
        <w:t xml:space="preserve">TERCERO. Notifíquese </w:t>
      </w:r>
      <w:r w:rsidRPr="008A486A">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320C4">
        <w:rPr>
          <w:rFonts w:ascii="Palatino Linotype" w:eastAsia="Palatino Linotype" w:hAnsi="Palatino Linotype" w:cs="Palatino Linotype"/>
          <w:b/>
          <w:color w:val="000000" w:themeColor="text1"/>
        </w:rPr>
        <w:t>dé cumplimiento a lo ordenado dentro del plazo de diez días hábiles,</w:t>
      </w:r>
      <w:r w:rsidRPr="008A486A">
        <w:rPr>
          <w:rFonts w:ascii="Palatino Linotype" w:eastAsia="Palatino Linotype" w:hAnsi="Palatino Linotype" w:cs="Palatino Linotype"/>
          <w:color w:val="000000" w:themeColor="text1"/>
        </w:rPr>
        <w:t xml:space="preserve"> e informe a este Instituto en un plazo de tres días hábiles siguientes sobre el </w:t>
      </w:r>
      <w:r w:rsidRPr="008A486A">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F6853" w:rsidRPr="008A486A" w:rsidRDefault="00CF6853" w:rsidP="008A486A">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CF6853" w:rsidRPr="008A486A" w:rsidRDefault="00CF6853" w:rsidP="008A486A">
      <w:pPr>
        <w:shd w:val="clear" w:color="auto" w:fill="FFFFFF"/>
        <w:tabs>
          <w:tab w:val="left" w:pos="0"/>
        </w:tabs>
        <w:spacing w:line="360" w:lineRule="auto"/>
        <w:jc w:val="both"/>
        <w:rPr>
          <w:rFonts w:ascii="Palatino Linotype" w:hAnsi="Palatino Linotype"/>
          <w:color w:val="000000" w:themeColor="text1"/>
        </w:rPr>
      </w:pPr>
      <w:r w:rsidRPr="008A486A">
        <w:rPr>
          <w:rFonts w:ascii="Palatino Linotype" w:hAnsi="Palatino Linotype" w:cs="Arial"/>
          <w:b/>
          <w:color w:val="000000" w:themeColor="text1"/>
        </w:rPr>
        <w:t xml:space="preserve">CUARTO. </w:t>
      </w:r>
      <w:r w:rsidRPr="008A486A">
        <w:rPr>
          <w:rFonts w:ascii="Palatino Linotype" w:hAnsi="Palatino Linotype"/>
          <w:b/>
          <w:bCs/>
          <w:color w:val="000000" w:themeColor="text1"/>
          <w:lang w:val="es-ES"/>
        </w:rPr>
        <w:t>Notifíquese al RECURRENTE</w:t>
      </w:r>
      <w:r w:rsidRPr="008A486A">
        <w:rPr>
          <w:rFonts w:ascii="Palatino Linotype" w:hAnsi="Palatino Linotype"/>
          <w:color w:val="000000" w:themeColor="text1"/>
        </w:rPr>
        <w:t xml:space="preserve"> la presente resolución vía SAIMEX.</w:t>
      </w:r>
    </w:p>
    <w:p w:rsidR="00CF6853" w:rsidRPr="008A486A" w:rsidRDefault="00CF6853" w:rsidP="008A486A">
      <w:pPr>
        <w:shd w:val="clear" w:color="auto" w:fill="FFFFFF"/>
        <w:tabs>
          <w:tab w:val="left" w:pos="0"/>
        </w:tabs>
        <w:spacing w:line="360" w:lineRule="auto"/>
        <w:jc w:val="both"/>
        <w:rPr>
          <w:rFonts w:ascii="Palatino Linotype" w:hAnsi="Palatino Linotype"/>
          <w:b/>
          <w:color w:val="000000" w:themeColor="text1"/>
        </w:rPr>
      </w:pPr>
    </w:p>
    <w:p w:rsidR="00CF6853" w:rsidRPr="008A486A" w:rsidRDefault="00CF6853" w:rsidP="008A486A">
      <w:pPr>
        <w:tabs>
          <w:tab w:val="left" w:pos="0"/>
        </w:tabs>
        <w:spacing w:line="360" w:lineRule="auto"/>
        <w:jc w:val="both"/>
        <w:rPr>
          <w:rFonts w:ascii="Palatino Linotype" w:eastAsia="MS Mincho" w:hAnsi="Palatino Linotype"/>
          <w:color w:val="000000" w:themeColor="text1"/>
          <w:lang w:val="es-ES"/>
        </w:rPr>
      </w:pPr>
      <w:r w:rsidRPr="008A486A">
        <w:rPr>
          <w:rFonts w:ascii="Palatino Linotype" w:eastAsia="MS Mincho" w:hAnsi="Palatino Linotype"/>
          <w:b/>
          <w:color w:val="000000" w:themeColor="text1"/>
        </w:rPr>
        <w:t>QUINTO.</w:t>
      </w:r>
      <w:r w:rsidRPr="008A486A">
        <w:rPr>
          <w:rFonts w:ascii="Palatino Linotype" w:eastAsia="MS Mincho" w:hAnsi="Palatino Linotype"/>
          <w:color w:val="000000" w:themeColor="text1"/>
        </w:rPr>
        <w:t xml:space="preserve"> </w:t>
      </w:r>
      <w:r w:rsidRPr="008A486A">
        <w:rPr>
          <w:rFonts w:ascii="Palatino Linotype" w:eastAsia="MS Mincho" w:hAnsi="Palatino Linotype"/>
          <w:color w:val="000000" w:themeColor="text1"/>
          <w:lang w:val="es-ES"/>
        </w:rPr>
        <w:t xml:space="preserve">Se hace del conocimiento del </w:t>
      </w:r>
      <w:r w:rsidRPr="008A486A">
        <w:rPr>
          <w:rFonts w:ascii="Palatino Linotype" w:hAnsi="Palatino Linotype"/>
          <w:b/>
          <w:color w:val="000000" w:themeColor="text1"/>
        </w:rPr>
        <w:t>RECURRENTE</w:t>
      </w:r>
      <w:r w:rsidRPr="008A486A">
        <w:rPr>
          <w:rFonts w:ascii="Palatino Linotype" w:hAnsi="Palatino Linotype"/>
          <w:color w:val="000000" w:themeColor="text1"/>
        </w:rPr>
        <w:t xml:space="preserve"> </w:t>
      </w:r>
      <w:r w:rsidRPr="008A486A">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A486A">
        <w:rPr>
          <w:rFonts w:ascii="Palatino Linotype" w:eastAsia="MS Mincho" w:hAnsi="Palatino Linotype"/>
          <w:bCs/>
          <w:color w:val="000000" w:themeColor="text1"/>
          <w:lang w:val="es-ES"/>
        </w:rPr>
        <w:t>vía juicio de amparo</w:t>
      </w:r>
      <w:r w:rsidRPr="008A486A">
        <w:rPr>
          <w:rFonts w:ascii="Palatino Linotype" w:eastAsia="MS Mincho" w:hAnsi="Palatino Linotype"/>
          <w:color w:val="000000" w:themeColor="text1"/>
          <w:lang w:val="es-ES"/>
        </w:rPr>
        <w:t> en los términos de las leyes aplicables.</w:t>
      </w:r>
    </w:p>
    <w:p w:rsidR="00CF6853" w:rsidRPr="008A486A" w:rsidRDefault="00CF6853" w:rsidP="008A486A">
      <w:pPr>
        <w:tabs>
          <w:tab w:val="left" w:pos="0"/>
        </w:tabs>
        <w:spacing w:line="360" w:lineRule="auto"/>
        <w:jc w:val="both"/>
        <w:rPr>
          <w:rFonts w:ascii="Palatino Linotype" w:hAnsi="Palatino Linotype"/>
          <w:color w:val="000000" w:themeColor="text1"/>
          <w:shd w:val="clear" w:color="auto" w:fill="FFFFFF"/>
        </w:rPr>
      </w:pPr>
    </w:p>
    <w:p w:rsidR="00CF6853" w:rsidRPr="008A486A" w:rsidRDefault="00CF6853" w:rsidP="008A486A">
      <w:pPr>
        <w:tabs>
          <w:tab w:val="left" w:pos="0"/>
        </w:tabs>
        <w:spacing w:line="360" w:lineRule="auto"/>
        <w:jc w:val="both"/>
        <w:rPr>
          <w:rFonts w:ascii="Palatino Linotype" w:eastAsia="Calibri" w:hAnsi="Palatino Linotype" w:cs="Arial"/>
          <w:bCs/>
          <w:color w:val="000000" w:themeColor="text1"/>
        </w:rPr>
      </w:pPr>
      <w:r w:rsidRPr="008A486A">
        <w:rPr>
          <w:rFonts w:ascii="Palatino Linotype" w:hAnsi="Palatino Linotype"/>
          <w:b/>
          <w:color w:val="000000" w:themeColor="text1"/>
          <w:shd w:val="clear" w:color="auto" w:fill="FFFFFF"/>
        </w:rPr>
        <w:t xml:space="preserve">SEXTO. </w:t>
      </w:r>
      <w:r w:rsidRPr="008A486A">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F6853" w:rsidRPr="008A486A" w:rsidRDefault="00CF6853" w:rsidP="008A486A">
      <w:pPr>
        <w:shd w:val="clear" w:color="auto" w:fill="FFFFFF"/>
        <w:tabs>
          <w:tab w:val="left" w:pos="0"/>
        </w:tabs>
        <w:spacing w:line="360" w:lineRule="auto"/>
        <w:jc w:val="both"/>
        <w:rPr>
          <w:rFonts w:ascii="Palatino Linotype" w:hAnsi="Palatino Linotype"/>
          <w:color w:val="000000" w:themeColor="text1"/>
          <w:lang w:val="es-ES"/>
        </w:rPr>
      </w:pPr>
    </w:p>
    <w:p w:rsidR="005320C4" w:rsidRPr="00444783" w:rsidRDefault="005320C4" w:rsidP="005320C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8634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Y GUADALUPE RAMÍREZ PEÑA</w:t>
      </w:r>
      <w:r w:rsidR="00B8634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w:t>
      </w:r>
      <w:r w:rsidRPr="00575AE2">
        <w:rPr>
          <w:rFonts w:ascii="Palatino Linotype" w:eastAsia="Palatino Linotype" w:hAnsi="Palatino Linotype" w:cs="Palatino Linotype"/>
        </w:rPr>
        <w:lastRenderedPageBreak/>
        <w:t xml:space="preserve">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CF6853" w:rsidRDefault="00CF6853"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Default="00CA5E52" w:rsidP="008A486A">
      <w:pPr>
        <w:tabs>
          <w:tab w:val="left" w:pos="0"/>
        </w:tabs>
        <w:spacing w:line="360" w:lineRule="auto"/>
        <w:jc w:val="both"/>
        <w:rPr>
          <w:rFonts w:ascii="Palatino Linotype" w:hAnsi="Palatino Linotype" w:cs="Arial"/>
          <w:color w:val="000000" w:themeColor="text1"/>
        </w:rPr>
      </w:pPr>
    </w:p>
    <w:p w:rsidR="00CA5E52" w:rsidRPr="008A486A" w:rsidRDefault="00CA5E52" w:rsidP="008A486A">
      <w:pPr>
        <w:tabs>
          <w:tab w:val="left" w:pos="0"/>
        </w:tabs>
        <w:spacing w:line="360" w:lineRule="auto"/>
        <w:jc w:val="both"/>
        <w:rPr>
          <w:rFonts w:ascii="Palatino Linotype" w:hAnsi="Palatino Linotype" w:cs="Arial"/>
          <w:color w:val="000000" w:themeColor="text1"/>
        </w:rPr>
      </w:pPr>
    </w:p>
    <w:p w:rsidR="00CF6853" w:rsidRPr="008A486A" w:rsidRDefault="00CF6853" w:rsidP="008A486A">
      <w:pPr>
        <w:tabs>
          <w:tab w:val="left" w:pos="0"/>
        </w:tabs>
        <w:spacing w:line="360" w:lineRule="auto"/>
        <w:jc w:val="both"/>
        <w:rPr>
          <w:rFonts w:ascii="Palatino Linotype" w:hAnsi="Palatino Linotype" w:cs="Arial"/>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spacing w:line="360" w:lineRule="auto"/>
        <w:rPr>
          <w:rFonts w:ascii="Palatino Linotype" w:hAnsi="Palatino Linotype"/>
          <w:color w:val="000000" w:themeColor="text1"/>
        </w:rPr>
      </w:pPr>
    </w:p>
    <w:p w:rsidR="00CF6853" w:rsidRPr="008A486A" w:rsidRDefault="00CF6853" w:rsidP="008A486A">
      <w:pPr>
        <w:tabs>
          <w:tab w:val="left" w:pos="0"/>
        </w:tabs>
        <w:rPr>
          <w:rFonts w:ascii="Palatino Linotype" w:hAnsi="Palatino Linotype"/>
          <w:color w:val="000000" w:themeColor="text1"/>
        </w:rPr>
      </w:pPr>
    </w:p>
    <w:p w:rsidR="00CF6853" w:rsidRDefault="00CF6853" w:rsidP="008A486A">
      <w:pPr>
        <w:tabs>
          <w:tab w:val="left" w:pos="0"/>
        </w:tabs>
        <w:rPr>
          <w:rFonts w:ascii="Palatino Linotype" w:hAnsi="Palatino Linotype"/>
          <w:color w:val="000000" w:themeColor="text1"/>
        </w:rPr>
      </w:pPr>
    </w:p>
    <w:p w:rsidR="005320C4" w:rsidRDefault="005320C4" w:rsidP="008A486A">
      <w:pPr>
        <w:tabs>
          <w:tab w:val="left" w:pos="0"/>
        </w:tabs>
        <w:rPr>
          <w:rFonts w:ascii="Palatino Linotype" w:hAnsi="Palatino Linotype"/>
          <w:color w:val="000000" w:themeColor="text1"/>
        </w:rPr>
      </w:pPr>
    </w:p>
    <w:p w:rsidR="005320C4" w:rsidRDefault="005320C4" w:rsidP="008A486A">
      <w:pPr>
        <w:tabs>
          <w:tab w:val="left" w:pos="0"/>
        </w:tabs>
        <w:rPr>
          <w:rFonts w:ascii="Palatino Linotype" w:hAnsi="Palatino Linotype"/>
          <w:color w:val="000000" w:themeColor="text1"/>
        </w:rPr>
      </w:pPr>
    </w:p>
    <w:p w:rsidR="005320C4" w:rsidRDefault="005320C4" w:rsidP="008A486A">
      <w:pPr>
        <w:tabs>
          <w:tab w:val="left" w:pos="0"/>
        </w:tabs>
        <w:rPr>
          <w:rFonts w:ascii="Palatino Linotype" w:hAnsi="Palatino Linotype"/>
          <w:color w:val="000000" w:themeColor="text1"/>
        </w:rPr>
      </w:pPr>
    </w:p>
    <w:p w:rsidR="005320C4" w:rsidRPr="008A486A" w:rsidRDefault="005320C4" w:rsidP="008A486A">
      <w:pPr>
        <w:tabs>
          <w:tab w:val="left" w:pos="0"/>
        </w:tabs>
        <w:rPr>
          <w:rFonts w:ascii="Palatino Linotype" w:hAnsi="Palatino Linotype"/>
          <w:color w:val="000000" w:themeColor="text1"/>
        </w:rPr>
      </w:pPr>
    </w:p>
    <w:p w:rsidR="00CF6853" w:rsidRPr="008A486A" w:rsidRDefault="00CF6853" w:rsidP="008A486A">
      <w:pPr>
        <w:tabs>
          <w:tab w:val="left" w:pos="0"/>
        </w:tabs>
        <w:rPr>
          <w:rFonts w:ascii="Palatino Linotype" w:hAnsi="Palatino Linotype"/>
          <w:color w:val="000000" w:themeColor="text1"/>
        </w:rPr>
      </w:pPr>
    </w:p>
    <w:p w:rsidR="008662FD" w:rsidRPr="008A486A" w:rsidRDefault="008662FD" w:rsidP="008A486A">
      <w:pPr>
        <w:tabs>
          <w:tab w:val="left" w:pos="0"/>
        </w:tabs>
        <w:rPr>
          <w:rFonts w:ascii="Palatino Linotype" w:hAnsi="Palatino Linotype"/>
          <w:color w:val="000000" w:themeColor="text1"/>
        </w:rPr>
      </w:pPr>
    </w:p>
    <w:sectPr w:rsidR="008662FD" w:rsidRPr="008A486A" w:rsidSect="00DC4F96">
      <w:headerReference w:type="even" r:id="rId12"/>
      <w:headerReference w:type="default" r:id="rId13"/>
      <w:footerReference w:type="default" r:id="rId14"/>
      <w:headerReference w:type="first" r:id="rId15"/>
      <w:footerReference w:type="first" r:id="rId16"/>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D7" w:rsidRDefault="002C1FD7" w:rsidP="00CF6853">
      <w:r>
        <w:separator/>
      </w:r>
    </w:p>
  </w:endnote>
  <w:endnote w:type="continuationSeparator" w:id="0">
    <w:p w:rsidR="002C1FD7" w:rsidRDefault="002C1FD7" w:rsidP="00CF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16" w:rsidRDefault="00F46616">
    <w:pPr>
      <w:pStyle w:val="Piedepgina"/>
      <w:jc w:val="right"/>
    </w:pPr>
    <w:r>
      <w:rPr>
        <w:lang w:val="es-ES"/>
      </w:rPr>
      <w:t xml:space="preserve">Página </w:t>
    </w:r>
    <w:r>
      <w:rPr>
        <w:b/>
        <w:bCs/>
      </w:rPr>
      <w:fldChar w:fldCharType="begin"/>
    </w:r>
    <w:r>
      <w:rPr>
        <w:b/>
        <w:bCs/>
      </w:rPr>
      <w:instrText>PAGE</w:instrText>
    </w:r>
    <w:r>
      <w:rPr>
        <w:b/>
        <w:bCs/>
      </w:rPr>
      <w:fldChar w:fldCharType="separate"/>
    </w:r>
    <w:r w:rsidR="00657360">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57360">
      <w:rPr>
        <w:b/>
        <w:bCs/>
        <w:noProof/>
      </w:rPr>
      <w:t>49</w:t>
    </w:r>
    <w:r>
      <w:rPr>
        <w:b/>
        <w:bCs/>
      </w:rPr>
      <w:fldChar w:fldCharType="end"/>
    </w:r>
  </w:p>
  <w:p w:rsidR="00F46616" w:rsidRDefault="00F466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16" w:rsidRDefault="00F46616">
    <w:pPr>
      <w:pStyle w:val="Piedepgina"/>
      <w:jc w:val="right"/>
    </w:pPr>
    <w:r>
      <w:rPr>
        <w:lang w:val="es-ES"/>
      </w:rPr>
      <w:t xml:space="preserve">Página </w:t>
    </w:r>
    <w:r>
      <w:rPr>
        <w:b/>
        <w:bCs/>
      </w:rPr>
      <w:fldChar w:fldCharType="begin"/>
    </w:r>
    <w:r>
      <w:rPr>
        <w:b/>
        <w:bCs/>
      </w:rPr>
      <w:instrText>PAGE</w:instrText>
    </w:r>
    <w:r>
      <w:rPr>
        <w:b/>
        <w:bCs/>
      </w:rPr>
      <w:fldChar w:fldCharType="separate"/>
    </w:r>
    <w:r w:rsidR="0065736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57360">
      <w:rPr>
        <w:b/>
        <w:bCs/>
        <w:noProof/>
      </w:rPr>
      <w:t>49</w:t>
    </w:r>
    <w:r>
      <w:rPr>
        <w:b/>
        <w:bCs/>
      </w:rPr>
      <w:fldChar w:fldCharType="end"/>
    </w:r>
  </w:p>
  <w:p w:rsidR="00F46616" w:rsidRDefault="00F466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D7" w:rsidRDefault="002C1FD7" w:rsidP="00CF6853">
      <w:r>
        <w:separator/>
      </w:r>
    </w:p>
  </w:footnote>
  <w:footnote w:type="continuationSeparator" w:id="0">
    <w:p w:rsidR="002C1FD7" w:rsidRDefault="002C1FD7" w:rsidP="00CF6853">
      <w:r>
        <w:continuationSeparator/>
      </w:r>
    </w:p>
  </w:footnote>
  <w:footnote w:id="1">
    <w:p w:rsidR="00F46616" w:rsidRDefault="00F46616" w:rsidP="00CF6853">
      <w:pPr>
        <w:pStyle w:val="Textonotapie"/>
      </w:pPr>
      <w:r>
        <w:rPr>
          <w:rStyle w:val="Refdenotaalpie"/>
        </w:rPr>
        <w:footnoteRef/>
      </w:r>
      <w:r>
        <w:t xml:space="preserve"> Artículo 150. Ley de Transparencia y Acceso a la Información Pública del Estado de México y Municipios.</w:t>
      </w:r>
    </w:p>
    <w:p w:rsidR="00F46616" w:rsidRDefault="00F46616" w:rsidP="00CF6853">
      <w:pPr>
        <w:pStyle w:val="Textonotapie"/>
      </w:pPr>
      <w:r>
        <w:t>Artículo 151. Ibídem.</w:t>
      </w:r>
    </w:p>
  </w:footnote>
  <w:footnote w:id="2">
    <w:p w:rsidR="00F46616" w:rsidRDefault="00F46616" w:rsidP="00CF6853">
      <w:pPr>
        <w:pStyle w:val="Textonotapie"/>
      </w:pPr>
      <w:r>
        <w:rPr>
          <w:rStyle w:val="Refdenotaalpie"/>
        </w:rPr>
        <w:footnoteRef/>
      </w:r>
      <w:r>
        <w:t xml:space="preserve"> Fracción IV. Artículo 53. Ibídem.</w:t>
      </w:r>
    </w:p>
  </w:footnote>
  <w:footnote w:id="3">
    <w:p w:rsidR="00F46616" w:rsidRDefault="00F46616" w:rsidP="00CF6853">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F46616" w:rsidRDefault="00F46616" w:rsidP="00CF685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16" w:rsidRDefault="002C1F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F46616" w:rsidRPr="005C106F" w:rsidTr="00DC4F96">
      <w:trPr>
        <w:trHeight w:val="1435"/>
      </w:trPr>
      <w:tc>
        <w:tcPr>
          <w:tcW w:w="2268" w:type="dxa"/>
          <w:shd w:val="clear" w:color="auto" w:fill="auto"/>
        </w:tcPr>
        <w:p w:rsidR="00F46616" w:rsidRPr="005C106F" w:rsidRDefault="00F46616" w:rsidP="00CF6853">
          <w:pPr>
            <w:tabs>
              <w:tab w:val="right" w:pos="4273"/>
            </w:tabs>
            <w:rPr>
              <w:rFonts w:ascii="Garamond" w:eastAsia="Calibri" w:hAnsi="Garamond"/>
              <w:sz w:val="16"/>
              <w:szCs w:val="16"/>
              <w:lang w:eastAsia="en-US"/>
            </w:rPr>
          </w:pPr>
        </w:p>
      </w:tc>
      <w:tc>
        <w:tcPr>
          <w:tcW w:w="7655" w:type="dxa"/>
          <w:shd w:val="clear" w:color="auto" w:fill="auto"/>
        </w:tcPr>
        <w:tbl>
          <w:tblPr>
            <w:tblW w:w="6798" w:type="dxa"/>
            <w:tblInd w:w="1310" w:type="dxa"/>
            <w:tblLayout w:type="fixed"/>
            <w:tblLook w:val="0420" w:firstRow="1" w:lastRow="0" w:firstColumn="0" w:lastColumn="0" w:noHBand="0" w:noVBand="1"/>
          </w:tblPr>
          <w:tblGrid>
            <w:gridCol w:w="2687"/>
            <w:gridCol w:w="4111"/>
          </w:tblGrid>
          <w:tr w:rsidR="008A486A" w:rsidRPr="008A486A" w:rsidTr="00DC4F96">
            <w:trPr>
              <w:trHeight w:val="150"/>
            </w:trPr>
            <w:tc>
              <w:tcPr>
                <w:tcW w:w="2687" w:type="dxa"/>
                <w:shd w:val="clear" w:color="auto" w:fill="auto"/>
              </w:tcPr>
              <w:p w:rsidR="00F46616" w:rsidRPr="008A486A" w:rsidRDefault="00F46616" w:rsidP="008A486A">
                <w:pPr>
                  <w:tabs>
                    <w:tab w:val="right" w:pos="8838"/>
                  </w:tabs>
                  <w:ind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Recurso de Revisión:</w:t>
                </w:r>
              </w:p>
            </w:tc>
            <w:tc>
              <w:tcPr>
                <w:tcW w:w="4111" w:type="dxa"/>
                <w:shd w:val="clear" w:color="auto" w:fill="auto"/>
              </w:tcPr>
              <w:p w:rsidR="00F46616" w:rsidRPr="008A486A" w:rsidRDefault="00F46616" w:rsidP="008A486A">
                <w:pPr>
                  <w:tabs>
                    <w:tab w:val="right" w:pos="8838"/>
                  </w:tabs>
                  <w:ind w:left="-108" w:right="-102"/>
                  <w:jc w:val="both"/>
                  <w:rPr>
                    <w:rFonts w:ascii="Palatino Linotype" w:eastAsia="Calibri" w:hAnsi="Palatino Linotype" w:cs="Tahoma"/>
                    <w:bCs/>
                    <w:color w:val="000000" w:themeColor="text1"/>
                    <w:lang w:val="es-ES" w:eastAsia="en-US"/>
                  </w:rPr>
                </w:pPr>
                <w:r w:rsidRPr="008A486A">
                  <w:rPr>
                    <w:rFonts w:ascii="Palatino Linotype" w:eastAsia="Calibri" w:hAnsi="Palatino Linotype" w:cs="Tahoma"/>
                    <w:bCs/>
                    <w:color w:val="000000" w:themeColor="text1"/>
                    <w:lang w:eastAsia="en-US"/>
                  </w:rPr>
                  <w:t>10318/INFOEM/IP/RR/2025</w:t>
                </w:r>
              </w:p>
            </w:tc>
          </w:tr>
          <w:tr w:rsidR="008A486A" w:rsidRPr="008A486A" w:rsidTr="00DC4F96">
            <w:trPr>
              <w:trHeight w:val="295"/>
            </w:trPr>
            <w:tc>
              <w:tcPr>
                <w:tcW w:w="2687" w:type="dxa"/>
                <w:shd w:val="clear" w:color="auto" w:fill="auto"/>
              </w:tcPr>
              <w:p w:rsidR="00F46616" w:rsidRPr="008A486A" w:rsidRDefault="00F46616" w:rsidP="008A486A">
                <w:pPr>
                  <w:tabs>
                    <w:tab w:val="right" w:pos="8838"/>
                  </w:tabs>
                  <w:ind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Sujeto Obligado:</w:t>
                </w:r>
              </w:p>
            </w:tc>
            <w:tc>
              <w:tcPr>
                <w:tcW w:w="4111" w:type="dxa"/>
                <w:shd w:val="clear" w:color="auto" w:fill="auto"/>
              </w:tcPr>
              <w:p w:rsidR="00F46616" w:rsidRPr="008A486A" w:rsidRDefault="00F46616" w:rsidP="008A486A">
                <w:pPr>
                  <w:tabs>
                    <w:tab w:val="left" w:pos="2834"/>
                    <w:tab w:val="right" w:pos="8838"/>
                  </w:tabs>
                  <w:ind w:left="-108" w:right="-102"/>
                  <w:jc w:val="both"/>
                  <w:rPr>
                    <w:rFonts w:ascii="Palatino Linotype" w:eastAsia="Calibri" w:hAnsi="Palatino Linotype" w:cs="Tahoma"/>
                    <w:color w:val="000000" w:themeColor="text1"/>
                    <w:lang w:val="es-ES" w:eastAsia="en-US"/>
                  </w:rPr>
                </w:pPr>
                <w:r w:rsidRPr="008A486A">
                  <w:rPr>
                    <w:rFonts w:ascii="Palatino Linotype" w:eastAsia="Calibri" w:hAnsi="Palatino Linotype" w:cs="Tahoma"/>
                    <w:bCs/>
                    <w:color w:val="000000" w:themeColor="text1"/>
                    <w:lang w:eastAsia="en-US"/>
                  </w:rPr>
                  <w:t>Ayuntamiento de Aculco</w:t>
                </w:r>
              </w:p>
            </w:tc>
          </w:tr>
          <w:tr w:rsidR="008A486A" w:rsidRPr="008A486A" w:rsidTr="00DC4F96">
            <w:trPr>
              <w:trHeight w:val="295"/>
            </w:trPr>
            <w:tc>
              <w:tcPr>
                <w:tcW w:w="2687" w:type="dxa"/>
                <w:shd w:val="clear" w:color="auto" w:fill="auto"/>
              </w:tcPr>
              <w:p w:rsidR="00F46616" w:rsidRPr="008A486A" w:rsidRDefault="00F46616" w:rsidP="008A486A">
                <w:pPr>
                  <w:tabs>
                    <w:tab w:val="right" w:pos="8838"/>
                  </w:tabs>
                  <w:ind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Comisionada ponente:</w:t>
                </w:r>
              </w:p>
            </w:tc>
            <w:tc>
              <w:tcPr>
                <w:tcW w:w="4111" w:type="dxa"/>
                <w:shd w:val="clear" w:color="auto" w:fill="auto"/>
              </w:tcPr>
              <w:p w:rsidR="00F46616" w:rsidRPr="008A486A" w:rsidRDefault="00F46616" w:rsidP="008A486A">
                <w:pPr>
                  <w:tabs>
                    <w:tab w:val="right" w:pos="8838"/>
                  </w:tabs>
                  <w:ind w:left="-108" w:right="171"/>
                  <w:jc w:val="both"/>
                  <w:rPr>
                    <w:rFonts w:ascii="Palatino Linotype" w:eastAsia="Calibri" w:hAnsi="Palatino Linotype" w:cs="Tahoma"/>
                    <w:color w:val="000000" w:themeColor="text1"/>
                    <w:lang w:val="es-ES" w:eastAsia="en-US"/>
                  </w:rPr>
                </w:pPr>
                <w:r w:rsidRPr="008A486A">
                  <w:rPr>
                    <w:rFonts w:ascii="Palatino Linotype" w:eastAsia="Calibri" w:hAnsi="Palatino Linotype" w:cs="Tahoma"/>
                    <w:color w:val="000000" w:themeColor="text1"/>
                    <w:lang w:val="es-ES" w:eastAsia="en-US"/>
                  </w:rPr>
                  <w:t>María del Rosario Mejía Ayala</w:t>
                </w:r>
              </w:p>
              <w:p w:rsidR="00F46616" w:rsidRPr="008A486A" w:rsidRDefault="00F46616" w:rsidP="008A486A">
                <w:pPr>
                  <w:tabs>
                    <w:tab w:val="right" w:pos="8838"/>
                  </w:tabs>
                  <w:ind w:left="-108" w:right="171"/>
                  <w:jc w:val="both"/>
                  <w:rPr>
                    <w:rFonts w:ascii="Palatino Linotype" w:eastAsia="Calibri" w:hAnsi="Palatino Linotype" w:cs="Tahoma"/>
                    <w:color w:val="000000" w:themeColor="text1"/>
                    <w:lang w:val="es-ES" w:eastAsia="en-US"/>
                  </w:rPr>
                </w:pPr>
              </w:p>
            </w:tc>
          </w:tr>
        </w:tbl>
        <w:p w:rsidR="00F46616" w:rsidRPr="005C106F" w:rsidRDefault="00F46616" w:rsidP="00CF6853">
          <w:pPr>
            <w:tabs>
              <w:tab w:val="right" w:pos="8838"/>
            </w:tabs>
            <w:ind w:left="-28"/>
            <w:jc w:val="both"/>
            <w:rPr>
              <w:rFonts w:ascii="Arial" w:eastAsia="Calibri" w:hAnsi="Arial" w:cs="Arial"/>
              <w:b/>
              <w:sz w:val="22"/>
              <w:szCs w:val="22"/>
              <w:lang w:eastAsia="en-US"/>
            </w:rPr>
          </w:pPr>
        </w:p>
      </w:tc>
    </w:tr>
  </w:tbl>
  <w:p w:rsidR="00F46616" w:rsidRPr="00443C6B" w:rsidRDefault="002C1FD7" w:rsidP="00CF685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F46616" w:rsidRPr="00330DA7" w:rsidTr="00DC4F96">
      <w:trPr>
        <w:trHeight w:val="1435"/>
      </w:trPr>
      <w:tc>
        <w:tcPr>
          <w:tcW w:w="2268" w:type="dxa"/>
          <w:shd w:val="clear" w:color="auto" w:fill="auto"/>
        </w:tcPr>
        <w:p w:rsidR="00F46616" w:rsidRPr="00330DA7" w:rsidRDefault="00F46616" w:rsidP="00CF6853">
          <w:pPr>
            <w:tabs>
              <w:tab w:val="right" w:pos="4273"/>
            </w:tabs>
            <w:rPr>
              <w:rFonts w:ascii="Garamond" w:eastAsia="Calibri" w:hAnsi="Garamond"/>
              <w:sz w:val="22"/>
              <w:szCs w:val="22"/>
              <w:lang w:eastAsia="en-US"/>
            </w:rPr>
          </w:pPr>
        </w:p>
      </w:tc>
      <w:tc>
        <w:tcPr>
          <w:tcW w:w="7655" w:type="dxa"/>
          <w:shd w:val="clear" w:color="auto" w:fill="auto"/>
        </w:tcPr>
        <w:tbl>
          <w:tblPr>
            <w:tblW w:w="7082" w:type="dxa"/>
            <w:tblInd w:w="1452" w:type="dxa"/>
            <w:tblLayout w:type="fixed"/>
            <w:tblLook w:val="0420" w:firstRow="1" w:lastRow="0" w:firstColumn="0" w:lastColumn="0" w:noHBand="0" w:noVBand="1"/>
          </w:tblPr>
          <w:tblGrid>
            <w:gridCol w:w="2546"/>
            <w:gridCol w:w="4536"/>
          </w:tblGrid>
          <w:tr w:rsidR="00F46616" w:rsidRPr="00330DA7" w:rsidTr="00DC4F96">
            <w:trPr>
              <w:trHeight w:val="144"/>
            </w:trPr>
            <w:tc>
              <w:tcPr>
                <w:tcW w:w="2546" w:type="dxa"/>
                <w:shd w:val="clear" w:color="auto" w:fill="auto"/>
              </w:tcPr>
              <w:p w:rsidR="00F46616" w:rsidRPr="008A486A" w:rsidRDefault="00F46616" w:rsidP="008A486A">
                <w:pPr>
                  <w:tabs>
                    <w:tab w:val="right" w:pos="8838"/>
                  </w:tabs>
                  <w:ind w:left="-264" w:right="-105" w:firstLine="19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Recurso de Revisión:</w:t>
                </w:r>
              </w:p>
            </w:tc>
            <w:tc>
              <w:tcPr>
                <w:tcW w:w="4536" w:type="dxa"/>
                <w:shd w:val="clear" w:color="auto" w:fill="auto"/>
              </w:tcPr>
              <w:p w:rsidR="00F46616" w:rsidRPr="008A486A" w:rsidRDefault="00F46616" w:rsidP="008A486A">
                <w:pPr>
                  <w:tabs>
                    <w:tab w:val="right" w:pos="8838"/>
                  </w:tabs>
                  <w:ind w:left="-74" w:right="-105"/>
                  <w:jc w:val="both"/>
                  <w:rPr>
                    <w:rFonts w:ascii="Palatino Linotype" w:eastAsia="Calibri" w:hAnsi="Palatino Linotype" w:cs="Tahoma"/>
                    <w:bCs/>
                    <w:color w:val="000000" w:themeColor="text1"/>
                    <w:lang w:val="es-ES" w:eastAsia="en-US"/>
                  </w:rPr>
                </w:pPr>
                <w:r w:rsidRPr="008A486A">
                  <w:rPr>
                    <w:rFonts w:ascii="Palatino Linotype" w:eastAsia="Calibri" w:hAnsi="Palatino Linotype" w:cs="Tahoma"/>
                    <w:color w:val="000000" w:themeColor="text1"/>
                    <w:lang w:eastAsia="en-US"/>
                  </w:rPr>
                  <w:t>10318/INFOEM/IP/RR/2025</w:t>
                </w:r>
              </w:p>
            </w:tc>
          </w:tr>
          <w:tr w:rsidR="00F46616" w:rsidRPr="00330DA7" w:rsidTr="00DC4F96">
            <w:trPr>
              <w:trHeight w:val="144"/>
            </w:trPr>
            <w:tc>
              <w:tcPr>
                <w:tcW w:w="2546" w:type="dxa"/>
                <w:shd w:val="clear" w:color="auto" w:fill="auto"/>
              </w:tcPr>
              <w:p w:rsidR="00F46616" w:rsidRPr="008A486A" w:rsidRDefault="00F46616" w:rsidP="008A486A">
                <w:pPr>
                  <w:tabs>
                    <w:tab w:val="right" w:pos="8838"/>
                  </w:tabs>
                  <w:ind w:left="-74"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Recurrente:</w:t>
                </w:r>
              </w:p>
            </w:tc>
            <w:tc>
              <w:tcPr>
                <w:tcW w:w="4536" w:type="dxa"/>
                <w:shd w:val="clear" w:color="auto" w:fill="auto"/>
              </w:tcPr>
              <w:p w:rsidR="00F46616" w:rsidRPr="008A486A" w:rsidRDefault="00F46616" w:rsidP="008A486A">
                <w:pPr>
                  <w:tabs>
                    <w:tab w:val="left" w:pos="930"/>
                  </w:tabs>
                  <w:ind w:left="-74" w:right="-105"/>
                  <w:jc w:val="both"/>
                  <w:rPr>
                    <w:rFonts w:ascii="Palatino Linotype" w:eastAsia="Calibri" w:hAnsi="Palatino Linotype" w:cs="Tahoma"/>
                    <w:color w:val="000000" w:themeColor="text1"/>
                    <w:lang w:val="es-ES" w:eastAsia="en-US"/>
                  </w:rPr>
                </w:pPr>
              </w:p>
            </w:tc>
          </w:tr>
          <w:tr w:rsidR="00F46616" w:rsidRPr="00330DA7" w:rsidTr="00DC4F96">
            <w:trPr>
              <w:trHeight w:val="283"/>
            </w:trPr>
            <w:tc>
              <w:tcPr>
                <w:tcW w:w="2546" w:type="dxa"/>
                <w:shd w:val="clear" w:color="auto" w:fill="auto"/>
              </w:tcPr>
              <w:p w:rsidR="00F46616" w:rsidRPr="008A486A" w:rsidRDefault="00F46616" w:rsidP="008A486A">
                <w:pPr>
                  <w:tabs>
                    <w:tab w:val="right" w:pos="8838"/>
                  </w:tabs>
                  <w:ind w:left="-74"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Sujeto Obligado:</w:t>
                </w:r>
              </w:p>
            </w:tc>
            <w:tc>
              <w:tcPr>
                <w:tcW w:w="4536" w:type="dxa"/>
                <w:shd w:val="clear" w:color="auto" w:fill="auto"/>
              </w:tcPr>
              <w:p w:rsidR="00F46616" w:rsidRPr="008A486A" w:rsidRDefault="00F46616" w:rsidP="008A486A">
                <w:pPr>
                  <w:tabs>
                    <w:tab w:val="left" w:pos="2834"/>
                    <w:tab w:val="right" w:pos="8838"/>
                  </w:tabs>
                  <w:ind w:left="-74" w:right="-105"/>
                  <w:jc w:val="both"/>
                  <w:rPr>
                    <w:rFonts w:ascii="Palatino Linotype" w:eastAsia="Calibri" w:hAnsi="Palatino Linotype" w:cs="Tahoma"/>
                    <w:color w:val="000000" w:themeColor="text1"/>
                    <w:lang w:val="es-ES" w:eastAsia="en-US"/>
                  </w:rPr>
                </w:pPr>
                <w:r w:rsidRPr="008A486A">
                  <w:rPr>
                    <w:rFonts w:ascii="Palatino Linotype" w:eastAsia="Calibri" w:hAnsi="Palatino Linotype" w:cs="Tahoma"/>
                    <w:bCs/>
                    <w:color w:val="000000" w:themeColor="text1"/>
                    <w:lang w:eastAsia="en-US"/>
                  </w:rPr>
                  <w:t>Ayuntamiento de Aculco</w:t>
                </w:r>
              </w:p>
            </w:tc>
          </w:tr>
          <w:tr w:rsidR="00F46616" w:rsidRPr="00330DA7" w:rsidTr="00DC4F96">
            <w:trPr>
              <w:trHeight w:val="283"/>
            </w:trPr>
            <w:tc>
              <w:tcPr>
                <w:tcW w:w="2546" w:type="dxa"/>
                <w:shd w:val="clear" w:color="auto" w:fill="auto"/>
              </w:tcPr>
              <w:p w:rsidR="00F46616" w:rsidRPr="008A486A" w:rsidRDefault="00F46616" w:rsidP="008A486A">
                <w:pPr>
                  <w:tabs>
                    <w:tab w:val="right" w:pos="8838"/>
                  </w:tabs>
                  <w:ind w:left="-74" w:right="-105"/>
                  <w:rPr>
                    <w:rFonts w:ascii="Palatino Linotype" w:eastAsia="Calibri" w:hAnsi="Palatino Linotype" w:cs="Tahoma"/>
                    <w:b/>
                    <w:color w:val="000000" w:themeColor="text1"/>
                    <w:lang w:val="es-ES" w:eastAsia="en-US"/>
                  </w:rPr>
                </w:pPr>
                <w:r w:rsidRPr="008A486A">
                  <w:rPr>
                    <w:rFonts w:ascii="Palatino Linotype" w:eastAsia="Calibri" w:hAnsi="Palatino Linotype" w:cs="Tahoma"/>
                    <w:b/>
                    <w:color w:val="000000" w:themeColor="text1"/>
                    <w:lang w:val="es-ES" w:eastAsia="en-US"/>
                  </w:rPr>
                  <w:t>Comisionada ponente:</w:t>
                </w:r>
              </w:p>
            </w:tc>
            <w:tc>
              <w:tcPr>
                <w:tcW w:w="4536" w:type="dxa"/>
                <w:shd w:val="clear" w:color="auto" w:fill="auto"/>
              </w:tcPr>
              <w:p w:rsidR="00F46616" w:rsidRPr="008A486A" w:rsidRDefault="00F46616" w:rsidP="008A486A">
                <w:pPr>
                  <w:tabs>
                    <w:tab w:val="right" w:pos="8838"/>
                  </w:tabs>
                  <w:ind w:left="-74" w:right="-105"/>
                  <w:jc w:val="both"/>
                  <w:rPr>
                    <w:rFonts w:ascii="Palatino Linotype" w:eastAsia="Calibri" w:hAnsi="Palatino Linotype" w:cs="Tahoma"/>
                    <w:color w:val="000000" w:themeColor="text1"/>
                    <w:lang w:val="es-ES" w:eastAsia="en-US"/>
                  </w:rPr>
                </w:pPr>
                <w:r w:rsidRPr="008A486A">
                  <w:rPr>
                    <w:rFonts w:ascii="Palatino Linotype" w:eastAsia="Calibri" w:hAnsi="Palatino Linotype" w:cs="Tahoma"/>
                    <w:color w:val="000000" w:themeColor="text1"/>
                    <w:lang w:val="es-ES" w:eastAsia="en-US"/>
                  </w:rPr>
                  <w:t>María del Rosario Mejía Ayala</w:t>
                </w:r>
              </w:p>
              <w:p w:rsidR="00F46616" w:rsidRPr="008A486A" w:rsidRDefault="00F46616" w:rsidP="008A486A">
                <w:pPr>
                  <w:tabs>
                    <w:tab w:val="right" w:pos="8838"/>
                  </w:tabs>
                  <w:ind w:left="-74" w:right="-105"/>
                  <w:jc w:val="both"/>
                  <w:rPr>
                    <w:rFonts w:ascii="Palatino Linotype" w:eastAsia="Calibri" w:hAnsi="Palatino Linotype" w:cs="Tahoma"/>
                    <w:color w:val="000000" w:themeColor="text1"/>
                    <w:lang w:val="es-ES" w:eastAsia="en-US"/>
                  </w:rPr>
                </w:pPr>
              </w:p>
            </w:tc>
          </w:tr>
        </w:tbl>
        <w:p w:rsidR="00F46616" w:rsidRPr="00330DA7" w:rsidRDefault="00F46616" w:rsidP="00CF6853">
          <w:pPr>
            <w:tabs>
              <w:tab w:val="right" w:pos="8838"/>
            </w:tabs>
            <w:ind w:left="-28"/>
            <w:jc w:val="both"/>
            <w:rPr>
              <w:rFonts w:ascii="Arial" w:eastAsia="Calibri" w:hAnsi="Arial" w:cs="Arial"/>
              <w:b/>
              <w:sz w:val="22"/>
              <w:szCs w:val="22"/>
              <w:lang w:eastAsia="en-US"/>
            </w:rPr>
          </w:pPr>
        </w:p>
      </w:tc>
    </w:tr>
  </w:tbl>
  <w:p w:rsidR="00F46616" w:rsidRPr="00827FA0" w:rsidRDefault="002C1FD7" w:rsidP="00CF685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20654"/>
    <w:multiLevelType w:val="hybridMultilevel"/>
    <w:tmpl w:val="35D8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BB6899"/>
    <w:multiLevelType w:val="hybridMultilevel"/>
    <w:tmpl w:val="295C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A045A3"/>
    <w:multiLevelType w:val="hybridMultilevel"/>
    <w:tmpl w:val="9D984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5"/>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53"/>
    <w:rsid w:val="00054F3F"/>
    <w:rsid w:val="001B40DC"/>
    <w:rsid w:val="0020002D"/>
    <w:rsid w:val="002C1FD7"/>
    <w:rsid w:val="0034628D"/>
    <w:rsid w:val="003E61FA"/>
    <w:rsid w:val="005320C4"/>
    <w:rsid w:val="005C19D3"/>
    <w:rsid w:val="005E36D5"/>
    <w:rsid w:val="006148B0"/>
    <w:rsid w:val="006568E9"/>
    <w:rsid w:val="00657360"/>
    <w:rsid w:val="006E4EA1"/>
    <w:rsid w:val="007C028E"/>
    <w:rsid w:val="008662FD"/>
    <w:rsid w:val="008A486A"/>
    <w:rsid w:val="009D72C8"/>
    <w:rsid w:val="00AC7E3F"/>
    <w:rsid w:val="00AE37CC"/>
    <w:rsid w:val="00B86341"/>
    <w:rsid w:val="00C52942"/>
    <w:rsid w:val="00CA5E52"/>
    <w:rsid w:val="00CF6853"/>
    <w:rsid w:val="00CF74C1"/>
    <w:rsid w:val="00D9419F"/>
    <w:rsid w:val="00DC4F96"/>
    <w:rsid w:val="00E25D0F"/>
    <w:rsid w:val="00F46616"/>
    <w:rsid w:val="00F52C13"/>
    <w:rsid w:val="00F61E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B59CC29-F7FA-40DF-91C4-63535798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85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F68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CF6853"/>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6853"/>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CF685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CF6853"/>
    <w:pPr>
      <w:tabs>
        <w:tab w:val="center" w:pos="4419"/>
        <w:tab w:val="right" w:pos="8838"/>
      </w:tabs>
    </w:pPr>
  </w:style>
  <w:style w:type="character" w:customStyle="1" w:styleId="EncabezadoCar">
    <w:name w:val="Encabezado Car"/>
    <w:basedOn w:val="Fuentedeprrafopredeter"/>
    <w:link w:val="Encabezado"/>
    <w:uiPriority w:val="99"/>
    <w:rsid w:val="00CF685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F6853"/>
    <w:pPr>
      <w:tabs>
        <w:tab w:val="center" w:pos="4419"/>
        <w:tab w:val="right" w:pos="8838"/>
      </w:tabs>
    </w:pPr>
  </w:style>
  <w:style w:type="character" w:customStyle="1" w:styleId="PiedepginaCar">
    <w:name w:val="Pie de página Car"/>
    <w:basedOn w:val="Fuentedeprrafopredeter"/>
    <w:link w:val="Piedepgina"/>
    <w:uiPriority w:val="99"/>
    <w:rsid w:val="00CF685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685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F685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F6853"/>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F685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F685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F6853"/>
    <w:rPr>
      <w:vertAlign w:val="superscript"/>
    </w:rPr>
  </w:style>
  <w:style w:type="paragraph" w:styleId="NormalWeb">
    <w:name w:val="Normal (Web)"/>
    <w:basedOn w:val="Normal"/>
    <w:uiPriority w:val="99"/>
    <w:unhideWhenUsed/>
    <w:rsid w:val="00CF68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97743">
      <w:bodyDiv w:val="1"/>
      <w:marLeft w:val="0"/>
      <w:marRight w:val="0"/>
      <w:marTop w:val="0"/>
      <w:marBottom w:val="0"/>
      <w:divBdr>
        <w:top w:val="none" w:sz="0" w:space="0" w:color="auto"/>
        <w:left w:val="none" w:sz="0" w:space="0" w:color="auto"/>
        <w:bottom w:val="none" w:sz="0" w:space="0" w:color="auto"/>
        <w:right w:val="none" w:sz="0" w:space="0" w:color="auto"/>
      </w:divBdr>
    </w:div>
    <w:div w:id="8159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2545786.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49</Pages>
  <Words>11247</Words>
  <Characters>61859</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2025-10-17T17:43:00Z</cp:lastPrinted>
  <dcterms:created xsi:type="dcterms:W3CDTF">2025-10-15T23:46:00Z</dcterms:created>
  <dcterms:modified xsi:type="dcterms:W3CDTF">2025-11-12T17:14:00Z</dcterms:modified>
</cp:coreProperties>
</file>